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E1538" w14:textId="77777777" w:rsidR="004D408A" w:rsidRDefault="004D408A" w:rsidP="00B622A1">
      <w:pPr>
        <w:spacing w:after="0" w:line="480" w:lineRule="auto"/>
        <w:rPr>
          <w:rFonts w:ascii="Courier New" w:hAnsi="Courier New" w:cs="Courier New"/>
          <w:sz w:val="24"/>
          <w:szCs w:val="24"/>
        </w:rPr>
      </w:pPr>
      <w:bookmarkStart w:id="0" w:name="_GoBack"/>
      <w:bookmarkEnd w:id="0"/>
      <w:r>
        <w:rPr>
          <w:rFonts w:ascii="Courier New" w:hAnsi="Courier New" w:cs="Courier New"/>
          <w:sz w:val="24"/>
          <w:szCs w:val="24"/>
        </w:rPr>
        <w:t>4000-01-U</w:t>
      </w:r>
    </w:p>
    <w:p w14:paraId="1EF0DD03" w14:textId="77777777" w:rsidR="004D408A" w:rsidRPr="002B6399" w:rsidRDefault="004D408A" w:rsidP="004D408A">
      <w:pPr>
        <w:spacing w:after="0" w:line="480" w:lineRule="auto"/>
        <w:rPr>
          <w:rFonts w:ascii="Courier New" w:hAnsi="Courier New" w:cs="Courier New"/>
          <w:sz w:val="24"/>
          <w:szCs w:val="24"/>
        </w:rPr>
      </w:pPr>
      <w:r w:rsidRPr="002B6399">
        <w:rPr>
          <w:rFonts w:ascii="Courier New" w:hAnsi="Courier New" w:cs="Courier New"/>
          <w:sz w:val="24"/>
          <w:szCs w:val="24"/>
        </w:rPr>
        <w:t>DEPARTMENT OF EDUCATION</w:t>
      </w:r>
    </w:p>
    <w:p w14:paraId="195B8380" w14:textId="77777777" w:rsidR="004D408A" w:rsidRPr="002B6399" w:rsidRDefault="004D408A" w:rsidP="004D408A">
      <w:pPr>
        <w:spacing w:after="0" w:line="480" w:lineRule="auto"/>
        <w:rPr>
          <w:rFonts w:ascii="Courier New" w:hAnsi="Courier New" w:cs="Courier New"/>
          <w:sz w:val="24"/>
          <w:szCs w:val="24"/>
        </w:rPr>
      </w:pPr>
      <w:r w:rsidRPr="002B6399">
        <w:rPr>
          <w:rFonts w:ascii="Courier New" w:hAnsi="Courier New" w:cs="Courier New"/>
          <w:sz w:val="24"/>
          <w:szCs w:val="24"/>
        </w:rPr>
        <w:t>34 CFR Part</w:t>
      </w:r>
      <w:r>
        <w:rPr>
          <w:rFonts w:ascii="Courier New" w:hAnsi="Courier New" w:cs="Courier New"/>
          <w:sz w:val="24"/>
          <w:szCs w:val="24"/>
        </w:rPr>
        <w:t>s 600 and</w:t>
      </w:r>
      <w:r w:rsidRPr="002B6399">
        <w:rPr>
          <w:rFonts w:ascii="Courier New" w:hAnsi="Courier New" w:cs="Courier New"/>
          <w:sz w:val="24"/>
          <w:szCs w:val="24"/>
        </w:rPr>
        <w:t xml:space="preserve"> 668</w:t>
      </w:r>
    </w:p>
    <w:p w14:paraId="66D07CF2" w14:textId="77777777" w:rsidR="004D408A" w:rsidRPr="002B6399" w:rsidRDefault="004D408A" w:rsidP="004D408A">
      <w:pPr>
        <w:spacing w:after="0" w:line="480" w:lineRule="auto"/>
        <w:rPr>
          <w:rFonts w:ascii="Courier New" w:hAnsi="Courier New" w:cs="Courier New"/>
          <w:sz w:val="24"/>
          <w:szCs w:val="24"/>
        </w:rPr>
      </w:pPr>
      <w:r w:rsidRPr="002B6399">
        <w:rPr>
          <w:rFonts w:ascii="Courier New" w:hAnsi="Courier New" w:cs="Courier New"/>
          <w:sz w:val="24"/>
          <w:szCs w:val="24"/>
        </w:rPr>
        <w:t xml:space="preserve">RIN </w:t>
      </w:r>
      <w:hyperlink r:id="rId12" w:history="1">
        <w:r w:rsidRPr="002B6399">
          <w:rPr>
            <w:rFonts w:ascii="Courier New" w:hAnsi="Courier New" w:cs="Courier New"/>
            <w:sz w:val="24"/>
            <w:szCs w:val="24"/>
          </w:rPr>
          <w:t>1840-AD1</w:t>
        </w:r>
      </w:hyperlink>
      <w:r>
        <w:rPr>
          <w:rFonts w:ascii="Courier New" w:hAnsi="Courier New" w:cs="Courier New"/>
          <w:sz w:val="24"/>
          <w:szCs w:val="24"/>
        </w:rPr>
        <w:t>5</w:t>
      </w:r>
    </w:p>
    <w:p w14:paraId="675639A3" w14:textId="77777777" w:rsidR="004D408A" w:rsidRPr="002B6399" w:rsidRDefault="004D408A" w:rsidP="004D408A">
      <w:pPr>
        <w:spacing w:after="0" w:line="480" w:lineRule="auto"/>
        <w:rPr>
          <w:rFonts w:ascii="Courier New" w:hAnsi="Courier New" w:cs="Courier New"/>
          <w:sz w:val="24"/>
          <w:szCs w:val="24"/>
        </w:rPr>
      </w:pPr>
      <w:r>
        <w:rPr>
          <w:rFonts w:ascii="Courier New" w:hAnsi="Courier New" w:cs="Courier New"/>
          <w:sz w:val="24"/>
          <w:szCs w:val="24"/>
        </w:rPr>
        <w:t>Docket ID ED-2014-OPE-0039</w:t>
      </w:r>
    </w:p>
    <w:p w14:paraId="71EE075E" w14:textId="77777777" w:rsidR="004D408A" w:rsidRPr="002B6399" w:rsidRDefault="004D408A" w:rsidP="004D408A">
      <w:pPr>
        <w:spacing w:after="0" w:line="480" w:lineRule="auto"/>
        <w:textAlignment w:val="baseline"/>
        <w:outlineLvl w:val="0"/>
        <w:rPr>
          <w:rFonts w:ascii="Courier New" w:hAnsi="Courier New" w:cs="Courier New"/>
          <w:bCs/>
          <w:kern w:val="36"/>
          <w:sz w:val="24"/>
          <w:szCs w:val="24"/>
        </w:rPr>
      </w:pPr>
      <w:r>
        <w:rPr>
          <w:rFonts w:ascii="Courier New" w:hAnsi="Courier New" w:cs="Courier New"/>
          <w:bCs/>
          <w:kern w:val="36"/>
          <w:sz w:val="24"/>
          <w:szCs w:val="24"/>
        </w:rPr>
        <w:t>Program Integrity:  Gainful Employment</w:t>
      </w:r>
    </w:p>
    <w:p w14:paraId="539D833B" w14:textId="77777777" w:rsidR="004D408A" w:rsidRPr="002B6399" w:rsidRDefault="004D408A" w:rsidP="004D408A">
      <w:pPr>
        <w:spacing w:after="0" w:line="480" w:lineRule="auto"/>
        <w:textAlignment w:val="baseline"/>
        <w:outlineLvl w:val="0"/>
        <w:rPr>
          <w:rFonts w:ascii="Courier New" w:hAnsi="Courier New" w:cs="Courier New"/>
          <w:bCs/>
          <w:kern w:val="36"/>
          <w:sz w:val="24"/>
          <w:szCs w:val="24"/>
        </w:rPr>
      </w:pPr>
      <w:r w:rsidRPr="002B6399">
        <w:rPr>
          <w:rFonts w:ascii="Courier New" w:hAnsi="Courier New" w:cs="Courier New"/>
          <w:bCs/>
          <w:kern w:val="36"/>
          <w:sz w:val="24"/>
          <w:szCs w:val="24"/>
        </w:rPr>
        <w:t xml:space="preserve">AGENCY: </w:t>
      </w:r>
      <w:r>
        <w:rPr>
          <w:rFonts w:ascii="Courier New" w:hAnsi="Courier New" w:cs="Courier New"/>
          <w:bCs/>
          <w:kern w:val="36"/>
          <w:sz w:val="24"/>
          <w:szCs w:val="24"/>
        </w:rPr>
        <w:t xml:space="preserve"> </w:t>
      </w:r>
      <w:r w:rsidRPr="002B6399">
        <w:rPr>
          <w:rFonts w:ascii="Courier New" w:hAnsi="Courier New" w:cs="Courier New"/>
          <w:bCs/>
          <w:kern w:val="36"/>
          <w:sz w:val="24"/>
          <w:szCs w:val="24"/>
        </w:rPr>
        <w:t>Office of Postsecondary Education, Department of Education</w:t>
      </w:r>
      <w:r>
        <w:rPr>
          <w:rFonts w:ascii="Courier New" w:hAnsi="Courier New" w:cs="Courier New"/>
          <w:bCs/>
          <w:kern w:val="36"/>
          <w:sz w:val="24"/>
          <w:szCs w:val="24"/>
        </w:rPr>
        <w:t>.</w:t>
      </w:r>
    </w:p>
    <w:p w14:paraId="5CC03F6E" w14:textId="77777777" w:rsidR="004D408A" w:rsidRPr="002B6399" w:rsidRDefault="004D408A" w:rsidP="004D408A">
      <w:pPr>
        <w:spacing w:after="0" w:line="480" w:lineRule="auto"/>
        <w:textAlignment w:val="baseline"/>
        <w:outlineLvl w:val="0"/>
        <w:rPr>
          <w:rFonts w:ascii="Courier New" w:hAnsi="Courier New" w:cs="Courier New"/>
          <w:bCs/>
          <w:kern w:val="36"/>
          <w:sz w:val="24"/>
          <w:szCs w:val="24"/>
        </w:rPr>
      </w:pPr>
      <w:r w:rsidRPr="002B6399">
        <w:rPr>
          <w:rFonts w:ascii="Courier New" w:hAnsi="Courier New" w:cs="Courier New"/>
          <w:bCs/>
          <w:kern w:val="36"/>
          <w:sz w:val="24"/>
          <w:szCs w:val="24"/>
        </w:rPr>
        <w:t xml:space="preserve">ACTION: </w:t>
      </w:r>
      <w:r>
        <w:rPr>
          <w:rFonts w:ascii="Courier New" w:hAnsi="Courier New" w:cs="Courier New"/>
          <w:bCs/>
          <w:kern w:val="36"/>
          <w:sz w:val="24"/>
          <w:szCs w:val="24"/>
        </w:rPr>
        <w:t xml:space="preserve"> </w:t>
      </w:r>
      <w:r w:rsidRPr="002B6399">
        <w:rPr>
          <w:rFonts w:ascii="Courier New" w:hAnsi="Courier New" w:cs="Courier New"/>
          <w:bCs/>
          <w:kern w:val="36"/>
          <w:sz w:val="24"/>
          <w:szCs w:val="24"/>
        </w:rPr>
        <w:t>Final regulations</w:t>
      </w:r>
      <w:r>
        <w:rPr>
          <w:rFonts w:ascii="Courier New" w:hAnsi="Courier New" w:cs="Courier New"/>
          <w:bCs/>
          <w:kern w:val="36"/>
          <w:sz w:val="24"/>
          <w:szCs w:val="24"/>
        </w:rPr>
        <w:t>.</w:t>
      </w:r>
    </w:p>
    <w:p w14:paraId="564E465C" w14:textId="77777777" w:rsidR="004D408A" w:rsidRPr="00B536BA" w:rsidRDefault="004D408A" w:rsidP="004D408A">
      <w:pPr>
        <w:autoSpaceDE w:val="0"/>
        <w:autoSpaceDN w:val="0"/>
        <w:adjustRightInd w:val="0"/>
        <w:spacing w:after="0" w:line="480" w:lineRule="auto"/>
        <w:rPr>
          <w:rFonts w:ascii="Courier New" w:hAnsi="Courier New" w:cs="Courier New"/>
          <w:sz w:val="24"/>
          <w:szCs w:val="24"/>
        </w:rPr>
      </w:pPr>
      <w:r w:rsidRPr="00B536BA">
        <w:rPr>
          <w:rFonts w:ascii="Courier New" w:hAnsi="Courier New" w:cs="Courier New"/>
          <w:bCs/>
          <w:kern w:val="36"/>
          <w:sz w:val="24"/>
          <w:szCs w:val="24"/>
        </w:rPr>
        <w:t xml:space="preserve">SUMMARY:  </w:t>
      </w:r>
      <w:r w:rsidRPr="00B536BA">
        <w:rPr>
          <w:rFonts w:ascii="Courier New" w:hAnsi="Courier New" w:cs="Courier New"/>
          <w:sz w:val="24"/>
          <w:szCs w:val="24"/>
        </w:rPr>
        <w:t>The Secretary amends regulations on institutional eligibility under the Higher Education Act of 1965, as amended (HEA), and the Student Assistance General Provisions to establish measures for determining whether certain postsecondary educational programs prepare students for gainful employment in a recognized occupation, and the conditions under which these educational programs remain eligible under the Federal</w:t>
      </w:r>
      <w:r>
        <w:rPr>
          <w:rFonts w:ascii="Courier New" w:hAnsi="Courier New" w:cs="Courier New"/>
          <w:sz w:val="24"/>
          <w:szCs w:val="24"/>
        </w:rPr>
        <w:t xml:space="preserve"> </w:t>
      </w:r>
      <w:r w:rsidRPr="00B536BA">
        <w:rPr>
          <w:rFonts w:ascii="Courier New" w:hAnsi="Courier New" w:cs="Courier New"/>
          <w:sz w:val="24"/>
          <w:szCs w:val="24"/>
        </w:rPr>
        <w:t>Student Aid programs authorized under title IV of the HEA (title IV, HEA programs).</w:t>
      </w:r>
    </w:p>
    <w:p w14:paraId="13EE2ABD" w14:textId="77777777" w:rsidR="004D408A" w:rsidRPr="00B536BA" w:rsidRDefault="004D408A" w:rsidP="004D408A">
      <w:pPr>
        <w:spacing w:after="0" w:line="480" w:lineRule="auto"/>
        <w:textAlignment w:val="baseline"/>
        <w:outlineLvl w:val="0"/>
        <w:rPr>
          <w:rFonts w:ascii="Courier New" w:hAnsi="Courier New" w:cs="Courier New"/>
          <w:sz w:val="24"/>
          <w:szCs w:val="24"/>
        </w:rPr>
      </w:pPr>
      <w:r w:rsidRPr="00B536BA">
        <w:rPr>
          <w:rFonts w:ascii="Courier New" w:hAnsi="Courier New" w:cs="Courier New"/>
          <w:bCs/>
          <w:kern w:val="36"/>
          <w:sz w:val="24"/>
          <w:szCs w:val="24"/>
        </w:rPr>
        <w:t xml:space="preserve">DATES:  </w:t>
      </w:r>
      <w:r w:rsidRPr="00B536BA">
        <w:rPr>
          <w:rFonts w:ascii="Courier New" w:hAnsi="Courier New" w:cs="Courier New"/>
          <w:sz w:val="24"/>
          <w:szCs w:val="24"/>
        </w:rPr>
        <w:t xml:space="preserve">These regulations are effective </w:t>
      </w:r>
      <w:r w:rsidRPr="00F31423">
        <w:rPr>
          <w:rFonts w:ascii="Courier New" w:hAnsi="Courier New" w:cs="Courier New"/>
          <w:sz w:val="24"/>
          <w:szCs w:val="24"/>
        </w:rPr>
        <w:t>July 1, 2015.</w:t>
      </w:r>
    </w:p>
    <w:p w14:paraId="32EA5D0B" w14:textId="77777777" w:rsidR="004D408A" w:rsidRPr="009533B4" w:rsidRDefault="004D408A" w:rsidP="004D408A">
      <w:pPr>
        <w:pStyle w:val="furinf"/>
        <w:spacing w:before="0" w:beforeAutospacing="0" w:after="0" w:afterAutospacing="0" w:line="480" w:lineRule="auto"/>
        <w:ind w:right="101"/>
        <w:textAlignment w:val="baseline"/>
        <w:rPr>
          <w:rFonts w:ascii="Courier New" w:hAnsi="Courier New" w:cs="Courier New"/>
        </w:rPr>
      </w:pPr>
      <w:r w:rsidRPr="002B6399">
        <w:rPr>
          <w:rFonts w:ascii="Courier New" w:hAnsi="Courier New" w:cs="Courier New"/>
        </w:rPr>
        <w:t xml:space="preserve">FOR FURTHER INFORMATION CONTACT:  </w:t>
      </w:r>
      <w:r>
        <w:rPr>
          <w:rFonts w:ascii="Courier New" w:hAnsi="Courier New" w:cs="Courier New"/>
        </w:rPr>
        <w:t>John Kolotos</w:t>
      </w:r>
      <w:r w:rsidRPr="002B6399">
        <w:rPr>
          <w:rFonts w:ascii="Courier New" w:hAnsi="Courier New" w:cs="Courier New"/>
        </w:rPr>
        <w:t>, U.S. Department of</w:t>
      </w:r>
      <w:r>
        <w:rPr>
          <w:rFonts w:ascii="Courier New" w:hAnsi="Courier New" w:cs="Courier New"/>
        </w:rPr>
        <w:t xml:space="preserve"> Education, 1990 K Street NW., r</w:t>
      </w:r>
      <w:r w:rsidRPr="002B6399">
        <w:rPr>
          <w:rFonts w:ascii="Courier New" w:hAnsi="Courier New" w:cs="Courier New"/>
        </w:rPr>
        <w:t>oom 80</w:t>
      </w:r>
      <w:r>
        <w:rPr>
          <w:rFonts w:ascii="Courier New" w:hAnsi="Courier New" w:cs="Courier New"/>
        </w:rPr>
        <w:t>18</w:t>
      </w:r>
      <w:r w:rsidRPr="002B6399">
        <w:rPr>
          <w:rFonts w:ascii="Courier New" w:hAnsi="Courier New" w:cs="Courier New"/>
        </w:rPr>
        <w:t>, Washington, DC 20006-8502.</w:t>
      </w:r>
      <w:r>
        <w:rPr>
          <w:rFonts w:ascii="Courier New" w:hAnsi="Courier New" w:cs="Courier New"/>
        </w:rPr>
        <w:t xml:space="preserve"> </w:t>
      </w:r>
      <w:r w:rsidRPr="002B6399">
        <w:rPr>
          <w:rFonts w:ascii="Courier New" w:hAnsi="Courier New" w:cs="Courier New"/>
        </w:rPr>
        <w:t xml:space="preserve"> Telephone</w:t>
      </w:r>
      <w:r>
        <w:rPr>
          <w:rFonts w:ascii="Courier New" w:hAnsi="Courier New" w:cs="Courier New"/>
        </w:rPr>
        <w:t>:</w:t>
      </w:r>
      <w:r w:rsidRPr="002B6399">
        <w:rPr>
          <w:rFonts w:ascii="Courier New" w:hAnsi="Courier New" w:cs="Courier New"/>
        </w:rPr>
        <w:t xml:space="preserve"> (202) 502-7</w:t>
      </w:r>
      <w:r>
        <w:rPr>
          <w:rFonts w:ascii="Courier New" w:hAnsi="Courier New" w:cs="Courier New"/>
        </w:rPr>
        <w:t>762</w:t>
      </w:r>
      <w:r w:rsidRPr="002B6399">
        <w:rPr>
          <w:rFonts w:ascii="Courier New" w:hAnsi="Courier New" w:cs="Courier New"/>
        </w:rPr>
        <w:t xml:space="preserve"> or by email at:</w:t>
      </w:r>
      <w:r>
        <w:rPr>
          <w:rFonts w:ascii="Courier New" w:hAnsi="Courier New" w:cs="Courier New"/>
        </w:rPr>
        <w:t xml:space="preserve"> </w:t>
      </w:r>
      <w:r w:rsidRPr="002B6399">
        <w:rPr>
          <w:rFonts w:ascii="Courier New" w:hAnsi="Courier New" w:cs="Courier New"/>
        </w:rPr>
        <w:t> </w:t>
      </w:r>
      <w:hyperlink r:id="rId13" w:history="1">
        <w:r w:rsidRPr="009533B4">
          <w:rPr>
            <w:rStyle w:val="Hyperlink"/>
            <w:rFonts w:ascii="Courier New" w:eastAsia="Calibri" w:hAnsi="Courier New" w:cs="Courier New"/>
          </w:rPr>
          <w:t>gainfulemploymentregulations@ed.gov</w:t>
        </w:r>
      </w:hyperlink>
      <w:r w:rsidRPr="009533B4">
        <w:rPr>
          <w:rFonts w:ascii="Courier New" w:hAnsi="Courier New" w:cs="Courier New"/>
        </w:rPr>
        <w:t>.</w:t>
      </w:r>
    </w:p>
    <w:p w14:paraId="6400344E" w14:textId="77777777" w:rsidR="004D408A" w:rsidRPr="002B6399" w:rsidRDefault="004D408A" w:rsidP="004D408A">
      <w:pPr>
        <w:pStyle w:val="furinf"/>
        <w:spacing w:before="0" w:beforeAutospacing="0" w:after="0" w:afterAutospacing="0" w:line="480" w:lineRule="auto"/>
        <w:ind w:right="101"/>
        <w:textAlignment w:val="baseline"/>
        <w:rPr>
          <w:rFonts w:ascii="Courier New" w:hAnsi="Courier New" w:cs="Courier New"/>
        </w:rPr>
      </w:pPr>
    </w:p>
    <w:p w14:paraId="76E36ED9" w14:textId="77777777" w:rsidR="004D408A" w:rsidRPr="002B6399" w:rsidRDefault="004D408A" w:rsidP="004D408A">
      <w:pPr>
        <w:pStyle w:val="furinf"/>
        <w:spacing w:before="0" w:beforeAutospacing="0" w:after="0" w:afterAutospacing="0" w:line="480" w:lineRule="auto"/>
        <w:ind w:right="101" w:firstLine="720"/>
        <w:textAlignment w:val="baseline"/>
        <w:rPr>
          <w:rFonts w:ascii="Courier New" w:hAnsi="Courier New" w:cs="Courier New"/>
        </w:rPr>
      </w:pPr>
      <w:r w:rsidRPr="002B6399">
        <w:rPr>
          <w:rFonts w:ascii="Courier New" w:hAnsi="Courier New" w:cs="Courier New"/>
        </w:rPr>
        <w:lastRenderedPageBreak/>
        <w:t>If you use a telecommunications device for the deaf (TDD) or a text telephone (TTY), call the Federal Relay Service (FRS), toll free, at 1-800-877-8339.</w:t>
      </w:r>
    </w:p>
    <w:p w14:paraId="0E2064DC" w14:textId="77777777" w:rsidR="004D408A" w:rsidRPr="002B6399" w:rsidRDefault="004D408A" w:rsidP="004D408A">
      <w:pPr>
        <w:pStyle w:val="furinf"/>
        <w:spacing w:before="0" w:beforeAutospacing="0" w:after="0" w:afterAutospacing="0" w:line="480" w:lineRule="auto"/>
        <w:ind w:right="101"/>
        <w:textAlignment w:val="baseline"/>
        <w:rPr>
          <w:rFonts w:ascii="Courier New" w:hAnsi="Courier New" w:cs="Courier New"/>
        </w:rPr>
      </w:pPr>
      <w:r w:rsidRPr="002B6399">
        <w:rPr>
          <w:rFonts w:ascii="Courier New" w:hAnsi="Courier New" w:cs="Courier New"/>
        </w:rPr>
        <w:t>SUPPLEMENTARY INFORMATION:</w:t>
      </w:r>
    </w:p>
    <w:p w14:paraId="0BCA004D" w14:textId="77777777" w:rsidR="004D408A" w:rsidRPr="002B6399" w:rsidRDefault="004D408A" w:rsidP="004D408A">
      <w:pPr>
        <w:pStyle w:val="furinf"/>
        <w:spacing w:before="0" w:beforeAutospacing="0" w:after="0" w:afterAutospacing="0" w:line="480" w:lineRule="auto"/>
        <w:ind w:right="101"/>
        <w:textAlignment w:val="baseline"/>
        <w:rPr>
          <w:rFonts w:ascii="Courier New" w:hAnsi="Courier New" w:cs="Courier New"/>
          <w:u w:val="single"/>
        </w:rPr>
      </w:pPr>
      <w:r w:rsidRPr="002B6399">
        <w:rPr>
          <w:rFonts w:ascii="Courier New" w:hAnsi="Courier New" w:cs="Courier New"/>
          <w:u w:val="single"/>
        </w:rPr>
        <w:t>Executive Summary</w:t>
      </w:r>
      <w:r w:rsidRPr="003C002D">
        <w:rPr>
          <w:rFonts w:ascii="Courier New" w:hAnsi="Courier New" w:cs="Courier New"/>
        </w:rPr>
        <w:t>:</w:t>
      </w:r>
      <w:r w:rsidRPr="002B6399">
        <w:rPr>
          <w:rFonts w:ascii="Courier New" w:hAnsi="Courier New" w:cs="Courier New"/>
          <w:u w:val="single"/>
        </w:rPr>
        <w:t xml:space="preserve"> </w:t>
      </w:r>
    </w:p>
    <w:p w14:paraId="5F7A3C2C" w14:textId="77777777" w:rsidR="004D408A" w:rsidRPr="00B536BA" w:rsidRDefault="004D408A" w:rsidP="004D408A">
      <w:pPr>
        <w:autoSpaceDE w:val="0"/>
        <w:autoSpaceDN w:val="0"/>
        <w:adjustRightInd w:val="0"/>
        <w:spacing w:after="0" w:line="480" w:lineRule="auto"/>
        <w:rPr>
          <w:rFonts w:ascii="Courier New" w:hAnsi="Courier New" w:cs="Courier New"/>
          <w:sz w:val="24"/>
          <w:szCs w:val="24"/>
        </w:rPr>
      </w:pPr>
      <w:r w:rsidRPr="00B536BA">
        <w:rPr>
          <w:rFonts w:ascii="Courier New" w:hAnsi="Courier New" w:cs="Courier New"/>
          <w:sz w:val="24"/>
          <w:szCs w:val="24"/>
        </w:rPr>
        <w:t xml:space="preserve">Purpose of This Regulatory Action: </w:t>
      </w:r>
      <w:r>
        <w:rPr>
          <w:rFonts w:ascii="Courier New" w:hAnsi="Courier New" w:cs="Courier New"/>
          <w:sz w:val="24"/>
          <w:szCs w:val="24"/>
        </w:rPr>
        <w:t xml:space="preserve"> T</w:t>
      </w:r>
      <w:r w:rsidRPr="00B536BA">
        <w:rPr>
          <w:rFonts w:ascii="Courier New" w:hAnsi="Courier New" w:cs="Courier New"/>
          <w:sz w:val="24"/>
          <w:szCs w:val="24"/>
        </w:rPr>
        <w:t>he</w:t>
      </w:r>
      <w:r>
        <w:rPr>
          <w:rFonts w:ascii="Courier New" w:hAnsi="Courier New" w:cs="Courier New"/>
          <w:sz w:val="24"/>
          <w:szCs w:val="24"/>
        </w:rPr>
        <w:t xml:space="preserve"> </w:t>
      </w:r>
      <w:r w:rsidRPr="00B536BA">
        <w:rPr>
          <w:rFonts w:ascii="Courier New" w:hAnsi="Courier New" w:cs="Courier New"/>
          <w:sz w:val="24"/>
          <w:szCs w:val="24"/>
        </w:rPr>
        <w:t>regulations are intended to</w:t>
      </w:r>
      <w:r>
        <w:rPr>
          <w:rFonts w:ascii="Courier New" w:hAnsi="Courier New" w:cs="Courier New"/>
          <w:sz w:val="24"/>
          <w:szCs w:val="24"/>
        </w:rPr>
        <w:t xml:space="preserve"> </w:t>
      </w:r>
      <w:r w:rsidRPr="00B536BA">
        <w:rPr>
          <w:rFonts w:ascii="Courier New" w:hAnsi="Courier New" w:cs="Courier New"/>
          <w:sz w:val="24"/>
          <w:szCs w:val="24"/>
        </w:rPr>
        <w:t>address growing concerns about</w:t>
      </w:r>
      <w:r>
        <w:rPr>
          <w:rFonts w:ascii="Courier New" w:hAnsi="Courier New" w:cs="Courier New"/>
          <w:sz w:val="24"/>
          <w:szCs w:val="24"/>
        </w:rPr>
        <w:t xml:space="preserve"> </w:t>
      </w:r>
      <w:r w:rsidRPr="00B536BA">
        <w:rPr>
          <w:rFonts w:ascii="Courier New" w:hAnsi="Courier New" w:cs="Courier New"/>
          <w:sz w:val="24"/>
          <w:szCs w:val="24"/>
        </w:rPr>
        <w:t>educational programs that, as a</w:t>
      </w:r>
      <w:r>
        <w:rPr>
          <w:rFonts w:ascii="Courier New" w:hAnsi="Courier New" w:cs="Courier New"/>
          <w:sz w:val="24"/>
          <w:szCs w:val="24"/>
        </w:rPr>
        <w:t xml:space="preserve"> </w:t>
      </w:r>
      <w:r w:rsidRPr="00B536BA">
        <w:rPr>
          <w:rFonts w:ascii="Courier New" w:hAnsi="Courier New" w:cs="Courier New"/>
          <w:sz w:val="24"/>
          <w:szCs w:val="24"/>
        </w:rPr>
        <w:t>condition of eligibility for title IV, HEA</w:t>
      </w:r>
      <w:r>
        <w:rPr>
          <w:rFonts w:ascii="Courier New" w:hAnsi="Courier New" w:cs="Courier New"/>
          <w:sz w:val="24"/>
          <w:szCs w:val="24"/>
        </w:rPr>
        <w:t xml:space="preserve"> </w:t>
      </w:r>
      <w:r w:rsidRPr="00B536BA">
        <w:rPr>
          <w:rFonts w:ascii="Courier New" w:hAnsi="Courier New" w:cs="Courier New"/>
          <w:sz w:val="24"/>
          <w:szCs w:val="24"/>
        </w:rPr>
        <w:t>program funds, are required by statute</w:t>
      </w:r>
      <w:r>
        <w:rPr>
          <w:rFonts w:ascii="Courier New" w:hAnsi="Courier New" w:cs="Courier New"/>
          <w:sz w:val="24"/>
          <w:szCs w:val="24"/>
        </w:rPr>
        <w:t xml:space="preserve"> </w:t>
      </w:r>
      <w:r w:rsidRPr="00B536BA">
        <w:rPr>
          <w:rFonts w:ascii="Courier New" w:hAnsi="Courier New" w:cs="Courier New"/>
          <w:sz w:val="24"/>
          <w:szCs w:val="24"/>
        </w:rPr>
        <w:t>to provide training that prepares</w:t>
      </w:r>
      <w:r>
        <w:rPr>
          <w:rFonts w:ascii="Courier New" w:hAnsi="Courier New" w:cs="Courier New"/>
          <w:sz w:val="24"/>
          <w:szCs w:val="24"/>
        </w:rPr>
        <w:t xml:space="preserve"> </w:t>
      </w:r>
      <w:r w:rsidRPr="00B536BA">
        <w:rPr>
          <w:rFonts w:ascii="Courier New" w:hAnsi="Courier New" w:cs="Courier New"/>
          <w:sz w:val="24"/>
          <w:szCs w:val="24"/>
        </w:rPr>
        <w:t>students for gainful employment in a</w:t>
      </w:r>
      <w:r>
        <w:rPr>
          <w:rFonts w:ascii="Courier New" w:hAnsi="Courier New" w:cs="Courier New"/>
          <w:sz w:val="24"/>
          <w:szCs w:val="24"/>
        </w:rPr>
        <w:t xml:space="preserve"> </w:t>
      </w:r>
      <w:r w:rsidRPr="00B536BA">
        <w:rPr>
          <w:rFonts w:ascii="Courier New" w:hAnsi="Courier New" w:cs="Courier New"/>
          <w:sz w:val="24"/>
          <w:szCs w:val="24"/>
        </w:rPr>
        <w:t>recognized occupation (GE programs),</w:t>
      </w:r>
      <w:r>
        <w:rPr>
          <w:rFonts w:ascii="Courier New" w:hAnsi="Courier New" w:cs="Courier New"/>
          <w:sz w:val="24"/>
          <w:szCs w:val="24"/>
        </w:rPr>
        <w:t xml:space="preserve"> </w:t>
      </w:r>
      <w:r w:rsidRPr="00B536BA">
        <w:rPr>
          <w:rFonts w:ascii="Courier New" w:hAnsi="Courier New" w:cs="Courier New"/>
          <w:sz w:val="24"/>
          <w:szCs w:val="24"/>
        </w:rPr>
        <w:t>but instead are leaving students with</w:t>
      </w:r>
      <w:r>
        <w:rPr>
          <w:rFonts w:ascii="Courier New" w:hAnsi="Courier New" w:cs="Courier New"/>
          <w:sz w:val="24"/>
          <w:szCs w:val="24"/>
        </w:rPr>
        <w:t xml:space="preserve"> </w:t>
      </w:r>
      <w:r w:rsidRPr="00B536BA">
        <w:rPr>
          <w:rFonts w:ascii="Courier New" w:hAnsi="Courier New" w:cs="Courier New"/>
          <w:sz w:val="24"/>
          <w:szCs w:val="24"/>
        </w:rPr>
        <w:t>unaffordable levels of loan debt in</w:t>
      </w:r>
      <w:r>
        <w:rPr>
          <w:rFonts w:ascii="Courier New" w:hAnsi="Courier New" w:cs="Courier New"/>
          <w:sz w:val="24"/>
          <w:szCs w:val="24"/>
        </w:rPr>
        <w:t xml:space="preserve"> </w:t>
      </w:r>
      <w:r w:rsidRPr="00B536BA">
        <w:rPr>
          <w:rFonts w:ascii="Courier New" w:hAnsi="Courier New" w:cs="Courier New"/>
          <w:sz w:val="24"/>
          <w:szCs w:val="24"/>
        </w:rPr>
        <w:t>relation to their earnings, or leading to</w:t>
      </w:r>
      <w:r>
        <w:rPr>
          <w:rFonts w:ascii="Courier New" w:hAnsi="Courier New" w:cs="Courier New"/>
          <w:sz w:val="24"/>
          <w:szCs w:val="24"/>
        </w:rPr>
        <w:t xml:space="preserve"> </w:t>
      </w:r>
      <w:r w:rsidRPr="00B536BA">
        <w:rPr>
          <w:rFonts w:ascii="Courier New" w:hAnsi="Courier New" w:cs="Courier New"/>
          <w:sz w:val="24"/>
          <w:szCs w:val="24"/>
        </w:rPr>
        <w:t>default.</w:t>
      </w:r>
      <w:r>
        <w:rPr>
          <w:rFonts w:ascii="Courier New" w:hAnsi="Courier New" w:cs="Courier New"/>
          <w:sz w:val="24"/>
          <w:szCs w:val="24"/>
        </w:rPr>
        <w:t xml:space="preserve"> </w:t>
      </w:r>
      <w:r w:rsidRPr="00B536BA">
        <w:rPr>
          <w:rFonts w:ascii="Courier New" w:hAnsi="Courier New" w:cs="Courier New"/>
          <w:sz w:val="24"/>
          <w:szCs w:val="24"/>
        </w:rPr>
        <w:t xml:space="preserve"> GE programs include nearly all</w:t>
      </w:r>
      <w:r>
        <w:rPr>
          <w:rFonts w:ascii="Courier New" w:hAnsi="Courier New" w:cs="Courier New"/>
          <w:sz w:val="24"/>
          <w:szCs w:val="24"/>
        </w:rPr>
        <w:t xml:space="preserve"> </w:t>
      </w:r>
      <w:r w:rsidRPr="00B536BA">
        <w:rPr>
          <w:rFonts w:ascii="Courier New" w:hAnsi="Courier New" w:cs="Courier New"/>
          <w:sz w:val="24"/>
          <w:szCs w:val="24"/>
        </w:rPr>
        <w:t>educational programs at for-profit</w:t>
      </w:r>
      <w:r>
        <w:rPr>
          <w:rFonts w:ascii="Courier New" w:hAnsi="Courier New" w:cs="Courier New"/>
          <w:sz w:val="24"/>
          <w:szCs w:val="24"/>
        </w:rPr>
        <w:t xml:space="preserve"> </w:t>
      </w:r>
      <w:r w:rsidRPr="00B536BA">
        <w:rPr>
          <w:rFonts w:ascii="Courier New" w:hAnsi="Courier New" w:cs="Courier New"/>
          <w:sz w:val="24"/>
          <w:szCs w:val="24"/>
        </w:rPr>
        <w:t>institutions of higher education, as well</w:t>
      </w:r>
      <w:r>
        <w:rPr>
          <w:rFonts w:ascii="Courier New" w:hAnsi="Courier New" w:cs="Courier New"/>
          <w:sz w:val="24"/>
          <w:szCs w:val="24"/>
        </w:rPr>
        <w:t xml:space="preserve"> </w:t>
      </w:r>
      <w:r w:rsidRPr="00B536BA">
        <w:rPr>
          <w:rFonts w:ascii="Courier New" w:hAnsi="Courier New" w:cs="Courier New"/>
          <w:sz w:val="24"/>
          <w:szCs w:val="24"/>
        </w:rPr>
        <w:t>as non-degree programs at public and</w:t>
      </w:r>
      <w:r>
        <w:rPr>
          <w:rFonts w:ascii="Courier New" w:hAnsi="Courier New" w:cs="Courier New"/>
          <w:sz w:val="24"/>
          <w:szCs w:val="24"/>
        </w:rPr>
        <w:t xml:space="preserve"> </w:t>
      </w:r>
      <w:r w:rsidRPr="00B536BA">
        <w:rPr>
          <w:rFonts w:ascii="Courier New" w:hAnsi="Courier New" w:cs="Courier New"/>
          <w:sz w:val="24"/>
          <w:szCs w:val="24"/>
        </w:rPr>
        <w:t>private non-profit institutions such as</w:t>
      </w:r>
      <w:r>
        <w:rPr>
          <w:rFonts w:ascii="Courier New" w:hAnsi="Courier New" w:cs="Courier New"/>
          <w:sz w:val="24"/>
          <w:szCs w:val="24"/>
        </w:rPr>
        <w:t xml:space="preserve"> </w:t>
      </w:r>
      <w:r w:rsidRPr="00B536BA">
        <w:rPr>
          <w:rFonts w:ascii="Courier New" w:hAnsi="Courier New" w:cs="Courier New"/>
          <w:sz w:val="24"/>
          <w:szCs w:val="24"/>
        </w:rPr>
        <w:t>community colleges.</w:t>
      </w:r>
    </w:p>
    <w:p w14:paraId="514CAB06" w14:textId="08C22C91" w:rsidR="004D408A" w:rsidRPr="00B536BA" w:rsidRDefault="00026D3A" w:rsidP="004D408A">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4D408A" w:rsidRPr="00B536BA">
        <w:rPr>
          <w:rFonts w:ascii="Courier New" w:hAnsi="Courier New" w:cs="Courier New"/>
          <w:sz w:val="24"/>
          <w:szCs w:val="24"/>
        </w:rPr>
        <w:t>Specifically, the Department is</w:t>
      </w:r>
      <w:r w:rsidR="004D408A">
        <w:rPr>
          <w:rFonts w:ascii="Courier New" w:hAnsi="Courier New" w:cs="Courier New"/>
          <w:sz w:val="24"/>
          <w:szCs w:val="24"/>
        </w:rPr>
        <w:t xml:space="preserve"> </w:t>
      </w:r>
      <w:r w:rsidR="004D408A" w:rsidRPr="00B536BA">
        <w:rPr>
          <w:rFonts w:ascii="Courier New" w:hAnsi="Courier New" w:cs="Courier New"/>
          <w:sz w:val="24"/>
          <w:szCs w:val="24"/>
        </w:rPr>
        <w:t>concerned that a number of GE</w:t>
      </w:r>
      <w:r w:rsidR="004D408A">
        <w:rPr>
          <w:rFonts w:ascii="Courier New" w:hAnsi="Courier New" w:cs="Courier New"/>
          <w:sz w:val="24"/>
          <w:szCs w:val="24"/>
        </w:rPr>
        <w:t xml:space="preserve"> </w:t>
      </w:r>
      <w:r w:rsidR="004D408A" w:rsidRPr="00B536BA">
        <w:rPr>
          <w:rFonts w:ascii="Courier New" w:hAnsi="Courier New" w:cs="Courier New"/>
          <w:sz w:val="24"/>
          <w:szCs w:val="24"/>
        </w:rPr>
        <w:t>programs:</w:t>
      </w:r>
      <w:r w:rsidR="004D408A">
        <w:rPr>
          <w:rFonts w:ascii="Courier New" w:hAnsi="Courier New" w:cs="Courier New"/>
          <w:sz w:val="24"/>
          <w:szCs w:val="24"/>
        </w:rPr>
        <w:t xml:space="preserve">  (1) d</w:t>
      </w:r>
      <w:r w:rsidR="004D408A" w:rsidRPr="00B536BA">
        <w:rPr>
          <w:rFonts w:ascii="Courier New" w:hAnsi="Courier New" w:cs="Courier New"/>
          <w:sz w:val="24"/>
          <w:szCs w:val="24"/>
        </w:rPr>
        <w:t>o not train students in</w:t>
      </w:r>
      <w:r w:rsidR="004D408A">
        <w:rPr>
          <w:rFonts w:ascii="Courier New" w:hAnsi="Courier New" w:cs="Courier New"/>
          <w:sz w:val="24"/>
          <w:szCs w:val="24"/>
        </w:rPr>
        <w:t xml:space="preserve"> </w:t>
      </w:r>
      <w:r w:rsidR="004D408A" w:rsidRPr="00B536BA">
        <w:rPr>
          <w:rFonts w:ascii="Courier New" w:hAnsi="Courier New" w:cs="Courier New"/>
          <w:sz w:val="24"/>
          <w:szCs w:val="24"/>
        </w:rPr>
        <w:t>the skills they need to obtain and</w:t>
      </w:r>
      <w:r w:rsidR="004D408A">
        <w:rPr>
          <w:rFonts w:ascii="Courier New" w:hAnsi="Courier New" w:cs="Courier New"/>
          <w:sz w:val="24"/>
          <w:szCs w:val="24"/>
        </w:rPr>
        <w:t xml:space="preserve"> </w:t>
      </w:r>
      <w:r w:rsidR="004D408A" w:rsidRPr="00B536BA">
        <w:rPr>
          <w:rFonts w:ascii="Courier New" w:hAnsi="Courier New" w:cs="Courier New"/>
          <w:sz w:val="24"/>
          <w:szCs w:val="24"/>
        </w:rPr>
        <w:t>maintain jobs in the occupation for</w:t>
      </w:r>
      <w:r w:rsidR="004D408A">
        <w:rPr>
          <w:rFonts w:ascii="Courier New" w:hAnsi="Courier New" w:cs="Courier New"/>
          <w:sz w:val="24"/>
          <w:szCs w:val="24"/>
        </w:rPr>
        <w:t xml:space="preserve"> </w:t>
      </w:r>
      <w:r w:rsidR="004D408A" w:rsidRPr="00B536BA">
        <w:rPr>
          <w:rFonts w:ascii="Courier New" w:hAnsi="Courier New" w:cs="Courier New"/>
          <w:sz w:val="24"/>
          <w:szCs w:val="24"/>
        </w:rPr>
        <w:t>which the program purports to provide</w:t>
      </w:r>
      <w:r w:rsidR="004D408A">
        <w:rPr>
          <w:rFonts w:ascii="Courier New" w:hAnsi="Courier New" w:cs="Courier New"/>
          <w:sz w:val="24"/>
          <w:szCs w:val="24"/>
        </w:rPr>
        <w:t xml:space="preserve"> </w:t>
      </w:r>
      <w:r w:rsidR="004D408A" w:rsidRPr="00B536BA">
        <w:rPr>
          <w:rFonts w:ascii="Courier New" w:hAnsi="Courier New" w:cs="Courier New"/>
          <w:sz w:val="24"/>
          <w:szCs w:val="24"/>
        </w:rPr>
        <w:t>training, (2) provide training for an</w:t>
      </w:r>
      <w:r w:rsidR="004D408A">
        <w:rPr>
          <w:rFonts w:ascii="Courier New" w:hAnsi="Courier New" w:cs="Courier New"/>
          <w:sz w:val="24"/>
          <w:szCs w:val="24"/>
        </w:rPr>
        <w:t xml:space="preserve"> </w:t>
      </w:r>
      <w:r w:rsidR="004D408A" w:rsidRPr="00B536BA">
        <w:rPr>
          <w:rFonts w:ascii="Courier New" w:hAnsi="Courier New" w:cs="Courier New"/>
          <w:sz w:val="24"/>
          <w:szCs w:val="24"/>
        </w:rPr>
        <w:t>occupation for which low wages do not</w:t>
      </w:r>
      <w:r w:rsidR="004D408A">
        <w:rPr>
          <w:rFonts w:ascii="Courier New" w:hAnsi="Courier New" w:cs="Courier New"/>
          <w:sz w:val="24"/>
          <w:szCs w:val="24"/>
        </w:rPr>
        <w:t xml:space="preserve"> </w:t>
      </w:r>
      <w:r w:rsidR="004D408A" w:rsidRPr="00B536BA">
        <w:rPr>
          <w:rFonts w:ascii="Courier New" w:hAnsi="Courier New" w:cs="Courier New"/>
          <w:sz w:val="24"/>
          <w:szCs w:val="24"/>
        </w:rPr>
        <w:t>justify program costs, and (3) are</w:t>
      </w:r>
      <w:r w:rsidR="004D408A">
        <w:rPr>
          <w:rFonts w:ascii="Courier New" w:hAnsi="Courier New" w:cs="Courier New"/>
          <w:sz w:val="24"/>
          <w:szCs w:val="24"/>
        </w:rPr>
        <w:t xml:space="preserve"> e</w:t>
      </w:r>
      <w:r w:rsidR="004D408A" w:rsidRPr="00B536BA">
        <w:rPr>
          <w:rFonts w:ascii="Courier New" w:hAnsi="Courier New" w:cs="Courier New"/>
          <w:sz w:val="24"/>
          <w:szCs w:val="24"/>
        </w:rPr>
        <w:t>xperiencing a high number of</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withdrawals or </w:t>
      </w:r>
      <w:r w:rsidR="004D408A">
        <w:rPr>
          <w:rFonts w:ascii="Courier New" w:hAnsi="Courier New" w:cs="Courier New"/>
          <w:sz w:val="24"/>
          <w:szCs w:val="24"/>
        </w:rPr>
        <w:t>“</w:t>
      </w:r>
      <w:r w:rsidR="004D408A" w:rsidRPr="00B536BA">
        <w:rPr>
          <w:rFonts w:ascii="Courier New" w:hAnsi="Courier New" w:cs="Courier New"/>
          <w:sz w:val="24"/>
          <w:szCs w:val="24"/>
        </w:rPr>
        <w:t>churn</w:t>
      </w:r>
      <w:r w:rsidR="004D408A">
        <w:rPr>
          <w:rFonts w:ascii="Courier New" w:hAnsi="Courier New" w:cs="Courier New"/>
          <w:sz w:val="24"/>
          <w:szCs w:val="24"/>
        </w:rPr>
        <w:t>”</w:t>
      </w:r>
      <w:r w:rsidR="004D408A" w:rsidRPr="00B536BA">
        <w:rPr>
          <w:rFonts w:ascii="Courier New" w:hAnsi="Courier New" w:cs="Courier New"/>
          <w:sz w:val="24"/>
          <w:szCs w:val="24"/>
        </w:rPr>
        <w:t xml:space="preserve"> because</w:t>
      </w:r>
      <w:r w:rsidR="004D408A">
        <w:rPr>
          <w:rFonts w:ascii="Courier New" w:hAnsi="Courier New" w:cs="Courier New"/>
          <w:sz w:val="24"/>
          <w:szCs w:val="24"/>
        </w:rPr>
        <w:t xml:space="preserve"> </w:t>
      </w:r>
      <w:r w:rsidR="004D408A" w:rsidRPr="00B536BA">
        <w:rPr>
          <w:rFonts w:ascii="Courier New" w:hAnsi="Courier New" w:cs="Courier New"/>
          <w:sz w:val="24"/>
          <w:szCs w:val="24"/>
        </w:rPr>
        <w:t>relatively large numbers of students</w:t>
      </w:r>
      <w:r w:rsidR="004D408A">
        <w:rPr>
          <w:rFonts w:ascii="Courier New" w:hAnsi="Courier New" w:cs="Courier New"/>
          <w:sz w:val="24"/>
          <w:szCs w:val="24"/>
        </w:rPr>
        <w:t xml:space="preserve"> </w:t>
      </w:r>
      <w:r w:rsidR="004D408A" w:rsidRPr="00B536BA">
        <w:rPr>
          <w:rFonts w:ascii="Courier New" w:hAnsi="Courier New" w:cs="Courier New"/>
          <w:sz w:val="24"/>
          <w:szCs w:val="24"/>
        </w:rPr>
        <w:t>enroll but few, or none, complete the</w:t>
      </w:r>
      <w:r w:rsidR="004D408A">
        <w:rPr>
          <w:rFonts w:ascii="Courier New" w:hAnsi="Courier New" w:cs="Courier New"/>
          <w:sz w:val="24"/>
          <w:szCs w:val="24"/>
        </w:rPr>
        <w:t xml:space="preserve"> </w:t>
      </w:r>
      <w:r w:rsidR="004D408A" w:rsidRPr="00B536BA">
        <w:rPr>
          <w:rFonts w:ascii="Courier New" w:hAnsi="Courier New" w:cs="Courier New"/>
          <w:sz w:val="24"/>
          <w:szCs w:val="24"/>
        </w:rPr>
        <w:t>program, which can often lead to</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default. </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We </w:t>
      </w:r>
      <w:r w:rsidR="004D408A" w:rsidRPr="00B536BA">
        <w:rPr>
          <w:rFonts w:ascii="Courier New" w:hAnsi="Courier New" w:cs="Courier New"/>
          <w:sz w:val="24"/>
          <w:szCs w:val="24"/>
        </w:rPr>
        <w:lastRenderedPageBreak/>
        <w:t>are also concerned about the</w:t>
      </w:r>
      <w:r w:rsidR="004D408A">
        <w:rPr>
          <w:rFonts w:ascii="Courier New" w:hAnsi="Courier New" w:cs="Courier New"/>
          <w:sz w:val="24"/>
          <w:szCs w:val="24"/>
        </w:rPr>
        <w:t xml:space="preserve"> </w:t>
      </w:r>
      <w:r w:rsidR="004D408A" w:rsidRPr="00B536BA">
        <w:rPr>
          <w:rFonts w:ascii="Courier New" w:hAnsi="Courier New" w:cs="Courier New"/>
          <w:sz w:val="24"/>
          <w:szCs w:val="24"/>
        </w:rPr>
        <w:t>growing evidence, from Federal and</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State investigations and </w:t>
      </w:r>
      <w:r w:rsidR="004D408A" w:rsidRPr="00B536BA">
        <w:rPr>
          <w:rFonts w:ascii="Courier New" w:hAnsi="Courier New" w:cs="Courier New"/>
          <w:i/>
          <w:iCs/>
          <w:sz w:val="24"/>
          <w:szCs w:val="24"/>
        </w:rPr>
        <w:t>qui tam</w:t>
      </w:r>
      <w:r w:rsidR="004D408A">
        <w:rPr>
          <w:rFonts w:ascii="Courier New" w:hAnsi="Courier New" w:cs="Courier New"/>
          <w:i/>
          <w:iCs/>
          <w:sz w:val="24"/>
          <w:szCs w:val="24"/>
        </w:rPr>
        <w:t xml:space="preserve"> </w:t>
      </w:r>
      <w:r w:rsidR="004D408A" w:rsidRPr="00B536BA">
        <w:rPr>
          <w:rFonts w:ascii="Courier New" w:hAnsi="Courier New" w:cs="Courier New"/>
          <w:sz w:val="24"/>
          <w:szCs w:val="24"/>
        </w:rPr>
        <w:t>lawsuits, that many GE programs are</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engaging in aggressive and </w:t>
      </w:r>
      <w:r w:rsidR="004D408A">
        <w:rPr>
          <w:rFonts w:ascii="Courier New" w:hAnsi="Courier New" w:cs="Courier New"/>
          <w:sz w:val="24"/>
          <w:szCs w:val="24"/>
        </w:rPr>
        <w:t>d</w:t>
      </w:r>
      <w:r w:rsidR="004D408A" w:rsidRPr="00B536BA">
        <w:rPr>
          <w:rFonts w:ascii="Courier New" w:hAnsi="Courier New" w:cs="Courier New"/>
          <w:sz w:val="24"/>
          <w:szCs w:val="24"/>
        </w:rPr>
        <w:t>eceptive</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marketing and recruiting practices. </w:t>
      </w:r>
      <w:r w:rsidR="004D408A">
        <w:rPr>
          <w:rFonts w:ascii="Courier New" w:hAnsi="Courier New" w:cs="Courier New"/>
          <w:sz w:val="24"/>
          <w:szCs w:val="24"/>
        </w:rPr>
        <w:t xml:space="preserve"> </w:t>
      </w:r>
      <w:r w:rsidR="004D408A" w:rsidRPr="00B536BA">
        <w:rPr>
          <w:rFonts w:ascii="Courier New" w:hAnsi="Courier New" w:cs="Courier New"/>
          <w:sz w:val="24"/>
          <w:szCs w:val="24"/>
        </w:rPr>
        <w:t>As a</w:t>
      </w:r>
      <w:r w:rsidR="004D408A">
        <w:rPr>
          <w:rFonts w:ascii="Courier New" w:hAnsi="Courier New" w:cs="Courier New"/>
          <w:sz w:val="24"/>
          <w:szCs w:val="24"/>
        </w:rPr>
        <w:t xml:space="preserve"> </w:t>
      </w:r>
      <w:r w:rsidR="004D408A" w:rsidRPr="00B536BA">
        <w:rPr>
          <w:rFonts w:ascii="Courier New" w:hAnsi="Courier New" w:cs="Courier New"/>
          <w:sz w:val="24"/>
          <w:szCs w:val="24"/>
        </w:rPr>
        <w:t>result of these practices, prospective</w:t>
      </w:r>
      <w:r w:rsidR="004D408A">
        <w:rPr>
          <w:rFonts w:ascii="Courier New" w:hAnsi="Courier New" w:cs="Courier New"/>
          <w:sz w:val="24"/>
          <w:szCs w:val="24"/>
        </w:rPr>
        <w:t xml:space="preserve"> </w:t>
      </w:r>
      <w:r w:rsidR="004D408A" w:rsidRPr="00B536BA">
        <w:rPr>
          <w:rFonts w:ascii="Courier New" w:hAnsi="Courier New" w:cs="Courier New"/>
          <w:sz w:val="24"/>
          <w:szCs w:val="24"/>
        </w:rPr>
        <w:t>students and their families are</w:t>
      </w:r>
      <w:r w:rsidR="004D408A">
        <w:rPr>
          <w:rFonts w:ascii="Courier New" w:hAnsi="Courier New" w:cs="Courier New"/>
          <w:sz w:val="24"/>
          <w:szCs w:val="24"/>
        </w:rPr>
        <w:t xml:space="preserve"> </w:t>
      </w:r>
      <w:r w:rsidR="004D408A" w:rsidRPr="00B536BA">
        <w:rPr>
          <w:rFonts w:ascii="Courier New" w:hAnsi="Courier New" w:cs="Courier New"/>
          <w:sz w:val="24"/>
          <w:szCs w:val="24"/>
        </w:rPr>
        <w:t>potentially being pressured and misled</w:t>
      </w:r>
      <w:r w:rsidR="004D408A">
        <w:rPr>
          <w:rFonts w:ascii="Courier New" w:hAnsi="Courier New" w:cs="Courier New"/>
          <w:sz w:val="24"/>
          <w:szCs w:val="24"/>
        </w:rPr>
        <w:t xml:space="preserve"> </w:t>
      </w:r>
      <w:r w:rsidR="004D408A" w:rsidRPr="00B536BA">
        <w:rPr>
          <w:rFonts w:ascii="Courier New" w:hAnsi="Courier New" w:cs="Courier New"/>
          <w:sz w:val="24"/>
          <w:szCs w:val="24"/>
        </w:rPr>
        <w:t>into critical decisions regarding their</w:t>
      </w:r>
      <w:r w:rsidR="004D408A">
        <w:rPr>
          <w:rFonts w:ascii="Courier New" w:hAnsi="Courier New" w:cs="Courier New"/>
          <w:sz w:val="24"/>
          <w:szCs w:val="24"/>
        </w:rPr>
        <w:t xml:space="preserve"> </w:t>
      </w:r>
      <w:r w:rsidR="004D408A" w:rsidRPr="00B536BA">
        <w:rPr>
          <w:rFonts w:ascii="Courier New" w:hAnsi="Courier New" w:cs="Courier New"/>
          <w:sz w:val="24"/>
          <w:szCs w:val="24"/>
        </w:rPr>
        <w:t>educational investments that are against</w:t>
      </w:r>
      <w:r w:rsidR="004D408A">
        <w:rPr>
          <w:rFonts w:ascii="Courier New" w:hAnsi="Courier New" w:cs="Courier New"/>
          <w:sz w:val="24"/>
          <w:szCs w:val="24"/>
        </w:rPr>
        <w:t xml:space="preserve"> </w:t>
      </w:r>
      <w:r w:rsidR="004D408A" w:rsidRPr="00B536BA">
        <w:rPr>
          <w:rFonts w:ascii="Courier New" w:hAnsi="Courier New" w:cs="Courier New"/>
          <w:sz w:val="24"/>
          <w:szCs w:val="24"/>
        </w:rPr>
        <w:t>their interests.</w:t>
      </w:r>
      <w:r w:rsidR="004D408A">
        <w:rPr>
          <w:rFonts w:ascii="Courier New" w:hAnsi="Courier New" w:cs="Courier New"/>
          <w:sz w:val="24"/>
          <w:szCs w:val="24"/>
        </w:rPr>
        <w:t xml:space="preserve"> </w:t>
      </w:r>
    </w:p>
    <w:p w14:paraId="0549F367" w14:textId="77777777"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For these reasons, through this</w:t>
      </w:r>
      <w:r>
        <w:rPr>
          <w:rFonts w:ascii="Courier New" w:hAnsi="Courier New" w:cs="Courier New"/>
          <w:sz w:val="24"/>
          <w:szCs w:val="24"/>
        </w:rPr>
        <w:t xml:space="preserve"> </w:t>
      </w:r>
      <w:r w:rsidRPr="00B536BA">
        <w:rPr>
          <w:rFonts w:ascii="Courier New" w:hAnsi="Courier New" w:cs="Courier New"/>
          <w:sz w:val="24"/>
          <w:szCs w:val="24"/>
        </w:rPr>
        <w:t>regulatory action, the Department establish</w:t>
      </w:r>
      <w:r>
        <w:rPr>
          <w:rFonts w:ascii="Courier New" w:hAnsi="Courier New" w:cs="Courier New"/>
          <w:sz w:val="24"/>
          <w:szCs w:val="24"/>
        </w:rPr>
        <w:t>es</w:t>
      </w:r>
      <w:r w:rsidRPr="00B536BA">
        <w:rPr>
          <w:rFonts w:ascii="Courier New" w:hAnsi="Courier New" w:cs="Courier New"/>
          <w:sz w:val="24"/>
          <w:szCs w:val="24"/>
        </w:rPr>
        <w:t xml:space="preserve">: </w:t>
      </w:r>
      <w:r>
        <w:rPr>
          <w:rFonts w:ascii="Courier New" w:hAnsi="Courier New" w:cs="Courier New"/>
          <w:sz w:val="24"/>
          <w:szCs w:val="24"/>
        </w:rPr>
        <w:t xml:space="preserve"> (1) a</w:t>
      </w:r>
      <w:r w:rsidRPr="00B536BA">
        <w:rPr>
          <w:rFonts w:ascii="Courier New" w:hAnsi="Courier New" w:cs="Courier New"/>
          <w:sz w:val="24"/>
          <w:szCs w:val="24"/>
        </w:rPr>
        <w:t>n accountability</w:t>
      </w:r>
      <w:r>
        <w:rPr>
          <w:rFonts w:ascii="Courier New" w:hAnsi="Courier New" w:cs="Courier New"/>
          <w:sz w:val="24"/>
          <w:szCs w:val="24"/>
        </w:rPr>
        <w:t xml:space="preserve"> </w:t>
      </w:r>
      <w:r w:rsidRPr="00B536BA">
        <w:rPr>
          <w:rFonts w:ascii="Courier New" w:hAnsi="Courier New" w:cs="Courier New"/>
          <w:sz w:val="24"/>
          <w:szCs w:val="24"/>
        </w:rPr>
        <w:t>framework for GE programs that define</w:t>
      </w:r>
      <w:r>
        <w:rPr>
          <w:rFonts w:ascii="Courier New" w:hAnsi="Courier New" w:cs="Courier New"/>
          <w:sz w:val="24"/>
          <w:szCs w:val="24"/>
        </w:rPr>
        <w:t>s</w:t>
      </w:r>
      <w:r w:rsidRPr="00B536BA">
        <w:rPr>
          <w:rFonts w:ascii="Courier New" w:hAnsi="Courier New" w:cs="Courier New"/>
          <w:sz w:val="24"/>
          <w:szCs w:val="24"/>
        </w:rPr>
        <w:t xml:space="preserve"> what it means to prepare</w:t>
      </w:r>
      <w:r>
        <w:rPr>
          <w:rFonts w:ascii="Courier New" w:hAnsi="Courier New" w:cs="Courier New"/>
          <w:sz w:val="24"/>
          <w:szCs w:val="24"/>
        </w:rPr>
        <w:t xml:space="preserve"> </w:t>
      </w:r>
      <w:r w:rsidRPr="00B536BA">
        <w:rPr>
          <w:rFonts w:ascii="Courier New" w:hAnsi="Courier New" w:cs="Courier New"/>
          <w:sz w:val="24"/>
          <w:szCs w:val="24"/>
        </w:rPr>
        <w:t>students for gainful employment in a</w:t>
      </w:r>
      <w:r>
        <w:rPr>
          <w:rFonts w:ascii="Courier New" w:hAnsi="Courier New" w:cs="Courier New"/>
          <w:sz w:val="24"/>
          <w:szCs w:val="24"/>
        </w:rPr>
        <w:t xml:space="preserve"> </w:t>
      </w:r>
      <w:r w:rsidRPr="00B536BA">
        <w:rPr>
          <w:rFonts w:ascii="Courier New" w:hAnsi="Courier New" w:cs="Courier New"/>
          <w:sz w:val="24"/>
          <w:szCs w:val="24"/>
        </w:rPr>
        <w:t>recognized occupation by establishing</w:t>
      </w:r>
      <w:r>
        <w:rPr>
          <w:rFonts w:ascii="Courier New" w:hAnsi="Courier New" w:cs="Courier New"/>
          <w:sz w:val="24"/>
          <w:szCs w:val="24"/>
        </w:rPr>
        <w:t xml:space="preserve"> </w:t>
      </w:r>
      <w:r w:rsidRPr="00B536BA">
        <w:rPr>
          <w:rFonts w:ascii="Courier New" w:hAnsi="Courier New" w:cs="Courier New"/>
          <w:sz w:val="24"/>
          <w:szCs w:val="24"/>
        </w:rPr>
        <w:t>measures by which the Department</w:t>
      </w:r>
      <w:r>
        <w:rPr>
          <w:rFonts w:ascii="Courier New" w:hAnsi="Courier New" w:cs="Courier New"/>
          <w:sz w:val="24"/>
          <w:szCs w:val="24"/>
        </w:rPr>
        <w:t xml:space="preserve"> will</w:t>
      </w:r>
      <w:r w:rsidRPr="00B536BA">
        <w:rPr>
          <w:rFonts w:ascii="Courier New" w:hAnsi="Courier New" w:cs="Courier New"/>
          <w:sz w:val="24"/>
          <w:szCs w:val="24"/>
        </w:rPr>
        <w:t xml:space="preserve"> evaluate whether a GE program remains eligible for title IV, HEA</w:t>
      </w:r>
      <w:r>
        <w:rPr>
          <w:rFonts w:ascii="Courier New" w:hAnsi="Courier New" w:cs="Courier New"/>
          <w:sz w:val="24"/>
          <w:szCs w:val="24"/>
        </w:rPr>
        <w:t xml:space="preserve"> </w:t>
      </w:r>
      <w:r w:rsidRPr="00B536BA">
        <w:rPr>
          <w:rFonts w:ascii="Courier New" w:hAnsi="Courier New" w:cs="Courier New"/>
          <w:sz w:val="24"/>
          <w:szCs w:val="24"/>
        </w:rPr>
        <w:t>program funds, and (2) a transparency</w:t>
      </w:r>
      <w:r>
        <w:rPr>
          <w:rFonts w:ascii="Courier New" w:hAnsi="Courier New" w:cs="Courier New"/>
          <w:sz w:val="24"/>
          <w:szCs w:val="24"/>
        </w:rPr>
        <w:t xml:space="preserve"> </w:t>
      </w:r>
      <w:r w:rsidRPr="00B536BA">
        <w:rPr>
          <w:rFonts w:ascii="Courier New" w:hAnsi="Courier New" w:cs="Courier New"/>
          <w:sz w:val="24"/>
          <w:szCs w:val="24"/>
        </w:rPr>
        <w:t xml:space="preserve">framework that </w:t>
      </w:r>
      <w:r>
        <w:rPr>
          <w:rFonts w:ascii="Courier New" w:hAnsi="Courier New" w:cs="Courier New"/>
          <w:sz w:val="24"/>
          <w:szCs w:val="24"/>
        </w:rPr>
        <w:t>will</w:t>
      </w:r>
      <w:r w:rsidRPr="00B536BA">
        <w:rPr>
          <w:rFonts w:ascii="Courier New" w:hAnsi="Courier New" w:cs="Courier New"/>
          <w:sz w:val="24"/>
          <w:szCs w:val="24"/>
        </w:rPr>
        <w:t xml:space="preserve"> increase the</w:t>
      </w:r>
      <w:r>
        <w:rPr>
          <w:rFonts w:ascii="Courier New" w:hAnsi="Courier New" w:cs="Courier New"/>
          <w:sz w:val="24"/>
          <w:szCs w:val="24"/>
        </w:rPr>
        <w:t xml:space="preserve"> </w:t>
      </w:r>
      <w:r w:rsidRPr="00B536BA">
        <w:rPr>
          <w:rFonts w:ascii="Courier New" w:hAnsi="Courier New" w:cs="Courier New"/>
          <w:sz w:val="24"/>
          <w:szCs w:val="24"/>
        </w:rPr>
        <w:t>quality and availability of information</w:t>
      </w:r>
      <w:r>
        <w:rPr>
          <w:rFonts w:ascii="Courier New" w:hAnsi="Courier New" w:cs="Courier New"/>
          <w:sz w:val="24"/>
          <w:szCs w:val="24"/>
        </w:rPr>
        <w:t xml:space="preserve"> </w:t>
      </w:r>
      <w:r w:rsidRPr="00B536BA">
        <w:rPr>
          <w:rFonts w:ascii="Courier New" w:hAnsi="Courier New" w:cs="Courier New"/>
          <w:sz w:val="24"/>
          <w:szCs w:val="24"/>
        </w:rPr>
        <w:t>about the outcomes of students enrolled</w:t>
      </w:r>
      <w:r>
        <w:rPr>
          <w:rFonts w:ascii="Courier New" w:hAnsi="Courier New" w:cs="Courier New"/>
          <w:sz w:val="24"/>
          <w:szCs w:val="24"/>
        </w:rPr>
        <w:t xml:space="preserve"> </w:t>
      </w:r>
      <w:r w:rsidRPr="00B536BA">
        <w:rPr>
          <w:rFonts w:ascii="Courier New" w:hAnsi="Courier New" w:cs="Courier New"/>
          <w:sz w:val="24"/>
          <w:szCs w:val="24"/>
        </w:rPr>
        <w:t xml:space="preserve">in GE programs. </w:t>
      </w:r>
      <w:r>
        <w:rPr>
          <w:rFonts w:ascii="Courier New" w:hAnsi="Courier New" w:cs="Courier New"/>
          <w:sz w:val="24"/>
          <w:szCs w:val="24"/>
        </w:rPr>
        <w:t xml:space="preserve"> </w:t>
      </w:r>
      <w:r w:rsidRPr="00B536BA">
        <w:rPr>
          <w:rFonts w:ascii="Courier New" w:hAnsi="Courier New" w:cs="Courier New"/>
          <w:sz w:val="24"/>
          <w:szCs w:val="24"/>
        </w:rPr>
        <w:t>Better outcomes</w:t>
      </w:r>
      <w:r>
        <w:rPr>
          <w:rFonts w:ascii="Courier New" w:hAnsi="Courier New" w:cs="Courier New"/>
          <w:sz w:val="24"/>
          <w:szCs w:val="24"/>
        </w:rPr>
        <w:t xml:space="preserve"> </w:t>
      </w:r>
      <w:r w:rsidRPr="00B536BA">
        <w:rPr>
          <w:rFonts w:ascii="Courier New" w:hAnsi="Courier New" w:cs="Courier New"/>
          <w:sz w:val="24"/>
          <w:szCs w:val="24"/>
        </w:rPr>
        <w:t xml:space="preserve">information </w:t>
      </w:r>
      <w:r>
        <w:rPr>
          <w:rFonts w:ascii="Courier New" w:hAnsi="Courier New" w:cs="Courier New"/>
          <w:sz w:val="24"/>
          <w:szCs w:val="24"/>
        </w:rPr>
        <w:t>will</w:t>
      </w:r>
      <w:r w:rsidRPr="00B536BA">
        <w:rPr>
          <w:rFonts w:ascii="Courier New" w:hAnsi="Courier New" w:cs="Courier New"/>
          <w:sz w:val="24"/>
          <w:szCs w:val="24"/>
        </w:rPr>
        <w:t xml:space="preserve"> benefit: </w:t>
      </w:r>
      <w:r>
        <w:rPr>
          <w:rFonts w:ascii="Courier New" w:hAnsi="Courier New" w:cs="Courier New"/>
          <w:sz w:val="24"/>
          <w:szCs w:val="24"/>
        </w:rPr>
        <w:t xml:space="preserve"> </w:t>
      </w:r>
      <w:r w:rsidRPr="00B536BA">
        <w:rPr>
          <w:rFonts w:ascii="Courier New" w:hAnsi="Courier New" w:cs="Courier New"/>
          <w:sz w:val="24"/>
          <w:szCs w:val="24"/>
        </w:rPr>
        <w:t>students,</w:t>
      </w:r>
      <w:r>
        <w:rPr>
          <w:rFonts w:ascii="Courier New" w:hAnsi="Courier New" w:cs="Courier New"/>
          <w:sz w:val="24"/>
          <w:szCs w:val="24"/>
        </w:rPr>
        <w:t xml:space="preserve"> </w:t>
      </w:r>
      <w:r w:rsidRPr="00B536BA">
        <w:rPr>
          <w:rFonts w:ascii="Courier New" w:hAnsi="Courier New" w:cs="Courier New"/>
          <w:sz w:val="24"/>
          <w:szCs w:val="24"/>
        </w:rPr>
        <w:t>prospective students, and their families,</w:t>
      </w:r>
      <w:r>
        <w:rPr>
          <w:rFonts w:ascii="Courier New" w:hAnsi="Courier New" w:cs="Courier New"/>
          <w:sz w:val="24"/>
          <w:szCs w:val="24"/>
        </w:rPr>
        <w:t xml:space="preserve"> </w:t>
      </w:r>
      <w:r w:rsidRPr="00B536BA">
        <w:rPr>
          <w:rFonts w:ascii="Courier New" w:hAnsi="Courier New" w:cs="Courier New"/>
          <w:sz w:val="24"/>
          <w:szCs w:val="24"/>
        </w:rPr>
        <w:t>as they make critical decisions about</w:t>
      </w:r>
      <w:r>
        <w:rPr>
          <w:rFonts w:ascii="Courier New" w:hAnsi="Courier New" w:cs="Courier New"/>
          <w:sz w:val="24"/>
          <w:szCs w:val="24"/>
        </w:rPr>
        <w:t xml:space="preserve"> </w:t>
      </w:r>
      <w:r w:rsidRPr="00B536BA">
        <w:rPr>
          <w:rFonts w:ascii="Courier New" w:hAnsi="Courier New" w:cs="Courier New"/>
          <w:sz w:val="24"/>
          <w:szCs w:val="24"/>
        </w:rPr>
        <w:t>their educational investments; the</w:t>
      </w:r>
      <w:r>
        <w:rPr>
          <w:rFonts w:ascii="Courier New" w:hAnsi="Courier New" w:cs="Courier New"/>
          <w:sz w:val="24"/>
          <w:szCs w:val="24"/>
        </w:rPr>
        <w:t xml:space="preserve"> </w:t>
      </w:r>
      <w:r w:rsidRPr="00B536BA">
        <w:rPr>
          <w:rFonts w:ascii="Courier New" w:hAnsi="Courier New" w:cs="Courier New"/>
          <w:sz w:val="24"/>
          <w:szCs w:val="24"/>
        </w:rPr>
        <w:t>public, taxpayers, and the Government,</w:t>
      </w:r>
      <w:r>
        <w:rPr>
          <w:rFonts w:ascii="Courier New" w:hAnsi="Courier New" w:cs="Courier New"/>
          <w:sz w:val="24"/>
          <w:szCs w:val="24"/>
        </w:rPr>
        <w:t xml:space="preserve"> </w:t>
      </w:r>
      <w:r w:rsidRPr="00B536BA">
        <w:rPr>
          <w:rFonts w:ascii="Courier New" w:hAnsi="Courier New" w:cs="Courier New"/>
          <w:sz w:val="24"/>
          <w:szCs w:val="24"/>
        </w:rPr>
        <w:t xml:space="preserve">by providing information that </w:t>
      </w:r>
      <w:r>
        <w:rPr>
          <w:rFonts w:ascii="Courier New" w:hAnsi="Courier New" w:cs="Courier New"/>
          <w:sz w:val="24"/>
          <w:szCs w:val="24"/>
        </w:rPr>
        <w:t xml:space="preserve">will </w:t>
      </w:r>
      <w:r w:rsidRPr="00B536BA">
        <w:rPr>
          <w:rFonts w:ascii="Courier New" w:hAnsi="Courier New" w:cs="Courier New"/>
          <w:sz w:val="24"/>
          <w:szCs w:val="24"/>
        </w:rPr>
        <w:t>enable better protection of the Federal</w:t>
      </w:r>
      <w:r>
        <w:rPr>
          <w:rFonts w:ascii="Courier New" w:hAnsi="Courier New" w:cs="Courier New"/>
          <w:sz w:val="24"/>
          <w:szCs w:val="24"/>
        </w:rPr>
        <w:t xml:space="preserve"> </w:t>
      </w:r>
      <w:r w:rsidRPr="00B536BA">
        <w:rPr>
          <w:rFonts w:ascii="Courier New" w:hAnsi="Courier New" w:cs="Courier New"/>
          <w:sz w:val="24"/>
          <w:szCs w:val="24"/>
        </w:rPr>
        <w:t>investment in these programs; and</w:t>
      </w:r>
      <w:r>
        <w:rPr>
          <w:rFonts w:ascii="Courier New" w:hAnsi="Courier New" w:cs="Courier New"/>
          <w:sz w:val="24"/>
          <w:szCs w:val="24"/>
        </w:rPr>
        <w:t xml:space="preserve"> </w:t>
      </w:r>
      <w:r w:rsidRPr="00B536BA">
        <w:rPr>
          <w:rFonts w:ascii="Courier New" w:hAnsi="Courier New" w:cs="Courier New"/>
          <w:sz w:val="24"/>
          <w:szCs w:val="24"/>
        </w:rPr>
        <w:t>institutions, by providing them with</w:t>
      </w:r>
      <w:r>
        <w:rPr>
          <w:rFonts w:ascii="Courier New" w:hAnsi="Courier New" w:cs="Courier New"/>
          <w:sz w:val="24"/>
          <w:szCs w:val="24"/>
        </w:rPr>
        <w:t xml:space="preserve"> </w:t>
      </w:r>
      <w:r w:rsidRPr="00B536BA">
        <w:rPr>
          <w:rFonts w:ascii="Courier New" w:hAnsi="Courier New" w:cs="Courier New"/>
          <w:sz w:val="24"/>
          <w:szCs w:val="24"/>
        </w:rPr>
        <w:t xml:space="preserve">meaningful information that they </w:t>
      </w:r>
      <w:r>
        <w:rPr>
          <w:rFonts w:ascii="Courier New" w:hAnsi="Courier New" w:cs="Courier New"/>
          <w:sz w:val="24"/>
          <w:szCs w:val="24"/>
        </w:rPr>
        <w:t xml:space="preserve">can </w:t>
      </w:r>
      <w:r w:rsidRPr="00B536BA">
        <w:rPr>
          <w:rFonts w:ascii="Courier New" w:hAnsi="Courier New" w:cs="Courier New"/>
          <w:sz w:val="24"/>
          <w:szCs w:val="24"/>
        </w:rPr>
        <w:t>use to help improve student outcomes</w:t>
      </w:r>
      <w:r>
        <w:rPr>
          <w:rFonts w:ascii="Courier New" w:hAnsi="Courier New" w:cs="Courier New"/>
          <w:sz w:val="24"/>
          <w:szCs w:val="24"/>
        </w:rPr>
        <w:t xml:space="preserve"> </w:t>
      </w:r>
      <w:r w:rsidRPr="00B536BA">
        <w:rPr>
          <w:rFonts w:ascii="Courier New" w:hAnsi="Courier New" w:cs="Courier New"/>
          <w:sz w:val="24"/>
          <w:szCs w:val="24"/>
        </w:rPr>
        <w:t>in their programs.</w:t>
      </w:r>
    </w:p>
    <w:p w14:paraId="010B7151" w14:textId="2F622C1B"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lastRenderedPageBreak/>
        <w:t>The accountability framework define</w:t>
      </w:r>
      <w:r>
        <w:rPr>
          <w:rFonts w:ascii="Courier New" w:hAnsi="Courier New" w:cs="Courier New"/>
          <w:sz w:val="24"/>
          <w:szCs w:val="24"/>
        </w:rPr>
        <w:t>s</w:t>
      </w:r>
      <w:r w:rsidRPr="00B536BA">
        <w:rPr>
          <w:rFonts w:ascii="Courier New" w:hAnsi="Courier New" w:cs="Courier New"/>
          <w:sz w:val="24"/>
          <w:szCs w:val="24"/>
        </w:rPr>
        <w:t xml:space="preserve"> what it means to</w:t>
      </w:r>
      <w:r>
        <w:rPr>
          <w:rFonts w:ascii="Courier New" w:hAnsi="Courier New" w:cs="Courier New"/>
          <w:sz w:val="24"/>
          <w:szCs w:val="24"/>
        </w:rPr>
        <w:t xml:space="preserve"> </w:t>
      </w:r>
      <w:r w:rsidRPr="00B536BA">
        <w:rPr>
          <w:rFonts w:ascii="Courier New" w:hAnsi="Courier New" w:cs="Courier New"/>
          <w:sz w:val="24"/>
          <w:szCs w:val="24"/>
        </w:rPr>
        <w:t>prepare students for gainful</w:t>
      </w:r>
      <w:r>
        <w:rPr>
          <w:rFonts w:ascii="Courier New" w:hAnsi="Courier New" w:cs="Courier New"/>
          <w:sz w:val="24"/>
          <w:szCs w:val="24"/>
        </w:rPr>
        <w:t xml:space="preserve"> </w:t>
      </w:r>
      <w:r w:rsidRPr="00B536BA">
        <w:rPr>
          <w:rFonts w:ascii="Courier New" w:hAnsi="Courier New" w:cs="Courier New"/>
          <w:sz w:val="24"/>
          <w:szCs w:val="24"/>
        </w:rPr>
        <w:t>employment by establishing measures</w:t>
      </w:r>
      <w:r>
        <w:rPr>
          <w:rFonts w:ascii="Courier New" w:hAnsi="Courier New" w:cs="Courier New"/>
          <w:sz w:val="24"/>
          <w:szCs w:val="24"/>
        </w:rPr>
        <w:t xml:space="preserve"> </w:t>
      </w:r>
      <w:r w:rsidRPr="00B536BA">
        <w:rPr>
          <w:rFonts w:ascii="Courier New" w:hAnsi="Courier New" w:cs="Courier New"/>
          <w:sz w:val="24"/>
          <w:szCs w:val="24"/>
        </w:rPr>
        <w:t>that assess whether programs</w:t>
      </w:r>
      <w:r>
        <w:rPr>
          <w:rFonts w:ascii="Courier New" w:hAnsi="Courier New" w:cs="Courier New"/>
          <w:sz w:val="24"/>
          <w:szCs w:val="24"/>
        </w:rPr>
        <w:t xml:space="preserve"> </w:t>
      </w:r>
      <w:r w:rsidRPr="00B536BA">
        <w:rPr>
          <w:rFonts w:ascii="Courier New" w:hAnsi="Courier New" w:cs="Courier New"/>
          <w:sz w:val="24"/>
          <w:szCs w:val="24"/>
        </w:rPr>
        <w:t>provide quality education and training</w:t>
      </w:r>
      <w:r>
        <w:rPr>
          <w:rFonts w:ascii="Courier New" w:hAnsi="Courier New" w:cs="Courier New"/>
          <w:sz w:val="24"/>
          <w:szCs w:val="24"/>
        </w:rPr>
        <w:t xml:space="preserve"> </w:t>
      </w:r>
      <w:r w:rsidRPr="00B536BA">
        <w:rPr>
          <w:rFonts w:ascii="Courier New" w:hAnsi="Courier New" w:cs="Courier New"/>
          <w:sz w:val="24"/>
          <w:szCs w:val="24"/>
        </w:rPr>
        <w:t>to their students that lead to earnings</w:t>
      </w:r>
      <w:r>
        <w:rPr>
          <w:rFonts w:ascii="Courier New" w:hAnsi="Courier New" w:cs="Courier New"/>
          <w:sz w:val="24"/>
          <w:szCs w:val="24"/>
        </w:rPr>
        <w:t xml:space="preserve"> </w:t>
      </w:r>
      <w:r w:rsidRPr="00B536BA">
        <w:rPr>
          <w:rFonts w:ascii="Courier New" w:hAnsi="Courier New" w:cs="Courier New"/>
          <w:sz w:val="24"/>
          <w:szCs w:val="24"/>
        </w:rPr>
        <w:t>that will allow students to pay back</w:t>
      </w:r>
      <w:r>
        <w:rPr>
          <w:rFonts w:ascii="Courier New" w:hAnsi="Courier New" w:cs="Courier New"/>
          <w:sz w:val="24"/>
          <w:szCs w:val="24"/>
        </w:rPr>
        <w:t xml:space="preserve"> </w:t>
      </w:r>
      <w:r w:rsidRPr="00B536BA">
        <w:rPr>
          <w:rFonts w:ascii="Courier New" w:hAnsi="Courier New" w:cs="Courier New"/>
          <w:sz w:val="24"/>
          <w:szCs w:val="24"/>
        </w:rPr>
        <w:t xml:space="preserve">their student loan debts. </w:t>
      </w:r>
      <w:r>
        <w:rPr>
          <w:rFonts w:ascii="Courier New" w:hAnsi="Courier New" w:cs="Courier New"/>
          <w:sz w:val="24"/>
          <w:szCs w:val="24"/>
        </w:rPr>
        <w:t xml:space="preserve"> </w:t>
      </w:r>
      <w:r w:rsidRPr="00B536BA">
        <w:rPr>
          <w:rFonts w:ascii="Courier New" w:hAnsi="Courier New" w:cs="Courier New"/>
          <w:sz w:val="24"/>
          <w:szCs w:val="24"/>
        </w:rPr>
        <w:t>For programs</w:t>
      </w:r>
      <w:r>
        <w:rPr>
          <w:rFonts w:ascii="Courier New" w:hAnsi="Courier New" w:cs="Courier New"/>
          <w:sz w:val="24"/>
          <w:szCs w:val="24"/>
        </w:rPr>
        <w:t xml:space="preserve"> </w:t>
      </w:r>
      <w:r w:rsidRPr="00B536BA">
        <w:rPr>
          <w:rFonts w:ascii="Courier New" w:hAnsi="Courier New" w:cs="Courier New"/>
          <w:sz w:val="24"/>
          <w:szCs w:val="24"/>
        </w:rPr>
        <w:t>that perform poorly under the measures,</w:t>
      </w:r>
      <w:r>
        <w:rPr>
          <w:rFonts w:ascii="Courier New" w:hAnsi="Courier New" w:cs="Courier New"/>
          <w:sz w:val="24"/>
          <w:szCs w:val="24"/>
        </w:rPr>
        <w:t xml:space="preserve"> </w:t>
      </w:r>
      <w:r w:rsidRPr="00B536BA">
        <w:rPr>
          <w:rFonts w:ascii="Courier New" w:hAnsi="Courier New" w:cs="Courier New"/>
          <w:sz w:val="24"/>
          <w:szCs w:val="24"/>
        </w:rPr>
        <w:t xml:space="preserve">institutions </w:t>
      </w:r>
      <w:r>
        <w:rPr>
          <w:rFonts w:ascii="Courier New" w:hAnsi="Courier New" w:cs="Courier New"/>
          <w:sz w:val="24"/>
          <w:szCs w:val="24"/>
        </w:rPr>
        <w:t>will</w:t>
      </w:r>
      <w:r w:rsidRPr="00B536BA">
        <w:rPr>
          <w:rFonts w:ascii="Courier New" w:hAnsi="Courier New" w:cs="Courier New"/>
          <w:sz w:val="24"/>
          <w:szCs w:val="24"/>
        </w:rPr>
        <w:t xml:space="preserve"> need to make</w:t>
      </w:r>
      <w:r>
        <w:rPr>
          <w:rFonts w:ascii="Courier New" w:hAnsi="Courier New" w:cs="Courier New"/>
          <w:sz w:val="24"/>
          <w:szCs w:val="24"/>
        </w:rPr>
        <w:t xml:space="preserve"> </w:t>
      </w:r>
      <w:r w:rsidRPr="00B536BA">
        <w:rPr>
          <w:rFonts w:ascii="Courier New" w:hAnsi="Courier New" w:cs="Courier New"/>
          <w:sz w:val="24"/>
          <w:szCs w:val="24"/>
        </w:rPr>
        <w:t xml:space="preserve">improvements </w:t>
      </w:r>
      <w:r w:rsidR="00B67AE0">
        <w:rPr>
          <w:rFonts w:ascii="Courier New" w:hAnsi="Courier New" w:cs="Courier New"/>
          <w:sz w:val="24"/>
          <w:szCs w:val="24"/>
        </w:rPr>
        <w:t xml:space="preserve">during the transition period we establish in the regulations. </w:t>
      </w:r>
    </w:p>
    <w:p w14:paraId="350EB5DA" w14:textId="45084CE7" w:rsidR="004D408A" w:rsidRPr="00B536BA" w:rsidRDefault="00277CB8" w:rsidP="004D408A">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4D408A" w:rsidRPr="00B536BA">
        <w:rPr>
          <w:rFonts w:ascii="Courier New" w:hAnsi="Courier New" w:cs="Courier New"/>
          <w:sz w:val="24"/>
          <w:szCs w:val="24"/>
        </w:rPr>
        <w:t xml:space="preserve">The transparency framework </w:t>
      </w:r>
      <w:r w:rsidR="004D408A">
        <w:rPr>
          <w:rFonts w:ascii="Courier New" w:hAnsi="Courier New" w:cs="Courier New"/>
          <w:sz w:val="24"/>
          <w:szCs w:val="24"/>
        </w:rPr>
        <w:t xml:space="preserve">will </w:t>
      </w:r>
      <w:r w:rsidR="004D408A" w:rsidRPr="00B536BA">
        <w:rPr>
          <w:rFonts w:ascii="Courier New" w:hAnsi="Courier New" w:cs="Courier New"/>
          <w:sz w:val="24"/>
          <w:szCs w:val="24"/>
        </w:rPr>
        <w:t>establish reporting and</w:t>
      </w:r>
      <w:r w:rsidR="004D408A">
        <w:rPr>
          <w:rFonts w:ascii="Courier New" w:hAnsi="Courier New" w:cs="Courier New"/>
          <w:sz w:val="24"/>
          <w:szCs w:val="24"/>
        </w:rPr>
        <w:t xml:space="preserve"> </w:t>
      </w:r>
      <w:r w:rsidR="004D408A" w:rsidRPr="00B536BA">
        <w:rPr>
          <w:rFonts w:ascii="Courier New" w:hAnsi="Courier New" w:cs="Courier New"/>
          <w:sz w:val="24"/>
          <w:szCs w:val="24"/>
        </w:rPr>
        <w:t>disclosure requirements that increase the transparency of student</w:t>
      </w:r>
      <w:r w:rsidR="004D408A">
        <w:rPr>
          <w:rFonts w:ascii="Courier New" w:hAnsi="Courier New" w:cs="Courier New"/>
          <w:sz w:val="24"/>
          <w:szCs w:val="24"/>
        </w:rPr>
        <w:t xml:space="preserve"> </w:t>
      </w:r>
      <w:r w:rsidR="004D408A" w:rsidRPr="00B536BA">
        <w:rPr>
          <w:rFonts w:ascii="Courier New" w:hAnsi="Courier New" w:cs="Courier New"/>
          <w:sz w:val="24"/>
          <w:szCs w:val="24"/>
        </w:rPr>
        <w:t>outcomes of GE programs so that</w:t>
      </w:r>
      <w:r w:rsidR="004D408A">
        <w:rPr>
          <w:rFonts w:ascii="Courier New" w:hAnsi="Courier New" w:cs="Courier New"/>
          <w:sz w:val="24"/>
          <w:szCs w:val="24"/>
        </w:rPr>
        <w:t xml:space="preserve"> </w:t>
      </w:r>
      <w:r w:rsidR="004D408A" w:rsidRPr="00B536BA">
        <w:rPr>
          <w:rFonts w:ascii="Courier New" w:hAnsi="Courier New" w:cs="Courier New"/>
          <w:sz w:val="24"/>
          <w:szCs w:val="24"/>
        </w:rPr>
        <w:t>students,</w:t>
      </w:r>
      <w:r w:rsidR="004D408A">
        <w:rPr>
          <w:rFonts w:ascii="Courier New" w:hAnsi="Courier New" w:cs="Courier New"/>
          <w:sz w:val="24"/>
          <w:szCs w:val="24"/>
        </w:rPr>
        <w:t xml:space="preserve"> </w:t>
      </w:r>
      <w:r w:rsidR="004D408A" w:rsidRPr="00B536BA">
        <w:rPr>
          <w:rFonts w:ascii="Courier New" w:hAnsi="Courier New" w:cs="Courier New"/>
          <w:sz w:val="24"/>
          <w:szCs w:val="24"/>
        </w:rPr>
        <w:t>prospective students, and their families</w:t>
      </w:r>
      <w:r w:rsidR="004D408A">
        <w:rPr>
          <w:rFonts w:ascii="Courier New" w:hAnsi="Courier New" w:cs="Courier New"/>
          <w:sz w:val="24"/>
          <w:szCs w:val="24"/>
        </w:rPr>
        <w:t xml:space="preserve"> have accurate and comparable information to help them make </w:t>
      </w:r>
      <w:r w:rsidR="004D408A" w:rsidRPr="00B536BA">
        <w:rPr>
          <w:rFonts w:ascii="Courier New" w:hAnsi="Courier New" w:cs="Courier New"/>
          <w:sz w:val="24"/>
          <w:szCs w:val="24"/>
        </w:rPr>
        <w:t>informed</w:t>
      </w:r>
      <w:r w:rsidR="004D408A">
        <w:rPr>
          <w:rFonts w:ascii="Courier New" w:hAnsi="Courier New" w:cs="Courier New"/>
          <w:sz w:val="24"/>
          <w:szCs w:val="24"/>
        </w:rPr>
        <w:t xml:space="preserve"> </w:t>
      </w:r>
      <w:r w:rsidR="004D408A" w:rsidRPr="00B536BA">
        <w:rPr>
          <w:rFonts w:ascii="Courier New" w:hAnsi="Courier New" w:cs="Courier New"/>
          <w:sz w:val="24"/>
          <w:szCs w:val="24"/>
        </w:rPr>
        <w:t>decisions about where to invest their</w:t>
      </w:r>
      <w:r w:rsidR="004D408A">
        <w:rPr>
          <w:rFonts w:ascii="Courier New" w:hAnsi="Courier New" w:cs="Courier New"/>
          <w:sz w:val="24"/>
          <w:szCs w:val="24"/>
        </w:rPr>
        <w:t xml:space="preserve"> </w:t>
      </w:r>
      <w:r w:rsidR="004D408A" w:rsidRPr="00B536BA">
        <w:rPr>
          <w:rFonts w:ascii="Courier New" w:hAnsi="Courier New" w:cs="Courier New"/>
          <w:sz w:val="24"/>
          <w:szCs w:val="24"/>
        </w:rPr>
        <w:t>time and money in pursuit of a</w:t>
      </w:r>
      <w:r w:rsidR="004D408A">
        <w:rPr>
          <w:rFonts w:ascii="Courier New" w:hAnsi="Courier New" w:cs="Courier New"/>
          <w:sz w:val="24"/>
          <w:szCs w:val="24"/>
        </w:rPr>
        <w:t xml:space="preserve"> </w:t>
      </w:r>
      <w:r w:rsidR="004D408A" w:rsidRPr="00B536BA">
        <w:rPr>
          <w:rFonts w:ascii="Courier New" w:hAnsi="Courier New" w:cs="Courier New"/>
          <w:sz w:val="24"/>
          <w:szCs w:val="24"/>
        </w:rPr>
        <w:t>postsecondary degree or credential.</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Further, this information </w:t>
      </w:r>
      <w:r w:rsidR="004D408A">
        <w:rPr>
          <w:rFonts w:ascii="Courier New" w:hAnsi="Courier New" w:cs="Courier New"/>
          <w:sz w:val="24"/>
          <w:szCs w:val="24"/>
        </w:rPr>
        <w:t>will</w:t>
      </w:r>
      <w:r w:rsidR="004D408A" w:rsidRPr="00B536BA">
        <w:rPr>
          <w:rFonts w:ascii="Courier New" w:hAnsi="Courier New" w:cs="Courier New"/>
          <w:sz w:val="24"/>
          <w:szCs w:val="24"/>
        </w:rPr>
        <w:t xml:space="preserve"> provide</w:t>
      </w:r>
      <w:r w:rsidR="004D408A">
        <w:rPr>
          <w:rFonts w:ascii="Courier New" w:hAnsi="Courier New" w:cs="Courier New"/>
          <w:sz w:val="24"/>
          <w:szCs w:val="24"/>
        </w:rPr>
        <w:t xml:space="preserve"> </w:t>
      </w:r>
      <w:r w:rsidR="004D408A" w:rsidRPr="00B536BA">
        <w:rPr>
          <w:rFonts w:ascii="Courier New" w:hAnsi="Courier New" w:cs="Courier New"/>
          <w:sz w:val="24"/>
          <w:szCs w:val="24"/>
        </w:rPr>
        <w:t>the public, taxpayers, and the</w:t>
      </w:r>
      <w:r w:rsidR="004D408A">
        <w:rPr>
          <w:rFonts w:ascii="Courier New" w:hAnsi="Courier New" w:cs="Courier New"/>
          <w:sz w:val="24"/>
          <w:szCs w:val="24"/>
        </w:rPr>
        <w:t xml:space="preserve"> </w:t>
      </w:r>
      <w:r w:rsidR="004D408A" w:rsidRPr="00B536BA">
        <w:rPr>
          <w:rFonts w:ascii="Courier New" w:hAnsi="Courier New" w:cs="Courier New"/>
          <w:sz w:val="24"/>
          <w:szCs w:val="24"/>
        </w:rPr>
        <w:t>Government with relevant information</w:t>
      </w:r>
      <w:r w:rsidR="004D408A">
        <w:rPr>
          <w:rFonts w:ascii="Courier New" w:hAnsi="Courier New" w:cs="Courier New"/>
          <w:sz w:val="24"/>
          <w:szCs w:val="24"/>
        </w:rPr>
        <w:t xml:space="preserve"> </w:t>
      </w:r>
      <w:r w:rsidR="004D408A" w:rsidRPr="00B536BA">
        <w:rPr>
          <w:rFonts w:ascii="Courier New" w:hAnsi="Courier New" w:cs="Courier New"/>
          <w:sz w:val="24"/>
          <w:szCs w:val="24"/>
        </w:rPr>
        <w:t>to better safeguard the Federal</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investment in these programs. </w:t>
      </w:r>
      <w:r w:rsidR="004D408A">
        <w:rPr>
          <w:rFonts w:ascii="Courier New" w:hAnsi="Courier New" w:cs="Courier New"/>
          <w:sz w:val="24"/>
          <w:szCs w:val="24"/>
        </w:rPr>
        <w:t xml:space="preserve"> </w:t>
      </w:r>
      <w:r w:rsidR="004D408A" w:rsidRPr="00B536BA">
        <w:rPr>
          <w:rFonts w:ascii="Courier New" w:hAnsi="Courier New" w:cs="Courier New"/>
          <w:sz w:val="24"/>
          <w:szCs w:val="24"/>
        </w:rPr>
        <w:t>Finally,</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the transparency framework </w:t>
      </w:r>
      <w:r w:rsidR="004D408A">
        <w:rPr>
          <w:rFonts w:ascii="Courier New" w:hAnsi="Courier New" w:cs="Courier New"/>
          <w:sz w:val="24"/>
          <w:szCs w:val="24"/>
        </w:rPr>
        <w:t xml:space="preserve">will </w:t>
      </w:r>
      <w:r w:rsidR="004D408A" w:rsidRPr="00B536BA">
        <w:rPr>
          <w:rFonts w:ascii="Courier New" w:hAnsi="Courier New" w:cs="Courier New"/>
          <w:sz w:val="24"/>
          <w:szCs w:val="24"/>
        </w:rPr>
        <w:t>provide institutions with meaningful</w:t>
      </w:r>
      <w:r w:rsidR="004D408A">
        <w:rPr>
          <w:rFonts w:ascii="Courier New" w:hAnsi="Courier New" w:cs="Courier New"/>
          <w:sz w:val="24"/>
          <w:szCs w:val="24"/>
        </w:rPr>
        <w:t xml:space="preserve"> </w:t>
      </w:r>
      <w:r w:rsidR="004D408A" w:rsidRPr="00B536BA">
        <w:rPr>
          <w:rFonts w:ascii="Courier New" w:hAnsi="Courier New" w:cs="Courier New"/>
          <w:sz w:val="24"/>
          <w:szCs w:val="24"/>
        </w:rPr>
        <w:t xml:space="preserve">information that they </w:t>
      </w:r>
      <w:r w:rsidR="004D408A">
        <w:rPr>
          <w:rFonts w:ascii="Courier New" w:hAnsi="Courier New" w:cs="Courier New"/>
          <w:sz w:val="24"/>
          <w:szCs w:val="24"/>
        </w:rPr>
        <w:t>can</w:t>
      </w:r>
      <w:r w:rsidR="004D408A" w:rsidRPr="00B536BA">
        <w:rPr>
          <w:rFonts w:ascii="Courier New" w:hAnsi="Courier New" w:cs="Courier New"/>
          <w:sz w:val="24"/>
          <w:szCs w:val="24"/>
        </w:rPr>
        <w:t xml:space="preserve"> use to</w:t>
      </w:r>
      <w:r w:rsidR="004D408A">
        <w:rPr>
          <w:rFonts w:ascii="Courier New" w:hAnsi="Courier New" w:cs="Courier New"/>
          <w:sz w:val="24"/>
          <w:szCs w:val="24"/>
        </w:rPr>
        <w:t xml:space="preserve"> </w:t>
      </w:r>
      <w:r w:rsidR="004D408A" w:rsidRPr="00B536BA">
        <w:rPr>
          <w:rFonts w:ascii="Courier New" w:hAnsi="Courier New" w:cs="Courier New"/>
          <w:sz w:val="24"/>
          <w:szCs w:val="24"/>
        </w:rPr>
        <w:t>improve student outcomes in these</w:t>
      </w:r>
      <w:r w:rsidR="004D408A">
        <w:rPr>
          <w:rFonts w:ascii="Courier New" w:hAnsi="Courier New" w:cs="Courier New"/>
          <w:sz w:val="24"/>
          <w:szCs w:val="24"/>
        </w:rPr>
        <w:t xml:space="preserve"> </w:t>
      </w:r>
      <w:r w:rsidR="004D408A" w:rsidRPr="00B536BA">
        <w:rPr>
          <w:rFonts w:ascii="Courier New" w:hAnsi="Courier New" w:cs="Courier New"/>
          <w:sz w:val="24"/>
          <w:szCs w:val="24"/>
        </w:rPr>
        <w:t>programs.</w:t>
      </w:r>
    </w:p>
    <w:p w14:paraId="106344A7" w14:textId="14D07536" w:rsidR="004D408A" w:rsidRPr="009772D1" w:rsidRDefault="004D408A" w:rsidP="004D408A">
      <w:pPr>
        <w:autoSpaceDE w:val="0"/>
        <w:autoSpaceDN w:val="0"/>
        <w:adjustRightInd w:val="0"/>
        <w:spacing w:after="0" w:line="480" w:lineRule="auto"/>
        <w:rPr>
          <w:rFonts w:ascii="Courier New" w:hAnsi="Courier New" w:cs="Courier New"/>
          <w:iCs/>
          <w:sz w:val="24"/>
          <w:szCs w:val="24"/>
        </w:rPr>
      </w:pPr>
      <w:r w:rsidRPr="009772D1">
        <w:rPr>
          <w:rFonts w:ascii="Courier New" w:hAnsi="Courier New" w:cs="Courier New"/>
          <w:iCs/>
          <w:sz w:val="24"/>
          <w:szCs w:val="24"/>
        </w:rPr>
        <w:t>Authority for This Regulatory Action</w:t>
      </w:r>
      <w:r w:rsidRPr="0074044C">
        <w:rPr>
          <w:rFonts w:ascii="Courier New" w:hAnsi="Courier New" w:cs="Courier New"/>
          <w:iCs/>
          <w:sz w:val="24"/>
          <w:szCs w:val="24"/>
        </w:rPr>
        <w:t xml:space="preserve">:  </w:t>
      </w:r>
      <w:r w:rsidRPr="00B536BA">
        <w:rPr>
          <w:rFonts w:ascii="Courier New" w:hAnsi="Courier New" w:cs="Courier New"/>
          <w:sz w:val="24"/>
          <w:szCs w:val="24"/>
        </w:rPr>
        <w:t>To accomplish these two primary</w:t>
      </w:r>
      <w:r>
        <w:rPr>
          <w:rFonts w:ascii="Courier New" w:hAnsi="Courier New" w:cs="Courier New"/>
          <w:sz w:val="24"/>
          <w:szCs w:val="24"/>
        </w:rPr>
        <w:t xml:space="preserve"> </w:t>
      </w:r>
      <w:r w:rsidRPr="00B536BA">
        <w:rPr>
          <w:rFonts w:ascii="Courier New" w:hAnsi="Courier New" w:cs="Courier New"/>
          <w:sz w:val="24"/>
          <w:szCs w:val="24"/>
        </w:rPr>
        <w:t>goals of accountability and</w:t>
      </w:r>
      <w:r>
        <w:rPr>
          <w:rFonts w:ascii="Courier New" w:hAnsi="Courier New" w:cs="Courier New"/>
          <w:sz w:val="24"/>
          <w:szCs w:val="24"/>
        </w:rPr>
        <w:t xml:space="preserve"> </w:t>
      </w:r>
      <w:r w:rsidRPr="00B536BA">
        <w:rPr>
          <w:rFonts w:ascii="Courier New" w:hAnsi="Courier New" w:cs="Courier New"/>
          <w:sz w:val="24"/>
          <w:szCs w:val="24"/>
        </w:rPr>
        <w:t>transparency, the Secretary amend</w:t>
      </w:r>
      <w:r>
        <w:rPr>
          <w:rFonts w:ascii="Courier New" w:hAnsi="Courier New" w:cs="Courier New"/>
          <w:sz w:val="24"/>
          <w:szCs w:val="24"/>
        </w:rPr>
        <w:t>s</w:t>
      </w:r>
      <w:r w:rsidRPr="00B536BA">
        <w:rPr>
          <w:rFonts w:ascii="Courier New" w:hAnsi="Courier New" w:cs="Courier New"/>
          <w:sz w:val="24"/>
          <w:szCs w:val="24"/>
        </w:rPr>
        <w:t xml:space="preserve"> parts 600 and 668 of title 34 of</w:t>
      </w:r>
      <w:r>
        <w:rPr>
          <w:rFonts w:ascii="Courier New" w:hAnsi="Courier New" w:cs="Courier New"/>
          <w:sz w:val="24"/>
          <w:szCs w:val="24"/>
        </w:rPr>
        <w:t xml:space="preserve"> </w:t>
      </w:r>
      <w:r w:rsidRPr="00B536BA">
        <w:rPr>
          <w:rFonts w:ascii="Courier New" w:hAnsi="Courier New" w:cs="Courier New"/>
          <w:sz w:val="24"/>
          <w:szCs w:val="24"/>
        </w:rPr>
        <w:t>the Code of Federal Regulations (CFR). The Department’s authority for this</w:t>
      </w:r>
      <w:r>
        <w:rPr>
          <w:rFonts w:ascii="Courier New" w:hAnsi="Courier New" w:cs="Courier New"/>
          <w:sz w:val="24"/>
          <w:szCs w:val="24"/>
        </w:rPr>
        <w:t xml:space="preserve"> </w:t>
      </w:r>
      <w:r w:rsidRPr="00B536BA">
        <w:rPr>
          <w:rFonts w:ascii="Courier New" w:hAnsi="Courier New" w:cs="Courier New"/>
          <w:sz w:val="24"/>
          <w:szCs w:val="24"/>
        </w:rPr>
        <w:lastRenderedPageBreak/>
        <w:t>regulatory action is derived primarily</w:t>
      </w:r>
      <w:r>
        <w:rPr>
          <w:rFonts w:ascii="Courier New" w:hAnsi="Courier New" w:cs="Courier New"/>
          <w:sz w:val="24"/>
          <w:szCs w:val="24"/>
        </w:rPr>
        <w:t xml:space="preserve"> </w:t>
      </w:r>
      <w:r w:rsidRPr="00B536BA">
        <w:rPr>
          <w:rFonts w:ascii="Courier New" w:hAnsi="Courier New" w:cs="Courier New"/>
          <w:sz w:val="24"/>
          <w:szCs w:val="24"/>
        </w:rPr>
        <w:t>from three sources, which are discussed</w:t>
      </w:r>
      <w:r>
        <w:rPr>
          <w:rFonts w:ascii="Courier New" w:hAnsi="Courier New" w:cs="Courier New"/>
          <w:sz w:val="24"/>
          <w:szCs w:val="24"/>
        </w:rPr>
        <w:t xml:space="preserve"> </w:t>
      </w:r>
      <w:r w:rsidRPr="00B536BA">
        <w:rPr>
          <w:rFonts w:ascii="Courier New" w:hAnsi="Courier New" w:cs="Courier New"/>
          <w:sz w:val="24"/>
          <w:szCs w:val="24"/>
        </w:rPr>
        <w:t xml:space="preserve">in more detail in </w:t>
      </w:r>
      <w:r>
        <w:rPr>
          <w:rFonts w:ascii="Courier New" w:hAnsi="Courier New" w:cs="Courier New"/>
          <w:sz w:val="24"/>
          <w:szCs w:val="24"/>
        </w:rPr>
        <w:t>“§</w:t>
      </w:r>
      <w:r w:rsidRPr="00B536BA">
        <w:rPr>
          <w:rFonts w:ascii="Courier New" w:hAnsi="Courier New" w:cs="Courier New"/>
          <w:sz w:val="24"/>
          <w:szCs w:val="24"/>
        </w:rPr>
        <w:t>668.401</w:t>
      </w:r>
      <w:r>
        <w:rPr>
          <w:rFonts w:ascii="Courier New" w:hAnsi="Courier New" w:cs="Courier New"/>
          <w:sz w:val="24"/>
          <w:szCs w:val="24"/>
        </w:rPr>
        <w:t xml:space="preserve"> </w:t>
      </w:r>
      <w:r w:rsidRPr="00B536BA">
        <w:rPr>
          <w:rFonts w:ascii="Courier New" w:hAnsi="Courier New" w:cs="Courier New"/>
          <w:sz w:val="24"/>
          <w:szCs w:val="24"/>
        </w:rPr>
        <w:t xml:space="preserve"> Scope and</w:t>
      </w:r>
      <w:r>
        <w:rPr>
          <w:rFonts w:ascii="Courier New" w:hAnsi="Courier New" w:cs="Courier New"/>
          <w:sz w:val="24"/>
          <w:szCs w:val="24"/>
        </w:rPr>
        <w:t xml:space="preserve"> P</w:t>
      </w:r>
      <w:r w:rsidRPr="00B536BA">
        <w:rPr>
          <w:rFonts w:ascii="Courier New" w:hAnsi="Courier New" w:cs="Courier New"/>
          <w:sz w:val="24"/>
          <w:szCs w:val="24"/>
        </w:rPr>
        <w:t>urpose</w:t>
      </w:r>
      <w:r>
        <w:rPr>
          <w:rFonts w:ascii="Courier New" w:hAnsi="Courier New" w:cs="Courier New"/>
          <w:sz w:val="24"/>
          <w:szCs w:val="24"/>
        </w:rPr>
        <w:t>”</w:t>
      </w:r>
      <w:r w:rsidRPr="00B536BA">
        <w:rPr>
          <w:rFonts w:ascii="Courier New" w:hAnsi="Courier New" w:cs="Courier New"/>
          <w:sz w:val="24"/>
          <w:szCs w:val="24"/>
        </w:rPr>
        <w:t xml:space="preserve"> and </w:t>
      </w:r>
      <w:r>
        <w:rPr>
          <w:rFonts w:ascii="Courier New" w:hAnsi="Courier New" w:cs="Courier New"/>
          <w:sz w:val="24"/>
          <w:szCs w:val="24"/>
        </w:rPr>
        <w:t xml:space="preserve">in the notice of proposed rulemaking (NPRM) published on March 25, 2014 (79 FR 16426). </w:t>
      </w:r>
      <w:r w:rsidRPr="00B536BA">
        <w:rPr>
          <w:rFonts w:ascii="Courier New" w:hAnsi="Courier New" w:cs="Courier New"/>
          <w:sz w:val="24"/>
          <w:szCs w:val="24"/>
        </w:rPr>
        <w:t xml:space="preserve"> First, sections</w:t>
      </w:r>
      <w:r>
        <w:rPr>
          <w:rFonts w:ascii="Courier New" w:hAnsi="Courier New" w:cs="Courier New"/>
          <w:sz w:val="24"/>
          <w:szCs w:val="24"/>
        </w:rPr>
        <w:t xml:space="preserve"> </w:t>
      </w:r>
      <w:r w:rsidRPr="00B536BA">
        <w:rPr>
          <w:rFonts w:ascii="Courier New" w:hAnsi="Courier New" w:cs="Courier New"/>
          <w:sz w:val="24"/>
          <w:szCs w:val="24"/>
        </w:rPr>
        <w:t>101 and 102 of the HEA define an</w:t>
      </w:r>
      <w:r>
        <w:rPr>
          <w:rFonts w:ascii="Courier New" w:hAnsi="Courier New" w:cs="Courier New"/>
          <w:sz w:val="24"/>
          <w:szCs w:val="24"/>
        </w:rPr>
        <w:t xml:space="preserve"> </w:t>
      </w:r>
      <w:r w:rsidRPr="00B536BA">
        <w:rPr>
          <w:rFonts w:ascii="Courier New" w:hAnsi="Courier New" w:cs="Courier New"/>
          <w:sz w:val="24"/>
          <w:szCs w:val="24"/>
        </w:rPr>
        <w:t>eligible institution, as pertinent here, as</w:t>
      </w:r>
      <w:r>
        <w:rPr>
          <w:rFonts w:ascii="Courier New" w:hAnsi="Courier New" w:cs="Courier New"/>
          <w:sz w:val="24"/>
          <w:szCs w:val="24"/>
        </w:rPr>
        <w:t xml:space="preserve"> </w:t>
      </w:r>
      <w:r w:rsidRPr="00B536BA">
        <w:rPr>
          <w:rFonts w:ascii="Courier New" w:hAnsi="Courier New" w:cs="Courier New"/>
          <w:sz w:val="24"/>
          <w:szCs w:val="24"/>
        </w:rPr>
        <w:t xml:space="preserve">one that provides an </w:t>
      </w:r>
      <w:r>
        <w:rPr>
          <w:rFonts w:ascii="Courier New" w:hAnsi="Courier New" w:cs="Courier New"/>
          <w:sz w:val="24"/>
          <w:szCs w:val="24"/>
        </w:rPr>
        <w:t>“</w:t>
      </w:r>
      <w:r w:rsidRPr="00B536BA">
        <w:rPr>
          <w:rFonts w:ascii="Courier New" w:hAnsi="Courier New" w:cs="Courier New"/>
          <w:sz w:val="24"/>
          <w:szCs w:val="24"/>
        </w:rPr>
        <w:t>eligible program</w:t>
      </w:r>
      <w:r>
        <w:rPr>
          <w:rFonts w:ascii="Courier New" w:hAnsi="Courier New" w:cs="Courier New"/>
          <w:sz w:val="24"/>
          <w:szCs w:val="24"/>
        </w:rPr>
        <w:t xml:space="preserve"> </w:t>
      </w:r>
      <w:r w:rsidRPr="00B536BA">
        <w:rPr>
          <w:rFonts w:ascii="Courier New" w:hAnsi="Courier New" w:cs="Courier New"/>
          <w:sz w:val="24"/>
          <w:szCs w:val="24"/>
        </w:rPr>
        <w:t>of training to prepare students for</w:t>
      </w:r>
      <w:r>
        <w:rPr>
          <w:rFonts w:ascii="Courier New" w:hAnsi="Courier New" w:cs="Courier New"/>
          <w:sz w:val="24"/>
          <w:szCs w:val="24"/>
        </w:rPr>
        <w:t xml:space="preserve"> </w:t>
      </w:r>
      <w:r w:rsidRPr="00B536BA">
        <w:rPr>
          <w:rFonts w:ascii="Courier New" w:hAnsi="Courier New" w:cs="Courier New"/>
          <w:sz w:val="24"/>
          <w:szCs w:val="24"/>
        </w:rPr>
        <w:t>gainful employment in a recognized</w:t>
      </w:r>
      <w:r>
        <w:rPr>
          <w:rFonts w:ascii="Courier New" w:hAnsi="Courier New" w:cs="Courier New"/>
          <w:sz w:val="24"/>
          <w:szCs w:val="24"/>
        </w:rPr>
        <w:t xml:space="preserve"> occupation.”</w:t>
      </w:r>
      <w:r w:rsidRPr="00B536BA">
        <w:rPr>
          <w:rFonts w:ascii="Courier New" w:hAnsi="Courier New" w:cs="Courier New"/>
          <w:sz w:val="24"/>
          <w:szCs w:val="24"/>
        </w:rPr>
        <w:t xml:space="preserve"> </w:t>
      </w:r>
      <w:r>
        <w:rPr>
          <w:rFonts w:ascii="Courier New" w:hAnsi="Courier New" w:cs="Courier New"/>
          <w:sz w:val="24"/>
          <w:szCs w:val="24"/>
        </w:rPr>
        <w:t xml:space="preserve"> </w:t>
      </w:r>
      <w:r w:rsidRPr="00B536BA">
        <w:rPr>
          <w:rFonts w:ascii="Courier New" w:hAnsi="Courier New" w:cs="Courier New"/>
          <w:sz w:val="24"/>
          <w:szCs w:val="24"/>
        </w:rPr>
        <w:t>20 U.S.C. 1001(b)(1),</w:t>
      </w:r>
      <w:r>
        <w:rPr>
          <w:rFonts w:ascii="Courier New" w:hAnsi="Courier New" w:cs="Courier New"/>
          <w:sz w:val="24"/>
          <w:szCs w:val="24"/>
        </w:rPr>
        <w:t xml:space="preserve"> </w:t>
      </w:r>
      <w:r w:rsidRPr="00B536BA">
        <w:rPr>
          <w:rFonts w:ascii="Courier New" w:hAnsi="Courier New" w:cs="Courier New"/>
          <w:sz w:val="24"/>
          <w:szCs w:val="24"/>
        </w:rPr>
        <w:t xml:space="preserve">1002(b)(1)(A)(i), (c)(1)(A). </w:t>
      </w:r>
      <w:r>
        <w:rPr>
          <w:rFonts w:ascii="Courier New" w:hAnsi="Courier New" w:cs="Courier New"/>
          <w:sz w:val="24"/>
          <w:szCs w:val="24"/>
        </w:rPr>
        <w:t xml:space="preserve"> </w:t>
      </w:r>
      <w:r w:rsidRPr="00B536BA">
        <w:rPr>
          <w:rFonts w:ascii="Courier New" w:hAnsi="Courier New" w:cs="Courier New"/>
          <w:sz w:val="24"/>
          <w:szCs w:val="24"/>
        </w:rPr>
        <w:t>Section 481(b)</w:t>
      </w:r>
      <w:r>
        <w:rPr>
          <w:rFonts w:ascii="Courier New" w:hAnsi="Courier New" w:cs="Courier New"/>
          <w:sz w:val="24"/>
          <w:szCs w:val="24"/>
        </w:rPr>
        <w:t xml:space="preserve"> </w:t>
      </w:r>
      <w:r w:rsidRPr="00B536BA">
        <w:rPr>
          <w:rFonts w:ascii="Courier New" w:hAnsi="Courier New" w:cs="Courier New"/>
          <w:sz w:val="24"/>
          <w:szCs w:val="24"/>
        </w:rPr>
        <w:t xml:space="preserve">of the HEA defines </w:t>
      </w:r>
      <w:r>
        <w:rPr>
          <w:rFonts w:ascii="Courier New" w:hAnsi="Courier New" w:cs="Courier New"/>
          <w:sz w:val="24"/>
          <w:szCs w:val="24"/>
        </w:rPr>
        <w:t>“</w:t>
      </w:r>
      <w:r w:rsidRPr="00B536BA">
        <w:rPr>
          <w:rFonts w:ascii="Courier New" w:hAnsi="Courier New" w:cs="Courier New"/>
          <w:sz w:val="24"/>
          <w:szCs w:val="24"/>
        </w:rPr>
        <w:t>eligible program</w:t>
      </w:r>
      <w:r>
        <w:rPr>
          <w:rFonts w:ascii="Courier New" w:hAnsi="Courier New" w:cs="Courier New"/>
          <w:sz w:val="24"/>
          <w:szCs w:val="24"/>
        </w:rPr>
        <w:t xml:space="preserve">” </w:t>
      </w:r>
      <w:r w:rsidRPr="00B536BA">
        <w:rPr>
          <w:rFonts w:ascii="Courier New" w:hAnsi="Courier New" w:cs="Courier New"/>
          <w:sz w:val="24"/>
          <w:szCs w:val="24"/>
        </w:rPr>
        <w:t xml:space="preserve">to include a program that </w:t>
      </w:r>
      <w:r>
        <w:rPr>
          <w:rFonts w:ascii="Courier New" w:hAnsi="Courier New" w:cs="Courier New"/>
          <w:sz w:val="24"/>
          <w:szCs w:val="24"/>
        </w:rPr>
        <w:t>“</w:t>
      </w:r>
      <w:r w:rsidRPr="00B536BA">
        <w:rPr>
          <w:rFonts w:ascii="Courier New" w:hAnsi="Courier New" w:cs="Courier New"/>
          <w:sz w:val="24"/>
          <w:szCs w:val="24"/>
        </w:rPr>
        <w:t>provides a</w:t>
      </w:r>
      <w:r>
        <w:rPr>
          <w:rFonts w:ascii="Courier New" w:hAnsi="Courier New" w:cs="Courier New"/>
          <w:sz w:val="24"/>
          <w:szCs w:val="24"/>
        </w:rPr>
        <w:t xml:space="preserve"> </w:t>
      </w:r>
      <w:r w:rsidRPr="00B536BA">
        <w:rPr>
          <w:rFonts w:ascii="Courier New" w:hAnsi="Courier New" w:cs="Courier New"/>
          <w:sz w:val="24"/>
          <w:szCs w:val="24"/>
        </w:rPr>
        <w:t>program of training to prepare students</w:t>
      </w:r>
      <w:r>
        <w:rPr>
          <w:rFonts w:ascii="Courier New" w:hAnsi="Courier New" w:cs="Courier New"/>
          <w:sz w:val="24"/>
          <w:szCs w:val="24"/>
        </w:rPr>
        <w:t xml:space="preserve"> </w:t>
      </w:r>
      <w:r w:rsidRPr="00B536BA">
        <w:rPr>
          <w:rFonts w:ascii="Courier New" w:hAnsi="Courier New" w:cs="Courier New"/>
          <w:sz w:val="24"/>
          <w:szCs w:val="24"/>
        </w:rPr>
        <w:t>for gainful employment in a recognized</w:t>
      </w:r>
      <w:r>
        <w:rPr>
          <w:rFonts w:ascii="Courier New" w:hAnsi="Courier New" w:cs="Courier New"/>
          <w:sz w:val="24"/>
          <w:szCs w:val="24"/>
        </w:rPr>
        <w:t xml:space="preserve"> profession.”</w:t>
      </w:r>
      <w:r w:rsidRPr="00B536BA">
        <w:rPr>
          <w:rFonts w:ascii="Courier New" w:hAnsi="Courier New" w:cs="Courier New"/>
          <w:sz w:val="24"/>
          <w:szCs w:val="24"/>
        </w:rPr>
        <w:t xml:space="preserve"> </w:t>
      </w:r>
      <w:r>
        <w:rPr>
          <w:rFonts w:ascii="Courier New" w:hAnsi="Courier New" w:cs="Courier New"/>
          <w:sz w:val="24"/>
          <w:szCs w:val="24"/>
        </w:rPr>
        <w:t xml:space="preserve"> </w:t>
      </w:r>
      <w:r w:rsidRPr="00B536BA">
        <w:rPr>
          <w:rFonts w:ascii="Courier New" w:hAnsi="Courier New" w:cs="Courier New"/>
          <w:sz w:val="24"/>
          <w:szCs w:val="24"/>
        </w:rPr>
        <w:t xml:space="preserve">20 U.S.C. 1088(b). </w:t>
      </w:r>
      <w:r>
        <w:rPr>
          <w:rFonts w:ascii="Courier New" w:hAnsi="Courier New" w:cs="Courier New"/>
          <w:sz w:val="24"/>
          <w:szCs w:val="24"/>
        </w:rPr>
        <w:t xml:space="preserve"> </w:t>
      </w:r>
      <w:r w:rsidRPr="00B536BA">
        <w:rPr>
          <w:rFonts w:ascii="Courier New" w:hAnsi="Courier New" w:cs="Courier New"/>
          <w:sz w:val="24"/>
          <w:szCs w:val="24"/>
        </w:rPr>
        <w:t>Briefly,</w:t>
      </w:r>
      <w:r>
        <w:rPr>
          <w:rFonts w:ascii="Courier New" w:hAnsi="Courier New" w:cs="Courier New"/>
          <w:sz w:val="24"/>
          <w:szCs w:val="24"/>
        </w:rPr>
        <w:t xml:space="preserve"> </w:t>
      </w:r>
      <w:r w:rsidRPr="00B536BA">
        <w:rPr>
          <w:rFonts w:ascii="Courier New" w:hAnsi="Courier New" w:cs="Courier New"/>
          <w:sz w:val="24"/>
          <w:szCs w:val="24"/>
        </w:rPr>
        <w:t>this authority establishes the</w:t>
      </w:r>
      <w:r>
        <w:rPr>
          <w:rFonts w:ascii="Courier New" w:hAnsi="Courier New" w:cs="Courier New"/>
          <w:sz w:val="24"/>
          <w:szCs w:val="24"/>
        </w:rPr>
        <w:t xml:space="preserve"> </w:t>
      </w:r>
      <w:r w:rsidRPr="00B536BA">
        <w:rPr>
          <w:rFonts w:ascii="Courier New" w:hAnsi="Courier New" w:cs="Courier New"/>
          <w:sz w:val="24"/>
          <w:szCs w:val="24"/>
        </w:rPr>
        <w:t xml:space="preserve">requirement that </w:t>
      </w:r>
      <w:r>
        <w:rPr>
          <w:rFonts w:ascii="Courier New" w:hAnsi="Courier New" w:cs="Courier New"/>
          <w:sz w:val="24"/>
          <w:szCs w:val="24"/>
        </w:rPr>
        <w:t>certain</w:t>
      </w:r>
      <w:r w:rsidRPr="00B536BA">
        <w:rPr>
          <w:rFonts w:ascii="Courier New" w:hAnsi="Courier New" w:cs="Courier New"/>
          <w:sz w:val="24"/>
          <w:szCs w:val="24"/>
        </w:rPr>
        <w:t xml:space="preserve"> educational</w:t>
      </w:r>
      <w:r>
        <w:rPr>
          <w:rFonts w:ascii="Courier New" w:hAnsi="Courier New" w:cs="Courier New"/>
          <w:sz w:val="24"/>
          <w:szCs w:val="24"/>
        </w:rPr>
        <w:t xml:space="preserve"> </w:t>
      </w:r>
      <w:r w:rsidRPr="00B536BA">
        <w:rPr>
          <w:rFonts w:ascii="Courier New" w:hAnsi="Courier New" w:cs="Courier New"/>
          <w:sz w:val="24"/>
          <w:szCs w:val="24"/>
        </w:rPr>
        <w:t xml:space="preserve">programs </w:t>
      </w:r>
      <w:r>
        <w:rPr>
          <w:rFonts w:ascii="Courier New" w:hAnsi="Courier New" w:cs="Courier New"/>
          <w:sz w:val="24"/>
          <w:szCs w:val="24"/>
        </w:rPr>
        <w:t>must provide training that prepare students for gainful employment in a recognized occupation in order for those program</w:t>
      </w:r>
      <w:r w:rsidR="00B857D1">
        <w:rPr>
          <w:rFonts w:ascii="Courier New" w:hAnsi="Courier New" w:cs="Courier New"/>
          <w:sz w:val="24"/>
          <w:szCs w:val="24"/>
        </w:rPr>
        <w:t>s</w:t>
      </w:r>
      <w:r>
        <w:rPr>
          <w:rFonts w:ascii="Courier New" w:hAnsi="Courier New" w:cs="Courier New"/>
          <w:sz w:val="24"/>
          <w:szCs w:val="24"/>
        </w:rPr>
        <w:t xml:space="preserve"> to be </w:t>
      </w:r>
      <w:r w:rsidRPr="00B536BA">
        <w:rPr>
          <w:rFonts w:ascii="Courier New" w:hAnsi="Courier New" w:cs="Courier New"/>
          <w:sz w:val="24"/>
          <w:szCs w:val="24"/>
        </w:rPr>
        <w:t>eligible for title IV,</w:t>
      </w:r>
      <w:r>
        <w:rPr>
          <w:rFonts w:ascii="Courier New" w:hAnsi="Courier New" w:cs="Courier New"/>
          <w:sz w:val="24"/>
          <w:szCs w:val="24"/>
        </w:rPr>
        <w:t xml:space="preserve"> </w:t>
      </w:r>
      <w:r w:rsidRPr="00B536BA">
        <w:rPr>
          <w:rFonts w:ascii="Courier New" w:hAnsi="Courier New" w:cs="Courier New"/>
          <w:sz w:val="24"/>
          <w:szCs w:val="24"/>
        </w:rPr>
        <w:t>HEA program funds</w:t>
      </w:r>
      <w:r>
        <w:rPr>
          <w:rFonts w:ascii="Courier New" w:hAnsi="Courier New" w:cs="Courier New"/>
          <w:sz w:val="24"/>
          <w:szCs w:val="24"/>
        </w:rPr>
        <w:t xml:space="preserve"> --</w:t>
      </w:r>
      <w:r w:rsidRPr="00B536BA">
        <w:rPr>
          <w:rFonts w:ascii="Courier New" w:hAnsi="Courier New" w:cs="Courier New"/>
          <w:sz w:val="24"/>
          <w:szCs w:val="24"/>
        </w:rPr>
        <w:t xml:space="preserve"> the requirement that the</w:t>
      </w:r>
      <w:r>
        <w:rPr>
          <w:rFonts w:ascii="Courier New" w:hAnsi="Courier New" w:cs="Courier New"/>
          <w:sz w:val="24"/>
          <w:szCs w:val="24"/>
        </w:rPr>
        <w:t xml:space="preserve"> </w:t>
      </w:r>
      <w:r w:rsidRPr="00B536BA">
        <w:rPr>
          <w:rFonts w:ascii="Courier New" w:hAnsi="Courier New" w:cs="Courier New"/>
          <w:sz w:val="24"/>
          <w:szCs w:val="24"/>
        </w:rPr>
        <w:t>Department define</w:t>
      </w:r>
      <w:r>
        <w:rPr>
          <w:rFonts w:ascii="Courier New" w:hAnsi="Courier New" w:cs="Courier New"/>
          <w:sz w:val="24"/>
          <w:szCs w:val="24"/>
        </w:rPr>
        <w:t>s</w:t>
      </w:r>
      <w:r w:rsidRPr="00B536BA">
        <w:rPr>
          <w:rFonts w:ascii="Courier New" w:hAnsi="Courier New" w:cs="Courier New"/>
          <w:sz w:val="24"/>
          <w:szCs w:val="24"/>
        </w:rPr>
        <w:t xml:space="preserve"> through the</w:t>
      </w:r>
      <w:r>
        <w:rPr>
          <w:rFonts w:ascii="Courier New" w:hAnsi="Courier New" w:cs="Courier New"/>
          <w:sz w:val="24"/>
          <w:szCs w:val="24"/>
        </w:rPr>
        <w:t xml:space="preserve">se </w:t>
      </w:r>
      <w:r w:rsidRPr="00B536BA">
        <w:rPr>
          <w:rFonts w:ascii="Courier New" w:hAnsi="Courier New" w:cs="Courier New"/>
          <w:sz w:val="24"/>
          <w:szCs w:val="24"/>
        </w:rPr>
        <w:t>regulations</w:t>
      </w:r>
      <w:r>
        <w:rPr>
          <w:rFonts w:ascii="Courier New" w:hAnsi="Courier New" w:cs="Courier New"/>
          <w:sz w:val="24"/>
          <w:szCs w:val="24"/>
        </w:rPr>
        <w:t>.</w:t>
      </w:r>
    </w:p>
    <w:p w14:paraId="4B4D6B55" w14:textId="7E6644CA"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Second, section 410 of the General</w:t>
      </w:r>
      <w:r>
        <w:rPr>
          <w:rFonts w:ascii="Courier New" w:hAnsi="Courier New" w:cs="Courier New"/>
          <w:sz w:val="24"/>
          <w:szCs w:val="24"/>
        </w:rPr>
        <w:t xml:space="preserve"> </w:t>
      </w:r>
      <w:r w:rsidRPr="00B536BA">
        <w:rPr>
          <w:rFonts w:ascii="Courier New" w:hAnsi="Courier New" w:cs="Courier New"/>
          <w:sz w:val="24"/>
          <w:szCs w:val="24"/>
        </w:rPr>
        <w:t>Education Provisions Act provides the</w:t>
      </w:r>
      <w:r>
        <w:rPr>
          <w:rFonts w:ascii="Courier New" w:hAnsi="Courier New" w:cs="Courier New"/>
          <w:sz w:val="24"/>
          <w:szCs w:val="24"/>
        </w:rPr>
        <w:t xml:space="preserve"> </w:t>
      </w:r>
      <w:r w:rsidRPr="00B536BA">
        <w:rPr>
          <w:rFonts w:ascii="Courier New" w:hAnsi="Courier New" w:cs="Courier New"/>
          <w:sz w:val="24"/>
          <w:szCs w:val="24"/>
        </w:rPr>
        <w:t>Secretary with authority to make,</w:t>
      </w:r>
      <w:r>
        <w:rPr>
          <w:rFonts w:ascii="Courier New" w:hAnsi="Courier New" w:cs="Courier New"/>
          <w:sz w:val="24"/>
          <w:szCs w:val="24"/>
        </w:rPr>
        <w:t xml:space="preserve"> </w:t>
      </w:r>
      <w:r w:rsidRPr="00B536BA">
        <w:rPr>
          <w:rFonts w:ascii="Courier New" w:hAnsi="Courier New" w:cs="Courier New"/>
          <w:sz w:val="24"/>
          <w:szCs w:val="24"/>
        </w:rPr>
        <w:t>promulgate, issue, rescind, and amend</w:t>
      </w:r>
      <w:r>
        <w:rPr>
          <w:rFonts w:ascii="Courier New" w:hAnsi="Courier New" w:cs="Courier New"/>
          <w:sz w:val="24"/>
          <w:szCs w:val="24"/>
        </w:rPr>
        <w:t xml:space="preserve"> </w:t>
      </w:r>
      <w:r w:rsidRPr="00B536BA">
        <w:rPr>
          <w:rFonts w:ascii="Courier New" w:hAnsi="Courier New" w:cs="Courier New"/>
          <w:sz w:val="24"/>
          <w:szCs w:val="24"/>
        </w:rPr>
        <w:t>rules and regulations governing the</w:t>
      </w:r>
      <w:r>
        <w:rPr>
          <w:rFonts w:ascii="Courier New" w:hAnsi="Courier New" w:cs="Courier New"/>
          <w:sz w:val="24"/>
          <w:szCs w:val="24"/>
        </w:rPr>
        <w:t xml:space="preserve"> </w:t>
      </w:r>
      <w:r w:rsidRPr="00B536BA">
        <w:rPr>
          <w:rFonts w:ascii="Courier New" w:hAnsi="Courier New" w:cs="Courier New"/>
          <w:sz w:val="24"/>
          <w:szCs w:val="24"/>
        </w:rPr>
        <w:t>manner of operations of, and governing</w:t>
      </w:r>
      <w:r>
        <w:rPr>
          <w:rFonts w:ascii="Courier New" w:hAnsi="Courier New" w:cs="Courier New"/>
          <w:sz w:val="24"/>
          <w:szCs w:val="24"/>
        </w:rPr>
        <w:t xml:space="preserve"> </w:t>
      </w:r>
      <w:r w:rsidRPr="00B536BA">
        <w:rPr>
          <w:rFonts w:ascii="Courier New" w:hAnsi="Courier New" w:cs="Courier New"/>
          <w:sz w:val="24"/>
          <w:szCs w:val="24"/>
        </w:rPr>
        <w:t>the applicable programs administered</w:t>
      </w:r>
      <w:r>
        <w:rPr>
          <w:rFonts w:ascii="Courier New" w:hAnsi="Courier New" w:cs="Courier New"/>
          <w:sz w:val="24"/>
          <w:szCs w:val="24"/>
        </w:rPr>
        <w:t xml:space="preserve"> </w:t>
      </w:r>
      <w:r w:rsidRPr="00B536BA">
        <w:rPr>
          <w:rFonts w:ascii="Courier New" w:hAnsi="Courier New" w:cs="Courier New"/>
          <w:sz w:val="24"/>
          <w:szCs w:val="24"/>
        </w:rPr>
        <w:t>by, the</w:t>
      </w:r>
      <w:r>
        <w:rPr>
          <w:rFonts w:ascii="Courier New" w:hAnsi="Courier New" w:cs="Courier New"/>
          <w:sz w:val="24"/>
          <w:szCs w:val="24"/>
        </w:rPr>
        <w:t xml:space="preserve"> Department.  20 U.S.C. 1221e-3.  </w:t>
      </w:r>
      <w:r w:rsidRPr="00B536BA">
        <w:rPr>
          <w:rFonts w:ascii="Courier New" w:hAnsi="Courier New" w:cs="Courier New"/>
          <w:sz w:val="24"/>
          <w:szCs w:val="24"/>
        </w:rPr>
        <w:t>Furthermore, under section 414 of the</w:t>
      </w:r>
      <w:r>
        <w:rPr>
          <w:rFonts w:ascii="Courier New" w:hAnsi="Courier New" w:cs="Courier New"/>
          <w:sz w:val="24"/>
          <w:szCs w:val="24"/>
        </w:rPr>
        <w:t xml:space="preserve"> </w:t>
      </w:r>
      <w:r w:rsidRPr="00B536BA">
        <w:rPr>
          <w:rFonts w:ascii="Courier New" w:hAnsi="Courier New" w:cs="Courier New"/>
          <w:sz w:val="24"/>
          <w:szCs w:val="24"/>
        </w:rPr>
        <w:t>Department of Education Organization</w:t>
      </w:r>
      <w:r>
        <w:rPr>
          <w:rFonts w:ascii="Courier New" w:hAnsi="Courier New" w:cs="Courier New"/>
          <w:sz w:val="24"/>
          <w:szCs w:val="24"/>
        </w:rPr>
        <w:t xml:space="preserve"> </w:t>
      </w:r>
      <w:r w:rsidRPr="00B536BA">
        <w:rPr>
          <w:rFonts w:ascii="Courier New" w:hAnsi="Courier New" w:cs="Courier New"/>
          <w:sz w:val="24"/>
          <w:szCs w:val="24"/>
        </w:rPr>
        <w:t>Act, the Secretary is authorized to</w:t>
      </w:r>
      <w:r>
        <w:rPr>
          <w:rFonts w:ascii="Courier New" w:hAnsi="Courier New" w:cs="Courier New"/>
          <w:sz w:val="24"/>
          <w:szCs w:val="24"/>
        </w:rPr>
        <w:t xml:space="preserve"> </w:t>
      </w:r>
      <w:r w:rsidRPr="00B536BA">
        <w:rPr>
          <w:rFonts w:ascii="Courier New" w:hAnsi="Courier New" w:cs="Courier New"/>
          <w:sz w:val="24"/>
          <w:szCs w:val="24"/>
        </w:rPr>
        <w:t xml:space="preserve">prescribe such </w:t>
      </w:r>
      <w:r w:rsidRPr="00B536BA">
        <w:rPr>
          <w:rFonts w:ascii="Courier New" w:hAnsi="Courier New" w:cs="Courier New"/>
          <w:sz w:val="24"/>
          <w:szCs w:val="24"/>
        </w:rPr>
        <w:lastRenderedPageBreak/>
        <w:t>rules and regulations as</w:t>
      </w:r>
      <w:r>
        <w:rPr>
          <w:rFonts w:ascii="Courier New" w:hAnsi="Courier New" w:cs="Courier New"/>
          <w:sz w:val="24"/>
          <w:szCs w:val="24"/>
        </w:rPr>
        <w:t xml:space="preserve"> </w:t>
      </w:r>
      <w:r w:rsidRPr="00B536BA">
        <w:rPr>
          <w:rFonts w:ascii="Courier New" w:hAnsi="Courier New" w:cs="Courier New"/>
          <w:sz w:val="24"/>
          <w:szCs w:val="24"/>
        </w:rPr>
        <w:t>the Secretary determines necessary or</w:t>
      </w:r>
      <w:r>
        <w:rPr>
          <w:rFonts w:ascii="Courier New" w:hAnsi="Courier New" w:cs="Courier New"/>
          <w:sz w:val="24"/>
          <w:szCs w:val="24"/>
        </w:rPr>
        <w:t xml:space="preserve"> </w:t>
      </w:r>
      <w:r w:rsidRPr="00B536BA">
        <w:rPr>
          <w:rFonts w:ascii="Courier New" w:hAnsi="Courier New" w:cs="Courier New"/>
          <w:sz w:val="24"/>
          <w:szCs w:val="24"/>
        </w:rPr>
        <w:t>appropriate to administer and manage</w:t>
      </w:r>
      <w:r>
        <w:rPr>
          <w:rFonts w:ascii="Courier New" w:hAnsi="Courier New" w:cs="Courier New"/>
          <w:sz w:val="24"/>
          <w:szCs w:val="24"/>
        </w:rPr>
        <w:t xml:space="preserve"> </w:t>
      </w:r>
      <w:r w:rsidRPr="00B536BA">
        <w:rPr>
          <w:rFonts w:ascii="Courier New" w:hAnsi="Courier New" w:cs="Courier New"/>
          <w:sz w:val="24"/>
          <w:szCs w:val="24"/>
        </w:rPr>
        <w:t>the functions of the Secretary or the</w:t>
      </w:r>
      <w:r>
        <w:rPr>
          <w:rFonts w:ascii="Courier New" w:hAnsi="Courier New" w:cs="Courier New"/>
          <w:sz w:val="24"/>
          <w:szCs w:val="24"/>
        </w:rPr>
        <w:t xml:space="preserve"> </w:t>
      </w:r>
      <w:r w:rsidRPr="00B536BA">
        <w:rPr>
          <w:rFonts w:ascii="Courier New" w:hAnsi="Courier New" w:cs="Courier New"/>
          <w:sz w:val="24"/>
          <w:szCs w:val="24"/>
        </w:rPr>
        <w:t xml:space="preserve">Department. </w:t>
      </w:r>
      <w:r>
        <w:rPr>
          <w:rFonts w:ascii="Courier New" w:hAnsi="Courier New" w:cs="Courier New"/>
          <w:sz w:val="24"/>
          <w:szCs w:val="24"/>
        </w:rPr>
        <w:t xml:space="preserve"> </w:t>
      </w:r>
      <w:r w:rsidRPr="00B536BA">
        <w:rPr>
          <w:rFonts w:ascii="Courier New" w:hAnsi="Courier New" w:cs="Courier New"/>
          <w:sz w:val="24"/>
          <w:szCs w:val="24"/>
        </w:rPr>
        <w:t xml:space="preserve">20 U.S.C. 3474. </w:t>
      </w:r>
      <w:r>
        <w:rPr>
          <w:rFonts w:ascii="Courier New" w:hAnsi="Courier New" w:cs="Courier New"/>
          <w:sz w:val="24"/>
          <w:szCs w:val="24"/>
        </w:rPr>
        <w:t xml:space="preserve"> </w:t>
      </w:r>
      <w:r w:rsidRPr="00B536BA">
        <w:rPr>
          <w:rFonts w:ascii="Courier New" w:hAnsi="Courier New" w:cs="Courier New"/>
          <w:sz w:val="24"/>
          <w:szCs w:val="24"/>
        </w:rPr>
        <w:t>These</w:t>
      </w:r>
      <w:r>
        <w:rPr>
          <w:rFonts w:ascii="Courier New" w:hAnsi="Courier New" w:cs="Courier New"/>
          <w:sz w:val="24"/>
          <w:szCs w:val="24"/>
        </w:rPr>
        <w:t xml:space="preserve"> </w:t>
      </w:r>
      <w:r w:rsidRPr="00B536BA">
        <w:rPr>
          <w:rFonts w:ascii="Courier New" w:hAnsi="Courier New" w:cs="Courier New"/>
          <w:sz w:val="24"/>
          <w:szCs w:val="24"/>
        </w:rPr>
        <w:t>authorities</w:t>
      </w:r>
      <w:r>
        <w:rPr>
          <w:rFonts w:ascii="Courier New" w:hAnsi="Courier New" w:cs="Courier New"/>
          <w:sz w:val="24"/>
          <w:szCs w:val="24"/>
        </w:rPr>
        <w:t>, together with the provisions in the HEA,</w:t>
      </w:r>
      <w:r w:rsidRPr="00B536BA">
        <w:rPr>
          <w:rFonts w:ascii="Courier New" w:hAnsi="Courier New" w:cs="Courier New"/>
          <w:sz w:val="24"/>
          <w:szCs w:val="24"/>
        </w:rPr>
        <w:t xml:space="preserve"> thus include promulgating</w:t>
      </w:r>
      <w:r>
        <w:rPr>
          <w:rFonts w:ascii="Courier New" w:hAnsi="Courier New" w:cs="Courier New"/>
          <w:sz w:val="24"/>
          <w:szCs w:val="24"/>
        </w:rPr>
        <w:t xml:space="preserve"> </w:t>
      </w:r>
      <w:r w:rsidRPr="00B536BA">
        <w:rPr>
          <w:rFonts w:ascii="Courier New" w:hAnsi="Courier New" w:cs="Courier New"/>
          <w:sz w:val="24"/>
          <w:szCs w:val="24"/>
        </w:rPr>
        <w:t xml:space="preserve">regulations that, in this case: </w:t>
      </w:r>
      <w:r>
        <w:rPr>
          <w:rFonts w:ascii="Courier New" w:hAnsi="Courier New" w:cs="Courier New"/>
          <w:sz w:val="24"/>
          <w:szCs w:val="24"/>
        </w:rPr>
        <w:t xml:space="preserve"> </w:t>
      </w:r>
      <w:r w:rsidRPr="00B536BA">
        <w:rPr>
          <w:rFonts w:ascii="Courier New" w:hAnsi="Courier New" w:cs="Courier New"/>
          <w:sz w:val="24"/>
          <w:szCs w:val="24"/>
        </w:rPr>
        <w:t>set</w:t>
      </w:r>
      <w:r>
        <w:rPr>
          <w:rFonts w:ascii="Courier New" w:hAnsi="Courier New" w:cs="Courier New"/>
          <w:sz w:val="24"/>
          <w:szCs w:val="24"/>
        </w:rPr>
        <w:t xml:space="preserve"> </w:t>
      </w:r>
      <w:r w:rsidRPr="00B536BA">
        <w:rPr>
          <w:rFonts w:ascii="Courier New" w:hAnsi="Courier New" w:cs="Courier New"/>
          <w:sz w:val="24"/>
          <w:szCs w:val="24"/>
        </w:rPr>
        <w:t>measures to determine the eligibility of</w:t>
      </w:r>
      <w:r>
        <w:rPr>
          <w:rFonts w:ascii="Courier New" w:hAnsi="Courier New" w:cs="Courier New"/>
          <w:sz w:val="24"/>
          <w:szCs w:val="24"/>
        </w:rPr>
        <w:t xml:space="preserve"> </w:t>
      </w:r>
      <w:r w:rsidRPr="00B536BA">
        <w:rPr>
          <w:rFonts w:ascii="Courier New" w:hAnsi="Courier New" w:cs="Courier New"/>
          <w:sz w:val="24"/>
          <w:szCs w:val="24"/>
        </w:rPr>
        <w:t>GE programs for title IV, HEA program</w:t>
      </w:r>
      <w:r>
        <w:rPr>
          <w:rFonts w:ascii="Courier New" w:hAnsi="Courier New" w:cs="Courier New"/>
          <w:sz w:val="24"/>
          <w:szCs w:val="24"/>
        </w:rPr>
        <w:t xml:space="preserve"> </w:t>
      </w:r>
      <w:r w:rsidRPr="00B536BA">
        <w:rPr>
          <w:rFonts w:ascii="Courier New" w:hAnsi="Courier New" w:cs="Courier New"/>
          <w:sz w:val="24"/>
          <w:szCs w:val="24"/>
        </w:rPr>
        <w:t>funds; require institutions to report</w:t>
      </w:r>
      <w:r>
        <w:rPr>
          <w:rFonts w:ascii="Courier New" w:hAnsi="Courier New" w:cs="Courier New"/>
          <w:sz w:val="24"/>
          <w:szCs w:val="24"/>
        </w:rPr>
        <w:t xml:space="preserve"> </w:t>
      </w:r>
      <w:r w:rsidRPr="00B536BA">
        <w:rPr>
          <w:rFonts w:ascii="Courier New" w:hAnsi="Courier New" w:cs="Courier New"/>
          <w:sz w:val="24"/>
          <w:szCs w:val="24"/>
        </w:rPr>
        <w:t>information about the program to the</w:t>
      </w:r>
      <w:r>
        <w:rPr>
          <w:rFonts w:ascii="Courier New" w:hAnsi="Courier New" w:cs="Courier New"/>
          <w:sz w:val="24"/>
          <w:szCs w:val="24"/>
        </w:rPr>
        <w:t xml:space="preserve"> </w:t>
      </w:r>
      <w:r w:rsidRPr="00B536BA">
        <w:rPr>
          <w:rFonts w:ascii="Courier New" w:hAnsi="Courier New" w:cs="Courier New"/>
          <w:sz w:val="24"/>
          <w:szCs w:val="24"/>
        </w:rPr>
        <w:t>Secretary; require the institution to</w:t>
      </w:r>
      <w:r>
        <w:rPr>
          <w:rFonts w:ascii="Courier New" w:hAnsi="Courier New" w:cs="Courier New"/>
          <w:sz w:val="24"/>
          <w:szCs w:val="24"/>
        </w:rPr>
        <w:t xml:space="preserve"> </w:t>
      </w:r>
      <w:r w:rsidRPr="00B536BA">
        <w:rPr>
          <w:rFonts w:ascii="Courier New" w:hAnsi="Courier New" w:cs="Courier New"/>
          <w:sz w:val="24"/>
          <w:szCs w:val="24"/>
        </w:rPr>
        <w:t>disclose information about the program</w:t>
      </w:r>
      <w:r>
        <w:rPr>
          <w:rFonts w:ascii="Courier New" w:hAnsi="Courier New" w:cs="Courier New"/>
          <w:sz w:val="24"/>
          <w:szCs w:val="24"/>
        </w:rPr>
        <w:t xml:space="preserve"> </w:t>
      </w:r>
      <w:r w:rsidRPr="00B536BA">
        <w:rPr>
          <w:rFonts w:ascii="Courier New" w:hAnsi="Courier New" w:cs="Courier New"/>
          <w:sz w:val="24"/>
          <w:szCs w:val="24"/>
        </w:rPr>
        <w:t>to students, prospective students, and</w:t>
      </w:r>
      <w:r>
        <w:rPr>
          <w:rFonts w:ascii="Courier New" w:hAnsi="Courier New" w:cs="Courier New"/>
          <w:sz w:val="24"/>
          <w:szCs w:val="24"/>
        </w:rPr>
        <w:t xml:space="preserve"> </w:t>
      </w:r>
      <w:r w:rsidRPr="00B536BA">
        <w:rPr>
          <w:rFonts w:ascii="Courier New" w:hAnsi="Courier New" w:cs="Courier New"/>
          <w:sz w:val="24"/>
          <w:szCs w:val="24"/>
        </w:rPr>
        <w:t>their families, the public, taxpayers, and</w:t>
      </w:r>
      <w:r>
        <w:rPr>
          <w:rFonts w:ascii="Courier New" w:hAnsi="Courier New" w:cs="Courier New"/>
          <w:sz w:val="24"/>
          <w:szCs w:val="24"/>
        </w:rPr>
        <w:t xml:space="preserve"> </w:t>
      </w:r>
      <w:r w:rsidRPr="00B536BA">
        <w:rPr>
          <w:rFonts w:ascii="Courier New" w:hAnsi="Courier New" w:cs="Courier New"/>
          <w:sz w:val="24"/>
          <w:szCs w:val="24"/>
        </w:rPr>
        <w:t>the Government, and institutions</w:t>
      </w:r>
      <w:r>
        <w:rPr>
          <w:rFonts w:ascii="Courier New" w:hAnsi="Courier New" w:cs="Courier New"/>
          <w:sz w:val="24"/>
          <w:szCs w:val="24"/>
        </w:rPr>
        <w:t>; and establish certification requirements regarding an institution’s GE programs.</w:t>
      </w:r>
    </w:p>
    <w:p w14:paraId="741B87F6" w14:textId="77777777"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As also explained in more detail in</w:t>
      </w:r>
      <w:r>
        <w:rPr>
          <w:rFonts w:ascii="Courier New" w:hAnsi="Courier New" w:cs="Courier New"/>
          <w:sz w:val="24"/>
          <w:szCs w:val="24"/>
        </w:rPr>
        <w:t xml:space="preserve"> “§</w:t>
      </w:r>
      <w:r w:rsidRPr="00B536BA">
        <w:rPr>
          <w:rFonts w:ascii="Courier New" w:hAnsi="Courier New" w:cs="Courier New"/>
          <w:sz w:val="24"/>
          <w:szCs w:val="24"/>
        </w:rPr>
        <w:t xml:space="preserve">668.401 </w:t>
      </w:r>
      <w:r>
        <w:rPr>
          <w:rFonts w:ascii="Courier New" w:hAnsi="Courier New" w:cs="Courier New"/>
          <w:sz w:val="24"/>
          <w:szCs w:val="24"/>
        </w:rPr>
        <w:t xml:space="preserve"> </w:t>
      </w:r>
      <w:r w:rsidRPr="00B536BA">
        <w:rPr>
          <w:rFonts w:ascii="Courier New" w:hAnsi="Courier New" w:cs="Courier New"/>
          <w:sz w:val="24"/>
          <w:szCs w:val="24"/>
        </w:rPr>
        <w:t xml:space="preserve">Scope and </w:t>
      </w:r>
      <w:r>
        <w:rPr>
          <w:rFonts w:ascii="Courier New" w:hAnsi="Courier New" w:cs="Courier New"/>
          <w:sz w:val="24"/>
          <w:szCs w:val="24"/>
        </w:rPr>
        <w:t>P</w:t>
      </w:r>
      <w:r w:rsidRPr="00B536BA">
        <w:rPr>
          <w:rFonts w:ascii="Courier New" w:hAnsi="Courier New" w:cs="Courier New"/>
          <w:sz w:val="24"/>
          <w:szCs w:val="24"/>
        </w:rPr>
        <w:t>urpose</w:t>
      </w:r>
      <w:r>
        <w:rPr>
          <w:rFonts w:ascii="Courier New" w:hAnsi="Courier New" w:cs="Courier New"/>
          <w:sz w:val="24"/>
          <w:szCs w:val="24"/>
        </w:rPr>
        <w:t>” and the NPRM,</w:t>
      </w:r>
      <w:r w:rsidRPr="00B536BA">
        <w:rPr>
          <w:rFonts w:ascii="Courier New" w:hAnsi="Courier New" w:cs="Courier New"/>
          <w:sz w:val="24"/>
          <w:szCs w:val="24"/>
        </w:rPr>
        <w:t xml:space="preserve"> the</w:t>
      </w:r>
      <w:r>
        <w:rPr>
          <w:rFonts w:ascii="Courier New" w:hAnsi="Courier New" w:cs="Courier New"/>
          <w:sz w:val="24"/>
          <w:szCs w:val="24"/>
        </w:rPr>
        <w:t xml:space="preserve"> </w:t>
      </w:r>
      <w:r w:rsidRPr="00B536BA">
        <w:rPr>
          <w:rFonts w:ascii="Courier New" w:hAnsi="Courier New" w:cs="Courier New"/>
          <w:sz w:val="24"/>
          <w:szCs w:val="24"/>
        </w:rPr>
        <w:t>Department’s authority for the</w:t>
      </w:r>
      <w:r>
        <w:rPr>
          <w:rFonts w:ascii="Courier New" w:hAnsi="Courier New" w:cs="Courier New"/>
          <w:sz w:val="24"/>
          <w:szCs w:val="24"/>
        </w:rPr>
        <w:t xml:space="preserve"> </w:t>
      </w:r>
      <w:r w:rsidRPr="00B536BA">
        <w:rPr>
          <w:rFonts w:ascii="Courier New" w:hAnsi="Courier New" w:cs="Courier New"/>
          <w:sz w:val="24"/>
          <w:szCs w:val="24"/>
        </w:rPr>
        <w:t>transparency framework is further</w:t>
      </w:r>
      <w:r>
        <w:rPr>
          <w:rFonts w:ascii="Courier New" w:hAnsi="Courier New" w:cs="Courier New"/>
          <w:sz w:val="24"/>
          <w:szCs w:val="24"/>
        </w:rPr>
        <w:t xml:space="preserve"> </w:t>
      </w:r>
      <w:r w:rsidRPr="00B536BA">
        <w:rPr>
          <w:rFonts w:ascii="Courier New" w:hAnsi="Courier New" w:cs="Courier New"/>
          <w:sz w:val="24"/>
          <w:szCs w:val="24"/>
        </w:rPr>
        <w:t>supported by section 431 of the</w:t>
      </w:r>
      <w:r>
        <w:rPr>
          <w:rFonts w:ascii="Courier New" w:hAnsi="Courier New" w:cs="Courier New"/>
          <w:sz w:val="24"/>
          <w:szCs w:val="24"/>
        </w:rPr>
        <w:t xml:space="preserve"> </w:t>
      </w:r>
      <w:r w:rsidRPr="00B536BA">
        <w:rPr>
          <w:rFonts w:ascii="Courier New" w:hAnsi="Courier New" w:cs="Courier New"/>
          <w:sz w:val="24"/>
          <w:szCs w:val="24"/>
        </w:rPr>
        <w:t>Department of Education Organization</w:t>
      </w:r>
      <w:r>
        <w:rPr>
          <w:rFonts w:ascii="Courier New" w:hAnsi="Courier New" w:cs="Courier New"/>
          <w:sz w:val="24"/>
          <w:szCs w:val="24"/>
        </w:rPr>
        <w:t xml:space="preserve"> </w:t>
      </w:r>
      <w:r w:rsidRPr="00B536BA">
        <w:rPr>
          <w:rFonts w:ascii="Courier New" w:hAnsi="Courier New" w:cs="Courier New"/>
          <w:sz w:val="24"/>
          <w:szCs w:val="24"/>
        </w:rPr>
        <w:t>Act, which provides authority to the</w:t>
      </w:r>
      <w:r>
        <w:rPr>
          <w:rFonts w:ascii="Courier New" w:hAnsi="Courier New" w:cs="Courier New"/>
          <w:sz w:val="24"/>
          <w:szCs w:val="24"/>
        </w:rPr>
        <w:t xml:space="preserve"> </w:t>
      </w:r>
      <w:r w:rsidRPr="00B536BA">
        <w:rPr>
          <w:rFonts w:ascii="Courier New" w:hAnsi="Courier New" w:cs="Courier New"/>
          <w:sz w:val="24"/>
          <w:szCs w:val="24"/>
        </w:rPr>
        <w:t>Secretary, in relevant part, to inform the</w:t>
      </w:r>
      <w:r>
        <w:rPr>
          <w:rFonts w:ascii="Courier New" w:hAnsi="Courier New" w:cs="Courier New"/>
          <w:sz w:val="24"/>
          <w:szCs w:val="24"/>
        </w:rPr>
        <w:t xml:space="preserve"> </w:t>
      </w:r>
      <w:r w:rsidRPr="00B536BA">
        <w:rPr>
          <w:rFonts w:ascii="Courier New" w:hAnsi="Courier New" w:cs="Courier New"/>
          <w:sz w:val="24"/>
          <w:szCs w:val="24"/>
        </w:rPr>
        <w:t>public regarding federally supported</w:t>
      </w:r>
      <w:r>
        <w:rPr>
          <w:rFonts w:ascii="Courier New" w:hAnsi="Courier New" w:cs="Courier New"/>
          <w:sz w:val="24"/>
          <w:szCs w:val="24"/>
        </w:rPr>
        <w:t xml:space="preserve"> </w:t>
      </w:r>
      <w:r w:rsidRPr="00B536BA">
        <w:rPr>
          <w:rFonts w:ascii="Courier New" w:hAnsi="Courier New" w:cs="Courier New"/>
          <w:sz w:val="24"/>
          <w:szCs w:val="24"/>
        </w:rPr>
        <w:t>education programs; and collect data</w:t>
      </w:r>
      <w:r>
        <w:rPr>
          <w:rFonts w:ascii="Courier New" w:hAnsi="Courier New" w:cs="Courier New"/>
          <w:sz w:val="24"/>
          <w:szCs w:val="24"/>
        </w:rPr>
        <w:t xml:space="preserve"> </w:t>
      </w:r>
      <w:r w:rsidRPr="00B536BA">
        <w:rPr>
          <w:rFonts w:ascii="Courier New" w:hAnsi="Courier New" w:cs="Courier New"/>
          <w:sz w:val="24"/>
          <w:szCs w:val="24"/>
        </w:rPr>
        <w:t>and information on applicable programs</w:t>
      </w:r>
      <w:r>
        <w:rPr>
          <w:rFonts w:ascii="Courier New" w:hAnsi="Courier New" w:cs="Courier New"/>
          <w:sz w:val="24"/>
          <w:szCs w:val="24"/>
        </w:rPr>
        <w:t xml:space="preserve"> </w:t>
      </w:r>
      <w:r w:rsidRPr="00B536BA">
        <w:rPr>
          <w:rFonts w:ascii="Courier New" w:hAnsi="Courier New" w:cs="Courier New"/>
          <w:sz w:val="24"/>
          <w:szCs w:val="24"/>
        </w:rPr>
        <w:t>for the purpose of obtaining objective</w:t>
      </w:r>
      <w:r>
        <w:rPr>
          <w:rFonts w:ascii="Courier New" w:hAnsi="Courier New" w:cs="Courier New"/>
          <w:sz w:val="24"/>
          <w:szCs w:val="24"/>
        </w:rPr>
        <w:t xml:space="preserve"> </w:t>
      </w:r>
      <w:r w:rsidRPr="00B536BA">
        <w:rPr>
          <w:rFonts w:ascii="Courier New" w:hAnsi="Courier New" w:cs="Courier New"/>
          <w:sz w:val="24"/>
          <w:szCs w:val="24"/>
        </w:rPr>
        <w:t>measurements of the effectiveness of</w:t>
      </w:r>
      <w:r>
        <w:rPr>
          <w:rFonts w:ascii="Courier New" w:hAnsi="Courier New" w:cs="Courier New"/>
          <w:sz w:val="24"/>
          <w:szCs w:val="24"/>
        </w:rPr>
        <w:t xml:space="preserve"> </w:t>
      </w:r>
      <w:r w:rsidRPr="00B536BA">
        <w:rPr>
          <w:rFonts w:ascii="Courier New" w:hAnsi="Courier New" w:cs="Courier New"/>
          <w:sz w:val="24"/>
          <w:szCs w:val="24"/>
        </w:rPr>
        <w:t xml:space="preserve">such programs in achieving the intended purposes of such programs. </w:t>
      </w:r>
      <w:r>
        <w:rPr>
          <w:rFonts w:ascii="Courier New" w:hAnsi="Courier New" w:cs="Courier New"/>
          <w:sz w:val="24"/>
          <w:szCs w:val="24"/>
        </w:rPr>
        <w:t xml:space="preserve"> </w:t>
      </w:r>
      <w:r w:rsidRPr="00B536BA">
        <w:rPr>
          <w:rFonts w:ascii="Courier New" w:hAnsi="Courier New" w:cs="Courier New"/>
          <w:sz w:val="24"/>
          <w:szCs w:val="24"/>
        </w:rPr>
        <w:t>20</w:t>
      </w:r>
      <w:r>
        <w:rPr>
          <w:rFonts w:ascii="Courier New" w:hAnsi="Courier New" w:cs="Courier New"/>
          <w:sz w:val="24"/>
          <w:szCs w:val="24"/>
        </w:rPr>
        <w:t xml:space="preserve"> </w:t>
      </w:r>
      <w:r w:rsidRPr="00B536BA">
        <w:rPr>
          <w:rFonts w:ascii="Courier New" w:hAnsi="Courier New" w:cs="Courier New"/>
          <w:sz w:val="24"/>
          <w:szCs w:val="24"/>
        </w:rPr>
        <w:t>U.S.C. 1231a.</w:t>
      </w:r>
    </w:p>
    <w:p w14:paraId="4F8FC683" w14:textId="346A0041" w:rsidR="004D408A" w:rsidRPr="00B536BA" w:rsidRDefault="00571AE4" w:rsidP="004D408A">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lastRenderedPageBreak/>
        <w:t xml:space="preserve">     </w:t>
      </w:r>
      <w:r w:rsidR="004D408A" w:rsidRPr="00B536BA">
        <w:rPr>
          <w:rFonts w:ascii="Courier New" w:hAnsi="Courier New" w:cs="Courier New"/>
          <w:sz w:val="24"/>
          <w:szCs w:val="24"/>
        </w:rPr>
        <w:t>The Department’s authority for the</w:t>
      </w:r>
      <w:r w:rsidR="004D408A">
        <w:rPr>
          <w:rFonts w:ascii="Courier New" w:hAnsi="Courier New" w:cs="Courier New"/>
          <w:sz w:val="24"/>
          <w:szCs w:val="24"/>
        </w:rPr>
        <w:t xml:space="preserve"> </w:t>
      </w:r>
      <w:r w:rsidR="004D408A" w:rsidRPr="00B536BA">
        <w:rPr>
          <w:rFonts w:ascii="Courier New" w:hAnsi="Courier New" w:cs="Courier New"/>
          <w:sz w:val="24"/>
          <w:szCs w:val="24"/>
        </w:rPr>
        <w:t>regulations is also informed</w:t>
      </w:r>
      <w:r w:rsidR="004D408A">
        <w:rPr>
          <w:rFonts w:ascii="Courier New" w:hAnsi="Courier New" w:cs="Courier New"/>
          <w:sz w:val="24"/>
          <w:szCs w:val="24"/>
        </w:rPr>
        <w:t xml:space="preserve"> </w:t>
      </w:r>
      <w:r w:rsidR="004D408A" w:rsidRPr="00B536BA">
        <w:rPr>
          <w:rFonts w:ascii="Courier New" w:hAnsi="Courier New" w:cs="Courier New"/>
          <w:sz w:val="24"/>
          <w:szCs w:val="24"/>
        </w:rPr>
        <w:t>by the legislative history of the</w:t>
      </w:r>
      <w:r w:rsidR="004D408A">
        <w:rPr>
          <w:rFonts w:ascii="Courier New" w:hAnsi="Courier New" w:cs="Courier New"/>
          <w:sz w:val="24"/>
          <w:szCs w:val="24"/>
        </w:rPr>
        <w:t xml:space="preserve"> </w:t>
      </w:r>
      <w:r w:rsidR="004D408A" w:rsidRPr="00B536BA">
        <w:rPr>
          <w:rFonts w:ascii="Courier New" w:hAnsi="Courier New" w:cs="Courier New"/>
          <w:sz w:val="24"/>
          <w:szCs w:val="24"/>
        </w:rPr>
        <w:t>provisions</w:t>
      </w:r>
      <w:r w:rsidR="004D408A">
        <w:rPr>
          <w:rFonts w:ascii="Courier New" w:hAnsi="Courier New" w:cs="Courier New"/>
          <w:sz w:val="24"/>
          <w:szCs w:val="24"/>
        </w:rPr>
        <w:t xml:space="preserve"> of the HEA</w:t>
      </w:r>
      <w:r w:rsidR="004D408A" w:rsidRPr="00B536BA">
        <w:rPr>
          <w:rFonts w:ascii="Courier New" w:hAnsi="Courier New" w:cs="Courier New"/>
          <w:sz w:val="24"/>
          <w:szCs w:val="24"/>
        </w:rPr>
        <w:t xml:space="preserve">, as discussed in </w:t>
      </w:r>
      <w:r w:rsidR="004D408A">
        <w:rPr>
          <w:rFonts w:ascii="Courier New" w:hAnsi="Courier New" w:cs="Courier New"/>
          <w:sz w:val="24"/>
          <w:szCs w:val="24"/>
        </w:rPr>
        <w:t>the NPRM,</w:t>
      </w:r>
      <w:r w:rsidR="004D408A" w:rsidRPr="00B536BA">
        <w:rPr>
          <w:rFonts w:ascii="Courier New" w:hAnsi="Courier New" w:cs="Courier New"/>
          <w:sz w:val="24"/>
          <w:szCs w:val="24"/>
        </w:rPr>
        <w:t xml:space="preserve"> as</w:t>
      </w:r>
      <w:r w:rsidR="004D408A">
        <w:rPr>
          <w:rFonts w:ascii="Courier New" w:hAnsi="Courier New" w:cs="Courier New"/>
          <w:sz w:val="24"/>
          <w:szCs w:val="24"/>
        </w:rPr>
        <w:t xml:space="preserve"> </w:t>
      </w:r>
      <w:r w:rsidR="004D408A" w:rsidRPr="00B536BA">
        <w:rPr>
          <w:rFonts w:ascii="Courier New" w:hAnsi="Courier New" w:cs="Courier New"/>
          <w:sz w:val="24"/>
          <w:szCs w:val="24"/>
        </w:rPr>
        <w:t>well as the rulings of the U.S. District</w:t>
      </w:r>
      <w:r w:rsidR="004D408A">
        <w:rPr>
          <w:rFonts w:ascii="Courier New" w:hAnsi="Courier New" w:cs="Courier New"/>
          <w:sz w:val="24"/>
          <w:szCs w:val="24"/>
        </w:rPr>
        <w:t xml:space="preserve"> </w:t>
      </w:r>
      <w:r w:rsidR="004D408A" w:rsidRPr="00B536BA">
        <w:rPr>
          <w:rFonts w:ascii="Courier New" w:hAnsi="Courier New" w:cs="Courier New"/>
          <w:sz w:val="24"/>
          <w:szCs w:val="24"/>
        </w:rPr>
        <w:t>Court for the District of Columbia in</w:t>
      </w:r>
      <w:r w:rsidR="004D408A">
        <w:rPr>
          <w:rFonts w:ascii="Courier New" w:hAnsi="Courier New" w:cs="Courier New"/>
          <w:sz w:val="24"/>
          <w:szCs w:val="24"/>
        </w:rPr>
        <w:t xml:space="preserve"> </w:t>
      </w:r>
      <w:r w:rsidR="004D408A" w:rsidRPr="005807AA">
        <w:rPr>
          <w:rFonts w:ascii="Courier New" w:hAnsi="Courier New" w:cs="Courier New"/>
          <w:iCs/>
          <w:sz w:val="24"/>
          <w:szCs w:val="24"/>
          <w:u w:val="single"/>
        </w:rPr>
        <w:t xml:space="preserve">Association of Private Sector Colleges and Universities </w:t>
      </w:r>
      <w:r w:rsidR="004D408A" w:rsidRPr="005807AA">
        <w:rPr>
          <w:rFonts w:ascii="Courier New" w:hAnsi="Courier New" w:cs="Courier New"/>
          <w:sz w:val="24"/>
          <w:szCs w:val="24"/>
          <w:u w:val="single"/>
        </w:rPr>
        <w:t xml:space="preserve">v. </w:t>
      </w:r>
      <w:r w:rsidR="004D408A" w:rsidRPr="005807AA">
        <w:rPr>
          <w:rFonts w:ascii="Courier New" w:hAnsi="Courier New" w:cs="Courier New"/>
          <w:iCs/>
          <w:sz w:val="24"/>
          <w:szCs w:val="24"/>
          <w:u w:val="single"/>
        </w:rPr>
        <w:t>Duncan</w:t>
      </w:r>
      <w:r w:rsidR="004D408A" w:rsidRPr="00B536BA">
        <w:rPr>
          <w:rFonts w:ascii="Courier New" w:hAnsi="Courier New" w:cs="Courier New"/>
          <w:i/>
          <w:iCs/>
          <w:sz w:val="24"/>
          <w:szCs w:val="24"/>
        </w:rPr>
        <w:t xml:space="preserve">, </w:t>
      </w:r>
      <w:r w:rsidR="004D408A" w:rsidRPr="00B536BA">
        <w:rPr>
          <w:rFonts w:ascii="Courier New" w:hAnsi="Courier New" w:cs="Courier New"/>
          <w:sz w:val="24"/>
          <w:szCs w:val="24"/>
        </w:rPr>
        <w:t>870</w:t>
      </w:r>
      <w:r w:rsidR="004D408A">
        <w:rPr>
          <w:rFonts w:ascii="Courier New" w:hAnsi="Courier New" w:cs="Courier New"/>
          <w:sz w:val="24"/>
          <w:szCs w:val="24"/>
        </w:rPr>
        <w:t xml:space="preserve"> </w:t>
      </w:r>
      <w:r w:rsidR="004D408A" w:rsidRPr="00B536BA">
        <w:rPr>
          <w:rFonts w:ascii="Courier New" w:hAnsi="Courier New" w:cs="Courier New"/>
          <w:sz w:val="24"/>
          <w:szCs w:val="24"/>
        </w:rPr>
        <w:t>F.Supp.2d 133 (D.D.C. 2012), and 930</w:t>
      </w:r>
      <w:r w:rsidR="004D408A">
        <w:rPr>
          <w:rFonts w:ascii="Courier New" w:hAnsi="Courier New" w:cs="Courier New"/>
          <w:sz w:val="24"/>
          <w:szCs w:val="24"/>
        </w:rPr>
        <w:t xml:space="preserve"> </w:t>
      </w:r>
      <w:r w:rsidR="004D408A" w:rsidRPr="00B536BA">
        <w:rPr>
          <w:rFonts w:ascii="Courier New" w:hAnsi="Courier New" w:cs="Courier New"/>
          <w:sz w:val="24"/>
          <w:szCs w:val="24"/>
        </w:rPr>
        <w:t>F.Supp.2d 210 (D.D.C. 2013)</w:t>
      </w:r>
      <w:r w:rsidR="004D408A">
        <w:rPr>
          <w:rFonts w:ascii="Courier New" w:hAnsi="Courier New" w:cs="Courier New"/>
          <w:sz w:val="24"/>
          <w:szCs w:val="24"/>
        </w:rPr>
        <w:t xml:space="preserve"> (referred to in this document as “</w:t>
      </w:r>
      <w:r w:rsidR="004D408A">
        <w:rPr>
          <w:rFonts w:ascii="Courier New" w:hAnsi="Courier New" w:cs="Courier New"/>
          <w:sz w:val="24"/>
          <w:szCs w:val="24"/>
          <w:u w:val="single"/>
        </w:rPr>
        <w:t>APSCU v. Duncan</w:t>
      </w:r>
      <w:r w:rsidR="004D408A">
        <w:rPr>
          <w:rFonts w:ascii="Courier New" w:hAnsi="Courier New" w:cs="Courier New"/>
          <w:sz w:val="24"/>
          <w:szCs w:val="24"/>
        </w:rPr>
        <w:t>)</w:t>
      </w:r>
      <w:r w:rsidR="004D408A" w:rsidRPr="00B536BA">
        <w:rPr>
          <w:rFonts w:ascii="Courier New" w:hAnsi="Courier New" w:cs="Courier New"/>
          <w:sz w:val="24"/>
          <w:szCs w:val="24"/>
        </w:rPr>
        <w:t xml:space="preserve">. </w:t>
      </w:r>
      <w:r w:rsidR="004D408A">
        <w:rPr>
          <w:rFonts w:ascii="Courier New" w:hAnsi="Courier New" w:cs="Courier New"/>
          <w:sz w:val="24"/>
          <w:szCs w:val="24"/>
        </w:rPr>
        <w:t xml:space="preserve"> </w:t>
      </w:r>
      <w:r w:rsidR="004D408A" w:rsidRPr="00B536BA">
        <w:rPr>
          <w:rFonts w:ascii="Courier New" w:hAnsi="Courier New" w:cs="Courier New"/>
          <w:sz w:val="24"/>
          <w:szCs w:val="24"/>
        </w:rPr>
        <w:t>Notably,</w:t>
      </w:r>
      <w:r w:rsidR="004D408A">
        <w:rPr>
          <w:rFonts w:ascii="Courier New" w:hAnsi="Courier New" w:cs="Courier New"/>
          <w:sz w:val="24"/>
          <w:szCs w:val="24"/>
        </w:rPr>
        <w:t xml:space="preserve"> </w:t>
      </w:r>
      <w:r w:rsidR="004D408A" w:rsidRPr="00B536BA">
        <w:rPr>
          <w:rFonts w:ascii="Courier New" w:hAnsi="Courier New" w:cs="Courier New"/>
          <w:sz w:val="24"/>
          <w:szCs w:val="24"/>
        </w:rPr>
        <w:t>the court specifically considered the</w:t>
      </w:r>
      <w:r w:rsidR="004D408A">
        <w:rPr>
          <w:rFonts w:ascii="Courier New" w:hAnsi="Courier New" w:cs="Courier New"/>
          <w:sz w:val="24"/>
          <w:szCs w:val="24"/>
        </w:rPr>
        <w:t xml:space="preserve"> </w:t>
      </w:r>
      <w:r w:rsidR="004D408A" w:rsidRPr="00B536BA">
        <w:rPr>
          <w:rFonts w:ascii="Courier New" w:hAnsi="Courier New" w:cs="Courier New"/>
          <w:sz w:val="24"/>
          <w:szCs w:val="24"/>
        </w:rPr>
        <w:t>Department’s authority to define what it</w:t>
      </w:r>
      <w:r w:rsidR="004D408A">
        <w:rPr>
          <w:rFonts w:ascii="Courier New" w:hAnsi="Courier New" w:cs="Courier New"/>
          <w:sz w:val="24"/>
          <w:szCs w:val="24"/>
        </w:rPr>
        <w:t xml:space="preserve"> </w:t>
      </w:r>
      <w:r w:rsidR="004D408A" w:rsidRPr="00B536BA">
        <w:rPr>
          <w:rFonts w:ascii="Courier New" w:hAnsi="Courier New" w:cs="Courier New"/>
          <w:sz w:val="24"/>
          <w:szCs w:val="24"/>
        </w:rPr>
        <w:t>means to prepare students for gainful</w:t>
      </w:r>
      <w:r w:rsidR="004D408A">
        <w:rPr>
          <w:rFonts w:ascii="Courier New" w:hAnsi="Courier New" w:cs="Courier New"/>
          <w:sz w:val="24"/>
          <w:szCs w:val="24"/>
        </w:rPr>
        <w:t xml:space="preserve"> </w:t>
      </w:r>
      <w:r w:rsidR="004D408A" w:rsidRPr="00B536BA">
        <w:rPr>
          <w:rFonts w:ascii="Courier New" w:hAnsi="Courier New" w:cs="Courier New"/>
          <w:sz w:val="24"/>
          <w:szCs w:val="24"/>
        </w:rPr>
        <w:t>employment and to require institutions</w:t>
      </w:r>
      <w:r w:rsidR="004D408A">
        <w:rPr>
          <w:rFonts w:ascii="Courier New" w:hAnsi="Courier New" w:cs="Courier New"/>
          <w:sz w:val="24"/>
          <w:szCs w:val="24"/>
        </w:rPr>
        <w:t xml:space="preserve"> </w:t>
      </w:r>
      <w:r w:rsidR="004D408A" w:rsidRPr="00B536BA">
        <w:rPr>
          <w:rFonts w:ascii="Courier New" w:hAnsi="Courier New" w:cs="Courier New"/>
          <w:sz w:val="24"/>
          <w:szCs w:val="24"/>
        </w:rPr>
        <w:t>to report and disclose relevant</w:t>
      </w:r>
      <w:r w:rsidR="004D408A">
        <w:rPr>
          <w:rFonts w:ascii="Courier New" w:hAnsi="Courier New" w:cs="Courier New"/>
          <w:sz w:val="24"/>
          <w:szCs w:val="24"/>
        </w:rPr>
        <w:t xml:space="preserve"> </w:t>
      </w:r>
      <w:r w:rsidR="004D408A" w:rsidRPr="00B536BA">
        <w:rPr>
          <w:rFonts w:ascii="Courier New" w:hAnsi="Courier New" w:cs="Courier New"/>
          <w:sz w:val="24"/>
          <w:szCs w:val="24"/>
        </w:rPr>
        <w:t>information about their GE programs.</w:t>
      </w:r>
    </w:p>
    <w:p w14:paraId="59BF745E" w14:textId="77777777" w:rsidR="004D408A" w:rsidRPr="00FF2324" w:rsidRDefault="004D408A" w:rsidP="004D408A">
      <w:pPr>
        <w:pStyle w:val="furinf"/>
        <w:spacing w:before="0" w:beforeAutospacing="0" w:after="0" w:afterAutospacing="0" w:line="480" w:lineRule="auto"/>
        <w:ind w:right="101"/>
        <w:textAlignment w:val="baseline"/>
        <w:rPr>
          <w:rFonts w:ascii="Courier New" w:hAnsi="Courier New" w:cs="Courier New"/>
        </w:rPr>
      </w:pPr>
      <w:r w:rsidRPr="00F31423">
        <w:rPr>
          <w:rFonts w:ascii="Courier New" w:hAnsi="Courier New" w:cs="Courier New"/>
        </w:rPr>
        <w:t xml:space="preserve">Summary of the Major Provisions of This Regulatory Action: </w:t>
      </w:r>
      <w:r>
        <w:rPr>
          <w:rFonts w:ascii="Courier New" w:hAnsi="Courier New" w:cs="Courier New"/>
        </w:rPr>
        <w:t xml:space="preserve"> </w:t>
      </w:r>
      <w:r w:rsidRPr="00B536BA">
        <w:rPr>
          <w:rFonts w:ascii="Courier New" w:hAnsi="Courier New" w:cs="Courier New"/>
        </w:rPr>
        <w:t xml:space="preserve">As discussed under </w:t>
      </w:r>
      <w:r>
        <w:rPr>
          <w:rFonts w:ascii="Courier New" w:hAnsi="Courier New" w:cs="Courier New"/>
        </w:rPr>
        <w:t>“</w:t>
      </w:r>
      <w:r w:rsidRPr="00B536BA">
        <w:rPr>
          <w:rFonts w:ascii="Courier New" w:hAnsi="Courier New" w:cs="Courier New"/>
        </w:rPr>
        <w:t>Purpose of This</w:t>
      </w:r>
      <w:r>
        <w:rPr>
          <w:rFonts w:ascii="Courier New" w:hAnsi="Courier New" w:cs="Courier New"/>
        </w:rPr>
        <w:t xml:space="preserve"> Regulatory Action,”</w:t>
      </w:r>
      <w:r w:rsidRPr="00B536BA">
        <w:rPr>
          <w:rFonts w:ascii="Courier New" w:hAnsi="Courier New" w:cs="Courier New"/>
        </w:rPr>
        <w:t xml:space="preserve"> the regulations establish an</w:t>
      </w:r>
      <w:r>
        <w:rPr>
          <w:rFonts w:ascii="Courier New" w:hAnsi="Courier New" w:cs="Courier New"/>
        </w:rPr>
        <w:t xml:space="preserve"> </w:t>
      </w:r>
      <w:r w:rsidRPr="00FF2324">
        <w:rPr>
          <w:rFonts w:ascii="Courier New" w:hAnsi="Courier New" w:cs="Courier New"/>
        </w:rPr>
        <w:t>accountability framework and a transparency framework.</w:t>
      </w:r>
    </w:p>
    <w:p w14:paraId="20E01FC1" w14:textId="35B211EB"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The accountability framework,</w:t>
      </w:r>
      <w:r>
        <w:rPr>
          <w:rFonts w:ascii="Courier New" w:hAnsi="Courier New" w:cs="Courier New"/>
          <w:sz w:val="24"/>
          <w:szCs w:val="24"/>
        </w:rPr>
        <w:t xml:space="preserve"> </w:t>
      </w:r>
      <w:r w:rsidRPr="00B536BA">
        <w:rPr>
          <w:rFonts w:ascii="Courier New" w:hAnsi="Courier New" w:cs="Courier New"/>
          <w:sz w:val="24"/>
          <w:szCs w:val="24"/>
        </w:rPr>
        <w:t>among other things, create</w:t>
      </w:r>
      <w:r>
        <w:rPr>
          <w:rFonts w:ascii="Courier New" w:hAnsi="Courier New" w:cs="Courier New"/>
          <w:sz w:val="24"/>
          <w:szCs w:val="24"/>
        </w:rPr>
        <w:t>s</w:t>
      </w:r>
      <w:r w:rsidRPr="00B536BA">
        <w:rPr>
          <w:rFonts w:ascii="Courier New" w:hAnsi="Courier New" w:cs="Courier New"/>
          <w:sz w:val="24"/>
          <w:szCs w:val="24"/>
        </w:rPr>
        <w:t xml:space="preserve"> a</w:t>
      </w:r>
      <w:r>
        <w:rPr>
          <w:rFonts w:ascii="Courier New" w:hAnsi="Courier New" w:cs="Courier New"/>
          <w:sz w:val="24"/>
          <w:szCs w:val="24"/>
        </w:rPr>
        <w:t xml:space="preserve"> </w:t>
      </w:r>
      <w:r w:rsidRPr="00B536BA">
        <w:rPr>
          <w:rFonts w:ascii="Courier New" w:hAnsi="Courier New" w:cs="Courier New"/>
          <w:sz w:val="24"/>
          <w:szCs w:val="24"/>
        </w:rPr>
        <w:t>certification process by which an</w:t>
      </w:r>
      <w:r>
        <w:rPr>
          <w:rFonts w:ascii="Courier New" w:hAnsi="Courier New" w:cs="Courier New"/>
          <w:sz w:val="24"/>
          <w:szCs w:val="24"/>
        </w:rPr>
        <w:t xml:space="preserve"> </w:t>
      </w:r>
      <w:r w:rsidRPr="00B536BA">
        <w:rPr>
          <w:rFonts w:ascii="Courier New" w:hAnsi="Courier New" w:cs="Courier New"/>
          <w:sz w:val="24"/>
          <w:szCs w:val="24"/>
        </w:rPr>
        <w:t>institution establish</w:t>
      </w:r>
      <w:r>
        <w:rPr>
          <w:rFonts w:ascii="Courier New" w:hAnsi="Courier New" w:cs="Courier New"/>
          <w:sz w:val="24"/>
          <w:szCs w:val="24"/>
        </w:rPr>
        <w:t>es</w:t>
      </w:r>
      <w:r w:rsidRPr="00B536BA">
        <w:rPr>
          <w:rFonts w:ascii="Courier New" w:hAnsi="Courier New" w:cs="Courier New"/>
          <w:sz w:val="24"/>
          <w:szCs w:val="24"/>
        </w:rPr>
        <w:t xml:space="preserve"> a GE</w:t>
      </w:r>
      <w:r>
        <w:rPr>
          <w:rFonts w:ascii="Courier New" w:hAnsi="Courier New" w:cs="Courier New"/>
          <w:sz w:val="24"/>
          <w:szCs w:val="24"/>
        </w:rPr>
        <w:t xml:space="preserve"> </w:t>
      </w:r>
      <w:r w:rsidRPr="00B536BA">
        <w:rPr>
          <w:rFonts w:ascii="Courier New" w:hAnsi="Courier New" w:cs="Courier New"/>
          <w:sz w:val="24"/>
          <w:szCs w:val="24"/>
        </w:rPr>
        <w:t>program’s eligibility for title IV, HEA</w:t>
      </w:r>
      <w:r>
        <w:rPr>
          <w:rFonts w:ascii="Courier New" w:hAnsi="Courier New" w:cs="Courier New"/>
          <w:sz w:val="24"/>
          <w:szCs w:val="24"/>
        </w:rPr>
        <w:t xml:space="preserve"> </w:t>
      </w:r>
      <w:r w:rsidRPr="00B536BA">
        <w:rPr>
          <w:rFonts w:ascii="Courier New" w:hAnsi="Courier New" w:cs="Courier New"/>
          <w:sz w:val="24"/>
          <w:szCs w:val="24"/>
        </w:rPr>
        <w:t>program funds, as well as a process by</w:t>
      </w:r>
      <w:r>
        <w:rPr>
          <w:rFonts w:ascii="Courier New" w:hAnsi="Courier New" w:cs="Courier New"/>
          <w:sz w:val="24"/>
          <w:szCs w:val="24"/>
        </w:rPr>
        <w:t xml:space="preserve"> </w:t>
      </w:r>
      <w:r w:rsidRPr="00B536BA">
        <w:rPr>
          <w:rFonts w:ascii="Courier New" w:hAnsi="Courier New" w:cs="Courier New"/>
          <w:sz w:val="24"/>
          <w:szCs w:val="24"/>
        </w:rPr>
        <w:t>which the Department determine</w:t>
      </w:r>
      <w:r>
        <w:rPr>
          <w:rFonts w:ascii="Courier New" w:hAnsi="Courier New" w:cs="Courier New"/>
          <w:sz w:val="24"/>
          <w:szCs w:val="24"/>
        </w:rPr>
        <w:t xml:space="preserve">s </w:t>
      </w:r>
      <w:r w:rsidRPr="00B536BA">
        <w:rPr>
          <w:rFonts w:ascii="Courier New" w:hAnsi="Courier New" w:cs="Courier New"/>
          <w:sz w:val="24"/>
          <w:szCs w:val="24"/>
        </w:rPr>
        <w:t>whether a program remains eligible.</w:t>
      </w:r>
      <w:r>
        <w:rPr>
          <w:rFonts w:ascii="Courier New" w:hAnsi="Courier New" w:cs="Courier New"/>
          <w:sz w:val="24"/>
          <w:szCs w:val="24"/>
        </w:rPr>
        <w:t xml:space="preserve">  </w:t>
      </w:r>
      <w:r w:rsidRPr="00B536BA">
        <w:rPr>
          <w:rFonts w:ascii="Courier New" w:hAnsi="Courier New" w:cs="Courier New"/>
          <w:sz w:val="24"/>
          <w:szCs w:val="24"/>
        </w:rPr>
        <w:t>First, an institution establish</w:t>
      </w:r>
      <w:r>
        <w:rPr>
          <w:rFonts w:ascii="Courier New" w:hAnsi="Courier New" w:cs="Courier New"/>
          <w:sz w:val="24"/>
          <w:szCs w:val="24"/>
        </w:rPr>
        <w:t>es</w:t>
      </w:r>
      <w:r w:rsidRPr="00B536BA">
        <w:rPr>
          <w:rFonts w:ascii="Courier New" w:hAnsi="Courier New" w:cs="Courier New"/>
          <w:sz w:val="24"/>
          <w:szCs w:val="24"/>
        </w:rPr>
        <w:t xml:space="preserve"> the</w:t>
      </w:r>
      <w:r>
        <w:rPr>
          <w:rFonts w:ascii="Courier New" w:hAnsi="Courier New" w:cs="Courier New"/>
          <w:sz w:val="24"/>
          <w:szCs w:val="24"/>
        </w:rPr>
        <w:t xml:space="preserve"> </w:t>
      </w:r>
      <w:r w:rsidRPr="00B536BA">
        <w:rPr>
          <w:rFonts w:ascii="Courier New" w:hAnsi="Courier New" w:cs="Courier New"/>
          <w:sz w:val="24"/>
          <w:szCs w:val="24"/>
        </w:rPr>
        <w:t>eligibility of a GE program by certifying</w:t>
      </w:r>
      <w:r>
        <w:rPr>
          <w:rFonts w:ascii="Courier New" w:hAnsi="Courier New" w:cs="Courier New"/>
          <w:sz w:val="24"/>
          <w:szCs w:val="24"/>
        </w:rPr>
        <w:t xml:space="preserve">, among other things, </w:t>
      </w:r>
      <w:r w:rsidRPr="00B536BA">
        <w:rPr>
          <w:rFonts w:ascii="Courier New" w:hAnsi="Courier New" w:cs="Courier New"/>
          <w:sz w:val="24"/>
          <w:szCs w:val="24"/>
        </w:rPr>
        <w:t>that the program is included in the</w:t>
      </w:r>
      <w:r>
        <w:rPr>
          <w:rFonts w:ascii="Courier New" w:hAnsi="Courier New" w:cs="Courier New"/>
          <w:sz w:val="24"/>
          <w:szCs w:val="24"/>
        </w:rPr>
        <w:t xml:space="preserve"> </w:t>
      </w:r>
      <w:r w:rsidRPr="00B536BA">
        <w:rPr>
          <w:rFonts w:ascii="Courier New" w:hAnsi="Courier New" w:cs="Courier New"/>
          <w:sz w:val="24"/>
          <w:szCs w:val="24"/>
        </w:rPr>
        <w:t>institution’s accreditation and satisfies</w:t>
      </w:r>
      <w:r>
        <w:rPr>
          <w:rFonts w:ascii="Courier New" w:hAnsi="Courier New" w:cs="Courier New"/>
          <w:sz w:val="24"/>
          <w:szCs w:val="24"/>
        </w:rPr>
        <w:t xml:space="preserve"> </w:t>
      </w:r>
      <w:r w:rsidRPr="00B536BA">
        <w:rPr>
          <w:rFonts w:ascii="Courier New" w:hAnsi="Courier New" w:cs="Courier New"/>
          <w:sz w:val="24"/>
          <w:szCs w:val="24"/>
        </w:rPr>
        <w:t>any applicable State or Federal program</w:t>
      </w:r>
      <w:r>
        <w:rPr>
          <w:rFonts w:ascii="Courier New" w:hAnsi="Courier New" w:cs="Courier New"/>
          <w:sz w:val="24"/>
          <w:szCs w:val="24"/>
        </w:rPr>
        <w:t>-</w:t>
      </w:r>
      <w:r w:rsidRPr="00B536BA">
        <w:rPr>
          <w:rFonts w:ascii="Courier New" w:hAnsi="Courier New" w:cs="Courier New"/>
          <w:sz w:val="24"/>
          <w:szCs w:val="24"/>
        </w:rPr>
        <w:t>level</w:t>
      </w:r>
      <w:r>
        <w:rPr>
          <w:rFonts w:ascii="Courier New" w:hAnsi="Courier New" w:cs="Courier New"/>
          <w:sz w:val="24"/>
          <w:szCs w:val="24"/>
        </w:rPr>
        <w:t xml:space="preserve"> </w:t>
      </w:r>
      <w:r w:rsidRPr="00B536BA">
        <w:rPr>
          <w:rFonts w:ascii="Courier New" w:hAnsi="Courier New" w:cs="Courier New"/>
          <w:sz w:val="24"/>
          <w:szCs w:val="24"/>
        </w:rPr>
        <w:t xml:space="preserve">accrediting </w:t>
      </w:r>
      <w:r>
        <w:rPr>
          <w:rFonts w:ascii="Courier New" w:hAnsi="Courier New" w:cs="Courier New"/>
          <w:sz w:val="24"/>
          <w:szCs w:val="24"/>
        </w:rPr>
        <w:t xml:space="preserve">requirements </w:t>
      </w:r>
      <w:r w:rsidRPr="00B536BA">
        <w:rPr>
          <w:rFonts w:ascii="Courier New" w:hAnsi="Courier New" w:cs="Courier New"/>
          <w:sz w:val="24"/>
          <w:szCs w:val="24"/>
        </w:rPr>
        <w:t xml:space="preserve">and </w:t>
      </w:r>
      <w:r>
        <w:rPr>
          <w:rFonts w:ascii="Courier New" w:hAnsi="Courier New" w:cs="Courier New"/>
          <w:sz w:val="24"/>
          <w:szCs w:val="24"/>
        </w:rPr>
        <w:t xml:space="preserve">State licensing and certification </w:t>
      </w:r>
      <w:r w:rsidRPr="00B536BA">
        <w:rPr>
          <w:rFonts w:ascii="Courier New" w:hAnsi="Courier New" w:cs="Courier New"/>
          <w:sz w:val="24"/>
          <w:szCs w:val="24"/>
        </w:rPr>
        <w:lastRenderedPageBreak/>
        <w:t>requirements for the occupations for</w:t>
      </w:r>
      <w:r>
        <w:rPr>
          <w:rFonts w:ascii="Courier New" w:hAnsi="Courier New" w:cs="Courier New"/>
          <w:sz w:val="24"/>
          <w:szCs w:val="24"/>
        </w:rPr>
        <w:t xml:space="preserve"> </w:t>
      </w:r>
      <w:r w:rsidRPr="00B536BA">
        <w:rPr>
          <w:rFonts w:ascii="Courier New" w:hAnsi="Courier New" w:cs="Courier New"/>
          <w:sz w:val="24"/>
          <w:szCs w:val="24"/>
        </w:rPr>
        <w:t>which the program purports to prepare</w:t>
      </w:r>
      <w:r>
        <w:rPr>
          <w:rFonts w:ascii="Courier New" w:hAnsi="Courier New" w:cs="Courier New"/>
          <w:sz w:val="24"/>
          <w:szCs w:val="24"/>
        </w:rPr>
        <w:t xml:space="preserve"> </w:t>
      </w:r>
      <w:r w:rsidRPr="00B536BA">
        <w:rPr>
          <w:rFonts w:ascii="Courier New" w:hAnsi="Courier New" w:cs="Courier New"/>
          <w:sz w:val="24"/>
          <w:szCs w:val="24"/>
        </w:rPr>
        <w:t xml:space="preserve">students to enter. </w:t>
      </w:r>
      <w:r>
        <w:rPr>
          <w:rFonts w:ascii="Courier New" w:hAnsi="Courier New" w:cs="Courier New"/>
          <w:sz w:val="24"/>
          <w:szCs w:val="24"/>
        </w:rPr>
        <w:t xml:space="preserve"> </w:t>
      </w:r>
      <w:r w:rsidRPr="00B536BA">
        <w:rPr>
          <w:rFonts w:ascii="Courier New" w:hAnsi="Courier New" w:cs="Courier New"/>
          <w:sz w:val="24"/>
          <w:szCs w:val="24"/>
        </w:rPr>
        <w:t>This requirement</w:t>
      </w:r>
      <w:r>
        <w:rPr>
          <w:rFonts w:ascii="Courier New" w:hAnsi="Courier New" w:cs="Courier New"/>
          <w:sz w:val="24"/>
          <w:szCs w:val="24"/>
        </w:rPr>
        <w:t xml:space="preserve"> will</w:t>
      </w:r>
      <w:r w:rsidRPr="00B536BA">
        <w:rPr>
          <w:rFonts w:ascii="Courier New" w:hAnsi="Courier New" w:cs="Courier New"/>
          <w:sz w:val="24"/>
          <w:szCs w:val="24"/>
        </w:rPr>
        <w:t xml:space="preserve"> serve as a baseline protection</w:t>
      </w:r>
      <w:r>
        <w:rPr>
          <w:rFonts w:ascii="Courier New" w:hAnsi="Courier New" w:cs="Courier New"/>
          <w:sz w:val="24"/>
          <w:szCs w:val="24"/>
        </w:rPr>
        <w:t xml:space="preserve"> </w:t>
      </w:r>
      <w:r w:rsidRPr="00B536BA">
        <w:rPr>
          <w:rFonts w:ascii="Courier New" w:hAnsi="Courier New" w:cs="Courier New"/>
          <w:sz w:val="24"/>
          <w:szCs w:val="24"/>
        </w:rPr>
        <w:t>against the harm that students could</w:t>
      </w:r>
      <w:r>
        <w:rPr>
          <w:rFonts w:ascii="Courier New" w:hAnsi="Courier New" w:cs="Courier New"/>
          <w:sz w:val="24"/>
          <w:szCs w:val="24"/>
        </w:rPr>
        <w:t xml:space="preserve"> </w:t>
      </w:r>
      <w:r w:rsidRPr="00B536BA">
        <w:rPr>
          <w:rFonts w:ascii="Courier New" w:hAnsi="Courier New" w:cs="Courier New"/>
          <w:sz w:val="24"/>
          <w:szCs w:val="24"/>
        </w:rPr>
        <w:t>experience by enrolling in programs that</w:t>
      </w:r>
      <w:r>
        <w:rPr>
          <w:rFonts w:ascii="Courier New" w:hAnsi="Courier New" w:cs="Courier New"/>
          <w:sz w:val="24"/>
          <w:szCs w:val="24"/>
        </w:rPr>
        <w:t xml:space="preserve"> </w:t>
      </w:r>
      <w:r w:rsidRPr="00B536BA">
        <w:rPr>
          <w:rFonts w:ascii="Courier New" w:hAnsi="Courier New" w:cs="Courier New"/>
          <w:sz w:val="24"/>
          <w:szCs w:val="24"/>
        </w:rPr>
        <w:t>do not meet all State or Federal</w:t>
      </w:r>
      <w:r>
        <w:rPr>
          <w:rFonts w:ascii="Courier New" w:hAnsi="Courier New" w:cs="Courier New"/>
          <w:sz w:val="24"/>
          <w:szCs w:val="24"/>
        </w:rPr>
        <w:t xml:space="preserve"> </w:t>
      </w:r>
      <w:r w:rsidRPr="00B536BA">
        <w:rPr>
          <w:rFonts w:ascii="Courier New" w:hAnsi="Courier New" w:cs="Courier New"/>
          <w:sz w:val="24"/>
          <w:szCs w:val="24"/>
        </w:rPr>
        <w:t>accrediting standards and licensing</w:t>
      </w:r>
      <w:r>
        <w:rPr>
          <w:rFonts w:ascii="Courier New" w:hAnsi="Courier New" w:cs="Courier New"/>
          <w:sz w:val="24"/>
          <w:szCs w:val="24"/>
        </w:rPr>
        <w:t xml:space="preserve"> or certification </w:t>
      </w:r>
      <w:r w:rsidRPr="00B536BA">
        <w:rPr>
          <w:rFonts w:ascii="Courier New" w:hAnsi="Courier New" w:cs="Courier New"/>
          <w:sz w:val="24"/>
          <w:szCs w:val="24"/>
        </w:rPr>
        <w:t>requirements necessary to secure the</w:t>
      </w:r>
      <w:r>
        <w:rPr>
          <w:rFonts w:ascii="Courier New" w:hAnsi="Courier New" w:cs="Courier New"/>
          <w:sz w:val="24"/>
          <w:szCs w:val="24"/>
        </w:rPr>
        <w:t xml:space="preserve"> </w:t>
      </w:r>
      <w:r w:rsidRPr="00B536BA">
        <w:rPr>
          <w:rFonts w:ascii="Courier New" w:hAnsi="Courier New" w:cs="Courier New"/>
          <w:sz w:val="24"/>
          <w:szCs w:val="24"/>
        </w:rPr>
        <w:t>jobs associated with the training.</w:t>
      </w:r>
    </w:p>
    <w:p w14:paraId="6613802E" w14:textId="5E2BDC42" w:rsidR="004D408A" w:rsidRPr="00B536BA" w:rsidRDefault="004D408A" w:rsidP="002B5E80">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Under the accountability framework,</w:t>
      </w:r>
      <w:r>
        <w:rPr>
          <w:rFonts w:ascii="Courier New" w:hAnsi="Courier New" w:cs="Courier New"/>
          <w:sz w:val="24"/>
          <w:szCs w:val="24"/>
        </w:rPr>
        <w:t xml:space="preserve"> </w:t>
      </w:r>
      <w:r w:rsidRPr="00B536BA">
        <w:rPr>
          <w:rFonts w:ascii="Courier New" w:hAnsi="Courier New" w:cs="Courier New"/>
          <w:sz w:val="24"/>
          <w:szCs w:val="24"/>
        </w:rPr>
        <w:t xml:space="preserve">we also </w:t>
      </w:r>
      <w:r>
        <w:rPr>
          <w:rFonts w:ascii="Courier New" w:hAnsi="Courier New" w:cs="Courier New"/>
          <w:sz w:val="24"/>
          <w:szCs w:val="24"/>
        </w:rPr>
        <w:t>establish</w:t>
      </w:r>
      <w:r w:rsidRPr="00B536BA">
        <w:rPr>
          <w:rFonts w:ascii="Courier New" w:hAnsi="Courier New" w:cs="Courier New"/>
          <w:sz w:val="24"/>
          <w:szCs w:val="24"/>
        </w:rPr>
        <w:t xml:space="preserve"> the debt-to</w:t>
      </w:r>
      <w:r w:rsidR="002B5E80">
        <w:rPr>
          <w:rFonts w:ascii="Courier New" w:hAnsi="Courier New" w:cs="Courier New"/>
          <w:sz w:val="24"/>
          <w:szCs w:val="24"/>
        </w:rPr>
        <w:t>-</w:t>
      </w:r>
      <w:r w:rsidRPr="00B536BA">
        <w:rPr>
          <w:rFonts w:ascii="Courier New" w:hAnsi="Courier New" w:cs="Courier New"/>
          <w:sz w:val="24"/>
          <w:szCs w:val="24"/>
        </w:rPr>
        <w:t>earnings</w:t>
      </w:r>
      <w:r>
        <w:rPr>
          <w:rFonts w:ascii="Courier New" w:hAnsi="Courier New" w:cs="Courier New"/>
          <w:sz w:val="24"/>
          <w:szCs w:val="24"/>
        </w:rPr>
        <w:t xml:space="preserve"> </w:t>
      </w:r>
      <w:r w:rsidRPr="007233D2">
        <w:rPr>
          <w:rFonts w:ascii="Courier New" w:hAnsi="Courier New"/>
          <w:sz w:val="24"/>
        </w:rPr>
        <w:t>(D/E) rates measure</w:t>
      </w:r>
      <w:r w:rsidR="00F93BF3" w:rsidRPr="007233D2">
        <w:rPr>
          <w:rStyle w:val="FootnoteReference"/>
          <w:rFonts w:ascii="Courier New" w:hAnsi="Courier New"/>
          <w:sz w:val="24"/>
        </w:rPr>
        <w:footnoteReference w:id="2"/>
      </w:r>
      <w:r w:rsidRPr="007233D2">
        <w:rPr>
          <w:rFonts w:ascii="Courier New" w:hAnsi="Courier New"/>
          <w:sz w:val="24"/>
        </w:rPr>
        <w:t xml:space="preserve"> that</w:t>
      </w:r>
      <w:r w:rsidRPr="00B536BA">
        <w:rPr>
          <w:rFonts w:ascii="Courier New" w:hAnsi="Courier New" w:cs="Courier New"/>
          <w:sz w:val="24"/>
          <w:szCs w:val="24"/>
        </w:rPr>
        <w:t xml:space="preserve"> </w:t>
      </w:r>
      <w:r>
        <w:rPr>
          <w:rFonts w:ascii="Courier New" w:hAnsi="Courier New" w:cs="Courier New"/>
          <w:sz w:val="24"/>
          <w:szCs w:val="24"/>
        </w:rPr>
        <w:t>will</w:t>
      </w:r>
      <w:r w:rsidRPr="00B536BA">
        <w:rPr>
          <w:rFonts w:ascii="Courier New" w:hAnsi="Courier New" w:cs="Courier New"/>
          <w:sz w:val="24"/>
          <w:szCs w:val="24"/>
        </w:rPr>
        <w:t xml:space="preserve"> be used to</w:t>
      </w:r>
      <w:r>
        <w:rPr>
          <w:rFonts w:ascii="Courier New" w:hAnsi="Courier New" w:cs="Courier New"/>
          <w:sz w:val="24"/>
          <w:szCs w:val="24"/>
        </w:rPr>
        <w:t xml:space="preserve"> </w:t>
      </w:r>
      <w:r w:rsidRPr="00B536BA">
        <w:rPr>
          <w:rFonts w:ascii="Courier New" w:hAnsi="Courier New" w:cs="Courier New"/>
          <w:sz w:val="24"/>
          <w:szCs w:val="24"/>
        </w:rPr>
        <w:t>determine whether a GE program</w:t>
      </w:r>
      <w:r>
        <w:rPr>
          <w:rFonts w:ascii="Courier New" w:hAnsi="Courier New" w:cs="Courier New"/>
          <w:sz w:val="24"/>
          <w:szCs w:val="24"/>
        </w:rPr>
        <w:t xml:space="preserve"> </w:t>
      </w:r>
      <w:r w:rsidRPr="00B536BA">
        <w:rPr>
          <w:rFonts w:ascii="Courier New" w:hAnsi="Courier New" w:cs="Courier New"/>
          <w:sz w:val="24"/>
          <w:szCs w:val="24"/>
        </w:rPr>
        <w:t>remains eligible for title IV, HEA</w:t>
      </w:r>
      <w:r>
        <w:rPr>
          <w:rFonts w:ascii="Courier New" w:hAnsi="Courier New" w:cs="Courier New"/>
          <w:sz w:val="24"/>
          <w:szCs w:val="24"/>
        </w:rPr>
        <w:t xml:space="preserve"> </w:t>
      </w:r>
      <w:r w:rsidRPr="00B536BA">
        <w:rPr>
          <w:rFonts w:ascii="Courier New" w:hAnsi="Courier New" w:cs="Courier New"/>
          <w:sz w:val="24"/>
          <w:szCs w:val="24"/>
        </w:rPr>
        <w:t>program funds.</w:t>
      </w:r>
      <w:r>
        <w:rPr>
          <w:rFonts w:ascii="Courier New" w:hAnsi="Courier New" w:cs="Courier New"/>
          <w:sz w:val="24"/>
          <w:szCs w:val="24"/>
        </w:rPr>
        <w:t xml:space="preserve"> </w:t>
      </w:r>
      <w:r w:rsidR="00057011" w:rsidRPr="00057011">
        <w:rPr>
          <w:rFonts w:ascii="Courier New" w:hAnsi="Courier New" w:cs="Courier New"/>
          <w:sz w:val="24"/>
          <w:szCs w:val="24"/>
        </w:rPr>
        <w:t xml:space="preserve"> </w:t>
      </w:r>
      <w:r w:rsidRPr="00B536BA">
        <w:rPr>
          <w:rFonts w:ascii="Courier New" w:hAnsi="Courier New" w:cs="Courier New"/>
          <w:sz w:val="24"/>
          <w:szCs w:val="24"/>
        </w:rPr>
        <w:t>The D/E rates measure evaluate</w:t>
      </w:r>
      <w:r>
        <w:rPr>
          <w:rFonts w:ascii="Courier New" w:hAnsi="Courier New" w:cs="Courier New"/>
          <w:sz w:val="24"/>
          <w:szCs w:val="24"/>
        </w:rPr>
        <w:t xml:space="preserve">s the amount of </w:t>
      </w:r>
      <w:r w:rsidRPr="00B536BA">
        <w:rPr>
          <w:rFonts w:ascii="Courier New" w:hAnsi="Courier New" w:cs="Courier New"/>
          <w:sz w:val="24"/>
          <w:szCs w:val="24"/>
        </w:rPr>
        <w:t xml:space="preserve">debt </w:t>
      </w:r>
      <w:r w:rsidR="002B5E80">
        <w:rPr>
          <w:rFonts w:ascii="Courier New" w:hAnsi="Courier New" w:cs="Courier New"/>
          <w:sz w:val="24"/>
          <w:szCs w:val="24"/>
        </w:rPr>
        <w:t xml:space="preserve">(tuition and fees and books, equipment, and supplies) </w:t>
      </w:r>
      <w:r w:rsidRPr="00B536BA">
        <w:rPr>
          <w:rFonts w:ascii="Courier New" w:hAnsi="Courier New" w:cs="Courier New"/>
          <w:sz w:val="24"/>
          <w:szCs w:val="24"/>
        </w:rPr>
        <w:t>students who</w:t>
      </w:r>
      <w:r>
        <w:rPr>
          <w:rFonts w:ascii="Courier New" w:hAnsi="Courier New" w:cs="Courier New"/>
          <w:sz w:val="24"/>
          <w:szCs w:val="24"/>
        </w:rPr>
        <w:t xml:space="preserve"> </w:t>
      </w:r>
      <w:r w:rsidRPr="00B536BA">
        <w:rPr>
          <w:rFonts w:ascii="Courier New" w:hAnsi="Courier New" w:cs="Courier New"/>
          <w:sz w:val="24"/>
          <w:szCs w:val="24"/>
        </w:rPr>
        <w:t>completed a GE program incurred to</w:t>
      </w:r>
      <w:r>
        <w:rPr>
          <w:rFonts w:ascii="Courier New" w:hAnsi="Courier New" w:cs="Courier New"/>
          <w:sz w:val="24"/>
          <w:szCs w:val="24"/>
        </w:rPr>
        <w:t xml:space="preserve"> </w:t>
      </w:r>
      <w:r w:rsidRPr="00B536BA">
        <w:rPr>
          <w:rFonts w:ascii="Courier New" w:hAnsi="Courier New" w:cs="Courier New"/>
          <w:sz w:val="24"/>
          <w:szCs w:val="24"/>
        </w:rPr>
        <w:t>attend that program in comparison to</w:t>
      </w:r>
      <w:r>
        <w:rPr>
          <w:rFonts w:ascii="Courier New" w:hAnsi="Courier New" w:cs="Courier New"/>
          <w:sz w:val="24"/>
          <w:szCs w:val="24"/>
        </w:rPr>
        <w:t xml:space="preserve"> </w:t>
      </w:r>
      <w:r w:rsidRPr="00B536BA">
        <w:rPr>
          <w:rFonts w:ascii="Courier New" w:hAnsi="Courier New" w:cs="Courier New"/>
          <w:sz w:val="24"/>
          <w:szCs w:val="24"/>
        </w:rPr>
        <w:t>those same students’ discretionary and</w:t>
      </w:r>
      <w:r>
        <w:rPr>
          <w:rFonts w:ascii="Courier New" w:hAnsi="Courier New" w:cs="Courier New"/>
          <w:sz w:val="24"/>
          <w:szCs w:val="24"/>
        </w:rPr>
        <w:t xml:space="preserve"> </w:t>
      </w:r>
      <w:r w:rsidRPr="00B536BA">
        <w:rPr>
          <w:rFonts w:ascii="Courier New" w:hAnsi="Courier New" w:cs="Courier New"/>
          <w:sz w:val="24"/>
          <w:szCs w:val="24"/>
        </w:rPr>
        <w:t>annual earnings after completing the</w:t>
      </w:r>
      <w:r>
        <w:rPr>
          <w:rFonts w:ascii="Courier New" w:hAnsi="Courier New" w:cs="Courier New"/>
          <w:sz w:val="24"/>
          <w:szCs w:val="24"/>
        </w:rPr>
        <w:t xml:space="preserve"> </w:t>
      </w:r>
      <w:r w:rsidRPr="00B536BA">
        <w:rPr>
          <w:rFonts w:ascii="Courier New" w:hAnsi="Courier New" w:cs="Courier New"/>
          <w:sz w:val="24"/>
          <w:szCs w:val="24"/>
        </w:rPr>
        <w:t xml:space="preserve">program. </w:t>
      </w:r>
      <w:r>
        <w:rPr>
          <w:rFonts w:ascii="Courier New" w:hAnsi="Courier New" w:cs="Courier New"/>
          <w:sz w:val="24"/>
          <w:szCs w:val="24"/>
        </w:rPr>
        <w:t xml:space="preserve"> </w:t>
      </w:r>
      <w:r w:rsidRPr="00B536BA">
        <w:rPr>
          <w:rFonts w:ascii="Courier New" w:hAnsi="Courier New" w:cs="Courier New"/>
          <w:sz w:val="24"/>
          <w:szCs w:val="24"/>
        </w:rPr>
        <w:t>The regulations</w:t>
      </w:r>
      <w:r>
        <w:rPr>
          <w:rFonts w:ascii="Courier New" w:hAnsi="Courier New" w:cs="Courier New"/>
          <w:sz w:val="24"/>
          <w:szCs w:val="24"/>
        </w:rPr>
        <w:t xml:space="preserve"> </w:t>
      </w:r>
      <w:r w:rsidRPr="00B536BA">
        <w:rPr>
          <w:rFonts w:ascii="Courier New" w:hAnsi="Courier New" w:cs="Courier New"/>
          <w:sz w:val="24"/>
          <w:szCs w:val="24"/>
        </w:rPr>
        <w:t>establish the standards by which</w:t>
      </w:r>
      <w:r>
        <w:rPr>
          <w:rFonts w:ascii="Courier New" w:hAnsi="Courier New" w:cs="Courier New"/>
          <w:sz w:val="24"/>
          <w:szCs w:val="24"/>
        </w:rPr>
        <w:t xml:space="preserve"> </w:t>
      </w:r>
      <w:r w:rsidRPr="00B536BA">
        <w:rPr>
          <w:rFonts w:ascii="Courier New" w:hAnsi="Courier New" w:cs="Courier New"/>
          <w:sz w:val="24"/>
          <w:szCs w:val="24"/>
        </w:rPr>
        <w:t xml:space="preserve">the program </w:t>
      </w:r>
      <w:r>
        <w:rPr>
          <w:rFonts w:ascii="Courier New" w:hAnsi="Courier New" w:cs="Courier New"/>
          <w:sz w:val="24"/>
          <w:szCs w:val="24"/>
        </w:rPr>
        <w:t xml:space="preserve">will be assessed to </w:t>
      </w:r>
      <w:r w:rsidRPr="00B536BA">
        <w:rPr>
          <w:rFonts w:ascii="Courier New" w:hAnsi="Courier New" w:cs="Courier New"/>
          <w:sz w:val="24"/>
          <w:szCs w:val="24"/>
        </w:rPr>
        <w:t>determine, for each year rates are calculated, whether it passes or fails the</w:t>
      </w:r>
      <w:r>
        <w:rPr>
          <w:rFonts w:ascii="Courier New" w:hAnsi="Courier New" w:cs="Courier New"/>
          <w:sz w:val="24"/>
          <w:szCs w:val="24"/>
        </w:rPr>
        <w:t xml:space="preserve"> </w:t>
      </w:r>
      <w:r w:rsidRPr="00B536BA">
        <w:rPr>
          <w:rFonts w:ascii="Courier New" w:hAnsi="Courier New" w:cs="Courier New"/>
          <w:sz w:val="24"/>
          <w:szCs w:val="24"/>
        </w:rPr>
        <w:t xml:space="preserve">D/E rates measure or is </w:t>
      </w:r>
      <w:r>
        <w:rPr>
          <w:rFonts w:ascii="Courier New" w:hAnsi="Courier New" w:cs="Courier New"/>
          <w:sz w:val="24"/>
          <w:szCs w:val="24"/>
        </w:rPr>
        <w:t>“in the zone.”</w:t>
      </w:r>
    </w:p>
    <w:p w14:paraId="15294A8B" w14:textId="730383E5" w:rsidR="004D408A" w:rsidRPr="00B536BA" w:rsidRDefault="004D408A" w:rsidP="004D408A">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Pr="00B536BA">
        <w:rPr>
          <w:rFonts w:ascii="Courier New" w:hAnsi="Courier New" w:cs="Courier New"/>
          <w:sz w:val="24"/>
          <w:szCs w:val="24"/>
        </w:rPr>
        <w:t>Under the regulations, to pass</w:t>
      </w:r>
      <w:r>
        <w:rPr>
          <w:rFonts w:ascii="Courier New" w:hAnsi="Courier New" w:cs="Courier New"/>
          <w:sz w:val="24"/>
          <w:szCs w:val="24"/>
        </w:rPr>
        <w:t xml:space="preserve"> </w:t>
      </w:r>
      <w:r w:rsidRPr="00B536BA">
        <w:rPr>
          <w:rFonts w:ascii="Courier New" w:hAnsi="Courier New" w:cs="Courier New"/>
          <w:sz w:val="24"/>
          <w:szCs w:val="24"/>
        </w:rPr>
        <w:t>the D/E rates measure, the GE program</w:t>
      </w:r>
      <w:r>
        <w:rPr>
          <w:rFonts w:ascii="Courier New" w:hAnsi="Courier New" w:cs="Courier New"/>
          <w:sz w:val="24"/>
          <w:szCs w:val="24"/>
        </w:rPr>
        <w:t xml:space="preserve"> </w:t>
      </w:r>
      <w:r w:rsidRPr="00B536BA">
        <w:rPr>
          <w:rFonts w:ascii="Courier New" w:hAnsi="Courier New" w:cs="Courier New"/>
          <w:sz w:val="24"/>
          <w:szCs w:val="24"/>
        </w:rPr>
        <w:t>must have a discretionary income rate</w:t>
      </w:r>
      <w:r w:rsidR="00F93BF3">
        <w:rPr>
          <w:rStyle w:val="FootnoteReference"/>
          <w:rFonts w:ascii="Courier New" w:hAnsi="Courier New"/>
          <w:sz w:val="24"/>
          <w:szCs w:val="24"/>
        </w:rPr>
        <w:footnoteReference w:id="3"/>
      </w:r>
      <w:r>
        <w:rPr>
          <w:rFonts w:ascii="Courier New" w:hAnsi="Courier New" w:cs="Courier New"/>
          <w:sz w:val="24"/>
          <w:szCs w:val="24"/>
        </w:rPr>
        <w:t xml:space="preserve"> </w:t>
      </w:r>
      <w:r w:rsidRPr="00B536BA">
        <w:rPr>
          <w:rFonts w:ascii="Courier New" w:hAnsi="Courier New" w:cs="Courier New"/>
          <w:sz w:val="24"/>
          <w:szCs w:val="24"/>
        </w:rPr>
        <w:t xml:space="preserve">less than or </w:t>
      </w:r>
      <w:r w:rsidRPr="00B536BA">
        <w:rPr>
          <w:rFonts w:ascii="Courier New" w:hAnsi="Courier New" w:cs="Courier New"/>
          <w:sz w:val="24"/>
          <w:szCs w:val="24"/>
        </w:rPr>
        <w:lastRenderedPageBreak/>
        <w:t>equal to 20 percent or an</w:t>
      </w:r>
      <w:r>
        <w:rPr>
          <w:rFonts w:ascii="Courier New" w:hAnsi="Courier New" w:cs="Courier New"/>
          <w:sz w:val="24"/>
          <w:szCs w:val="24"/>
        </w:rPr>
        <w:t xml:space="preserve"> </w:t>
      </w:r>
      <w:r w:rsidRPr="00B536BA">
        <w:rPr>
          <w:rFonts w:ascii="Courier New" w:hAnsi="Courier New" w:cs="Courier New"/>
          <w:sz w:val="24"/>
          <w:szCs w:val="24"/>
        </w:rPr>
        <w:t>annual earnings rate</w:t>
      </w:r>
      <w:r w:rsidR="00F93BF3">
        <w:rPr>
          <w:rStyle w:val="FootnoteReference"/>
          <w:rFonts w:ascii="Courier New" w:hAnsi="Courier New"/>
          <w:sz w:val="24"/>
          <w:szCs w:val="24"/>
        </w:rPr>
        <w:footnoteReference w:id="4"/>
      </w:r>
      <w:r w:rsidRPr="00B536BA">
        <w:rPr>
          <w:rFonts w:ascii="Courier New" w:hAnsi="Courier New" w:cs="Courier New"/>
          <w:sz w:val="24"/>
          <w:szCs w:val="24"/>
        </w:rPr>
        <w:t xml:space="preserve"> less than or equal</w:t>
      </w:r>
      <w:r>
        <w:rPr>
          <w:rFonts w:ascii="Courier New" w:hAnsi="Courier New" w:cs="Courier New"/>
          <w:sz w:val="24"/>
          <w:szCs w:val="24"/>
        </w:rPr>
        <w:t xml:space="preserve"> </w:t>
      </w:r>
      <w:r w:rsidRPr="00B536BA">
        <w:rPr>
          <w:rFonts w:ascii="Courier New" w:hAnsi="Courier New" w:cs="Courier New"/>
          <w:sz w:val="24"/>
          <w:szCs w:val="24"/>
        </w:rPr>
        <w:t xml:space="preserve">to 8 percent. </w:t>
      </w:r>
      <w:r>
        <w:rPr>
          <w:rFonts w:ascii="Courier New" w:hAnsi="Courier New" w:cs="Courier New"/>
          <w:sz w:val="24"/>
          <w:szCs w:val="24"/>
        </w:rPr>
        <w:t xml:space="preserve"> </w:t>
      </w:r>
      <w:r w:rsidRPr="00B536BA">
        <w:rPr>
          <w:rFonts w:ascii="Courier New" w:hAnsi="Courier New" w:cs="Courier New"/>
          <w:sz w:val="24"/>
          <w:szCs w:val="24"/>
        </w:rPr>
        <w:t>The regulations</w:t>
      </w:r>
      <w:r>
        <w:rPr>
          <w:rFonts w:ascii="Courier New" w:hAnsi="Courier New" w:cs="Courier New"/>
          <w:sz w:val="24"/>
          <w:szCs w:val="24"/>
        </w:rPr>
        <w:t xml:space="preserve"> </w:t>
      </w:r>
      <w:r w:rsidRPr="00B536BA">
        <w:rPr>
          <w:rFonts w:ascii="Courier New" w:hAnsi="Courier New" w:cs="Courier New"/>
          <w:sz w:val="24"/>
          <w:szCs w:val="24"/>
        </w:rPr>
        <w:t>also establish a zone for GE</w:t>
      </w:r>
      <w:r>
        <w:rPr>
          <w:rFonts w:ascii="Courier New" w:hAnsi="Courier New" w:cs="Courier New"/>
          <w:sz w:val="24"/>
          <w:szCs w:val="24"/>
        </w:rPr>
        <w:t xml:space="preserve"> </w:t>
      </w:r>
      <w:r w:rsidRPr="00B536BA">
        <w:rPr>
          <w:rFonts w:ascii="Courier New" w:hAnsi="Courier New" w:cs="Courier New"/>
          <w:sz w:val="24"/>
          <w:szCs w:val="24"/>
        </w:rPr>
        <w:t>programs that have a discretionary</w:t>
      </w:r>
      <w:r>
        <w:rPr>
          <w:rFonts w:ascii="Courier New" w:hAnsi="Courier New" w:cs="Courier New"/>
          <w:sz w:val="24"/>
          <w:szCs w:val="24"/>
        </w:rPr>
        <w:t xml:space="preserve"> </w:t>
      </w:r>
      <w:r w:rsidRPr="00B536BA">
        <w:rPr>
          <w:rFonts w:ascii="Courier New" w:hAnsi="Courier New" w:cs="Courier New"/>
          <w:sz w:val="24"/>
          <w:szCs w:val="24"/>
        </w:rPr>
        <w:t xml:space="preserve">income rate </w:t>
      </w:r>
      <w:r w:rsidR="00057011" w:rsidRPr="007233D2">
        <w:rPr>
          <w:rFonts w:ascii="Courier New" w:hAnsi="Courier New"/>
          <w:sz w:val="24"/>
        </w:rPr>
        <w:t xml:space="preserve">greater than </w:t>
      </w:r>
      <w:r w:rsidRPr="007233D2">
        <w:rPr>
          <w:rFonts w:ascii="Courier New" w:hAnsi="Courier New"/>
          <w:sz w:val="24"/>
        </w:rPr>
        <w:t>20 percent and</w:t>
      </w:r>
      <w:r w:rsidR="00057011" w:rsidRPr="007233D2">
        <w:rPr>
          <w:rFonts w:ascii="Courier New" w:hAnsi="Courier New"/>
          <w:sz w:val="24"/>
        </w:rPr>
        <w:t xml:space="preserve"> less than or equal to</w:t>
      </w:r>
      <w:r w:rsidRPr="007233D2">
        <w:rPr>
          <w:rFonts w:ascii="Courier New" w:hAnsi="Courier New"/>
          <w:sz w:val="24"/>
        </w:rPr>
        <w:t xml:space="preserve"> 30 percent or an annual earnings rate </w:t>
      </w:r>
      <w:r w:rsidR="00057011" w:rsidRPr="007233D2">
        <w:rPr>
          <w:rFonts w:ascii="Courier New" w:hAnsi="Courier New"/>
          <w:sz w:val="24"/>
        </w:rPr>
        <w:t xml:space="preserve">greater than </w:t>
      </w:r>
      <w:r w:rsidRPr="007233D2">
        <w:rPr>
          <w:rFonts w:ascii="Courier New" w:hAnsi="Courier New"/>
          <w:sz w:val="24"/>
        </w:rPr>
        <w:t>8 percent and</w:t>
      </w:r>
      <w:r w:rsidR="00057011" w:rsidRPr="007233D2">
        <w:rPr>
          <w:rFonts w:ascii="Courier New" w:hAnsi="Courier New"/>
          <w:sz w:val="24"/>
        </w:rPr>
        <w:t xml:space="preserve"> less than or equal to</w:t>
      </w:r>
      <w:r w:rsidRPr="00B536BA">
        <w:rPr>
          <w:rFonts w:ascii="Courier New" w:hAnsi="Courier New" w:cs="Courier New"/>
          <w:sz w:val="24"/>
          <w:szCs w:val="24"/>
        </w:rPr>
        <w:t xml:space="preserve"> 12 percent. </w:t>
      </w:r>
      <w:r>
        <w:rPr>
          <w:rFonts w:ascii="Courier New" w:hAnsi="Courier New" w:cs="Courier New"/>
          <w:sz w:val="24"/>
          <w:szCs w:val="24"/>
        </w:rPr>
        <w:t xml:space="preserve"> </w:t>
      </w:r>
      <w:r w:rsidRPr="00B536BA">
        <w:rPr>
          <w:rFonts w:ascii="Courier New" w:hAnsi="Courier New" w:cs="Courier New"/>
          <w:sz w:val="24"/>
          <w:szCs w:val="24"/>
        </w:rPr>
        <w:t>GE</w:t>
      </w:r>
      <w:r>
        <w:rPr>
          <w:rFonts w:ascii="Courier New" w:hAnsi="Courier New" w:cs="Courier New"/>
          <w:sz w:val="24"/>
          <w:szCs w:val="24"/>
        </w:rPr>
        <w:t xml:space="preserve"> </w:t>
      </w:r>
      <w:r w:rsidRPr="00B536BA">
        <w:rPr>
          <w:rFonts w:ascii="Courier New" w:hAnsi="Courier New" w:cs="Courier New"/>
          <w:sz w:val="24"/>
          <w:szCs w:val="24"/>
        </w:rPr>
        <w:t>programs with a discretionary income</w:t>
      </w:r>
      <w:r>
        <w:rPr>
          <w:rFonts w:ascii="Courier New" w:hAnsi="Courier New" w:cs="Courier New"/>
          <w:sz w:val="24"/>
          <w:szCs w:val="24"/>
        </w:rPr>
        <w:t xml:space="preserve"> </w:t>
      </w:r>
      <w:r w:rsidRPr="00B536BA">
        <w:rPr>
          <w:rFonts w:ascii="Courier New" w:hAnsi="Courier New" w:cs="Courier New"/>
          <w:sz w:val="24"/>
          <w:szCs w:val="24"/>
        </w:rPr>
        <w:t>rate over 30 percent and an annual</w:t>
      </w:r>
      <w:r>
        <w:rPr>
          <w:rFonts w:ascii="Courier New" w:hAnsi="Courier New" w:cs="Courier New"/>
          <w:sz w:val="24"/>
          <w:szCs w:val="24"/>
        </w:rPr>
        <w:t xml:space="preserve"> </w:t>
      </w:r>
      <w:r w:rsidRPr="00B536BA">
        <w:rPr>
          <w:rFonts w:ascii="Courier New" w:hAnsi="Courier New" w:cs="Courier New"/>
          <w:sz w:val="24"/>
          <w:szCs w:val="24"/>
        </w:rPr>
        <w:t xml:space="preserve">earnings rate over 12 percent </w:t>
      </w:r>
      <w:r>
        <w:rPr>
          <w:rFonts w:ascii="Courier New" w:hAnsi="Courier New" w:cs="Courier New"/>
          <w:sz w:val="24"/>
          <w:szCs w:val="24"/>
        </w:rPr>
        <w:t>will</w:t>
      </w:r>
      <w:r w:rsidRPr="00B536BA">
        <w:rPr>
          <w:rFonts w:ascii="Courier New" w:hAnsi="Courier New" w:cs="Courier New"/>
          <w:sz w:val="24"/>
          <w:szCs w:val="24"/>
        </w:rPr>
        <w:t xml:space="preserve"> fail</w:t>
      </w:r>
      <w:r>
        <w:rPr>
          <w:rFonts w:ascii="Courier New" w:hAnsi="Courier New" w:cs="Courier New"/>
          <w:sz w:val="24"/>
          <w:szCs w:val="24"/>
        </w:rPr>
        <w:t xml:space="preserve"> </w:t>
      </w:r>
      <w:r w:rsidRPr="00B536BA">
        <w:rPr>
          <w:rFonts w:ascii="Courier New" w:hAnsi="Courier New" w:cs="Courier New"/>
          <w:sz w:val="24"/>
          <w:szCs w:val="24"/>
        </w:rPr>
        <w:t xml:space="preserve">the D/E rates measure. </w:t>
      </w:r>
      <w:r>
        <w:rPr>
          <w:rFonts w:ascii="Courier New" w:hAnsi="Courier New" w:cs="Courier New"/>
          <w:sz w:val="24"/>
          <w:szCs w:val="24"/>
        </w:rPr>
        <w:t xml:space="preserve"> Under the </w:t>
      </w:r>
      <w:r w:rsidRPr="00B536BA">
        <w:rPr>
          <w:rFonts w:ascii="Courier New" w:hAnsi="Courier New" w:cs="Courier New"/>
          <w:sz w:val="24"/>
          <w:szCs w:val="24"/>
        </w:rPr>
        <w:t>regulations, a GE program</w:t>
      </w:r>
      <w:r>
        <w:rPr>
          <w:rFonts w:ascii="Courier New" w:hAnsi="Courier New" w:cs="Courier New"/>
          <w:sz w:val="24"/>
          <w:szCs w:val="24"/>
        </w:rPr>
        <w:t xml:space="preserve"> </w:t>
      </w:r>
      <w:r w:rsidRPr="00B536BA">
        <w:rPr>
          <w:rFonts w:ascii="Courier New" w:hAnsi="Courier New" w:cs="Courier New"/>
          <w:sz w:val="24"/>
          <w:szCs w:val="24"/>
        </w:rPr>
        <w:t>become</w:t>
      </w:r>
      <w:r>
        <w:rPr>
          <w:rFonts w:ascii="Courier New" w:hAnsi="Courier New" w:cs="Courier New"/>
          <w:sz w:val="24"/>
          <w:szCs w:val="24"/>
        </w:rPr>
        <w:t>s</w:t>
      </w:r>
      <w:r w:rsidRPr="00B536BA">
        <w:rPr>
          <w:rFonts w:ascii="Courier New" w:hAnsi="Courier New" w:cs="Courier New"/>
          <w:sz w:val="24"/>
          <w:szCs w:val="24"/>
        </w:rPr>
        <w:t xml:space="preserve"> ineligible for title IV,</w:t>
      </w:r>
      <w:r>
        <w:rPr>
          <w:rFonts w:ascii="Courier New" w:hAnsi="Courier New" w:cs="Courier New"/>
          <w:sz w:val="24"/>
          <w:szCs w:val="24"/>
        </w:rPr>
        <w:t xml:space="preserve"> </w:t>
      </w:r>
      <w:r w:rsidRPr="00B536BA">
        <w:rPr>
          <w:rFonts w:ascii="Courier New" w:hAnsi="Courier New" w:cs="Courier New"/>
          <w:sz w:val="24"/>
          <w:szCs w:val="24"/>
        </w:rPr>
        <w:t>HEA pro</w:t>
      </w:r>
      <w:r>
        <w:rPr>
          <w:rFonts w:ascii="Courier New" w:hAnsi="Courier New" w:cs="Courier New"/>
          <w:sz w:val="24"/>
          <w:szCs w:val="24"/>
        </w:rPr>
        <w:t xml:space="preserve">gram funds, if it fails the D/E </w:t>
      </w:r>
      <w:r w:rsidRPr="00B536BA">
        <w:rPr>
          <w:rFonts w:ascii="Courier New" w:hAnsi="Courier New" w:cs="Courier New"/>
          <w:sz w:val="24"/>
          <w:szCs w:val="24"/>
        </w:rPr>
        <w:t>rates measure for two out of three</w:t>
      </w:r>
      <w:r>
        <w:rPr>
          <w:rFonts w:ascii="Courier New" w:hAnsi="Courier New" w:cs="Courier New"/>
          <w:sz w:val="24"/>
          <w:szCs w:val="24"/>
        </w:rPr>
        <w:t xml:space="preserve"> </w:t>
      </w:r>
      <w:r w:rsidRPr="00B536BA">
        <w:rPr>
          <w:rFonts w:ascii="Courier New" w:hAnsi="Courier New" w:cs="Courier New"/>
          <w:sz w:val="24"/>
          <w:szCs w:val="24"/>
        </w:rPr>
        <w:t>consecutive years, or has a combination</w:t>
      </w:r>
      <w:r>
        <w:rPr>
          <w:rFonts w:ascii="Courier New" w:hAnsi="Courier New" w:cs="Courier New"/>
          <w:sz w:val="24"/>
          <w:szCs w:val="24"/>
        </w:rPr>
        <w:t xml:space="preserve"> </w:t>
      </w:r>
      <w:r w:rsidRPr="00B536BA">
        <w:rPr>
          <w:rFonts w:ascii="Courier New" w:hAnsi="Courier New" w:cs="Courier New"/>
          <w:sz w:val="24"/>
          <w:szCs w:val="24"/>
        </w:rPr>
        <w:t>of D/E rates that are in the</w:t>
      </w:r>
      <w:r>
        <w:rPr>
          <w:rFonts w:ascii="Courier New" w:hAnsi="Courier New" w:cs="Courier New"/>
          <w:sz w:val="24"/>
          <w:szCs w:val="24"/>
        </w:rPr>
        <w:t xml:space="preserve"> </w:t>
      </w:r>
      <w:r w:rsidRPr="00B536BA">
        <w:rPr>
          <w:rFonts w:ascii="Courier New" w:hAnsi="Courier New" w:cs="Courier New"/>
          <w:sz w:val="24"/>
          <w:szCs w:val="24"/>
        </w:rPr>
        <w:t>zone or failing for four consecutive</w:t>
      </w:r>
      <w:r>
        <w:rPr>
          <w:rFonts w:ascii="Courier New" w:hAnsi="Courier New" w:cs="Courier New"/>
          <w:sz w:val="24"/>
          <w:szCs w:val="24"/>
        </w:rPr>
        <w:t xml:space="preserve"> </w:t>
      </w:r>
      <w:r w:rsidRPr="00B536BA">
        <w:rPr>
          <w:rFonts w:ascii="Courier New" w:hAnsi="Courier New" w:cs="Courier New"/>
          <w:sz w:val="24"/>
          <w:szCs w:val="24"/>
        </w:rPr>
        <w:t xml:space="preserve">years. </w:t>
      </w:r>
      <w:r>
        <w:rPr>
          <w:rFonts w:ascii="Courier New" w:hAnsi="Courier New" w:cs="Courier New"/>
          <w:sz w:val="24"/>
          <w:szCs w:val="24"/>
        </w:rPr>
        <w:t xml:space="preserve"> </w:t>
      </w:r>
      <w:r w:rsidRPr="00B536BA">
        <w:rPr>
          <w:rFonts w:ascii="Courier New" w:hAnsi="Courier New" w:cs="Courier New"/>
          <w:sz w:val="24"/>
          <w:szCs w:val="24"/>
        </w:rPr>
        <w:t xml:space="preserve">We </w:t>
      </w:r>
      <w:r>
        <w:rPr>
          <w:rFonts w:ascii="Courier New" w:hAnsi="Courier New" w:cs="Courier New"/>
          <w:sz w:val="24"/>
          <w:szCs w:val="24"/>
        </w:rPr>
        <w:t>establish</w:t>
      </w:r>
      <w:r w:rsidRPr="00B536BA">
        <w:rPr>
          <w:rFonts w:ascii="Courier New" w:hAnsi="Courier New" w:cs="Courier New"/>
          <w:sz w:val="24"/>
          <w:szCs w:val="24"/>
        </w:rPr>
        <w:t xml:space="preserve"> the D/E rates measure</w:t>
      </w:r>
      <w:r>
        <w:rPr>
          <w:rFonts w:ascii="Courier New" w:hAnsi="Courier New" w:cs="Courier New"/>
          <w:sz w:val="24"/>
          <w:szCs w:val="24"/>
        </w:rPr>
        <w:t xml:space="preserve"> </w:t>
      </w:r>
      <w:r w:rsidRPr="00B536BA">
        <w:rPr>
          <w:rFonts w:ascii="Courier New" w:hAnsi="Courier New" w:cs="Courier New"/>
          <w:sz w:val="24"/>
          <w:szCs w:val="24"/>
        </w:rPr>
        <w:t>and the thresholds, as explained in</w:t>
      </w:r>
      <w:r>
        <w:rPr>
          <w:rFonts w:ascii="Courier New" w:hAnsi="Courier New" w:cs="Courier New"/>
          <w:sz w:val="24"/>
          <w:szCs w:val="24"/>
        </w:rPr>
        <w:t xml:space="preserve"> </w:t>
      </w:r>
      <w:r w:rsidRPr="00B536BA">
        <w:rPr>
          <w:rFonts w:ascii="Courier New" w:hAnsi="Courier New" w:cs="Courier New"/>
          <w:sz w:val="24"/>
          <w:szCs w:val="24"/>
        </w:rPr>
        <w:t xml:space="preserve">more detail in </w:t>
      </w:r>
      <w:r>
        <w:rPr>
          <w:rFonts w:ascii="Courier New" w:hAnsi="Courier New" w:cs="Courier New"/>
          <w:sz w:val="24"/>
          <w:szCs w:val="24"/>
        </w:rPr>
        <w:t>“§</w:t>
      </w:r>
      <w:r w:rsidRPr="00B536BA">
        <w:rPr>
          <w:rFonts w:ascii="Courier New" w:hAnsi="Courier New" w:cs="Courier New"/>
          <w:sz w:val="24"/>
          <w:szCs w:val="24"/>
        </w:rPr>
        <w:t xml:space="preserve">668.403 </w:t>
      </w:r>
      <w:r>
        <w:rPr>
          <w:rFonts w:ascii="Courier New" w:hAnsi="Courier New" w:cs="Courier New"/>
          <w:sz w:val="24"/>
          <w:szCs w:val="24"/>
        </w:rPr>
        <w:t xml:space="preserve"> </w:t>
      </w:r>
      <w:r w:rsidRPr="00B536BA">
        <w:rPr>
          <w:rFonts w:ascii="Courier New" w:hAnsi="Courier New" w:cs="Courier New"/>
          <w:sz w:val="24"/>
          <w:szCs w:val="24"/>
        </w:rPr>
        <w:t>Gainful</w:t>
      </w:r>
      <w:r>
        <w:rPr>
          <w:rFonts w:ascii="Courier New" w:hAnsi="Courier New" w:cs="Courier New"/>
          <w:sz w:val="24"/>
          <w:szCs w:val="24"/>
        </w:rPr>
        <w:t xml:space="preserve"> E</w:t>
      </w:r>
      <w:r w:rsidRPr="00B536BA">
        <w:rPr>
          <w:rFonts w:ascii="Courier New" w:hAnsi="Courier New" w:cs="Courier New"/>
          <w:sz w:val="24"/>
          <w:szCs w:val="24"/>
        </w:rPr>
        <w:t xml:space="preserve">mployment </w:t>
      </w:r>
      <w:r>
        <w:rPr>
          <w:rFonts w:ascii="Courier New" w:hAnsi="Courier New" w:cs="Courier New"/>
          <w:sz w:val="24"/>
          <w:szCs w:val="24"/>
        </w:rPr>
        <w:t>F</w:t>
      </w:r>
      <w:r w:rsidRPr="00B536BA">
        <w:rPr>
          <w:rFonts w:ascii="Courier New" w:hAnsi="Courier New" w:cs="Courier New"/>
          <w:sz w:val="24"/>
          <w:szCs w:val="24"/>
        </w:rPr>
        <w:t>ramework,</w:t>
      </w:r>
      <w:r>
        <w:rPr>
          <w:rFonts w:ascii="Courier New" w:hAnsi="Courier New" w:cs="Courier New"/>
          <w:sz w:val="24"/>
          <w:szCs w:val="24"/>
        </w:rPr>
        <w:t>”</w:t>
      </w:r>
      <w:r w:rsidRPr="00B536BA">
        <w:rPr>
          <w:rFonts w:ascii="Courier New" w:hAnsi="Courier New" w:cs="Courier New"/>
          <w:sz w:val="24"/>
          <w:szCs w:val="24"/>
        </w:rPr>
        <w:t xml:space="preserve"> to assess</w:t>
      </w:r>
      <w:r>
        <w:rPr>
          <w:rFonts w:ascii="Courier New" w:hAnsi="Courier New" w:cs="Courier New"/>
          <w:sz w:val="24"/>
          <w:szCs w:val="24"/>
        </w:rPr>
        <w:t xml:space="preserve"> </w:t>
      </w:r>
      <w:r w:rsidRPr="00B536BA">
        <w:rPr>
          <w:rFonts w:ascii="Courier New" w:hAnsi="Courier New" w:cs="Courier New"/>
          <w:sz w:val="24"/>
          <w:szCs w:val="24"/>
        </w:rPr>
        <w:t>whether a GE program has indeed</w:t>
      </w:r>
      <w:r>
        <w:rPr>
          <w:rFonts w:ascii="Courier New" w:hAnsi="Courier New" w:cs="Courier New"/>
          <w:sz w:val="24"/>
          <w:szCs w:val="24"/>
        </w:rPr>
        <w:t xml:space="preserve"> </w:t>
      </w:r>
      <w:r w:rsidRPr="00B536BA">
        <w:rPr>
          <w:rFonts w:ascii="Courier New" w:hAnsi="Courier New" w:cs="Courier New"/>
          <w:sz w:val="24"/>
          <w:szCs w:val="24"/>
        </w:rPr>
        <w:t>prepared students to earn enough to</w:t>
      </w:r>
      <w:r>
        <w:rPr>
          <w:rFonts w:ascii="Courier New" w:hAnsi="Courier New" w:cs="Courier New"/>
          <w:sz w:val="24"/>
          <w:szCs w:val="24"/>
        </w:rPr>
        <w:t xml:space="preserve"> </w:t>
      </w:r>
      <w:r w:rsidRPr="00B536BA">
        <w:rPr>
          <w:rFonts w:ascii="Courier New" w:hAnsi="Courier New" w:cs="Courier New"/>
          <w:sz w:val="24"/>
          <w:szCs w:val="24"/>
        </w:rPr>
        <w:t>repay their loans, or was sufficiently</w:t>
      </w:r>
      <w:r>
        <w:rPr>
          <w:rFonts w:ascii="Courier New" w:hAnsi="Courier New" w:cs="Courier New"/>
          <w:sz w:val="24"/>
          <w:szCs w:val="24"/>
        </w:rPr>
        <w:t xml:space="preserve"> </w:t>
      </w:r>
      <w:r w:rsidRPr="00B536BA">
        <w:rPr>
          <w:rFonts w:ascii="Courier New" w:hAnsi="Courier New" w:cs="Courier New"/>
          <w:sz w:val="24"/>
          <w:szCs w:val="24"/>
        </w:rPr>
        <w:t>low cost, such that students are not</w:t>
      </w:r>
      <w:r>
        <w:rPr>
          <w:rFonts w:ascii="Courier New" w:hAnsi="Courier New" w:cs="Courier New"/>
          <w:sz w:val="24"/>
          <w:szCs w:val="24"/>
        </w:rPr>
        <w:t xml:space="preserve"> </w:t>
      </w:r>
      <w:r w:rsidRPr="00B536BA">
        <w:rPr>
          <w:rFonts w:ascii="Courier New" w:hAnsi="Courier New" w:cs="Courier New"/>
          <w:sz w:val="24"/>
          <w:szCs w:val="24"/>
        </w:rPr>
        <w:t>unduly burdened with debt, and to</w:t>
      </w:r>
      <w:r>
        <w:rPr>
          <w:rFonts w:ascii="Courier New" w:hAnsi="Courier New" w:cs="Courier New"/>
          <w:sz w:val="24"/>
          <w:szCs w:val="24"/>
        </w:rPr>
        <w:t xml:space="preserve"> </w:t>
      </w:r>
      <w:r w:rsidRPr="00B536BA">
        <w:rPr>
          <w:rFonts w:ascii="Courier New" w:hAnsi="Courier New" w:cs="Courier New"/>
          <w:sz w:val="24"/>
          <w:szCs w:val="24"/>
        </w:rPr>
        <w:t>safeguard the Federal investment</w:t>
      </w:r>
      <w:r>
        <w:rPr>
          <w:rFonts w:ascii="Courier New" w:hAnsi="Courier New" w:cs="Courier New"/>
          <w:sz w:val="24"/>
          <w:szCs w:val="24"/>
        </w:rPr>
        <w:t xml:space="preserve"> </w:t>
      </w:r>
      <w:r w:rsidRPr="00B536BA">
        <w:rPr>
          <w:rFonts w:ascii="Courier New" w:hAnsi="Courier New" w:cs="Courier New"/>
          <w:sz w:val="24"/>
          <w:szCs w:val="24"/>
        </w:rPr>
        <w:t>in the program.</w:t>
      </w:r>
    </w:p>
    <w:p w14:paraId="6C1D6433" w14:textId="3183E169"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The regulations also</w:t>
      </w:r>
      <w:r>
        <w:rPr>
          <w:rFonts w:ascii="Courier New" w:hAnsi="Courier New" w:cs="Courier New"/>
          <w:sz w:val="24"/>
          <w:szCs w:val="24"/>
        </w:rPr>
        <w:t xml:space="preserve"> </w:t>
      </w:r>
      <w:r w:rsidRPr="00B536BA">
        <w:rPr>
          <w:rFonts w:ascii="Courier New" w:hAnsi="Courier New" w:cs="Courier New"/>
          <w:sz w:val="24"/>
          <w:szCs w:val="24"/>
        </w:rPr>
        <w:t>establish procedures for the calculation</w:t>
      </w:r>
      <w:r>
        <w:rPr>
          <w:rFonts w:ascii="Courier New" w:hAnsi="Courier New" w:cs="Courier New"/>
          <w:sz w:val="24"/>
          <w:szCs w:val="24"/>
        </w:rPr>
        <w:t xml:space="preserve"> </w:t>
      </w:r>
      <w:r w:rsidRPr="00B536BA">
        <w:rPr>
          <w:rFonts w:ascii="Courier New" w:hAnsi="Courier New" w:cs="Courier New"/>
          <w:sz w:val="24"/>
          <w:szCs w:val="24"/>
        </w:rPr>
        <w:t>of the D/E rates</w:t>
      </w:r>
      <w:r>
        <w:rPr>
          <w:rFonts w:ascii="Courier New" w:hAnsi="Courier New" w:cs="Courier New"/>
          <w:sz w:val="24"/>
          <w:szCs w:val="24"/>
        </w:rPr>
        <w:t xml:space="preserve"> and for challenging the </w:t>
      </w:r>
      <w:r w:rsidRPr="00B536BA">
        <w:rPr>
          <w:rFonts w:ascii="Courier New" w:hAnsi="Courier New" w:cs="Courier New"/>
          <w:sz w:val="24"/>
          <w:szCs w:val="24"/>
        </w:rPr>
        <w:t>information used to calculate the D/E</w:t>
      </w:r>
      <w:r>
        <w:rPr>
          <w:rFonts w:ascii="Courier New" w:hAnsi="Courier New" w:cs="Courier New"/>
          <w:sz w:val="24"/>
          <w:szCs w:val="24"/>
        </w:rPr>
        <w:t xml:space="preserve"> </w:t>
      </w:r>
      <w:r w:rsidRPr="00B536BA">
        <w:rPr>
          <w:rFonts w:ascii="Courier New" w:hAnsi="Courier New" w:cs="Courier New"/>
          <w:sz w:val="24"/>
          <w:szCs w:val="24"/>
        </w:rPr>
        <w:t xml:space="preserve">rates and appealing </w:t>
      </w:r>
      <w:r>
        <w:rPr>
          <w:rFonts w:ascii="Courier New" w:hAnsi="Courier New" w:cs="Courier New"/>
          <w:sz w:val="24"/>
          <w:szCs w:val="24"/>
        </w:rPr>
        <w:t>the</w:t>
      </w:r>
      <w:r w:rsidRPr="00B536BA">
        <w:rPr>
          <w:rFonts w:ascii="Courier New" w:hAnsi="Courier New" w:cs="Courier New"/>
          <w:sz w:val="24"/>
          <w:szCs w:val="24"/>
        </w:rPr>
        <w:t xml:space="preserve"> determination. </w:t>
      </w:r>
      <w:r>
        <w:rPr>
          <w:rFonts w:ascii="Courier New" w:hAnsi="Courier New" w:cs="Courier New"/>
          <w:sz w:val="24"/>
          <w:szCs w:val="24"/>
        </w:rPr>
        <w:t xml:space="preserve"> T</w:t>
      </w:r>
      <w:r w:rsidRPr="00B536BA">
        <w:rPr>
          <w:rFonts w:ascii="Courier New" w:hAnsi="Courier New" w:cs="Courier New"/>
          <w:sz w:val="24"/>
          <w:szCs w:val="24"/>
        </w:rPr>
        <w:t>he regulations also</w:t>
      </w:r>
      <w:r>
        <w:rPr>
          <w:rFonts w:ascii="Courier New" w:hAnsi="Courier New" w:cs="Courier New"/>
          <w:sz w:val="24"/>
          <w:szCs w:val="24"/>
        </w:rPr>
        <w:t xml:space="preserve"> </w:t>
      </w:r>
      <w:r w:rsidRPr="00B536BA">
        <w:rPr>
          <w:rFonts w:ascii="Courier New" w:hAnsi="Courier New" w:cs="Courier New"/>
          <w:sz w:val="24"/>
          <w:szCs w:val="24"/>
        </w:rPr>
        <w:t>establish a transition period for</w:t>
      </w:r>
      <w:r>
        <w:rPr>
          <w:rFonts w:ascii="Courier New" w:hAnsi="Courier New" w:cs="Courier New"/>
          <w:sz w:val="24"/>
          <w:szCs w:val="24"/>
        </w:rPr>
        <w:t xml:space="preserve"> </w:t>
      </w:r>
      <w:r w:rsidRPr="00B536BA">
        <w:rPr>
          <w:rFonts w:ascii="Courier New" w:hAnsi="Courier New" w:cs="Courier New"/>
          <w:sz w:val="24"/>
          <w:szCs w:val="24"/>
        </w:rPr>
        <w:t xml:space="preserve">the first </w:t>
      </w:r>
      <w:r w:rsidR="00B67AE0">
        <w:rPr>
          <w:rFonts w:ascii="Courier New" w:hAnsi="Courier New" w:cs="Courier New"/>
          <w:sz w:val="24"/>
          <w:szCs w:val="24"/>
        </w:rPr>
        <w:lastRenderedPageBreak/>
        <w:t>seven</w:t>
      </w:r>
      <w:r w:rsidRPr="00B536BA">
        <w:rPr>
          <w:rFonts w:ascii="Courier New" w:hAnsi="Courier New" w:cs="Courier New"/>
          <w:sz w:val="24"/>
          <w:szCs w:val="24"/>
        </w:rPr>
        <w:t xml:space="preserve"> years </w:t>
      </w:r>
      <w:r w:rsidR="00B67AE0">
        <w:rPr>
          <w:rFonts w:ascii="Courier New" w:hAnsi="Courier New" w:cs="Courier New"/>
          <w:sz w:val="24"/>
          <w:szCs w:val="24"/>
        </w:rPr>
        <w:t>after the regulations take effect</w:t>
      </w:r>
      <w:r w:rsidRPr="00B536BA">
        <w:rPr>
          <w:rFonts w:ascii="Courier New" w:hAnsi="Courier New" w:cs="Courier New"/>
          <w:sz w:val="24"/>
          <w:szCs w:val="24"/>
        </w:rPr>
        <w:t xml:space="preserve"> to allow</w:t>
      </w:r>
      <w:r>
        <w:rPr>
          <w:rFonts w:ascii="Courier New" w:hAnsi="Courier New" w:cs="Courier New"/>
          <w:sz w:val="24"/>
          <w:szCs w:val="24"/>
        </w:rPr>
        <w:t xml:space="preserve"> </w:t>
      </w:r>
      <w:r w:rsidRPr="00B536BA">
        <w:rPr>
          <w:rFonts w:ascii="Courier New" w:hAnsi="Courier New" w:cs="Courier New"/>
          <w:sz w:val="24"/>
          <w:szCs w:val="24"/>
        </w:rPr>
        <w:t>institutions to pass the</w:t>
      </w:r>
      <w:r>
        <w:rPr>
          <w:rFonts w:ascii="Courier New" w:hAnsi="Courier New" w:cs="Courier New"/>
          <w:sz w:val="24"/>
          <w:szCs w:val="24"/>
        </w:rPr>
        <w:t xml:space="preserve"> </w:t>
      </w:r>
      <w:r w:rsidRPr="00B536BA">
        <w:rPr>
          <w:rFonts w:ascii="Courier New" w:hAnsi="Courier New" w:cs="Courier New"/>
          <w:sz w:val="24"/>
          <w:szCs w:val="24"/>
        </w:rPr>
        <w:t>D/E rates measure by reducing the loan debt of</w:t>
      </w:r>
      <w:r>
        <w:rPr>
          <w:rFonts w:ascii="Courier New" w:hAnsi="Courier New" w:cs="Courier New"/>
          <w:sz w:val="24"/>
          <w:szCs w:val="24"/>
        </w:rPr>
        <w:t xml:space="preserve"> </w:t>
      </w:r>
      <w:r w:rsidRPr="00B536BA">
        <w:rPr>
          <w:rFonts w:ascii="Courier New" w:hAnsi="Courier New" w:cs="Courier New"/>
          <w:sz w:val="24"/>
          <w:szCs w:val="24"/>
        </w:rPr>
        <w:t>currently enrolled students.</w:t>
      </w:r>
    </w:p>
    <w:p w14:paraId="3E99F116" w14:textId="2E30DB61"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 xml:space="preserve">For a GE program that could become ineligible based on its D/E rates for the next award year, </w:t>
      </w:r>
      <w:r w:rsidR="0088284C" w:rsidRPr="00B536BA">
        <w:rPr>
          <w:rFonts w:ascii="Courier New" w:hAnsi="Courier New" w:cs="Courier New"/>
          <w:sz w:val="24"/>
          <w:szCs w:val="24"/>
        </w:rPr>
        <w:t>the</w:t>
      </w:r>
      <w:r w:rsidR="0088284C">
        <w:rPr>
          <w:rFonts w:ascii="Courier New" w:hAnsi="Courier New" w:cs="Courier New"/>
          <w:sz w:val="24"/>
          <w:szCs w:val="24"/>
        </w:rPr>
        <w:t xml:space="preserve"> </w:t>
      </w:r>
      <w:r w:rsidR="0088284C" w:rsidRPr="00B536BA">
        <w:rPr>
          <w:rFonts w:ascii="Courier New" w:hAnsi="Courier New" w:cs="Courier New"/>
          <w:sz w:val="24"/>
          <w:szCs w:val="24"/>
        </w:rPr>
        <w:t>regulations require the</w:t>
      </w:r>
      <w:r w:rsidR="0088284C">
        <w:rPr>
          <w:rFonts w:ascii="Courier New" w:hAnsi="Courier New" w:cs="Courier New"/>
          <w:sz w:val="24"/>
          <w:szCs w:val="24"/>
        </w:rPr>
        <w:t xml:space="preserve"> institution</w:t>
      </w:r>
      <w:r w:rsidR="0088284C" w:rsidRPr="00B536BA">
        <w:rPr>
          <w:rFonts w:ascii="Courier New" w:hAnsi="Courier New" w:cs="Courier New"/>
          <w:sz w:val="24"/>
          <w:szCs w:val="24"/>
        </w:rPr>
        <w:t xml:space="preserve"> to warn students and</w:t>
      </w:r>
      <w:r w:rsidR="0088284C">
        <w:rPr>
          <w:rFonts w:ascii="Courier New" w:hAnsi="Courier New" w:cs="Courier New"/>
          <w:sz w:val="24"/>
          <w:szCs w:val="24"/>
        </w:rPr>
        <w:t xml:space="preserve"> </w:t>
      </w:r>
      <w:r w:rsidR="0088284C" w:rsidRPr="00B536BA">
        <w:rPr>
          <w:rFonts w:ascii="Courier New" w:hAnsi="Courier New" w:cs="Courier New"/>
          <w:sz w:val="24"/>
          <w:szCs w:val="24"/>
        </w:rPr>
        <w:t>prospective students of the potential</w:t>
      </w:r>
      <w:r w:rsidR="0088284C">
        <w:rPr>
          <w:rFonts w:ascii="Courier New" w:hAnsi="Courier New" w:cs="Courier New"/>
          <w:sz w:val="24"/>
          <w:szCs w:val="24"/>
        </w:rPr>
        <w:t xml:space="preserve"> </w:t>
      </w:r>
      <w:r w:rsidR="0088284C" w:rsidRPr="00B536BA">
        <w:rPr>
          <w:rFonts w:ascii="Courier New" w:hAnsi="Courier New" w:cs="Courier New"/>
          <w:sz w:val="24"/>
          <w:szCs w:val="24"/>
        </w:rPr>
        <w:t>loss of eligibility for title IV, HEA</w:t>
      </w:r>
      <w:r w:rsidR="0088284C">
        <w:rPr>
          <w:rFonts w:ascii="Courier New" w:hAnsi="Courier New" w:cs="Courier New"/>
          <w:sz w:val="24"/>
          <w:szCs w:val="24"/>
        </w:rPr>
        <w:t xml:space="preserve"> </w:t>
      </w:r>
      <w:r w:rsidR="0088284C" w:rsidRPr="00B536BA">
        <w:rPr>
          <w:rFonts w:ascii="Courier New" w:hAnsi="Courier New" w:cs="Courier New"/>
          <w:sz w:val="24"/>
          <w:szCs w:val="24"/>
        </w:rPr>
        <w:t>program funds</w:t>
      </w:r>
      <w:r w:rsidR="0088284C">
        <w:rPr>
          <w:rFonts w:ascii="Courier New" w:hAnsi="Courier New" w:cs="Courier New"/>
          <w:sz w:val="24"/>
          <w:szCs w:val="24"/>
        </w:rPr>
        <w:t xml:space="preserve"> and</w:t>
      </w:r>
      <w:r w:rsidRPr="00B536BA">
        <w:rPr>
          <w:rFonts w:ascii="Courier New" w:hAnsi="Courier New" w:cs="Courier New"/>
          <w:sz w:val="24"/>
          <w:szCs w:val="24"/>
        </w:rPr>
        <w:t xml:space="preserve"> the</w:t>
      </w:r>
      <w:r>
        <w:rPr>
          <w:rFonts w:ascii="Courier New" w:hAnsi="Courier New" w:cs="Courier New"/>
          <w:sz w:val="24"/>
          <w:szCs w:val="24"/>
        </w:rPr>
        <w:t xml:space="preserve"> </w:t>
      </w:r>
      <w:r w:rsidRPr="00B536BA">
        <w:rPr>
          <w:rFonts w:ascii="Courier New" w:hAnsi="Courier New" w:cs="Courier New"/>
          <w:sz w:val="24"/>
          <w:szCs w:val="24"/>
        </w:rPr>
        <w:t>implications of such loss</w:t>
      </w:r>
      <w:r>
        <w:rPr>
          <w:rFonts w:ascii="Courier New" w:hAnsi="Courier New" w:cs="Courier New"/>
          <w:sz w:val="24"/>
          <w:szCs w:val="24"/>
        </w:rPr>
        <w:t xml:space="preserve"> of eligibility</w:t>
      </w:r>
      <w:r w:rsidRPr="00B536BA">
        <w:rPr>
          <w:rFonts w:ascii="Courier New" w:hAnsi="Courier New" w:cs="Courier New"/>
          <w:sz w:val="24"/>
          <w:szCs w:val="24"/>
        </w:rPr>
        <w:t xml:space="preserve">. </w:t>
      </w:r>
      <w:r>
        <w:rPr>
          <w:rFonts w:ascii="Courier New" w:hAnsi="Courier New" w:cs="Courier New"/>
          <w:sz w:val="24"/>
          <w:szCs w:val="24"/>
        </w:rPr>
        <w:t xml:space="preserve"> </w:t>
      </w:r>
      <w:r w:rsidRPr="00B536BA">
        <w:rPr>
          <w:rFonts w:ascii="Courier New" w:hAnsi="Courier New" w:cs="Courier New"/>
          <w:sz w:val="24"/>
          <w:szCs w:val="24"/>
        </w:rPr>
        <w:t>Specifically,</w:t>
      </w:r>
      <w:r>
        <w:rPr>
          <w:rFonts w:ascii="Courier New" w:hAnsi="Courier New" w:cs="Courier New"/>
          <w:sz w:val="24"/>
          <w:szCs w:val="24"/>
        </w:rPr>
        <w:t xml:space="preserve"> </w:t>
      </w:r>
      <w:r w:rsidRPr="00B536BA">
        <w:rPr>
          <w:rFonts w:ascii="Courier New" w:hAnsi="Courier New" w:cs="Courier New"/>
          <w:sz w:val="24"/>
          <w:szCs w:val="24"/>
        </w:rPr>
        <w:t>institutions would be required to</w:t>
      </w:r>
      <w:r>
        <w:rPr>
          <w:rFonts w:ascii="Courier New" w:hAnsi="Courier New" w:cs="Courier New"/>
          <w:sz w:val="24"/>
          <w:szCs w:val="24"/>
        </w:rPr>
        <w:t xml:space="preserve"> </w:t>
      </w:r>
      <w:r w:rsidRPr="00B536BA">
        <w:rPr>
          <w:rFonts w:ascii="Courier New" w:hAnsi="Courier New" w:cs="Courier New"/>
          <w:sz w:val="24"/>
          <w:szCs w:val="24"/>
        </w:rPr>
        <w:t xml:space="preserve">provide warnings to </w:t>
      </w:r>
      <w:r w:rsidR="00483B6F">
        <w:rPr>
          <w:rFonts w:ascii="Courier New" w:hAnsi="Courier New" w:cs="Courier New"/>
          <w:sz w:val="24"/>
          <w:szCs w:val="24"/>
        </w:rPr>
        <w:t xml:space="preserve">enrolled </w:t>
      </w:r>
      <w:r w:rsidRPr="00B536BA">
        <w:rPr>
          <w:rFonts w:ascii="Courier New" w:hAnsi="Courier New" w:cs="Courier New"/>
          <w:sz w:val="24"/>
          <w:szCs w:val="24"/>
        </w:rPr>
        <w:t>students</w:t>
      </w:r>
      <w:r>
        <w:rPr>
          <w:rFonts w:ascii="Courier New" w:hAnsi="Courier New" w:cs="Courier New"/>
          <w:sz w:val="24"/>
          <w:szCs w:val="24"/>
        </w:rPr>
        <w:t xml:space="preserve"> </w:t>
      </w:r>
      <w:r w:rsidRPr="00B536BA">
        <w:rPr>
          <w:rFonts w:ascii="Courier New" w:hAnsi="Courier New" w:cs="Courier New"/>
          <w:sz w:val="24"/>
          <w:szCs w:val="24"/>
        </w:rPr>
        <w:t>that describe</w:t>
      </w:r>
      <w:r>
        <w:rPr>
          <w:rFonts w:ascii="Courier New" w:hAnsi="Courier New" w:cs="Courier New"/>
          <w:sz w:val="24"/>
          <w:szCs w:val="24"/>
        </w:rPr>
        <w:t>, among other things,</w:t>
      </w:r>
      <w:r w:rsidRPr="00B536BA">
        <w:rPr>
          <w:rFonts w:ascii="Courier New" w:hAnsi="Courier New" w:cs="Courier New"/>
          <w:sz w:val="24"/>
          <w:szCs w:val="24"/>
        </w:rPr>
        <w:t xml:space="preserve"> the options available to</w:t>
      </w:r>
      <w:r>
        <w:rPr>
          <w:rFonts w:ascii="Courier New" w:hAnsi="Courier New" w:cs="Courier New"/>
          <w:sz w:val="24"/>
          <w:szCs w:val="24"/>
        </w:rPr>
        <w:t xml:space="preserve"> </w:t>
      </w:r>
      <w:r w:rsidRPr="00B536BA">
        <w:rPr>
          <w:rFonts w:ascii="Courier New" w:hAnsi="Courier New" w:cs="Courier New"/>
          <w:sz w:val="24"/>
          <w:szCs w:val="24"/>
        </w:rPr>
        <w:t>continue their education at the</w:t>
      </w:r>
      <w:r>
        <w:rPr>
          <w:rFonts w:ascii="Courier New" w:hAnsi="Courier New" w:cs="Courier New"/>
          <w:sz w:val="24"/>
          <w:szCs w:val="24"/>
        </w:rPr>
        <w:t xml:space="preserve"> </w:t>
      </w:r>
      <w:r w:rsidRPr="00B536BA">
        <w:rPr>
          <w:rFonts w:ascii="Courier New" w:hAnsi="Courier New" w:cs="Courier New"/>
          <w:sz w:val="24"/>
          <w:szCs w:val="24"/>
        </w:rPr>
        <w:t>institution i</w:t>
      </w:r>
      <w:r>
        <w:rPr>
          <w:rFonts w:ascii="Courier New" w:hAnsi="Courier New" w:cs="Courier New"/>
          <w:sz w:val="24"/>
          <w:szCs w:val="24"/>
        </w:rPr>
        <w:t>f</w:t>
      </w:r>
      <w:r w:rsidRPr="00B536BA">
        <w:rPr>
          <w:rFonts w:ascii="Courier New" w:hAnsi="Courier New" w:cs="Courier New"/>
          <w:sz w:val="24"/>
          <w:szCs w:val="24"/>
        </w:rPr>
        <w:t xml:space="preserve"> the program loses its</w:t>
      </w:r>
      <w:r>
        <w:rPr>
          <w:rFonts w:ascii="Courier New" w:hAnsi="Courier New" w:cs="Courier New"/>
          <w:sz w:val="24"/>
          <w:szCs w:val="24"/>
        </w:rPr>
        <w:t xml:space="preserve"> </w:t>
      </w:r>
      <w:r w:rsidRPr="00B536BA">
        <w:rPr>
          <w:rFonts w:ascii="Courier New" w:hAnsi="Courier New" w:cs="Courier New"/>
          <w:sz w:val="24"/>
          <w:szCs w:val="24"/>
        </w:rPr>
        <w:t>eligibility and whether the students will</w:t>
      </w:r>
      <w:r>
        <w:rPr>
          <w:rFonts w:ascii="Courier New" w:hAnsi="Courier New" w:cs="Courier New"/>
          <w:sz w:val="24"/>
          <w:szCs w:val="24"/>
        </w:rPr>
        <w:t xml:space="preserve"> </w:t>
      </w:r>
      <w:r w:rsidRPr="00B536BA">
        <w:rPr>
          <w:rFonts w:ascii="Courier New" w:hAnsi="Courier New" w:cs="Courier New"/>
          <w:sz w:val="24"/>
          <w:szCs w:val="24"/>
        </w:rPr>
        <w:t>be able to receive a refund of tuition and</w:t>
      </w:r>
      <w:r>
        <w:rPr>
          <w:rFonts w:ascii="Courier New" w:hAnsi="Courier New" w:cs="Courier New"/>
          <w:sz w:val="24"/>
          <w:szCs w:val="24"/>
        </w:rPr>
        <w:t xml:space="preserve"> </w:t>
      </w:r>
      <w:r w:rsidRPr="00B536BA">
        <w:rPr>
          <w:rFonts w:ascii="Courier New" w:hAnsi="Courier New" w:cs="Courier New"/>
          <w:sz w:val="24"/>
          <w:szCs w:val="24"/>
        </w:rPr>
        <w:t xml:space="preserve">fees. </w:t>
      </w:r>
      <w:r>
        <w:rPr>
          <w:rFonts w:ascii="Courier New" w:hAnsi="Courier New" w:cs="Courier New"/>
          <w:sz w:val="24"/>
          <w:szCs w:val="24"/>
        </w:rPr>
        <w:t xml:space="preserve"> </w:t>
      </w:r>
      <w:r w:rsidRPr="00B536BA">
        <w:rPr>
          <w:rFonts w:ascii="Courier New" w:hAnsi="Courier New" w:cs="Courier New"/>
          <w:sz w:val="24"/>
          <w:szCs w:val="24"/>
        </w:rPr>
        <w:t>The regulations also</w:t>
      </w:r>
      <w:r>
        <w:rPr>
          <w:rFonts w:ascii="Courier New" w:hAnsi="Courier New" w:cs="Courier New"/>
          <w:sz w:val="24"/>
          <w:szCs w:val="24"/>
        </w:rPr>
        <w:t xml:space="preserve"> </w:t>
      </w:r>
      <w:r w:rsidRPr="00B536BA">
        <w:rPr>
          <w:rFonts w:ascii="Courier New" w:hAnsi="Courier New" w:cs="Courier New"/>
          <w:sz w:val="24"/>
          <w:szCs w:val="24"/>
        </w:rPr>
        <w:t>provide that, for a GE program that loses</w:t>
      </w:r>
      <w:r>
        <w:rPr>
          <w:rFonts w:ascii="Courier New" w:hAnsi="Courier New" w:cs="Courier New"/>
          <w:sz w:val="24"/>
          <w:szCs w:val="24"/>
        </w:rPr>
        <w:t xml:space="preserve"> </w:t>
      </w:r>
      <w:r w:rsidRPr="00B536BA">
        <w:rPr>
          <w:rFonts w:ascii="Courier New" w:hAnsi="Courier New" w:cs="Courier New"/>
          <w:sz w:val="24"/>
          <w:szCs w:val="24"/>
        </w:rPr>
        <w:t xml:space="preserve">eligibility </w:t>
      </w:r>
      <w:r>
        <w:rPr>
          <w:rFonts w:ascii="Courier New" w:hAnsi="Courier New" w:cs="Courier New"/>
          <w:sz w:val="24"/>
          <w:szCs w:val="24"/>
        </w:rPr>
        <w:t xml:space="preserve">or for </w:t>
      </w:r>
      <w:r w:rsidRPr="00B536BA">
        <w:rPr>
          <w:rFonts w:ascii="Courier New" w:hAnsi="Courier New" w:cs="Courier New"/>
          <w:sz w:val="24"/>
          <w:szCs w:val="24"/>
        </w:rPr>
        <w:t>any failing or zone</w:t>
      </w:r>
      <w:r>
        <w:rPr>
          <w:rFonts w:ascii="Courier New" w:hAnsi="Courier New" w:cs="Courier New"/>
          <w:sz w:val="24"/>
          <w:szCs w:val="24"/>
        </w:rPr>
        <w:t xml:space="preserve"> </w:t>
      </w:r>
      <w:r w:rsidRPr="00B536BA">
        <w:rPr>
          <w:rFonts w:ascii="Courier New" w:hAnsi="Courier New" w:cs="Courier New"/>
          <w:sz w:val="24"/>
          <w:szCs w:val="24"/>
        </w:rPr>
        <w:t>program that is discontinued by the</w:t>
      </w:r>
      <w:r>
        <w:rPr>
          <w:rFonts w:ascii="Courier New" w:hAnsi="Courier New" w:cs="Courier New"/>
          <w:sz w:val="24"/>
          <w:szCs w:val="24"/>
        </w:rPr>
        <w:t xml:space="preserve"> </w:t>
      </w:r>
      <w:r w:rsidRPr="00B536BA">
        <w:rPr>
          <w:rFonts w:ascii="Courier New" w:hAnsi="Courier New" w:cs="Courier New"/>
          <w:sz w:val="24"/>
          <w:szCs w:val="24"/>
        </w:rPr>
        <w:t>institution, the loss of eligibility is for</w:t>
      </w:r>
      <w:r>
        <w:rPr>
          <w:rFonts w:ascii="Courier New" w:hAnsi="Courier New" w:cs="Courier New"/>
          <w:sz w:val="24"/>
          <w:szCs w:val="24"/>
        </w:rPr>
        <w:t xml:space="preserve"> </w:t>
      </w:r>
      <w:r w:rsidRPr="00B536BA">
        <w:rPr>
          <w:rFonts w:ascii="Courier New" w:hAnsi="Courier New" w:cs="Courier New"/>
          <w:sz w:val="24"/>
          <w:szCs w:val="24"/>
        </w:rPr>
        <w:t>three calendar years.</w:t>
      </w:r>
    </w:p>
    <w:p w14:paraId="32C2BCDF" w14:textId="3ACC021D" w:rsidR="004D408A" w:rsidRDefault="004D408A" w:rsidP="004D408A">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T</w:t>
      </w:r>
      <w:r w:rsidRPr="00B536BA">
        <w:rPr>
          <w:rFonts w:ascii="Courier New" w:hAnsi="Courier New" w:cs="Courier New"/>
          <w:sz w:val="24"/>
          <w:szCs w:val="24"/>
        </w:rPr>
        <w:t xml:space="preserve">hese provisions </w:t>
      </w:r>
      <w:r>
        <w:rPr>
          <w:rFonts w:ascii="Courier New" w:hAnsi="Courier New" w:cs="Courier New"/>
          <w:sz w:val="24"/>
          <w:szCs w:val="24"/>
        </w:rPr>
        <w:t>will</w:t>
      </w:r>
      <w:r w:rsidRPr="00B536BA">
        <w:rPr>
          <w:rFonts w:ascii="Courier New" w:hAnsi="Courier New" w:cs="Courier New"/>
          <w:sz w:val="24"/>
          <w:szCs w:val="24"/>
        </w:rPr>
        <w:t xml:space="preserve">: </w:t>
      </w:r>
      <w:r>
        <w:rPr>
          <w:rFonts w:ascii="Courier New" w:hAnsi="Courier New" w:cs="Courier New"/>
          <w:sz w:val="24"/>
          <w:szCs w:val="24"/>
        </w:rPr>
        <w:t xml:space="preserve"> e</w:t>
      </w:r>
      <w:r w:rsidRPr="00B536BA">
        <w:rPr>
          <w:rFonts w:ascii="Courier New" w:hAnsi="Courier New" w:cs="Courier New"/>
          <w:sz w:val="24"/>
          <w:szCs w:val="24"/>
        </w:rPr>
        <w:t>nsure that institutions have a</w:t>
      </w:r>
      <w:r>
        <w:rPr>
          <w:rFonts w:ascii="Courier New" w:hAnsi="Courier New" w:cs="Courier New"/>
          <w:sz w:val="24"/>
          <w:szCs w:val="24"/>
        </w:rPr>
        <w:t xml:space="preserve"> </w:t>
      </w:r>
      <w:r w:rsidRPr="00B536BA">
        <w:rPr>
          <w:rFonts w:ascii="Courier New" w:hAnsi="Courier New" w:cs="Courier New"/>
          <w:sz w:val="24"/>
          <w:szCs w:val="24"/>
        </w:rPr>
        <w:t>meaningful opportunity and reasonable</w:t>
      </w:r>
      <w:r>
        <w:rPr>
          <w:rFonts w:ascii="Courier New" w:hAnsi="Courier New" w:cs="Courier New"/>
          <w:sz w:val="24"/>
          <w:szCs w:val="24"/>
        </w:rPr>
        <w:t xml:space="preserve"> </w:t>
      </w:r>
      <w:r w:rsidRPr="00B536BA">
        <w:rPr>
          <w:rFonts w:ascii="Courier New" w:hAnsi="Courier New" w:cs="Courier New"/>
          <w:sz w:val="24"/>
          <w:szCs w:val="24"/>
        </w:rPr>
        <w:t xml:space="preserve">time to improve their </w:t>
      </w:r>
      <w:r w:rsidR="00B67AE0" w:rsidRPr="00B536BA">
        <w:rPr>
          <w:rFonts w:ascii="Courier New" w:hAnsi="Courier New" w:cs="Courier New"/>
          <w:sz w:val="24"/>
          <w:szCs w:val="24"/>
        </w:rPr>
        <w:t>programs</w:t>
      </w:r>
      <w:r w:rsidR="00B67AE0">
        <w:rPr>
          <w:rStyle w:val="CommentReference"/>
          <w:rFonts w:ascii="Courier New" w:hAnsi="Courier New" w:cs="Courier New"/>
          <w:sz w:val="24"/>
          <w:szCs w:val="24"/>
        </w:rPr>
        <w:t xml:space="preserve"> for a period of time after the regulations take effect, </w:t>
      </w:r>
      <w:r w:rsidRPr="00B536BA">
        <w:rPr>
          <w:rFonts w:ascii="Courier New" w:hAnsi="Courier New" w:cs="Courier New"/>
          <w:sz w:val="24"/>
          <w:szCs w:val="24"/>
        </w:rPr>
        <w:t xml:space="preserve">and ensure that those improvements </w:t>
      </w:r>
      <w:r>
        <w:rPr>
          <w:rFonts w:ascii="Courier New" w:hAnsi="Courier New" w:cs="Courier New"/>
          <w:sz w:val="24"/>
          <w:szCs w:val="24"/>
        </w:rPr>
        <w:t>are</w:t>
      </w:r>
      <w:r w:rsidRPr="00B536BA">
        <w:rPr>
          <w:rFonts w:ascii="Courier New" w:hAnsi="Courier New" w:cs="Courier New"/>
          <w:sz w:val="24"/>
          <w:szCs w:val="24"/>
        </w:rPr>
        <w:t xml:space="preserve"> reflected in the D/E rates; protect</w:t>
      </w:r>
      <w:r>
        <w:rPr>
          <w:rFonts w:ascii="Courier New" w:hAnsi="Courier New" w:cs="Courier New"/>
          <w:sz w:val="24"/>
          <w:szCs w:val="24"/>
        </w:rPr>
        <w:t xml:space="preserve"> </w:t>
      </w:r>
      <w:r w:rsidRPr="00B536BA">
        <w:rPr>
          <w:rFonts w:ascii="Courier New" w:hAnsi="Courier New" w:cs="Courier New"/>
          <w:sz w:val="24"/>
          <w:szCs w:val="24"/>
        </w:rPr>
        <w:t>students and prospective students and</w:t>
      </w:r>
      <w:r>
        <w:rPr>
          <w:rFonts w:ascii="Courier New" w:hAnsi="Courier New" w:cs="Courier New"/>
          <w:sz w:val="24"/>
          <w:szCs w:val="24"/>
        </w:rPr>
        <w:t xml:space="preserve"> </w:t>
      </w:r>
      <w:r w:rsidRPr="00B536BA">
        <w:rPr>
          <w:rFonts w:ascii="Courier New" w:hAnsi="Courier New" w:cs="Courier New"/>
          <w:sz w:val="24"/>
          <w:szCs w:val="24"/>
        </w:rPr>
        <w:t>ensure that they are informed about</w:t>
      </w:r>
      <w:r>
        <w:rPr>
          <w:rFonts w:ascii="Courier New" w:hAnsi="Courier New" w:cs="Courier New"/>
          <w:sz w:val="24"/>
          <w:szCs w:val="24"/>
        </w:rPr>
        <w:t xml:space="preserve"> </w:t>
      </w:r>
      <w:r w:rsidRPr="00B536BA">
        <w:rPr>
          <w:rFonts w:ascii="Courier New" w:hAnsi="Courier New" w:cs="Courier New"/>
          <w:sz w:val="24"/>
          <w:szCs w:val="24"/>
        </w:rPr>
        <w:t>programs that are failing or could</w:t>
      </w:r>
      <w:r>
        <w:rPr>
          <w:rFonts w:ascii="Courier New" w:hAnsi="Courier New" w:cs="Courier New"/>
          <w:sz w:val="24"/>
          <w:szCs w:val="24"/>
        </w:rPr>
        <w:t xml:space="preserve"> </w:t>
      </w:r>
      <w:r w:rsidRPr="00B536BA">
        <w:rPr>
          <w:rFonts w:ascii="Courier New" w:hAnsi="Courier New" w:cs="Courier New"/>
          <w:sz w:val="24"/>
          <w:szCs w:val="24"/>
        </w:rPr>
        <w:t>potentiall</w:t>
      </w:r>
      <w:r>
        <w:rPr>
          <w:rFonts w:ascii="Courier New" w:hAnsi="Courier New" w:cs="Courier New"/>
          <w:sz w:val="24"/>
          <w:szCs w:val="24"/>
        </w:rPr>
        <w:t xml:space="preserve">y lose eligibility; and provide </w:t>
      </w:r>
      <w:r w:rsidRPr="00B536BA">
        <w:rPr>
          <w:rFonts w:ascii="Courier New" w:hAnsi="Courier New" w:cs="Courier New"/>
          <w:sz w:val="24"/>
          <w:szCs w:val="24"/>
        </w:rPr>
        <w:t xml:space="preserve">institutions and other </w:t>
      </w:r>
      <w:r w:rsidRPr="00B536BA">
        <w:rPr>
          <w:rFonts w:ascii="Courier New" w:hAnsi="Courier New" w:cs="Courier New"/>
          <w:sz w:val="24"/>
          <w:szCs w:val="24"/>
        </w:rPr>
        <w:lastRenderedPageBreak/>
        <w:t>interested parties</w:t>
      </w:r>
      <w:r>
        <w:rPr>
          <w:rFonts w:ascii="Courier New" w:hAnsi="Courier New" w:cs="Courier New"/>
          <w:sz w:val="24"/>
          <w:szCs w:val="24"/>
        </w:rPr>
        <w:t xml:space="preserve"> </w:t>
      </w:r>
      <w:r w:rsidRPr="00B536BA">
        <w:rPr>
          <w:rFonts w:ascii="Courier New" w:hAnsi="Courier New" w:cs="Courier New"/>
          <w:sz w:val="24"/>
          <w:szCs w:val="24"/>
        </w:rPr>
        <w:t>with clarity as to how the calculations</w:t>
      </w:r>
      <w:r>
        <w:rPr>
          <w:rFonts w:ascii="Courier New" w:hAnsi="Courier New" w:cs="Courier New"/>
          <w:sz w:val="24"/>
          <w:szCs w:val="24"/>
        </w:rPr>
        <w:t xml:space="preserve"> are made, how </w:t>
      </w:r>
      <w:r w:rsidRPr="00B536BA">
        <w:rPr>
          <w:rFonts w:ascii="Courier New" w:hAnsi="Courier New" w:cs="Courier New"/>
          <w:sz w:val="24"/>
          <w:szCs w:val="24"/>
        </w:rPr>
        <w:t xml:space="preserve">institutions </w:t>
      </w:r>
      <w:r>
        <w:rPr>
          <w:rFonts w:ascii="Courier New" w:hAnsi="Courier New" w:cs="Courier New"/>
          <w:sz w:val="24"/>
          <w:szCs w:val="24"/>
        </w:rPr>
        <w:t xml:space="preserve">can </w:t>
      </w:r>
      <w:r w:rsidRPr="00B536BA">
        <w:rPr>
          <w:rFonts w:ascii="Courier New" w:hAnsi="Courier New" w:cs="Courier New"/>
          <w:sz w:val="24"/>
          <w:szCs w:val="24"/>
        </w:rPr>
        <w:t>ensure the</w:t>
      </w:r>
      <w:r>
        <w:rPr>
          <w:rFonts w:ascii="Courier New" w:hAnsi="Courier New" w:cs="Courier New"/>
          <w:sz w:val="24"/>
          <w:szCs w:val="24"/>
        </w:rPr>
        <w:t xml:space="preserve"> accuracy of </w:t>
      </w:r>
      <w:r w:rsidRPr="00B536BA">
        <w:rPr>
          <w:rFonts w:ascii="Courier New" w:hAnsi="Courier New" w:cs="Courier New"/>
          <w:sz w:val="24"/>
          <w:szCs w:val="24"/>
        </w:rPr>
        <w:t>information used in the calculations</w:t>
      </w:r>
      <w:r>
        <w:rPr>
          <w:rFonts w:ascii="Courier New" w:hAnsi="Courier New" w:cs="Courier New"/>
          <w:sz w:val="24"/>
          <w:szCs w:val="24"/>
        </w:rPr>
        <w:t xml:space="preserve">, and the consequences of </w:t>
      </w:r>
      <w:r w:rsidRPr="00B536BA">
        <w:rPr>
          <w:rFonts w:ascii="Courier New" w:hAnsi="Courier New" w:cs="Courier New"/>
          <w:sz w:val="24"/>
          <w:szCs w:val="24"/>
        </w:rPr>
        <w:t xml:space="preserve">failing </w:t>
      </w:r>
      <w:r>
        <w:rPr>
          <w:rFonts w:ascii="Courier New" w:hAnsi="Courier New" w:cs="Courier New"/>
          <w:sz w:val="24"/>
          <w:szCs w:val="24"/>
        </w:rPr>
        <w:t>the D/E rates</w:t>
      </w:r>
      <w:r w:rsidRPr="00B536BA">
        <w:rPr>
          <w:rFonts w:ascii="Courier New" w:hAnsi="Courier New" w:cs="Courier New"/>
          <w:sz w:val="24"/>
          <w:szCs w:val="24"/>
        </w:rPr>
        <w:t xml:space="preserve"> measure and losing eligibility.</w:t>
      </w:r>
      <w:r>
        <w:rPr>
          <w:rFonts w:ascii="Courier New" w:hAnsi="Courier New" w:cs="Courier New"/>
          <w:sz w:val="24"/>
          <w:szCs w:val="24"/>
        </w:rPr>
        <w:t xml:space="preserve"> </w:t>
      </w:r>
    </w:p>
    <w:p w14:paraId="73D495B8" w14:textId="51BD05FC" w:rsidR="004D408A" w:rsidRPr="00B536B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sz w:val="24"/>
          <w:szCs w:val="24"/>
        </w:rPr>
        <w:t>In addition, the regulations</w:t>
      </w:r>
      <w:r>
        <w:rPr>
          <w:rFonts w:ascii="Courier New" w:hAnsi="Courier New" w:cs="Courier New"/>
          <w:sz w:val="24"/>
          <w:szCs w:val="24"/>
        </w:rPr>
        <w:t xml:space="preserve"> establish a transparency </w:t>
      </w:r>
      <w:r w:rsidRPr="00B536BA">
        <w:rPr>
          <w:rFonts w:ascii="Courier New" w:hAnsi="Courier New" w:cs="Courier New"/>
          <w:sz w:val="24"/>
          <w:szCs w:val="24"/>
        </w:rPr>
        <w:t xml:space="preserve">framework. </w:t>
      </w:r>
      <w:r>
        <w:rPr>
          <w:rFonts w:ascii="Courier New" w:hAnsi="Courier New" w:cs="Courier New"/>
          <w:sz w:val="24"/>
          <w:szCs w:val="24"/>
        </w:rPr>
        <w:t xml:space="preserve"> </w:t>
      </w:r>
      <w:r w:rsidRPr="00B536BA">
        <w:rPr>
          <w:rFonts w:ascii="Courier New" w:hAnsi="Courier New" w:cs="Courier New"/>
          <w:sz w:val="24"/>
          <w:szCs w:val="24"/>
        </w:rPr>
        <w:t>First, the regulations establish reporting</w:t>
      </w:r>
      <w:r>
        <w:rPr>
          <w:rFonts w:ascii="Courier New" w:hAnsi="Courier New" w:cs="Courier New"/>
          <w:sz w:val="24"/>
          <w:szCs w:val="24"/>
        </w:rPr>
        <w:t xml:space="preserve"> </w:t>
      </w:r>
      <w:r w:rsidRPr="00B536BA">
        <w:rPr>
          <w:rFonts w:ascii="Courier New" w:hAnsi="Courier New" w:cs="Courier New"/>
          <w:sz w:val="24"/>
          <w:szCs w:val="24"/>
        </w:rPr>
        <w:t>requirements, under which institutions</w:t>
      </w:r>
      <w:r>
        <w:rPr>
          <w:rFonts w:ascii="Courier New" w:hAnsi="Courier New" w:cs="Courier New"/>
          <w:sz w:val="24"/>
          <w:szCs w:val="24"/>
        </w:rPr>
        <w:t xml:space="preserve"> will</w:t>
      </w:r>
      <w:r w:rsidRPr="00B536BA">
        <w:rPr>
          <w:rFonts w:ascii="Courier New" w:hAnsi="Courier New" w:cs="Courier New"/>
          <w:sz w:val="24"/>
          <w:szCs w:val="24"/>
        </w:rPr>
        <w:t xml:space="preserve"> report information related to</w:t>
      </w:r>
      <w:r>
        <w:rPr>
          <w:rFonts w:ascii="Courier New" w:hAnsi="Courier New" w:cs="Courier New"/>
          <w:sz w:val="24"/>
          <w:szCs w:val="24"/>
        </w:rPr>
        <w:t xml:space="preserve"> </w:t>
      </w:r>
      <w:r w:rsidRPr="00B536BA">
        <w:rPr>
          <w:rFonts w:ascii="Courier New" w:hAnsi="Courier New" w:cs="Courier New"/>
          <w:sz w:val="24"/>
          <w:szCs w:val="24"/>
        </w:rPr>
        <w:t xml:space="preserve">their GE programs to the Secretary. </w:t>
      </w:r>
      <w:r>
        <w:rPr>
          <w:rFonts w:ascii="Courier New" w:hAnsi="Courier New" w:cs="Courier New"/>
          <w:sz w:val="24"/>
          <w:szCs w:val="24"/>
        </w:rPr>
        <w:t xml:space="preserve"> </w:t>
      </w:r>
      <w:r w:rsidRPr="00B536BA">
        <w:rPr>
          <w:rFonts w:ascii="Courier New" w:hAnsi="Courier New" w:cs="Courier New"/>
          <w:sz w:val="24"/>
          <w:szCs w:val="24"/>
        </w:rPr>
        <w:t>The</w:t>
      </w:r>
      <w:r>
        <w:rPr>
          <w:rFonts w:ascii="Courier New" w:hAnsi="Courier New" w:cs="Courier New"/>
          <w:sz w:val="24"/>
          <w:szCs w:val="24"/>
        </w:rPr>
        <w:t xml:space="preserve"> </w:t>
      </w:r>
      <w:r w:rsidRPr="00B536BA">
        <w:rPr>
          <w:rFonts w:ascii="Courier New" w:hAnsi="Courier New" w:cs="Courier New"/>
          <w:sz w:val="24"/>
          <w:szCs w:val="24"/>
        </w:rPr>
        <w:t xml:space="preserve">reporting requirements </w:t>
      </w:r>
      <w:r>
        <w:rPr>
          <w:rFonts w:ascii="Courier New" w:hAnsi="Courier New" w:cs="Courier New"/>
          <w:sz w:val="24"/>
          <w:szCs w:val="24"/>
        </w:rPr>
        <w:t xml:space="preserve">will </w:t>
      </w:r>
      <w:r w:rsidRPr="00B536BA">
        <w:rPr>
          <w:rFonts w:ascii="Courier New" w:hAnsi="Courier New" w:cs="Courier New"/>
          <w:sz w:val="24"/>
          <w:szCs w:val="24"/>
        </w:rPr>
        <w:t>facilitate the Department’s evaluation of</w:t>
      </w:r>
      <w:r>
        <w:rPr>
          <w:rFonts w:ascii="Courier New" w:hAnsi="Courier New" w:cs="Courier New"/>
          <w:sz w:val="24"/>
          <w:szCs w:val="24"/>
        </w:rPr>
        <w:t xml:space="preserve"> </w:t>
      </w:r>
      <w:r w:rsidRPr="00B536BA">
        <w:rPr>
          <w:rFonts w:ascii="Courier New" w:hAnsi="Courier New" w:cs="Courier New"/>
          <w:sz w:val="24"/>
          <w:szCs w:val="24"/>
        </w:rPr>
        <w:t>the GE programs under the</w:t>
      </w:r>
      <w:r>
        <w:rPr>
          <w:rFonts w:ascii="Courier New" w:hAnsi="Courier New" w:cs="Courier New"/>
          <w:sz w:val="24"/>
          <w:szCs w:val="24"/>
        </w:rPr>
        <w:t xml:space="preserve"> </w:t>
      </w:r>
      <w:r w:rsidRPr="00B536BA">
        <w:rPr>
          <w:rFonts w:ascii="Courier New" w:hAnsi="Courier New" w:cs="Courier New"/>
          <w:sz w:val="24"/>
          <w:szCs w:val="24"/>
        </w:rPr>
        <w:t>accountability framework, as well as</w:t>
      </w:r>
      <w:r>
        <w:rPr>
          <w:rFonts w:ascii="Courier New" w:hAnsi="Courier New" w:cs="Courier New"/>
          <w:sz w:val="24"/>
          <w:szCs w:val="24"/>
        </w:rPr>
        <w:t xml:space="preserve"> </w:t>
      </w:r>
      <w:r w:rsidRPr="00B536BA">
        <w:rPr>
          <w:rFonts w:ascii="Courier New" w:hAnsi="Courier New" w:cs="Courier New"/>
          <w:sz w:val="24"/>
          <w:szCs w:val="24"/>
        </w:rPr>
        <w:t>support the goals of the transparency</w:t>
      </w:r>
      <w:r>
        <w:rPr>
          <w:rFonts w:ascii="Courier New" w:hAnsi="Courier New" w:cs="Courier New"/>
          <w:sz w:val="24"/>
          <w:szCs w:val="24"/>
        </w:rPr>
        <w:t xml:space="preserve"> </w:t>
      </w:r>
      <w:r w:rsidRPr="00B536BA">
        <w:rPr>
          <w:rFonts w:ascii="Courier New" w:hAnsi="Courier New" w:cs="Courier New"/>
          <w:sz w:val="24"/>
          <w:szCs w:val="24"/>
        </w:rPr>
        <w:t xml:space="preserve">framework. </w:t>
      </w:r>
      <w:r>
        <w:rPr>
          <w:rFonts w:ascii="Courier New" w:hAnsi="Courier New" w:cs="Courier New"/>
          <w:sz w:val="24"/>
          <w:szCs w:val="24"/>
        </w:rPr>
        <w:t xml:space="preserve"> Second, the </w:t>
      </w:r>
      <w:r w:rsidRPr="00B536BA">
        <w:rPr>
          <w:rFonts w:ascii="Courier New" w:hAnsi="Courier New" w:cs="Courier New"/>
          <w:sz w:val="24"/>
          <w:szCs w:val="24"/>
        </w:rPr>
        <w:t>regulations require institutions to</w:t>
      </w:r>
      <w:r>
        <w:rPr>
          <w:rFonts w:ascii="Courier New" w:hAnsi="Courier New" w:cs="Courier New"/>
          <w:sz w:val="24"/>
          <w:szCs w:val="24"/>
        </w:rPr>
        <w:t xml:space="preserve"> </w:t>
      </w:r>
      <w:r w:rsidRPr="00B536BA">
        <w:rPr>
          <w:rFonts w:ascii="Courier New" w:hAnsi="Courier New" w:cs="Courier New"/>
          <w:sz w:val="24"/>
          <w:szCs w:val="24"/>
        </w:rPr>
        <w:t>disclose relevant information and data about the GE programs through a</w:t>
      </w:r>
      <w:r>
        <w:rPr>
          <w:rFonts w:ascii="Courier New" w:hAnsi="Courier New" w:cs="Courier New"/>
          <w:sz w:val="24"/>
          <w:szCs w:val="24"/>
        </w:rPr>
        <w:t xml:space="preserve"> </w:t>
      </w:r>
      <w:r w:rsidRPr="00B536BA">
        <w:rPr>
          <w:rFonts w:ascii="Courier New" w:hAnsi="Courier New" w:cs="Courier New"/>
          <w:sz w:val="24"/>
          <w:szCs w:val="24"/>
        </w:rPr>
        <w:t>disclosure template developed by the</w:t>
      </w:r>
      <w:r>
        <w:rPr>
          <w:rFonts w:ascii="Courier New" w:hAnsi="Courier New" w:cs="Courier New"/>
          <w:sz w:val="24"/>
          <w:szCs w:val="24"/>
        </w:rPr>
        <w:t xml:space="preserve"> </w:t>
      </w:r>
      <w:r w:rsidRPr="00B536BA">
        <w:rPr>
          <w:rFonts w:ascii="Courier New" w:hAnsi="Courier New" w:cs="Courier New"/>
          <w:sz w:val="24"/>
          <w:szCs w:val="24"/>
        </w:rPr>
        <w:t xml:space="preserve">Secretary. </w:t>
      </w:r>
      <w:r>
        <w:rPr>
          <w:rFonts w:ascii="Courier New" w:hAnsi="Courier New" w:cs="Courier New"/>
          <w:sz w:val="24"/>
          <w:szCs w:val="24"/>
        </w:rPr>
        <w:t xml:space="preserve"> </w:t>
      </w:r>
      <w:r w:rsidRPr="00B536BA">
        <w:rPr>
          <w:rFonts w:ascii="Courier New" w:hAnsi="Courier New" w:cs="Courier New"/>
          <w:sz w:val="24"/>
          <w:szCs w:val="24"/>
        </w:rPr>
        <w:t>The disclosure</w:t>
      </w:r>
      <w:r>
        <w:rPr>
          <w:rFonts w:ascii="Courier New" w:hAnsi="Courier New" w:cs="Courier New"/>
          <w:sz w:val="24"/>
          <w:szCs w:val="24"/>
        </w:rPr>
        <w:t xml:space="preserve"> </w:t>
      </w:r>
      <w:r w:rsidRPr="00B536BA">
        <w:rPr>
          <w:rFonts w:ascii="Courier New" w:hAnsi="Courier New" w:cs="Courier New"/>
          <w:sz w:val="24"/>
          <w:szCs w:val="24"/>
        </w:rPr>
        <w:t xml:space="preserve">requirements </w:t>
      </w:r>
      <w:r>
        <w:rPr>
          <w:rFonts w:ascii="Courier New" w:hAnsi="Courier New" w:cs="Courier New"/>
          <w:sz w:val="24"/>
          <w:szCs w:val="24"/>
        </w:rPr>
        <w:t>will</w:t>
      </w:r>
      <w:r w:rsidRPr="00B536BA">
        <w:rPr>
          <w:rFonts w:ascii="Courier New" w:hAnsi="Courier New" w:cs="Courier New"/>
          <w:sz w:val="24"/>
          <w:szCs w:val="24"/>
        </w:rPr>
        <w:t xml:space="preserve"> help ensure</w:t>
      </w:r>
      <w:r>
        <w:rPr>
          <w:rFonts w:ascii="Courier New" w:hAnsi="Courier New" w:cs="Courier New"/>
          <w:sz w:val="24"/>
          <w:szCs w:val="24"/>
        </w:rPr>
        <w:t xml:space="preserve"> </w:t>
      </w:r>
      <w:r w:rsidRPr="00B536BA">
        <w:rPr>
          <w:rFonts w:ascii="Courier New" w:hAnsi="Courier New" w:cs="Courier New"/>
          <w:sz w:val="24"/>
          <w:szCs w:val="24"/>
        </w:rPr>
        <w:t>students, prospective students, and their</w:t>
      </w:r>
      <w:r>
        <w:rPr>
          <w:rFonts w:ascii="Courier New" w:hAnsi="Courier New" w:cs="Courier New"/>
          <w:sz w:val="24"/>
          <w:szCs w:val="24"/>
        </w:rPr>
        <w:t xml:space="preserve"> </w:t>
      </w:r>
      <w:r w:rsidRPr="00B536BA">
        <w:rPr>
          <w:rFonts w:ascii="Courier New" w:hAnsi="Courier New" w:cs="Courier New"/>
          <w:sz w:val="24"/>
          <w:szCs w:val="24"/>
        </w:rPr>
        <w:t>families, the public, taxpayers, and the</w:t>
      </w:r>
      <w:r>
        <w:rPr>
          <w:rFonts w:ascii="Courier New" w:hAnsi="Courier New" w:cs="Courier New"/>
          <w:sz w:val="24"/>
          <w:szCs w:val="24"/>
        </w:rPr>
        <w:t xml:space="preserve"> </w:t>
      </w:r>
      <w:r w:rsidRPr="00B536BA">
        <w:rPr>
          <w:rFonts w:ascii="Courier New" w:hAnsi="Courier New" w:cs="Courier New"/>
          <w:sz w:val="24"/>
          <w:szCs w:val="24"/>
        </w:rPr>
        <w:t>Government, and institutions have</w:t>
      </w:r>
      <w:r>
        <w:rPr>
          <w:rFonts w:ascii="Courier New" w:hAnsi="Courier New" w:cs="Courier New"/>
          <w:sz w:val="24"/>
          <w:szCs w:val="24"/>
        </w:rPr>
        <w:t xml:space="preserve"> </w:t>
      </w:r>
      <w:r w:rsidRPr="00B536BA">
        <w:rPr>
          <w:rFonts w:ascii="Courier New" w:hAnsi="Courier New" w:cs="Courier New"/>
          <w:sz w:val="24"/>
          <w:szCs w:val="24"/>
        </w:rPr>
        <w:t>access to meaningful and comparable</w:t>
      </w:r>
      <w:r>
        <w:rPr>
          <w:rFonts w:ascii="Courier New" w:hAnsi="Courier New" w:cs="Courier New"/>
          <w:sz w:val="24"/>
          <w:szCs w:val="24"/>
        </w:rPr>
        <w:t xml:space="preserve"> </w:t>
      </w:r>
      <w:r w:rsidRPr="00B536BA">
        <w:rPr>
          <w:rFonts w:ascii="Courier New" w:hAnsi="Courier New" w:cs="Courier New"/>
          <w:sz w:val="24"/>
          <w:szCs w:val="24"/>
        </w:rPr>
        <w:t xml:space="preserve">information </w:t>
      </w:r>
      <w:r>
        <w:rPr>
          <w:rFonts w:ascii="Courier New" w:hAnsi="Courier New" w:cs="Courier New"/>
          <w:sz w:val="24"/>
          <w:szCs w:val="24"/>
        </w:rPr>
        <w:t xml:space="preserve">about </w:t>
      </w:r>
      <w:r w:rsidRPr="00B536BA">
        <w:rPr>
          <w:rFonts w:ascii="Courier New" w:hAnsi="Courier New" w:cs="Courier New"/>
          <w:sz w:val="24"/>
          <w:szCs w:val="24"/>
        </w:rPr>
        <w:t>student outcomes</w:t>
      </w:r>
      <w:r>
        <w:rPr>
          <w:rFonts w:ascii="Courier New" w:hAnsi="Courier New" w:cs="Courier New"/>
          <w:sz w:val="24"/>
          <w:szCs w:val="24"/>
        </w:rPr>
        <w:t xml:space="preserve"> </w:t>
      </w:r>
      <w:r w:rsidRPr="00B536BA">
        <w:rPr>
          <w:rFonts w:ascii="Courier New" w:hAnsi="Courier New" w:cs="Courier New"/>
          <w:sz w:val="24"/>
          <w:szCs w:val="24"/>
        </w:rPr>
        <w:t xml:space="preserve">and </w:t>
      </w:r>
      <w:r>
        <w:rPr>
          <w:rFonts w:ascii="Courier New" w:hAnsi="Courier New" w:cs="Courier New"/>
          <w:sz w:val="24"/>
          <w:szCs w:val="24"/>
        </w:rPr>
        <w:t xml:space="preserve">the </w:t>
      </w:r>
      <w:r w:rsidRPr="00B536BA">
        <w:rPr>
          <w:rFonts w:ascii="Courier New" w:hAnsi="Courier New" w:cs="Courier New"/>
          <w:sz w:val="24"/>
          <w:szCs w:val="24"/>
        </w:rPr>
        <w:t>overall performance of GE</w:t>
      </w:r>
      <w:r>
        <w:rPr>
          <w:rFonts w:ascii="Courier New" w:hAnsi="Courier New" w:cs="Courier New"/>
          <w:sz w:val="24"/>
          <w:szCs w:val="24"/>
        </w:rPr>
        <w:t xml:space="preserve"> </w:t>
      </w:r>
      <w:r w:rsidRPr="00B536BA">
        <w:rPr>
          <w:rFonts w:ascii="Courier New" w:hAnsi="Courier New" w:cs="Courier New"/>
          <w:sz w:val="24"/>
          <w:szCs w:val="24"/>
        </w:rPr>
        <w:t>programs.</w:t>
      </w:r>
    </w:p>
    <w:p w14:paraId="3D80A476" w14:textId="3CA0B875" w:rsidR="004D408A" w:rsidRDefault="004D408A" w:rsidP="004D408A">
      <w:pPr>
        <w:autoSpaceDE w:val="0"/>
        <w:autoSpaceDN w:val="0"/>
        <w:adjustRightInd w:val="0"/>
        <w:spacing w:after="0" w:line="480" w:lineRule="auto"/>
        <w:ind w:firstLine="720"/>
        <w:rPr>
          <w:rFonts w:ascii="Courier New" w:hAnsi="Courier New" w:cs="Courier New"/>
          <w:sz w:val="24"/>
          <w:szCs w:val="24"/>
        </w:rPr>
      </w:pPr>
      <w:r w:rsidRPr="00B536BA">
        <w:rPr>
          <w:rFonts w:ascii="Courier New" w:hAnsi="Courier New" w:cs="Courier New"/>
          <w:iCs/>
          <w:sz w:val="24"/>
          <w:szCs w:val="24"/>
        </w:rPr>
        <w:t>Costs and Benefits:</w:t>
      </w:r>
      <w:r w:rsidRPr="00B536BA">
        <w:rPr>
          <w:rStyle w:val="apple-converted-space"/>
          <w:rFonts w:ascii="Courier New" w:hAnsi="Courier New" w:cs="Courier New"/>
          <w:sz w:val="24"/>
          <w:szCs w:val="24"/>
        </w:rPr>
        <w:t> </w:t>
      </w:r>
      <w:r>
        <w:rPr>
          <w:rStyle w:val="apple-converted-space"/>
          <w:rFonts w:ascii="Courier New" w:hAnsi="Courier New" w:cs="Courier New"/>
          <w:sz w:val="24"/>
          <w:szCs w:val="24"/>
        </w:rPr>
        <w:t xml:space="preserve"> </w:t>
      </w:r>
      <w:r w:rsidRPr="00B536BA">
        <w:rPr>
          <w:rFonts w:ascii="Courier New" w:hAnsi="Courier New" w:cs="Courier New"/>
          <w:sz w:val="24"/>
          <w:szCs w:val="24"/>
        </w:rPr>
        <w:t xml:space="preserve">There </w:t>
      </w:r>
      <w:r>
        <w:rPr>
          <w:rFonts w:ascii="Courier New" w:hAnsi="Courier New" w:cs="Courier New"/>
          <w:sz w:val="24"/>
          <w:szCs w:val="24"/>
        </w:rPr>
        <w:t>are</w:t>
      </w:r>
      <w:r w:rsidRPr="00B536BA">
        <w:rPr>
          <w:rFonts w:ascii="Courier New" w:hAnsi="Courier New" w:cs="Courier New"/>
          <w:sz w:val="24"/>
          <w:szCs w:val="24"/>
        </w:rPr>
        <w:t xml:space="preserve"> two primary benefits</w:t>
      </w:r>
      <w:r>
        <w:rPr>
          <w:rFonts w:ascii="Courier New" w:hAnsi="Courier New" w:cs="Courier New"/>
          <w:sz w:val="24"/>
          <w:szCs w:val="24"/>
        </w:rPr>
        <w:t xml:space="preserve"> </w:t>
      </w:r>
      <w:r w:rsidRPr="00B536BA">
        <w:rPr>
          <w:rFonts w:ascii="Courier New" w:hAnsi="Courier New" w:cs="Courier New"/>
          <w:sz w:val="24"/>
          <w:szCs w:val="24"/>
        </w:rPr>
        <w:t xml:space="preserve">of the regulations. </w:t>
      </w:r>
      <w:r>
        <w:rPr>
          <w:rFonts w:ascii="Courier New" w:hAnsi="Courier New" w:cs="Courier New"/>
          <w:sz w:val="24"/>
          <w:szCs w:val="24"/>
        </w:rPr>
        <w:t xml:space="preserve"> </w:t>
      </w:r>
      <w:r w:rsidRPr="00B536BA">
        <w:rPr>
          <w:rFonts w:ascii="Courier New" w:hAnsi="Courier New" w:cs="Courier New"/>
          <w:sz w:val="24"/>
          <w:szCs w:val="24"/>
        </w:rPr>
        <w:t>Because the</w:t>
      </w:r>
      <w:r>
        <w:rPr>
          <w:rFonts w:ascii="Courier New" w:hAnsi="Courier New" w:cs="Courier New"/>
          <w:sz w:val="24"/>
          <w:szCs w:val="24"/>
        </w:rPr>
        <w:t xml:space="preserve"> </w:t>
      </w:r>
      <w:r w:rsidRPr="00B536BA">
        <w:rPr>
          <w:rFonts w:ascii="Courier New" w:hAnsi="Courier New" w:cs="Courier New"/>
          <w:sz w:val="24"/>
          <w:szCs w:val="24"/>
        </w:rPr>
        <w:t>regulations establish an</w:t>
      </w:r>
      <w:r>
        <w:rPr>
          <w:rFonts w:ascii="Courier New" w:hAnsi="Courier New" w:cs="Courier New"/>
          <w:sz w:val="24"/>
          <w:szCs w:val="24"/>
        </w:rPr>
        <w:t xml:space="preserve"> </w:t>
      </w:r>
      <w:r w:rsidRPr="00B536BA">
        <w:rPr>
          <w:rFonts w:ascii="Courier New" w:hAnsi="Courier New" w:cs="Courier New"/>
          <w:sz w:val="24"/>
          <w:szCs w:val="24"/>
        </w:rPr>
        <w:t>accountability framework that assesses</w:t>
      </w:r>
      <w:r>
        <w:rPr>
          <w:rFonts w:ascii="Courier New" w:hAnsi="Courier New" w:cs="Courier New"/>
          <w:sz w:val="24"/>
          <w:szCs w:val="24"/>
        </w:rPr>
        <w:t xml:space="preserve"> </w:t>
      </w:r>
      <w:r w:rsidRPr="00B536BA">
        <w:rPr>
          <w:rFonts w:ascii="Courier New" w:hAnsi="Courier New" w:cs="Courier New"/>
          <w:sz w:val="24"/>
          <w:szCs w:val="24"/>
        </w:rPr>
        <w:t>program performance we expect</w:t>
      </w:r>
      <w:r>
        <w:rPr>
          <w:rFonts w:ascii="Courier New" w:hAnsi="Courier New" w:cs="Courier New"/>
          <w:sz w:val="24"/>
          <w:szCs w:val="24"/>
        </w:rPr>
        <w:t xml:space="preserve"> </w:t>
      </w:r>
      <w:r w:rsidRPr="00B536BA">
        <w:rPr>
          <w:rFonts w:ascii="Courier New" w:hAnsi="Courier New" w:cs="Courier New"/>
          <w:sz w:val="24"/>
          <w:szCs w:val="24"/>
        </w:rPr>
        <w:t>students, prospective students,</w:t>
      </w:r>
      <w:r>
        <w:rPr>
          <w:rFonts w:ascii="Courier New" w:hAnsi="Courier New" w:cs="Courier New"/>
          <w:sz w:val="24"/>
          <w:szCs w:val="24"/>
        </w:rPr>
        <w:t xml:space="preserve"> </w:t>
      </w:r>
      <w:r w:rsidRPr="00B536BA">
        <w:rPr>
          <w:rFonts w:ascii="Courier New" w:hAnsi="Courier New" w:cs="Courier New"/>
          <w:sz w:val="24"/>
          <w:szCs w:val="24"/>
        </w:rPr>
        <w:t>taxpayers, and the Federal Government</w:t>
      </w:r>
      <w:r>
        <w:rPr>
          <w:rFonts w:ascii="Courier New" w:hAnsi="Courier New" w:cs="Courier New"/>
          <w:sz w:val="24"/>
          <w:szCs w:val="24"/>
        </w:rPr>
        <w:t xml:space="preserve"> </w:t>
      </w:r>
      <w:r w:rsidRPr="00B536BA">
        <w:rPr>
          <w:rFonts w:ascii="Courier New" w:hAnsi="Courier New" w:cs="Courier New"/>
          <w:sz w:val="24"/>
          <w:szCs w:val="24"/>
        </w:rPr>
        <w:t xml:space="preserve">to receive a better return on </w:t>
      </w:r>
      <w:r>
        <w:rPr>
          <w:rFonts w:ascii="Courier New" w:hAnsi="Courier New" w:cs="Courier New"/>
          <w:sz w:val="24"/>
          <w:szCs w:val="24"/>
        </w:rPr>
        <w:t xml:space="preserve">the title IV, </w:t>
      </w:r>
      <w:r>
        <w:rPr>
          <w:rFonts w:ascii="Courier New" w:hAnsi="Courier New" w:cs="Courier New"/>
          <w:sz w:val="24"/>
          <w:szCs w:val="24"/>
        </w:rPr>
        <w:lastRenderedPageBreak/>
        <w:t>HEA program funds</w:t>
      </w:r>
      <w:r w:rsidRPr="00B536BA">
        <w:rPr>
          <w:rFonts w:ascii="Courier New" w:hAnsi="Courier New" w:cs="Courier New"/>
          <w:sz w:val="24"/>
          <w:szCs w:val="24"/>
        </w:rPr>
        <w:t xml:space="preserve">. </w:t>
      </w:r>
      <w:r>
        <w:rPr>
          <w:rFonts w:ascii="Courier New" w:hAnsi="Courier New" w:cs="Courier New"/>
          <w:sz w:val="24"/>
          <w:szCs w:val="24"/>
        </w:rPr>
        <w:t xml:space="preserve"> </w:t>
      </w:r>
      <w:r w:rsidRPr="00B536BA">
        <w:rPr>
          <w:rFonts w:ascii="Courier New" w:hAnsi="Courier New" w:cs="Courier New"/>
          <w:sz w:val="24"/>
          <w:szCs w:val="24"/>
        </w:rPr>
        <w:t>The regulations also establish a</w:t>
      </w:r>
      <w:r>
        <w:rPr>
          <w:rFonts w:ascii="Courier New" w:hAnsi="Courier New" w:cs="Courier New"/>
          <w:sz w:val="24"/>
          <w:szCs w:val="24"/>
        </w:rPr>
        <w:t xml:space="preserve"> </w:t>
      </w:r>
      <w:r w:rsidRPr="00B536BA">
        <w:rPr>
          <w:rFonts w:ascii="Courier New" w:hAnsi="Courier New" w:cs="Courier New"/>
          <w:sz w:val="24"/>
          <w:szCs w:val="24"/>
        </w:rPr>
        <w:t xml:space="preserve">transparency framework </w:t>
      </w:r>
      <w:r>
        <w:rPr>
          <w:rFonts w:ascii="Courier New" w:hAnsi="Courier New" w:cs="Courier New"/>
          <w:sz w:val="24"/>
          <w:szCs w:val="24"/>
        </w:rPr>
        <w:t xml:space="preserve">which will </w:t>
      </w:r>
      <w:r w:rsidRPr="00B536BA">
        <w:rPr>
          <w:rFonts w:ascii="Courier New" w:hAnsi="Courier New" w:cs="Courier New"/>
          <w:sz w:val="24"/>
          <w:szCs w:val="24"/>
        </w:rPr>
        <w:t xml:space="preserve">improve market information that </w:t>
      </w:r>
      <w:r>
        <w:rPr>
          <w:rFonts w:ascii="Courier New" w:hAnsi="Courier New" w:cs="Courier New"/>
          <w:sz w:val="24"/>
          <w:szCs w:val="24"/>
        </w:rPr>
        <w:t xml:space="preserve">will </w:t>
      </w:r>
      <w:r w:rsidRPr="00B536BA">
        <w:rPr>
          <w:rFonts w:ascii="Courier New" w:hAnsi="Courier New" w:cs="Courier New"/>
          <w:sz w:val="24"/>
          <w:szCs w:val="24"/>
        </w:rPr>
        <w:t>assist students, prospective students,</w:t>
      </w:r>
      <w:r>
        <w:rPr>
          <w:rFonts w:ascii="Courier New" w:hAnsi="Courier New" w:cs="Courier New"/>
          <w:sz w:val="24"/>
          <w:szCs w:val="24"/>
        </w:rPr>
        <w:t xml:space="preserve"> </w:t>
      </w:r>
      <w:r w:rsidRPr="00B536BA">
        <w:rPr>
          <w:rFonts w:ascii="Courier New" w:hAnsi="Courier New" w:cs="Courier New"/>
          <w:sz w:val="24"/>
          <w:szCs w:val="24"/>
        </w:rPr>
        <w:t>and their families in making critical</w:t>
      </w:r>
      <w:r>
        <w:rPr>
          <w:rFonts w:ascii="Courier New" w:hAnsi="Courier New" w:cs="Courier New"/>
          <w:sz w:val="24"/>
          <w:szCs w:val="24"/>
        </w:rPr>
        <w:t xml:space="preserve"> </w:t>
      </w:r>
      <w:r w:rsidRPr="00B536BA">
        <w:rPr>
          <w:rFonts w:ascii="Courier New" w:hAnsi="Courier New" w:cs="Courier New"/>
          <w:sz w:val="24"/>
          <w:szCs w:val="24"/>
        </w:rPr>
        <w:t>decisions about their educational</w:t>
      </w:r>
      <w:r>
        <w:rPr>
          <w:rFonts w:ascii="Courier New" w:hAnsi="Courier New" w:cs="Courier New"/>
          <w:sz w:val="24"/>
          <w:szCs w:val="24"/>
        </w:rPr>
        <w:t xml:space="preserve"> </w:t>
      </w:r>
      <w:r w:rsidRPr="00B536BA">
        <w:rPr>
          <w:rFonts w:ascii="Courier New" w:hAnsi="Courier New" w:cs="Courier New"/>
          <w:sz w:val="24"/>
          <w:szCs w:val="24"/>
        </w:rPr>
        <w:t>investment and in understanding</w:t>
      </w:r>
      <w:r>
        <w:rPr>
          <w:rFonts w:ascii="Courier New" w:hAnsi="Courier New" w:cs="Courier New"/>
          <w:sz w:val="24"/>
          <w:szCs w:val="24"/>
        </w:rPr>
        <w:t xml:space="preserve"> </w:t>
      </w:r>
      <w:r w:rsidRPr="00B536BA">
        <w:rPr>
          <w:rFonts w:ascii="Courier New" w:hAnsi="Courier New" w:cs="Courier New"/>
          <w:sz w:val="24"/>
          <w:szCs w:val="24"/>
        </w:rPr>
        <w:t>potential outcomes of that investment.</w:t>
      </w:r>
      <w:r>
        <w:rPr>
          <w:rFonts w:ascii="Courier New" w:hAnsi="Courier New" w:cs="Courier New"/>
          <w:sz w:val="24"/>
          <w:szCs w:val="24"/>
        </w:rPr>
        <w:t xml:space="preserve">  </w:t>
      </w:r>
      <w:r w:rsidRPr="00B536BA">
        <w:rPr>
          <w:rFonts w:ascii="Courier New" w:hAnsi="Courier New" w:cs="Courier New"/>
          <w:sz w:val="24"/>
          <w:szCs w:val="24"/>
        </w:rPr>
        <w:t>The public, taxpayers, the Government,</w:t>
      </w:r>
      <w:r>
        <w:rPr>
          <w:rFonts w:ascii="Courier New" w:hAnsi="Courier New" w:cs="Courier New"/>
          <w:sz w:val="24"/>
          <w:szCs w:val="24"/>
        </w:rPr>
        <w:t xml:space="preserve"> </w:t>
      </w:r>
      <w:r w:rsidRPr="00B536BA">
        <w:rPr>
          <w:rFonts w:ascii="Courier New" w:hAnsi="Courier New" w:cs="Courier New"/>
          <w:sz w:val="24"/>
          <w:szCs w:val="24"/>
        </w:rPr>
        <w:t xml:space="preserve">and institutions </w:t>
      </w:r>
      <w:r>
        <w:rPr>
          <w:rFonts w:ascii="Courier New" w:hAnsi="Courier New" w:cs="Courier New"/>
          <w:sz w:val="24"/>
          <w:szCs w:val="24"/>
        </w:rPr>
        <w:t>will</w:t>
      </w:r>
      <w:r w:rsidRPr="00B536BA">
        <w:rPr>
          <w:rFonts w:ascii="Courier New" w:hAnsi="Courier New" w:cs="Courier New"/>
          <w:sz w:val="24"/>
          <w:szCs w:val="24"/>
        </w:rPr>
        <w:t xml:space="preserve"> also gain</w:t>
      </w:r>
      <w:r>
        <w:rPr>
          <w:rFonts w:ascii="Courier New" w:hAnsi="Courier New" w:cs="Courier New"/>
          <w:sz w:val="24"/>
          <w:szCs w:val="24"/>
        </w:rPr>
        <w:t xml:space="preserve"> </w:t>
      </w:r>
      <w:r w:rsidRPr="00B536BA">
        <w:rPr>
          <w:rFonts w:ascii="Courier New" w:hAnsi="Courier New" w:cs="Courier New"/>
          <w:sz w:val="24"/>
          <w:szCs w:val="24"/>
        </w:rPr>
        <w:t>relevant and useful information about</w:t>
      </w:r>
      <w:r>
        <w:rPr>
          <w:rFonts w:ascii="Courier New" w:hAnsi="Courier New" w:cs="Courier New"/>
          <w:sz w:val="24"/>
          <w:szCs w:val="24"/>
        </w:rPr>
        <w:t xml:space="preserve"> </w:t>
      </w:r>
      <w:r w:rsidRPr="00B536BA">
        <w:rPr>
          <w:rFonts w:ascii="Courier New" w:hAnsi="Courier New" w:cs="Courier New"/>
          <w:sz w:val="24"/>
          <w:szCs w:val="24"/>
        </w:rPr>
        <w:t>GE programs, allowing them to evaluate their investment in these</w:t>
      </w:r>
      <w:r>
        <w:rPr>
          <w:rFonts w:ascii="Courier New" w:hAnsi="Courier New" w:cs="Courier New"/>
          <w:sz w:val="24"/>
          <w:szCs w:val="24"/>
        </w:rPr>
        <w:t xml:space="preserve"> </w:t>
      </w:r>
      <w:r w:rsidRPr="00B536BA">
        <w:rPr>
          <w:rFonts w:ascii="Courier New" w:hAnsi="Courier New" w:cs="Courier New"/>
          <w:sz w:val="24"/>
          <w:szCs w:val="24"/>
        </w:rPr>
        <w:t>programs.</w:t>
      </w:r>
      <w:r>
        <w:rPr>
          <w:rFonts w:ascii="Courier New" w:hAnsi="Courier New" w:cs="Courier New"/>
          <w:sz w:val="24"/>
          <w:szCs w:val="24"/>
        </w:rPr>
        <w:t xml:space="preserve"> </w:t>
      </w:r>
      <w:r w:rsidRPr="00B536BA">
        <w:rPr>
          <w:rFonts w:ascii="Courier New" w:hAnsi="Courier New" w:cs="Courier New"/>
          <w:sz w:val="24"/>
          <w:szCs w:val="24"/>
        </w:rPr>
        <w:t xml:space="preserve"> Institutions </w:t>
      </w:r>
      <w:r>
        <w:rPr>
          <w:rFonts w:ascii="Courier New" w:hAnsi="Courier New" w:cs="Courier New"/>
          <w:sz w:val="24"/>
          <w:szCs w:val="24"/>
        </w:rPr>
        <w:t>will</w:t>
      </w:r>
      <w:r w:rsidRPr="00B536BA">
        <w:rPr>
          <w:rFonts w:ascii="Courier New" w:hAnsi="Courier New" w:cs="Courier New"/>
          <w:sz w:val="24"/>
          <w:szCs w:val="24"/>
        </w:rPr>
        <w:t xml:space="preserve"> largely</w:t>
      </w:r>
      <w:r>
        <w:rPr>
          <w:rFonts w:ascii="Courier New" w:hAnsi="Courier New" w:cs="Courier New"/>
          <w:sz w:val="24"/>
          <w:szCs w:val="24"/>
        </w:rPr>
        <w:t xml:space="preserve"> </w:t>
      </w:r>
      <w:r w:rsidRPr="00B536BA">
        <w:rPr>
          <w:rFonts w:ascii="Courier New" w:hAnsi="Courier New" w:cs="Courier New"/>
          <w:sz w:val="24"/>
          <w:szCs w:val="24"/>
        </w:rPr>
        <w:t xml:space="preserve">bear the costs of the regulations: </w:t>
      </w:r>
      <w:r>
        <w:rPr>
          <w:rFonts w:ascii="Courier New" w:hAnsi="Courier New" w:cs="Courier New"/>
          <w:sz w:val="24"/>
          <w:szCs w:val="24"/>
        </w:rPr>
        <w:t xml:space="preserve"> </w:t>
      </w:r>
      <w:r w:rsidRPr="00B536BA">
        <w:rPr>
          <w:rFonts w:ascii="Courier New" w:hAnsi="Courier New" w:cs="Courier New"/>
          <w:sz w:val="24"/>
          <w:szCs w:val="24"/>
        </w:rPr>
        <w:t xml:space="preserve">paperwork costs </w:t>
      </w:r>
      <w:r>
        <w:rPr>
          <w:rFonts w:ascii="Courier New" w:hAnsi="Courier New" w:cs="Courier New"/>
          <w:sz w:val="24"/>
          <w:szCs w:val="24"/>
        </w:rPr>
        <w:t xml:space="preserve">of </w:t>
      </w:r>
      <w:r w:rsidRPr="00B536BA">
        <w:rPr>
          <w:rFonts w:ascii="Courier New" w:hAnsi="Courier New" w:cs="Courier New"/>
          <w:sz w:val="24"/>
          <w:szCs w:val="24"/>
        </w:rPr>
        <w:t>complying with the</w:t>
      </w:r>
      <w:r>
        <w:rPr>
          <w:rFonts w:ascii="Courier New" w:hAnsi="Courier New" w:cs="Courier New"/>
          <w:sz w:val="24"/>
          <w:szCs w:val="24"/>
        </w:rPr>
        <w:t xml:space="preserve"> </w:t>
      </w:r>
      <w:r w:rsidRPr="00B536BA">
        <w:rPr>
          <w:rFonts w:ascii="Courier New" w:hAnsi="Courier New" w:cs="Courier New"/>
          <w:sz w:val="24"/>
          <w:szCs w:val="24"/>
        </w:rPr>
        <w:t>regulations, costs</w:t>
      </w:r>
      <w:r>
        <w:rPr>
          <w:rFonts w:ascii="Courier New" w:hAnsi="Courier New" w:cs="Courier New"/>
          <w:sz w:val="24"/>
          <w:szCs w:val="24"/>
        </w:rPr>
        <w:t xml:space="preserve"> </w:t>
      </w:r>
      <w:r w:rsidRPr="00B536BA">
        <w:rPr>
          <w:rFonts w:ascii="Courier New" w:hAnsi="Courier New" w:cs="Courier New"/>
          <w:sz w:val="24"/>
          <w:szCs w:val="24"/>
        </w:rPr>
        <w:t>that could be incurred by institutions if</w:t>
      </w:r>
      <w:r>
        <w:rPr>
          <w:rFonts w:ascii="Courier New" w:hAnsi="Courier New" w:cs="Courier New"/>
          <w:sz w:val="24"/>
          <w:szCs w:val="24"/>
        </w:rPr>
        <w:t xml:space="preserve"> </w:t>
      </w:r>
      <w:r w:rsidRPr="00B536BA">
        <w:rPr>
          <w:rFonts w:ascii="Courier New" w:hAnsi="Courier New" w:cs="Courier New"/>
          <w:sz w:val="24"/>
          <w:szCs w:val="24"/>
        </w:rPr>
        <w:t>they attempt to improve their GE</w:t>
      </w:r>
      <w:r>
        <w:rPr>
          <w:rFonts w:ascii="Courier New" w:hAnsi="Courier New" w:cs="Courier New"/>
          <w:sz w:val="24"/>
          <w:szCs w:val="24"/>
        </w:rPr>
        <w:t xml:space="preserve"> </w:t>
      </w:r>
      <w:r w:rsidRPr="00B536BA">
        <w:rPr>
          <w:rFonts w:ascii="Courier New" w:hAnsi="Courier New" w:cs="Courier New"/>
          <w:sz w:val="24"/>
          <w:szCs w:val="24"/>
        </w:rPr>
        <w:t>programs</w:t>
      </w:r>
      <w:r>
        <w:rPr>
          <w:rFonts w:ascii="Courier New" w:hAnsi="Courier New" w:cs="Courier New"/>
          <w:sz w:val="24"/>
          <w:szCs w:val="24"/>
        </w:rPr>
        <w:t>,</w:t>
      </w:r>
      <w:r w:rsidRPr="00B536BA">
        <w:rPr>
          <w:rFonts w:ascii="Courier New" w:hAnsi="Courier New" w:cs="Courier New"/>
          <w:sz w:val="24"/>
          <w:szCs w:val="24"/>
        </w:rPr>
        <w:t xml:space="preserve"> and </w:t>
      </w:r>
      <w:r>
        <w:rPr>
          <w:rFonts w:ascii="Courier New" w:hAnsi="Courier New" w:cs="Courier New"/>
          <w:sz w:val="24"/>
          <w:szCs w:val="24"/>
        </w:rPr>
        <w:t xml:space="preserve">costs </w:t>
      </w:r>
      <w:r w:rsidRPr="00B536BA">
        <w:rPr>
          <w:rFonts w:ascii="Courier New" w:hAnsi="Courier New" w:cs="Courier New"/>
          <w:sz w:val="24"/>
          <w:szCs w:val="24"/>
        </w:rPr>
        <w:t>due to changing student</w:t>
      </w:r>
      <w:r>
        <w:rPr>
          <w:rFonts w:ascii="Courier New" w:hAnsi="Courier New" w:cs="Courier New"/>
          <w:sz w:val="24"/>
          <w:szCs w:val="24"/>
        </w:rPr>
        <w:t xml:space="preserve"> </w:t>
      </w:r>
      <w:r w:rsidRPr="00B536BA">
        <w:rPr>
          <w:rFonts w:ascii="Courier New" w:hAnsi="Courier New" w:cs="Courier New"/>
          <w:sz w:val="24"/>
          <w:szCs w:val="24"/>
        </w:rPr>
        <w:t xml:space="preserve">enrollment. </w:t>
      </w:r>
      <w:r>
        <w:rPr>
          <w:rFonts w:ascii="Courier New" w:hAnsi="Courier New" w:cs="Courier New"/>
          <w:sz w:val="24"/>
          <w:szCs w:val="24"/>
        </w:rPr>
        <w:t xml:space="preserve"> </w:t>
      </w:r>
      <w:r w:rsidRPr="00971D65">
        <w:rPr>
          <w:rFonts w:ascii="Courier New" w:hAnsi="Courier New" w:cs="Courier New"/>
          <w:sz w:val="24"/>
          <w:szCs w:val="24"/>
          <w:u w:val="single"/>
        </w:rPr>
        <w:t>See</w:t>
      </w:r>
      <w:r w:rsidRPr="00B536BA">
        <w:rPr>
          <w:rFonts w:ascii="Courier New" w:hAnsi="Courier New" w:cs="Courier New"/>
          <w:sz w:val="24"/>
          <w:szCs w:val="24"/>
        </w:rPr>
        <w:t xml:space="preserve"> </w:t>
      </w:r>
      <w:r>
        <w:rPr>
          <w:rFonts w:ascii="Courier New" w:hAnsi="Courier New" w:cs="Courier New"/>
          <w:sz w:val="24"/>
          <w:szCs w:val="24"/>
        </w:rPr>
        <w:t>“</w:t>
      </w:r>
      <w:r w:rsidRPr="00B536BA">
        <w:rPr>
          <w:rFonts w:ascii="Courier New" w:hAnsi="Courier New" w:cs="Courier New"/>
          <w:sz w:val="24"/>
          <w:szCs w:val="24"/>
        </w:rPr>
        <w:t>Discussion of Costs,</w:t>
      </w:r>
      <w:r>
        <w:rPr>
          <w:rFonts w:ascii="Courier New" w:hAnsi="Courier New" w:cs="Courier New"/>
          <w:sz w:val="24"/>
          <w:szCs w:val="24"/>
        </w:rPr>
        <w:t xml:space="preserve"> </w:t>
      </w:r>
      <w:r w:rsidRPr="00B536BA">
        <w:rPr>
          <w:rFonts w:ascii="Courier New" w:hAnsi="Courier New" w:cs="Courier New"/>
          <w:sz w:val="24"/>
          <w:szCs w:val="24"/>
        </w:rPr>
        <w:t>Benefits, and Transfers</w:t>
      </w:r>
      <w:r>
        <w:rPr>
          <w:rFonts w:ascii="Courier New" w:hAnsi="Courier New" w:cs="Courier New"/>
          <w:sz w:val="24"/>
          <w:szCs w:val="24"/>
        </w:rPr>
        <w:t>”</w:t>
      </w:r>
      <w:r w:rsidRPr="00B536BA">
        <w:rPr>
          <w:rFonts w:ascii="Courier New" w:hAnsi="Courier New" w:cs="Courier New"/>
          <w:sz w:val="24"/>
          <w:szCs w:val="24"/>
        </w:rPr>
        <w:t xml:space="preserve"> in the</w:t>
      </w:r>
      <w:r>
        <w:rPr>
          <w:rFonts w:ascii="Courier New" w:hAnsi="Courier New" w:cs="Courier New"/>
          <w:sz w:val="24"/>
          <w:szCs w:val="24"/>
        </w:rPr>
        <w:t xml:space="preserve"> </w:t>
      </w:r>
      <w:r w:rsidRPr="00B536BA">
        <w:rPr>
          <w:rFonts w:ascii="Courier New" w:hAnsi="Courier New" w:cs="Courier New"/>
          <w:sz w:val="24"/>
          <w:szCs w:val="24"/>
        </w:rPr>
        <w:t>regulatory impact analysis in Appendix</w:t>
      </w:r>
      <w:r>
        <w:rPr>
          <w:rFonts w:ascii="Courier New" w:hAnsi="Courier New" w:cs="Courier New"/>
          <w:sz w:val="24"/>
          <w:szCs w:val="24"/>
        </w:rPr>
        <w:t xml:space="preserve"> </w:t>
      </w:r>
      <w:r w:rsidRPr="00B536BA">
        <w:rPr>
          <w:rFonts w:ascii="Courier New" w:hAnsi="Courier New" w:cs="Courier New"/>
          <w:sz w:val="24"/>
          <w:szCs w:val="24"/>
        </w:rPr>
        <w:t>A to this document for a more complete</w:t>
      </w:r>
      <w:r>
        <w:rPr>
          <w:rFonts w:ascii="Courier New" w:hAnsi="Courier New" w:cs="Courier New"/>
          <w:sz w:val="24"/>
          <w:szCs w:val="24"/>
        </w:rPr>
        <w:t xml:space="preserve"> </w:t>
      </w:r>
      <w:r w:rsidRPr="00B536BA">
        <w:rPr>
          <w:rFonts w:ascii="Courier New" w:hAnsi="Courier New" w:cs="Courier New"/>
          <w:sz w:val="24"/>
          <w:szCs w:val="24"/>
        </w:rPr>
        <w:t>discussion of the costs and benefits of</w:t>
      </w:r>
      <w:r>
        <w:rPr>
          <w:rFonts w:ascii="Courier New" w:hAnsi="Courier New" w:cs="Courier New"/>
          <w:sz w:val="24"/>
          <w:szCs w:val="24"/>
        </w:rPr>
        <w:t xml:space="preserve"> </w:t>
      </w:r>
      <w:r w:rsidRPr="00B536BA">
        <w:rPr>
          <w:rFonts w:ascii="Courier New" w:hAnsi="Courier New" w:cs="Courier New"/>
          <w:sz w:val="24"/>
          <w:szCs w:val="24"/>
        </w:rPr>
        <w:t>the regulations.</w:t>
      </w:r>
    </w:p>
    <w:p w14:paraId="0B321D02" w14:textId="7CD1450E" w:rsidR="004D408A" w:rsidRPr="004B49A4" w:rsidRDefault="004D408A" w:rsidP="004D408A">
      <w:pPr>
        <w:spacing w:after="0" w:line="480" w:lineRule="auto"/>
        <w:ind w:firstLine="720"/>
        <w:rPr>
          <w:rFonts w:ascii="Courier New" w:hAnsi="Courier New" w:cs="Courier New"/>
          <w:sz w:val="24"/>
          <w:szCs w:val="24"/>
        </w:rPr>
      </w:pPr>
      <w:r w:rsidRPr="00F417AC">
        <w:rPr>
          <w:rFonts w:ascii="Courier New" w:hAnsi="Courier New" w:cs="Courier New"/>
          <w:sz w:val="24"/>
          <w:szCs w:val="24"/>
        </w:rPr>
        <w:t>On March 25, 2014, the Secretary published the NPRM for th</w:t>
      </w:r>
      <w:r>
        <w:rPr>
          <w:rFonts w:ascii="Courier New" w:hAnsi="Courier New" w:cs="Courier New"/>
          <w:sz w:val="24"/>
          <w:szCs w:val="24"/>
        </w:rPr>
        <w:t>ese regulations</w:t>
      </w:r>
      <w:r w:rsidRPr="00F417AC">
        <w:rPr>
          <w:rFonts w:ascii="Courier New" w:hAnsi="Courier New" w:cs="Courier New"/>
          <w:sz w:val="24"/>
          <w:szCs w:val="24"/>
        </w:rPr>
        <w:t xml:space="preserve"> in the </w:t>
      </w:r>
      <w:r w:rsidRPr="00F417AC">
        <w:rPr>
          <w:rFonts w:ascii="Courier New" w:hAnsi="Courier New" w:cs="Courier New"/>
          <w:sz w:val="24"/>
          <w:szCs w:val="24"/>
          <w:u w:val="single"/>
        </w:rPr>
        <w:t>Federal Register</w:t>
      </w:r>
      <w:r w:rsidRPr="00F417AC">
        <w:rPr>
          <w:rFonts w:ascii="Courier New" w:hAnsi="Courier New" w:cs="Courier New"/>
          <w:sz w:val="24"/>
          <w:szCs w:val="24"/>
        </w:rPr>
        <w:t xml:space="preserve"> (79 FR 16426)</w:t>
      </w:r>
      <w:r>
        <w:rPr>
          <w:rFonts w:ascii="Courier New" w:hAnsi="Courier New" w:cs="Courier New"/>
          <w:sz w:val="24"/>
          <w:szCs w:val="24"/>
        </w:rPr>
        <w:t xml:space="preserve">.  In the preamble of the NPRM, we discussed on pages 16428-16433, the background of the regulations, the relevant data available, and the major changes proposed in that document.  Terms used but not defined in this document, for example, 2011 Prior Rule and 2011 Final Rules, have the meanings set forth in the NPRM.  </w:t>
      </w:r>
      <w:r w:rsidRPr="00F417AC">
        <w:rPr>
          <w:rFonts w:ascii="Courier New" w:hAnsi="Courier New" w:cs="Courier New"/>
          <w:sz w:val="24"/>
          <w:szCs w:val="24"/>
        </w:rPr>
        <w:t xml:space="preserve">The final regulations contain a number of changes from the NPRM.  We fully </w:t>
      </w:r>
      <w:r w:rsidRPr="00F417AC">
        <w:rPr>
          <w:rFonts w:ascii="Courier New" w:hAnsi="Courier New" w:cs="Courier New"/>
          <w:sz w:val="24"/>
          <w:szCs w:val="24"/>
        </w:rPr>
        <w:lastRenderedPageBreak/>
        <w:t xml:space="preserve">explain the changes in the </w:t>
      </w:r>
      <w:r w:rsidRPr="00F417AC">
        <w:rPr>
          <w:rFonts w:ascii="Courier New" w:hAnsi="Courier New" w:cs="Courier New"/>
          <w:sz w:val="24"/>
          <w:szCs w:val="24"/>
          <w:u w:val="single"/>
        </w:rPr>
        <w:t>Analysis of Comments and Changes</w:t>
      </w:r>
      <w:r w:rsidRPr="00F417AC">
        <w:rPr>
          <w:rFonts w:ascii="Courier New" w:hAnsi="Courier New" w:cs="Courier New"/>
          <w:sz w:val="24"/>
          <w:szCs w:val="24"/>
        </w:rPr>
        <w:t xml:space="preserve"> section of the preamble that follows.</w:t>
      </w:r>
    </w:p>
    <w:p w14:paraId="1C8F9CE9" w14:textId="77777777" w:rsidR="004D408A" w:rsidRPr="002B6399" w:rsidRDefault="004D408A" w:rsidP="004D408A">
      <w:pPr>
        <w:spacing w:after="0" w:line="480" w:lineRule="auto"/>
        <w:rPr>
          <w:rFonts w:ascii="Courier New" w:hAnsi="Courier New" w:cs="Courier New"/>
          <w:sz w:val="24"/>
          <w:szCs w:val="24"/>
        </w:rPr>
      </w:pPr>
      <w:r w:rsidRPr="00F31423">
        <w:rPr>
          <w:rFonts w:ascii="Courier New" w:hAnsi="Courier New" w:cs="Courier New"/>
          <w:sz w:val="24"/>
          <w:szCs w:val="24"/>
          <w:u w:val="single"/>
        </w:rPr>
        <w:t>Public Comment</w:t>
      </w:r>
      <w:r w:rsidRPr="00F31423">
        <w:rPr>
          <w:rFonts w:ascii="Courier New" w:hAnsi="Courier New" w:cs="Courier New"/>
          <w:sz w:val="24"/>
          <w:szCs w:val="24"/>
        </w:rPr>
        <w:t xml:space="preserve">: </w:t>
      </w:r>
      <w:r>
        <w:rPr>
          <w:rFonts w:ascii="Courier New" w:hAnsi="Courier New" w:cs="Courier New"/>
          <w:sz w:val="24"/>
          <w:szCs w:val="24"/>
        </w:rPr>
        <w:t xml:space="preserve"> </w:t>
      </w:r>
      <w:r w:rsidRPr="00F31423">
        <w:rPr>
          <w:rFonts w:ascii="Courier New" w:hAnsi="Courier New" w:cs="Courier New"/>
          <w:sz w:val="24"/>
          <w:szCs w:val="24"/>
        </w:rPr>
        <w:t>In response to our invitation in the NPRM</w:t>
      </w:r>
      <w:r>
        <w:rPr>
          <w:rFonts w:ascii="Courier New" w:hAnsi="Courier New" w:cs="Courier New"/>
          <w:sz w:val="24"/>
          <w:szCs w:val="24"/>
        </w:rPr>
        <w:t>,</w:t>
      </w:r>
      <w:r w:rsidRPr="00F31423">
        <w:rPr>
          <w:rFonts w:ascii="Courier New" w:hAnsi="Courier New" w:cs="Courier New"/>
          <w:sz w:val="24"/>
          <w:szCs w:val="24"/>
        </w:rPr>
        <w:t xml:space="preserve"> </w:t>
      </w:r>
      <w:r>
        <w:rPr>
          <w:rFonts w:ascii="Courier New" w:hAnsi="Courier New" w:cs="Courier New"/>
          <w:sz w:val="24"/>
          <w:szCs w:val="24"/>
        </w:rPr>
        <w:t>we received approximately 95,000</w:t>
      </w:r>
      <w:r w:rsidRPr="00F31423">
        <w:rPr>
          <w:rFonts w:ascii="Courier New" w:hAnsi="Courier New" w:cs="Courier New"/>
          <w:sz w:val="24"/>
          <w:szCs w:val="24"/>
        </w:rPr>
        <w:t xml:space="preserve"> comments on the proposed regulations.  We discuss substantive issues under the sections of the </w:t>
      </w:r>
      <w:r>
        <w:rPr>
          <w:rFonts w:ascii="Courier New" w:hAnsi="Courier New" w:cs="Courier New"/>
          <w:sz w:val="24"/>
          <w:szCs w:val="24"/>
        </w:rPr>
        <w:t xml:space="preserve">proposed </w:t>
      </w:r>
      <w:r w:rsidRPr="00F31423">
        <w:rPr>
          <w:rFonts w:ascii="Courier New" w:hAnsi="Courier New" w:cs="Courier New"/>
          <w:sz w:val="24"/>
          <w:szCs w:val="24"/>
        </w:rPr>
        <w:t>regulations to which they pertain. Generally, we do not address technical or other minor changes.</w:t>
      </w:r>
    </w:p>
    <w:p w14:paraId="4C835F8D" w14:textId="77777777" w:rsidR="004D408A" w:rsidRPr="005C193C" w:rsidRDefault="004D408A" w:rsidP="004D408A">
      <w:pPr>
        <w:spacing w:after="0" w:line="480" w:lineRule="auto"/>
        <w:rPr>
          <w:rFonts w:ascii="Courier New" w:hAnsi="Courier New" w:cs="Courier New"/>
          <w:sz w:val="24"/>
          <w:szCs w:val="24"/>
        </w:rPr>
      </w:pPr>
      <w:r w:rsidRPr="002B6399">
        <w:rPr>
          <w:rFonts w:ascii="Courier New" w:hAnsi="Courier New" w:cs="Courier New"/>
          <w:sz w:val="24"/>
          <w:szCs w:val="24"/>
          <w:u w:val="single"/>
        </w:rPr>
        <w:t>Analysis of Comments and Changes</w:t>
      </w:r>
      <w:r w:rsidRPr="002B6399">
        <w:rPr>
          <w:rFonts w:ascii="Courier New" w:hAnsi="Courier New" w:cs="Courier New"/>
          <w:sz w:val="24"/>
          <w:szCs w:val="24"/>
        </w:rPr>
        <w:t>:  An analysis of the comment</w:t>
      </w:r>
      <w:r>
        <w:rPr>
          <w:rFonts w:ascii="Courier New" w:hAnsi="Courier New" w:cs="Courier New"/>
          <w:sz w:val="24"/>
          <w:szCs w:val="24"/>
        </w:rPr>
        <w:t>s</w:t>
      </w:r>
      <w:r w:rsidRPr="002B6399">
        <w:rPr>
          <w:rFonts w:ascii="Courier New" w:hAnsi="Courier New" w:cs="Courier New"/>
          <w:sz w:val="24"/>
          <w:szCs w:val="24"/>
        </w:rPr>
        <w:t xml:space="preserve"> and of any changes in the regulations since </w:t>
      </w:r>
      <w:r w:rsidRPr="005C193C">
        <w:rPr>
          <w:rFonts w:ascii="Courier New" w:hAnsi="Courier New" w:cs="Courier New"/>
          <w:sz w:val="24"/>
          <w:szCs w:val="24"/>
        </w:rPr>
        <w:t>publication of the NPRM follows.</w:t>
      </w:r>
    </w:p>
    <w:p w14:paraId="4269AF54" w14:textId="77777777" w:rsidR="001D71D1" w:rsidRPr="00FC66E2" w:rsidRDefault="001D71D1" w:rsidP="004D408A">
      <w:pPr>
        <w:pStyle w:val="Heading1"/>
      </w:pPr>
      <w:r w:rsidRPr="00FC66E2">
        <w:t>§668.401  Scope and Purpose</w:t>
      </w:r>
    </w:p>
    <w:p w14:paraId="5F469C7C" w14:textId="77777777" w:rsidR="00FC66E2"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A number of commenters stated that, in promulgating the regulations, the Department exceeds its delegated authority to administer programs under the HEA.  Some commenters asserted that the legislative history of the gainful employment provisions in the HEA does not support the Department’s regulatory action to define gainful employment</w:t>
      </w:r>
      <w:r w:rsidR="008D682E">
        <w:rPr>
          <w:rFonts w:ascii="Courier New" w:hAnsi="Courier New" w:cs="Courier New"/>
          <w:sz w:val="24"/>
          <w:szCs w:val="24"/>
        </w:rPr>
        <w:t xml:space="preserve"> and that the Department gave undue weight to testimony presented to Congress at the time the gainful employment provisions were enacted</w:t>
      </w:r>
      <w:r w:rsidRPr="00D140AB">
        <w:rPr>
          <w:rFonts w:ascii="Courier New" w:hAnsi="Courier New" w:cs="Courier New"/>
          <w:sz w:val="24"/>
          <w:szCs w:val="24"/>
        </w:rPr>
        <w:t xml:space="preserve">.  </w:t>
      </w:r>
      <w:r w:rsidR="00AD7DD0">
        <w:rPr>
          <w:rFonts w:ascii="Courier New" w:hAnsi="Courier New" w:cs="Courier New"/>
          <w:sz w:val="24"/>
          <w:szCs w:val="24"/>
        </w:rPr>
        <w:t xml:space="preserve">Some commenters stated that Congress did not intend </w:t>
      </w:r>
      <w:r w:rsidR="00FC66E2">
        <w:rPr>
          <w:rFonts w:ascii="Courier New" w:hAnsi="Courier New" w:cs="Courier New"/>
          <w:sz w:val="24"/>
          <w:szCs w:val="24"/>
        </w:rPr>
        <w:t xml:space="preserve">for </w:t>
      </w:r>
      <w:r w:rsidR="00AD7DD0">
        <w:rPr>
          <w:rFonts w:ascii="Courier New" w:hAnsi="Courier New" w:cs="Courier New"/>
          <w:sz w:val="24"/>
          <w:szCs w:val="24"/>
        </w:rPr>
        <w:t xml:space="preserve">the Department to measure whether a program leads to gainful employment based on debt or earnings.  </w:t>
      </w:r>
    </w:p>
    <w:p w14:paraId="4269AF55" w14:textId="08FB813F" w:rsidR="001D71D1" w:rsidRPr="00D140AB" w:rsidRDefault="001D71D1" w:rsidP="004D408A">
      <w:pPr>
        <w:spacing w:after="0" w:line="480" w:lineRule="auto"/>
        <w:ind w:firstLine="720"/>
        <w:rPr>
          <w:rFonts w:ascii="Courier New" w:hAnsi="Courier New" w:cs="Courier New"/>
          <w:sz w:val="24"/>
          <w:szCs w:val="24"/>
        </w:rPr>
      </w:pPr>
      <w:r w:rsidRPr="00D140AB">
        <w:rPr>
          <w:rFonts w:ascii="Courier New" w:hAnsi="Courier New" w:cs="Courier New"/>
          <w:sz w:val="24"/>
          <w:szCs w:val="24"/>
        </w:rPr>
        <w:t xml:space="preserve">Several commenters argued that, even if the Department has the legal authority, the issues addressed by the regulations </w:t>
      </w:r>
      <w:r w:rsidRPr="00D140AB">
        <w:rPr>
          <w:rFonts w:ascii="Courier New" w:hAnsi="Courier New" w:cs="Courier New"/>
          <w:sz w:val="24"/>
          <w:szCs w:val="24"/>
        </w:rPr>
        <w:lastRenderedPageBreak/>
        <w:t xml:space="preserve">should be addressed instead as a part of HEA reauthorization or by other legislative action.  </w:t>
      </w:r>
      <w:r w:rsidR="002B2D21">
        <w:rPr>
          <w:rFonts w:ascii="Courier New" w:hAnsi="Courier New" w:cs="Courier New"/>
          <w:sz w:val="24"/>
          <w:szCs w:val="24"/>
        </w:rPr>
        <w:t xml:space="preserve">One commenter </w:t>
      </w:r>
      <w:r w:rsidR="00FC66E2">
        <w:rPr>
          <w:rFonts w:ascii="Courier New" w:hAnsi="Courier New" w:cs="Courier New"/>
          <w:sz w:val="24"/>
          <w:szCs w:val="24"/>
        </w:rPr>
        <w:t>contended</w:t>
      </w:r>
      <w:r w:rsidR="002B2D21">
        <w:rPr>
          <w:rFonts w:ascii="Courier New" w:hAnsi="Courier New" w:cs="Courier New"/>
          <w:sz w:val="24"/>
          <w:szCs w:val="24"/>
        </w:rPr>
        <w:t xml:space="preserve"> that members of Congress have asked the Department to refrain from regulating on gainful employment programs pending reauthorization of the HEA and that the proposed regulations constitute a usurping of legislative authority.  </w:t>
      </w:r>
      <w:r w:rsidRPr="00D140AB">
        <w:rPr>
          <w:rFonts w:ascii="Courier New" w:hAnsi="Courier New" w:cs="Courier New"/>
          <w:sz w:val="24"/>
          <w:szCs w:val="24"/>
        </w:rPr>
        <w:t xml:space="preserve"> </w:t>
      </w:r>
    </w:p>
    <w:p w14:paraId="4269AF56" w14:textId="1A313487" w:rsidR="001D71D1" w:rsidRPr="00D140AB" w:rsidRDefault="009533B4"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Other commenters asserted that identifying</w:t>
      </w:r>
      <w:r w:rsidR="004D408A" w:rsidDel="009533B4">
        <w:rPr>
          <w:rFonts w:ascii="Courier New" w:hAnsi="Courier New" w:cs="Courier New"/>
          <w:sz w:val="24"/>
          <w:szCs w:val="24"/>
        </w:rPr>
        <w:t xml:space="preserve"> </w:t>
      </w:r>
      <w:r w:rsidR="001D71D1" w:rsidRPr="00D140AB">
        <w:rPr>
          <w:rFonts w:ascii="Courier New" w:hAnsi="Courier New" w:cs="Courier New"/>
          <w:sz w:val="24"/>
          <w:szCs w:val="24"/>
        </w:rPr>
        <w:t xml:space="preserve">educational programs in the career </w:t>
      </w:r>
      <w:r w:rsidR="00FC66E2">
        <w:rPr>
          <w:rFonts w:ascii="Courier New" w:hAnsi="Courier New" w:cs="Courier New"/>
          <w:sz w:val="24"/>
          <w:szCs w:val="24"/>
        </w:rPr>
        <w:t xml:space="preserve">training </w:t>
      </w:r>
      <w:r w:rsidR="001D71D1" w:rsidRPr="00D140AB">
        <w:rPr>
          <w:rFonts w:ascii="Courier New" w:hAnsi="Courier New" w:cs="Courier New"/>
          <w:sz w:val="24"/>
          <w:szCs w:val="24"/>
        </w:rPr>
        <w:t>sector that do not prepare students for gainful employment and terminating their eligibility for title IV, HEA program funds is mandated by the HEA.</w:t>
      </w:r>
    </w:p>
    <w:p w14:paraId="4269AF57" w14:textId="339A05B6"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 Department’s statutory authority for this regulatory action is derived primarily from three sources.  First, sections 101 and 102 of the HEA define “eligible institution” to include an institution that provides an “eligible program of training to prepare students for gainful employment in a recognized occupation.”  20 U.S.C. 1001(b)(1), 1002(b)(1)(A)(i), (c)(1)(A).  Section 481(b) of the HEA defines “eligible program” to include a program that “provides a program of training to prepare students for gainful employment in a recognized profession.”  20 U.S.C. 1088(b).  These statutory provisions establish the requirement that certain educational programs must provide training that prepares student</w:t>
      </w:r>
      <w:r w:rsidR="007657D6" w:rsidRPr="00D140AB">
        <w:rPr>
          <w:rFonts w:ascii="Courier New" w:hAnsi="Courier New" w:cs="Courier New"/>
          <w:sz w:val="24"/>
          <w:szCs w:val="24"/>
        </w:rPr>
        <w:t>s</w:t>
      </w:r>
      <w:r w:rsidRPr="00D140AB">
        <w:rPr>
          <w:rFonts w:ascii="Courier New" w:hAnsi="Courier New" w:cs="Courier New"/>
          <w:sz w:val="24"/>
          <w:szCs w:val="24"/>
        </w:rPr>
        <w:t xml:space="preserve"> for gainful employment </w:t>
      </w:r>
      <w:r w:rsidR="007657D6" w:rsidRPr="00D140AB">
        <w:rPr>
          <w:rFonts w:ascii="Courier New" w:hAnsi="Courier New" w:cs="Courier New"/>
          <w:sz w:val="24"/>
          <w:szCs w:val="24"/>
        </w:rPr>
        <w:t xml:space="preserve">in a recognized occupation </w:t>
      </w:r>
      <w:r w:rsidRPr="00D140AB">
        <w:rPr>
          <w:rFonts w:ascii="Courier New" w:hAnsi="Courier New" w:cs="Courier New"/>
          <w:sz w:val="24"/>
          <w:szCs w:val="24"/>
        </w:rPr>
        <w:t xml:space="preserve">in order for those </w:t>
      </w:r>
      <w:r w:rsidRPr="00D140AB">
        <w:rPr>
          <w:rFonts w:ascii="Courier New" w:hAnsi="Courier New" w:cs="Courier New"/>
          <w:sz w:val="24"/>
          <w:szCs w:val="24"/>
        </w:rPr>
        <w:lastRenderedPageBreak/>
        <w:t xml:space="preserve">programs to be eligible for title IV, HEA program funds--the requirement that the Department seeks to define through the regulations.  </w:t>
      </w:r>
    </w:p>
    <w:p w14:paraId="4269AF58" w14:textId="0D30A35E" w:rsidR="001D71D1" w:rsidRPr="00D140AB" w:rsidRDefault="004D408A" w:rsidP="004D408A">
      <w:pPr>
        <w:spacing w:after="0" w:line="480" w:lineRule="auto"/>
        <w:contextualSpacing/>
        <w:rPr>
          <w:rFonts w:ascii="Courier New" w:hAnsi="Courier New" w:cs="Courier New"/>
          <w:sz w:val="24"/>
          <w:szCs w:val="24"/>
          <w:u w:val="single"/>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Second, section 410 of the General Education Provisions Act provides the Secretary with authority to make, promulgate, issue, rescind, and amend rules and regulations governing the manner of operations of, and governing the applicable programs administered by, the Department.  20 U.S.C. 1221e-3.  Furthermore, under </w:t>
      </w:r>
      <w:r w:rsidR="001D71D1" w:rsidRPr="00D140AB">
        <w:rPr>
          <w:rFonts w:ascii="Courier New" w:eastAsia="MS ??" w:hAnsi="Courier New" w:cs="Courier New"/>
          <w:sz w:val="24"/>
          <w:szCs w:val="24"/>
        </w:rPr>
        <w:t>section 414 of the Department of Education Organization Act</w:t>
      </w:r>
      <w:r w:rsidR="001D71D1" w:rsidRPr="00D140AB">
        <w:rPr>
          <w:rFonts w:ascii="Courier New" w:hAnsi="Courier New" w:cs="Courier New"/>
          <w:sz w:val="24"/>
          <w:szCs w:val="24"/>
        </w:rPr>
        <w:t xml:space="preserve">, the Secretary is authorized to prescribe such rules and regulations as the Secretary determines necessary or appropriate to administer and manage the functions of the Secretary or the Department.  20 U.S.C. 3474.  These provisions, together with the provisions in the HEA regarding GE programs, authorize the Department to promulgate regulations that:  set measures to determine the eligibility of GE programs for title IV, HEA program funds; require institutions to report information about GE programs to the Secretary; require institutions to disclose information about GE programs to students, prospective students, and their families, the public, taxpayers, and the Government, and institutions; and establish certification requirements regarding an institution’s GE programs.  </w:t>
      </w:r>
    </w:p>
    <w:p w14:paraId="4269AF59" w14:textId="1DF7F2D7" w:rsidR="001D71D1" w:rsidRPr="00D140AB" w:rsidRDefault="004D408A" w:rsidP="004D408A">
      <w:pPr>
        <w:spacing w:after="0" w:line="480" w:lineRule="auto"/>
        <w:contextualSpacing/>
        <w:rPr>
          <w:rFonts w:ascii="Courier New" w:hAnsi="Courier New" w:cs="Courier New"/>
          <w:sz w:val="24"/>
          <w:szCs w:val="24"/>
        </w:rPr>
      </w:pPr>
      <w:r>
        <w:rPr>
          <w:rFonts w:ascii="Courier New" w:hAnsi="Courier New" w:cs="Courier New"/>
          <w:sz w:val="24"/>
          <w:szCs w:val="24"/>
        </w:rPr>
        <w:lastRenderedPageBreak/>
        <w:t xml:space="preserve">     </w:t>
      </w:r>
      <w:r w:rsidR="001D71D1" w:rsidRPr="00D140AB">
        <w:rPr>
          <w:rFonts w:ascii="Courier New" w:hAnsi="Courier New" w:cs="Courier New"/>
          <w:sz w:val="24"/>
          <w:szCs w:val="24"/>
        </w:rPr>
        <w:t xml:space="preserve">Third, the Department’s authority for establishing the transparency framework is further supported by section 431 of the Department of Education Organization Act, which provides authority to the Secretary, in relevant part, to inform the public about federally supported education programs and collect data and information on applicable programs for the purpose of obtaining objective measurements of the effectiveness of such programs in achieving the intended purposes of such programs.  20 U.S.C. 1231a. </w:t>
      </w:r>
    </w:p>
    <w:p w14:paraId="4269AF5A" w14:textId="4C2BE398" w:rsidR="001D71D1" w:rsidRDefault="004D408A" w:rsidP="004D408A">
      <w:pPr>
        <w:spacing w:after="0" w:line="480" w:lineRule="auto"/>
        <w:contextualSpacing/>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The U.S. District Court for the District of Columbia confirmed the Department’s authority to regulate gainful employment programs in </w:t>
      </w:r>
      <w:r w:rsidR="001D71D1" w:rsidRPr="00D140AB">
        <w:rPr>
          <w:rFonts w:ascii="Courier New" w:hAnsi="Courier New" w:cs="Courier New"/>
          <w:sz w:val="24"/>
          <w:szCs w:val="24"/>
          <w:u w:val="single"/>
        </w:rPr>
        <w:t>Association of Private Sector Colleges and Universities (APSCU) v. Duncan</w:t>
      </w:r>
      <w:r w:rsidR="001D71D1" w:rsidRPr="00D140AB">
        <w:rPr>
          <w:rFonts w:ascii="Courier New" w:hAnsi="Courier New" w:cs="Courier New"/>
          <w:sz w:val="24"/>
          <w:szCs w:val="24"/>
        </w:rPr>
        <w:t xml:space="preserve">, 870 F.Supp.2d 133 (D.D.C. 2012), and 930 F.Supp.2d 210 (D.D.C. 2013).  These rulings </w:t>
      </w:r>
      <w:r w:rsidR="001D71D1" w:rsidRPr="00FD2705">
        <w:rPr>
          <w:rFonts w:ascii="Courier New" w:hAnsi="Courier New"/>
          <w:sz w:val="24"/>
        </w:rPr>
        <w:t>arose out of a lawsui</w:t>
      </w:r>
      <w:r w:rsidR="001D71D1" w:rsidRPr="00D140AB">
        <w:rPr>
          <w:rFonts w:ascii="Courier New" w:hAnsi="Courier New" w:cs="Courier New"/>
          <w:sz w:val="24"/>
          <w:szCs w:val="24"/>
        </w:rPr>
        <w:t xml:space="preserve">t brought by APSCU challenging the Department’s 2010 and 2011 gainful employment regulations.  In that case, the </w:t>
      </w:r>
      <w:r w:rsidR="0055628F">
        <w:rPr>
          <w:rFonts w:ascii="Courier New" w:hAnsi="Courier New" w:cs="Courier New"/>
          <w:sz w:val="24"/>
          <w:szCs w:val="24"/>
        </w:rPr>
        <w:t>c</w:t>
      </w:r>
      <w:r w:rsidR="001D71D1" w:rsidRPr="00D140AB">
        <w:rPr>
          <w:rFonts w:ascii="Courier New" w:hAnsi="Courier New" w:cs="Courier New"/>
          <w:sz w:val="24"/>
          <w:szCs w:val="24"/>
        </w:rPr>
        <w:t>ourt reached several conclusions about the Department’s rulemaking authority to define eligibility requirements for gainful employment programs</w:t>
      </w:r>
      <w:r w:rsidR="00AE4277">
        <w:rPr>
          <w:rFonts w:ascii="Courier New" w:hAnsi="Courier New" w:cs="Courier New"/>
          <w:sz w:val="24"/>
          <w:szCs w:val="24"/>
        </w:rPr>
        <w:t xml:space="preserve"> </w:t>
      </w:r>
      <w:r w:rsidR="00FD2705">
        <w:rPr>
          <w:rFonts w:ascii="Courier New" w:hAnsi="Courier New" w:cs="Courier New"/>
          <w:sz w:val="24"/>
          <w:szCs w:val="24"/>
        </w:rPr>
        <w:t>that</w:t>
      </w:r>
      <w:r w:rsidR="007657D6" w:rsidRPr="00D140AB">
        <w:rPr>
          <w:rFonts w:ascii="Courier New" w:hAnsi="Courier New" w:cs="Courier New"/>
          <w:sz w:val="24"/>
          <w:szCs w:val="24"/>
        </w:rPr>
        <w:t xml:space="preserve"> </w:t>
      </w:r>
      <w:r w:rsidR="001D71D1" w:rsidRPr="00D140AB">
        <w:rPr>
          <w:rFonts w:ascii="Courier New" w:hAnsi="Courier New" w:cs="Courier New"/>
          <w:sz w:val="24"/>
          <w:szCs w:val="24"/>
        </w:rPr>
        <w:t xml:space="preserve">have informed and framed the Department’s exercise of that authority through this rulemaking.  Notably, the </w:t>
      </w:r>
      <w:r w:rsidR="0055628F">
        <w:rPr>
          <w:rFonts w:ascii="Courier New" w:hAnsi="Courier New" w:cs="Courier New"/>
          <w:sz w:val="24"/>
          <w:szCs w:val="24"/>
        </w:rPr>
        <w:t>c</w:t>
      </w:r>
      <w:r w:rsidR="001D71D1" w:rsidRPr="00D140AB">
        <w:rPr>
          <w:rFonts w:ascii="Courier New" w:hAnsi="Courier New" w:cs="Courier New"/>
          <w:sz w:val="24"/>
          <w:szCs w:val="24"/>
        </w:rPr>
        <w:t xml:space="preserve">ourt agreed with the Department that the Secretary has broad authority to make, promulgate, issue, rescind, and amend the rules and regulations governing applicable programs administered by the Department, such as the title IV, HEA </w:t>
      </w:r>
      <w:r w:rsidR="001D71D1" w:rsidRPr="00D140AB">
        <w:rPr>
          <w:rFonts w:ascii="Courier New" w:hAnsi="Courier New" w:cs="Courier New"/>
          <w:sz w:val="24"/>
          <w:szCs w:val="24"/>
        </w:rPr>
        <w:lastRenderedPageBreak/>
        <w:t xml:space="preserve">programs, and that the Secretary is “authorized to prescribe such rules and regulations as the Secretary determines necessary or appropriate to administer and manage the functions of the Secretary or the Department.”  </w:t>
      </w:r>
      <w:r w:rsidR="001D71D1" w:rsidRPr="00D140AB">
        <w:rPr>
          <w:rFonts w:ascii="Courier New" w:hAnsi="Courier New" w:cs="Courier New"/>
          <w:sz w:val="24"/>
          <w:szCs w:val="24"/>
          <w:u w:val="single"/>
        </w:rPr>
        <w:t>APSCU v. Duncan</w:t>
      </w:r>
      <w:r w:rsidR="001D71D1" w:rsidRPr="00D140AB">
        <w:rPr>
          <w:rFonts w:ascii="Courier New" w:hAnsi="Courier New" w:cs="Courier New"/>
          <w:sz w:val="24"/>
          <w:szCs w:val="24"/>
        </w:rPr>
        <w:t xml:space="preserve">, </w:t>
      </w:r>
      <w:r w:rsidR="001D71D1" w:rsidRPr="00D140AB">
        <w:rPr>
          <w:rFonts w:ascii="Courier New" w:eastAsia="MS ??" w:hAnsi="Courier New" w:cs="Courier New"/>
          <w:sz w:val="24"/>
          <w:szCs w:val="24"/>
        </w:rPr>
        <w:t xml:space="preserve">870 F.Supp.2d at 141; </w:t>
      </w:r>
      <w:r w:rsidR="001D71D1" w:rsidRPr="00D140AB">
        <w:rPr>
          <w:rFonts w:ascii="Courier New" w:eastAsia="MS ??" w:hAnsi="Courier New" w:cs="Courier New"/>
          <w:sz w:val="24"/>
          <w:szCs w:val="24"/>
          <w:u w:val="single"/>
        </w:rPr>
        <w:t>see</w:t>
      </w:r>
      <w:r w:rsidR="001D71D1" w:rsidRPr="00D140AB">
        <w:rPr>
          <w:rFonts w:ascii="Courier New" w:hAnsi="Courier New" w:cs="Courier New"/>
          <w:sz w:val="24"/>
          <w:szCs w:val="24"/>
        </w:rPr>
        <w:t xml:space="preserve"> 20 U.S.C. 3474.  Furthermore, in answering the question of whether the Department’s regulatory effort to define the gainful employment requirement falls within its statutory authority, the </w:t>
      </w:r>
      <w:r w:rsidR="0055628F">
        <w:rPr>
          <w:rFonts w:ascii="Courier New" w:hAnsi="Courier New" w:cs="Courier New"/>
          <w:sz w:val="24"/>
          <w:szCs w:val="24"/>
        </w:rPr>
        <w:t>c</w:t>
      </w:r>
      <w:r w:rsidR="001D71D1" w:rsidRPr="00D140AB">
        <w:rPr>
          <w:rFonts w:ascii="Courier New" w:hAnsi="Courier New" w:cs="Courier New"/>
          <w:sz w:val="24"/>
          <w:szCs w:val="24"/>
        </w:rPr>
        <w:t xml:space="preserve">ourt found that the Department’s actions were within its statutory authority to define the gainful employment requirement.  Specifically, the </w:t>
      </w:r>
      <w:r w:rsidR="0055628F">
        <w:rPr>
          <w:rFonts w:ascii="Courier New" w:hAnsi="Courier New" w:cs="Courier New"/>
          <w:sz w:val="24"/>
          <w:szCs w:val="24"/>
        </w:rPr>
        <w:t>c</w:t>
      </w:r>
      <w:r w:rsidR="001D71D1" w:rsidRPr="00D140AB">
        <w:rPr>
          <w:rFonts w:ascii="Courier New" w:hAnsi="Courier New" w:cs="Courier New"/>
          <w:sz w:val="24"/>
          <w:szCs w:val="24"/>
        </w:rPr>
        <w:t>ourt concluded that the phrase “gainful employment in a recognized occupation” is ambiguous</w:t>
      </w:r>
      <w:r w:rsidR="009019DD">
        <w:rPr>
          <w:rFonts w:ascii="Courier New" w:hAnsi="Courier New" w:cs="Courier New"/>
          <w:sz w:val="24"/>
          <w:szCs w:val="24"/>
        </w:rPr>
        <w:t>;</w:t>
      </w:r>
      <w:r w:rsidR="00F75392">
        <w:rPr>
          <w:rFonts w:ascii="Courier New" w:hAnsi="Courier New" w:cs="Courier New"/>
          <w:sz w:val="24"/>
          <w:szCs w:val="24"/>
        </w:rPr>
        <w:t xml:space="preserve"> </w:t>
      </w:r>
      <w:r w:rsidR="001D71D1" w:rsidRPr="00D140AB">
        <w:rPr>
          <w:rFonts w:ascii="Courier New" w:hAnsi="Courier New" w:cs="Courier New"/>
          <w:sz w:val="24"/>
          <w:szCs w:val="24"/>
        </w:rPr>
        <w:t>in enacting a requirement that used that phrase, Congress delegated interpretive authority to the Department</w:t>
      </w:r>
      <w:r w:rsidR="009019DD">
        <w:rPr>
          <w:rFonts w:ascii="Courier New" w:hAnsi="Courier New" w:cs="Courier New"/>
          <w:sz w:val="24"/>
          <w:szCs w:val="24"/>
        </w:rPr>
        <w:t>; and the Department’s regulations were a reasonable interpretation of an ambiguous statutory command</w:t>
      </w:r>
      <w:r w:rsidR="001D71D1" w:rsidRPr="00D140AB">
        <w:rPr>
          <w:rFonts w:ascii="Courier New" w:hAnsi="Courier New" w:cs="Courier New"/>
          <w:sz w:val="24"/>
          <w:szCs w:val="24"/>
        </w:rPr>
        <w:t xml:space="preserve">.  </w:t>
      </w:r>
      <w:r w:rsidR="001D71D1" w:rsidRPr="00D140AB">
        <w:rPr>
          <w:rFonts w:ascii="Courier New" w:hAnsi="Courier New" w:cs="Courier New"/>
          <w:sz w:val="24"/>
          <w:szCs w:val="24"/>
          <w:u w:val="single"/>
        </w:rPr>
        <w:t>APSCU v. Duncan</w:t>
      </w:r>
      <w:r w:rsidR="001D71D1" w:rsidRPr="00D140AB">
        <w:rPr>
          <w:rFonts w:ascii="Courier New" w:hAnsi="Courier New" w:cs="Courier New"/>
          <w:sz w:val="24"/>
          <w:szCs w:val="24"/>
        </w:rPr>
        <w:t>, 870 F.Supp.2d at 146</w:t>
      </w:r>
      <w:r w:rsidR="009019DD">
        <w:rPr>
          <w:rFonts w:ascii="Courier New" w:hAnsi="Courier New" w:cs="Courier New"/>
          <w:sz w:val="24"/>
          <w:szCs w:val="24"/>
        </w:rPr>
        <w:t>-49</w:t>
      </w:r>
      <w:r w:rsidR="001D71D1" w:rsidRPr="00D140AB">
        <w:rPr>
          <w:rFonts w:ascii="Courier New" w:hAnsi="Courier New" w:cs="Courier New"/>
          <w:sz w:val="24"/>
          <w:szCs w:val="24"/>
        </w:rPr>
        <w:t xml:space="preserve">.  The </w:t>
      </w:r>
      <w:r w:rsidR="0055628F">
        <w:rPr>
          <w:rFonts w:ascii="Courier New" w:hAnsi="Courier New" w:cs="Courier New"/>
          <w:sz w:val="24"/>
          <w:szCs w:val="24"/>
        </w:rPr>
        <w:t>c</w:t>
      </w:r>
      <w:r w:rsidR="001D71D1" w:rsidRPr="00D140AB">
        <w:rPr>
          <w:rFonts w:ascii="Courier New" w:hAnsi="Courier New" w:cs="Courier New"/>
          <w:sz w:val="24"/>
          <w:szCs w:val="24"/>
        </w:rPr>
        <w:t xml:space="preserve">ourt also upheld the disclosure requirements set forth by the Department in the 2011 Final Rule, which are still in effect, rejecting APSCU’s challenge and finding that these requirements “fall comfortably within [the Secretary’s] regulatory power,” and are “not arbitrary or capricious.”  </w:t>
      </w:r>
      <w:r w:rsidR="001D71D1" w:rsidRPr="00D140AB">
        <w:rPr>
          <w:rFonts w:ascii="Courier New" w:hAnsi="Courier New" w:cs="Courier New"/>
          <w:sz w:val="24"/>
          <w:szCs w:val="24"/>
          <w:u w:val="single"/>
        </w:rPr>
        <w:t>Id</w:t>
      </w:r>
      <w:r w:rsidR="001D71D1" w:rsidRPr="00D140AB">
        <w:rPr>
          <w:rFonts w:ascii="Courier New" w:hAnsi="Courier New" w:cs="Courier New"/>
          <w:sz w:val="24"/>
          <w:szCs w:val="24"/>
        </w:rPr>
        <w:t>. at 156.</w:t>
      </w:r>
    </w:p>
    <w:p w14:paraId="3C25AB9C" w14:textId="4AC70E9E" w:rsidR="008D682E" w:rsidRPr="00EC5B01"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8D682E" w:rsidRPr="00D140AB">
        <w:rPr>
          <w:rFonts w:ascii="Courier New" w:hAnsi="Courier New" w:cs="Courier New"/>
          <w:sz w:val="24"/>
          <w:szCs w:val="24"/>
        </w:rPr>
        <w:t xml:space="preserve">Contrary to the claims of some commenters, the Department’s authority to promulgate regulations </w:t>
      </w:r>
      <w:r w:rsidR="008D682E">
        <w:rPr>
          <w:rFonts w:ascii="Courier New" w:hAnsi="Courier New" w:cs="Courier New"/>
          <w:sz w:val="24"/>
          <w:szCs w:val="24"/>
        </w:rPr>
        <w:t>defining</w:t>
      </w:r>
      <w:r w:rsidR="002A6364">
        <w:rPr>
          <w:rFonts w:ascii="Courier New" w:hAnsi="Courier New" w:cs="Courier New"/>
          <w:sz w:val="24"/>
          <w:szCs w:val="24"/>
        </w:rPr>
        <w:t xml:space="preserve"> the</w:t>
      </w:r>
      <w:r w:rsidR="008D682E">
        <w:rPr>
          <w:rFonts w:ascii="Courier New" w:hAnsi="Courier New" w:cs="Courier New"/>
          <w:sz w:val="24"/>
          <w:szCs w:val="24"/>
        </w:rPr>
        <w:t xml:space="preserve"> gainful employment </w:t>
      </w:r>
      <w:r w:rsidR="002A6364">
        <w:rPr>
          <w:rFonts w:ascii="Courier New" w:hAnsi="Courier New" w:cs="Courier New"/>
          <w:sz w:val="24"/>
          <w:szCs w:val="24"/>
        </w:rPr>
        <w:t>requirement</w:t>
      </w:r>
      <w:r w:rsidR="008D682E">
        <w:rPr>
          <w:rFonts w:ascii="Courier New" w:hAnsi="Courier New" w:cs="Courier New"/>
          <w:sz w:val="24"/>
          <w:szCs w:val="24"/>
        </w:rPr>
        <w:t xml:space="preserve"> and using a debt and earnings measure for </w:t>
      </w:r>
      <w:r w:rsidR="008D682E">
        <w:rPr>
          <w:rFonts w:ascii="Courier New" w:hAnsi="Courier New" w:cs="Courier New"/>
          <w:sz w:val="24"/>
          <w:szCs w:val="24"/>
        </w:rPr>
        <w:lastRenderedPageBreak/>
        <w:t xml:space="preserve">that purpose </w:t>
      </w:r>
      <w:r w:rsidR="002A6364">
        <w:rPr>
          <w:rFonts w:ascii="Courier New" w:hAnsi="Courier New" w:cs="Courier New"/>
          <w:sz w:val="24"/>
          <w:szCs w:val="24"/>
        </w:rPr>
        <w:t>is</w:t>
      </w:r>
      <w:r w:rsidR="008D682E" w:rsidRPr="00D140AB">
        <w:rPr>
          <w:rFonts w:ascii="Courier New" w:hAnsi="Courier New" w:cs="Courier New"/>
          <w:sz w:val="24"/>
          <w:szCs w:val="24"/>
        </w:rPr>
        <w:t xml:space="preserve"> also supported by the legislative history of the statutory provisions regarding gainful employment programs.   </w:t>
      </w:r>
      <w:r w:rsidR="008D682E" w:rsidRPr="00EC5B01">
        <w:rPr>
          <w:rFonts w:ascii="Courier New" w:hAnsi="Courier New" w:cs="Courier New"/>
          <w:sz w:val="24"/>
          <w:szCs w:val="24"/>
        </w:rPr>
        <w:t xml:space="preserve">The legislative history of the statute preceding the HEA that first permitted students to obtain federally financed loans to enroll in programs that prepared them for gainful employment in recognized occupations demonstrates the conviction that the training offered by these programs should equip students to earn enough to repay their loans.  </w:t>
      </w:r>
      <w:r w:rsidR="008D682E" w:rsidRPr="00EC5B01">
        <w:rPr>
          <w:rFonts w:ascii="Courier New" w:hAnsi="Courier New" w:cs="Courier New"/>
          <w:sz w:val="24"/>
          <w:szCs w:val="24"/>
          <w:u w:val="single"/>
        </w:rPr>
        <w:t>APSCU v. Duncan</w:t>
      </w:r>
      <w:r w:rsidR="008D682E" w:rsidRPr="00EC5B01">
        <w:rPr>
          <w:rFonts w:ascii="Courier New" w:hAnsi="Courier New" w:cs="Courier New"/>
          <w:sz w:val="24"/>
          <w:szCs w:val="24"/>
        </w:rPr>
        <w:t>, 870 F.Supp.2d at 139.  Allowing these students to borrow was expected to neither unduly burden the student</w:t>
      </w:r>
      <w:r w:rsidR="008D682E">
        <w:rPr>
          <w:rFonts w:ascii="Courier New" w:hAnsi="Courier New" w:cs="Courier New"/>
          <w:sz w:val="24"/>
          <w:szCs w:val="24"/>
        </w:rPr>
        <w:t>s</w:t>
      </w:r>
      <w:r w:rsidR="008D682E" w:rsidRPr="00EC5B01">
        <w:rPr>
          <w:rFonts w:ascii="Courier New" w:hAnsi="Courier New" w:cs="Courier New"/>
          <w:sz w:val="24"/>
          <w:szCs w:val="24"/>
        </w:rPr>
        <w:t xml:space="preserve"> nor pose “a poor financial risk” to taxpayer</w:t>
      </w:r>
      <w:r w:rsidR="008D682E">
        <w:rPr>
          <w:rFonts w:ascii="Courier New" w:hAnsi="Courier New" w:cs="Courier New"/>
          <w:sz w:val="24"/>
          <w:szCs w:val="24"/>
        </w:rPr>
        <w:t>s</w:t>
      </w:r>
      <w:r w:rsidR="008D682E" w:rsidRPr="00EC5B01">
        <w:rPr>
          <w:rFonts w:ascii="Courier New" w:hAnsi="Courier New" w:cs="Courier New"/>
          <w:sz w:val="24"/>
          <w:szCs w:val="24"/>
        </w:rPr>
        <w:t xml:space="preserve">.  Specifically, the Senate Report accompanying the initial legislation (the National Vocational Student Loan Insurance Act (NVSLIA), Pub. L. 89-287) quotes extensively from testimony provided by University of Iowa professor Dr. Kenneth B. Hoyt, who testified on behalf of the American Personnel and Guidance Association.  On this point, the Senate Report sets out Dr. Hoyt’s questions and conclusions: </w:t>
      </w:r>
    </w:p>
    <w:p w14:paraId="0C355E03" w14:textId="77777777" w:rsidR="008D682E" w:rsidRDefault="008D682E" w:rsidP="00A24510">
      <w:pPr>
        <w:spacing w:after="0" w:line="240" w:lineRule="auto"/>
        <w:ind w:left="1440" w:right="720"/>
        <w:rPr>
          <w:rFonts w:ascii="Courier New" w:hAnsi="Courier New" w:cs="Courier New"/>
          <w:b/>
          <w:sz w:val="24"/>
          <w:szCs w:val="24"/>
        </w:rPr>
      </w:pPr>
      <w:r w:rsidRPr="00EC5B01">
        <w:rPr>
          <w:rFonts w:ascii="Courier New" w:hAnsi="Courier New" w:cs="Courier New"/>
          <w:sz w:val="24"/>
          <w:szCs w:val="24"/>
        </w:rPr>
        <w:t>Would these students be in a position to repay loans following their training?</w:t>
      </w:r>
      <w:r w:rsidRPr="00EC5B01">
        <w:rPr>
          <w:rFonts w:ascii="Courier New" w:hAnsi="Courier New" w:cs="Courier New"/>
          <w:b/>
          <w:sz w:val="24"/>
          <w:szCs w:val="24"/>
        </w:rPr>
        <w:t xml:space="preserve">  . . . </w:t>
      </w:r>
    </w:p>
    <w:p w14:paraId="0975A584" w14:textId="77777777" w:rsidR="00A24510" w:rsidRPr="00EC5B01" w:rsidRDefault="00A24510" w:rsidP="00A24510">
      <w:pPr>
        <w:spacing w:after="0" w:line="240" w:lineRule="auto"/>
        <w:ind w:left="1440" w:right="720"/>
        <w:rPr>
          <w:rFonts w:ascii="Courier New" w:hAnsi="Courier New" w:cs="Courier New"/>
          <w:sz w:val="24"/>
          <w:szCs w:val="24"/>
        </w:rPr>
      </w:pPr>
    </w:p>
    <w:p w14:paraId="76644080" w14:textId="77777777" w:rsidR="008D682E" w:rsidRDefault="008D682E" w:rsidP="00A24510">
      <w:pPr>
        <w:spacing w:after="0" w:line="240" w:lineRule="auto"/>
        <w:ind w:left="1440" w:right="720"/>
        <w:rPr>
          <w:rFonts w:ascii="Courier New" w:hAnsi="Courier New" w:cs="Courier New"/>
          <w:sz w:val="24"/>
          <w:szCs w:val="24"/>
        </w:rPr>
      </w:pPr>
      <w:r w:rsidRPr="00EC5B01">
        <w:rPr>
          <w:rFonts w:ascii="Courier New" w:hAnsi="Courier New" w:cs="Courier New"/>
          <w:i/>
          <w:sz w:val="24"/>
          <w:szCs w:val="24"/>
        </w:rPr>
        <w:t xml:space="preserve">If loans were made to these kinds of students, is it likely that they could repay them following training? Would loan funds pay dividends in terms of benefits accruing from the </w:t>
      </w:r>
      <w:r w:rsidRPr="00EC5B01">
        <w:rPr>
          <w:rFonts w:ascii="Courier New" w:eastAsia="HiddenHorzOCR" w:hAnsi="Courier New" w:cs="Courier New"/>
          <w:i/>
          <w:sz w:val="24"/>
          <w:szCs w:val="24"/>
        </w:rPr>
        <w:t>training stu</w:t>
      </w:r>
      <w:r w:rsidRPr="00EC5B01">
        <w:rPr>
          <w:rFonts w:ascii="Courier New" w:hAnsi="Courier New" w:cs="Courier New"/>
          <w:i/>
          <w:sz w:val="24"/>
          <w:szCs w:val="24"/>
        </w:rPr>
        <w:t>dents received?  It would seem that any discussion concerning this bill must address itself to these questions. .</w:t>
      </w:r>
      <w:r w:rsidRPr="00EC5B01">
        <w:rPr>
          <w:rFonts w:ascii="Courier New" w:hAnsi="Courier New" w:cs="Courier New"/>
          <w:sz w:val="24"/>
          <w:szCs w:val="24"/>
        </w:rPr>
        <w:t xml:space="preserve"> . . .</w:t>
      </w:r>
    </w:p>
    <w:p w14:paraId="651FA123" w14:textId="77777777" w:rsidR="00A24510" w:rsidRPr="00EC5B01" w:rsidRDefault="00A24510" w:rsidP="00A24510">
      <w:pPr>
        <w:spacing w:after="0" w:line="240" w:lineRule="auto"/>
        <w:ind w:left="1440" w:right="720"/>
        <w:rPr>
          <w:rFonts w:ascii="Courier New" w:hAnsi="Courier New" w:cs="Courier New"/>
          <w:sz w:val="24"/>
          <w:szCs w:val="24"/>
        </w:rPr>
      </w:pPr>
    </w:p>
    <w:p w14:paraId="7F0B5D2A" w14:textId="015B7EB7" w:rsidR="008D682E" w:rsidRPr="00EC5B01" w:rsidRDefault="008D682E" w:rsidP="00A24510">
      <w:pPr>
        <w:spacing w:after="0" w:line="240" w:lineRule="auto"/>
        <w:ind w:left="1440" w:right="720"/>
        <w:rPr>
          <w:rFonts w:ascii="Courier New" w:hAnsi="Courier New" w:cs="Courier New"/>
          <w:sz w:val="24"/>
          <w:szCs w:val="24"/>
        </w:rPr>
      </w:pPr>
      <w:r w:rsidRPr="00EC5B01">
        <w:rPr>
          <w:rFonts w:ascii="Courier New" w:hAnsi="Courier New" w:cs="Courier New"/>
          <w:sz w:val="24"/>
          <w:szCs w:val="24"/>
        </w:rPr>
        <w:t xml:space="preserve">We are currently completing </w:t>
      </w:r>
      <w:r w:rsidRPr="00EC5B01">
        <w:rPr>
          <w:rFonts w:ascii="Courier New" w:eastAsia="HiddenHorzOCR" w:hAnsi="Courier New" w:cs="Courier New"/>
          <w:sz w:val="24"/>
          <w:szCs w:val="24"/>
        </w:rPr>
        <w:t xml:space="preserve">a second-year followup of these </w:t>
      </w:r>
      <w:r w:rsidRPr="00EC5B01">
        <w:rPr>
          <w:rFonts w:ascii="Courier New" w:hAnsi="Courier New" w:cs="Courier New"/>
          <w:sz w:val="24"/>
          <w:szCs w:val="24"/>
        </w:rPr>
        <w:t xml:space="preserve">students and expect these </w:t>
      </w:r>
      <w:r w:rsidRPr="00EC5B01">
        <w:rPr>
          <w:rFonts w:ascii="Courier New" w:hAnsi="Courier New" w:cs="Courier New"/>
          <w:sz w:val="24"/>
          <w:szCs w:val="24"/>
        </w:rPr>
        <w:lastRenderedPageBreak/>
        <w:t xml:space="preserve">reported earnings to be even higher this year. </w:t>
      </w:r>
      <w:r w:rsidRPr="00EC5B01">
        <w:rPr>
          <w:rFonts w:ascii="Courier New" w:hAnsi="Courier New" w:cs="Courier New"/>
          <w:i/>
          <w:sz w:val="24"/>
          <w:szCs w:val="24"/>
        </w:rPr>
        <w:t>It seems evident that, in terms of this sample of students, sufficient numbers were working for sufficient wages so as to make the concept of student loans to be [repaid] following graduation a reasonable approach to take.</w:t>
      </w:r>
      <w:r w:rsidRPr="00EC5B01">
        <w:rPr>
          <w:rFonts w:ascii="Courier New" w:hAnsi="Courier New" w:cs="Courier New"/>
          <w:sz w:val="24"/>
          <w:szCs w:val="24"/>
        </w:rPr>
        <w:t xml:space="preserve"> . . . I </w:t>
      </w:r>
      <w:r w:rsidRPr="00EC5B01">
        <w:rPr>
          <w:rFonts w:ascii="Courier New" w:eastAsia="HiddenHorzOCR" w:hAnsi="Courier New" w:cs="Courier New"/>
          <w:sz w:val="24"/>
          <w:szCs w:val="24"/>
        </w:rPr>
        <w:t xml:space="preserve">have </w:t>
      </w:r>
      <w:r w:rsidRPr="00EC5B01">
        <w:rPr>
          <w:rFonts w:ascii="Courier New" w:hAnsi="Courier New" w:cs="Courier New"/>
          <w:sz w:val="24"/>
          <w:szCs w:val="24"/>
        </w:rPr>
        <w:t xml:space="preserve">found no reason to </w:t>
      </w:r>
      <w:r w:rsidRPr="00EC5B01">
        <w:rPr>
          <w:rFonts w:ascii="Courier New" w:eastAsia="HiddenHorzOCR" w:hAnsi="Courier New" w:cs="Courier New"/>
          <w:sz w:val="24"/>
          <w:szCs w:val="24"/>
        </w:rPr>
        <w:t xml:space="preserve">believe </w:t>
      </w:r>
      <w:r w:rsidRPr="00EC5B01">
        <w:rPr>
          <w:rFonts w:ascii="Courier New" w:hAnsi="Courier New" w:cs="Courier New"/>
          <w:sz w:val="24"/>
          <w:szCs w:val="24"/>
        </w:rPr>
        <w:t xml:space="preserve">that such funds are not needed, </w:t>
      </w:r>
      <w:r w:rsidRPr="00EC5B01">
        <w:rPr>
          <w:rFonts w:ascii="Courier New" w:hAnsi="Courier New" w:cs="Courier New"/>
          <w:i/>
          <w:sz w:val="24"/>
          <w:szCs w:val="24"/>
        </w:rPr>
        <w:t>that t</w:t>
      </w:r>
      <w:r w:rsidRPr="00EC5B01">
        <w:rPr>
          <w:rFonts w:ascii="Courier New" w:eastAsia="HiddenHorzOCR" w:hAnsi="Courier New" w:cs="Courier New"/>
          <w:i/>
          <w:sz w:val="24"/>
          <w:szCs w:val="24"/>
        </w:rPr>
        <w:t xml:space="preserve">heir </w:t>
      </w:r>
      <w:r w:rsidRPr="00EC5B01">
        <w:rPr>
          <w:rFonts w:ascii="Courier New" w:hAnsi="Courier New" w:cs="Courier New"/>
          <w:i/>
          <w:sz w:val="24"/>
          <w:szCs w:val="24"/>
        </w:rPr>
        <w:t xml:space="preserve">availability would be unjustified </w:t>
      </w:r>
      <w:r w:rsidRPr="00EC5B01">
        <w:rPr>
          <w:rFonts w:ascii="Courier New" w:eastAsia="HiddenHorzOCR" w:hAnsi="Courier New" w:cs="Courier New"/>
          <w:i/>
          <w:sz w:val="24"/>
          <w:szCs w:val="24"/>
        </w:rPr>
        <w:t xml:space="preserve">in </w:t>
      </w:r>
      <w:r w:rsidRPr="00EC5B01">
        <w:rPr>
          <w:rFonts w:ascii="Courier New" w:hAnsi="Courier New" w:cs="Courier New"/>
          <w:i/>
          <w:sz w:val="24"/>
          <w:szCs w:val="24"/>
        </w:rPr>
        <w:t>terms of benefits accruing to both these students and to society in general, nor that they would represent a poor financial risk.</w:t>
      </w:r>
      <w:r w:rsidRPr="00EC5B01">
        <w:rPr>
          <w:rFonts w:ascii="Courier New" w:hAnsi="Courier New" w:cs="Courier New"/>
          <w:sz w:val="24"/>
          <w:szCs w:val="24"/>
        </w:rPr>
        <w:t xml:space="preserve"> </w:t>
      </w:r>
    </w:p>
    <w:p w14:paraId="22926454" w14:textId="77777777" w:rsidR="00A24510" w:rsidRDefault="00A24510" w:rsidP="00A24510">
      <w:pPr>
        <w:spacing w:after="0" w:line="480" w:lineRule="auto"/>
        <w:ind w:left="1440"/>
        <w:rPr>
          <w:rFonts w:ascii="Courier New" w:hAnsi="Courier New" w:cs="Courier New"/>
          <w:sz w:val="24"/>
          <w:szCs w:val="24"/>
        </w:rPr>
      </w:pPr>
    </w:p>
    <w:p w14:paraId="72021F66" w14:textId="03532127" w:rsidR="008D682E" w:rsidRPr="00EC5B01" w:rsidRDefault="008D682E" w:rsidP="004D408A">
      <w:pPr>
        <w:spacing w:after="0" w:line="480" w:lineRule="auto"/>
        <w:rPr>
          <w:rFonts w:ascii="Courier New" w:hAnsi="Courier New" w:cs="Courier New"/>
          <w:sz w:val="24"/>
          <w:szCs w:val="24"/>
        </w:rPr>
      </w:pPr>
      <w:r w:rsidRPr="00EC5B01">
        <w:rPr>
          <w:rFonts w:ascii="Courier New" w:hAnsi="Courier New" w:cs="Courier New"/>
          <w:sz w:val="24"/>
          <w:szCs w:val="24"/>
        </w:rPr>
        <w:t>Sen. Rep. No. 758 (1965) at 3745, 3748-49 (emphasis added).</w:t>
      </w:r>
    </w:p>
    <w:p w14:paraId="567B71BB" w14:textId="5188996A" w:rsidR="008D682E" w:rsidRPr="00EC5B01"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8D682E" w:rsidRPr="00EC5B01">
        <w:rPr>
          <w:rFonts w:ascii="Courier New" w:hAnsi="Courier New" w:cs="Courier New"/>
          <w:sz w:val="24"/>
          <w:szCs w:val="24"/>
        </w:rPr>
        <w:t>Notably, both debt burden to the borrower and financial risk to taxpayer</w:t>
      </w:r>
      <w:r w:rsidR="008D682E">
        <w:rPr>
          <w:rFonts w:ascii="Courier New" w:hAnsi="Courier New" w:cs="Courier New"/>
          <w:sz w:val="24"/>
          <w:szCs w:val="24"/>
        </w:rPr>
        <w:t>s and the Government</w:t>
      </w:r>
      <w:r w:rsidR="008D682E" w:rsidRPr="00EC5B01">
        <w:rPr>
          <w:rFonts w:ascii="Courier New" w:hAnsi="Courier New" w:cs="Courier New"/>
          <w:sz w:val="24"/>
          <w:szCs w:val="24"/>
        </w:rPr>
        <w:t xml:space="preserve"> were clearly considered in authorizing federally backed student lending.  Under the loan insurance program enacted in the NVSLIA, the specific potential loss to taxpayer</w:t>
      </w:r>
      <w:r w:rsidR="008D682E">
        <w:rPr>
          <w:rFonts w:ascii="Courier New" w:hAnsi="Courier New" w:cs="Courier New"/>
          <w:sz w:val="24"/>
          <w:szCs w:val="24"/>
        </w:rPr>
        <w:t>s</w:t>
      </w:r>
      <w:r w:rsidR="008D682E" w:rsidRPr="00EC5B01">
        <w:rPr>
          <w:rFonts w:ascii="Courier New" w:hAnsi="Courier New" w:cs="Courier New"/>
          <w:sz w:val="24"/>
          <w:szCs w:val="24"/>
        </w:rPr>
        <w:t xml:space="preserve"> of concern was the need to pay default claims to banks and other lenders if the borrowers defaulted on the loans.  After its passage, the NVSLIA was merged into the HEA, which in title IV, part B, has both a direct Federal loan insurance component and a Federal reinsurance component</w:t>
      </w:r>
      <w:r w:rsidR="003A5B52">
        <w:rPr>
          <w:rFonts w:ascii="Courier New" w:hAnsi="Courier New" w:cs="Courier New"/>
          <w:sz w:val="24"/>
          <w:szCs w:val="24"/>
        </w:rPr>
        <w:t xml:space="preserve"> that require</w:t>
      </w:r>
      <w:r w:rsidR="008D682E" w:rsidRPr="00EC5B01">
        <w:rPr>
          <w:rFonts w:ascii="Courier New" w:hAnsi="Courier New" w:cs="Courier New"/>
          <w:sz w:val="24"/>
          <w:szCs w:val="24"/>
        </w:rPr>
        <w:t xml:space="preserve"> the Federal </w:t>
      </w:r>
      <w:r w:rsidR="008D682E">
        <w:rPr>
          <w:rFonts w:ascii="Courier New" w:hAnsi="Courier New" w:cs="Courier New"/>
          <w:sz w:val="24"/>
          <w:szCs w:val="24"/>
        </w:rPr>
        <w:t>G</w:t>
      </w:r>
      <w:r w:rsidR="008D682E" w:rsidRPr="00EC5B01">
        <w:rPr>
          <w:rFonts w:ascii="Courier New" w:hAnsi="Courier New" w:cs="Courier New"/>
          <w:sz w:val="24"/>
          <w:szCs w:val="24"/>
        </w:rPr>
        <w:t xml:space="preserve">overnment </w:t>
      </w:r>
      <w:r w:rsidR="003A5B52">
        <w:rPr>
          <w:rFonts w:ascii="Courier New" w:hAnsi="Courier New" w:cs="Courier New"/>
          <w:sz w:val="24"/>
          <w:szCs w:val="24"/>
        </w:rPr>
        <w:t xml:space="preserve">to </w:t>
      </w:r>
      <w:r w:rsidR="008D682E" w:rsidRPr="00EC5B01">
        <w:rPr>
          <w:rFonts w:ascii="Courier New" w:hAnsi="Courier New" w:cs="Courier New"/>
          <w:sz w:val="24"/>
          <w:szCs w:val="24"/>
        </w:rPr>
        <w:t>reimburse State and private non-profit loan guaranty agencies upon their payment of default claims.  20 U.S.C. 1071(a)(1).  Under either HEA component, taxpayer</w:t>
      </w:r>
      <w:r w:rsidR="008D682E">
        <w:rPr>
          <w:rFonts w:ascii="Courier New" w:hAnsi="Courier New" w:cs="Courier New"/>
          <w:sz w:val="24"/>
          <w:szCs w:val="24"/>
        </w:rPr>
        <w:t>s</w:t>
      </w:r>
      <w:r w:rsidR="008D682E" w:rsidRPr="00EC5B01">
        <w:rPr>
          <w:rFonts w:ascii="Courier New" w:hAnsi="Courier New" w:cs="Courier New"/>
          <w:sz w:val="24"/>
          <w:szCs w:val="24"/>
        </w:rPr>
        <w:t xml:space="preserve"> </w:t>
      </w:r>
      <w:r w:rsidR="008D682E">
        <w:rPr>
          <w:rFonts w:ascii="Courier New" w:hAnsi="Courier New" w:cs="Courier New"/>
          <w:sz w:val="24"/>
          <w:szCs w:val="24"/>
        </w:rPr>
        <w:t xml:space="preserve">and the Government </w:t>
      </w:r>
      <w:r w:rsidR="008D682E" w:rsidRPr="00EC5B01">
        <w:rPr>
          <w:rFonts w:ascii="Courier New" w:hAnsi="Courier New" w:cs="Courier New"/>
          <w:sz w:val="24"/>
          <w:szCs w:val="24"/>
        </w:rPr>
        <w:t xml:space="preserve">assume the direct financial risk of default.  20 U.S.C. 1078(c) (Federal reinsurance for default claim payments), 20 U.S.C. 1080 (Federal insurance for default claims).  </w:t>
      </w:r>
      <w:r w:rsidR="008D682E">
        <w:rPr>
          <w:rFonts w:ascii="Courier New" w:hAnsi="Courier New" w:cs="Courier New"/>
          <w:sz w:val="24"/>
          <w:szCs w:val="24"/>
        </w:rPr>
        <w:t xml:space="preserve">We therefore disagree that the legislative history </w:t>
      </w:r>
      <w:r w:rsidR="008D682E">
        <w:rPr>
          <w:rFonts w:ascii="Courier New" w:hAnsi="Courier New" w:cs="Courier New"/>
          <w:sz w:val="24"/>
          <w:szCs w:val="24"/>
        </w:rPr>
        <w:lastRenderedPageBreak/>
        <w:t>does not support the Department’s action here nor do we see any basis, and commenters have provided none, for us to question that history or the information Congress relied upon in enacting the statutory provisions.</w:t>
      </w:r>
    </w:p>
    <w:p w14:paraId="1633BDC2" w14:textId="2F07BF80"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 xml:space="preserve">     </w:t>
      </w:r>
      <w:r w:rsidR="002B2D21">
        <w:rPr>
          <w:rFonts w:ascii="Courier New" w:hAnsi="Courier New" w:cs="Courier New"/>
          <w:sz w:val="24"/>
          <w:szCs w:val="24"/>
        </w:rPr>
        <w:t>We a</w:t>
      </w:r>
      <w:r w:rsidR="003C24E5">
        <w:rPr>
          <w:rFonts w:ascii="Courier New" w:hAnsi="Courier New" w:cs="Courier New"/>
          <w:sz w:val="24"/>
          <w:szCs w:val="24"/>
        </w:rPr>
        <w:t>ppreciate that Congress may hav</w:t>
      </w:r>
      <w:r w:rsidR="002B2D21">
        <w:rPr>
          <w:rFonts w:ascii="Courier New" w:hAnsi="Courier New" w:cs="Courier New"/>
          <w:sz w:val="24"/>
          <w:szCs w:val="24"/>
        </w:rPr>
        <w:t>e a strong interest in addressing the issues addressed by these regulations in the reauthorization of the HEA or other legislation and we look forward to working with Congress on its legislative proposals.</w:t>
      </w:r>
      <w:r w:rsidR="00D80BD3">
        <w:rPr>
          <w:rFonts w:ascii="Courier New" w:hAnsi="Courier New" w:cs="Courier New"/>
          <w:sz w:val="24"/>
          <w:szCs w:val="24"/>
        </w:rPr>
        <w:t xml:space="preserve">  However, w</w:t>
      </w:r>
      <w:r w:rsidR="00D80BD3" w:rsidRPr="00D140AB">
        <w:rPr>
          <w:rFonts w:ascii="Courier New" w:hAnsi="Courier New" w:cs="Courier New"/>
          <w:sz w:val="24"/>
          <w:szCs w:val="24"/>
        </w:rPr>
        <w:t xml:space="preserve">e </w:t>
      </w:r>
      <w:r w:rsidR="002C29C5">
        <w:rPr>
          <w:rFonts w:ascii="Courier New" w:hAnsi="Courier New" w:cs="Courier New"/>
          <w:sz w:val="24"/>
          <w:szCs w:val="24"/>
        </w:rPr>
        <w:t>do not agree</w:t>
      </w:r>
      <w:r w:rsidR="00D80BD3" w:rsidRPr="00D140AB">
        <w:rPr>
          <w:rFonts w:ascii="Courier New" w:hAnsi="Courier New" w:cs="Courier New"/>
          <w:sz w:val="24"/>
          <w:szCs w:val="24"/>
        </w:rPr>
        <w:t xml:space="preserve"> that </w:t>
      </w:r>
      <w:r w:rsidR="009436A7">
        <w:rPr>
          <w:rFonts w:ascii="Courier New" w:hAnsi="Courier New" w:cs="Courier New"/>
          <w:sz w:val="24"/>
          <w:szCs w:val="24"/>
        </w:rPr>
        <w:t xml:space="preserve">the Department should </w:t>
      </w:r>
      <w:r w:rsidR="00E84945">
        <w:rPr>
          <w:rFonts w:ascii="Courier New" w:hAnsi="Courier New" w:cs="Courier New"/>
          <w:sz w:val="24"/>
          <w:szCs w:val="24"/>
        </w:rPr>
        <w:t xml:space="preserve">not </w:t>
      </w:r>
      <w:r w:rsidR="002C29C5">
        <w:rPr>
          <w:rFonts w:ascii="Courier New" w:hAnsi="Courier New" w:cs="Courier New"/>
          <w:sz w:val="24"/>
          <w:szCs w:val="24"/>
        </w:rPr>
        <w:t>take, or should defer,</w:t>
      </w:r>
      <w:r w:rsidR="009436A7">
        <w:rPr>
          <w:rFonts w:ascii="Courier New" w:hAnsi="Courier New" w:cs="Courier New"/>
          <w:sz w:val="24"/>
          <w:szCs w:val="24"/>
        </w:rPr>
        <w:t xml:space="preserve"> </w:t>
      </w:r>
      <w:r w:rsidR="002C29C5">
        <w:rPr>
          <w:rFonts w:ascii="Courier New" w:hAnsi="Courier New" w:cs="Courier New"/>
          <w:sz w:val="24"/>
          <w:szCs w:val="24"/>
        </w:rPr>
        <w:t>r</w:t>
      </w:r>
      <w:r w:rsidR="009436A7">
        <w:rPr>
          <w:rFonts w:ascii="Courier New" w:hAnsi="Courier New" w:cs="Courier New"/>
          <w:sz w:val="24"/>
          <w:szCs w:val="24"/>
        </w:rPr>
        <w:t>egulat</w:t>
      </w:r>
      <w:r w:rsidR="002C29C5">
        <w:rPr>
          <w:rFonts w:ascii="Courier New" w:hAnsi="Courier New" w:cs="Courier New"/>
          <w:sz w:val="24"/>
          <w:szCs w:val="24"/>
        </w:rPr>
        <w:t>ory action</w:t>
      </w:r>
      <w:r w:rsidR="009436A7">
        <w:rPr>
          <w:rFonts w:ascii="Courier New" w:hAnsi="Courier New" w:cs="Courier New"/>
          <w:sz w:val="24"/>
          <w:szCs w:val="24"/>
        </w:rPr>
        <w:t xml:space="preserve"> on this basis </w:t>
      </w:r>
      <w:r w:rsidR="00D80BD3" w:rsidRPr="00D140AB">
        <w:rPr>
          <w:rFonts w:ascii="Courier New" w:hAnsi="Courier New" w:cs="Courier New"/>
          <w:sz w:val="24"/>
          <w:szCs w:val="24"/>
        </w:rPr>
        <w:t xml:space="preserve">until Congress reauthorizes the HEA or takes other action.  </w:t>
      </w:r>
      <w:r w:rsidR="009436A7">
        <w:rPr>
          <w:rFonts w:ascii="Courier New" w:hAnsi="Courier New" w:cs="Courier New"/>
          <w:sz w:val="24"/>
          <w:szCs w:val="24"/>
        </w:rPr>
        <w:t>I</w:t>
      </w:r>
      <w:r w:rsidRPr="00D140AB">
        <w:rPr>
          <w:rFonts w:ascii="Courier New" w:hAnsi="Courier New" w:cs="Courier New"/>
          <w:sz w:val="24"/>
          <w:szCs w:val="24"/>
        </w:rPr>
        <w:t>n light of the numerous concerns about the poor outcomes of students attending many GE programs, and the risk that poses to the Federal interest, the Department</w:t>
      </w:r>
      <w:r w:rsidR="002B2D21">
        <w:rPr>
          <w:rFonts w:ascii="Courier New" w:hAnsi="Courier New" w:cs="Courier New"/>
          <w:sz w:val="24"/>
          <w:szCs w:val="24"/>
        </w:rPr>
        <w:t xml:space="preserve"> </w:t>
      </w:r>
      <w:r w:rsidRPr="00D140AB">
        <w:rPr>
          <w:rFonts w:ascii="Courier New" w:hAnsi="Courier New" w:cs="Courier New"/>
          <w:sz w:val="24"/>
          <w:szCs w:val="24"/>
        </w:rPr>
        <w:t xml:space="preserve">must </w:t>
      </w:r>
      <w:r w:rsidR="0062270B">
        <w:rPr>
          <w:rFonts w:ascii="Courier New" w:hAnsi="Courier New" w:cs="Courier New"/>
          <w:sz w:val="24"/>
          <w:szCs w:val="24"/>
        </w:rPr>
        <w:t>proceed</w:t>
      </w:r>
      <w:r w:rsidR="0062270B" w:rsidRPr="00D140AB">
        <w:rPr>
          <w:rFonts w:ascii="Courier New" w:hAnsi="Courier New" w:cs="Courier New"/>
          <w:sz w:val="24"/>
          <w:szCs w:val="24"/>
        </w:rPr>
        <w:t xml:space="preserve"> </w:t>
      </w:r>
      <w:r w:rsidRPr="00D140AB">
        <w:rPr>
          <w:rFonts w:ascii="Courier New" w:hAnsi="Courier New" w:cs="Courier New"/>
          <w:sz w:val="24"/>
          <w:szCs w:val="24"/>
        </w:rPr>
        <w:t>now in accordance with its statutory authority</w:t>
      </w:r>
      <w:r w:rsidR="002B2D21">
        <w:rPr>
          <w:rFonts w:ascii="Courier New" w:hAnsi="Courier New" w:cs="Courier New"/>
          <w:sz w:val="24"/>
          <w:szCs w:val="24"/>
        </w:rPr>
        <w:t>, as delegated by Congress,</w:t>
      </w:r>
      <w:r w:rsidRPr="00D140AB">
        <w:rPr>
          <w:rFonts w:ascii="Courier New" w:hAnsi="Courier New" w:cs="Courier New"/>
          <w:sz w:val="24"/>
          <w:szCs w:val="24"/>
        </w:rPr>
        <w:t xml:space="preserve"> to protect </w:t>
      </w:r>
      <w:r w:rsidR="0062270B">
        <w:rPr>
          <w:rFonts w:ascii="Courier New" w:hAnsi="Courier New" w:cs="Courier New"/>
          <w:sz w:val="24"/>
          <w:szCs w:val="24"/>
        </w:rPr>
        <w:t>students and taxpayers</w:t>
      </w:r>
      <w:r w:rsidRPr="00D140AB">
        <w:rPr>
          <w:rFonts w:ascii="Courier New" w:hAnsi="Courier New" w:cs="Courier New"/>
          <w:sz w:val="24"/>
          <w:szCs w:val="24"/>
        </w:rPr>
        <w:t xml:space="preserve">.  </w:t>
      </w:r>
    </w:p>
    <w:p w14:paraId="4269AF5C"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05448251" w14:textId="77777777" w:rsidR="00E8246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Some commenters suggested that the phrase “to prepare students for gainful employment” is unambiguous and therefore not subject to further interpretation.  Commenters stated that the Department's interpretation of the phrase is incorrect because it is contrary to the ordinary meaning of the phrase “gainful employment,” to congressional intent, and to the rules of statutory construction.  These commenters asserted that the </w:t>
      </w:r>
      <w:r w:rsidRPr="00D140AB">
        <w:rPr>
          <w:rFonts w:ascii="Courier New" w:hAnsi="Courier New" w:cs="Courier New"/>
          <w:sz w:val="24"/>
          <w:szCs w:val="24"/>
        </w:rPr>
        <w:lastRenderedPageBreak/>
        <w:t xml:space="preserve">dictionary definition of the phrase does not comport with the Department’s proposed definition or the definition of the term “gainful employment” in other provisions of the HEA.  Commenters also stated that Congress has not made any changes to the HEA triggering a requirement by the Secretary to define the term “gainful employment” and claimed that the term cannot now be defined since Congress left it undisturbed during its periodic reauthorizations of the HEA.  </w:t>
      </w:r>
    </w:p>
    <w:p w14:paraId="3DE9606D" w14:textId="5755F04A" w:rsidR="00515793" w:rsidRPr="004D408A" w:rsidRDefault="00E8246B" w:rsidP="004D408A">
      <w:pPr>
        <w:spacing w:after="0" w:line="480" w:lineRule="auto"/>
        <w:rPr>
          <w:rFonts w:ascii="Courier New" w:hAnsi="Courier New" w:cs="Courier New"/>
          <w:sz w:val="24"/>
        </w:rPr>
      </w:pPr>
      <w:r w:rsidRPr="004D408A">
        <w:rPr>
          <w:rFonts w:ascii="Courier New" w:hAnsi="Courier New" w:cs="Courier New"/>
          <w:sz w:val="24"/>
          <w:szCs w:val="24"/>
        </w:rPr>
        <w:t xml:space="preserve">     </w:t>
      </w:r>
      <w:r w:rsidR="001D71D1" w:rsidRPr="004D408A">
        <w:rPr>
          <w:rFonts w:ascii="Courier New" w:hAnsi="Courier New" w:cs="Courier New"/>
          <w:sz w:val="24"/>
          <w:szCs w:val="24"/>
        </w:rPr>
        <w:t xml:space="preserve">Some commenters expressed the view that the framework of detailed program requirements under title IV of the HEA, including institutional cohort default rates, institutional disclosure requirements, restrictions on student loan borrowing, and other financial aid requirements, prevents the Department from adopting debt measures to determine whether a gainful employment program is eligible to receive title IV, HEA program funds.  </w:t>
      </w:r>
      <w:r w:rsidR="00515793" w:rsidRPr="004D408A">
        <w:rPr>
          <w:rFonts w:ascii="Courier New" w:hAnsi="Courier New" w:cs="Courier New"/>
          <w:sz w:val="24"/>
        </w:rPr>
        <w:t xml:space="preserve"> </w:t>
      </w:r>
    </w:p>
    <w:p w14:paraId="4269AF5E" w14:textId="574A7022"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 xml:space="preserve">     </w:t>
      </w:r>
      <w:r w:rsidR="00565850">
        <w:rPr>
          <w:rFonts w:ascii="Courier New" w:hAnsi="Courier New" w:cs="Courier New"/>
          <w:sz w:val="24"/>
          <w:szCs w:val="24"/>
        </w:rPr>
        <w:t>One</w:t>
      </w:r>
      <w:r w:rsidR="00565850" w:rsidRPr="00D140AB">
        <w:rPr>
          <w:rFonts w:ascii="Courier New" w:hAnsi="Courier New" w:cs="Courier New"/>
          <w:sz w:val="24"/>
          <w:szCs w:val="24"/>
        </w:rPr>
        <w:t xml:space="preserve"> </w:t>
      </w:r>
      <w:r w:rsidRPr="00D140AB">
        <w:rPr>
          <w:rFonts w:ascii="Courier New" w:hAnsi="Courier New" w:cs="Courier New"/>
          <w:sz w:val="24"/>
          <w:szCs w:val="24"/>
        </w:rPr>
        <w:t>commenter claimed that the Department has previously defined the phrase “gainful employment in a recognized occupation” in the context of conducting administrative hearings and argued that the Department did not adequately explain in the NPRM why it was departing from its prior use of the term.</w:t>
      </w:r>
    </w:p>
    <w:p w14:paraId="4269AF5F" w14:textId="2B058830" w:rsidR="001D71D1" w:rsidRPr="00D140AB" w:rsidRDefault="001D71D1" w:rsidP="004D40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Courier New" w:hAnsi="Courier New" w:cs="Courier New"/>
          <w:color w:val="000000"/>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As the </w:t>
      </w:r>
      <w:r w:rsidR="0055628F">
        <w:rPr>
          <w:rFonts w:ascii="Courier New" w:hAnsi="Courier New" w:cs="Courier New"/>
          <w:sz w:val="24"/>
          <w:szCs w:val="24"/>
        </w:rPr>
        <w:t>c</w:t>
      </w:r>
      <w:r w:rsidRPr="00D140AB">
        <w:rPr>
          <w:rFonts w:ascii="Courier New" w:hAnsi="Courier New" w:cs="Courier New"/>
          <w:sz w:val="24"/>
          <w:szCs w:val="24"/>
        </w:rPr>
        <w:t xml:space="preserve">ourt found in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w:t>
      </w:r>
      <w:r w:rsidRPr="00D140AB">
        <w:rPr>
          <w:rFonts w:ascii="Courier New" w:hAnsi="Courier New" w:cs="Courier New"/>
          <w:color w:val="000000"/>
          <w:sz w:val="24"/>
          <w:szCs w:val="24"/>
        </w:rPr>
        <w:t xml:space="preserve">Congress has not spoken </w:t>
      </w:r>
      <w:r w:rsidR="00913658">
        <w:rPr>
          <w:rFonts w:ascii="Courier New" w:hAnsi="Courier New" w:cs="Courier New"/>
          <w:color w:val="000000"/>
          <w:sz w:val="24"/>
          <w:szCs w:val="24"/>
        </w:rPr>
        <w:t xml:space="preserve">through legislative action </w:t>
      </w:r>
      <w:r w:rsidRPr="00D140AB">
        <w:rPr>
          <w:rFonts w:ascii="Courier New" w:hAnsi="Courier New" w:cs="Courier New"/>
          <w:color w:val="000000"/>
          <w:sz w:val="24"/>
          <w:szCs w:val="24"/>
        </w:rPr>
        <w:t xml:space="preserve">to the precise question at issue here:  whether the statutory requirement that programs </w:t>
      </w:r>
      <w:r w:rsidRPr="00D140AB">
        <w:rPr>
          <w:rFonts w:ascii="Courier New" w:hAnsi="Courier New" w:cs="Courier New"/>
          <w:color w:val="000000"/>
          <w:sz w:val="24"/>
          <w:szCs w:val="24"/>
        </w:rPr>
        <w:lastRenderedPageBreak/>
        <w:t xml:space="preserve">providing vocational training “prepare students for gainful employment in a recognized occupation” may be measured by reference to students’ ability to repay their loans.  Congress did not provide a definition for the phrase “gainful employment” or “gainful employment in a recognized occupation” in either the statute or its legislative history.  Thus, the phrase is ambiguous and Congress left further definition of the phrase to the Department.  </w:t>
      </w:r>
    </w:p>
    <w:p w14:paraId="4269AF60" w14:textId="698BFB75" w:rsidR="001D71D1" w:rsidRPr="00D140AB" w:rsidRDefault="001D71D1" w:rsidP="004D40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rPr>
        <w:t xml:space="preserve">     There also is no common meaning of the phrase, contrary to the assertion of the commenters.  The commenters’ argument that “gainful employment” has one meaning in all circumstances--“a job that pays”--is belied by other dictionaries that define “gainful” as “profitable.”  </w:t>
      </w:r>
      <w:r w:rsidRPr="00D140AB">
        <w:rPr>
          <w:rFonts w:ascii="Courier New" w:hAnsi="Courier New" w:cs="Courier New"/>
          <w:iCs/>
          <w:color w:val="000000"/>
          <w:sz w:val="24"/>
          <w:szCs w:val="24"/>
          <w:u w:val="single"/>
        </w:rPr>
        <w:t>See</w:t>
      </w:r>
      <w:r w:rsidRPr="00D140AB">
        <w:rPr>
          <w:rFonts w:ascii="Courier New" w:hAnsi="Courier New" w:cs="Courier New"/>
          <w:iCs/>
          <w:color w:val="000000"/>
          <w:sz w:val="24"/>
          <w:szCs w:val="24"/>
        </w:rPr>
        <w:t xml:space="preserve">, </w:t>
      </w:r>
      <w:r w:rsidRPr="00D140AB">
        <w:rPr>
          <w:rFonts w:ascii="Courier New" w:hAnsi="Courier New" w:cs="Courier New"/>
          <w:iCs/>
          <w:color w:val="000000"/>
          <w:sz w:val="24"/>
          <w:szCs w:val="24"/>
          <w:u w:val="single"/>
        </w:rPr>
        <w:t>e.g.</w:t>
      </w:r>
      <w:r w:rsidRPr="00D140AB">
        <w:rPr>
          <w:rFonts w:ascii="Courier New" w:hAnsi="Courier New" w:cs="Courier New"/>
          <w:color w:val="000000"/>
          <w:sz w:val="24"/>
          <w:szCs w:val="24"/>
        </w:rPr>
        <w:t xml:space="preserve">, Webster’s New Collegiate Dictionary 469 (1975).  “Profitable” means the excess of returns over expenditures, or having something left over after one’s expenses are paid.  </w:t>
      </w:r>
      <w:r w:rsidRPr="00D140AB">
        <w:rPr>
          <w:rFonts w:ascii="Courier New" w:hAnsi="Courier New" w:cs="Courier New"/>
          <w:iCs/>
          <w:color w:val="000000"/>
          <w:sz w:val="24"/>
          <w:szCs w:val="24"/>
          <w:u w:val="single"/>
        </w:rPr>
        <w:t>Id</w:t>
      </w:r>
      <w:r w:rsidRPr="00D140AB">
        <w:rPr>
          <w:rFonts w:ascii="Courier New" w:hAnsi="Courier New" w:cs="Courier New"/>
          <w:color w:val="000000"/>
          <w:sz w:val="24"/>
          <w:szCs w:val="24"/>
        </w:rPr>
        <w:t xml:space="preserve">. </w:t>
      </w:r>
      <w:r w:rsidR="0055628F">
        <w:rPr>
          <w:rFonts w:ascii="Courier New" w:hAnsi="Courier New" w:cs="Courier New"/>
          <w:color w:val="000000"/>
          <w:sz w:val="24"/>
          <w:szCs w:val="24"/>
        </w:rPr>
        <w:t xml:space="preserve">at </w:t>
      </w:r>
      <w:r w:rsidRPr="00D140AB">
        <w:rPr>
          <w:rFonts w:ascii="Courier New" w:hAnsi="Courier New" w:cs="Courier New"/>
          <w:color w:val="000000"/>
          <w:sz w:val="24"/>
          <w:szCs w:val="24"/>
        </w:rPr>
        <w:t xml:space="preserve">919.  This definition supports the idea embodied in the regulations that “gainful employment in a recognized occupation” is not just any job that pays a nominal amount but a job that pays enough to cover one’s major expenses, including student loans.  </w:t>
      </w:r>
    </w:p>
    <w:p w14:paraId="6F9A9C21" w14:textId="58960FB2" w:rsidR="007E12DA" w:rsidRDefault="001D71D1" w:rsidP="004D408A">
      <w:pPr>
        <w:spacing w:after="0" w:line="480" w:lineRule="auto"/>
        <w:contextualSpacing/>
        <w:rPr>
          <w:rFonts w:ascii="Courier New" w:hAnsi="Courier New" w:cs="Courier New"/>
          <w:color w:val="000000"/>
          <w:sz w:val="24"/>
          <w:szCs w:val="24"/>
        </w:rPr>
      </w:pPr>
      <w:r w:rsidRPr="00D140AB">
        <w:rPr>
          <w:rFonts w:ascii="Courier New" w:hAnsi="Courier New" w:cs="Courier New"/>
          <w:color w:val="000000"/>
          <w:sz w:val="24"/>
          <w:szCs w:val="24"/>
        </w:rPr>
        <w:t xml:space="preserve">     Nor is there a common definition of the phrase in the HEA.  Although Congress used the words “gainful employment” in other provisions of the HEA, the operative phrase for the purpose of these regulations is “gainful employment in a recognized </w:t>
      </w:r>
      <w:r w:rsidRPr="00D140AB">
        <w:rPr>
          <w:rFonts w:ascii="Courier New" w:hAnsi="Courier New" w:cs="Courier New"/>
          <w:color w:val="000000"/>
          <w:sz w:val="24"/>
          <w:szCs w:val="24"/>
        </w:rPr>
        <w:lastRenderedPageBreak/>
        <w:t xml:space="preserve">occupation.”  The modifying words “in a recognized occupation” qualify the type of job for which students must be prepared.  “A recognized occupation” suggests an established occupation, not just any job that pays.  In addition, the phrase “gainful employment” means different things based on its context in the statute.  For example, the requirement that a recipient of a graduate fellowship not be “engaged in gainful employment, other than part-time employment related to teaching, research, or a similar activity” (20 U.S.C. 1036(e)(1)(B)(ii)) has a different meaning than the requirement that vocationally oriented programs “prepare students for gainful employment in a recognized occupation,” just as both requirements necessarily have a different meaning than a statutory requirement that a program for students with disabilities focus on skills that lead to “gainful employment”  </w:t>
      </w:r>
      <w:r w:rsidR="00F866F6">
        <w:rPr>
          <w:rFonts w:ascii="Courier New" w:hAnsi="Courier New" w:cs="Courier New"/>
          <w:color w:val="000000"/>
          <w:sz w:val="24"/>
          <w:szCs w:val="24"/>
        </w:rPr>
        <w:t xml:space="preserve">(20 U.S.C. </w:t>
      </w:r>
      <w:r w:rsidRPr="00D140AB">
        <w:rPr>
          <w:rFonts w:ascii="Courier New" w:hAnsi="Courier New" w:cs="Courier New"/>
          <w:color w:val="000000"/>
          <w:sz w:val="24"/>
          <w:szCs w:val="24"/>
        </w:rPr>
        <w:t>1140g(d)(3)(D)</w:t>
      </w:r>
      <w:r w:rsidR="00866401">
        <w:rPr>
          <w:rFonts w:ascii="Courier New" w:hAnsi="Courier New" w:cs="Courier New"/>
          <w:color w:val="000000"/>
          <w:sz w:val="24"/>
          <w:szCs w:val="24"/>
        </w:rPr>
        <w:t>)</w:t>
      </w:r>
      <w:r w:rsidRPr="00D140AB">
        <w:rPr>
          <w:rFonts w:ascii="Courier New" w:hAnsi="Courier New" w:cs="Courier New"/>
          <w:color w:val="000000"/>
          <w:sz w:val="24"/>
          <w:szCs w:val="24"/>
        </w:rPr>
        <w:t xml:space="preserve">.  </w:t>
      </w:r>
    </w:p>
    <w:p w14:paraId="4269AF61" w14:textId="5192D477" w:rsidR="001D71D1" w:rsidRPr="007E12DA" w:rsidRDefault="004D408A" w:rsidP="004D408A">
      <w:pPr>
        <w:spacing w:after="0" w:line="480" w:lineRule="auto"/>
        <w:contextualSpacing/>
        <w:rPr>
          <w:rFonts w:ascii="Courier New" w:hAnsi="Courier New" w:cs="Courier New"/>
          <w:sz w:val="24"/>
          <w:szCs w:val="24"/>
        </w:rPr>
      </w:pPr>
      <w:r>
        <w:rPr>
          <w:rFonts w:ascii="Courier New" w:hAnsi="Courier New" w:cs="Courier New"/>
          <w:sz w:val="24"/>
          <w:szCs w:val="24"/>
        </w:rPr>
        <w:t xml:space="preserve">     </w:t>
      </w:r>
      <w:r w:rsidR="001D71D1" w:rsidRPr="007E12DA">
        <w:rPr>
          <w:rFonts w:ascii="Courier New" w:hAnsi="Courier New" w:cs="Courier New"/>
          <w:sz w:val="24"/>
          <w:szCs w:val="24"/>
        </w:rPr>
        <w:t xml:space="preserve">As the </w:t>
      </w:r>
      <w:r w:rsidR="0055628F">
        <w:rPr>
          <w:rFonts w:ascii="Courier New" w:hAnsi="Courier New" w:cs="Courier New"/>
          <w:sz w:val="24"/>
          <w:szCs w:val="24"/>
        </w:rPr>
        <w:t>c</w:t>
      </w:r>
      <w:r w:rsidR="001D71D1" w:rsidRPr="007E12DA">
        <w:rPr>
          <w:rFonts w:ascii="Courier New" w:hAnsi="Courier New" w:cs="Courier New"/>
          <w:sz w:val="24"/>
          <w:szCs w:val="24"/>
        </w:rPr>
        <w:t xml:space="preserve">ourt stated in </w:t>
      </w:r>
      <w:r w:rsidR="001D71D1" w:rsidRPr="007E12DA">
        <w:rPr>
          <w:rFonts w:ascii="Courier New" w:hAnsi="Courier New" w:cs="Courier New"/>
          <w:sz w:val="24"/>
          <w:szCs w:val="24"/>
          <w:u w:val="single"/>
        </w:rPr>
        <w:t>APSCU v. Duncan</w:t>
      </w:r>
      <w:r w:rsidR="001D71D1" w:rsidRPr="007E12DA">
        <w:rPr>
          <w:rFonts w:ascii="Courier New" w:hAnsi="Courier New" w:cs="Courier New"/>
          <w:sz w:val="24"/>
          <w:szCs w:val="24"/>
        </w:rPr>
        <w:t xml:space="preserve">, </w:t>
      </w:r>
      <w:r w:rsidR="001D71D1" w:rsidRPr="007E12DA">
        <w:rPr>
          <w:rFonts w:ascii="Courier New" w:hAnsi="Courier New" w:cs="Courier New"/>
          <w:sz w:val="24"/>
          <w:szCs w:val="24"/>
          <w:shd w:val="clear" w:color="auto" w:fill="FFFFFF"/>
        </w:rPr>
        <w:t>“[t]he power of an administrative agency to administer a congressionally created ... program necessarily requires the formulation of policy and the making of rules to fill any gap left, implicitly or explicitly, by Congress.  The means of determining whether a program ‘prepare[s] students for gainful employment in a recognized occupation’ is a considerable gap, which the Department has promulgated rules to fill.”</w:t>
      </w:r>
      <w:r w:rsidR="001D71D1" w:rsidRPr="007E12DA">
        <w:rPr>
          <w:rStyle w:val="apple-converted-space"/>
          <w:rFonts w:ascii="Courier New" w:hAnsi="Courier New" w:cs="Courier New"/>
          <w:sz w:val="24"/>
          <w:szCs w:val="24"/>
          <w:shd w:val="clear" w:color="auto" w:fill="FFFFFF"/>
        </w:rPr>
        <w:t xml:space="preserve">  </w:t>
      </w:r>
      <w:r w:rsidR="00B52CC0" w:rsidRPr="007E12DA">
        <w:rPr>
          <w:rStyle w:val="apple-converted-space"/>
          <w:rFonts w:ascii="Courier New" w:hAnsi="Courier New" w:cs="Courier New"/>
          <w:sz w:val="24"/>
          <w:szCs w:val="24"/>
          <w:u w:val="single"/>
          <w:shd w:val="clear" w:color="auto" w:fill="FFFFFF"/>
        </w:rPr>
        <w:t>APSCU v. Duncan</w:t>
      </w:r>
      <w:r w:rsidR="00B52CC0" w:rsidRPr="007E12DA">
        <w:rPr>
          <w:rStyle w:val="apple-converted-space"/>
          <w:rFonts w:ascii="Courier New" w:hAnsi="Courier New" w:cs="Courier New"/>
          <w:sz w:val="24"/>
          <w:szCs w:val="24"/>
          <w:shd w:val="clear" w:color="auto" w:fill="FFFFFF"/>
        </w:rPr>
        <w:t xml:space="preserve">, </w:t>
      </w:r>
      <w:r w:rsidR="001D71D1" w:rsidRPr="007E12DA">
        <w:rPr>
          <w:rStyle w:val="ng-binding"/>
          <w:rFonts w:ascii="Courier New" w:hAnsi="Courier New" w:cs="Courier New"/>
          <w:bCs/>
          <w:sz w:val="24"/>
          <w:szCs w:val="24"/>
        </w:rPr>
        <w:t xml:space="preserve">870 </w:t>
      </w:r>
      <w:r w:rsidR="001D71D1" w:rsidRPr="007E12DA">
        <w:rPr>
          <w:rStyle w:val="ng-binding"/>
          <w:rFonts w:ascii="Courier New" w:hAnsi="Courier New" w:cs="Courier New"/>
          <w:bCs/>
          <w:sz w:val="24"/>
          <w:szCs w:val="24"/>
        </w:rPr>
        <w:lastRenderedPageBreak/>
        <w:t xml:space="preserve">F. Supp. 2d 133, 146 (D.D.C. 2012) (internal quotations and citations omitted).  </w:t>
      </w:r>
    </w:p>
    <w:p w14:paraId="4269AF62" w14:textId="272B7A69" w:rsidR="001D71D1" w:rsidRPr="00D140AB" w:rsidRDefault="001D71D1" w:rsidP="004D408A">
      <w:pPr>
        <w:spacing w:after="0" w:line="480" w:lineRule="auto"/>
        <w:rPr>
          <w:rFonts w:ascii="Courier New" w:hAnsi="Courier New" w:cs="Courier New"/>
          <w:color w:val="000000"/>
          <w:sz w:val="24"/>
          <w:szCs w:val="24"/>
        </w:rPr>
      </w:pPr>
      <w:r w:rsidRPr="00D140AB">
        <w:rPr>
          <w:rFonts w:ascii="Courier New" w:hAnsi="Courier New" w:cs="Courier New"/>
          <w:sz w:val="24"/>
          <w:szCs w:val="24"/>
        </w:rPr>
        <w:t xml:space="preserve">     The commenters are incorrect in their assertion that the HEA’s provisions on loan default rates, student borrowing, and other financial aid matters prevent the Department from regulating on what it means for a program to provide training that prepares students for gainful employment in a recognized occupation.  The Department’s regulations are not an attempt to second guess Congress or depart from a congressional plan but rather </w:t>
      </w:r>
      <w:r w:rsidR="00A72342">
        <w:rPr>
          <w:rFonts w:ascii="Courier New" w:hAnsi="Courier New" w:cs="Courier New"/>
          <w:sz w:val="24"/>
          <w:szCs w:val="24"/>
        </w:rPr>
        <w:t>will</w:t>
      </w:r>
      <w:r w:rsidRPr="00D140AB">
        <w:rPr>
          <w:rFonts w:ascii="Courier New" w:hAnsi="Courier New" w:cs="Courier New"/>
          <w:sz w:val="24"/>
          <w:szCs w:val="24"/>
        </w:rPr>
        <w:t xml:space="preserve"> fill a gap that Congress left in the statute--defining what it means to prepare a student for gainful employment in a recognized occupation</w:t>
      </w:r>
      <w:r w:rsidR="007E12DA">
        <w:rPr>
          <w:rFonts w:ascii="Courier New" w:hAnsi="Courier New" w:cs="Courier New"/>
          <w:sz w:val="24"/>
          <w:szCs w:val="24"/>
        </w:rPr>
        <w:t>--in a manner consistent with congressional intent</w:t>
      </w:r>
      <w:r w:rsidRPr="00D140AB">
        <w:rPr>
          <w:rFonts w:ascii="Courier New" w:hAnsi="Courier New" w:cs="Courier New"/>
          <w:sz w:val="24"/>
          <w:szCs w:val="24"/>
        </w:rPr>
        <w:t xml:space="preserve">.  </w:t>
      </w:r>
      <w:r w:rsidR="007E12DA">
        <w:rPr>
          <w:rFonts w:ascii="Courier New" w:hAnsi="Courier New" w:cs="Courier New"/>
          <w:color w:val="000000"/>
          <w:sz w:val="24"/>
          <w:szCs w:val="24"/>
        </w:rPr>
        <w:t>T</w:t>
      </w:r>
      <w:r w:rsidRPr="00D140AB">
        <w:rPr>
          <w:rFonts w:ascii="Courier New" w:hAnsi="Courier New" w:cs="Courier New"/>
          <w:color w:val="000000"/>
          <w:sz w:val="24"/>
          <w:szCs w:val="24"/>
        </w:rPr>
        <w:t>he regulations supplement and complement the statutory scheme.  And, although there are differences between the regulations and other provisions, such as those regarding institutional cohort default rates</w:t>
      </w:r>
      <w:r w:rsidR="00F444B8">
        <w:rPr>
          <w:rFonts w:ascii="Courier New" w:hAnsi="Courier New" w:cs="Courier New"/>
          <w:color w:val="000000"/>
          <w:sz w:val="24"/>
          <w:szCs w:val="24"/>
        </w:rPr>
        <w:t xml:space="preserve"> (CDR)</w:t>
      </w:r>
      <w:r w:rsidRPr="00D140AB">
        <w:rPr>
          <w:rFonts w:ascii="Courier New" w:hAnsi="Courier New" w:cs="Courier New"/>
          <w:color w:val="000000"/>
          <w:sz w:val="24"/>
          <w:szCs w:val="24"/>
        </w:rPr>
        <w:t xml:space="preserve">, the regulations do not fundamentally alter the statutory scheme.  </w:t>
      </w:r>
    </w:p>
    <w:p w14:paraId="5A037E9C" w14:textId="0BC9E84D" w:rsidR="001D71D1" w:rsidRPr="00D140AB" w:rsidRDefault="00B04F63" w:rsidP="004D408A">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Rather than conflicting, as asserted by commenters, the CDR and GE regulations complement each other.  Congress enacted the CDR provision as “one” mechanism</w:t>
      </w:r>
      <w:r w:rsidR="00F866F6">
        <w:rPr>
          <w:rFonts w:ascii="Courier New" w:hAnsi="Courier New" w:cs="Courier New"/>
          <w:sz w:val="24"/>
          <w:szCs w:val="24"/>
        </w:rPr>
        <w:t>--</w:t>
      </w:r>
      <w:r w:rsidR="001D71D1" w:rsidRPr="00D140AB">
        <w:rPr>
          <w:rFonts w:ascii="Courier New" w:hAnsi="Courier New" w:cs="Courier New"/>
          <w:sz w:val="24"/>
          <w:szCs w:val="24"/>
        </w:rPr>
        <w:t>not the sole, exclusive mechanism</w:t>
      </w:r>
      <w:r w:rsidR="00F866F6">
        <w:rPr>
          <w:rFonts w:ascii="Courier New" w:hAnsi="Courier New" w:cs="Courier New"/>
          <w:sz w:val="24"/>
          <w:szCs w:val="24"/>
        </w:rPr>
        <w:t>--</w:t>
      </w:r>
      <w:r w:rsidR="001D71D1" w:rsidRPr="00D140AB">
        <w:rPr>
          <w:rFonts w:ascii="Courier New" w:hAnsi="Courier New" w:cs="Courier New"/>
          <w:sz w:val="24"/>
          <w:szCs w:val="24"/>
        </w:rPr>
        <w:t xml:space="preserve">for dealing with abuses in </w:t>
      </w:r>
      <w:r w:rsidR="00F866F6">
        <w:rPr>
          <w:rFonts w:ascii="Courier New" w:hAnsi="Courier New" w:cs="Courier New"/>
          <w:sz w:val="24"/>
          <w:szCs w:val="24"/>
        </w:rPr>
        <w:t>F</w:t>
      </w:r>
      <w:r w:rsidR="001D71D1" w:rsidRPr="00D140AB">
        <w:rPr>
          <w:rFonts w:ascii="Courier New" w:hAnsi="Courier New" w:cs="Courier New"/>
          <w:sz w:val="24"/>
          <w:szCs w:val="24"/>
        </w:rPr>
        <w:t xml:space="preserve">ederal student aid programs.  </w:t>
      </w:r>
      <w:r w:rsidR="001D71D1" w:rsidRPr="00D140AB">
        <w:rPr>
          <w:rFonts w:ascii="Courier New" w:hAnsi="Courier New" w:cs="Courier New"/>
          <w:iCs/>
          <w:sz w:val="24"/>
          <w:szCs w:val="24"/>
          <w:u w:val="single"/>
        </w:rPr>
        <w:t>See</w:t>
      </w:r>
      <w:r w:rsidR="001D71D1" w:rsidRPr="00D140AB">
        <w:rPr>
          <w:rFonts w:ascii="Courier New" w:hAnsi="Courier New" w:cs="Courier New"/>
          <w:iCs/>
          <w:sz w:val="24"/>
          <w:szCs w:val="24"/>
        </w:rPr>
        <w:t xml:space="preserve"> </w:t>
      </w:r>
      <w:r w:rsidR="001D71D1" w:rsidRPr="00D140AB">
        <w:rPr>
          <w:rFonts w:ascii="Courier New" w:hAnsi="Courier New" w:cs="Courier New"/>
          <w:sz w:val="24"/>
          <w:szCs w:val="24"/>
        </w:rPr>
        <w:t xml:space="preserve">H.R. Rep. No. 110-500 at </w:t>
      </w:r>
      <w:r w:rsidR="00096286">
        <w:rPr>
          <w:rFonts w:ascii="Courier New" w:hAnsi="Courier New" w:cs="Courier New"/>
          <w:sz w:val="24"/>
          <w:szCs w:val="24"/>
        </w:rPr>
        <w:t>261</w:t>
      </w:r>
      <w:r w:rsidR="001D71D1" w:rsidRPr="00D140AB">
        <w:rPr>
          <w:rFonts w:ascii="Courier New" w:hAnsi="Courier New" w:cs="Courier New"/>
          <w:sz w:val="24"/>
          <w:szCs w:val="24"/>
        </w:rPr>
        <w:t xml:space="preserve"> (2007) (“Over the years, </w:t>
      </w:r>
      <w:r w:rsidR="001D71D1" w:rsidRPr="00D140AB">
        <w:rPr>
          <w:rFonts w:ascii="Courier New" w:hAnsi="Courier New" w:cs="Courier New"/>
          <w:i/>
          <w:iCs/>
          <w:sz w:val="24"/>
          <w:szCs w:val="24"/>
        </w:rPr>
        <w:t xml:space="preserve">a number of provisions </w:t>
      </w:r>
      <w:r w:rsidR="001D71D1" w:rsidRPr="00D140AB">
        <w:rPr>
          <w:rFonts w:ascii="Courier New" w:hAnsi="Courier New" w:cs="Courier New"/>
          <w:sz w:val="24"/>
          <w:szCs w:val="24"/>
        </w:rPr>
        <w:t xml:space="preserve">have been enacted under the Higher Education Act to protect the integrity of the federal student </w:t>
      </w:r>
      <w:r w:rsidR="001D71D1" w:rsidRPr="00D140AB">
        <w:rPr>
          <w:rFonts w:ascii="Courier New" w:hAnsi="Courier New" w:cs="Courier New"/>
          <w:sz w:val="24"/>
          <w:szCs w:val="24"/>
        </w:rPr>
        <w:lastRenderedPageBreak/>
        <w:t xml:space="preserve">aid programs. </w:t>
      </w:r>
      <w:r w:rsidR="00F866F6">
        <w:rPr>
          <w:rFonts w:ascii="Courier New" w:hAnsi="Courier New" w:cs="Courier New"/>
          <w:sz w:val="24"/>
          <w:szCs w:val="24"/>
        </w:rPr>
        <w:t xml:space="preserve"> </w:t>
      </w:r>
      <w:r w:rsidR="001D71D1" w:rsidRPr="00D140AB">
        <w:rPr>
          <w:rFonts w:ascii="Courier New" w:hAnsi="Courier New" w:cs="Courier New"/>
          <w:i/>
          <w:iCs/>
          <w:sz w:val="24"/>
          <w:szCs w:val="24"/>
        </w:rPr>
        <w:t xml:space="preserve">One </w:t>
      </w:r>
      <w:r w:rsidR="001D71D1" w:rsidRPr="00D140AB">
        <w:rPr>
          <w:rFonts w:ascii="Courier New" w:hAnsi="Courier New" w:cs="Courier New"/>
          <w:sz w:val="24"/>
          <w:szCs w:val="24"/>
        </w:rPr>
        <w:t>effective mechanism was to restrict federal loan eligibility for students at schools with very high cohort loan default rates” (emphasis added).</w:t>
      </w:r>
      <w:r w:rsidR="00F866F6">
        <w:rPr>
          <w:rFonts w:ascii="Courier New" w:hAnsi="Courier New" w:cs="Courier New"/>
          <w:sz w:val="24"/>
          <w:szCs w:val="24"/>
        </w:rPr>
        <w:t>)</w:t>
      </w:r>
      <w:r w:rsidR="001D71D1" w:rsidRPr="00D140AB">
        <w:rPr>
          <w:rFonts w:ascii="Courier New" w:hAnsi="Courier New" w:cs="Courier New"/>
          <w:sz w:val="24"/>
          <w:szCs w:val="24"/>
        </w:rPr>
        <w:t xml:space="preserve">  Congress did not, in enacting the CDR provision or at any other time, limit the Department’s authority to promulgate regulations to define what it means to “prepare students for gainful employment in a recognized occupation.”  </w:t>
      </w:r>
      <w:r w:rsidR="001D71D1" w:rsidRPr="00D140AB">
        <w:rPr>
          <w:rFonts w:ascii="Courier New" w:hAnsi="Courier New" w:cs="Courier New"/>
          <w:iCs/>
          <w:sz w:val="24"/>
          <w:szCs w:val="24"/>
          <w:u w:val="single"/>
        </w:rPr>
        <w:t>Compare</w:t>
      </w:r>
      <w:r w:rsidR="001D71D1" w:rsidRPr="00D140AB">
        <w:rPr>
          <w:rFonts w:ascii="Courier New" w:hAnsi="Courier New" w:cs="Courier New"/>
          <w:iCs/>
          <w:sz w:val="24"/>
          <w:szCs w:val="24"/>
        </w:rPr>
        <w:t xml:space="preserve"> </w:t>
      </w:r>
      <w:r w:rsidR="001D71D1" w:rsidRPr="00D140AB">
        <w:rPr>
          <w:rFonts w:ascii="Courier New" w:hAnsi="Courier New" w:cs="Courier New"/>
          <w:sz w:val="24"/>
          <w:szCs w:val="24"/>
        </w:rPr>
        <w:t>20 U.S.C. 1015b(i)</w:t>
      </w:r>
      <w:r w:rsidR="0049590E">
        <w:rPr>
          <w:rFonts w:ascii="Courier New" w:hAnsi="Courier New" w:cs="Courier New"/>
          <w:sz w:val="24"/>
          <w:szCs w:val="24"/>
        </w:rPr>
        <w:t>,</w:t>
      </w:r>
      <w:r w:rsidR="00F866F6">
        <w:rPr>
          <w:rFonts w:ascii="Courier New" w:hAnsi="Courier New" w:cs="Courier New"/>
          <w:sz w:val="24"/>
          <w:szCs w:val="24"/>
        </w:rPr>
        <w:t xml:space="preserve"> </w:t>
      </w:r>
      <w:r w:rsidR="00F866F6" w:rsidRPr="00D140AB">
        <w:rPr>
          <w:rFonts w:ascii="Courier New" w:hAnsi="Courier New" w:cs="Courier New"/>
          <w:sz w:val="24"/>
          <w:szCs w:val="24"/>
        </w:rPr>
        <w:t>concerning student access to affordable course materials</w:t>
      </w:r>
      <w:r w:rsidR="001D71D1" w:rsidRPr="00D140AB">
        <w:rPr>
          <w:rFonts w:ascii="Courier New" w:hAnsi="Courier New" w:cs="Courier New"/>
          <w:sz w:val="24"/>
          <w:szCs w:val="24"/>
        </w:rPr>
        <w:t xml:space="preserve"> (“No regulatory authority.  The Secretary shall not promulgate regulations with respect to this section.”).  Nor did it alter this existing statutory language when it passed the CDR provision.</w:t>
      </w:r>
      <w:r w:rsidR="00BD0AAC">
        <w:rPr>
          <w:rFonts w:ascii="Courier New" w:hAnsi="Courier New" w:cs="Courier New"/>
          <w:sz w:val="24"/>
          <w:szCs w:val="24"/>
        </w:rPr>
        <w:t xml:space="preserve">  </w:t>
      </w:r>
      <w:r w:rsidR="00B52CC0">
        <w:rPr>
          <w:rFonts w:ascii="Courier New" w:hAnsi="Courier New" w:cs="Courier New"/>
          <w:sz w:val="24"/>
          <w:szCs w:val="24"/>
        </w:rPr>
        <w:t>Indeed, t</w:t>
      </w:r>
      <w:r w:rsidR="00BD0AAC">
        <w:rPr>
          <w:rFonts w:ascii="Courier New" w:hAnsi="Courier New" w:cs="Courier New"/>
          <w:sz w:val="24"/>
          <w:szCs w:val="24"/>
        </w:rPr>
        <w:t xml:space="preserve">he </w:t>
      </w:r>
      <w:r w:rsidR="00866401">
        <w:rPr>
          <w:rFonts w:ascii="Courier New" w:hAnsi="Courier New" w:cs="Courier New"/>
          <w:sz w:val="24"/>
          <w:szCs w:val="24"/>
        </w:rPr>
        <w:t>c</w:t>
      </w:r>
      <w:r w:rsidR="00BD0AAC">
        <w:rPr>
          <w:rFonts w:ascii="Courier New" w:hAnsi="Courier New" w:cs="Courier New"/>
          <w:sz w:val="24"/>
          <w:szCs w:val="24"/>
        </w:rPr>
        <w:t xml:space="preserve">ourt in </w:t>
      </w:r>
      <w:r w:rsidR="00BD0AAC" w:rsidRPr="00B52CC0">
        <w:rPr>
          <w:rFonts w:ascii="Courier New" w:hAnsi="Courier New" w:cs="Courier New"/>
          <w:sz w:val="24"/>
          <w:szCs w:val="24"/>
          <w:u w:val="single"/>
        </w:rPr>
        <w:t>APCSU v. Duncan</w:t>
      </w:r>
      <w:r w:rsidR="00BD0AAC">
        <w:rPr>
          <w:rFonts w:ascii="Courier New" w:hAnsi="Courier New" w:cs="Courier New"/>
          <w:sz w:val="24"/>
          <w:szCs w:val="24"/>
        </w:rPr>
        <w:t xml:space="preserve"> </w:t>
      </w:r>
      <w:r w:rsidR="00B52CC0">
        <w:rPr>
          <w:rFonts w:ascii="Courier New" w:hAnsi="Courier New" w:cs="Courier New"/>
          <w:sz w:val="24"/>
          <w:szCs w:val="24"/>
        </w:rPr>
        <w:t xml:space="preserve">specifically addressed the issue of whether the CDR provisions would </w:t>
      </w:r>
      <w:r w:rsidR="00B52CC0" w:rsidRPr="00D140AB">
        <w:rPr>
          <w:rFonts w:ascii="Courier New" w:hAnsi="Courier New" w:cs="Courier New"/>
          <w:sz w:val="24"/>
          <w:szCs w:val="24"/>
        </w:rPr>
        <w:t>preclude the Department from effectuating the gainful employment requirement by relying on other debt measures at the programmatic level</w:t>
      </w:r>
      <w:r w:rsidR="00B52CC0">
        <w:rPr>
          <w:rFonts w:ascii="Courier New" w:hAnsi="Courier New" w:cs="Courier New"/>
          <w:sz w:val="24"/>
          <w:szCs w:val="24"/>
        </w:rPr>
        <w:t xml:space="preserve"> and concluded that the “statutory cohort default rule . . . does not prevent the Department from adopting the debt measures.”  </w:t>
      </w:r>
      <w:r w:rsidR="00B52CC0" w:rsidRPr="00B857D1">
        <w:rPr>
          <w:rFonts w:ascii="Courier New" w:hAnsi="Courier New"/>
          <w:sz w:val="24"/>
          <w:u w:val="single"/>
        </w:rPr>
        <w:t>APSCU v. Duncan</w:t>
      </w:r>
      <w:r w:rsidR="00B52CC0">
        <w:rPr>
          <w:rFonts w:ascii="Courier New" w:hAnsi="Courier New" w:cs="Courier New"/>
          <w:sz w:val="24"/>
          <w:szCs w:val="24"/>
        </w:rPr>
        <w:t xml:space="preserve">, </w:t>
      </w:r>
      <w:r w:rsidR="00B52CC0">
        <w:rPr>
          <w:rStyle w:val="ng-binding"/>
          <w:rFonts w:ascii="Courier New" w:hAnsi="Courier New" w:cs="Courier New"/>
          <w:bCs/>
          <w:sz w:val="24"/>
          <w:szCs w:val="24"/>
        </w:rPr>
        <w:t xml:space="preserve">870 F. Supp. </w:t>
      </w:r>
      <w:r w:rsidR="00B52CC0" w:rsidRPr="00096286">
        <w:rPr>
          <w:rStyle w:val="ng-binding"/>
          <w:rFonts w:ascii="Courier New" w:hAnsi="Courier New"/>
          <w:sz w:val="24"/>
        </w:rPr>
        <w:t>2d at</w:t>
      </w:r>
      <w:r w:rsidR="00096286" w:rsidRPr="00096286">
        <w:rPr>
          <w:rStyle w:val="ng-binding"/>
          <w:rFonts w:ascii="Courier New" w:hAnsi="Courier New" w:cs="Courier New"/>
          <w:bCs/>
          <w:sz w:val="24"/>
          <w:szCs w:val="24"/>
        </w:rPr>
        <w:t xml:space="preserve"> 147</w:t>
      </w:r>
      <w:r w:rsidR="001D71D1">
        <w:rPr>
          <w:rStyle w:val="ng-binding"/>
          <w:rFonts w:ascii="Courier New" w:hAnsi="Courier New"/>
          <w:sz w:val="24"/>
        </w:rPr>
        <w:t xml:space="preserve"> </w:t>
      </w:r>
      <w:r w:rsidR="00B52CC0">
        <w:rPr>
          <w:rFonts w:ascii="Courier New" w:hAnsi="Courier New" w:cs="Courier New"/>
          <w:sz w:val="24"/>
          <w:szCs w:val="24"/>
        </w:rPr>
        <w:t xml:space="preserve">(citing to </w:t>
      </w:r>
      <w:r w:rsidR="00B52CC0" w:rsidRPr="00B52CC0">
        <w:rPr>
          <w:rFonts w:ascii="Courier New" w:hAnsi="Courier New" w:cs="Courier New"/>
          <w:sz w:val="24"/>
          <w:szCs w:val="24"/>
          <w:u w:val="single"/>
        </w:rPr>
        <w:t>Career Coll. Ass’</w:t>
      </w:r>
      <w:r w:rsidR="00A61147">
        <w:rPr>
          <w:rFonts w:ascii="Courier New" w:hAnsi="Courier New" w:cs="Courier New"/>
          <w:sz w:val="24"/>
          <w:szCs w:val="24"/>
          <w:u w:val="single"/>
        </w:rPr>
        <w:t>n</w:t>
      </w:r>
      <w:r w:rsidR="00B52CC0" w:rsidRPr="00B52CC0">
        <w:rPr>
          <w:rFonts w:ascii="Courier New" w:hAnsi="Courier New" w:cs="Courier New"/>
          <w:sz w:val="24"/>
          <w:szCs w:val="24"/>
          <w:u w:val="single"/>
        </w:rPr>
        <w:t xml:space="preserve"> v. Riley</w:t>
      </w:r>
      <w:r w:rsidR="00B52CC0">
        <w:rPr>
          <w:rFonts w:ascii="Courier New" w:hAnsi="Courier New" w:cs="Courier New"/>
          <w:sz w:val="24"/>
          <w:szCs w:val="24"/>
        </w:rPr>
        <w:t xml:space="preserve">, 74 F.3d 1265, 1272-75 (D.C. Cir. 1996), where the D.C. Circuit held that </w:t>
      </w:r>
      <w:r w:rsidR="00BD0AAC">
        <w:rPr>
          <w:rFonts w:ascii="Courier New" w:hAnsi="Courier New" w:cs="Courier New"/>
          <w:sz w:val="24"/>
          <w:szCs w:val="24"/>
        </w:rPr>
        <w:t>the Department’s authority to establish “</w:t>
      </w:r>
      <w:r w:rsidR="00EA6B1E">
        <w:rPr>
          <w:rFonts w:ascii="Courier New" w:hAnsi="Courier New" w:cs="Courier New"/>
          <w:sz w:val="24"/>
          <w:szCs w:val="24"/>
        </w:rPr>
        <w:t>‘</w:t>
      </w:r>
      <w:r w:rsidR="00BD0AAC">
        <w:rPr>
          <w:rFonts w:ascii="Courier New" w:hAnsi="Courier New" w:cs="Courier New"/>
          <w:sz w:val="24"/>
          <w:szCs w:val="24"/>
        </w:rPr>
        <w:t>reasonable standards of financial responsibility and appropriate institutional capability’ empowers it to promulgate a rule that measures an institution’s administrative capability by reference to its cohort default rate</w:t>
      </w:r>
      <w:r w:rsidR="00451827">
        <w:rPr>
          <w:rFonts w:ascii="Courier New" w:hAnsi="Courier New" w:cs="Courier New"/>
          <w:sz w:val="24"/>
          <w:szCs w:val="24"/>
        </w:rPr>
        <w:t>--</w:t>
      </w:r>
      <w:r w:rsidR="00BD0AAC">
        <w:rPr>
          <w:rFonts w:ascii="Courier New" w:hAnsi="Courier New" w:cs="Courier New"/>
          <w:sz w:val="24"/>
          <w:szCs w:val="24"/>
        </w:rPr>
        <w:t xml:space="preserve">even though the administrative test </w:t>
      </w:r>
      <w:r w:rsidR="00BD0AAC">
        <w:rPr>
          <w:rFonts w:ascii="Courier New" w:hAnsi="Courier New" w:cs="Courier New"/>
          <w:sz w:val="24"/>
          <w:szCs w:val="24"/>
        </w:rPr>
        <w:lastRenderedPageBreak/>
        <w:t>differs significantly from the statutory cohort default rate test.</w:t>
      </w:r>
      <w:r w:rsidR="00B52CC0">
        <w:rPr>
          <w:rFonts w:ascii="Courier New" w:hAnsi="Courier New" w:cs="Courier New"/>
          <w:sz w:val="24"/>
          <w:szCs w:val="24"/>
        </w:rPr>
        <w:t>”)</w:t>
      </w:r>
      <w:r w:rsidR="00BD0AAC">
        <w:rPr>
          <w:rFonts w:ascii="Courier New" w:hAnsi="Courier New" w:cs="Courier New"/>
          <w:sz w:val="24"/>
          <w:szCs w:val="24"/>
        </w:rPr>
        <w:t xml:space="preserve">  </w:t>
      </w:r>
    </w:p>
    <w:p w14:paraId="4269AF66" w14:textId="77777777" w:rsidR="001D71D1" w:rsidRPr="00D140AB" w:rsidRDefault="001D71D1" w:rsidP="004D408A">
      <w:pPr>
        <w:autoSpaceDE w:val="0"/>
        <w:autoSpaceDN w:val="0"/>
        <w:adjustRightInd w:val="0"/>
        <w:spacing w:after="0" w:line="480" w:lineRule="auto"/>
        <w:rPr>
          <w:rStyle w:val="ng-binding"/>
          <w:rFonts w:ascii="Courier New" w:hAnsi="Courier New" w:cs="Courier New"/>
          <w:bCs/>
          <w:color w:val="333333"/>
          <w:sz w:val="24"/>
          <w:szCs w:val="24"/>
        </w:rPr>
      </w:pPr>
      <w:r w:rsidRPr="00D140AB">
        <w:rPr>
          <w:rFonts w:ascii="Courier New" w:hAnsi="Courier New" w:cs="Courier New"/>
          <w:sz w:val="24"/>
          <w:szCs w:val="24"/>
        </w:rPr>
        <w:t xml:space="preserve">     The GE regulations are also consistent with other provisions of the HEA aimed at curbing abuses in the title IV, HEA programs.  Prompted by a concern that its enormous commitment of Federal resources would be used to provide financial aid to students who were unable to find jobs that would allow them to repay their loans, Congress enacted several statutory provisions to ensure against abuse.  Congress specified that participating schools cannot “provide any commission, bonus, or other incentive payment based directly or indirectly on success in securing enrollments or financial aid to any persons or entities engaged in any student recruiting or admission activities or in making decisions regarding the award of student financial assistance.”  20 U.S.C. 1094(a)(20).  “The concern is that recruiters paid by the head are tempted to sign up poorly qualified students who will derive little benefit from the subsidy and may be unable or unwilling to repay federally guaranteed loans.”  </w:t>
      </w:r>
      <w:r w:rsidRPr="00D140AB">
        <w:rPr>
          <w:rFonts w:ascii="Courier New" w:hAnsi="Courier New" w:cs="Courier New"/>
          <w:iCs/>
          <w:sz w:val="24"/>
          <w:szCs w:val="24"/>
          <w:u w:val="single"/>
        </w:rPr>
        <w:t>United States ex rel. Main v. Oakland City Univ.</w:t>
      </w:r>
      <w:r w:rsidRPr="00D140AB">
        <w:rPr>
          <w:rFonts w:ascii="Courier New" w:hAnsi="Courier New" w:cs="Courier New"/>
          <w:sz w:val="24"/>
          <w:szCs w:val="24"/>
        </w:rPr>
        <w:t xml:space="preserve">, 426 F.3d 914, 916 (7th Cir. 2005).  To prevent schools from improperly inducing people to enroll, Congress prohibited participating schools from engaging in a “substantial misrepresentation of the nature of its educational program, its financial charges, or the employability of its graduates.”  20 </w:t>
      </w:r>
      <w:r w:rsidRPr="00D140AB">
        <w:rPr>
          <w:rFonts w:ascii="Courier New" w:hAnsi="Courier New" w:cs="Courier New"/>
          <w:sz w:val="24"/>
          <w:szCs w:val="24"/>
        </w:rPr>
        <w:lastRenderedPageBreak/>
        <w:t xml:space="preserve">U.S.C. 1094(c)(3)(A).  Congress also required a minimum level of State oversight of eligible schools.  </w:t>
      </w:r>
    </w:p>
    <w:p w14:paraId="4269AF67" w14:textId="5EB303C9" w:rsidR="001D71D1" w:rsidRPr="00D140AB" w:rsidRDefault="001D71D1" w:rsidP="004D408A">
      <w:pPr>
        <w:spacing w:after="0" w:line="480" w:lineRule="auto"/>
        <w:rPr>
          <w:rFonts w:ascii="Courier New" w:hAnsi="Courier New" w:cs="Courier New"/>
          <w:color w:val="000000"/>
          <w:sz w:val="24"/>
          <w:szCs w:val="24"/>
        </w:rPr>
      </w:pPr>
      <w:r w:rsidRPr="00D140AB">
        <w:rPr>
          <w:rStyle w:val="ng-binding"/>
          <w:rFonts w:ascii="Courier New" w:hAnsi="Courier New" w:cs="Courier New"/>
          <w:bCs/>
          <w:color w:val="333333"/>
          <w:sz w:val="24"/>
          <w:szCs w:val="24"/>
        </w:rPr>
        <w:t xml:space="preserve">     In sum, the GE regulations </w:t>
      </w:r>
      <w:r w:rsidRPr="00D140AB">
        <w:rPr>
          <w:rFonts w:ascii="Courier New" w:hAnsi="Courier New" w:cs="Courier New"/>
          <w:color w:val="000000"/>
          <w:sz w:val="24"/>
          <w:szCs w:val="24"/>
        </w:rPr>
        <w:t>simply build upon the Department’s regulation of institutions participating in the title IV, HEA programs and the myriad ways in which the Department, as authorized by Congress, protects students and taxpayers from abuse of the Federal student aid program.</w:t>
      </w:r>
    </w:p>
    <w:p w14:paraId="4269AF68" w14:textId="714E194A"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rPr>
        <w:t xml:space="preserve">     We further disagree that the Department has previously defined what “gainful employment in a recognized occupation” means for the purpose of establishing accountability and transparency with respect to GE programs and their outcomes.  In support of this argument, the commenters rely on a 1994 decision of an administrative law judge regarding whether a program in Jewish culture prepared students enrolled in the program for gainful employment in a recognized occupation.  As the </w:t>
      </w:r>
      <w:r w:rsidR="00866401">
        <w:rPr>
          <w:rFonts w:ascii="Courier New" w:hAnsi="Courier New" w:cs="Courier New"/>
          <w:sz w:val="24"/>
          <w:szCs w:val="24"/>
        </w:rPr>
        <w:t>d</w:t>
      </w:r>
      <w:r w:rsidRPr="00D140AB">
        <w:rPr>
          <w:rFonts w:ascii="Courier New" w:hAnsi="Courier New" w:cs="Courier New"/>
          <w:sz w:val="24"/>
          <w:szCs w:val="24"/>
        </w:rPr>
        <w:t xml:space="preserve">istrict </w:t>
      </w:r>
      <w:r w:rsidR="00866401">
        <w:rPr>
          <w:rFonts w:ascii="Courier New" w:hAnsi="Courier New" w:cs="Courier New"/>
          <w:sz w:val="24"/>
          <w:szCs w:val="24"/>
        </w:rPr>
        <w:t>c</w:t>
      </w:r>
      <w:r w:rsidRPr="00D140AB">
        <w:rPr>
          <w:rFonts w:ascii="Courier New" w:hAnsi="Courier New" w:cs="Courier New"/>
          <w:sz w:val="24"/>
          <w:szCs w:val="24"/>
        </w:rPr>
        <w:t xml:space="preserve">ourt noted, the administrative law judge did not fully decide what it means to prepare a student for gainful employment in a recognized occupation but merely stated that any preparation must be for a specific area of employment.  </w:t>
      </w:r>
      <w:r w:rsidRPr="00D140AB">
        <w:rPr>
          <w:rFonts w:ascii="Courier New" w:hAnsi="Courier New" w:cs="Courier New"/>
          <w:sz w:val="24"/>
          <w:szCs w:val="24"/>
          <w:u w:val="single"/>
        </w:rPr>
        <w:t>APSCU v. Duncan</w:t>
      </w:r>
      <w:r w:rsidRPr="00D140AB">
        <w:rPr>
          <w:rFonts w:ascii="Courier New" w:hAnsi="Courier New" w:cs="Courier New"/>
          <w:b/>
          <w:bCs/>
          <w:color w:val="333333"/>
          <w:sz w:val="24"/>
          <w:szCs w:val="24"/>
          <w:shd w:val="clear" w:color="auto" w:fill="FFFFFF"/>
        </w:rPr>
        <w:t>,</w:t>
      </w:r>
      <w:r w:rsidRPr="00D140AB">
        <w:rPr>
          <w:rFonts w:ascii="Courier New" w:hAnsi="Courier New" w:cs="Courier New"/>
          <w:b/>
          <w:bCs/>
          <w:sz w:val="24"/>
          <w:szCs w:val="24"/>
          <w:shd w:val="clear" w:color="auto" w:fill="FFFFFF"/>
        </w:rPr>
        <w:t> </w:t>
      </w:r>
      <w:r w:rsidRPr="00D140AB">
        <w:rPr>
          <w:rStyle w:val="ng-binding"/>
          <w:rFonts w:ascii="Courier New" w:hAnsi="Courier New" w:cs="Courier New"/>
          <w:bCs/>
          <w:sz w:val="24"/>
          <w:szCs w:val="24"/>
        </w:rPr>
        <w:t>870 F. Supp. 2d 133, 1</w:t>
      </w:r>
      <w:r w:rsidR="00955AB6">
        <w:rPr>
          <w:rStyle w:val="ng-binding"/>
          <w:rFonts w:ascii="Courier New" w:hAnsi="Courier New" w:cs="Courier New"/>
          <w:bCs/>
          <w:sz w:val="24"/>
          <w:szCs w:val="24"/>
        </w:rPr>
        <w:t>50</w:t>
      </w:r>
      <w:r w:rsidRPr="00D140AB">
        <w:rPr>
          <w:rStyle w:val="ng-binding"/>
          <w:rFonts w:ascii="Courier New" w:hAnsi="Courier New" w:cs="Courier New"/>
          <w:bCs/>
          <w:sz w:val="24"/>
          <w:szCs w:val="24"/>
        </w:rPr>
        <w:t xml:space="preserve"> (D.D.C. 2012)</w:t>
      </w:r>
      <w:r w:rsidRPr="00D140AB">
        <w:rPr>
          <w:rFonts w:ascii="Courier New" w:hAnsi="Courier New" w:cs="Courier New"/>
          <w:sz w:val="24"/>
          <w:szCs w:val="24"/>
        </w:rPr>
        <w:t xml:space="preserve">.  Further, the Department did not depart from the administrative law judge’s interpretation in the 2011 Final Rules, as the </w:t>
      </w:r>
      <w:r w:rsidR="00866401">
        <w:rPr>
          <w:rFonts w:ascii="Courier New" w:hAnsi="Courier New" w:cs="Courier New"/>
          <w:sz w:val="24"/>
          <w:szCs w:val="24"/>
        </w:rPr>
        <w:t>c</w:t>
      </w:r>
      <w:r w:rsidRPr="00D140AB">
        <w:rPr>
          <w:rFonts w:ascii="Courier New" w:hAnsi="Courier New" w:cs="Courier New"/>
          <w:sz w:val="24"/>
          <w:szCs w:val="24"/>
        </w:rPr>
        <w:t xml:space="preserve">ourt in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agreed.  </w:t>
      </w:r>
      <w:r w:rsidR="00B857D1" w:rsidRPr="00971D65">
        <w:rPr>
          <w:rFonts w:ascii="Courier New" w:hAnsi="Courier New" w:cs="Courier New"/>
          <w:sz w:val="24"/>
          <w:szCs w:val="24"/>
          <w:u w:val="single"/>
        </w:rPr>
        <w:t>See</w:t>
      </w:r>
      <w:r w:rsidR="00B857D1">
        <w:rPr>
          <w:rFonts w:ascii="Courier New" w:hAnsi="Courier New" w:cs="Courier New"/>
          <w:sz w:val="24"/>
          <w:szCs w:val="24"/>
        </w:rPr>
        <w:t xml:space="preserve"> </w:t>
      </w:r>
      <w:r w:rsidR="00B857D1" w:rsidRPr="00B857D1">
        <w:rPr>
          <w:rFonts w:ascii="Courier New" w:hAnsi="Courier New" w:cs="Courier New"/>
          <w:sz w:val="24"/>
          <w:szCs w:val="24"/>
          <w:u w:val="single"/>
        </w:rPr>
        <w:t>i</w:t>
      </w:r>
      <w:r w:rsidRPr="00D140AB">
        <w:rPr>
          <w:rFonts w:ascii="Courier New" w:hAnsi="Courier New" w:cs="Courier New"/>
          <w:sz w:val="24"/>
          <w:szCs w:val="24"/>
          <w:u w:val="single"/>
        </w:rPr>
        <w:t>d</w:t>
      </w:r>
      <w:r w:rsidRPr="00D140AB">
        <w:rPr>
          <w:rFonts w:ascii="Courier New" w:hAnsi="Courier New" w:cs="Courier New"/>
          <w:i/>
          <w:sz w:val="24"/>
          <w:szCs w:val="24"/>
        </w:rPr>
        <w:t>.</w:t>
      </w:r>
      <w:r w:rsidRPr="00D140AB">
        <w:rPr>
          <w:rFonts w:ascii="Courier New" w:hAnsi="Courier New" w:cs="Courier New"/>
          <w:sz w:val="24"/>
          <w:szCs w:val="24"/>
        </w:rPr>
        <w:t xml:space="preserve">  Nor is the Department departing from that interpretation with these regulations.  </w:t>
      </w:r>
    </w:p>
    <w:p w14:paraId="4269AF69" w14:textId="77777777" w:rsidR="001D71D1"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lastRenderedPageBreak/>
        <w:t>Changes</w:t>
      </w:r>
      <w:r w:rsidRPr="00D140AB">
        <w:rPr>
          <w:rFonts w:ascii="Courier New" w:hAnsi="Courier New" w:cs="Courier New"/>
          <w:sz w:val="24"/>
          <w:szCs w:val="24"/>
        </w:rPr>
        <w:t>:  None.</w:t>
      </w:r>
    </w:p>
    <w:p w14:paraId="2E498E44" w14:textId="5C2D32D4" w:rsidR="00A1740F" w:rsidRDefault="00A1740F" w:rsidP="004D408A">
      <w:pPr>
        <w:spacing w:after="0" w:line="480" w:lineRule="auto"/>
        <w:rPr>
          <w:rFonts w:ascii="Courier New" w:hAnsi="Courier New" w:cs="Courier New"/>
          <w:sz w:val="24"/>
          <w:szCs w:val="24"/>
        </w:rPr>
      </w:pPr>
      <w:r w:rsidRPr="00EA6E27">
        <w:rPr>
          <w:rFonts w:ascii="Courier New" w:hAnsi="Courier New" w:cs="Courier New"/>
          <w:sz w:val="24"/>
          <w:szCs w:val="24"/>
          <w:u w:val="single"/>
        </w:rPr>
        <w:t>Comments</w:t>
      </w:r>
      <w:r>
        <w:rPr>
          <w:rFonts w:ascii="Courier New" w:hAnsi="Courier New" w:cs="Courier New"/>
          <w:sz w:val="24"/>
          <w:szCs w:val="24"/>
        </w:rPr>
        <w:t xml:space="preserve">:  Some commenters claimed that the proposed regulations violate the HEA because they would require an institution to ensure a student is gainfully employed in a recognized occupation.  The commenters stated that the HEA requires only that vocational schools “prepare” students for gainful employment in a recognized occupation </w:t>
      </w:r>
      <w:r w:rsidR="00E9117C">
        <w:rPr>
          <w:rFonts w:ascii="Courier New" w:hAnsi="Courier New" w:cs="Courier New"/>
          <w:sz w:val="24"/>
          <w:szCs w:val="24"/>
        </w:rPr>
        <w:t>and</w:t>
      </w:r>
      <w:r>
        <w:rPr>
          <w:rFonts w:ascii="Courier New" w:hAnsi="Courier New" w:cs="Courier New"/>
          <w:sz w:val="24"/>
          <w:szCs w:val="24"/>
        </w:rPr>
        <w:t xml:space="preserve"> not</w:t>
      </w:r>
      <w:r w:rsidR="00E9117C">
        <w:rPr>
          <w:rFonts w:ascii="Courier New" w:hAnsi="Courier New" w:cs="Courier New"/>
          <w:sz w:val="24"/>
          <w:szCs w:val="24"/>
        </w:rPr>
        <w:t xml:space="preserve"> that they</w:t>
      </w:r>
      <w:r>
        <w:rPr>
          <w:rFonts w:ascii="Courier New" w:hAnsi="Courier New" w:cs="Courier New"/>
          <w:sz w:val="24"/>
          <w:szCs w:val="24"/>
        </w:rPr>
        <w:t xml:space="preserve"> ensure they obtain such employment.  Commenters also stated that the HEA does not hold </w:t>
      </w:r>
      <w:r w:rsidR="00E9117C">
        <w:rPr>
          <w:rFonts w:ascii="Courier New" w:hAnsi="Courier New" w:cs="Courier New"/>
          <w:sz w:val="24"/>
          <w:szCs w:val="24"/>
        </w:rPr>
        <w:t>institutions</w:t>
      </w:r>
      <w:r>
        <w:rPr>
          <w:rFonts w:ascii="Courier New" w:hAnsi="Courier New" w:cs="Courier New"/>
          <w:sz w:val="24"/>
          <w:szCs w:val="24"/>
        </w:rPr>
        <w:t xml:space="preserve"> responsible for </w:t>
      </w:r>
      <w:r w:rsidR="00AF6370">
        <w:rPr>
          <w:rFonts w:ascii="Courier New" w:hAnsi="Courier New" w:cs="Courier New"/>
          <w:sz w:val="24"/>
          <w:szCs w:val="24"/>
        </w:rPr>
        <w:t xml:space="preserve">a </w:t>
      </w:r>
      <w:r>
        <w:rPr>
          <w:rFonts w:ascii="Courier New" w:hAnsi="Courier New" w:cs="Courier New"/>
          <w:sz w:val="24"/>
          <w:szCs w:val="24"/>
        </w:rPr>
        <w:t>student’s post-graduation employment choices but the proposed regulations would.  The commenter</w:t>
      </w:r>
      <w:r w:rsidR="00CB19C8">
        <w:rPr>
          <w:rFonts w:ascii="Courier New" w:hAnsi="Courier New" w:cs="Courier New"/>
          <w:sz w:val="24"/>
          <w:szCs w:val="24"/>
        </w:rPr>
        <w:t>s</w:t>
      </w:r>
      <w:r>
        <w:rPr>
          <w:rFonts w:ascii="Courier New" w:hAnsi="Courier New" w:cs="Courier New"/>
          <w:sz w:val="24"/>
          <w:szCs w:val="24"/>
        </w:rPr>
        <w:t xml:space="preserve"> stated </w:t>
      </w:r>
      <w:r w:rsidR="00E9117C">
        <w:rPr>
          <w:rFonts w:ascii="Courier New" w:hAnsi="Courier New" w:cs="Courier New"/>
          <w:sz w:val="24"/>
          <w:szCs w:val="24"/>
        </w:rPr>
        <w:t>that</w:t>
      </w:r>
      <w:r>
        <w:rPr>
          <w:rFonts w:ascii="Courier New" w:hAnsi="Courier New" w:cs="Courier New"/>
          <w:sz w:val="24"/>
          <w:szCs w:val="24"/>
        </w:rPr>
        <w:t xml:space="preserve"> under the proposed regulations, a</w:t>
      </w:r>
      <w:r w:rsidR="00BB04F1">
        <w:rPr>
          <w:rFonts w:ascii="Courier New" w:hAnsi="Courier New" w:cs="Courier New"/>
          <w:sz w:val="24"/>
          <w:szCs w:val="24"/>
        </w:rPr>
        <w:t>n institution</w:t>
      </w:r>
      <w:r>
        <w:rPr>
          <w:rFonts w:ascii="Courier New" w:hAnsi="Courier New" w:cs="Courier New"/>
          <w:sz w:val="24"/>
          <w:szCs w:val="24"/>
        </w:rPr>
        <w:t xml:space="preserve"> would be penalized if a student chose not to seek gainful employment after graduation or chose to seek employment in another field that did not result in sufficient earnings to repay their debt.  </w:t>
      </w:r>
    </w:p>
    <w:p w14:paraId="11183071" w14:textId="4AA863AB" w:rsidR="00A1740F" w:rsidRDefault="00A1740F" w:rsidP="004D408A">
      <w:pPr>
        <w:autoSpaceDE w:val="0"/>
        <w:autoSpaceDN w:val="0"/>
        <w:adjustRightInd w:val="0"/>
        <w:spacing w:after="0" w:line="480" w:lineRule="auto"/>
        <w:rPr>
          <w:rFonts w:ascii="Courier New" w:hAnsi="Courier New" w:cs="Courier New"/>
          <w:sz w:val="24"/>
          <w:szCs w:val="24"/>
        </w:rPr>
      </w:pPr>
      <w:r w:rsidRPr="00EA6E27">
        <w:rPr>
          <w:rFonts w:ascii="Courier New" w:hAnsi="Courier New" w:cs="Courier New"/>
          <w:sz w:val="24"/>
          <w:szCs w:val="24"/>
          <w:u w:val="single"/>
        </w:rPr>
        <w:t>Discussion</w:t>
      </w:r>
      <w:r>
        <w:rPr>
          <w:rFonts w:ascii="Courier New" w:hAnsi="Courier New" w:cs="Courier New"/>
          <w:sz w:val="24"/>
          <w:szCs w:val="24"/>
        </w:rPr>
        <w:t xml:space="preserve">:  </w:t>
      </w:r>
      <w:r w:rsidR="003C24E5">
        <w:rPr>
          <w:rFonts w:ascii="Courier New" w:hAnsi="Courier New" w:cs="Courier New"/>
          <w:sz w:val="24"/>
          <w:szCs w:val="24"/>
        </w:rPr>
        <w:t xml:space="preserve">The commenters ignore the legislative history demonstrating that, in enacting the gainful employment statutory provisions, Congress intended that students who borrowed Federal funds to obtain such training would be able to repay the debt incurred because they would have been prepared for gainful employment in a recognized occupation.  Contrary to commenters’ claims, the D/E rates measure the Department adopts here neither requires a school to ensure </w:t>
      </w:r>
      <w:r w:rsidR="008858C9">
        <w:rPr>
          <w:rFonts w:ascii="Courier New" w:hAnsi="Courier New" w:cs="Courier New"/>
          <w:sz w:val="24"/>
          <w:szCs w:val="24"/>
        </w:rPr>
        <w:t>that</w:t>
      </w:r>
      <w:r w:rsidR="003C24E5">
        <w:rPr>
          <w:rFonts w:ascii="Courier New" w:hAnsi="Courier New" w:cs="Courier New"/>
          <w:sz w:val="24"/>
          <w:szCs w:val="24"/>
        </w:rPr>
        <w:t xml:space="preserve"> </w:t>
      </w:r>
      <w:r w:rsidR="003C24E5" w:rsidRPr="00597C0E">
        <w:rPr>
          <w:rFonts w:ascii="Courier New" w:hAnsi="Courier New" w:cs="Courier New"/>
          <w:sz w:val="24"/>
          <w:szCs w:val="24"/>
        </w:rPr>
        <w:t>a</w:t>
      </w:r>
      <w:r w:rsidR="00A61147" w:rsidRPr="00597C0E">
        <w:rPr>
          <w:rFonts w:ascii="Courier New" w:hAnsi="Courier New" w:cs="Courier New"/>
          <w:sz w:val="24"/>
          <w:szCs w:val="24"/>
        </w:rPr>
        <w:t>n</w:t>
      </w:r>
      <w:r w:rsidR="003C24E5" w:rsidRPr="00597C0E">
        <w:rPr>
          <w:rFonts w:ascii="Courier New" w:hAnsi="Courier New" w:cs="Courier New"/>
          <w:sz w:val="24"/>
          <w:szCs w:val="24"/>
        </w:rPr>
        <w:t xml:space="preserve"> </w:t>
      </w:r>
      <w:r w:rsidR="00A61147" w:rsidRPr="00597C0E">
        <w:rPr>
          <w:rFonts w:ascii="Courier New" w:hAnsi="Courier New" w:cs="Courier New"/>
          <w:sz w:val="24"/>
          <w:szCs w:val="24"/>
        </w:rPr>
        <w:t>individual</w:t>
      </w:r>
      <w:r w:rsidR="003C24E5">
        <w:rPr>
          <w:rFonts w:ascii="Courier New" w:hAnsi="Courier New" w:cs="Courier New"/>
          <w:sz w:val="24"/>
          <w:szCs w:val="24"/>
        </w:rPr>
        <w:t xml:space="preserve"> student obtains employment </w:t>
      </w:r>
      <w:r w:rsidR="008858C9">
        <w:rPr>
          <w:rFonts w:ascii="Courier New" w:hAnsi="Courier New" w:cs="Courier New"/>
          <w:sz w:val="24"/>
          <w:szCs w:val="24"/>
        </w:rPr>
        <w:t>n</w:t>
      </w:r>
      <w:r w:rsidR="003C24E5">
        <w:rPr>
          <w:rFonts w:ascii="Courier New" w:hAnsi="Courier New" w:cs="Courier New"/>
          <w:sz w:val="24"/>
          <w:szCs w:val="24"/>
        </w:rPr>
        <w:t xml:space="preserve">or holds schools responsible for a student’s career </w:t>
      </w:r>
      <w:r w:rsidR="003C24E5">
        <w:rPr>
          <w:rFonts w:ascii="Courier New" w:hAnsi="Courier New" w:cs="Courier New"/>
          <w:sz w:val="24"/>
          <w:szCs w:val="24"/>
        </w:rPr>
        <w:lastRenderedPageBreak/>
        <w:t xml:space="preserve">decisions.  </w:t>
      </w:r>
      <w:r w:rsidR="008858C9">
        <w:rPr>
          <w:rFonts w:ascii="Courier New" w:hAnsi="Courier New" w:cs="Courier New"/>
          <w:sz w:val="24"/>
          <w:szCs w:val="24"/>
        </w:rPr>
        <w:t>Rather,</w:t>
      </w:r>
      <w:r w:rsidR="003C24E5" w:rsidDel="00B53C06">
        <w:rPr>
          <w:rFonts w:ascii="Courier New" w:hAnsi="Courier New" w:cs="Courier New"/>
          <w:sz w:val="24"/>
          <w:szCs w:val="24"/>
        </w:rPr>
        <w:t xml:space="preserve"> t</w:t>
      </w:r>
      <w:r w:rsidR="003C24E5">
        <w:rPr>
          <w:rFonts w:ascii="Courier New" w:hAnsi="Courier New" w:cs="Courier New"/>
          <w:sz w:val="24"/>
          <w:szCs w:val="24"/>
        </w:rPr>
        <w:t xml:space="preserve">he measure evaluates whether a </w:t>
      </w:r>
      <w:r w:rsidR="00A61147" w:rsidRPr="00597C0E">
        <w:rPr>
          <w:rFonts w:ascii="Courier New" w:hAnsi="Courier New" w:cs="Courier New"/>
          <w:sz w:val="24"/>
          <w:szCs w:val="24"/>
        </w:rPr>
        <w:t xml:space="preserve">particular cohort of students </w:t>
      </w:r>
      <w:r w:rsidR="003C24E5">
        <w:rPr>
          <w:rFonts w:ascii="Courier New" w:hAnsi="Courier New" w:cs="Courier New"/>
          <w:sz w:val="24"/>
          <w:szCs w:val="24"/>
        </w:rPr>
        <w:t xml:space="preserve">completing a program </w:t>
      </w:r>
      <w:r w:rsidR="003C24E5" w:rsidRPr="00597C0E">
        <w:rPr>
          <w:rFonts w:ascii="Courier New" w:hAnsi="Courier New" w:cs="Courier New"/>
          <w:sz w:val="24"/>
          <w:szCs w:val="24"/>
        </w:rPr>
        <w:t>ha</w:t>
      </w:r>
      <w:r w:rsidR="00597C0E">
        <w:rPr>
          <w:rFonts w:ascii="Courier New" w:hAnsi="Courier New" w:cs="Courier New"/>
          <w:sz w:val="24"/>
          <w:szCs w:val="24"/>
        </w:rPr>
        <w:t>s</w:t>
      </w:r>
      <w:r w:rsidR="003C24E5">
        <w:rPr>
          <w:rFonts w:ascii="Courier New" w:hAnsi="Courier New" w:cs="Courier New"/>
          <w:sz w:val="24"/>
          <w:szCs w:val="24"/>
        </w:rPr>
        <w:t xml:space="preserve"> received training that prepare</w:t>
      </w:r>
      <w:r w:rsidR="00B53C06">
        <w:rPr>
          <w:rFonts w:ascii="Courier New" w:hAnsi="Courier New" w:cs="Courier New"/>
          <w:sz w:val="24"/>
          <w:szCs w:val="24"/>
        </w:rPr>
        <w:t>s</w:t>
      </w:r>
      <w:r w:rsidR="003C24E5">
        <w:rPr>
          <w:rFonts w:ascii="Courier New" w:hAnsi="Courier New" w:cs="Courier New"/>
          <w:sz w:val="24"/>
          <w:szCs w:val="24"/>
        </w:rPr>
        <w:t xml:space="preserve"> </w:t>
      </w:r>
      <w:r w:rsidR="003C24E5" w:rsidRPr="00597C0E">
        <w:rPr>
          <w:rFonts w:ascii="Courier New" w:hAnsi="Courier New" w:cs="Courier New"/>
          <w:sz w:val="24"/>
          <w:szCs w:val="24"/>
        </w:rPr>
        <w:t>th</w:t>
      </w:r>
      <w:r w:rsidR="00597C0E">
        <w:rPr>
          <w:rFonts w:ascii="Courier New" w:hAnsi="Courier New" w:cs="Courier New"/>
          <w:sz w:val="24"/>
          <w:szCs w:val="24"/>
        </w:rPr>
        <w:t>ose students</w:t>
      </w:r>
      <w:r w:rsidR="003C24E5">
        <w:rPr>
          <w:rFonts w:ascii="Courier New" w:hAnsi="Courier New" w:cs="Courier New"/>
          <w:sz w:val="24"/>
          <w:szCs w:val="24"/>
        </w:rPr>
        <w:t xml:space="preserve"> for gainful employment such that </w:t>
      </w:r>
      <w:r w:rsidR="003C24E5" w:rsidRPr="00597C0E">
        <w:rPr>
          <w:rFonts w:ascii="Courier New" w:hAnsi="Courier New" w:cs="Courier New"/>
          <w:sz w:val="24"/>
          <w:szCs w:val="24"/>
        </w:rPr>
        <w:t>the</w:t>
      </w:r>
      <w:r w:rsidR="00A61147" w:rsidRPr="00597C0E">
        <w:rPr>
          <w:rFonts w:ascii="Courier New" w:hAnsi="Courier New" w:cs="Courier New"/>
          <w:sz w:val="24"/>
          <w:szCs w:val="24"/>
        </w:rPr>
        <w:t>y</w:t>
      </w:r>
      <w:r w:rsidR="003C24E5">
        <w:rPr>
          <w:rFonts w:ascii="Courier New" w:hAnsi="Courier New" w:cs="Courier New"/>
          <w:sz w:val="24"/>
          <w:szCs w:val="24"/>
        </w:rPr>
        <w:t xml:space="preserve"> </w:t>
      </w:r>
      <w:r w:rsidR="00A61147" w:rsidRPr="00597C0E">
        <w:rPr>
          <w:rFonts w:ascii="Courier New" w:hAnsi="Courier New" w:cs="Courier New"/>
          <w:sz w:val="24"/>
          <w:szCs w:val="24"/>
        </w:rPr>
        <w:t>are</w:t>
      </w:r>
      <w:r w:rsidR="003C24E5">
        <w:rPr>
          <w:rFonts w:ascii="Courier New" w:hAnsi="Courier New" w:cs="Courier New"/>
          <w:sz w:val="24"/>
          <w:szCs w:val="24"/>
        </w:rPr>
        <w:t xml:space="preserve"> able to repay </w:t>
      </w:r>
      <w:r w:rsidR="00A61147" w:rsidRPr="00597C0E">
        <w:rPr>
          <w:rFonts w:ascii="Courier New" w:hAnsi="Courier New" w:cs="Courier New"/>
          <w:sz w:val="24"/>
          <w:szCs w:val="24"/>
        </w:rPr>
        <w:t>their</w:t>
      </w:r>
      <w:r w:rsidR="003C24E5">
        <w:rPr>
          <w:rFonts w:ascii="Courier New" w:hAnsi="Courier New" w:cs="Courier New"/>
          <w:sz w:val="24"/>
          <w:szCs w:val="24"/>
        </w:rPr>
        <w:t xml:space="preserve"> student loans</w:t>
      </w:r>
      <w:r w:rsidR="00B53C06">
        <w:rPr>
          <w:rFonts w:ascii="Courier New" w:hAnsi="Courier New" w:cs="Courier New"/>
          <w:sz w:val="24"/>
          <w:szCs w:val="24"/>
        </w:rPr>
        <w:t>,</w:t>
      </w:r>
      <w:r w:rsidR="00597C0E">
        <w:rPr>
          <w:rFonts w:ascii="Courier New" w:hAnsi="Courier New" w:cs="Courier New"/>
          <w:sz w:val="24"/>
          <w:szCs w:val="24"/>
        </w:rPr>
        <w:t xml:space="preserve"> not whether each student who completed the program obtains a job that enables that student to pay back his or her loans.</w:t>
      </w:r>
      <w:r w:rsidR="00597C0E" w:rsidRPr="00597C0E">
        <w:rPr>
          <w:rFonts w:ascii="Courier New" w:hAnsi="Courier New" w:cs="Courier New"/>
          <w:sz w:val="24"/>
          <w:szCs w:val="24"/>
        </w:rPr>
        <w:t xml:space="preserve">  </w:t>
      </w:r>
    </w:p>
    <w:p w14:paraId="122E1845" w14:textId="4E7F9176" w:rsidR="00D074E9" w:rsidRDefault="00D074E9" w:rsidP="004D408A">
      <w:pPr>
        <w:spacing w:after="0" w:line="480" w:lineRule="auto"/>
        <w:rPr>
          <w:rFonts w:ascii="Courier New" w:hAnsi="Courier New" w:cs="Courier New"/>
          <w:sz w:val="24"/>
          <w:szCs w:val="24"/>
        </w:rPr>
      </w:pPr>
      <w:r w:rsidRPr="00EA6E27">
        <w:rPr>
          <w:rFonts w:ascii="Courier New" w:hAnsi="Courier New" w:cs="Courier New"/>
          <w:sz w:val="24"/>
          <w:szCs w:val="24"/>
          <w:u w:val="single"/>
        </w:rPr>
        <w:t>Changes</w:t>
      </w:r>
      <w:r>
        <w:rPr>
          <w:rFonts w:ascii="Courier New" w:hAnsi="Courier New" w:cs="Courier New"/>
          <w:sz w:val="24"/>
          <w:szCs w:val="24"/>
        </w:rPr>
        <w:t>:  None.</w:t>
      </w:r>
    </w:p>
    <w:p w14:paraId="07D1A0B4" w14:textId="79CA8668" w:rsidR="00515793" w:rsidRDefault="00515793" w:rsidP="004D408A">
      <w:pPr>
        <w:autoSpaceDE w:val="0"/>
        <w:autoSpaceDN w:val="0"/>
        <w:adjustRightInd w:val="0"/>
        <w:spacing w:after="0" w:line="480" w:lineRule="auto"/>
        <w:rPr>
          <w:rFonts w:ascii="Courier New" w:hAnsi="Courier New" w:cs="Courier New"/>
          <w:sz w:val="24"/>
          <w:szCs w:val="24"/>
        </w:rPr>
      </w:pPr>
      <w:r w:rsidRPr="00515793">
        <w:rPr>
          <w:rFonts w:ascii="Courier New" w:hAnsi="Courier New" w:cs="Courier New"/>
          <w:sz w:val="24"/>
          <w:szCs w:val="24"/>
          <w:u w:val="single"/>
        </w:rPr>
        <w:t>Comments</w:t>
      </w:r>
      <w:r>
        <w:rPr>
          <w:rFonts w:ascii="Courier New" w:hAnsi="Courier New" w:cs="Courier New"/>
          <w:sz w:val="24"/>
          <w:szCs w:val="24"/>
        </w:rPr>
        <w:t>:  One commenter asked how the Department defines “</w:t>
      </w:r>
      <w:r w:rsidRPr="00515793">
        <w:rPr>
          <w:rFonts w:ascii="Courier New" w:hAnsi="Courier New" w:cs="Courier New"/>
          <w:sz w:val="24"/>
          <w:szCs w:val="24"/>
        </w:rPr>
        <w:t>recognized occupation.</w:t>
      </w:r>
      <w:r>
        <w:rPr>
          <w:rFonts w:ascii="Courier New" w:hAnsi="Courier New" w:cs="Courier New"/>
          <w:sz w:val="24"/>
          <w:szCs w:val="24"/>
        </w:rPr>
        <w:t>”</w:t>
      </w:r>
      <w:r w:rsidRPr="00515793">
        <w:rPr>
          <w:rFonts w:ascii="Courier New" w:hAnsi="Courier New" w:cs="Courier New"/>
          <w:sz w:val="24"/>
          <w:szCs w:val="24"/>
        </w:rPr>
        <w:t xml:space="preserve"> </w:t>
      </w:r>
      <w:r>
        <w:rPr>
          <w:rFonts w:ascii="Courier New" w:hAnsi="Courier New" w:cs="Courier New"/>
          <w:sz w:val="24"/>
          <w:szCs w:val="24"/>
        </w:rPr>
        <w:t xml:space="preserve"> According to the commenter, this question is of particular concern for schools offering cosmetology programs.  The commenter said that there are many individuals</w:t>
      </w:r>
      <w:r w:rsidRPr="00515793">
        <w:rPr>
          <w:rFonts w:ascii="Courier New" w:hAnsi="Courier New" w:cs="Courier New"/>
          <w:sz w:val="24"/>
          <w:szCs w:val="24"/>
        </w:rPr>
        <w:t xml:space="preserve"> who use their </w:t>
      </w:r>
      <w:r>
        <w:rPr>
          <w:rFonts w:ascii="Courier New" w:hAnsi="Courier New" w:cs="Courier New"/>
          <w:sz w:val="24"/>
          <w:szCs w:val="24"/>
        </w:rPr>
        <w:t>c</w:t>
      </w:r>
      <w:r w:rsidRPr="00515793">
        <w:rPr>
          <w:rFonts w:ascii="Courier New" w:hAnsi="Courier New" w:cs="Courier New"/>
          <w:sz w:val="24"/>
          <w:szCs w:val="24"/>
        </w:rPr>
        <w:t>osmetology degrees to obtain employment in a field that is indirectly related</w:t>
      </w:r>
      <w:r>
        <w:rPr>
          <w:rFonts w:ascii="Courier New" w:hAnsi="Courier New" w:cs="Courier New"/>
          <w:sz w:val="24"/>
          <w:szCs w:val="24"/>
        </w:rPr>
        <w:t xml:space="preserve">, such as </w:t>
      </w:r>
      <w:r w:rsidRPr="00515793">
        <w:rPr>
          <w:rFonts w:ascii="Courier New" w:hAnsi="Courier New" w:cs="Courier New"/>
          <w:sz w:val="24"/>
          <w:szCs w:val="24"/>
        </w:rPr>
        <w:t xml:space="preserve">beauty school administration. </w:t>
      </w:r>
      <w:r>
        <w:rPr>
          <w:rFonts w:ascii="Courier New" w:hAnsi="Courier New" w:cs="Courier New"/>
          <w:sz w:val="24"/>
          <w:szCs w:val="24"/>
        </w:rPr>
        <w:t xml:space="preserve"> The commenter stated that s</w:t>
      </w:r>
      <w:r w:rsidRPr="00515793">
        <w:rPr>
          <w:rFonts w:ascii="Courier New" w:hAnsi="Courier New" w:cs="Courier New"/>
          <w:sz w:val="24"/>
          <w:szCs w:val="24"/>
        </w:rPr>
        <w:t>ome companies frequently hire beauty school graduates to work in their financial and student adv</w:t>
      </w:r>
      <w:r>
        <w:rPr>
          <w:rFonts w:ascii="Courier New" w:hAnsi="Courier New" w:cs="Courier New"/>
          <w:sz w:val="24"/>
          <w:szCs w:val="24"/>
        </w:rPr>
        <w:t>isor offices; these students do not</w:t>
      </w:r>
      <w:r w:rsidRPr="00515793">
        <w:rPr>
          <w:rFonts w:ascii="Courier New" w:hAnsi="Courier New" w:cs="Courier New"/>
          <w:sz w:val="24"/>
          <w:szCs w:val="24"/>
        </w:rPr>
        <w:t xml:space="preserve"> possess degrees in finance, career counseling, or administration, but their background and education in </w:t>
      </w:r>
      <w:r w:rsidR="00783F63">
        <w:rPr>
          <w:rFonts w:ascii="Courier New" w:hAnsi="Courier New" w:cs="Courier New"/>
          <w:sz w:val="24"/>
          <w:szCs w:val="24"/>
        </w:rPr>
        <w:t>c</w:t>
      </w:r>
      <w:r w:rsidRPr="00515793">
        <w:rPr>
          <w:rFonts w:ascii="Courier New" w:hAnsi="Courier New" w:cs="Courier New"/>
          <w:sz w:val="24"/>
          <w:szCs w:val="24"/>
        </w:rPr>
        <w:t xml:space="preserve">osmetology has been found to be sufficient to properly fulfill the job requirements. </w:t>
      </w:r>
      <w:r>
        <w:rPr>
          <w:rFonts w:ascii="Courier New" w:hAnsi="Courier New" w:cs="Courier New"/>
          <w:sz w:val="24"/>
          <w:szCs w:val="24"/>
        </w:rPr>
        <w:t xml:space="preserve"> The commenter asked whether these indirectly related jobs would be </w:t>
      </w:r>
      <w:r w:rsidRPr="00515793">
        <w:rPr>
          <w:rFonts w:ascii="Courier New" w:hAnsi="Courier New" w:cs="Courier New"/>
          <w:sz w:val="24"/>
          <w:szCs w:val="24"/>
        </w:rPr>
        <w:t>considered a recognized occupation</w:t>
      </w:r>
      <w:r>
        <w:rPr>
          <w:rFonts w:ascii="Courier New" w:hAnsi="Courier New" w:cs="Courier New"/>
          <w:sz w:val="24"/>
          <w:szCs w:val="24"/>
        </w:rPr>
        <w:t>.</w:t>
      </w:r>
      <w:r w:rsidR="00672FDA">
        <w:rPr>
          <w:rFonts w:ascii="Courier New" w:hAnsi="Courier New" w:cs="Courier New"/>
          <w:sz w:val="24"/>
          <w:szCs w:val="24"/>
        </w:rPr>
        <w:t xml:space="preserve">  </w:t>
      </w:r>
    </w:p>
    <w:p w14:paraId="1EE007A3" w14:textId="4D03CE19" w:rsidR="00515793" w:rsidRDefault="00515793" w:rsidP="004D408A">
      <w:pPr>
        <w:autoSpaceDE w:val="0"/>
        <w:autoSpaceDN w:val="0"/>
        <w:adjustRightInd w:val="0"/>
        <w:spacing w:after="0" w:line="480" w:lineRule="auto"/>
        <w:rPr>
          <w:rFonts w:ascii="Courier New" w:hAnsi="Courier New" w:cs="Courier New"/>
          <w:sz w:val="24"/>
          <w:szCs w:val="24"/>
        </w:rPr>
      </w:pPr>
      <w:r w:rsidRPr="00EA6E27">
        <w:rPr>
          <w:rFonts w:ascii="Courier New" w:hAnsi="Courier New" w:cs="Courier New"/>
          <w:sz w:val="24"/>
          <w:szCs w:val="24"/>
          <w:u w:val="single"/>
        </w:rPr>
        <w:t>Discussion</w:t>
      </w:r>
      <w:r>
        <w:rPr>
          <w:rFonts w:ascii="Courier New" w:hAnsi="Courier New" w:cs="Courier New"/>
          <w:sz w:val="24"/>
          <w:szCs w:val="24"/>
        </w:rPr>
        <w:t>:</w:t>
      </w:r>
      <w:r w:rsidR="008719FF">
        <w:rPr>
          <w:rFonts w:ascii="Courier New" w:hAnsi="Courier New" w:cs="Courier New"/>
          <w:sz w:val="24"/>
          <w:szCs w:val="24"/>
        </w:rPr>
        <w:t xml:space="preserve">  </w:t>
      </w:r>
      <w:r w:rsidR="00AF6370">
        <w:rPr>
          <w:rFonts w:ascii="Courier New" w:hAnsi="Courier New" w:cs="Courier New"/>
          <w:sz w:val="24"/>
          <w:szCs w:val="24"/>
        </w:rPr>
        <w:t xml:space="preserve">The proposed and final regulations in §600.2 define recognized occupation as an occupation that is either (a) </w:t>
      </w:r>
      <w:r w:rsidR="00AF6370">
        <w:rPr>
          <w:rFonts w:ascii="Courier New" w:hAnsi="Courier New" w:cs="Courier New"/>
          <w:sz w:val="24"/>
          <w:szCs w:val="24"/>
        </w:rPr>
        <w:lastRenderedPageBreak/>
        <w:t>identified by a Standard Occupational Classification (SOC) code established by OMB or an Occupational Information Network O*Net-SOC established by the Department of Labor or (b) determined by the Secretary in consultation with the Secretary of Labor to be a recognized occupation.</w:t>
      </w:r>
      <w:r w:rsidR="006A4C4D">
        <w:rPr>
          <w:rFonts w:ascii="Courier New" w:hAnsi="Courier New" w:cs="Courier New"/>
          <w:sz w:val="24"/>
          <w:szCs w:val="24"/>
        </w:rPr>
        <w:t xml:space="preserve">  </w:t>
      </w:r>
      <w:r w:rsidR="00AF6370">
        <w:rPr>
          <w:rFonts w:ascii="Courier New" w:hAnsi="Courier New" w:cs="Courier New"/>
          <w:sz w:val="24"/>
          <w:szCs w:val="24"/>
        </w:rPr>
        <w:t>I</w:t>
      </w:r>
      <w:r w:rsidR="008719FF">
        <w:rPr>
          <w:rFonts w:ascii="Courier New" w:hAnsi="Courier New" w:cs="Courier New"/>
          <w:sz w:val="24"/>
          <w:szCs w:val="24"/>
        </w:rPr>
        <w:t xml:space="preserve">nstitutions are expected to identify </w:t>
      </w:r>
      <w:r w:rsidR="006A4C4D">
        <w:rPr>
          <w:rFonts w:ascii="Courier New" w:hAnsi="Courier New" w:cs="Courier New"/>
          <w:sz w:val="24"/>
          <w:szCs w:val="24"/>
        </w:rPr>
        <w:t>a CIP code for</w:t>
      </w:r>
      <w:r w:rsidR="008719FF">
        <w:rPr>
          <w:rFonts w:ascii="Courier New" w:hAnsi="Courier New" w:cs="Courier New"/>
          <w:sz w:val="24"/>
          <w:szCs w:val="24"/>
        </w:rPr>
        <w:t xml:space="preserve"> their programs </w:t>
      </w:r>
      <w:r w:rsidR="006D4EBA">
        <w:rPr>
          <w:rFonts w:ascii="Courier New" w:hAnsi="Courier New" w:cs="Courier New"/>
          <w:sz w:val="24"/>
          <w:szCs w:val="24"/>
        </w:rPr>
        <w:t xml:space="preserve">that represents the </w:t>
      </w:r>
      <w:r w:rsidR="006A4C4D">
        <w:rPr>
          <w:rFonts w:ascii="Courier New" w:hAnsi="Courier New" w:cs="Courier New"/>
          <w:sz w:val="24"/>
          <w:szCs w:val="24"/>
        </w:rPr>
        <w:t>occupations</w:t>
      </w:r>
      <w:r w:rsidR="006D4EBA">
        <w:rPr>
          <w:rFonts w:ascii="Courier New" w:hAnsi="Courier New" w:cs="Courier New"/>
          <w:sz w:val="24"/>
          <w:szCs w:val="24"/>
        </w:rPr>
        <w:t xml:space="preserve"> for which the institution has designed its program</w:t>
      </w:r>
      <w:r w:rsidR="006A4C4D">
        <w:rPr>
          <w:rFonts w:ascii="Courier New" w:hAnsi="Courier New" w:cs="Courier New"/>
          <w:sz w:val="24"/>
          <w:szCs w:val="24"/>
        </w:rPr>
        <w:t xml:space="preserve">.  </w:t>
      </w:r>
      <w:r w:rsidR="00B113DE" w:rsidRPr="007233D2">
        <w:rPr>
          <w:rFonts w:ascii="Courier New" w:hAnsi="Courier New"/>
          <w:sz w:val="24"/>
        </w:rPr>
        <w:t>The Bureau of Labor Statistics (BLS)</w:t>
      </w:r>
      <w:r w:rsidR="00B113DE" w:rsidRPr="00991CCF">
        <w:rPr>
          <w:rFonts w:ascii="Courier New" w:hAnsi="Courier New" w:cs="Courier New"/>
          <w:sz w:val="24"/>
          <w:szCs w:val="24"/>
        </w:rPr>
        <w:t xml:space="preserve"> </w:t>
      </w:r>
      <w:r w:rsidR="00991CCF" w:rsidRPr="00991CCF">
        <w:rPr>
          <w:rFonts w:ascii="Courier New" w:hAnsi="Courier New" w:cs="Courier New"/>
          <w:sz w:val="24"/>
          <w:szCs w:val="24"/>
        </w:rPr>
        <w:t>has developed a crosswalk that identifies the occupations (SOCs) associated with the education and training provided by a program (</w:t>
      </w:r>
      <w:hyperlink r:id="rId14" w:history="1">
        <w:r w:rsidR="00991CCF" w:rsidRPr="00991CCF">
          <w:rPr>
            <w:rStyle w:val="Hyperlink"/>
            <w:rFonts w:ascii="Courier New" w:hAnsi="Courier New" w:cs="Courier New"/>
            <w:sz w:val="24"/>
            <w:szCs w:val="24"/>
          </w:rPr>
          <w:t>www.onetonline.org/crosswalk</w:t>
        </w:r>
      </w:hyperlink>
      <w:r w:rsidR="00991CCF" w:rsidRPr="00991CCF">
        <w:rPr>
          <w:rFonts w:ascii="Courier New" w:hAnsi="Courier New" w:cs="Courier New"/>
          <w:sz w:val="24"/>
          <w:szCs w:val="24"/>
        </w:rPr>
        <w:t xml:space="preserve">), and these would be </w:t>
      </w:r>
      <w:r w:rsidR="00991CCF">
        <w:rPr>
          <w:rFonts w:ascii="Courier New" w:hAnsi="Courier New" w:cs="Courier New"/>
          <w:sz w:val="24"/>
          <w:szCs w:val="24"/>
        </w:rPr>
        <w:t xml:space="preserve">“recognized occupations” for the </w:t>
      </w:r>
      <w:r w:rsidR="00991CCF" w:rsidRPr="00991CCF">
        <w:rPr>
          <w:rFonts w:ascii="Courier New" w:hAnsi="Courier New" w:cs="Courier New"/>
          <w:sz w:val="24"/>
          <w:szCs w:val="24"/>
        </w:rPr>
        <w:t>purposes</w:t>
      </w:r>
      <w:r w:rsidR="00991CCF">
        <w:rPr>
          <w:rFonts w:ascii="Courier New" w:hAnsi="Courier New" w:cs="Courier New"/>
          <w:sz w:val="24"/>
          <w:szCs w:val="24"/>
        </w:rPr>
        <w:t xml:space="preserve"> of these regulations</w:t>
      </w:r>
      <w:r w:rsidR="00991CCF" w:rsidRPr="00991CCF">
        <w:rPr>
          <w:rFonts w:ascii="Courier New" w:hAnsi="Courier New" w:cs="Courier New"/>
          <w:sz w:val="24"/>
          <w:szCs w:val="24"/>
        </w:rPr>
        <w:t xml:space="preserve">.  However, regardless of whether an occupation is associated with a particular program </w:t>
      </w:r>
      <w:r w:rsidR="00991CCF">
        <w:rPr>
          <w:rFonts w:ascii="Courier New" w:hAnsi="Courier New" w:cs="Courier New"/>
          <w:sz w:val="24"/>
          <w:szCs w:val="24"/>
        </w:rPr>
        <w:t>so</w:t>
      </w:r>
      <w:r w:rsidR="00991CCF" w:rsidRPr="00991CCF">
        <w:rPr>
          <w:rFonts w:ascii="Courier New" w:hAnsi="Courier New" w:cs="Courier New"/>
          <w:sz w:val="24"/>
          <w:szCs w:val="24"/>
        </w:rPr>
        <w:t xml:space="preserve"> long as the occupation is identified by a SOC code, it is a recognized occupation.</w:t>
      </w:r>
    </w:p>
    <w:p w14:paraId="062B3AF3" w14:textId="4CE6DE3C" w:rsidR="00515793" w:rsidRPr="00242FF4" w:rsidRDefault="00515793" w:rsidP="004D408A">
      <w:pPr>
        <w:autoSpaceDE w:val="0"/>
        <w:autoSpaceDN w:val="0"/>
        <w:adjustRightInd w:val="0"/>
        <w:spacing w:after="0" w:line="480" w:lineRule="auto"/>
        <w:rPr>
          <w:rFonts w:ascii="Calibari Body" w:hAnsi="Calibari Body" w:cs="Arial"/>
          <w:sz w:val="24"/>
          <w:szCs w:val="24"/>
          <w:highlight w:val="yellow"/>
        </w:rPr>
      </w:pPr>
      <w:r w:rsidRPr="00EA6E27">
        <w:rPr>
          <w:rFonts w:ascii="Courier New" w:hAnsi="Courier New" w:cs="Courier New"/>
          <w:sz w:val="24"/>
          <w:szCs w:val="24"/>
          <w:u w:val="single"/>
        </w:rPr>
        <w:t>Changes</w:t>
      </w:r>
      <w:r>
        <w:rPr>
          <w:rFonts w:ascii="Courier New" w:hAnsi="Courier New" w:cs="Courier New"/>
          <w:sz w:val="24"/>
          <w:szCs w:val="24"/>
        </w:rPr>
        <w:t>:  None.</w:t>
      </w:r>
    </w:p>
    <w:p w14:paraId="2095E406" w14:textId="36771B0F" w:rsidR="00D074E9" w:rsidRDefault="00D074E9" w:rsidP="004D408A">
      <w:pPr>
        <w:spacing w:after="0" w:line="480" w:lineRule="auto"/>
        <w:rPr>
          <w:rFonts w:ascii="Courier New" w:hAnsi="Courier New" w:cs="Courier New"/>
          <w:sz w:val="24"/>
          <w:szCs w:val="24"/>
        </w:rPr>
      </w:pPr>
      <w:r w:rsidRPr="00EA6E27">
        <w:rPr>
          <w:rFonts w:ascii="Courier New" w:hAnsi="Courier New" w:cs="Courier New"/>
          <w:sz w:val="24"/>
          <w:szCs w:val="24"/>
          <w:u w:val="single"/>
        </w:rPr>
        <w:t>Comments</w:t>
      </w:r>
      <w:r>
        <w:rPr>
          <w:rFonts w:ascii="Courier New" w:hAnsi="Courier New" w:cs="Courier New"/>
          <w:sz w:val="24"/>
          <w:szCs w:val="24"/>
        </w:rPr>
        <w:t>:  Some commenters claimed that the proposed regulations would require institutions to lower their tuition</w:t>
      </w:r>
      <w:r w:rsidR="00960265">
        <w:rPr>
          <w:rFonts w:ascii="Courier New" w:hAnsi="Courier New" w:cs="Courier New"/>
          <w:sz w:val="24"/>
          <w:szCs w:val="24"/>
        </w:rPr>
        <w:t xml:space="preserve"> in order to meet the D/E rates measure</w:t>
      </w:r>
      <w:r>
        <w:rPr>
          <w:rFonts w:ascii="Courier New" w:hAnsi="Courier New" w:cs="Courier New"/>
          <w:sz w:val="24"/>
          <w:szCs w:val="24"/>
        </w:rPr>
        <w:t xml:space="preserve">.  </w:t>
      </w:r>
      <w:r w:rsidR="0047006E">
        <w:rPr>
          <w:rFonts w:ascii="Courier New" w:hAnsi="Courier New" w:cs="Courier New"/>
          <w:sz w:val="24"/>
          <w:szCs w:val="24"/>
        </w:rPr>
        <w:t>Referencing a House of Representatives committee report from 2005, t</w:t>
      </w:r>
      <w:r>
        <w:rPr>
          <w:rFonts w:ascii="Courier New" w:hAnsi="Courier New" w:cs="Courier New"/>
          <w:sz w:val="24"/>
          <w:szCs w:val="24"/>
        </w:rPr>
        <w:t>he commenter stated that this was contrary to Congress’ decision not to regulate institutions</w:t>
      </w:r>
      <w:r w:rsidR="009B4D49">
        <w:rPr>
          <w:rFonts w:ascii="Courier New" w:hAnsi="Courier New" w:cs="Courier New"/>
          <w:sz w:val="24"/>
          <w:szCs w:val="24"/>
        </w:rPr>
        <w:t>’</w:t>
      </w:r>
      <w:r>
        <w:rPr>
          <w:rFonts w:ascii="Courier New" w:hAnsi="Courier New" w:cs="Courier New"/>
          <w:sz w:val="24"/>
          <w:szCs w:val="24"/>
        </w:rPr>
        <w:t xml:space="preserve"> tuition.  </w:t>
      </w:r>
      <w:r w:rsidR="00245674">
        <w:rPr>
          <w:rFonts w:ascii="Courier New" w:hAnsi="Courier New" w:cs="Courier New"/>
          <w:sz w:val="24"/>
          <w:szCs w:val="24"/>
        </w:rPr>
        <w:t>One</w:t>
      </w:r>
      <w:r w:rsidR="00515793">
        <w:rPr>
          <w:rFonts w:ascii="Courier New" w:hAnsi="Courier New" w:cs="Courier New"/>
          <w:sz w:val="24"/>
          <w:szCs w:val="24"/>
        </w:rPr>
        <w:t xml:space="preserve"> commenter stated that the proposed regulations </w:t>
      </w:r>
      <w:r w:rsidR="00515793" w:rsidRPr="00515793">
        <w:rPr>
          <w:rFonts w:ascii="Courier New" w:hAnsi="Courier New" w:cs="Courier New"/>
          <w:sz w:val="24"/>
        </w:rPr>
        <w:t>attempt to address the costs of deferments and</w:t>
      </w:r>
      <w:r w:rsidR="00515793">
        <w:rPr>
          <w:rFonts w:ascii="Courier New" w:hAnsi="Courier New" w:cs="Courier New"/>
          <w:sz w:val="24"/>
        </w:rPr>
        <w:t xml:space="preserve"> other repayment options, but that </w:t>
      </w:r>
      <w:r w:rsidR="00515793" w:rsidRPr="00515793">
        <w:rPr>
          <w:rFonts w:ascii="Courier New" w:hAnsi="Courier New" w:cs="Courier New"/>
          <w:sz w:val="24"/>
        </w:rPr>
        <w:t xml:space="preserve">Congress has </w:t>
      </w:r>
      <w:r w:rsidR="00515793">
        <w:rPr>
          <w:rFonts w:ascii="Courier New" w:hAnsi="Courier New" w:cs="Courier New"/>
          <w:sz w:val="24"/>
        </w:rPr>
        <w:t xml:space="preserve">already </w:t>
      </w:r>
      <w:r w:rsidR="00515793" w:rsidRPr="00515793">
        <w:rPr>
          <w:rFonts w:ascii="Courier New" w:hAnsi="Courier New" w:cs="Courier New"/>
          <w:sz w:val="24"/>
        </w:rPr>
        <w:t xml:space="preserve">created </w:t>
      </w:r>
      <w:r w:rsidR="00515793" w:rsidRPr="00515793">
        <w:rPr>
          <w:rFonts w:ascii="Courier New" w:hAnsi="Courier New" w:cs="Courier New"/>
          <w:sz w:val="24"/>
        </w:rPr>
        <w:lastRenderedPageBreak/>
        <w:t>mechanisms to address the issue of increasing student debt load and rising tuition costs</w:t>
      </w:r>
      <w:r w:rsidR="00515793">
        <w:rPr>
          <w:rFonts w:ascii="Courier New" w:hAnsi="Courier New" w:cs="Courier New"/>
          <w:sz w:val="24"/>
        </w:rPr>
        <w:t xml:space="preserve">.  The commenter claimed that the proposed regulations would require institutions to reduce tuition and therefore are contrary to congressional action in this area.  </w:t>
      </w:r>
    </w:p>
    <w:p w14:paraId="06A63E92" w14:textId="4E3A2AC7" w:rsidR="00D074E9" w:rsidRDefault="00D074E9" w:rsidP="004D408A">
      <w:pPr>
        <w:spacing w:after="0" w:line="480" w:lineRule="auto"/>
        <w:rPr>
          <w:rFonts w:ascii="Courier New" w:hAnsi="Courier New" w:cs="Courier New"/>
          <w:sz w:val="24"/>
          <w:szCs w:val="24"/>
        </w:rPr>
      </w:pPr>
      <w:r w:rsidRPr="00EA6E27">
        <w:rPr>
          <w:rFonts w:ascii="Courier New" w:hAnsi="Courier New" w:cs="Courier New"/>
          <w:sz w:val="24"/>
          <w:szCs w:val="24"/>
          <w:u w:val="single"/>
        </w:rPr>
        <w:t>Discussion</w:t>
      </w:r>
      <w:r>
        <w:rPr>
          <w:rFonts w:ascii="Courier New" w:hAnsi="Courier New" w:cs="Courier New"/>
          <w:sz w:val="24"/>
          <w:szCs w:val="24"/>
        </w:rPr>
        <w:t>:</w:t>
      </w:r>
      <w:r w:rsidR="009B4D49">
        <w:rPr>
          <w:rFonts w:ascii="Courier New" w:hAnsi="Courier New" w:cs="Courier New"/>
          <w:sz w:val="24"/>
          <w:szCs w:val="24"/>
        </w:rPr>
        <w:t xml:space="preserve">  The regulations do not require institutions to lower their tuition.  Reducing </w:t>
      </w:r>
      <w:r w:rsidR="004A07ED">
        <w:rPr>
          <w:rFonts w:ascii="Courier New" w:hAnsi="Courier New" w:cs="Courier New"/>
          <w:sz w:val="24"/>
          <w:szCs w:val="24"/>
        </w:rPr>
        <w:t xml:space="preserve">tuition and fees </w:t>
      </w:r>
      <w:r w:rsidR="00A816B6">
        <w:rPr>
          <w:rFonts w:ascii="Courier New" w:hAnsi="Courier New" w:cs="Courier New"/>
          <w:sz w:val="24"/>
          <w:szCs w:val="24"/>
        </w:rPr>
        <w:t>may</w:t>
      </w:r>
      <w:r w:rsidR="004A07ED">
        <w:rPr>
          <w:rFonts w:ascii="Courier New" w:hAnsi="Courier New" w:cs="Courier New"/>
          <w:sz w:val="24"/>
          <w:szCs w:val="24"/>
        </w:rPr>
        <w:t xml:space="preserve"> </w:t>
      </w:r>
      <w:r w:rsidR="00A816B6">
        <w:rPr>
          <w:rFonts w:ascii="Courier New" w:hAnsi="Courier New" w:cs="Courier New"/>
          <w:sz w:val="24"/>
          <w:szCs w:val="24"/>
        </w:rPr>
        <w:t xml:space="preserve">be one </w:t>
      </w:r>
      <w:r w:rsidR="004A07ED">
        <w:rPr>
          <w:rFonts w:ascii="Courier New" w:hAnsi="Courier New" w:cs="Courier New"/>
          <w:sz w:val="24"/>
          <w:szCs w:val="24"/>
        </w:rPr>
        <w:t xml:space="preserve">way for an institution to </w:t>
      </w:r>
      <w:r w:rsidR="00A816B6">
        <w:rPr>
          <w:rFonts w:ascii="Courier New" w:hAnsi="Courier New" w:cs="Courier New"/>
          <w:sz w:val="24"/>
          <w:szCs w:val="24"/>
        </w:rPr>
        <w:t xml:space="preserve">meet the D/E rates measure </w:t>
      </w:r>
      <w:r w:rsidR="004A07ED">
        <w:rPr>
          <w:rFonts w:ascii="Courier New" w:hAnsi="Courier New" w:cs="Courier New"/>
          <w:sz w:val="24"/>
          <w:szCs w:val="24"/>
        </w:rPr>
        <w:t xml:space="preserve">but it is not the only way.  </w:t>
      </w:r>
      <w:r w:rsidR="00A816B6">
        <w:rPr>
          <w:rFonts w:ascii="Courier New" w:hAnsi="Courier New" w:cs="Courier New"/>
          <w:sz w:val="24"/>
          <w:szCs w:val="24"/>
        </w:rPr>
        <w:t>I</w:t>
      </w:r>
      <w:r w:rsidR="004A07ED">
        <w:rPr>
          <w:rFonts w:ascii="Courier New" w:hAnsi="Courier New" w:cs="Courier New"/>
          <w:sz w:val="24"/>
          <w:szCs w:val="24"/>
        </w:rPr>
        <w:t>nstitution</w:t>
      </w:r>
      <w:r w:rsidR="00A816B6">
        <w:rPr>
          <w:rFonts w:ascii="Courier New" w:hAnsi="Courier New" w:cs="Courier New"/>
          <w:sz w:val="24"/>
          <w:szCs w:val="24"/>
        </w:rPr>
        <w:t>s</w:t>
      </w:r>
      <w:r w:rsidR="004A07ED">
        <w:rPr>
          <w:rFonts w:ascii="Courier New" w:hAnsi="Courier New" w:cs="Courier New"/>
          <w:sz w:val="24"/>
          <w:szCs w:val="24"/>
        </w:rPr>
        <w:t xml:space="preserve"> </w:t>
      </w:r>
      <w:r w:rsidR="00A816B6">
        <w:rPr>
          <w:rFonts w:ascii="Courier New" w:hAnsi="Courier New" w:cs="Courier New"/>
          <w:sz w:val="24"/>
          <w:szCs w:val="24"/>
        </w:rPr>
        <w:t xml:space="preserve">can also meet the D/E rates measure by having high-quality </w:t>
      </w:r>
      <w:r w:rsidR="002D7281">
        <w:rPr>
          <w:rFonts w:ascii="Courier New" w:hAnsi="Courier New" w:cs="Courier New"/>
          <w:sz w:val="24"/>
          <w:szCs w:val="24"/>
        </w:rPr>
        <w:t xml:space="preserve">program </w:t>
      </w:r>
      <w:r w:rsidR="00A816B6">
        <w:rPr>
          <w:rFonts w:ascii="Courier New" w:hAnsi="Courier New" w:cs="Courier New"/>
          <w:sz w:val="24"/>
          <w:szCs w:val="24"/>
        </w:rPr>
        <w:t>curricul</w:t>
      </w:r>
      <w:r w:rsidR="002D7281">
        <w:rPr>
          <w:rFonts w:ascii="Courier New" w:hAnsi="Courier New" w:cs="Courier New"/>
          <w:sz w:val="24"/>
          <w:szCs w:val="24"/>
        </w:rPr>
        <w:t>a</w:t>
      </w:r>
      <w:r w:rsidR="00A816B6">
        <w:rPr>
          <w:rFonts w:ascii="Courier New" w:hAnsi="Courier New" w:cs="Courier New"/>
          <w:sz w:val="24"/>
          <w:szCs w:val="24"/>
        </w:rPr>
        <w:t xml:space="preserve"> and engag</w:t>
      </w:r>
      <w:r w:rsidR="002D7281">
        <w:rPr>
          <w:rFonts w:ascii="Courier New" w:hAnsi="Courier New" w:cs="Courier New"/>
          <w:sz w:val="24"/>
          <w:szCs w:val="24"/>
        </w:rPr>
        <w:t>ing</w:t>
      </w:r>
      <w:r w:rsidR="00A816B6">
        <w:rPr>
          <w:rFonts w:ascii="Courier New" w:hAnsi="Courier New" w:cs="Courier New"/>
          <w:sz w:val="24"/>
          <w:szCs w:val="24"/>
        </w:rPr>
        <w:t xml:space="preserve"> in robust efforts to place students.</w:t>
      </w:r>
      <w:r w:rsidR="004A07ED">
        <w:rPr>
          <w:rFonts w:ascii="Courier New" w:hAnsi="Courier New" w:cs="Courier New"/>
          <w:sz w:val="24"/>
          <w:szCs w:val="24"/>
        </w:rPr>
        <w:t xml:space="preserve">  </w:t>
      </w:r>
    </w:p>
    <w:p w14:paraId="07A5BDFC" w14:textId="50540082" w:rsidR="0047006E" w:rsidRPr="0047006E" w:rsidRDefault="0047006E" w:rsidP="004D408A">
      <w:pPr>
        <w:spacing w:after="0" w:line="480" w:lineRule="auto"/>
        <w:rPr>
          <w:rFonts w:ascii="Courier New" w:hAnsi="Courier New" w:cs="Courier New"/>
          <w:color w:val="000000"/>
          <w:sz w:val="24"/>
          <w:szCs w:val="24"/>
        </w:rPr>
      </w:pPr>
      <w:r>
        <w:rPr>
          <w:rFonts w:ascii="Courier New" w:hAnsi="Courier New" w:cs="Courier New"/>
          <w:sz w:val="24"/>
          <w:szCs w:val="24"/>
        </w:rPr>
        <w:t xml:space="preserve">     The regulations also are not contrary to Congress’ findings in H.R. Rep. 109-231.  </w:t>
      </w:r>
      <w:r>
        <w:rPr>
          <w:rFonts w:ascii="Courier New" w:hAnsi="Courier New" w:cs="Courier New"/>
          <w:color w:val="000000"/>
          <w:sz w:val="24"/>
          <w:szCs w:val="24"/>
        </w:rPr>
        <w:t>That</w:t>
      </w:r>
      <w:r w:rsidRPr="0047006E">
        <w:rPr>
          <w:rFonts w:ascii="Courier New" w:hAnsi="Courier New" w:cs="Courier New"/>
          <w:color w:val="000000"/>
          <w:sz w:val="24"/>
          <w:szCs w:val="24"/>
        </w:rPr>
        <w:t xml:space="preserve"> report states “</w:t>
      </w:r>
      <w:r>
        <w:rPr>
          <w:rFonts w:ascii="Courier New" w:hAnsi="Courier New" w:cs="Courier New"/>
          <w:color w:val="000000"/>
          <w:sz w:val="24"/>
          <w:szCs w:val="24"/>
        </w:rPr>
        <w:t>[i]</w:t>
      </w:r>
      <w:r w:rsidRPr="0047006E">
        <w:rPr>
          <w:rFonts w:ascii="Courier New" w:hAnsi="Courier New" w:cs="Courier New"/>
          <w:color w:val="000000"/>
          <w:sz w:val="24"/>
          <w:szCs w:val="24"/>
        </w:rPr>
        <w:t xml:space="preserve">t is the </w:t>
      </w:r>
      <w:r w:rsidR="00955AB6">
        <w:rPr>
          <w:rFonts w:ascii="Courier New" w:hAnsi="Courier New" w:cs="Courier New"/>
          <w:color w:val="000000"/>
          <w:sz w:val="24"/>
          <w:szCs w:val="24"/>
        </w:rPr>
        <w:t>C</w:t>
      </w:r>
      <w:r w:rsidRPr="0047006E">
        <w:rPr>
          <w:rFonts w:ascii="Courier New" w:hAnsi="Courier New" w:cs="Courier New"/>
          <w:color w:val="000000"/>
          <w:sz w:val="24"/>
          <w:szCs w:val="24"/>
        </w:rPr>
        <w:t>ommittee’s position that</w:t>
      </w:r>
      <w:r w:rsidR="00955AB6">
        <w:rPr>
          <w:rFonts w:ascii="Courier New" w:hAnsi="Courier New" w:cs="Courier New"/>
          <w:color w:val="000000"/>
          <w:sz w:val="24"/>
          <w:szCs w:val="24"/>
        </w:rPr>
        <w:t xml:space="preserve"> . . .</w:t>
      </w:r>
      <w:r w:rsidRPr="0047006E">
        <w:rPr>
          <w:rFonts w:ascii="Courier New" w:hAnsi="Courier New" w:cs="Courier New"/>
          <w:color w:val="000000"/>
          <w:sz w:val="24"/>
          <w:szCs w:val="24"/>
        </w:rPr>
        <w:t xml:space="preserve"> the Federal Government does not have the ability </w:t>
      </w:r>
      <w:r w:rsidRPr="0047006E">
        <w:rPr>
          <w:rFonts w:ascii="Courier New" w:hAnsi="Courier New" w:cs="Courier New"/>
          <w:i/>
          <w:color w:val="000000"/>
          <w:sz w:val="24"/>
          <w:szCs w:val="24"/>
        </w:rPr>
        <w:t>to set tuition and fee rates</w:t>
      </w:r>
      <w:r w:rsidRPr="0047006E">
        <w:rPr>
          <w:rFonts w:ascii="Courier New" w:hAnsi="Courier New" w:cs="Courier New"/>
          <w:color w:val="000000"/>
          <w:sz w:val="24"/>
          <w:szCs w:val="24"/>
        </w:rPr>
        <w:t xml:space="preserve"> for colleges and universities.”  </w:t>
      </w:r>
      <w:r>
        <w:rPr>
          <w:rFonts w:ascii="Courier New" w:hAnsi="Courier New" w:cs="Courier New"/>
          <w:color w:val="000000"/>
          <w:sz w:val="24"/>
          <w:szCs w:val="24"/>
        </w:rPr>
        <w:t xml:space="preserve">H.R. Rep. 109-231, at 159 (emphasis added).  Given that these regulations do not “set tuition and fee rates for colleges and universities,” there is no conflict with the congressional findings in this report.  </w:t>
      </w:r>
    </w:p>
    <w:p w14:paraId="77388628" w14:textId="498CD4C9" w:rsidR="00D074E9" w:rsidRPr="00D140AB" w:rsidRDefault="00D074E9" w:rsidP="004D408A">
      <w:pPr>
        <w:spacing w:after="0" w:line="480" w:lineRule="auto"/>
        <w:rPr>
          <w:rFonts w:ascii="Courier New" w:hAnsi="Courier New" w:cs="Courier New"/>
          <w:sz w:val="24"/>
          <w:szCs w:val="24"/>
        </w:rPr>
      </w:pPr>
      <w:r w:rsidRPr="00EA6E27">
        <w:rPr>
          <w:rFonts w:ascii="Courier New" w:hAnsi="Courier New" w:cs="Courier New"/>
          <w:sz w:val="24"/>
          <w:szCs w:val="24"/>
          <w:u w:val="single"/>
        </w:rPr>
        <w:t>Changes</w:t>
      </w:r>
      <w:r>
        <w:rPr>
          <w:rFonts w:ascii="Courier New" w:hAnsi="Courier New" w:cs="Courier New"/>
          <w:sz w:val="24"/>
          <w:szCs w:val="24"/>
        </w:rPr>
        <w:t xml:space="preserve">:  None.  </w:t>
      </w:r>
    </w:p>
    <w:p w14:paraId="4269AF6A" w14:textId="034BCCE9"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Several commenters contended that the Department failed to satisfy its obligations under the Administrative Procedure Act in conducting negotiat</w:t>
      </w:r>
      <w:r w:rsidR="00A51854">
        <w:rPr>
          <w:rFonts w:ascii="Courier New" w:hAnsi="Courier New" w:cs="Courier New"/>
          <w:sz w:val="24"/>
          <w:szCs w:val="24"/>
        </w:rPr>
        <w:t>ed</w:t>
      </w:r>
      <w:r w:rsidRPr="00D140AB">
        <w:rPr>
          <w:rFonts w:ascii="Courier New" w:hAnsi="Courier New" w:cs="Courier New"/>
          <w:sz w:val="24"/>
          <w:szCs w:val="24"/>
        </w:rPr>
        <w:t xml:space="preserve"> rulemaking.  Specifically, the commenters asserted that representatives of </w:t>
      </w:r>
      <w:r w:rsidRPr="00D140AB">
        <w:rPr>
          <w:rFonts w:ascii="Courier New" w:hAnsi="Courier New" w:cs="Courier New"/>
          <w:sz w:val="24"/>
          <w:szCs w:val="24"/>
        </w:rPr>
        <w:lastRenderedPageBreak/>
        <w:t xml:space="preserve">for-profit institutions and business and industry, as well as representatives from law, medical, and other professional schools, were not adequately represented on the negotiating committee.  They further </w:t>
      </w:r>
      <w:r w:rsidR="009B37B1">
        <w:rPr>
          <w:rFonts w:ascii="Courier New" w:hAnsi="Courier New" w:cs="Courier New"/>
          <w:sz w:val="24"/>
          <w:szCs w:val="24"/>
        </w:rPr>
        <w:t>argued</w:t>
      </w:r>
      <w:r w:rsidRPr="00D140AB">
        <w:rPr>
          <w:rFonts w:ascii="Courier New" w:hAnsi="Courier New" w:cs="Courier New"/>
          <w:sz w:val="24"/>
          <w:szCs w:val="24"/>
        </w:rPr>
        <w:t xml:space="preserve"> that the Department did not listen to the views of negotiators during the negotiated rulemaking sessions.</w:t>
      </w:r>
      <w:r w:rsidR="0079087E">
        <w:rPr>
          <w:rFonts w:ascii="Courier New" w:hAnsi="Courier New" w:cs="Courier New"/>
          <w:sz w:val="24"/>
          <w:szCs w:val="24"/>
        </w:rPr>
        <w:t xml:space="preserve">  </w:t>
      </w:r>
      <w:r w:rsidR="009B37B1">
        <w:rPr>
          <w:rFonts w:ascii="Courier New" w:hAnsi="Courier New" w:cs="Courier New"/>
          <w:sz w:val="24"/>
          <w:szCs w:val="24"/>
        </w:rPr>
        <w:t>Some</w:t>
      </w:r>
      <w:r w:rsidR="0079087E">
        <w:rPr>
          <w:rFonts w:ascii="Courier New" w:hAnsi="Courier New" w:cs="Courier New"/>
          <w:sz w:val="24"/>
          <w:szCs w:val="24"/>
        </w:rPr>
        <w:t xml:space="preserve"> commenters stated that the Department </w:t>
      </w:r>
      <w:r w:rsidR="00D8069D">
        <w:rPr>
          <w:rFonts w:ascii="Courier New" w:hAnsi="Courier New" w:cs="Courier New"/>
          <w:sz w:val="24"/>
          <w:szCs w:val="24"/>
        </w:rPr>
        <w:t>did</w:t>
      </w:r>
      <w:r w:rsidR="0079087E">
        <w:rPr>
          <w:rFonts w:ascii="Courier New" w:hAnsi="Courier New" w:cs="Courier New"/>
          <w:sz w:val="24"/>
          <w:szCs w:val="24"/>
        </w:rPr>
        <w:t xml:space="preserve"> not conduct the negotiations in good faith because </w:t>
      </w:r>
      <w:r w:rsidR="00D8069D">
        <w:rPr>
          <w:rFonts w:ascii="Courier New" w:hAnsi="Courier New" w:cs="Courier New"/>
          <w:sz w:val="24"/>
          <w:szCs w:val="24"/>
        </w:rPr>
        <w:t xml:space="preserve">the negotiation </w:t>
      </w:r>
      <w:r w:rsidR="0079087E">
        <w:rPr>
          <w:rFonts w:ascii="Courier New" w:hAnsi="Courier New" w:cs="Courier New"/>
          <w:sz w:val="24"/>
          <w:szCs w:val="24"/>
        </w:rPr>
        <w:t xml:space="preserve">sessions were held for </w:t>
      </w:r>
      <w:r w:rsidR="009B37B1">
        <w:rPr>
          <w:rFonts w:ascii="Courier New" w:hAnsi="Courier New" w:cs="Courier New"/>
          <w:sz w:val="24"/>
          <w:szCs w:val="24"/>
        </w:rPr>
        <w:t>seven</w:t>
      </w:r>
      <w:r w:rsidR="0079087E">
        <w:rPr>
          <w:rFonts w:ascii="Courier New" w:hAnsi="Courier New" w:cs="Courier New"/>
          <w:sz w:val="24"/>
          <w:szCs w:val="24"/>
        </w:rPr>
        <w:t xml:space="preserve"> days when other negotiated rulemaking sessions have taken longer.  </w:t>
      </w:r>
    </w:p>
    <w:p w14:paraId="4269AF6B" w14:textId="3DD2E544" w:rsidR="001D71D1"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The negotiated rulemaking process ensures that a broad range of interests </w:t>
      </w:r>
      <w:r w:rsidR="00AD41C9">
        <w:rPr>
          <w:rFonts w:ascii="Courier New" w:hAnsi="Courier New" w:cs="Courier New"/>
          <w:sz w:val="24"/>
          <w:szCs w:val="24"/>
        </w:rPr>
        <w:t>is</w:t>
      </w:r>
      <w:r w:rsidRPr="00D140AB">
        <w:rPr>
          <w:rFonts w:ascii="Courier New" w:hAnsi="Courier New" w:cs="Courier New"/>
          <w:sz w:val="24"/>
          <w:szCs w:val="24"/>
        </w:rPr>
        <w:t xml:space="preserve"> considered in the development of regulations.  Specifically, negotiated rulemaking seeks to enhance the rulemaking process through the involvement of all parties who will be significantly affected by the topics for which the regulations will be developed.  Accordingly, section 492(b)(1) of the HEA</w:t>
      </w:r>
      <w:r w:rsidR="00955AB6">
        <w:rPr>
          <w:rFonts w:ascii="Courier New" w:hAnsi="Courier New" w:cs="Courier New"/>
          <w:sz w:val="24"/>
          <w:szCs w:val="24"/>
        </w:rPr>
        <w:t>, 20 U.S.C. 1098a(b)(1),</w:t>
      </w:r>
      <w:r w:rsidRPr="00D140AB">
        <w:rPr>
          <w:rFonts w:ascii="Courier New" w:hAnsi="Courier New" w:cs="Courier New"/>
          <w:sz w:val="24"/>
          <w:szCs w:val="24"/>
        </w:rPr>
        <w:t xml:space="preserve"> requires the Department to choose negotiators from groups representing many different constituencies.  The Department selects individuals with demonstrated expertise or experience in the relevant subjects under negotiation, reflecting the diversity of higher education interests and stakeholder groups, large and small, national, State, and local.  In addition, the Department selects negotiators with the goal of providing adequate representation for the affected parties while keeping the size of the committee </w:t>
      </w:r>
      <w:r w:rsidRPr="00D140AB">
        <w:rPr>
          <w:rFonts w:ascii="Courier New" w:hAnsi="Courier New" w:cs="Courier New"/>
          <w:sz w:val="24"/>
          <w:szCs w:val="24"/>
        </w:rPr>
        <w:lastRenderedPageBreak/>
        <w:t>manageable.  The statute does not require the Department to select specific entities or individuals to be on the committee.  As there was a committee member representing each of for-profit institutions and business and industry interests, we do not agree that these groups were not adequately represented on the committee.  We also do not agree that specific areas of training, such as law and medicine, required specific representation, as institutions with such program</w:t>
      </w:r>
      <w:r w:rsidR="000C6C16" w:rsidRPr="00D140AB">
        <w:rPr>
          <w:rFonts w:ascii="Courier New" w:hAnsi="Courier New" w:cs="Courier New"/>
          <w:sz w:val="24"/>
          <w:szCs w:val="24"/>
        </w:rPr>
        <w:t>s</w:t>
      </w:r>
      <w:r w:rsidRPr="00D140AB">
        <w:rPr>
          <w:rFonts w:ascii="Courier New" w:hAnsi="Courier New" w:cs="Courier New"/>
          <w:sz w:val="24"/>
          <w:szCs w:val="24"/>
        </w:rPr>
        <w:t xml:space="preserve"> were represented at the sector level.</w:t>
      </w:r>
    </w:p>
    <w:p w14:paraId="4269AF6C" w14:textId="0AC7C126"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r>
      <w:r w:rsidR="003222D9">
        <w:rPr>
          <w:rFonts w:ascii="Courier New" w:hAnsi="Courier New" w:cs="Courier New"/>
          <w:sz w:val="24"/>
          <w:szCs w:val="24"/>
        </w:rPr>
        <w:t>W</w:t>
      </w:r>
      <w:r w:rsidRPr="00D140AB">
        <w:rPr>
          <w:rFonts w:ascii="Courier New" w:hAnsi="Courier New" w:cs="Courier New"/>
          <w:sz w:val="24"/>
          <w:szCs w:val="24"/>
        </w:rPr>
        <w:t xml:space="preserve">hile it is to be expected that some committee members will have interests that differ from other members and that consensus is not always reached, as in the case of these regulations, the negotiated rulemaking process is intended to provide stakeholders an opportunity to present alternative ideas, to identify areas where compromises can be reached, and to help inform the agency’s views.  In the negotiated rulemaking sessions for these regulations, there was robust discussion of the draft regulations, negotiators including those representing the commenters submitted a number of proposals for the committee to consider, and, as we described in detail in the NPRM, the views and suggestions of negotiators informed the proposed and these final regulations.  </w:t>
      </w:r>
    </w:p>
    <w:p w14:paraId="0B5E8FEE" w14:textId="15167975" w:rsidR="00D8069D" w:rsidRPr="00D140AB" w:rsidRDefault="00D8069D" w:rsidP="004D408A">
      <w:pPr>
        <w:spacing w:after="0" w:line="480" w:lineRule="auto"/>
        <w:rPr>
          <w:rFonts w:ascii="Courier New" w:hAnsi="Courier New" w:cs="Courier New"/>
          <w:sz w:val="24"/>
          <w:szCs w:val="24"/>
        </w:rPr>
      </w:pPr>
      <w:r>
        <w:rPr>
          <w:rFonts w:ascii="Courier New" w:hAnsi="Courier New" w:cs="Courier New"/>
          <w:sz w:val="24"/>
          <w:szCs w:val="24"/>
        </w:rPr>
        <w:t xml:space="preserve">     With respect to the length of the negotiations, the HEA does not require </w:t>
      </w:r>
      <w:r w:rsidR="003222D9">
        <w:rPr>
          <w:rFonts w:ascii="Courier New" w:hAnsi="Courier New" w:cs="Courier New"/>
          <w:sz w:val="24"/>
          <w:szCs w:val="24"/>
        </w:rPr>
        <w:t xml:space="preserve">negotiated rulemaking sessions to be held for </w:t>
      </w:r>
      <w:r>
        <w:rPr>
          <w:rFonts w:ascii="Courier New" w:hAnsi="Courier New" w:cs="Courier New"/>
          <w:sz w:val="24"/>
          <w:szCs w:val="24"/>
        </w:rPr>
        <w:t xml:space="preserve">a </w:t>
      </w:r>
      <w:r>
        <w:rPr>
          <w:rFonts w:ascii="Courier New" w:hAnsi="Courier New" w:cs="Courier New"/>
          <w:sz w:val="24"/>
          <w:szCs w:val="24"/>
        </w:rPr>
        <w:lastRenderedPageBreak/>
        <w:t>minimum number of days.  Seven days was a sufficient amount of time to conduct these negotiations.</w:t>
      </w:r>
    </w:p>
    <w:p w14:paraId="4269AF6D"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6E"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A number of commenters stated that the proposed regulations were arbitrary and capricious and therefore violate the Administrative Procedure Act.  Commenters raised this concern both generally and with respect to specific elements of the proposed regulations.  For example, several commenters argued that the thresholds for the D/E rates measure lack a reasoned basis.  As another example, some commenters claimed that the Department was arbitrary and capricious in proposing regulations that were different from those promulgated in the 2011 Final Rules.  </w:t>
      </w:r>
    </w:p>
    <w:p w14:paraId="4269AF6F" w14:textId="12C080E9"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address commenters’ arguments with respect to specific provisions of the regulations in the sections of this preamble specific to those provisions.  However, as a general matter, in taking this regulatory action, we have considered relevant data and factors, considered and responded to comments, and articulated a reasoned basis for our actions.  </w:t>
      </w:r>
      <w:r w:rsidRPr="00D140AB">
        <w:rPr>
          <w:rFonts w:ascii="Courier New" w:hAnsi="Courier New" w:cs="Courier New"/>
          <w:iCs/>
          <w:sz w:val="24"/>
          <w:szCs w:val="24"/>
          <w:u w:val="single"/>
        </w:rPr>
        <w:t>Marsh v. Oregon Natural Res. Council</w:t>
      </w:r>
      <w:r w:rsidRPr="00D140AB">
        <w:rPr>
          <w:rFonts w:ascii="Courier New" w:hAnsi="Courier New" w:cs="Courier New"/>
          <w:iCs/>
          <w:sz w:val="24"/>
          <w:szCs w:val="24"/>
        </w:rPr>
        <w:t>,</w:t>
      </w:r>
      <w:r w:rsidRPr="00D140AB">
        <w:rPr>
          <w:rFonts w:ascii="Courier New" w:hAnsi="Courier New" w:cs="Courier New"/>
          <w:sz w:val="24"/>
          <w:szCs w:val="24"/>
        </w:rPr>
        <w:t xml:space="preserve"> 490 U.S. 360, 378 (1989); </w:t>
      </w:r>
      <w:r w:rsidRPr="00D140AB">
        <w:rPr>
          <w:rFonts w:ascii="Courier New" w:hAnsi="Courier New" w:cs="Courier New"/>
          <w:iCs/>
          <w:sz w:val="24"/>
          <w:szCs w:val="24"/>
          <w:u w:val="single"/>
        </w:rPr>
        <w:t>Motor Vehicle Mfrs. Ass’n v. State Farm Mut. Auto. Ins. Co.</w:t>
      </w:r>
      <w:r w:rsidRPr="00D140AB">
        <w:rPr>
          <w:rFonts w:ascii="Courier New" w:hAnsi="Courier New" w:cs="Courier New"/>
          <w:iCs/>
          <w:sz w:val="24"/>
          <w:szCs w:val="24"/>
        </w:rPr>
        <w:t>,</w:t>
      </w:r>
      <w:r w:rsidRPr="00D140AB">
        <w:rPr>
          <w:rFonts w:ascii="Courier New" w:hAnsi="Courier New" w:cs="Courier New"/>
          <w:sz w:val="24"/>
          <w:szCs w:val="24"/>
        </w:rPr>
        <w:t xml:space="preserve"> 463 U.S. 29, 43 (1983); </w:t>
      </w:r>
      <w:r w:rsidRPr="00D140AB">
        <w:rPr>
          <w:rFonts w:ascii="Courier New" w:hAnsi="Courier New" w:cs="Courier New"/>
          <w:iCs/>
          <w:sz w:val="24"/>
          <w:szCs w:val="24"/>
          <w:u w:val="single"/>
        </w:rPr>
        <w:t>see also</w:t>
      </w:r>
      <w:r w:rsidRPr="00D140AB">
        <w:rPr>
          <w:rFonts w:ascii="Courier New" w:hAnsi="Courier New" w:cs="Courier New"/>
          <w:iCs/>
          <w:sz w:val="24"/>
          <w:szCs w:val="24"/>
        </w:rPr>
        <w:t xml:space="preserve"> </w:t>
      </w:r>
      <w:r w:rsidRPr="00D140AB">
        <w:rPr>
          <w:rFonts w:ascii="Courier New" w:hAnsi="Courier New" w:cs="Courier New"/>
          <w:iCs/>
          <w:sz w:val="24"/>
          <w:szCs w:val="24"/>
          <w:u w:val="single"/>
        </w:rPr>
        <w:t>Pub. Citizen, Inc. v. Fed. Aviation Admin.</w:t>
      </w:r>
      <w:r w:rsidRPr="00D140AB">
        <w:rPr>
          <w:rFonts w:ascii="Courier New" w:hAnsi="Courier New" w:cs="Courier New"/>
          <w:iCs/>
          <w:sz w:val="24"/>
          <w:szCs w:val="24"/>
        </w:rPr>
        <w:t>,</w:t>
      </w:r>
      <w:r w:rsidRPr="00D140AB">
        <w:rPr>
          <w:rFonts w:ascii="Courier New" w:hAnsi="Courier New" w:cs="Courier New"/>
          <w:sz w:val="24"/>
          <w:szCs w:val="24"/>
        </w:rPr>
        <w:t xml:space="preserve"> 988 F.2d 186, 197 (D.C.Cir.1993); </w:t>
      </w:r>
      <w:r w:rsidRPr="00D140AB">
        <w:rPr>
          <w:rFonts w:ascii="Courier New" w:hAnsi="Courier New" w:cs="Courier New"/>
          <w:iCs/>
          <w:sz w:val="24"/>
          <w:szCs w:val="24"/>
          <w:u w:val="single"/>
        </w:rPr>
        <w:t>PPL Wallingford Energy LLC v. FERC</w:t>
      </w:r>
      <w:r w:rsidRPr="00D140AB">
        <w:rPr>
          <w:rFonts w:ascii="Courier New" w:hAnsi="Courier New" w:cs="Courier New"/>
          <w:iCs/>
          <w:sz w:val="24"/>
          <w:szCs w:val="24"/>
        </w:rPr>
        <w:t>,</w:t>
      </w:r>
      <w:r w:rsidRPr="00D140AB">
        <w:rPr>
          <w:rFonts w:ascii="Courier New" w:hAnsi="Courier New" w:cs="Courier New"/>
          <w:sz w:val="24"/>
          <w:szCs w:val="24"/>
        </w:rPr>
        <w:t xml:space="preserve"> 419 F.3d 1194, 1198 (D.C.Cir.2005).  Further, for </w:t>
      </w:r>
      <w:r w:rsidRPr="00D140AB">
        <w:rPr>
          <w:rFonts w:ascii="Courier New" w:hAnsi="Courier New" w:cs="Courier New"/>
          <w:sz w:val="24"/>
          <w:szCs w:val="24"/>
        </w:rPr>
        <w:lastRenderedPageBreak/>
        <w:t xml:space="preserve">those provisions of the regulations that differ from those established in the 2011 Final Rules, we have provided a reasoned basis for our departure from prior policy.  </w:t>
      </w:r>
      <w:r w:rsidRPr="00D140AB">
        <w:rPr>
          <w:rFonts w:ascii="Courier New" w:hAnsi="Courier New" w:cs="Courier New"/>
          <w:iCs/>
          <w:sz w:val="24"/>
          <w:szCs w:val="24"/>
          <w:u w:val="single"/>
        </w:rPr>
        <w:t>Motor Vehicle</w:t>
      </w:r>
      <w:r w:rsidRPr="00D140AB">
        <w:rPr>
          <w:rFonts w:ascii="Courier New" w:hAnsi="Courier New" w:cs="Courier New"/>
          <w:iCs/>
          <w:sz w:val="24"/>
          <w:szCs w:val="24"/>
        </w:rPr>
        <w:t>,</w:t>
      </w:r>
      <w:r w:rsidRPr="00D140AB">
        <w:rPr>
          <w:rFonts w:ascii="Courier New" w:hAnsi="Courier New" w:cs="Courier New"/>
          <w:sz w:val="24"/>
          <w:szCs w:val="24"/>
        </w:rPr>
        <w:t xml:space="preserve"> 463 U.S. at 57; </w:t>
      </w:r>
      <w:r w:rsidRPr="00D140AB">
        <w:rPr>
          <w:rFonts w:ascii="Courier New" w:hAnsi="Courier New" w:cs="Courier New"/>
          <w:iCs/>
          <w:sz w:val="24"/>
          <w:szCs w:val="24"/>
          <w:u w:val="single"/>
        </w:rPr>
        <w:t>see also</w:t>
      </w:r>
      <w:r w:rsidRPr="00D140AB">
        <w:rPr>
          <w:rFonts w:ascii="Courier New" w:hAnsi="Courier New" w:cs="Courier New"/>
          <w:i/>
          <w:iCs/>
          <w:sz w:val="24"/>
          <w:szCs w:val="24"/>
        </w:rPr>
        <w:t xml:space="preserve"> </w:t>
      </w:r>
      <w:r w:rsidRPr="00D140AB">
        <w:rPr>
          <w:rFonts w:ascii="Courier New" w:hAnsi="Courier New" w:cs="Courier New"/>
          <w:iCs/>
          <w:sz w:val="24"/>
          <w:szCs w:val="24"/>
          <w:u w:val="single"/>
        </w:rPr>
        <w:t>Williams Gas Processing–Gulf Coast Co., L.P. v. FERC</w:t>
      </w:r>
      <w:r w:rsidRPr="00D140AB">
        <w:rPr>
          <w:rFonts w:ascii="Courier New" w:hAnsi="Courier New" w:cs="Courier New"/>
          <w:iCs/>
          <w:sz w:val="24"/>
          <w:szCs w:val="24"/>
        </w:rPr>
        <w:t>,</w:t>
      </w:r>
      <w:r w:rsidRPr="00D140AB">
        <w:rPr>
          <w:rFonts w:ascii="Courier New" w:hAnsi="Courier New" w:cs="Courier New"/>
          <w:sz w:val="24"/>
          <w:szCs w:val="24"/>
        </w:rPr>
        <w:t xml:space="preserve"> 475 F.3d 319, 326 (D.C.Cir.2006); </w:t>
      </w:r>
      <w:r w:rsidRPr="00D140AB">
        <w:rPr>
          <w:rFonts w:ascii="Courier New" w:hAnsi="Courier New" w:cs="Courier New"/>
          <w:iCs/>
          <w:sz w:val="24"/>
          <w:szCs w:val="24"/>
          <w:u w:val="single"/>
        </w:rPr>
        <w:t>Rust</w:t>
      </w:r>
      <w:r w:rsidR="00D061BB">
        <w:rPr>
          <w:rFonts w:ascii="Courier New" w:hAnsi="Courier New" w:cs="Courier New"/>
          <w:iCs/>
          <w:sz w:val="24"/>
          <w:szCs w:val="24"/>
          <w:u w:val="single"/>
        </w:rPr>
        <w:t xml:space="preserve"> v. Sullivan</w:t>
      </w:r>
      <w:r w:rsidRPr="00D140AB">
        <w:rPr>
          <w:rFonts w:ascii="Courier New" w:hAnsi="Courier New" w:cs="Courier New"/>
          <w:iCs/>
          <w:sz w:val="24"/>
          <w:szCs w:val="24"/>
        </w:rPr>
        <w:t>,</w:t>
      </w:r>
      <w:r w:rsidRPr="00D140AB">
        <w:rPr>
          <w:rFonts w:ascii="Courier New" w:hAnsi="Courier New" w:cs="Courier New"/>
          <w:sz w:val="24"/>
          <w:szCs w:val="24"/>
        </w:rPr>
        <w:t xml:space="preserve"> 500 U.S. </w:t>
      </w:r>
      <w:r w:rsidR="00D061BB">
        <w:rPr>
          <w:rFonts w:ascii="Courier New" w:hAnsi="Courier New" w:cs="Courier New"/>
          <w:sz w:val="24"/>
          <w:szCs w:val="24"/>
        </w:rPr>
        <w:t>173,</w:t>
      </w:r>
      <w:r w:rsidRPr="00D140AB">
        <w:rPr>
          <w:rFonts w:ascii="Courier New" w:hAnsi="Courier New" w:cs="Courier New"/>
          <w:sz w:val="24"/>
          <w:szCs w:val="24"/>
        </w:rPr>
        <w:t xml:space="preserve"> 187 </w:t>
      </w:r>
      <w:r w:rsidR="00D061BB">
        <w:rPr>
          <w:rFonts w:ascii="Courier New" w:hAnsi="Courier New" w:cs="Courier New"/>
          <w:sz w:val="24"/>
          <w:szCs w:val="24"/>
        </w:rPr>
        <w:t>(1991</w:t>
      </w:r>
      <w:r w:rsidR="00387744">
        <w:rPr>
          <w:rFonts w:ascii="Courier New" w:hAnsi="Courier New" w:cs="Courier New"/>
          <w:sz w:val="24"/>
          <w:szCs w:val="24"/>
        </w:rPr>
        <w:t>)</w:t>
      </w:r>
      <w:r w:rsidRPr="00D140AB">
        <w:rPr>
          <w:rFonts w:ascii="Courier New" w:hAnsi="Courier New" w:cs="Courier New"/>
          <w:sz w:val="24"/>
          <w:szCs w:val="24"/>
        </w:rPr>
        <w:t xml:space="preserve">; </w:t>
      </w:r>
      <w:r w:rsidRPr="00D140AB">
        <w:rPr>
          <w:rFonts w:ascii="Courier New" w:hAnsi="Courier New" w:cs="Courier New"/>
          <w:iCs/>
          <w:sz w:val="24"/>
          <w:szCs w:val="24"/>
          <w:u w:val="single"/>
        </w:rPr>
        <w:t>F.C.C. v. Fox Television Stations, Inc.</w:t>
      </w:r>
      <w:r w:rsidRPr="00D140AB">
        <w:rPr>
          <w:rFonts w:ascii="Courier New" w:hAnsi="Courier New" w:cs="Courier New"/>
          <w:iCs/>
          <w:sz w:val="24"/>
          <w:szCs w:val="24"/>
        </w:rPr>
        <w:t>,</w:t>
      </w:r>
      <w:r w:rsidRPr="00D140AB">
        <w:rPr>
          <w:rFonts w:ascii="Courier New" w:hAnsi="Courier New" w:cs="Courier New"/>
          <w:sz w:val="24"/>
          <w:szCs w:val="24"/>
        </w:rPr>
        <w:t xml:space="preserve"> 556 U.S. 502, 514-516 (200</w:t>
      </w:r>
      <w:r w:rsidR="00387744">
        <w:rPr>
          <w:rFonts w:ascii="Courier New" w:hAnsi="Courier New" w:cs="Courier New"/>
          <w:sz w:val="24"/>
          <w:szCs w:val="24"/>
        </w:rPr>
        <w:t>9</w:t>
      </w:r>
      <w:r w:rsidRPr="00D140AB">
        <w:rPr>
          <w:rFonts w:ascii="Courier New" w:hAnsi="Courier New" w:cs="Courier New"/>
          <w:sz w:val="24"/>
          <w:szCs w:val="24"/>
        </w:rPr>
        <w:t xml:space="preserve">); </w:t>
      </w:r>
      <w:r w:rsidRPr="00D140AB">
        <w:rPr>
          <w:rFonts w:ascii="Courier New" w:hAnsi="Courier New" w:cs="Courier New"/>
          <w:iCs/>
          <w:sz w:val="24"/>
          <w:szCs w:val="24"/>
          <w:u w:val="single"/>
        </w:rPr>
        <w:t>Investment Co. Inst. v. Commodity Futures Trading Comm’n</w:t>
      </w:r>
      <w:r w:rsidRPr="00D140AB">
        <w:rPr>
          <w:rFonts w:ascii="Courier New" w:hAnsi="Courier New" w:cs="Courier New"/>
          <w:sz w:val="24"/>
          <w:szCs w:val="24"/>
        </w:rPr>
        <w:t xml:space="preserve">, 720 F.3d 370, 376 (D.C. Cir. 2013).  </w:t>
      </w:r>
    </w:p>
    <w:p w14:paraId="4269AF70"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4269AF71" w14:textId="6CB9E91E" w:rsidR="001D71D1" w:rsidRPr="00D140AB" w:rsidRDefault="001D71D1" w:rsidP="004D408A">
      <w:pPr>
        <w:widowControl w:val="0"/>
        <w:autoSpaceDE w:val="0"/>
        <w:autoSpaceDN w:val="0"/>
        <w:adjustRightInd w:val="0"/>
        <w:spacing w:after="0" w:line="480" w:lineRule="auto"/>
        <w:rPr>
          <w:rFonts w:ascii="Courier New" w:hAnsi="Courier New" w:cs="Courier New"/>
          <w:sz w:val="24"/>
          <w:szCs w:val="24"/>
        </w:rPr>
      </w:pPr>
      <w:r w:rsidRPr="00EA6E27">
        <w:rPr>
          <w:rFonts w:ascii="Courier New" w:hAnsi="Courier New"/>
          <w:sz w:val="24"/>
          <w:u w:val="single"/>
        </w:rPr>
        <w:t>Comments</w:t>
      </w:r>
      <w:r w:rsidRPr="00EA6E27">
        <w:rPr>
          <w:rFonts w:ascii="Courier New" w:hAnsi="Courier New"/>
          <w:sz w:val="24"/>
        </w:rPr>
        <w:t>:</w:t>
      </w:r>
      <w:r w:rsidRPr="00D140AB">
        <w:rPr>
          <w:rFonts w:ascii="Courier New" w:hAnsi="Courier New" w:cs="Courier New"/>
          <w:sz w:val="24"/>
          <w:szCs w:val="24"/>
        </w:rPr>
        <w:t xml:space="preserve">  Various commenters argued that the regulations are impermissibly retroactive.  These commenters </w:t>
      </w:r>
      <w:r w:rsidR="00525CA8">
        <w:rPr>
          <w:rFonts w:ascii="Courier New" w:hAnsi="Courier New" w:cs="Courier New"/>
          <w:sz w:val="24"/>
          <w:szCs w:val="24"/>
        </w:rPr>
        <w:t>contended</w:t>
      </w:r>
      <w:r w:rsidR="00525CA8" w:rsidRPr="00D140AB">
        <w:rPr>
          <w:rFonts w:ascii="Courier New" w:hAnsi="Courier New" w:cs="Courier New"/>
          <w:sz w:val="24"/>
          <w:szCs w:val="24"/>
        </w:rPr>
        <w:t xml:space="preserve"> </w:t>
      </w:r>
      <w:r w:rsidRPr="00D140AB">
        <w:rPr>
          <w:rFonts w:ascii="Courier New" w:hAnsi="Courier New" w:cs="Courier New"/>
          <w:sz w:val="24"/>
          <w:szCs w:val="24"/>
        </w:rPr>
        <w:t xml:space="preserve">that the </w:t>
      </w:r>
      <w:r w:rsidR="00137FEB">
        <w:rPr>
          <w:rFonts w:ascii="Courier New" w:hAnsi="Courier New" w:cs="Courier New"/>
          <w:sz w:val="24"/>
          <w:szCs w:val="24"/>
        </w:rPr>
        <w:t>accountability metrics</w:t>
      </w:r>
      <w:r w:rsidRPr="00D140AB">
        <w:rPr>
          <w:rFonts w:ascii="Courier New" w:hAnsi="Courier New" w:cs="Courier New"/>
          <w:sz w:val="24"/>
          <w:szCs w:val="24"/>
        </w:rPr>
        <w:t xml:space="preserve"> reflect historical performance and not current program performance and</w:t>
      </w:r>
      <w:r w:rsidR="00137FEB">
        <w:rPr>
          <w:rFonts w:ascii="Courier New" w:hAnsi="Courier New" w:cs="Courier New"/>
          <w:sz w:val="24"/>
          <w:szCs w:val="24"/>
        </w:rPr>
        <w:t>,</w:t>
      </w:r>
      <w:r w:rsidRPr="00D140AB">
        <w:rPr>
          <w:rFonts w:ascii="Courier New" w:hAnsi="Courier New" w:cs="Courier New"/>
          <w:sz w:val="24"/>
          <w:szCs w:val="24"/>
        </w:rPr>
        <w:t xml:space="preserve"> at least initially</w:t>
      </w:r>
      <w:r w:rsidR="00137FEB">
        <w:rPr>
          <w:rFonts w:ascii="Courier New" w:hAnsi="Courier New" w:cs="Courier New"/>
          <w:sz w:val="24"/>
          <w:szCs w:val="24"/>
        </w:rPr>
        <w:t>,</w:t>
      </w:r>
      <w:r w:rsidRPr="00D140AB">
        <w:rPr>
          <w:rFonts w:ascii="Courier New" w:hAnsi="Courier New" w:cs="Courier New"/>
          <w:sz w:val="24"/>
          <w:szCs w:val="24"/>
        </w:rPr>
        <w:t xml:space="preserve"> would apply standards to measure a program’s performance at a time when the standards were not in effect.  Commenters suggested that this approach deprives institutions of any ability to make improvements that would be reflected in </w:t>
      </w:r>
      <w:r w:rsidR="00137FEB">
        <w:rPr>
          <w:rFonts w:ascii="Courier New" w:hAnsi="Courier New" w:cs="Courier New"/>
          <w:sz w:val="24"/>
          <w:szCs w:val="24"/>
        </w:rPr>
        <w:t>those programs’</w:t>
      </w:r>
      <w:r w:rsidR="00137FEB" w:rsidRPr="00D140AB">
        <w:rPr>
          <w:rFonts w:ascii="Courier New" w:hAnsi="Courier New" w:cs="Courier New"/>
          <w:sz w:val="24"/>
          <w:szCs w:val="24"/>
        </w:rPr>
        <w:t xml:space="preserve"> </w:t>
      </w:r>
      <w:r w:rsidRPr="00D140AB">
        <w:rPr>
          <w:rFonts w:ascii="Courier New" w:hAnsi="Courier New" w:cs="Courier New"/>
          <w:sz w:val="24"/>
          <w:szCs w:val="24"/>
        </w:rPr>
        <w:t xml:space="preserve">initial D/E rates.  Some commenters noted that this issue is more significant </w:t>
      </w:r>
      <w:r w:rsidR="00525CA8">
        <w:rPr>
          <w:rFonts w:ascii="Courier New" w:hAnsi="Courier New" w:cs="Courier New"/>
          <w:sz w:val="24"/>
          <w:szCs w:val="24"/>
        </w:rPr>
        <w:t>for</w:t>
      </w:r>
      <w:r w:rsidR="00525CA8" w:rsidRPr="00D140AB">
        <w:rPr>
          <w:rFonts w:ascii="Courier New" w:hAnsi="Courier New" w:cs="Courier New"/>
          <w:sz w:val="24"/>
          <w:szCs w:val="24"/>
        </w:rPr>
        <w:t xml:space="preserve"> </w:t>
      </w:r>
      <w:r w:rsidRPr="00D140AB">
        <w:rPr>
          <w:rFonts w:ascii="Courier New" w:hAnsi="Courier New" w:cs="Courier New"/>
          <w:sz w:val="24"/>
          <w:szCs w:val="24"/>
        </w:rPr>
        <w:t xml:space="preserve">programs that are of longer duration, as there will be a longer period after implementation of the regulations during which the D/E rates are based on </w:t>
      </w:r>
      <w:r w:rsidR="00E56770">
        <w:rPr>
          <w:rFonts w:ascii="Courier New" w:hAnsi="Courier New" w:cs="Courier New"/>
          <w:sz w:val="24"/>
          <w:szCs w:val="24"/>
        </w:rPr>
        <w:t>student</w:t>
      </w:r>
      <w:r w:rsidR="008A5C4A">
        <w:rPr>
          <w:rFonts w:ascii="Courier New" w:hAnsi="Courier New" w:cs="Courier New"/>
          <w:sz w:val="24"/>
          <w:szCs w:val="24"/>
        </w:rPr>
        <w:t xml:space="preserve"> </w:t>
      </w:r>
      <w:r w:rsidRPr="00D140AB">
        <w:rPr>
          <w:rFonts w:ascii="Courier New" w:hAnsi="Courier New" w:cs="Courier New"/>
          <w:sz w:val="24"/>
          <w:szCs w:val="24"/>
        </w:rPr>
        <w:t xml:space="preserve">outcomes that predate the regulations.  Some commenters also noted that the manner in which program performance is measured could result in </w:t>
      </w:r>
      <w:r w:rsidRPr="00D140AB">
        <w:rPr>
          <w:rFonts w:ascii="Courier New" w:hAnsi="Courier New" w:cs="Courier New"/>
          <w:sz w:val="24"/>
          <w:szCs w:val="24"/>
        </w:rPr>
        <w:lastRenderedPageBreak/>
        <w:t xml:space="preserve">programs being required to provide warnings to students that would depress enrollment at times when the program had already been improved.  </w:t>
      </w:r>
    </w:p>
    <w:p w14:paraId="4269AF72" w14:textId="7BE471FD" w:rsidR="001D71D1" w:rsidRPr="00D140AB" w:rsidRDefault="001D71D1" w:rsidP="004D408A">
      <w:pPr>
        <w:widowControl w:val="0"/>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t xml:space="preserve">     Commenters proposed that the Department lengthen the transition period to avoid any sanctions against low</w:t>
      </w:r>
      <w:r w:rsidR="00137FEB">
        <w:rPr>
          <w:rFonts w:ascii="Courier New" w:hAnsi="Courier New" w:cs="Courier New"/>
          <w:sz w:val="24"/>
          <w:szCs w:val="24"/>
        </w:rPr>
        <w:t>-</w:t>
      </w:r>
      <w:r w:rsidRPr="00D140AB">
        <w:rPr>
          <w:rFonts w:ascii="Courier New" w:hAnsi="Courier New" w:cs="Courier New"/>
          <w:sz w:val="24"/>
          <w:szCs w:val="24"/>
        </w:rPr>
        <w:t xml:space="preserve">performing programs based upon periods when the new regulations were not in effect.  Other commenters urged that some mechanism be used to take more recent program </w:t>
      </w:r>
      <w:r w:rsidR="000C6C16" w:rsidRPr="00D140AB">
        <w:rPr>
          <w:rFonts w:ascii="Courier New" w:hAnsi="Courier New" w:cs="Courier New"/>
          <w:sz w:val="24"/>
          <w:szCs w:val="24"/>
        </w:rPr>
        <w:t>performance</w:t>
      </w:r>
      <w:r w:rsidRPr="00D140AB">
        <w:rPr>
          <w:rFonts w:ascii="Courier New" w:hAnsi="Courier New" w:cs="Courier New"/>
          <w:sz w:val="24"/>
          <w:szCs w:val="24"/>
        </w:rPr>
        <w:t xml:space="preserve"> into consideration.</w:t>
      </w:r>
    </w:p>
    <w:p w14:paraId="4269AF73" w14:textId="65A85E7B" w:rsidR="001D71D1" w:rsidRDefault="001D71D1" w:rsidP="004D408A">
      <w:pPr>
        <w:widowControl w:val="0"/>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Eligibility determinations based on past program performance, even performance that predates the effective date of the regulations, does not present a legal impediment to these regulations.  A law is “not retroactive merely because the facts upon which its subsequent action depends are drawn from a time antecedent to the enactment.”  </w:t>
      </w:r>
      <w:r w:rsidRPr="00D140AB">
        <w:rPr>
          <w:rFonts w:ascii="Courier New" w:hAnsi="Courier New" w:cs="Courier New"/>
          <w:sz w:val="24"/>
          <w:szCs w:val="24"/>
          <w:u w:val="single"/>
        </w:rPr>
        <w:t>Reynolds v. United States</w:t>
      </w:r>
      <w:r w:rsidRPr="00D140AB">
        <w:rPr>
          <w:rFonts w:ascii="Courier New" w:hAnsi="Courier New" w:cs="Courier New"/>
          <w:sz w:val="24"/>
          <w:szCs w:val="24"/>
        </w:rPr>
        <w:t xml:space="preserve">, 292 U.S. 443, 449 (1934).  This principle applies even when, as is the case with </w:t>
      </w:r>
      <w:r w:rsidR="000C6C16" w:rsidRPr="00D140AB">
        <w:rPr>
          <w:rFonts w:ascii="Courier New" w:hAnsi="Courier New" w:cs="Courier New"/>
          <w:sz w:val="24"/>
          <w:szCs w:val="24"/>
        </w:rPr>
        <w:t xml:space="preserve">these </w:t>
      </w:r>
      <w:r w:rsidRPr="00D140AB">
        <w:rPr>
          <w:rFonts w:ascii="Courier New" w:hAnsi="Courier New" w:cs="Courier New"/>
          <w:sz w:val="24"/>
          <w:szCs w:val="24"/>
        </w:rPr>
        <w:t xml:space="preserve">regulations, the statutes or regulations at issue were not in effect during the period being measured.  </w:t>
      </w:r>
      <w:r w:rsidRPr="00D140AB">
        <w:rPr>
          <w:rFonts w:ascii="Courier New" w:hAnsi="Courier New" w:cs="Courier New"/>
          <w:sz w:val="24"/>
          <w:szCs w:val="24"/>
          <w:u w:val="single"/>
        </w:rPr>
        <w:t>Career College Ass’n v. Riley</w:t>
      </w:r>
      <w:r w:rsidRPr="00D140AB">
        <w:rPr>
          <w:rFonts w:ascii="Courier New" w:hAnsi="Courier New" w:cs="Courier New"/>
          <w:sz w:val="24"/>
          <w:szCs w:val="24"/>
        </w:rPr>
        <w:t>, No. 94</w:t>
      </w:r>
      <w:r w:rsidR="00955AB6">
        <w:rPr>
          <w:rFonts w:ascii="Courier New" w:hAnsi="Courier New" w:cs="Courier New"/>
          <w:sz w:val="24"/>
          <w:szCs w:val="24"/>
        </w:rPr>
        <w:t>-</w:t>
      </w:r>
      <w:r w:rsidRPr="00D140AB">
        <w:rPr>
          <w:rFonts w:ascii="Courier New" w:hAnsi="Courier New" w:cs="Courier New"/>
          <w:sz w:val="24"/>
          <w:szCs w:val="24"/>
        </w:rPr>
        <w:t xml:space="preserve">1214, 1994 WL 396294 (D.D.C. July 19, 1994).  This principle has been confirmed in the context of the Department’s use of institutional cohort default rates.  </w:t>
      </w:r>
      <w:r w:rsidRPr="00D140AB">
        <w:rPr>
          <w:rFonts w:ascii="Courier New" w:hAnsi="Courier New" w:cs="Courier New"/>
          <w:sz w:val="24"/>
          <w:szCs w:val="24"/>
          <w:u w:val="single"/>
        </w:rPr>
        <w:t>Ass’n of Accredited Cosmetology Schools v. Alexander</w:t>
      </w:r>
      <w:r w:rsidRPr="00D140AB">
        <w:rPr>
          <w:rFonts w:ascii="Courier New" w:hAnsi="Courier New" w:cs="Courier New"/>
          <w:sz w:val="24"/>
          <w:szCs w:val="24"/>
        </w:rPr>
        <w:t>, 979 F.2d 859, 860</w:t>
      </w:r>
      <w:r w:rsidR="00955AB6">
        <w:rPr>
          <w:rFonts w:ascii="Courier New" w:hAnsi="Courier New" w:cs="Courier New"/>
          <w:sz w:val="24"/>
          <w:szCs w:val="24"/>
        </w:rPr>
        <w:t>-</w:t>
      </w:r>
      <w:r w:rsidRPr="00D140AB">
        <w:rPr>
          <w:rFonts w:ascii="Courier New" w:hAnsi="Courier New" w:cs="Courier New"/>
          <w:sz w:val="24"/>
          <w:szCs w:val="24"/>
        </w:rPr>
        <w:t xml:space="preserve">62 (D.C. Cir. 1992); </w:t>
      </w:r>
      <w:r w:rsidRPr="00D140AB">
        <w:rPr>
          <w:rFonts w:ascii="Courier New" w:hAnsi="Courier New" w:cs="Courier New"/>
          <w:sz w:val="24"/>
          <w:szCs w:val="24"/>
          <w:u w:val="single"/>
        </w:rPr>
        <w:t>Pro Schools Inc. v. Riley</w:t>
      </w:r>
      <w:r w:rsidRPr="00D140AB">
        <w:rPr>
          <w:rFonts w:ascii="Courier New" w:hAnsi="Courier New" w:cs="Courier New"/>
          <w:sz w:val="24"/>
          <w:szCs w:val="24"/>
        </w:rPr>
        <w:t>, 824 F.Supp. 1314 (</w:t>
      </w:r>
      <w:r w:rsidR="00955AB6">
        <w:rPr>
          <w:rFonts w:ascii="Courier New" w:hAnsi="Courier New" w:cs="Courier New"/>
          <w:sz w:val="24"/>
          <w:szCs w:val="24"/>
        </w:rPr>
        <w:t>E.</w:t>
      </w:r>
      <w:r w:rsidRPr="00D140AB">
        <w:rPr>
          <w:rFonts w:ascii="Courier New" w:hAnsi="Courier New" w:cs="Courier New"/>
          <w:sz w:val="24"/>
          <w:szCs w:val="24"/>
        </w:rPr>
        <w:t xml:space="preserve">D. Wis. 1993).  The courts in these matters found that measuring the past default rates of </w:t>
      </w:r>
      <w:r w:rsidRPr="00D140AB">
        <w:rPr>
          <w:rFonts w:ascii="Courier New" w:hAnsi="Courier New" w:cs="Courier New"/>
          <w:sz w:val="24"/>
          <w:szCs w:val="24"/>
        </w:rPr>
        <w:lastRenderedPageBreak/>
        <w:t xml:space="preserve">institutions was appropriate because the results would not be used to undo past eligibility, but rather, to determine future eligibility.  </w:t>
      </w:r>
      <w:r w:rsidRPr="00D140AB">
        <w:rPr>
          <w:rFonts w:ascii="Courier New" w:hAnsi="Courier New" w:cs="Courier New"/>
          <w:sz w:val="24"/>
          <w:szCs w:val="24"/>
          <w:u w:val="single"/>
        </w:rPr>
        <w:t>See</w:t>
      </w:r>
      <w:r w:rsidRPr="00D140AB">
        <w:rPr>
          <w:rFonts w:ascii="Courier New" w:hAnsi="Courier New" w:cs="Courier New"/>
          <w:sz w:val="24"/>
          <w:szCs w:val="24"/>
        </w:rPr>
        <w:t xml:space="preserve">, </w:t>
      </w:r>
      <w:r w:rsidRPr="00D140AB">
        <w:rPr>
          <w:rFonts w:ascii="Courier New" w:hAnsi="Courier New" w:cs="Courier New"/>
          <w:sz w:val="24"/>
          <w:szCs w:val="24"/>
          <w:u w:val="single"/>
        </w:rPr>
        <w:t>e.g.</w:t>
      </w:r>
      <w:r w:rsidRPr="00D140AB">
        <w:rPr>
          <w:rFonts w:ascii="Courier New" w:hAnsi="Courier New" w:cs="Courier New"/>
          <w:sz w:val="24"/>
          <w:szCs w:val="24"/>
        </w:rPr>
        <w:t xml:space="preserve">, </w:t>
      </w:r>
      <w:r w:rsidRPr="00D140AB">
        <w:rPr>
          <w:rFonts w:ascii="Courier New" w:hAnsi="Courier New" w:cs="Courier New"/>
          <w:sz w:val="24"/>
          <w:szCs w:val="24"/>
          <w:u w:val="single"/>
        </w:rPr>
        <w:t>Ass’n of Accredited Cosmetology Schools</w:t>
      </w:r>
      <w:r w:rsidRPr="00D140AB">
        <w:rPr>
          <w:rFonts w:ascii="Courier New" w:hAnsi="Courier New" w:cs="Courier New"/>
          <w:sz w:val="24"/>
          <w:szCs w:val="24"/>
        </w:rPr>
        <w:t xml:space="preserve">, 979 F.2d at 865.  As with the institutional cohort default rate requirements, </w:t>
      </w:r>
      <w:r w:rsidR="004A0060">
        <w:rPr>
          <w:rFonts w:ascii="Courier New" w:hAnsi="Courier New" w:cs="Courier New"/>
          <w:sz w:val="24"/>
          <w:szCs w:val="24"/>
        </w:rPr>
        <w:t>as</w:t>
      </w:r>
      <w:r w:rsidRPr="00D140AB">
        <w:rPr>
          <w:rFonts w:ascii="Courier New" w:hAnsi="Courier New" w:cs="Courier New"/>
          <w:sz w:val="24"/>
          <w:szCs w:val="24"/>
        </w:rPr>
        <w:t xml:space="preserve"> long as it is a program’s future eligibility that is being determined using the D/E rates measure, the assessment can be based on prior periods of time. </w:t>
      </w:r>
      <w:r w:rsidR="000B6212">
        <w:rPr>
          <w:rFonts w:ascii="Courier New" w:hAnsi="Courier New" w:cs="Courier New"/>
          <w:sz w:val="24"/>
          <w:szCs w:val="24"/>
        </w:rPr>
        <w:t xml:space="preserve"> </w:t>
      </w:r>
      <w:r w:rsidR="00CF782D" w:rsidRPr="00D140AB">
        <w:rPr>
          <w:rFonts w:ascii="Courier New" w:hAnsi="Courier New" w:cs="Courier New"/>
          <w:sz w:val="24"/>
          <w:szCs w:val="24"/>
        </w:rPr>
        <w:t xml:space="preserve">Indeed, the </w:t>
      </w:r>
      <w:r w:rsidR="00866401">
        <w:rPr>
          <w:rFonts w:ascii="Courier New" w:hAnsi="Courier New" w:cs="Courier New"/>
          <w:sz w:val="24"/>
          <w:szCs w:val="24"/>
        </w:rPr>
        <w:t>c</w:t>
      </w:r>
      <w:r w:rsidR="00CF782D" w:rsidRPr="00D140AB">
        <w:rPr>
          <w:rFonts w:ascii="Courier New" w:hAnsi="Courier New" w:cs="Courier New"/>
          <w:sz w:val="24"/>
          <w:szCs w:val="24"/>
        </w:rPr>
        <w:t xml:space="preserve">ourt in </w:t>
      </w:r>
      <w:r w:rsidR="00CF782D" w:rsidRPr="004F6FA4">
        <w:rPr>
          <w:rFonts w:ascii="Courier New" w:hAnsi="Courier New"/>
          <w:sz w:val="24"/>
          <w:u w:val="single"/>
        </w:rPr>
        <w:t>APSCU v. Duncan</w:t>
      </w:r>
      <w:r w:rsidR="00CF782D" w:rsidRPr="00D140AB">
        <w:rPr>
          <w:rFonts w:ascii="Courier New" w:hAnsi="Courier New" w:cs="Courier New"/>
          <w:sz w:val="24"/>
          <w:szCs w:val="24"/>
        </w:rPr>
        <w:t xml:space="preserve"> rejected this </w:t>
      </w:r>
      <w:r w:rsidR="004F6FA4">
        <w:rPr>
          <w:rFonts w:ascii="Courier New" w:hAnsi="Courier New" w:cs="Courier New"/>
          <w:sz w:val="24"/>
          <w:szCs w:val="24"/>
        </w:rPr>
        <w:t>retroactivity</w:t>
      </w:r>
      <w:r w:rsidR="00CF782D" w:rsidRPr="00D140AB">
        <w:rPr>
          <w:rFonts w:ascii="Courier New" w:hAnsi="Courier New" w:cs="Courier New"/>
          <w:sz w:val="24"/>
          <w:szCs w:val="24"/>
        </w:rPr>
        <w:t xml:space="preserve"> argument with respect to the</w:t>
      </w:r>
      <w:r w:rsidR="00E310CD">
        <w:rPr>
          <w:rFonts w:ascii="Courier New" w:hAnsi="Courier New" w:cs="Courier New"/>
          <w:sz w:val="24"/>
          <w:szCs w:val="24"/>
        </w:rPr>
        <w:t xml:space="preserve"> 2011 Prior Rule</w:t>
      </w:r>
      <w:r w:rsidR="00CF782D" w:rsidRPr="00D140AB">
        <w:rPr>
          <w:rFonts w:ascii="Courier New" w:hAnsi="Courier New" w:cs="Courier New"/>
          <w:sz w:val="24"/>
          <w:szCs w:val="24"/>
        </w:rPr>
        <w:t>.  870 F. Supp. 2d at 151-52.</w:t>
      </w:r>
      <w:r w:rsidRPr="00D140AB">
        <w:rPr>
          <w:rFonts w:ascii="Courier New" w:hAnsi="Courier New" w:cs="Courier New"/>
          <w:sz w:val="24"/>
          <w:szCs w:val="24"/>
        </w:rPr>
        <w:t xml:space="preserve"> </w:t>
      </w:r>
    </w:p>
    <w:p w14:paraId="0A577B6F" w14:textId="06B7BA0F" w:rsidR="00AF12AC" w:rsidRPr="00D140AB" w:rsidRDefault="00AF12AC" w:rsidP="004D408A">
      <w:pPr>
        <w:widowControl w:val="0"/>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We discuss the comments relating to the transition period under “§668.404  Calculating D/E </w:t>
      </w:r>
      <w:r w:rsidR="004F6FA4">
        <w:rPr>
          <w:rFonts w:ascii="Courier New" w:hAnsi="Courier New" w:cs="Courier New"/>
          <w:sz w:val="24"/>
          <w:szCs w:val="24"/>
        </w:rPr>
        <w:t>R</w:t>
      </w:r>
      <w:r>
        <w:rPr>
          <w:rFonts w:ascii="Courier New" w:hAnsi="Courier New" w:cs="Courier New"/>
          <w:sz w:val="24"/>
          <w:szCs w:val="24"/>
        </w:rPr>
        <w:t>ates.”</w:t>
      </w:r>
    </w:p>
    <w:p w14:paraId="4269AF74" w14:textId="77777777" w:rsidR="001D71D1" w:rsidRPr="00D140AB" w:rsidRDefault="001D71D1" w:rsidP="004D408A">
      <w:pPr>
        <w:widowControl w:val="0"/>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75"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We received many comments in support of the proposed regulations, including both general expressions of support and support with respect to specific aspects of the proposed regulations.  Commenters stated that the proposed regulations would help ensure that more students have the opportunity to enter programs that prepare them for gainful employment and that students would be better positioned to repay their educational loans.  Several commenters also believed that the regulations will help curtail the abusive recruiting tactics that were revealed by the Senate Permanent Subcommittee on Investigations and the Senate Committee on Health, Education, Labor and </w:t>
      </w:r>
      <w:r w:rsidRPr="00D140AB">
        <w:rPr>
          <w:rFonts w:ascii="Courier New" w:hAnsi="Courier New" w:cs="Courier New"/>
          <w:sz w:val="24"/>
          <w:szCs w:val="24"/>
        </w:rPr>
        <w:lastRenderedPageBreak/>
        <w:t xml:space="preserve">Pensions (HELP) in 2012.  One commenter expressed support on the basis that, by preventing students from enrolling in low-performing programs, the regulations would curb predatory recruiting practices that target veterans in particular. </w:t>
      </w:r>
    </w:p>
    <w:p w14:paraId="4269AF76"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appreciate the support of these commenters.  </w:t>
      </w:r>
    </w:p>
    <w:p w14:paraId="4269AF77"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79" w14:textId="56EF8501"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We received a number of comments suggesting that the regulations were not sufficiently strong to ensure programs prepare students for gainful employment and to protect students.</w:t>
      </w:r>
      <w:r w:rsidR="005B567A">
        <w:rPr>
          <w:rFonts w:ascii="Courier New" w:hAnsi="Courier New" w:cs="Courier New"/>
          <w:sz w:val="24"/>
          <w:szCs w:val="24"/>
        </w:rPr>
        <w:t xml:space="preserve">  </w:t>
      </w:r>
      <w:r w:rsidRPr="00D140AB">
        <w:rPr>
          <w:rFonts w:ascii="Courier New" w:hAnsi="Courier New" w:cs="Courier New"/>
          <w:sz w:val="24"/>
          <w:szCs w:val="24"/>
        </w:rPr>
        <w:t>One commenter argued that the regulations set</w:t>
      </w:r>
      <w:r w:rsidRPr="00D140AB">
        <w:rPr>
          <w:rFonts w:ascii="Courier New" w:eastAsia="Arial Unicode MS" w:hAnsi="Courier New" w:cs="Courier New"/>
          <w:sz w:val="24"/>
          <w:szCs w:val="24"/>
        </w:rPr>
        <w:t xml:space="preserve"> a low bar for compliance and would do little to stem the flow of Federal dollars to poorly performing institutions.  This commenter argued that Federal investment in a program carries an implied endorsement that the program has been “approved” and that the Department has determined it worthwhile.</w:t>
      </w:r>
      <w:r w:rsidRPr="00D140AB">
        <w:rPr>
          <w:rFonts w:ascii="Courier New" w:hAnsi="Courier New" w:cs="Courier New"/>
          <w:sz w:val="24"/>
          <w:szCs w:val="24"/>
        </w:rPr>
        <w:t xml:space="preserve">  Similarly, several commenters advocated for stronger regulations that close loopholes </w:t>
      </w:r>
      <w:r w:rsidR="000C6C16" w:rsidRPr="00D140AB">
        <w:rPr>
          <w:rFonts w:ascii="Courier New" w:hAnsi="Courier New" w:cs="Courier New"/>
          <w:sz w:val="24"/>
          <w:szCs w:val="24"/>
        </w:rPr>
        <w:t xml:space="preserve">by </w:t>
      </w:r>
      <w:r w:rsidRPr="00D140AB">
        <w:rPr>
          <w:rFonts w:ascii="Courier New" w:hAnsi="Courier New" w:cs="Courier New"/>
          <w:sz w:val="24"/>
          <w:szCs w:val="24"/>
        </w:rPr>
        <w:t xml:space="preserve">which programs could “game” the accountability metrics.  </w:t>
      </w:r>
    </w:p>
    <w:p w14:paraId="4269AF7A"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We disagree that the regulations set too low a bar for compliance.  We believe that the accountability framework strikes a reasonable balance between holding institutions accountable for poor student outcomes and providing institutions the opportunity to improve programs that, if improved, may offer substantial benefits to students and the public.</w:t>
      </w:r>
    </w:p>
    <w:p w14:paraId="4269AF7B" w14:textId="08EDCC40" w:rsidR="001D71D1" w:rsidRPr="00D140AB" w:rsidRDefault="004D408A" w:rsidP="004D408A">
      <w:pPr>
        <w:spacing w:after="0" w:line="480" w:lineRule="auto"/>
        <w:contextualSpacing/>
        <w:rPr>
          <w:rFonts w:ascii="Courier New" w:hAnsi="Courier New" w:cs="Courier New"/>
          <w:sz w:val="24"/>
          <w:szCs w:val="24"/>
        </w:rPr>
      </w:pPr>
      <w:r>
        <w:rPr>
          <w:rFonts w:ascii="Courier New" w:hAnsi="Courier New" w:cs="Courier New"/>
          <w:sz w:val="24"/>
          <w:szCs w:val="24"/>
        </w:rPr>
        <w:lastRenderedPageBreak/>
        <w:t xml:space="preserve">     </w:t>
      </w:r>
      <w:r w:rsidR="001D71D1" w:rsidRPr="00D140AB">
        <w:rPr>
          <w:rFonts w:ascii="Courier New" w:hAnsi="Courier New" w:cs="Courier New"/>
          <w:sz w:val="24"/>
          <w:szCs w:val="24"/>
        </w:rPr>
        <w:t xml:space="preserve">The Department acknowledges the concern among several commenters about potential loopholes in the </w:t>
      </w:r>
      <w:r w:rsidR="000C6C16" w:rsidRPr="00D140AB">
        <w:rPr>
          <w:rFonts w:ascii="Courier New" w:hAnsi="Courier New" w:cs="Courier New"/>
          <w:sz w:val="24"/>
          <w:szCs w:val="24"/>
        </w:rPr>
        <w:t xml:space="preserve">proposed </w:t>
      </w:r>
      <w:r w:rsidR="001D71D1" w:rsidRPr="00D140AB">
        <w:rPr>
          <w:rFonts w:ascii="Courier New" w:hAnsi="Courier New" w:cs="Courier New"/>
          <w:sz w:val="24"/>
          <w:szCs w:val="24"/>
        </w:rPr>
        <w:t xml:space="preserve">accountability metrics and notes that many of these concerns </w:t>
      </w:r>
      <w:r w:rsidR="00073AB4">
        <w:rPr>
          <w:rFonts w:ascii="Courier New" w:hAnsi="Courier New" w:cs="Courier New"/>
          <w:sz w:val="24"/>
          <w:szCs w:val="24"/>
        </w:rPr>
        <w:t>related to</w:t>
      </w:r>
      <w:r w:rsidR="001D71D1" w:rsidRPr="00D140AB">
        <w:rPr>
          <w:rFonts w:ascii="Courier New" w:hAnsi="Courier New" w:cs="Courier New"/>
          <w:sz w:val="24"/>
          <w:szCs w:val="24"/>
        </w:rPr>
        <w:t xml:space="preserve"> program cohort default rates, which in the final regulations will </w:t>
      </w:r>
      <w:r w:rsidR="00AF12AC">
        <w:rPr>
          <w:rFonts w:ascii="Courier New" w:hAnsi="Courier New" w:cs="Courier New"/>
          <w:sz w:val="24"/>
          <w:szCs w:val="24"/>
        </w:rPr>
        <w:t xml:space="preserve">not </w:t>
      </w:r>
      <w:r w:rsidR="001D71D1" w:rsidRPr="00D140AB">
        <w:rPr>
          <w:rFonts w:ascii="Courier New" w:hAnsi="Courier New" w:cs="Courier New"/>
          <w:sz w:val="24"/>
          <w:szCs w:val="24"/>
        </w:rPr>
        <w:t xml:space="preserve">be used as an </w:t>
      </w:r>
      <w:r w:rsidR="0084259F">
        <w:rPr>
          <w:rFonts w:ascii="Courier New" w:hAnsi="Courier New" w:cs="Courier New"/>
          <w:sz w:val="24"/>
          <w:szCs w:val="24"/>
        </w:rPr>
        <w:t>accountability</w:t>
      </w:r>
      <w:r w:rsidR="0084259F" w:rsidRPr="00D140AB">
        <w:rPr>
          <w:rFonts w:ascii="Courier New" w:hAnsi="Courier New" w:cs="Courier New"/>
          <w:sz w:val="24"/>
          <w:szCs w:val="24"/>
        </w:rPr>
        <w:t xml:space="preserve"> </w:t>
      </w:r>
      <w:r w:rsidR="001D71D1" w:rsidRPr="00D140AB">
        <w:rPr>
          <w:rFonts w:ascii="Courier New" w:hAnsi="Courier New" w:cs="Courier New"/>
          <w:sz w:val="24"/>
          <w:szCs w:val="24"/>
        </w:rPr>
        <w:t xml:space="preserve">metric but, rather, </w:t>
      </w:r>
      <w:r w:rsidR="00AF12AC">
        <w:rPr>
          <w:rFonts w:ascii="Courier New" w:hAnsi="Courier New" w:cs="Courier New"/>
          <w:sz w:val="24"/>
          <w:szCs w:val="24"/>
        </w:rPr>
        <w:t xml:space="preserve">will be used only </w:t>
      </w:r>
      <w:r w:rsidR="001D71D1" w:rsidRPr="00D140AB">
        <w:rPr>
          <w:rFonts w:ascii="Courier New" w:hAnsi="Courier New" w:cs="Courier New"/>
          <w:sz w:val="24"/>
          <w:szCs w:val="24"/>
        </w:rPr>
        <w:t>as a potential disclosure item.  We address the commenters’ other specific concerns in the sections of the preamble to which they pertain.  As a general matter, however, although we cannot anticipate every situation in which an institution could potentially evade the intent of the regulations, we believe the regulations will effectively hold institutions accountable for a program’s student outcomes and mak</w:t>
      </w:r>
      <w:r w:rsidR="00073AB4">
        <w:rPr>
          <w:rFonts w:ascii="Courier New" w:hAnsi="Courier New" w:cs="Courier New"/>
          <w:sz w:val="24"/>
          <w:szCs w:val="24"/>
        </w:rPr>
        <w:t>e</w:t>
      </w:r>
      <w:r w:rsidR="001D71D1" w:rsidRPr="00D140AB">
        <w:rPr>
          <w:rFonts w:ascii="Courier New" w:hAnsi="Courier New" w:cs="Courier New"/>
          <w:sz w:val="24"/>
          <w:szCs w:val="24"/>
        </w:rPr>
        <w:t xml:space="preserve"> those outcomes transparent to students, prospective students, the public, taxpayers, and the Government.</w:t>
      </w:r>
    </w:p>
    <w:p w14:paraId="4269AF7C"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7D" w14:textId="1A3E4A62" w:rsidR="001D71D1" w:rsidRPr="00D140AB" w:rsidRDefault="001D71D1" w:rsidP="004D408A">
      <w:pPr>
        <w:spacing w:after="0" w:line="480" w:lineRule="auto"/>
        <w:contextualSpacing/>
        <w:rPr>
          <w:rFonts w:ascii="Courier New" w:eastAsia="Arial Unicode MS" w:hAnsi="Courier New" w:cs="Courier New"/>
          <w:sz w:val="24"/>
          <w:szCs w:val="24"/>
        </w:rPr>
      </w:pPr>
      <w:r w:rsidRPr="00D140AB">
        <w:rPr>
          <w:rFonts w:ascii="Courier New" w:eastAsia="Arial Unicode MS" w:hAnsi="Courier New" w:cs="Courier New"/>
          <w:sz w:val="24"/>
          <w:szCs w:val="24"/>
          <w:u w:val="single"/>
        </w:rPr>
        <w:t>Comments</w:t>
      </w:r>
      <w:r w:rsidRPr="00D140AB">
        <w:rPr>
          <w:rFonts w:ascii="Courier New" w:eastAsia="Arial Unicode MS" w:hAnsi="Courier New" w:cs="Courier New"/>
          <w:sz w:val="24"/>
          <w:szCs w:val="24"/>
        </w:rPr>
        <w:t xml:space="preserve">:  Several commenters argued that the regulations create overly burdensome reporting and compliance requirements that will </w:t>
      </w:r>
      <w:r w:rsidR="00530CF4">
        <w:rPr>
          <w:rFonts w:ascii="Courier New" w:eastAsia="Arial Unicode MS" w:hAnsi="Courier New" w:cs="Courier New"/>
          <w:sz w:val="24"/>
          <w:szCs w:val="24"/>
        </w:rPr>
        <w:t>be an</w:t>
      </w:r>
      <w:r w:rsidR="00530CF4" w:rsidRPr="00D140AB">
        <w:rPr>
          <w:rFonts w:ascii="Courier New" w:eastAsia="Arial Unicode MS" w:hAnsi="Courier New" w:cs="Courier New"/>
          <w:sz w:val="24"/>
          <w:szCs w:val="24"/>
        </w:rPr>
        <w:t xml:space="preserve"> </w:t>
      </w:r>
      <w:r w:rsidRPr="00D140AB">
        <w:rPr>
          <w:rFonts w:ascii="Courier New" w:eastAsia="Arial Unicode MS" w:hAnsi="Courier New" w:cs="Courier New"/>
          <w:sz w:val="24"/>
          <w:szCs w:val="24"/>
        </w:rPr>
        <w:t xml:space="preserve">enormous drain on programs and result in higher tuition costs.  One commenter asserted that the regulations add 1.65 million additional hours of workload for institutions.  Commenters contended that the regulations </w:t>
      </w:r>
      <w:r w:rsidRPr="00D140AB">
        <w:rPr>
          <w:rFonts w:ascii="Courier New" w:hAnsi="Courier New" w:cs="Courier New"/>
          <w:sz w:val="24"/>
          <w:szCs w:val="24"/>
        </w:rPr>
        <w:t xml:space="preserve">would harm community colleges by creating </w:t>
      </w:r>
      <w:r w:rsidR="00530CF4">
        <w:rPr>
          <w:rFonts w:ascii="Courier New" w:hAnsi="Courier New" w:cs="Courier New"/>
          <w:sz w:val="24"/>
          <w:szCs w:val="24"/>
        </w:rPr>
        <w:t>heavy</w:t>
      </w:r>
      <w:r w:rsidR="00530CF4" w:rsidRPr="00D140AB">
        <w:rPr>
          <w:rFonts w:ascii="Courier New" w:hAnsi="Courier New" w:cs="Courier New"/>
          <w:sz w:val="24"/>
          <w:szCs w:val="24"/>
        </w:rPr>
        <w:t xml:space="preserve"> </w:t>
      </w:r>
      <w:r w:rsidRPr="00D140AB">
        <w:rPr>
          <w:rFonts w:ascii="Courier New" w:hAnsi="Courier New" w:cs="Courier New"/>
          <w:sz w:val="24"/>
          <w:szCs w:val="24"/>
        </w:rPr>
        <w:t>regulatory and financial burdens and stifle innovation and employment solutions for both students and businesses</w:t>
      </w:r>
      <w:r w:rsidRPr="00D140AB">
        <w:rPr>
          <w:rFonts w:ascii="Courier New" w:eastAsia="Arial Unicode MS" w:hAnsi="Courier New" w:cs="Courier New"/>
          <w:sz w:val="24"/>
          <w:szCs w:val="24"/>
        </w:rPr>
        <w:t xml:space="preserve">.  </w:t>
      </w:r>
      <w:r w:rsidR="00530CF4">
        <w:rPr>
          <w:rFonts w:ascii="Courier New" w:eastAsia="Arial Unicode MS" w:hAnsi="Courier New" w:cs="Courier New"/>
          <w:sz w:val="24"/>
          <w:szCs w:val="24"/>
        </w:rPr>
        <w:t>One</w:t>
      </w:r>
      <w:r w:rsidR="00530CF4" w:rsidRPr="00D140AB">
        <w:rPr>
          <w:rFonts w:ascii="Courier New" w:eastAsia="Arial Unicode MS" w:hAnsi="Courier New" w:cs="Courier New"/>
          <w:sz w:val="24"/>
          <w:szCs w:val="24"/>
        </w:rPr>
        <w:t xml:space="preserve"> </w:t>
      </w:r>
      <w:r w:rsidRPr="00D140AB">
        <w:rPr>
          <w:rFonts w:ascii="Courier New" w:eastAsia="Arial Unicode MS" w:hAnsi="Courier New" w:cs="Courier New"/>
          <w:sz w:val="24"/>
          <w:szCs w:val="24"/>
        </w:rPr>
        <w:t xml:space="preserve">commenter </w:t>
      </w:r>
      <w:r w:rsidR="00530CF4">
        <w:rPr>
          <w:rFonts w:ascii="Courier New" w:eastAsia="Arial Unicode MS" w:hAnsi="Courier New" w:cs="Courier New"/>
          <w:sz w:val="24"/>
          <w:szCs w:val="24"/>
        </w:rPr>
        <w:t>argued</w:t>
      </w:r>
      <w:r w:rsidR="00530CF4" w:rsidRPr="00D140AB">
        <w:rPr>
          <w:rFonts w:ascii="Courier New" w:eastAsia="Arial Unicode MS" w:hAnsi="Courier New" w:cs="Courier New"/>
          <w:sz w:val="24"/>
          <w:szCs w:val="24"/>
        </w:rPr>
        <w:t xml:space="preserve"> </w:t>
      </w:r>
      <w:r w:rsidRPr="00D140AB">
        <w:rPr>
          <w:rFonts w:ascii="Courier New" w:eastAsia="Arial Unicode MS" w:hAnsi="Courier New" w:cs="Courier New"/>
          <w:sz w:val="24"/>
          <w:szCs w:val="24"/>
        </w:rPr>
        <w:t xml:space="preserve">that, to avoid the </w:t>
      </w:r>
      <w:r w:rsidRPr="00D140AB">
        <w:rPr>
          <w:rFonts w:ascii="Courier New" w:eastAsia="Arial Unicode MS" w:hAnsi="Courier New" w:cs="Courier New"/>
          <w:sz w:val="24"/>
          <w:szCs w:val="24"/>
        </w:rPr>
        <w:lastRenderedPageBreak/>
        <w:t>administrative burden created by the regulations, foreign institutions with a small number of American students would likely cease to participate in the title IV, HEA programs.</w:t>
      </w:r>
    </w:p>
    <w:p w14:paraId="4269AF7E" w14:textId="644DAF08"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eastAsia="Arial Unicode MS" w:hAnsi="Courier New" w:cs="Courier New"/>
          <w:sz w:val="24"/>
          <w:szCs w:val="24"/>
          <w:u w:val="single"/>
        </w:rPr>
        <w:t>Discussion</w:t>
      </w:r>
      <w:r w:rsidRPr="00D140AB">
        <w:rPr>
          <w:rFonts w:ascii="Courier New" w:eastAsia="Arial Unicode MS" w:hAnsi="Courier New" w:cs="Courier New"/>
          <w:sz w:val="24"/>
          <w:szCs w:val="24"/>
        </w:rPr>
        <w:t xml:space="preserve">:  We appreciate the commenters’ concerns.  Throughout the regulations, we have balanced our interest in minimizing burden on institutions with our interest in achieving our dual </w:t>
      </w:r>
      <w:r w:rsidR="00F62D5D">
        <w:rPr>
          <w:rFonts w:ascii="Courier New" w:eastAsia="Arial Unicode MS" w:hAnsi="Courier New" w:cs="Courier New"/>
          <w:sz w:val="24"/>
          <w:szCs w:val="24"/>
        </w:rPr>
        <w:t>objectives</w:t>
      </w:r>
      <w:r w:rsidR="00F62D5D" w:rsidRPr="00D140AB">
        <w:rPr>
          <w:rFonts w:ascii="Courier New" w:eastAsia="Arial Unicode MS" w:hAnsi="Courier New" w:cs="Courier New"/>
          <w:sz w:val="24"/>
          <w:szCs w:val="24"/>
        </w:rPr>
        <w:t xml:space="preserve"> </w:t>
      </w:r>
      <w:r w:rsidRPr="00D140AB">
        <w:rPr>
          <w:rFonts w:ascii="Courier New" w:eastAsia="Arial Unicode MS" w:hAnsi="Courier New" w:cs="Courier New"/>
          <w:sz w:val="24"/>
          <w:szCs w:val="24"/>
        </w:rPr>
        <w:t xml:space="preserve">of accountability and transparency.  The reporting and disclosure requirements are integral to achieving those goals.  We discuss concerns about burden throughout this </w:t>
      </w:r>
      <w:r w:rsidR="00F62D5D">
        <w:rPr>
          <w:rFonts w:ascii="Courier New" w:eastAsia="Arial Unicode MS" w:hAnsi="Courier New" w:cs="Courier New"/>
          <w:sz w:val="24"/>
          <w:szCs w:val="24"/>
        </w:rPr>
        <w:t>preamble</w:t>
      </w:r>
      <w:r w:rsidRPr="00D140AB">
        <w:rPr>
          <w:rFonts w:ascii="Courier New" w:eastAsia="Arial Unicode MS" w:hAnsi="Courier New" w:cs="Courier New"/>
          <w:sz w:val="24"/>
          <w:szCs w:val="24"/>
        </w:rPr>
        <w:t>, including in “</w:t>
      </w:r>
      <w:r w:rsidRPr="00D140AB">
        <w:rPr>
          <w:rFonts w:ascii="Courier New" w:hAnsi="Courier New" w:cs="Courier New"/>
          <w:sz w:val="24"/>
          <w:szCs w:val="24"/>
        </w:rPr>
        <w:t xml:space="preserve">§668.411  Reporting Requirements for GE Programs,” “§668.412  Disclosure Requirements for GE Programs,” and </w:t>
      </w:r>
      <w:r w:rsidRPr="00D140AB">
        <w:rPr>
          <w:rFonts w:ascii="Courier New" w:hAnsi="Courier New" w:cs="Courier New"/>
          <w:sz w:val="24"/>
          <w:szCs w:val="24"/>
          <w:u w:val="single"/>
        </w:rPr>
        <w:t>Paperwork Reduction Act of 1995</w:t>
      </w:r>
      <w:r w:rsidRPr="00D140AB">
        <w:rPr>
          <w:rFonts w:ascii="Courier New" w:hAnsi="Courier New" w:cs="Courier New"/>
          <w:sz w:val="24"/>
          <w:szCs w:val="24"/>
        </w:rPr>
        <w:t xml:space="preserve">.  </w:t>
      </w:r>
    </w:p>
    <w:p w14:paraId="4269AF7F" w14:textId="77777777" w:rsidR="001D71D1" w:rsidRPr="00D140AB" w:rsidRDefault="001D71D1" w:rsidP="004D408A">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12222A93" w14:textId="3BD3A900" w:rsidR="003F7BC2" w:rsidRDefault="001D71D1" w:rsidP="004D408A">
      <w:pPr>
        <w:spacing w:after="0" w:line="480" w:lineRule="auto"/>
        <w:rPr>
          <w:rFonts w:ascii="Courier New" w:eastAsia="Times New Roman"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Commenters expressed several concerns about specific elements of the definition of “gainful employment (GE) program.”  Commenters recommended that graduate programs be excluded from the definition and, specifically, from evaluation under the accountability metrics.  One commenter suggested that the HEA framework relating to gainful employment programs was established at a time when most qualifying programs were short term and job focused.  The commenter asserted that it is unfair to apply th</w:t>
      </w:r>
      <w:r w:rsidR="00F62D5D">
        <w:rPr>
          <w:rFonts w:ascii="Courier New" w:hAnsi="Courier New" w:cs="Courier New"/>
          <w:sz w:val="24"/>
          <w:szCs w:val="24"/>
        </w:rPr>
        <w:t>is</w:t>
      </w:r>
      <w:r w:rsidRPr="00D140AB">
        <w:rPr>
          <w:rFonts w:ascii="Courier New" w:hAnsi="Courier New" w:cs="Courier New"/>
          <w:sz w:val="24"/>
          <w:szCs w:val="24"/>
        </w:rPr>
        <w:t xml:space="preserve"> framework to graduate-level programs where the same program, for example, a Masters of Business Administration program, may be offered by a for-profit institution--and qualify </w:t>
      </w:r>
      <w:r w:rsidRPr="00D140AB">
        <w:rPr>
          <w:rFonts w:ascii="Courier New" w:hAnsi="Courier New" w:cs="Courier New"/>
          <w:sz w:val="24"/>
          <w:szCs w:val="24"/>
        </w:rPr>
        <w:lastRenderedPageBreak/>
        <w:t>as a GE program--and by a public institution--</w:t>
      </w:r>
      <w:r w:rsidR="00F62D5D">
        <w:rPr>
          <w:rFonts w:ascii="Courier New" w:hAnsi="Courier New" w:cs="Courier New"/>
          <w:sz w:val="24"/>
          <w:szCs w:val="24"/>
        </w:rPr>
        <w:t>but</w:t>
      </w:r>
      <w:r w:rsidRPr="00D140AB">
        <w:rPr>
          <w:rFonts w:ascii="Courier New" w:hAnsi="Courier New" w:cs="Courier New"/>
          <w:sz w:val="24"/>
          <w:szCs w:val="24"/>
        </w:rPr>
        <w:t xml:space="preserve"> not qualify as a GE program.  Another commenter argued that a stated purpose of the regulations is to focus on the employability of students enrolled in entry-level postsecondary programs, and that evaluating graduate programs, where there are not the same employment challenges and return-on-investment considerations, would be inconsistent with this purpose.  </w:t>
      </w:r>
      <w:r w:rsidR="0079087E">
        <w:rPr>
          <w:rFonts w:ascii="Courier New" w:hAnsi="Courier New" w:cs="Courier New"/>
          <w:sz w:val="24"/>
          <w:szCs w:val="24"/>
        </w:rPr>
        <w:t xml:space="preserve">One commenter </w:t>
      </w:r>
      <w:r w:rsidR="001C43E7">
        <w:rPr>
          <w:rFonts w:ascii="Courier New" w:hAnsi="Courier New" w:cs="Courier New"/>
          <w:sz w:val="24"/>
          <w:szCs w:val="24"/>
        </w:rPr>
        <w:t>asserted</w:t>
      </w:r>
      <w:r w:rsidR="0079087E">
        <w:rPr>
          <w:rFonts w:ascii="Courier New" w:hAnsi="Courier New" w:cs="Courier New"/>
          <w:sz w:val="24"/>
          <w:szCs w:val="24"/>
        </w:rPr>
        <w:t xml:space="preserve"> that based on its analysis, graduate programs would be minimally affected by the proposed metrics and therefore should be exempt from them.  </w:t>
      </w:r>
      <w:r w:rsidRPr="00D140AB">
        <w:rPr>
          <w:rFonts w:ascii="Courier New" w:hAnsi="Courier New" w:cs="Courier New"/>
          <w:sz w:val="24"/>
          <w:szCs w:val="24"/>
        </w:rPr>
        <w:t xml:space="preserve">Commenters </w:t>
      </w:r>
      <w:r w:rsidR="0079087E">
        <w:rPr>
          <w:rFonts w:ascii="Courier New" w:hAnsi="Courier New" w:cs="Courier New"/>
          <w:sz w:val="24"/>
          <w:szCs w:val="24"/>
        </w:rPr>
        <w:t xml:space="preserve">also </w:t>
      </w:r>
      <w:r w:rsidRPr="00D140AB">
        <w:rPr>
          <w:rFonts w:ascii="Courier New" w:hAnsi="Courier New" w:cs="Courier New"/>
          <w:sz w:val="24"/>
          <w:szCs w:val="24"/>
        </w:rPr>
        <w:t xml:space="preserve">argued that graduate students are mature students and often experienced workers familiar with the debt and earnings potential of various educational and career paths who do not require the protections offered by the regulations. </w:t>
      </w:r>
      <w:r w:rsidR="00C318D7">
        <w:rPr>
          <w:rFonts w:ascii="Courier New" w:hAnsi="Courier New" w:cs="Courier New"/>
          <w:sz w:val="24"/>
          <w:szCs w:val="24"/>
        </w:rPr>
        <w:t xml:space="preserve"> </w:t>
      </w:r>
      <w:r w:rsidRPr="00D140AB">
        <w:rPr>
          <w:rFonts w:ascii="Courier New" w:hAnsi="Courier New" w:cs="Courier New"/>
          <w:sz w:val="24"/>
          <w:szCs w:val="24"/>
        </w:rPr>
        <w:t>C</w:t>
      </w:r>
      <w:r w:rsidRPr="00D140AB">
        <w:rPr>
          <w:rFonts w:ascii="Courier New" w:eastAsia="Times New Roman" w:hAnsi="Courier New" w:cs="Courier New"/>
          <w:sz w:val="24"/>
          <w:szCs w:val="24"/>
        </w:rPr>
        <w:t xml:space="preserve">ommenters argued that the D/E rates measure and </w:t>
      </w:r>
      <w:r w:rsidRPr="007233D2">
        <w:rPr>
          <w:rFonts w:ascii="Courier New" w:eastAsia="Times New Roman" w:hAnsi="Courier New"/>
          <w:sz w:val="24"/>
        </w:rPr>
        <w:t>p</w:t>
      </w:r>
      <w:r w:rsidR="00F93BF3" w:rsidRPr="007233D2">
        <w:rPr>
          <w:rFonts w:ascii="Courier New" w:eastAsia="Times New Roman" w:hAnsi="Courier New"/>
          <w:sz w:val="24"/>
        </w:rPr>
        <w:t xml:space="preserve">rogram </w:t>
      </w:r>
      <w:r w:rsidRPr="007233D2">
        <w:rPr>
          <w:rFonts w:ascii="Courier New" w:eastAsia="Times New Roman" w:hAnsi="Courier New"/>
          <w:sz w:val="24"/>
        </w:rPr>
        <w:t>C</w:t>
      </w:r>
      <w:r w:rsidR="00F93BF3" w:rsidRPr="007233D2">
        <w:rPr>
          <w:rFonts w:ascii="Courier New" w:eastAsia="Times New Roman" w:hAnsi="Courier New"/>
          <w:sz w:val="24"/>
        </w:rPr>
        <w:t xml:space="preserve">ohort </w:t>
      </w:r>
      <w:r w:rsidRPr="007233D2">
        <w:rPr>
          <w:rFonts w:ascii="Courier New" w:eastAsia="Times New Roman" w:hAnsi="Courier New"/>
          <w:sz w:val="24"/>
        </w:rPr>
        <w:t>D</w:t>
      </w:r>
      <w:r w:rsidR="00F93BF3" w:rsidRPr="007233D2">
        <w:rPr>
          <w:rFonts w:ascii="Courier New" w:eastAsia="Times New Roman" w:hAnsi="Courier New"/>
          <w:sz w:val="24"/>
        </w:rPr>
        <w:t xml:space="preserve">efault </w:t>
      </w:r>
      <w:r w:rsidRPr="007233D2">
        <w:rPr>
          <w:rFonts w:ascii="Courier New" w:eastAsia="Times New Roman" w:hAnsi="Courier New"/>
          <w:sz w:val="24"/>
        </w:rPr>
        <w:t>R</w:t>
      </w:r>
      <w:r w:rsidR="00F93BF3" w:rsidRPr="007233D2">
        <w:rPr>
          <w:rFonts w:ascii="Courier New" w:eastAsia="Times New Roman" w:hAnsi="Courier New"/>
          <w:sz w:val="24"/>
        </w:rPr>
        <w:t>ate (</w:t>
      </w:r>
      <w:r w:rsidRPr="007233D2">
        <w:rPr>
          <w:rFonts w:ascii="Courier New" w:eastAsia="Times New Roman" w:hAnsi="Courier New"/>
          <w:sz w:val="24"/>
        </w:rPr>
        <w:t>pCDR</w:t>
      </w:r>
      <w:r w:rsidR="00F93BF3" w:rsidRPr="007233D2">
        <w:rPr>
          <w:rFonts w:ascii="Courier New" w:eastAsia="Times New Roman" w:hAnsi="Courier New"/>
          <w:sz w:val="24"/>
        </w:rPr>
        <w:t>)</w:t>
      </w:r>
      <w:r w:rsidR="00F93BF3" w:rsidRPr="007233D2">
        <w:rPr>
          <w:rStyle w:val="FootnoteReference"/>
          <w:rFonts w:ascii="Courier New" w:eastAsia="Times New Roman" w:hAnsi="Courier New"/>
          <w:sz w:val="24"/>
        </w:rPr>
        <w:footnoteReference w:id="5"/>
      </w:r>
      <w:r w:rsidRPr="00D140AB">
        <w:rPr>
          <w:rFonts w:ascii="Courier New" w:eastAsia="Times New Roman" w:hAnsi="Courier New" w:cs="Courier New"/>
          <w:sz w:val="24"/>
          <w:szCs w:val="24"/>
        </w:rPr>
        <w:t xml:space="preserve"> measure are not reliable metrics for many graduate programs because</w:t>
      </w:r>
      <w:r w:rsidR="00C318D7">
        <w:rPr>
          <w:rFonts w:ascii="Courier New" w:eastAsia="Times New Roman" w:hAnsi="Courier New" w:cs="Courier New"/>
          <w:sz w:val="24"/>
          <w:szCs w:val="24"/>
        </w:rPr>
        <w:t>, according to the commenters,</w:t>
      </w:r>
      <w:r w:rsidRPr="00D140AB">
        <w:rPr>
          <w:rFonts w:ascii="Courier New" w:eastAsia="Times New Roman" w:hAnsi="Courier New" w:cs="Courier New"/>
          <w:sz w:val="24"/>
          <w:szCs w:val="24"/>
        </w:rPr>
        <w:t xml:space="preserve"> there tends to be a longer lag </w:t>
      </w:r>
      <w:r w:rsidR="000C6C16" w:rsidRPr="00D140AB">
        <w:rPr>
          <w:rFonts w:ascii="Courier New" w:eastAsia="Times New Roman" w:hAnsi="Courier New" w:cs="Courier New"/>
          <w:sz w:val="24"/>
          <w:szCs w:val="24"/>
        </w:rPr>
        <w:t xml:space="preserve">in time </w:t>
      </w:r>
      <w:r w:rsidRPr="00D140AB">
        <w:rPr>
          <w:rFonts w:ascii="Courier New" w:eastAsia="Times New Roman" w:hAnsi="Courier New" w:cs="Courier New"/>
          <w:sz w:val="24"/>
          <w:szCs w:val="24"/>
        </w:rPr>
        <w:t xml:space="preserve">between when students enter these programs and when they experience </w:t>
      </w:r>
      <w:r w:rsidR="004A3CB9">
        <w:rPr>
          <w:rFonts w:ascii="Courier New" w:eastAsia="Times New Roman" w:hAnsi="Courier New" w:cs="Courier New"/>
          <w:sz w:val="24"/>
          <w:szCs w:val="24"/>
        </w:rPr>
        <w:t>increased</w:t>
      </w:r>
      <w:r w:rsidRPr="00D140AB">
        <w:rPr>
          <w:rFonts w:ascii="Courier New" w:eastAsia="Times New Roman" w:hAnsi="Courier New" w:cs="Courier New"/>
          <w:sz w:val="24"/>
          <w:szCs w:val="24"/>
        </w:rPr>
        <w:t xml:space="preserve"> earnings gains.</w:t>
      </w:r>
      <w:r w:rsidR="005C58C3">
        <w:rPr>
          <w:rFonts w:ascii="Courier New" w:eastAsia="Times New Roman" w:hAnsi="Courier New" w:cs="Courier New"/>
          <w:sz w:val="24"/>
          <w:szCs w:val="24"/>
        </w:rPr>
        <w:t xml:space="preserve">  </w:t>
      </w:r>
    </w:p>
    <w:p w14:paraId="4269AF81" w14:textId="25C15FC2" w:rsidR="001D71D1" w:rsidRPr="00D140AB" w:rsidRDefault="004D408A" w:rsidP="004D408A">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1D71D1" w:rsidRPr="00D140AB">
        <w:rPr>
          <w:rFonts w:ascii="Courier New" w:eastAsia="Times New Roman" w:hAnsi="Courier New" w:cs="Courier New"/>
          <w:sz w:val="24"/>
          <w:szCs w:val="24"/>
        </w:rPr>
        <w:t xml:space="preserve">One commenter recommended that the Department exempt all law programs accredited by the American Bar Association </w:t>
      </w:r>
      <w:r w:rsidR="003F7BC2">
        <w:rPr>
          <w:rFonts w:ascii="Courier New" w:eastAsia="Times New Roman" w:hAnsi="Courier New" w:cs="Courier New"/>
          <w:sz w:val="24"/>
          <w:szCs w:val="24"/>
        </w:rPr>
        <w:t>because</w:t>
      </w:r>
      <w:r w:rsidR="001D71D1" w:rsidRPr="00D140AB">
        <w:rPr>
          <w:rFonts w:ascii="Courier New" w:eastAsia="Times New Roman" w:hAnsi="Courier New" w:cs="Courier New"/>
          <w:sz w:val="24"/>
          <w:szCs w:val="24"/>
        </w:rPr>
        <w:t xml:space="preserve">, according to the commenter, students who complete accredited law </w:t>
      </w:r>
      <w:r w:rsidR="001D71D1" w:rsidRPr="00D140AB">
        <w:rPr>
          <w:rFonts w:ascii="Courier New" w:eastAsia="Times New Roman" w:hAnsi="Courier New" w:cs="Courier New"/>
          <w:sz w:val="24"/>
          <w:szCs w:val="24"/>
        </w:rPr>
        <w:lastRenderedPageBreak/>
        <w:t>programs rarely have difficulty in avoiding default on loans.  We received similar comments with respect to graduate medical programs.</w:t>
      </w:r>
      <w:r w:rsidR="000304AA">
        <w:rPr>
          <w:rFonts w:ascii="Courier New" w:eastAsia="Times New Roman" w:hAnsi="Courier New" w:cs="Courier New"/>
          <w:sz w:val="24"/>
          <w:szCs w:val="24"/>
        </w:rPr>
        <w:t xml:space="preserve">  One commenter recommended that the Department conduct a study on the impact of the D/E rates measure on medical programs and release that with the final regulations.  </w:t>
      </w:r>
      <w:r w:rsidR="00DD356E">
        <w:rPr>
          <w:rFonts w:ascii="Courier New" w:eastAsia="Times New Roman" w:hAnsi="Courier New" w:cs="Courier New"/>
          <w:sz w:val="24"/>
          <w:szCs w:val="24"/>
        </w:rPr>
        <w:t xml:space="preserve"> </w:t>
      </w:r>
    </w:p>
    <w:p w14:paraId="4269AF82" w14:textId="010FB401"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 xml:space="preserve">     Some commenters argued generally that it is unfair for the Department to </w:t>
      </w:r>
      <w:r w:rsidR="00306F2A">
        <w:rPr>
          <w:rFonts w:ascii="Courier New" w:hAnsi="Courier New" w:cs="Courier New"/>
          <w:sz w:val="24"/>
          <w:szCs w:val="24"/>
        </w:rPr>
        <w:t>set</w:t>
      </w:r>
      <w:r w:rsidRPr="00D140AB">
        <w:rPr>
          <w:rFonts w:ascii="Courier New" w:hAnsi="Courier New" w:cs="Courier New"/>
          <w:sz w:val="24"/>
          <w:szCs w:val="24"/>
        </w:rPr>
        <w:t xml:space="preserve"> requirements for some programs and not others.  One commenter, focus</w:t>
      </w:r>
      <w:r w:rsidR="00CC14C5">
        <w:rPr>
          <w:rFonts w:ascii="Courier New" w:hAnsi="Courier New" w:cs="Courier New"/>
          <w:sz w:val="24"/>
          <w:szCs w:val="24"/>
        </w:rPr>
        <w:t>ing</w:t>
      </w:r>
      <w:r w:rsidRPr="00D140AB">
        <w:rPr>
          <w:rFonts w:ascii="Courier New" w:hAnsi="Courier New" w:cs="Courier New"/>
          <w:sz w:val="24"/>
          <w:szCs w:val="24"/>
        </w:rPr>
        <w:t xml:space="preserve"> on degree programs, questioned treating for-profit institutions and public institutions differently based on whether the degree programs are subject to the gainful employment requirements.    </w:t>
      </w:r>
    </w:p>
    <w:p w14:paraId="4269AF83" w14:textId="0F54BDA5"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Some commenters suggested that “GE programs” should be defined more narrowly.  These commenters suggested that, instead of grouping programs by classification of instructional program (CIP) code and credential level, GE programs should be evaluated </w:t>
      </w:r>
      <w:r w:rsidR="000C6C16" w:rsidRPr="00D140AB">
        <w:rPr>
          <w:rFonts w:ascii="Courier New" w:hAnsi="Courier New" w:cs="Courier New"/>
          <w:sz w:val="24"/>
          <w:szCs w:val="24"/>
        </w:rPr>
        <w:t xml:space="preserve">by </w:t>
      </w:r>
      <w:r w:rsidRPr="00D140AB">
        <w:rPr>
          <w:rFonts w:ascii="Courier New" w:hAnsi="Courier New" w:cs="Courier New"/>
          <w:sz w:val="24"/>
          <w:szCs w:val="24"/>
        </w:rPr>
        <w:t>campus l</w:t>
      </w:r>
      <w:r w:rsidR="000C6C16" w:rsidRPr="00D140AB">
        <w:rPr>
          <w:rFonts w:ascii="Courier New" w:hAnsi="Courier New" w:cs="Courier New"/>
          <w:sz w:val="24"/>
          <w:szCs w:val="24"/>
        </w:rPr>
        <w:t>ocation</w:t>
      </w:r>
      <w:r w:rsidRPr="00D140AB">
        <w:rPr>
          <w:rFonts w:ascii="Courier New" w:hAnsi="Courier New" w:cs="Courier New"/>
          <w:sz w:val="24"/>
          <w:szCs w:val="24"/>
        </w:rPr>
        <w:t xml:space="preserve">, or at the individual program level, because program performance may vary by campus location or program format due to differences in, for example, student demographics, local market conditions, and instructional methods. </w:t>
      </w:r>
    </w:p>
    <w:p w14:paraId="4269AF84" w14:textId="23BDE3FB"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One commenter noted that community colleges may offer programs where certificates and associate degrees are conferred concurrently upon completion, and recommended excluding these types of programs from the definition of “GE program” as they </w:t>
      </w:r>
      <w:r w:rsidRPr="00D140AB">
        <w:rPr>
          <w:rFonts w:ascii="Courier New" w:hAnsi="Courier New" w:cs="Courier New"/>
          <w:sz w:val="24"/>
          <w:szCs w:val="24"/>
        </w:rPr>
        <w:lastRenderedPageBreak/>
        <w:t>are primarily degree programs offered by a public institution, which would not otherwise constitute GE program</w:t>
      </w:r>
      <w:r w:rsidR="002C33A5">
        <w:rPr>
          <w:rFonts w:ascii="Courier New" w:hAnsi="Courier New" w:cs="Courier New"/>
          <w:sz w:val="24"/>
          <w:szCs w:val="24"/>
        </w:rPr>
        <w:t>s</w:t>
      </w:r>
      <w:r w:rsidRPr="00D140AB">
        <w:rPr>
          <w:rFonts w:ascii="Courier New" w:hAnsi="Courier New" w:cs="Courier New"/>
          <w:sz w:val="24"/>
          <w:szCs w:val="24"/>
        </w:rPr>
        <w:t xml:space="preserve">. </w:t>
      </w:r>
    </w:p>
    <w:p w14:paraId="4269AF85" w14:textId="62B85303"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To the extent a program constitutes an “eligible program” that “provides a program of training to prepare students for gainful employment in a recognized profession” under the HEA, the program by statute constitutes a “GE program,” and we do not have the authority to exclude it from the regulations.  We note, for example, that Congress amended the HEA in 2008 to exempt from the gainful employment </w:t>
      </w:r>
      <w:r w:rsidR="00D11262">
        <w:rPr>
          <w:rFonts w:ascii="Courier New" w:hAnsi="Courier New" w:cs="Courier New"/>
          <w:sz w:val="24"/>
          <w:szCs w:val="24"/>
        </w:rPr>
        <w:t xml:space="preserve">provisions </w:t>
      </w:r>
      <w:r w:rsidRPr="00D140AB">
        <w:rPr>
          <w:rFonts w:ascii="Courier New" w:hAnsi="Courier New" w:cs="Courier New"/>
          <w:sz w:val="24"/>
          <w:szCs w:val="24"/>
        </w:rPr>
        <w:t>programs leading to a baccalaureate degree in liberal arts that had been offered by a regionally accredited proprietary institution since January 1, 2009.  We view this relatively recent and very specific amendment as an indication that the Department lacks discretion to exempt other types of programs.</w:t>
      </w:r>
      <w:r w:rsidR="000D7D18">
        <w:rPr>
          <w:rFonts w:ascii="Courier New" w:hAnsi="Courier New" w:cs="Courier New"/>
          <w:sz w:val="24"/>
          <w:szCs w:val="24"/>
        </w:rPr>
        <w:t xml:space="preserve"> </w:t>
      </w:r>
      <w:r w:rsidRPr="00D140AB">
        <w:rPr>
          <w:rFonts w:ascii="Courier New" w:hAnsi="Courier New" w:cs="Courier New"/>
          <w:sz w:val="24"/>
          <w:szCs w:val="24"/>
        </w:rPr>
        <w:t xml:space="preserve"> </w:t>
      </w:r>
      <w:r w:rsidR="000D7D18">
        <w:rPr>
          <w:rFonts w:ascii="Courier New" w:hAnsi="Courier New" w:cs="Courier New"/>
          <w:sz w:val="24"/>
          <w:szCs w:val="24"/>
        </w:rPr>
        <w:t xml:space="preserve">This applies to graduate programs, </w:t>
      </w:r>
      <w:r w:rsidR="000D7D18">
        <w:rPr>
          <w:rFonts w:ascii="Courier New" w:eastAsia="Times New Roman" w:hAnsi="Courier New" w:cs="Courier New"/>
          <w:sz w:val="24"/>
          <w:szCs w:val="24"/>
        </w:rPr>
        <w:t>including</w:t>
      </w:r>
      <w:r w:rsidR="000D7D18" w:rsidRPr="00D140AB">
        <w:rPr>
          <w:rFonts w:ascii="Courier New" w:eastAsia="Times New Roman" w:hAnsi="Courier New" w:cs="Courier New"/>
          <w:sz w:val="24"/>
          <w:szCs w:val="24"/>
        </w:rPr>
        <w:t xml:space="preserve"> ABA-accredited law schools or medical schools</w:t>
      </w:r>
      <w:r w:rsidR="004E2E56">
        <w:rPr>
          <w:rFonts w:ascii="Courier New" w:eastAsia="Times New Roman" w:hAnsi="Courier New" w:cs="Courier New"/>
          <w:sz w:val="24"/>
          <w:szCs w:val="24"/>
        </w:rPr>
        <w:t>, regardless of the results of such programs under the D/E rates measure</w:t>
      </w:r>
      <w:r w:rsidR="000D7D18" w:rsidRPr="00D140AB">
        <w:rPr>
          <w:rFonts w:ascii="Courier New" w:eastAsia="Times New Roman" w:hAnsi="Courier New" w:cs="Courier New"/>
          <w:sz w:val="24"/>
          <w:szCs w:val="24"/>
        </w:rPr>
        <w:t>.</w:t>
      </w:r>
      <w:r w:rsidR="00DD356E">
        <w:rPr>
          <w:rFonts w:ascii="Courier New" w:eastAsia="Times New Roman" w:hAnsi="Courier New" w:cs="Courier New"/>
          <w:sz w:val="24"/>
          <w:szCs w:val="24"/>
        </w:rPr>
        <w:t xml:space="preserve">  The Department is not </w:t>
      </w:r>
      <w:r w:rsidR="008A5C4A">
        <w:rPr>
          <w:rFonts w:ascii="Courier New" w:eastAsia="Times New Roman" w:hAnsi="Courier New" w:cs="Courier New"/>
          <w:sz w:val="24"/>
          <w:szCs w:val="24"/>
        </w:rPr>
        <w:t>providing</w:t>
      </w:r>
      <w:r w:rsidR="00DD356E">
        <w:rPr>
          <w:rFonts w:ascii="Courier New" w:eastAsia="Times New Roman" w:hAnsi="Courier New" w:cs="Courier New"/>
          <w:sz w:val="24"/>
          <w:szCs w:val="24"/>
        </w:rPr>
        <w:t xml:space="preserve"> a separate study analyzing the impact of the D/E rates measure on medical programs with these regulations.  As the regulations are implemented, we will monitor the impact of the D/E rates measure on all GE programs, including graduate medical programs.  </w:t>
      </w:r>
    </w:p>
    <w:p w14:paraId="4269AF87" w14:textId="4DC64480" w:rsidR="001D71D1" w:rsidRPr="00D140AB" w:rsidRDefault="001D71D1" w:rsidP="004D408A">
      <w:pPr>
        <w:spacing w:after="0" w:line="480" w:lineRule="auto"/>
        <w:rPr>
          <w:rFonts w:ascii="Courier New" w:eastAsia="Times New Roman" w:hAnsi="Courier New" w:cs="Courier New"/>
          <w:sz w:val="24"/>
          <w:szCs w:val="24"/>
        </w:rPr>
      </w:pPr>
      <w:r w:rsidRPr="00D140AB">
        <w:rPr>
          <w:rFonts w:ascii="Courier New" w:hAnsi="Courier New" w:cs="Courier New"/>
          <w:sz w:val="24"/>
          <w:szCs w:val="24"/>
        </w:rPr>
        <w:t xml:space="preserve">     </w:t>
      </w:r>
      <w:r w:rsidR="00DD356E">
        <w:rPr>
          <w:rFonts w:ascii="Courier New" w:hAnsi="Courier New" w:cs="Courier New"/>
          <w:sz w:val="24"/>
          <w:szCs w:val="24"/>
        </w:rPr>
        <w:t>W</w:t>
      </w:r>
      <w:r w:rsidRPr="00D140AB">
        <w:rPr>
          <w:rFonts w:ascii="Courier New" w:hAnsi="Courier New" w:cs="Courier New"/>
          <w:sz w:val="24"/>
          <w:szCs w:val="24"/>
        </w:rPr>
        <w:t xml:space="preserve">e </w:t>
      </w:r>
      <w:r w:rsidR="00DD356E">
        <w:rPr>
          <w:rFonts w:ascii="Courier New" w:hAnsi="Courier New" w:cs="Courier New"/>
          <w:sz w:val="24"/>
          <w:szCs w:val="24"/>
        </w:rPr>
        <w:t>also</w:t>
      </w:r>
      <w:r w:rsidRPr="00D140AB">
        <w:rPr>
          <w:rFonts w:ascii="Courier New" w:hAnsi="Courier New" w:cs="Courier New"/>
          <w:sz w:val="24"/>
          <w:szCs w:val="24"/>
        </w:rPr>
        <w:t xml:space="preserve"> do not agree that the purposes of the regulations are served by excluding graduate programs.  Specifically, the </w:t>
      </w:r>
      <w:r w:rsidRPr="00D140AB">
        <w:rPr>
          <w:rFonts w:ascii="Courier New" w:hAnsi="Courier New" w:cs="Courier New"/>
          <w:sz w:val="24"/>
          <w:szCs w:val="24"/>
        </w:rPr>
        <w:lastRenderedPageBreak/>
        <w:t xml:space="preserve">issues of accountability for student outcomes, including excessive student debt, and transparency are as relevant to graduate programs and students as they are to undergraduate programs and students.  </w:t>
      </w:r>
      <w:r w:rsidRPr="00D140AB">
        <w:rPr>
          <w:rFonts w:ascii="Courier New" w:eastAsia="Times New Roman" w:hAnsi="Courier New" w:cs="Courier New"/>
          <w:sz w:val="24"/>
          <w:szCs w:val="24"/>
        </w:rPr>
        <w:t xml:space="preserve">Whether or not it is the case that many graduate programs prepare students for occupations where earnings gains are delayed, we do not believe that this justifies an exemption from the regulations.  As discussed in the NPRM, earnings must be adequate to manage debt both in the early years after entering repayment and in later years.  Future earnings gains are of course a desirable outcome, but borrowers could default on their loans soon after entering repayment, or experience extreme hardship that leads to negative consequences, well before these earnings gains are realized.  Further, as discussed in the NPRM, borrowers may still be facing extreme hardship in repaying their loans even though they have not defaulted, and so, a low default rate by itself is not necessarily an indication that a program is leading to manageable student debt.  </w:t>
      </w:r>
    </w:p>
    <w:p w14:paraId="4269AF88" w14:textId="06836B46"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In response to commenters’ concerns that similar programs offered by for-profit institutions and public institutions would be treated differently under the regulations, we note that this reflects the treatment of these programs under the HEA and a policy decision made by Congress.  </w:t>
      </w:r>
      <w:r w:rsidR="00CF0EFF">
        <w:rPr>
          <w:rFonts w:ascii="Courier New" w:hAnsi="Courier New" w:cs="Courier New"/>
          <w:sz w:val="24"/>
          <w:szCs w:val="24"/>
        </w:rPr>
        <w:t>W</w:t>
      </w:r>
      <w:r w:rsidR="001D71D1" w:rsidRPr="00D140AB">
        <w:rPr>
          <w:rFonts w:ascii="Courier New" w:hAnsi="Courier New" w:cs="Courier New"/>
          <w:sz w:val="24"/>
          <w:szCs w:val="24"/>
        </w:rPr>
        <w:t>e firmly believe that</w:t>
      </w:r>
      <w:r w:rsidR="00CF0EFF">
        <w:rPr>
          <w:rFonts w:ascii="Courier New" w:hAnsi="Courier New" w:cs="Courier New"/>
          <w:sz w:val="24"/>
          <w:szCs w:val="24"/>
        </w:rPr>
        <w:t xml:space="preserve"> </w:t>
      </w:r>
      <w:r w:rsidR="00CF0EFF" w:rsidRPr="000854D0">
        <w:rPr>
          <w:rFonts w:ascii="Courier New" w:hAnsi="Courier New" w:cs="Courier New"/>
          <w:sz w:val="24"/>
          <w:szCs w:val="24"/>
        </w:rPr>
        <w:t>implementing this policy decision</w:t>
      </w:r>
      <w:r w:rsidR="001D71D1" w:rsidRPr="00D140AB">
        <w:rPr>
          <w:rFonts w:ascii="Courier New" w:hAnsi="Courier New" w:cs="Courier New"/>
          <w:sz w:val="24"/>
          <w:szCs w:val="24"/>
        </w:rPr>
        <w:t xml:space="preserve"> </w:t>
      </w:r>
      <w:r w:rsidR="000854D0">
        <w:rPr>
          <w:rFonts w:ascii="Courier New" w:hAnsi="Courier New" w:cs="Courier New"/>
          <w:sz w:val="24"/>
          <w:szCs w:val="24"/>
        </w:rPr>
        <w:t xml:space="preserve">through these </w:t>
      </w:r>
      <w:r w:rsidR="001D71D1" w:rsidRPr="00D140AB">
        <w:rPr>
          <w:rFonts w:ascii="Courier New" w:hAnsi="Courier New" w:cs="Courier New"/>
          <w:sz w:val="24"/>
          <w:szCs w:val="24"/>
        </w:rPr>
        <w:t>regulation</w:t>
      </w:r>
      <w:r w:rsidR="00FA12BE">
        <w:rPr>
          <w:rFonts w:ascii="Courier New" w:hAnsi="Courier New" w:cs="Courier New"/>
          <w:sz w:val="24"/>
          <w:szCs w:val="24"/>
        </w:rPr>
        <w:t>s</w:t>
      </w:r>
      <w:r w:rsidR="001D71D1" w:rsidRPr="00D140AB">
        <w:rPr>
          <w:rFonts w:ascii="Courier New" w:hAnsi="Courier New" w:cs="Courier New"/>
          <w:sz w:val="24"/>
          <w:szCs w:val="24"/>
        </w:rPr>
        <w:t xml:space="preserve"> is </w:t>
      </w:r>
      <w:r w:rsidR="001D71D1" w:rsidRPr="00D140AB">
        <w:rPr>
          <w:rFonts w:ascii="Courier New" w:hAnsi="Courier New" w:cs="Courier New"/>
          <w:sz w:val="24"/>
          <w:szCs w:val="24"/>
        </w:rPr>
        <w:lastRenderedPageBreak/>
        <w:t>necessary and appropriate and that students, prospective students, their families, the public, taxpayers, and the Government will benefit from these efforts.</w:t>
      </w:r>
    </w:p>
    <w:p w14:paraId="4269AF89" w14:textId="7AB70F14"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Regarding the commenters’ request that we evaluate GE programs at the campus level, we do not agree that it would be beneficial to break down the definition of “GE program” beyond CIP code and credential level</w:t>
      </w:r>
      <w:r w:rsidR="00D8069D">
        <w:rPr>
          <w:rFonts w:ascii="Courier New" w:hAnsi="Courier New" w:cs="Courier New"/>
          <w:sz w:val="24"/>
          <w:szCs w:val="24"/>
        </w:rPr>
        <w:t xml:space="preserve">.  A GE program’s eligibility </w:t>
      </w:r>
      <w:r w:rsidR="00417DBD">
        <w:rPr>
          <w:rFonts w:ascii="Courier New" w:hAnsi="Courier New" w:cs="Courier New"/>
          <w:sz w:val="24"/>
          <w:szCs w:val="24"/>
        </w:rPr>
        <w:t>for</w:t>
      </w:r>
      <w:r w:rsidR="00D8069D">
        <w:rPr>
          <w:rFonts w:ascii="Courier New" w:hAnsi="Courier New" w:cs="Courier New"/>
          <w:sz w:val="24"/>
          <w:szCs w:val="24"/>
        </w:rPr>
        <w:t xml:space="preserve"> title IV, HEA program</w:t>
      </w:r>
      <w:r w:rsidR="00417DBD">
        <w:rPr>
          <w:rFonts w:ascii="Courier New" w:hAnsi="Courier New" w:cs="Courier New"/>
          <w:sz w:val="24"/>
          <w:szCs w:val="24"/>
        </w:rPr>
        <w:t xml:space="preserve"> funds</w:t>
      </w:r>
      <w:r w:rsidR="00D8069D">
        <w:rPr>
          <w:rFonts w:ascii="Courier New" w:hAnsi="Courier New" w:cs="Courier New"/>
          <w:sz w:val="24"/>
          <w:szCs w:val="24"/>
        </w:rPr>
        <w:t xml:space="preserve"> is determined at the </w:t>
      </w:r>
      <w:r w:rsidR="0054736B">
        <w:rPr>
          <w:rFonts w:ascii="Courier New" w:hAnsi="Courier New" w:cs="Courier New"/>
          <w:sz w:val="24"/>
          <w:szCs w:val="24"/>
        </w:rPr>
        <w:t>institutional level</w:t>
      </w:r>
      <w:r w:rsidR="00D8069D">
        <w:rPr>
          <w:rFonts w:ascii="Courier New" w:hAnsi="Courier New" w:cs="Courier New"/>
          <w:sz w:val="24"/>
          <w:szCs w:val="24"/>
        </w:rPr>
        <w:t xml:space="preserve">, not by location; thus a program’s eligibility applies to each of the locations </w:t>
      </w:r>
      <w:r w:rsidR="0054736B">
        <w:rPr>
          <w:rFonts w:ascii="Courier New" w:hAnsi="Courier New" w:cs="Courier New"/>
          <w:sz w:val="24"/>
          <w:szCs w:val="24"/>
        </w:rPr>
        <w:t>at</w:t>
      </w:r>
      <w:r w:rsidR="00D8069D">
        <w:rPr>
          <w:rFonts w:ascii="Courier New" w:hAnsi="Courier New" w:cs="Courier New"/>
          <w:sz w:val="24"/>
          <w:szCs w:val="24"/>
        </w:rPr>
        <w:t xml:space="preserve"> which the </w:t>
      </w:r>
      <w:r w:rsidR="0054736B">
        <w:rPr>
          <w:rFonts w:ascii="Courier New" w:hAnsi="Courier New" w:cs="Courier New"/>
          <w:sz w:val="24"/>
          <w:szCs w:val="24"/>
        </w:rPr>
        <w:t xml:space="preserve">institutions offers the </w:t>
      </w:r>
      <w:r w:rsidR="00D8069D">
        <w:rPr>
          <w:rFonts w:ascii="Courier New" w:hAnsi="Courier New" w:cs="Courier New"/>
          <w:sz w:val="24"/>
          <w:szCs w:val="24"/>
        </w:rPr>
        <w:t>program</w:t>
      </w:r>
      <w:r w:rsidR="005832B7">
        <w:rPr>
          <w:rFonts w:ascii="Courier New" w:hAnsi="Courier New" w:cs="Courier New"/>
          <w:sz w:val="24"/>
          <w:szCs w:val="24"/>
        </w:rPr>
        <w:t>.</w:t>
      </w:r>
      <w:r w:rsidR="00CE6EC5">
        <w:rPr>
          <w:rFonts w:ascii="Courier New" w:hAnsi="Courier New" w:cs="Courier New"/>
          <w:sz w:val="24"/>
          <w:szCs w:val="24"/>
        </w:rPr>
        <w:t xml:space="preserve">  </w:t>
      </w:r>
      <w:r w:rsidR="001D71D1" w:rsidRPr="00D140AB">
        <w:rPr>
          <w:rFonts w:ascii="Courier New" w:hAnsi="Courier New" w:cs="Courier New"/>
          <w:sz w:val="24"/>
          <w:szCs w:val="24"/>
        </w:rPr>
        <w:t>We note</w:t>
      </w:r>
      <w:r w:rsidR="0054736B">
        <w:rPr>
          <w:rFonts w:ascii="Courier New" w:hAnsi="Courier New" w:cs="Courier New"/>
          <w:sz w:val="24"/>
          <w:szCs w:val="24"/>
        </w:rPr>
        <w:t xml:space="preserve"> also</w:t>
      </w:r>
      <w:r w:rsidR="001D71D1" w:rsidRPr="00D140AB">
        <w:rPr>
          <w:rFonts w:ascii="Courier New" w:hAnsi="Courier New" w:cs="Courier New"/>
          <w:sz w:val="24"/>
          <w:szCs w:val="24"/>
        </w:rPr>
        <w:t xml:space="preserve"> that §668.412 permits institutions offering a GE program in more than one location or format to create separate disclosure templates for each location or format</w:t>
      </w:r>
      <w:r w:rsidR="0054736B">
        <w:rPr>
          <w:rFonts w:ascii="Courier New" w:hAnsi="Courier New" w:cs="Courier New"/>
          <w:sz w:val="24"/>
          <w:szCs w:val="24"/>
        </w:rPr>
        <w:t>.  Thus, the institution has the discretion to provide information about its programs by location or format if it chooses to do so</w:t>
      </w:r>
      <w:r w:rsidR="001D71D1" w:rsidRPr="00D140AB">
        <w:rPr>
          <w:rFonts w:ascii="Courier New" w:hAnsi="Courier New" w:cs="Courier New"/>
          <w:sz w:val="24"/>
          <w:szCs w:val="24"/>
        </w:rPr>
        <w:t xml:space="preserve">.   </w:t>
      </w:r>
    </w:p>
    <w:p w14:paraId="4269AF8A" w14:textId="76723E90" w:rsidR="001D71D1" w:rsidRPr="00D140AB" w:rsidRDefault="007F7F0E"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With respect to the commenter’s request that we exclude from the definition of “GE program” programs at public institutions that concurrently confer an associate degree and a certificate, we do not believe a specific exclusion is required.  A degree program at a public institution is not a “GE program,” even though enrolled students may also earn a certificate as part of the degree program.  Of course, if the student is separately enrolled in a certificate program that student is </w:t>
      </w:r>
      <w:r w:rsidR="001D71D1" w:rsidRPr="00D140AB">
        <w:rPr>
          <w:rFonts w:ascii="Courier New" w:hAnsi="Courier New" w:cs="Courier New"/>
          <w:sz w:val="24"/>
          <w:szCs w:val="24"/>
        </w:rPr>
        <w:lastRenderedPageBreak/>
        <w:t xml:space="preserve">included in that GE program for purposes of the D/E rates measure and disclosures. </w:t>
      </w:r>
    </w:p>
    <w:p w14:paraId="4269AF8B"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8C" w14:textId="1691169D" w:rsidR="001D71D1" w:rsidRPr="00D140AB" w:rsidRDefault="001D71D1" w:rsidP="004D408A">
      <w:pPr>
        <w:spacing w:after="0" w:line="480" w:lineRule="auto"/>
        <w:rPr>
          <w:rFonts w:ascii="Courier New"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xml:space="preserve">:  One commenter suggested that the Department should exempt small businesses that offer GE programs or, if the regulations do not provide an exemption based on size, that the Department should consider an additional or alternate requirement that institutions must meet (such as spending 2.5 times on instruction and student services than on recruitment).  </w:t>
      </w:r>
      <w:r w:rsidR="00E906B9">
        <w:rPr>
          <w:rFonts w:ascii="Courier New" w:eastAsia="Times New Roman" w:hAnsi="Courier New" w:cs="Courier New"/>
          <w:sz w:val="24"/>
          <w:szCs w:val="24"/>
        </w:rPr>
        <w:t xml:space="preserve">Another commenter stated that the Department should exempt institutions that have an enrollment of less than 2,000 students because of the burden that would be imposed on small institutions.  </w:t>
      </w:r>
    </w:p>
    <w:p w14:paraId="4269AF8D" w14:textId="66474BC0"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W</w:t>
      </w:r>
      <w:r w:rsidRPr="00D140AB">
        <w:rPr>
          <w:rFonts w:ascii="Courier New" w:eastAsia="Times New Roman" w:hAnsi="Courier New" w:cs="Courier New"/>
          <w:sz w:val="24"/>
          <w:szCs w:val="24"/>
        </w:rPr>
        <w:t xml:space="preserve">e disagree that programs at institutions that might be considered small businesses </w:t>
      </w:r>
      <w:r w:rsidR="00E906B9">
        <w:rPr>
          <w:rFonts w:ascii="Courier New" w:eastAsia="Times New Roman" w:hAnsi="Courier New" w:cs="Courier New"/>
          <w:sz w:val="24"/>
          <w:szCs w:val="24"/>
        </w:rPr>
        <w:t xml:space="preserve">or institutions with an enrollment of less than 2,000 students </w:t>
      </w:r>
      <w:r w:rsidRPr="00D140AB">
        <w:rPr>
          <w:rFonts w:ascii="Courier New" w:eastAsia="Times New Roman" w:hAnsi="Courier New" w:cs="Courier New"/>
          <w:sz w:val="24"/>
          <w:szCs w:val="24"/>
        </w:rPr>
        <w:t>should be exempted from the regulations.  In addition to the limitations in our statutory authority, an institution</w:t>
      </w:r>
      <w:r w:rsidR="0043401C">
        <w:rPr>
          <w:rFonts w:ascii="Courier New" w:eastAsia="Times New Roman" w:hAnsi="Courier New" w:cs="Courier New"/>
          <w:sz w:val="24"/>
          <w:szCs w:val="24"/>
        </w:rPr>
        <w:t>’s size</w:t>
      </w:r>
      <w:r w:rsidRPr="00D140AB">
        <w:rPr>
          <w:rFonts w:ascii="Courier New" w:eastAsia="Times New Roman" w:hAnsi="Courier New" w:cs="Courier New"/>
          <w:sz w:val="24"/>
          <w:szCs w:val="24"/>
        </w:rPr>
        <w:t xml:space="preserve"> has no effect on whether the institution is preparing students for gainful employment in a recognized occupation.  We also see no basis for establishing an alternative metric based on the amount of revenues an institution spends on instruction </w:t>
      </w:r>
      <w:r w:rsidR="001E7D7E" w:rsidRPr="00D140AB">
        <w:rPr>
          <w:rFonts w:ascii="Courier New" w:eastAsia="Times New Roman" w:hAnsi="Courier New" w:cs="Courier New"/>
          <w:sz w:val="24"/>
          <w:szCs w:val="24"/>
        </w:rPr>
        <w:t>compared to</w:t>
      </w:r>
      <w:r w:rsidRPr="00D140AB">
        <w:rPr>
          <w:rFonts w:ascii="Courier New" w:eastAsia="Times New Roman" w:hAnsi="Courier New" w:cs="Courier New"/>
          <w:sz w:val="24"/>
          <w:szCs w:val="24"/>
        </w:rPr>
        <w:t xml:space="preserve"> recruiting</w:t>
      </w:r>
      <w:r w:rsidR="0049747D">
        <w:rPr>
          <w:rFonts w:ascii="Courier New" w:eastAsia="Times New Roman" w:hAnsi="Courier New" w:cs="Courier New"/>
          <w:sz w:val="24"/>
          <w:szCs w:val="24"/>
        </w:rPr>
        <w:t xml:space="preserve"> because it would not indicate when a program is resulting</w:t>
      </w:r>
      <w:r w:rsidR="0043401C">
        <w:rPr>
          <w:rFonts w:ascii="Courier New" w:eastAsia="Times New Roman" w:hAnsi="Courier New" w:cs="Courier New"/>
          <w:sz w:val="24"/>
          <w:szCs w:val="24"/>
        </w:rPr>
        <w:t xml:space="preserve"> in</w:t>
      </w:r>
      <w:r w:rsidR="0049747D">
        <w:rPr>
          <w:rFonts w:ascii="Courier New" w:eastAsia="Times New Roman" w:hAnsi="Courier New" w:cs="Courier New"/>
          <w:sz w:val="24"/>
          <w:szCs w:val="24"/>
        </w:rPr>
        <w:t xml:space="preserve"> high debt burden</w:t>
      </w:r>
      <w:r w:rsidRPr="00D140AB">
        <w:rPr>
          <w:rFonts w:ascii="Courier New" w:eastAsia="Times New Roman" w:hAnsi="Courier New" w:cs="Courier New"/>
          <w:sz w:val="24"/>
          <w:szCs w:val="24"/>
        </w:rPr>
        <w:t xml:space="preserve">.  </w:t>
      </w:r>
      <w:r w:rsidR="00E906B9">
        <w:rPr>
          <w:rFonts w:ascii="Courier New" w:eastAsia="Times New Roman" w:hAnsi="Courier New" w:cs="Courier New"/>
          <w:sz w:val="24"/>
          <w:szCs w:val="24"/>
        </w:rPr>
        <w:t xml:space="preserve">We believe that any burden on </w:t>
      </w:r>
      <w:r w:rsidR="00E906B9">
        <w:rPr>
          <w:rFonts w:ascii="Courier New" w:eastAsia="Times New Roman" w:hAnsi="Courier New" w:cs="Courier New"/>
          <w:sz w:val="24"/>
          <w:szCs w:val="24"/>
        </w:rPr>
        <w:lastRenderedPageBreak/>
        <w:t xml:space="preserve">institutions resulting from these regulations is outweighed by the </w:t>
      </w:r>
      <w:r w:rsidR="00E84F50">
        <w:rPr>
          <w:rFonts w:ascii="Courier New" w:eastAsia="Times New Roman" w:hAnsi="Courier New" w:cs="Courier New"/>
          <w:sz w:val="24"/>
          <w:szCs w:val="24"/>
        </w:rPr>
        <w:t xml:space="preserve">benefits to students and taxpayers.  </w:t>
      </w:r>
      <w:r w:rsidR="00DD6ECB">
        <w:rPr>
          <w:rFonts w:ascii="Courier New" w:eastAsia="Times New Roman" w:hAnsi="Courier New" w:cs="Courier New"/>
          <w:sz w:val="24"/>
          <w:szCs w:val="24"/>
        </w:rPr>
        <w:t xml:space="preserve">We discuss the burden on small institutions in the </w:t>
      </w:r>
      <w:r w:rsidR="00DD6ECB" w:rsidRPr="00DD6ECB">
        <w:rPr>
          <w:rFonts w:ascii="Courier New" w:eastAsia="Times New Roman" w:hAnsi="Courier New" w:cs="Courier New"/>
          <w:sz w:val="24"/>
          <w:szCs w:val="24"/>
          <w:u w:val="single"/>
        </w:rPr>
        <w:t>Final Regulatory Flexibility Analysis</w:t>
      </w:r>
      <w:r w:rsidR="00DD6ECB">
        <w:rPr>
          <w:rFonts w:ascii="Courier New" w:eastAsia="Times New Roman" w:hAnsi="Courier New" w:cs="Courier New"/>
          <w:sz w:val="24"/>
          <w:szCs w:val="24"/>
        </w:rPr>
        <w:t xml:space="preserve">.  </w:t>
      </w:r>
    </w:p>
    <w:p w14:paraId="4269AF8E" w14:textId="77777777" w:rsidR="001D71D1"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777207D4" w14:textId="19FF94A0" w:rsidR="005F1114" w:rsidRDefault="005F1114" w:rsidP="004D408A">
      <w:pPr>
        <w:spacing w:after="0" w:line="480" w:lineRule="auto"/>
        <w:rPr>
          <w:rFonts w:ascii="Courier New" w:hAnsi="Courier New" w:cs="Courier New"/>
          <w:sz w:val="24"/>
          <w:szCs w:val="24"/>
        </w:rPr>
      </w:pPr>
      <w:r w:rsidRPr="0043401C">
        <w:rPr>
          <w:rFonts w:ascii="Courier New" w:hAnsi="Courier New" w:cs="Courier New"/>
          <w:sz w:val="24"/>
          <w:szCs w:val="24"/>
          <w:u w:val="single"/>
        </w:rPr>
        <w:t>Comments</w:t>
      </w:r>
      <w:r>
        <w:rPr>
          <w:rFonts w:ascii="Courier New" w:hAnsi="Courier New" w:cs="Courier New"/>
          <w:sz w:val="24"/>
          <w:szCs w:val="24"/>
        </w:rPr>
        <w:t xml:space="preserve">:  One commenter suggested that in the final regulations, the </w:t>
      </w:r>
      <w:r w:rsidRPr="005F1114">
        <w:rPr>
          <w:rFonts w:ascii="Courier New" w:hAnsi="Courier New" w:cs="Courier New"/>
          <w:sz w:val="24"/>
          <w:szCs w:val="24"/>
        </w:rPr>
        <w:t>Department should commi</w:t>
      </w:r>
      <w:r>
        <w:rPr>
          <w:rFonts w:ascii="Courier New" w:hAnsi="Courier New" w:cs="Courier New"/>
          <w:sz w:val="24"/>
          <w:szCs w:val="24"/>
        </w:rPr>
        <w:t>t to evaluating whether the regulations result</w:t>
      </w:r>
      <w:r w:rsidRPr="005F1114">
        <w:rPr>
          <w:rFonts w:ascii="Courier New" w:hAnsi="Courier New" w:cs="Courier New"/>
          <w:sz w:val="24"/>
          <w:szCs w:val="24"/>
        </w:rPr>
        <w:t xml:space="preserve"> in the cost savings for the gover</w:t>
      </w:r>
      <w:r>
        <w:rPr>
          <w:rFonts w:ascii="Courier New" w:hAnsi="Courier New" w:cs="Courier New"/>
          <w:sz w:val="24"/>
          <w:szCs w:val="24"/>
        </w:rPr>
        <w:t xml:space="preserve">nment </w:t>
      </w:r>
      <w:r w:rsidR="00071F55">
        <w:rPr>
          <w:rFonts w:ascii="Courier New" w:hAnsi="Courier New" w:cs="Courier New"/>
          <w:sz w:val="24"/>
          <w:szCs w:val="24"/>
        </w:rPr>
        <w:t xml:space="preserve">estimated in the NPRM </w:t>
      </w:r>
      <w:r>
        <w:rPr>
          <w:rFonts w:ascii="Courier New" w:hAnsi="Courier New" w:cs="Courier New"/>
          <w:sz w:val="24"/>
          <w:szCs w:val="24"/>
        </w:rPr>
        <w:t xml:space="preserve">and the impact of the regulations on Federal student aid funding.  The commenter also suggested that the Department </w:t>
      </w:r>
      <w:r w:rsidRPr="005F1114">
        <w:rPr>
          <w:rFonts w:ascii="Courier New" w:hAnsi="Courier New" w:cs="Courier New"/>
          <w:sz w:val="24"/>
          <w:szCs w:val="24"/>
        </w:rPr>
        <w:t>commit to reviewing the estimate</w:t>
      </w:r>
      <w:r>
        <w:rPr>
          <w:rFonts w:ascii="Courier New" w:hAnsi="Courier New" w:cs="Courier New"/>
          <w:sz w:val="24"/>
          <w:szCs w:val="24"/>
        </w:rPr>
        <w:t xml:space="preserve">d costs of implementing the regulations, including costs for meeting the information collection requirements.  </w:t>
      </w:r>
      <w:r w:rsidRPr="005F1114">
        <w:rPr>
          <w:rFonts w:ascii="Courier New" w:hAnsi="Courier New" w:cs="Courier New"/>
          <w:sz w:val="24"/>
          <w:szCs w:val="24"/>
        </w:rPr>
        <w:t xml:space="preserve">The </w:t>
      </w:r>
      <w:r>
        <w:rPr>
          <w:rFonts w:ascii="Courier New" w:hAnsi="Courier New" w:cs="Courier New"/>
          <w:sz w:val="24"/>
          <w:szCs w:val="24"/>
        </w:rPr>
        <w:t xml:space="preserve">commenter said the </w:t>
      </w:r>
      <w:r w:rsidRPr="005F1114">
        <w:rPr>
          <w:rFonts w:ascii="Courier New" w:hAnsi="Courier New" w:cs="Courier New"/>
          <w:sz w:val="24"/>
          <w:szCs w:val="24"/>
        </w:rPr>
        <w:t xml:space="preserve">Department should commit to measuring whether the certification criteria for new programs are effective at ensuring </w:t>
      </w:r>
      <w:r w:rsidR="00E31059">
        <w:rPr>
          <w:rFonts w:ascii="Courier New" w:hAnsi="Courier New" w:cs="Courier New"/>
          <w:sz w:val="24"/>
          <w:szCs w:val="24"/>
        </w:rPr>
        <w:t xml:space="preserve">whether </w:t>
      </w:r>
      <w:r w:rsidRPr="005F1114">
        <w:rPr>
          <w:rFonts w:ascii="Courier New" w:hAnsi="Courier New" w:cs="Courier New"/>
          <w:sz w:val="24"/>
          <w:szCs w:val="24"/>
        </w:rPr>
        <w:t xml:space="preserve">those programs will remain eligible and pass </w:t>
      </w:r>
      <w:r>
        <w:rPr>
          <w:rFonts w:ascii="Courier New" w:hAnsi="Courier New" w:cs="Courier New"/>
          <w:sz w:val="24"/>
          <w:szCs w:val="24"/>
        </w:rPr>
        <w:t xml:space="preserve">the </w:t>
      </w:r>
      <w:r w:rsidRPr="005F1114">
        <w:rPr>
          <w:rFonts w:ascii="Courier New" w:hAnsi="Courier New" w:cs="Courier New"/>
          <w:sz w:val="24"/>
          <w:szCs w:val="24"/>
        </w:rPr>
        <w:t xml:space="preserve">accountability metrics.  </w:t>
      </w:r>
      <w:r>
        <w:rPr>
          <w:rFonts w:ascii="Courier New" w:hAnsi="Courier New" w:cs="Courier New"/>
          <w:sz w:val="24"/>
          <w:szCs w:val="24"/>
        </w:rPr>
        <w:t>Additionally, the commenter</w:t>
      </w:r>
      <w:r w:rsidR="00EE1249">
        <w:rPr>
          <w:rFonts w:ascii="Courier New" w:hAnsi="Courier New" w:cs="Courier New"/>
          <w:sz w:val="24"/>
          <w:szCs w:val="24"/>
        </w:rPr>
        <w:t xml:space="preserve"> suggested that the Department</w:t>
      </w:r>
      <w:r>
        <w:rPr>
          <w:rFonts w:ascii="Courier New" w:hAnsi="Courier New" w:cs="Courier New"/>
          <w:sz w:val="24"/>
          <w:szCs w:val="24"/>
        </w:rPr>
        <w:t xml:space="preserve"> affirm that it will measure whether</w:t>
      </w:r>
      <w:r w:rsidRPr="005F1114">
        <w:rPr>
          <w:rFonts w:ascii="Courier New" w:hAnsi="Courier New" w:cs="Courier New"/>
          <w:sz w:val="24"/>
          <w:szCs w:val="24"/>
        </w:rPr>
        <w:t xml:space="preserve"> the disclosure and r</w:t>
      </w:r>
      <w:r>
        <w:rPr>
          <w:rFonts w:ascii="Courier New" w:hAnsi="Courier New" w:cs="Courier New"/>
          <w:sz w:val="24"/>
          <w:szCs w:val="24"/>
        </w:rPr>
        <w:t xml:space="preserve">eporting requirements </w:t>
      </w:r>
      <w:r w:rsidRPr="005F1114">
        <w:rPr>
          <w:rFonts w:ascii="Courier New" w:hAnsi="Courier New" w:cs="Courier New"/>
          <w:sz w:val="24"/>
          <w:szCs w:val="24"/>
        </w:rPr>
        <w:t>improve market information</w:t>
      </w:r>
      <w:r w:rsidR="0054736B">
        <w:rPr>
          <w:rFonts w:ascii="Courier New" w:hAnsi="Courier New" w:cs="Courier New"/>
          <w:sz w:val="24"/>
          <w:szCs w:val="24"/>
        </w:rPr>
        <w:t xml:space="preserve"> as evidenced</w:t>
      </w:r>
      <w:r w:rsidRPr="005F1114">
        <w:rPr>
          <w:rFonts w:ascii="Courier New" w:hAnsi="Courier New" w:cs="Courier New"/>
          <w:sz w:val="24"/>
          <w:szCs w:val="24"/>
        </w:rPr>
        <w:t xml:space="preserve"> by increased enrollment in passing GE programs and decreased enrollment in failing and zone programs.</w:t>
      </w:r>
    </w:p>
    <w:p w14:paraId="6FA3B2D5" w14:textId="72CE47AE" w:rsidR="005F1114" w:rsidRDefault="005F1114" w:rsidP="004D408A">
      <w:pPr>
        <w:spacing w:after="0" w:line="480" w:lineRule="auto"/>
        <w:rPr>
          <w:rFonts w:ascii="Courier New" w:hAnsi="Courier New" w:cs="Courier New"/>
          <w:sz w:val="24"/>
          <w:szCs w:val="24"/>
        </w:rPr>
      </w:pPr>
      <w:r w:rsidRPr="005F1114">
        <w:rPr>
          <w:rFonts w:ascii="Courier New" w:hAnsi="Courier New" w:cs="Courier New"/>
          <w:sz w:val="24"/>
          <w:szCs w:val="24"/>
          <w:u w:val="single"/>
        </w:rPr>
        <w:t>Discussion</w:t>
      </w:r>
      <w:r>
        <w:rPr>
          <w:rFonts w:ascii="Courier New" w:hAnsi="Courier New" w:cs="Courier New"/>
          <w:sz w:val="24"/>
          <w:szCs w:val="24"/>
        </w:rPr>
        <w:t>:  We appreciate the commenters’ suggestions and</w:t>
      </w:r>
      <w:r w:rsidR="00EE1249">
        <w:rPr>
          <w:rFonts w:ascii="Courier New" w:hAnsi="Courier New" w:cs="Courier New"/>
          <w:sz w:val="24"/>
          <w:szCs w:val="24"/>
        </w:rPr>
        <w:t>,</w:t>
      </w:r>
      <w:r>
        <w:rPr>
          <w:rFonts w:ascii="Courier New" w:hAnsi="Courier New" w:cs="Courier New"/>
          <w:sz w:val="24"/>
          <w:szCs w:val="24"/>
        </w:rPr>
        <w:t xml:space="preserve"> as with all of our regulations, </w:t>
      </w:r>
      <w:r w:rsidR="000C3520">
        <w:rPr>
          <w:rFonts w:ascii="Courier New" w:hAnsi="Courier New" w:cs="Courier New"/>
          <w:sz w:val="24"/>
          <w:szCs w:val="24"/>
        </w:rPr>
        <w:t xml:space="preserve">we </w:t>
      </w:r>
      <w:r>
        <w:rPr>
          <w:rFonts w:ascii="Courier New" w:hAnsi="Courier New" w:cs="Courier New"/>
          <w:sz w:val="24"/>
          <w:szCs w:val="24"/>
        </w:rPr>
        <w:t>intend to review th</w:t>
      </w:r>
      <w:r w:rsidR="0080024F">
        <w:rPr>
          <w:rFonts w:ascii="Courier New" w:hAnsi="Courier New" w:cs="Courier New"/>
          <w:sz w:val="24"/>
          <w:szCs w:val="24"/>
        </w:rPr>
        <w:t>e regulations</w:t>
      </w:r>
      <w:r>
        <w:rPr>
          <w:rFonts w:ascii="Courier New" w:hAnsi="Courier New" w:cs="Courier New"/>
          <w:sz w:val="24"/>
          <w:szCs w:val="24"/>
        </w:rPr>
        <w:t xml:space="preserve"> as we implement them to ensure they are meeting their intended </w:t>
      </w:r>
      <w:r>
        <w:rPr>
          <w:rFonts w:ascii="Courier New" w:hAnsi="Courier New" w:cs="Courier New"/>
          <w:sz w:val="24"/>
          <w:szCs w:val="24"/>
        </w:rPr>
        <w:lastRenderedPageBreak/>
        <w:t>purposes and to evaluate the impact on students, institutions, and taxpayer</w:t>
      </w:r>
      <w:r w:rsidR="00EE1249">
        <w:rPr>
          <w:rFonts w:ascii="Courier New" w:hAnsi="Courier New" w:cs="Courier New"/>
          <w:sz w:val="24"/>
          <w:szCs w:val="24"/>
        </w:rPr>
        <w:t>s</w:t>
      </w:r>
      <w:r>
        <w:rPr>
          <w:rFonts w:ascii="Courier New" w:hAnsi="Courier New" w:cs="Courier New"/>
          <w:sz w:val="24"/>
          <w:szCs w:val="24"/>
        </w:rPr>
        <w:t>.</w:t>
      </w:r>
    </w:p>
    <w:p w14:paraId="17753285" w14:textId="7EB38029" w:rsidR="005F1114" w:rsidRPr="005F1114" w:rsidRDefault="005F1114" w:rsidP="004D408A">
      <w:pPr>
        <w:spacing w:after="0" w:line="480" w:lineRule="auto"/>
        <w:rPr>
          <w:rFonts w:ascii="Courier New" w:hAnsi="Courier New" w:cs="Courier New"/>
          <w:sz w:val="24"/>
          <w:szCs w:val="24"/>
        </w:rPr>
      </w:pPr>
      <w:r w:rsidRPr="005F1114">
        <w:rPr>
          <w:rFonts w:ascii="Courier New" w:hAnsi="Courier New" w:cs="Courier New"/>
          <w:sz w:val="24"/>
          <w:szCs w:val="24"/>
          <w:u w:val="single"/>
        </w:rPr>
        <w:t>Changes</w:t>
      </w:r>
      <w:r>
        <w:rPr>
          <w:rFonts w:ascii="Courier New" w:hAnsi="Courier New" w:cs="Courier New"/>
          <w:sz w:val="24"/>
          <w:szCs w:val="24"/>
        </w:rPr>
        <w:t>:  None.</w:t>
      </w:r>
    </w:p>
    <w:p w14:paraId="4269AF8F" w14:textId="79282205"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A number of commenters raised concerns about the definition of “student,” specifically the limitation of the term “students” to those individuals who receive title IV, HEA program funds for enrolling in the applicable GE program.  These commenters believed that “student” should be defined, for all or some purposes of the regulations, more broadly.</w:t>
      </w:r>
    </w:p>
    <w:p w14:paraId="4269AF90" w14:textId="1E78A59D"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 xml:space="preserve">    Some commenters proposed that “student” be defined to include all individuals enrolled in a GE program, whether or not they received title IV, HEA program funds.  These commenters argued that the purpose of the regulations should be to measure, and disclose, the outcomes of all individuals in a program.  They argued that limiting the definition of “student” to students who receive title IV, HEA program funds is arbitrary and would present inaccurate and unrepresentative program outcomes, particularly for community colleges.  According to these commenters, many of the individuals attending GE programs at community colleges do not receive </w:t>
      </w:r>
      <w:r w:rsidRPr="00D140AB">
        <w:rPr>
          <w:rFonts w:ascii="Courier New" w:eastAsia="Arial Unicode MS" w:hAnsi="Courier New" w:cs="Courier New"/>
          <w:sz w:val="24"/>
          <w:szCs w:val="24"/>
        </w:rPr>
        <w:t>title IV, HEA program funds and any accountability measures and disclosures that exclude their debt and earnings would not accurately reflect the performance of the GE program.</w:t>
      </w:r>
      <w:r w:rsidRPr="00D140AB">
        <w:rPr>
          <w:rFonts w:ascii="Courier New" w:eastAsia="Arial Unicode MS" w:hAnsi="Courier New" w:cs="Courier New"/>
          <w:color w:val="0070C0"/>
          <w:sz w:val="24"/>
          <w:szCs w:val="24"/>
        </w:rPr>
        <w:t xml:space="preserve">  </w:t>
      </w:r>
      <w:r w:rsidRPr="00D140AB">
        <w:rPr>
          <w:rFonts w:ascii="Courier New" w:eastAsia="Arial Unicode MS" w:hAnsi="Courier New" w:cs="Courier New"/>
          <w:sz w:val="24"/>
          <w:szCs w:val="24"/>
        </w:rPr>
        <w:t xml:space="preserve">They </w:t>
      </w:r>
      <w:r w:rsidRPr="00D140AB">
        <w:rPr>
          <w:rFonts w:ascii="Courier New" w:hAnsi="Courier New" w:cs="Courier New"/>
          <w:sz w:val="24"/>
          <w:szCs w:val="24"/>
        </w:rPr>
        <w:t xml:space="preserve">claimed that individuals who receive title IV, HEA program funds are disproportionally </w:t>
      </w:r>
      <w:r w:rsidRPr="00D140AB">
        <w:rPr>
          <w:rFonts w:ascii="Courier New" w:hAnsi="Courier New" w:cs="Courier New"/>
          <w:sz w:val="24"/>
          <w:szCs w:val="24"/>
        </w:rPr>
        <w:lastRenderedPageBreak/>
        <w:t xml:space="preserve">from underserved and low-income populations and tend to have higher debt and lower earnings outcomes.  </w:t>
      </w:r>
    </w:p>
    <w:p w14:paraId="4269AF91" w14:textId="15763182" w:rsidR="001D71D1" w:rsidRPr="00D140AB" w:rsidRDefault="001D71D1" w:rsidP="004D408A">
      <w:pPr>
        <w:spacing w:after="0" w:line="480" w:lineRule="auto"/>
        <w:rPr>
          <w:rFonts w:ascii="Courier New" w:eastAsia="Arial Unicode MS" w:hAnsi="Courier New" w:cs="Courier New"/>
          <w:sz w:val="24"/>
          <w:szCs w:val="24"/>
        </w:rPr>
      </w:pPr>
      <w:r w:rsidRPr="00D140AB">
        <w:rPr>
          <w:rFonts w:ascii="Courier New" w:hAnsi="Courier New" w:cs="Courier New"/>
          <w:sz w:val="24"/>
          <w:szCs w:val="24"/>
        </w:rPr>
        <w:t xml:space="preserve">     Other commenters stated that the definition should include </w:t>
      </w:r>
      <w:r w:rsidRPr="00D140AB">
        <w:rPr>
          <w:rFonts w:ascii="Courier New" w:eastAsia="Arial Unicode MS" w:hAnsi="Courier New" w:cs="Courier New"/>
          <w:sz w:val="24"/>
          <w:szCs w:val="24"/>
        </w:rPr>
        <w:t>all students with a record in the National Student Loan Database System (NSLDS) because these individuals either filed a F</w:t>
      </w:r>
      <w:r w:rsidR="001E7D7E" w:rsidRPr="00D140AB">
        <w:rPr>
          <w:rFonts w:ascii="Courier New" w:eastAsia="Arial Unicode MS" w:hAnsi="Courier New" w:cs="Courier New"/>
          <w:sz w:val="24"/>
          <w:szCs w:val="24"/>
        </w:rPr>
        <w:t>ree Application for Federal Student Aid (F</w:t>
      </w:r>
      <w:r w:rsidRPr="00D140AB">
        <w:rPr>
          <w:rFonts w:ascii="Courier New" w:eastAsia="Arial Unicode MS" w:hAnsi="Courier New" w:cs="Courier New"/>
          <w:sz w:val="24"/>
          <w:szCs w:val="24"/>
        </w:rPr>
        <w:t>AFSA</w:t>
      </w:r>
      <w:r w:rsidR="001E7D7E" w:rsidRPr="00D140AB">
        <w:rPr>
          <w:rFonts w:ascii="Courier New" w:eastAsia="Arial Unicode MS" w:hAnsi="Courier New" w:cs="Courier New"/>
          <w:sz w:val="24"/>
          <w:szCs w:val="24"/>
        </w:rPr>
        <w:t>)</w:t>
      </w:r>
      <w:r w:rsidRPr="00D140AB">
        <w:rPr>
          <w:rFonts w:ascii="Courier New" w:eastAsia="Arial Unicode MS" w:hAnsi="Courier New" w:cs="Courier New"/>
          <w:sz w:val="24"/>
          <w:szCs w:val="24"/>
        </w:rPr>
        <w:t xml:space="preserve"> or have previously received title IV, HEA program funds for attendance in another eligible program.  According to the commenters, including these individuals would more accurately reflect the title IV, HEA program population at an institution and provide more relevant information for both eligibility determinations and consumer information.  In making these suggestions, commenters </w:t>
      </w:r>
      <w:r w:rsidRPr="00D140AB">
        <w:rPr>
          <w:rFonts w:ascii="Courier New" w:hAnsi="Courier New" w:cs="Courier New"/>
          <w:sz w:val="24"/>
          <w:szCs w:val="24"/>
        </w:rPr>
        <w:t xml:space="preserve">were mindful of the </w:t>
      </w:r>
      <w:r w:rsidR="00866401">
        <w:rPr>
          <w:rFonts w:ascii="Courier New" w:hAnsi="Courier New" w:cs="Courier New"/>
          <w:sz w:val="24"/>
          <w:szCs w:val="24"/>
        </w:rPr>
        <w:t>c</w:t>
      </w:r>
      <w:r w:rsidRPr="00D140AB">
        <w:rPr>
          <w:rFonts w:ascii="Courier New" w:hAnsi="Courier New" w:cs="Courier New"/>
          <w:sz w:val="24"/>
          <w:szCs w:val="24"/>
        </w:rPr>
        <w:t xml:space="preserve">ourt’s interpretation in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of relevant law regarding the Department’s authority to maintain records in its NSLDS.  Under these alternative proposed definitions, the commenters suggested that the Department could collect and maintain data regarding these individuals in a manner consistent with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as they would already have records in NSLDS for these individuals. </w:t>
      </w:r>
    </w:p>
    <w:p w14:paraId="031CAA15" w14:textId="77777777" w:rsidR="007904D8" w:rsidRDefault="007F7F0E"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Some commenters requested that the term </w:t>
      </w:r>
      <w:r w:rsidR="00BA1CAE" w:rsidRPr="00D140AB">
        <w:rPr>
          <w:rFonts w:ascii="Courier New" w:hAnsi="Courier New" w:cs="Courier New"/>
          <w:sz w:val="24"/>
          <w:szCs w:val="24"/>
        </w:rPr>
        <w:t>“</w:t>
      </w:r>
      <w:r w:rsidR="001D71D1" w:rsidRPr="00D140AB">
        <w:rPr>
          <w:rFonts w:ascii="Courier New" w:hAnsi="Courier New" w:cs="Courier New"/>
          <w:sz w:val="24"/>
          <w:szCs w:val="24"/>
        </w:rPr>
        <w:t>student</w:t>
      </w:r>
      <w:r w:rsidR="00BA1CAE" w:rsidRPr="00D140AB">
        <w:rPr>
          <w:rFonts w:ascii="Courier New" w:hAnsi="Courier New" w:cs="Courier New"/>
          <w:sz w:val="24"/>
          <w:szCs w:val="24"/>
        </w:rPr>
        <w:t>”</w:t>
      </w:r>
      <w:r w:rsidR="001D71D1" w:rsidRPr="00D140AB">
        <w:rPr>
          <w:rFonts w:ascii="Courier New" w:hAnsi="Courier New" w:cs="Courier New"/>
          <w:sz w:val="24"/>
          <w:szCs w:val="24"/>
        </w:rPr>
        <w:t xml:space="preserve"> include individuals who did not receive title IV, HEA program funds for only specific purposes of the regulations.  Some commenters argued that the definition of “student” for the purpose of the D/E rates measure should include all individuals who completed </w:t>
      </w:r>
      <w:r w:rsidR="001D71D1" w:rsidRPr="00D140AB">
        <w:rPr>
          <w:rFonts w:ascii="Courier New" w:hAnsi="Courier New" w:cs="Courier New"/>
          <w:sz w:val="24"/>
          <w:szCs w:val="24"/>
        </w:rPr>
        <w:lastRenderedPageBreak/>
        <w:t xml:space="preserve">the program, whether or not they received title IV, HEA program funds, on the grounds that </w:t>
      </w:r>
      <w:r w:rsidR="001D71D1" w:rsidRPr="00D140AB">
        <w:rPr>
          <w:rFonts w:ascii="Courier New" w:eastAsia="Times New Roman" w:hAnsi="Courier New" w:cs="Courier New"/>
          <w:sz w:val="24"/>
          <w:szCs w:val="24"/>
        </w:rPr>
        <w:t xml:space="preserve">earnings and debt levels at programs are to some extent derived from differences in student characteristics and borrowing behavior between students receiving title IV, HEA program funds and individuals who do not receive title IV, HEA program funds. </w:t>
      </w:r>
      <w:r w:rsidR="001D71D1" w:rsidRPr="00D140AB">
        <w:rPr>
          <w:rFonts w:ascii="Courier New" w:hAnsi="Courier New" w:cs="Courier New"/>
          <w:sz w:val="24"/>
          <w:szCs w:val="24"/>
        </w:rPr>
        <w:t xml:space="preserve"> </w:t>
      </w:r>
      <w:r w:rsidR="007904D8">
        <w:rPr>
          <w:rFonts w:ascii="Courier New" w:hAnsi="Courier New" w:cs="Courier New"/>
          <w:sz w:val="24"/>
          <w:szCs w:val="24"/>
        </w:rPr>
        <w:t xml:space="preserve">One commenter suggested that individuals who do not receive title IV, HEA program funds should be included in the calculation of D/E rates because otherwise, according to the commenter, institutions would encourage students who do not otherwise plan to take out loans to do so in order to improve a program’s performance on the D/E rates measure.  </w:t>
      </w:r>
    </w:p>
    <w:p w14:paraId="4269AF92" w14:textId="5BCA6A60"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Other commenters argued that the definition should be broadened only for certain disclosure requirements.  For example, some of the commenters suggested that the completion and withdrawal rates and median loan debt disclosures should include the outcomes of all individuals enrolled in a GE program, both those who receive title IV, HEA program funds and those who do not in order to provide students, prospective students, and other stakeholders with a complete picture of a GE program’s performance.  </w:t>
      </w:r>
    </w:p>
    <w:p w14:paraId="4269AF93" w14:textId="77777777" w:rsidR="001D71D1" w:rsidRPr="00D140AB" w:rsidRDefault="001D71D1" w:rsidP="004D408A">
      <w:pPr>
        <w:widowControl w:val="0"/>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continue to believe that it is necessary and appropriate to define the term “student” for the purposes of these regulations as individuals who received title IV, HEA </w:t>
      </w:r>
      <w:r w:rsidRPr="00D140AB">
        <w:rPr>
          <w:rFonts w:ascii="Courier New" w:hAnsi="Courier New" w:cs="Courier New"/>
          <w:sz w:val="24"/>
          <w:szCs w:val="24"/>
        </w:rPr>
        <w:lastRenderedPageBreak/>
        <w:t xml:space="preserve">program funds for enrolling in the applicable GE program for two reasons.  </w:t>
      </w:r>
    </w:p>
    <w:p w14:paraId="4269AF94" w14:textId="7F5FC54E" w:rsidR="001D71D1" w:rsidRPr="00D140AB" w:rsidRDefault="004D408A" w:rsidP="004D408A">
      <w:pPr>
        <w:widowControl w:val="0"/>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First, as discussed in more detail in the NPRM, this approach is aligned with the </w:t>
      </w:r>
      <w:r w:rsidR="00866401">
        <w:rPr>
          <w:rFonts w:ascii="Courier New" w:hAnsi="Courier New" w:cs="Courier New"/>
          <w:sz w:val="24"/>
          <w:szCs w:val="24"/>
        </w:rPr>
        <w:t>c</w:t>
      </w:r>
      <w:r w:rsidR="001D71D1" w:rsidRPr="00D140AB">
        <w:rPr>
          <w:rFonts w:ascii="Courier New" w:hAnsi="Courier New" w:cs="Courier New"/>
          <w:sz w:val="24"/>
          <w:szCs w:val="24"/>
        </w:rPr>
        <w:t xml:space="preserve">ourt’s interpretation in </w:t>
      </w:r>
      <w:r w:rsidR="001D71D1" w:rsidRPr="00D140AB">
        <w:rPr>
          <w:rFonts w:ascii="Courier New" w:hAnsi="Courier New" w:cs="Courier New"/>
          <w:sz w:val="24"/>
          <w:szCs w:val="24"/>
          <w:u w:val="single"/>
        </w:rPr>
        <w:t>APSCU v. Duncan</w:t>
      </w:r>
      <w:r w:rsidR="001D71D1" w:rsidRPr="00D140AB">
        <w:rPr>
          <w:rFonts w:ascii="Courier New" w:hAnsi="Courier New" w:cs="Courier New"/>
          <w:sz w:val="24"/>
          <w:szCs w:val="24"/>
        </w:rPr>
        <w:t xml:space="preserve"> of relevant law regarding the Department’s authority to maintain records in its NSLDS.  </w:t>
      </w:r>
      <w:r w:rsidR="001E7D7E" w:rsidRPr="00D140AB">
        <w:rPr>
          <w:rFonts w:ascii="Courier New" w:hAnsi="Courier New" w:cs="Courier New"/>
          <w:sz w:val="24"/>
          <w:szCs w:val="24"/>
          <w:u w:val="single"/>
        </w:rPr>
        <w:t>See</w:t>
      </w:r>
      <w:r w:rsidR="001E7D7E" w:rsidRPr="00D140AB">
        <w:rPr>
          <w:rFonts w:ascii="Courier New" w:hAnsi="Courier New" w:cs="Courier New"/>
          <w:sz w:val="24"/>
          <w:szCs w:val="24"/>
        </w:rPr>
        <w:t xml:space="preserve"> </w:t>
      </w:r>
      <w:r w:rsidR="001E7D7E" w:rsidRPr="00D140AB">
        <w:rPr>
          <w:rFonts w:ascii="Courier New" w:hAnsi="Courier New" w:cs="Courier New"/>
          <w:sz w:val="24"/>
          <w:szCs w:val="24"/>
          <w:u w:val="single"/>
        </w:rPr>
        <w:t>APSCU v. Duncan</w:t>
      </w:r>
      <w:r w:rsidR="001E7D7E" w:rsidRPr="00D140AB">
        <w:rPr>
          <w:rFonts w:ascii="Courier New" w:hAnsi="Courier New" w:cs="Courier New"/>
          <w:sz w:val="24"/>
          <w:szCs w:val="24"/>
        </w:rPr>
        <w:t>, 930 F. Supp. 2d at</w:t>
      </w:r>
      <w:r w:rsidR="00A2683D" w:rsidRPr="00D140AB">
        <w:rPr>
          <w:rFonts w:ascii="Courier New" w:hAnsi="Courier New" w:cs="Courier New"/>
          <w:sz w:val="24"/>
          <w:szCs w:val="24"/>
        </w:rPr>
        <w:t xml:space="preserve"> 220</w:t>
      </w:r>
      <w:r w:rsidR="001E7D7E" w:rsidRPr="00D140AB">
        <w:rPr>
          <w:rFonts w:ascii="Courier New" w:hAnsi="Courier New" w:cs="Courier New"/>
          <w:sz w:val="24"/>
          <w:szCs w:val="24"/>
        </w:rPr>
        <w:t xml:space="preserve">.  </w:t>
      </w:r>
      <w:r w:rsidR="001D71D1" w:rsidRPr="00D140AB">
        <w:rPr>
          <w:rFonts w:ascii="Courier New" w:hAnsi="Courier New" w:cs="Courier New"/>
          <w:sz w:val="24"/>
          <w:szCs w:val="24"/>
        </w:rPr>
        <w:t>Second, by limiting the D/E rates measure to assess outcomes of only students who receive title IV, HEA program funds, the Department can effectively evaluate how the GE program is performing with respect to the students who received the Federal benefit that we are charged with administering.  Because the primary purpose of the D/E rates measure is determin</w:t>
      </w:r>
      <w:r w:rsidR="00C318D7">
        <w:rPr>
          <w:rFonts w:ascii="Courier New" w:hAnsi="Courier New" w:cs="Courier New"/>
          <w:sz w:val="24"/>
          <w:szCs w:val="24"/>
        </w:rPr>
        <w:t>ing</w:t>
      </w:r>
      <w:r w:rsidR="001D71D1" w:rsidRPr="00D140AB">
        <w:rPr>
          <w:rFonts w:ascii="Courier New" w:hAnsi="Courier New" w:cs="Courier New"/>
          <w:sz w:val="24"/>
          <w:szCs w:val="24"/>
        </w:rPr>
        <w:t xml:space="preserve"> whether a program should continue to be eligible for title IV, HEA program funds, we can make a sufficient assessment of whether a program prepares students for gainful employment based only on the outcomes of students who receive </w:t>
      </w:r>
      <w:r w:rsidR="00F07A63">
        <w:rPr>
          <w:rFonts w:ascii="Courier New" w:hAnsi="Courier New" w:cs="Courier New"/>
          <w:sz w:val="24"/>
          <w:szCs w:val="24"/>
        </w:rPr>
        <w:t>those</w:t>
      </w:r>
      <w:r w:rsidR="001D71D1" w:rsidRPr="00D140AB">
        <w:rPr>
          <w:rFonts w:ascii="Courier New" w:hAnsi="Courier New" w:cs="Courier New"/>
          <w:sz w:val="24"/>
          <w:szCs w:val="24"/>
        </w:rPr>
        <w:t xml:space="preserve"> funds.  </w:t>
      </w:r>
    </w:p>
    <w:p w14:paraId="5BAFE15E" w14:textId="182138C6" w:rsidR="000017BA"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Although we appreciate the commenters’ interest in expanding the definition of “student” to consider the outcomes of all individuals enrolled in a GE program, our goal in these regulations is to evaluate a GE program’s performance for the purpose of continuing eligibility for title IV, HEA program funds.  Our proposed definition of “students”</w:t>
      </w:r>
      <w:r w:rsidR="001D71D1" w:rsidRPr="00D140AB" w:rsidDel="001A306B">
        <w:rPr>
          <w:rFonts w:ascii="Courier New" w:hAnsi="Courier New" w:cs="Courier New"/>
          <w:sz w:val="24"/>
          <w:szCs w:val="24"/>
        </w:rPr>
        <w:t xml:space="preserve"> </w:t>
      </w:r>
      <w:r w:rsidR="001D71D1" w:rsidRPr="00D140AB">
        <w:rPr>
          <w:rFonts w:ascii="Courier New" w:hAnsi="Courier New" w:cs="Courier New"/>
          <w:sz w:val="24"/>
          <w:szCs w:val="24"/>
        </w:rPr>
        <w:t xml:space="preserve">is directly aligned with that goal.  In addition, this approach is </w:t>
      </w:r>
      <w:r w:rsidR="001D71D1" w:rsidRPr="00D140AB">
        <w:rPr>
          <w:rFonts w:ascii="Courier New" w:hAnsi="Courier New" w:cs="Courier New"/>
          <w:sz w:val="24"/>
          <w:szCs w:val="24"/>
        </w:rPr>
        <w:lastRenderedPageBreak/>
        <w:t xml:space="preserve">consistent with our goal of providing students and prospective students who are eligible for title IV, HEA program funds with relevant information that will help them in considering where to invest their resources and limited eligibility for title IV, HEA program funds.  We understand that some GE programs may not have a large number of individuals receiving title IV, HEA program funds, but given the overall purpose of the regulations--determining a GE program’s eligibility for title IV, HEA program funds--we do not believe it is </w:t>
      </w:r>
      <w:r w:rsidR="00C40DC3">
        <w:rPr>
          <w:rFonts w:ascii="Courier New" w:hAnsi="Courier New" w:cs="Courier New"/>
          <w:sz w:val="24"/>
          <w:szCs w:val="24"/>
        </w:rPr>
        <w:t>necessary</w:t>
      </w:r>
      <w:r w:rsidR="001D71D1" w:rsidRPr="00D140AB">
        <w:rPr>
          <w:rFonts w:ascii="Courier New" w:hAnsi="Courier New" w:cs="Courier New"/>
          <w:sz w:val="24"/>
          <w:szCs w:val="24"/>
        </w:rPr>
        <w:t xml:space="preserve"> to measure the outcomes of individuals who do not receive that aid.  For the same reasons, we do not believe it is </w:t>
      </w:r>
      <w:r w:rsidR="00C40DC3">
        <w:rPr>
          <w:rFonts w:ascii="Courier New" w:hAnsi="Courier New" w:cs="Courier New"/>
          <w:sz w:val="24"/>
          <w:szCs w:val="24"/>
        </w:rPr>
        <w:t>necessary</w:t>
      </w:r>
      <w:r w:rsidR="001D71D1" w:rsidRPr="00D140AB">
        <w:rPr>
          <w:rFonts w:ascii="Courier New" w:hAnsi="Courier New" w:cs="Courier New"/>
          <w:sz w:val="24"/>
          <w:szCs w:val="24"/>
        </w:rPr>
        <w:t xml:space="preserve"> to include individuals who do not receive title IV, HEA program funds in the calculation of D/E rates or in the disclosures the Department calculates for a program.  </w:t>
      </w:r>
    </w:p>
    <w:p w14:paraId="4269AF96" w14:textId="75BE0684" w:rsidR="001D71D1" w:rsidRPr="00D140AB" w:rsidRDefault="007F7F0E"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0017BA">
        <w:rPr>
          <w:rFonts w:ascii="Courier New" w:hAnsi="Courier New" w:cs="Courier New"/>
          <w:sz w:val="24"/>
          <w:szCs w:val="24"/>
        </w:rPr>
        <w:t>Finally, the Department does not agree that limiting its analysis to only students receiving title IV, HEA program funds would create an incentive for institutions to encourage more students to borrow.</w:t>
      </w:r>
      <w:r w:rsidR="001C3688">
        <w:rPr>
          <w:rFonts w:ascii="Courier New" w:hAnsi="Courier New" w:cs="Courier New"/>
          <w:sz w:val="24"/>
          <w:szCs w:val="24"/>
        </w:rPr>
        <w:t xml:space="preserve">  </w:t>
      </w:r>
      <w:r w:rsidR="00CE2688">
        <w:rPr>
          <w:rFonts w:ascii="Courier New" w:hAnsi="Courier New" w:cs="Courier New"/>
          <w:sz w:val="24"/>
          <w:szCs w:val="24"/>
        </w:rPr>
        <w:t xml:space="preserve">We </w:t>
      </w:r>
      <w:r w:rsidR="00554AB4">
        <w:rPr>
          <w:rFonts w:ascii="Courier New" w:hAnsi="Courier New" w:cs="Courier New"/>
          <w:sz w:val="24"/>
          <w:szCs w:val="24"/>
        </w:rPr>
        <w:t xml:space="preserve">do not think it would be common for a </w:t>
      </w:r>
      <w:r w:rsidR="00C846D4">
        <w:rPr>
          <w:rFonts w:ascii="Courier New" w:hAnsi="Courier New" w:cs="Courier New"/>
          <w:sz w:val="24"/>
          <w:szCs w:val="24"/>
        </w:rPr>
        <w:t xml:space="preserve">student to </w:t>
      </w:r>
      <w:r w:rsidR="00CE2688">
        <w:rPr>
          <w:rFonts w:ascii="Courier New" w:hAnsi="Courier New" w:cs="Courier New"/>
          <w:sz w:val="24"/>
          <w:szCs w:val="24"/>
        </w:rPr>
        <w:t xml:space="preserve">take out a loan that the student did not otherwise plan </w:t>
      </w:r>
      <w:r w:rsidR="00554AB4">
        <w:rPr>
          <w:rFonts w:ascii="Courier New" w:hAnsi="Courier New" w:cs="Courier New"/>
          <w:sz w:val="24"/>
          <w:szCs w:val="24"/>
        </w:rPr>
        <w:t>to take on.</w:t>
      </w:r>
      <w:r w:rsidR="001C3688">
        <w:rPr>
          <w:rFonts w:ascii="Courier New" w:hAnsi="Courier New" w:cs="Courier New"/>
          <w:sz w:val="24"/>
          <w:szCs w:val="24"/>
        </w:rPr>
        <w:t xml:space="preserve">  </w:t>
      </w:r>
    </w:p>
    <w:p w14:paraId="4269AF97"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98" w14:textId="160CE560"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One commenter stated that the Department had not adequately explained its departure from the approach taken in the 2011 Final Rules, which consider</w:t>
      </w:r>
      <w:r w:rsidR="00C40DC3">
        <w:rPr>
          <w:rFonts w:ascii="Courier New" w:hAnsi="Courier New" w:cs="Courier New"/>
          <w:sz w:val="24"/>
          <w:szCs w:val="24"/>
        </w:rPr>
        <w:t>ed</w:t>
      </w:r>
      <w:r w:rsidRPr="00D140AB">
        <w:rPr>
          <w:rFonts w:ascii="Courier New" w:hAnsi="Courier New" w:cs="Courier New"/>
          <w:sz w:val="24"/>
          <w:szCs w:val="24"/>
        </w:rPr>
        <w:t xml:space="preserve"> the outcomes of all </w:t>
      </w:r>
      <w:r w:rsidRPr="00D140AB">
        <w:rPr>
          <w:rFonts w:ascii="Courier New" w:hAnsi="Courier New" w:cs="Courier New"/>
          <w:sz w:val="24"/>
          <w:szCs w:val="24"/>
        </w:rPr>
        <w:lastRenderedPageBreak/>
        <w:t>individuals enrolled in a GE program rather than just individuals receiving title IV, HEA program funds.</w:t>
      </w:r>
    </w:p>
    <w:p w14:paraId="4269AF99" w14:textId="27833AE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t>
      </w:r>
      <w:r w:rsidR="00FD1C78">
        <w:rPr>
          <w:rFonts w:ascii="Courier New" w:hAnsi="Courier New" w:cs="Courier New"/>
          <w:sz w:val="24"/>
          <w:szCs w:val="24"/>
        </w:rPr>
        <w:t>W</w:t>
      </w:r>
      <w:r w:rsidRPr="00D140AB">
        <w:rPr>
          <w:rFonts w:ascii="Courier New" w:hAnsi="Courier New" w:cs="Courier New"/>
          <w:sz w:val="24"/>
          <w:szCs w:val="24"/>
        </w:rPr>
        <w:t xml:space="preserve">e have adequately justified the Department’s decision to base the D/E rates measure only on the outcomes of individuals receiving title IV, HEA program funds.  Our analysis of this issue is described in the previous paragraphs, was set forth in considerable detail in the NPRM, and, additionally, as noted in the NPRM, is supported by the </w:t>
      </w:r>
      <w:r w:rsidR="00866401">
        <w:rPr>
          <w:rFonts w:ascii="Courier New" w:hAnsi="Courier New" w:cs="Courier New"/>
          <w:sz w:val="24"/>
          <w:szCs w:val="24"/>
        </w:rPr>
        <w:t>c</w:t>
      </w:r>
      <w:r w:rsidRPr="00D140AB">
        <w:rPr>
          <w:rFonts w:ascii="Courier New" w:hAnsi="Courier New" w:cs="Courier New"/>
          <w:sz w:val="24"/>
          <w:szCs w:val="24"/>
        </w:rPr>
        <w:t xml:space="preserve">ourt’s decision in </w:t>
      </w:r>
      <w:r w:rsidRPr="00D140AB">
        <w:rPr>
          <w:rFonts w:ascii="Courier New" w:hAnsi="Courier New" w:cs="Courier New"/>
          <w:sz w:val="24"/>
          <w:szCs w:val="24"/>
          <w:u w:val="single"/>
        </w:rPr>
        <w:t>APSCU v. Duncan</w:t>
      </w:r>
      <w:r w:rsidRPr="00D140AB">
        <w:rPr>
          <w:rFonts w:ascii="Courier New" w:hAnsi="Courier New" w:cs="Courier New"/>
          <w:sz w:val="24"/>
          <w:szCs w:val="24"/>
        </w:rPr>
        <w:t>.  The justifications presented meet the reasoned basis standard we must satisfy under the A</w:t>
      </w:r>
      <w:r w:rsidR="00524B5B">
        <w:rPr>
          <w:rFonts w:ascii="Courier New" w:hAnsi="Courier New" w:cs="Courier New"/>
          <w:sz w:val="24"/>
          <w:szCs w:val="24"/>
        </w:rPr>
        <w:t xml:space="preserve">dministrative Procedure Act </w:t>
      </w:r>
      <w:r w:rsidRPr="00D140AB">
        <w:rPr>
          <w:rFonts w:ascii="Courier New" w:hAnsi="Courier New" w:cs="Courier New"/>
          <w:sz w:val="24"/>
          <w:szCs w:val="24"/>
        </w:rPr>
        <w:t xml:space="preserve">and relevant case law. </w:t>
      </w:r>
    </w:p>
    <w:p w14:paraId="4269AF9A"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AF9B" w14:textId="5D60BE59" w:rsidR="001D71D1" w:rsidRPr="00D140AB" w:rsidRDefault="001D71D1" w:rsidP="004D408A">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We received a number of comments about the definition of “student” in the context of </w:t>
      </w:r>
      <w:r w:rsidR="002F424C">
        <w:rPr>
          <w:rFonts w:ascii="Courier New" w:hAnsi="Courier New" w:cs="Courier New"/>
          <w:sz w:val="24"/>
          <w:szCs w:val="24"/>
        </w:rPr>
        <w:t xml:space="preserve">the </w:t>
      </w:r>
      <w:r w:rsidR="002F424C" w:rsidRPr="00D140AB">
        <w:rPr>
          <w:rFonts w:ascii="Courier New" w:hAnsi="Courier New" w:cs="Courier New"/>
          <w:sz w:val="24"/>
          <w:szCs w:val="24"/>
        </w:rPr>
        <w:t>m</w:t>
      </w:r>
      <w:r w:rsidR="002F424C">
        <w:rPr>
          <w:rFonts w:ascii="Courier New" w:hAnsi="Courier New" w:cs="Courier New"/>
          <w:sz w:val="24"/>
          <w:szCs w:val="24"/>
        </w:rPr>
        <w:t>itigating circumstances showing</w:t>
      </w:r>
      <w:r w:rsidR="002F424C" w:rsidRPr="00D140AB">
        <w:rPr>
          <w:rFonts w:ascii="Courier New" w:hAnsi="Courier New" w:cs="Courier New"/>
          <w:sz w:val="24"/>
          <w:szCs w:val="24"/>
        </w:rPr>
        <w:t xml:space="preserve"> </w:t>
      </w:r>
      <w:r w:rsidR="002F424C">
        <w:rPr>
          <w:rFonts w:ascii="Courier New" w:hAnsi="Courier New" w:cs="Courier New"/>
          <w:sz w:val="24"/>
          <w:szCs w:val="24"/>
        </w:rPr>
        <w:t xml:space="preserve">in </w:t>
      </w:r>
      <w:r w:rsidRPr="00D140AB">
        <w:rPr>
          <w:rFonts w:ascii="Courier New" w:hAnsi="Courier New" w:cs="Courier New"/>
          <w:sz w:val="24"/>
          <w:szCs w:val="24"/>
        </w:rPr>
        <w:t xml:space="preserve">§668.406 of the proposed regulations.  As proposed in the NPRM, an institution would be permitted to demonstrate that less than 50 percent of all individuals who completed the program during the cohort period, both those individuals who received title IV, HEA program funds and those who did not, incurred any loan debt for enrollment in the program.  A GE program that could make this showing would be deemed to pass the D/E rates measure.  </w:t>
      </w:r>
    </w:p>
    <w:p w14:paraId="4269AF9C" w14:textId="123825D6"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 xml:space="preserve">     In this context, some commenters argued against allowing institutions to include individuals who do not receive title IV, </w:t>
      </w:r>
      <w:r w:rsidRPr="00D140AB">
        <w:rPr>
          <w:rFonts w:ascii="Courier New" w:hAnsi="Courier New" w:cs="Courier New"/>
          <w:sz w:val="24"/>
          <w:szCs w:val="24"/>
        </w:rPr>
        <w:lastRenderedPageBreak/>
        <w:t xml:space="preserve">HEA program funds for enrollment in the GE program.  These commenters noted that including individuals who do not receive these loans is at odds with the legal framework that the Department established in order to align the regulations with the </w:t>
      </w:r>
      <w:r w:rsidR="00866401">
        <w:rPr>
          <w:rFonts w:ascii="Courier New" w:hAnsi="Courier New" w:cs="Courier New"/>
          <w:sz w:val="24"/>
          <w:szCs w:val="24"/>
        </w:rPr>
        <w:t>d</w:t>
      </w:r>
      <w:r w:rsidRPr="00D140AB">
        <w:rPr>
          <w:rFonts w:ascii="Courier New" w:hAnsi="Courier New" w:cs="Courier New"/>
          <w:sz w:val="24"/>
          <w:szCs w:val="24"/>
        </w:rPr>
        <w:t xml:space="preserve">istrict </w:t>
      </w:r>
      <w:r w:rsidR="00866401">
        <w:rPr>
          <w:rFonts w:ascii="Courier New" w:hAnsi="Courier New" w:cs="Courier New"/>
          <w:sz w:val="24"/>
          <w:szCs w:val="24"/>
        </w:rPr>
        <w:t>c</w:t>
      </w:r>
      <w:r w:rsidRPr="00D140AB">
        <w:rPr>
          <w:rFonts w:ascii="Courier New" w:hAnsi="Courier New" w:cs="Courier New"/>
          <w:sz w:val="24"/>
          <w:szCs w:val="24"/>
        </w:rPr>
        <w:t xml:space="preserve">ourt’s decision in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They suggested that permitting institutions to include individuals who do not receive loans under the title IV, HEA programs in a mitigating circumstances showing would be inconsistent with the </w:t>
      </w:r>
      <w:r w:rsidR="00866401">
        <w:rPr>
          <w:rFonts w:ascii="Courier New" w:hAnsi="Courier New" w:cs="Courier New"/>
          <w:sz w:val="24"/>
          <w:szCs w:val="24"/>
        </w:rPr>
        <w:t>c</w:t>
      </w:r>
      <w:r w:rsidRPr="00D140AB">
        <w:rPr>
          <w:rFonts w:ascii="Courier New" w:hAnsi="Courier New" w:cs="Courier New"/>
          <w:sz w:val="24"/>
          <w:szCs w:val="24"/>
        </w:rPr>
        <w:t xml:space="preserve">ourt’s decision and as a result would violate the HEA. </w:t>
      </w:r>
    </w:p>
    <w:p w14:paraId="4269AF9D" w14:textId="77777777" w:rsidR="001D71D1" w:rsidRPr="00D140AB" w:rsidRDefault="001D71D1" w:rsidP="004D408A">
      <w:pPr>
        <w:spacing w:after="0" w:line="480" w:lineRule="auto"/>
        <w:rPr>
          <w:rFonts w:ascii="Courier New" w:eastAsia="Arial Unicode MS" w:hAnsi="Courier New" w:cs="Courier New"/>
          <w:sz w:val="24"/>
          <w:szCs w:val="24"/>
        </w:rPr>
      </w:pPr>
      <w:r w:rsidRPr="00D140AB">
        <w:rPr>
          <w:rFonts w:ascii="Courier New" w:hAnsi="Courier New" w:cs="Courier New"/>
          <w:sz w:val="24"/>
          <w:szCs w:val="24"/>
        </w:rPr>
        <w:t xml:space="preserve">   </w:t>
      </w:r>
      <w:r w:rsidRPr="00D140AB">
        <w:rPr>
          <w:rFonts w:ascii="Courier New" w:eastAsia="Arial Unicode MS" w:hAnsi="Courier New" w:cs="Courier New"/>
          <w:sz w:val="24"/>
          <w:szCs w:val="24"/>
        </w:rPr>
        <w:t xml:space="preserve">  Several commenters also asserted that permitting mitigating circumstances showings or providing for a full exemption would discriminate in favor of institutions, such as community colleges, where less than 50 percent of individuals enrolled in the program receive title IV, HEA program funds.  According to these commenters, many of these public institutions have higher costs than institutions in the for-profit sector but have lower borrowing rates because the higher costs are subsidized by States.  The commenters stated that if these institutions’ programs are considered exempt from the D/E rates measure, </w:t>
      </w:r>
      <w:r w:rsidRPr="00D140AB">
        <w:rPr>
          <w:rFonts w:ascii="Courier New" w:hAnsi="Courier New" w:cs="Courier New"/>
          <w:sz w:val="24"/>
          <w:szCs w:val="24"/>
        </w:rPr>
        <w:t>programs that perform very poorly on other measures like completion would continue merely because they are low cost even though they do not reflect a sound use of taxpayer funds.</w:t>
      </w:r>
    </w:p>
    <w:p w14:paraId="4269AF9F" w14:textId="4D8BCC16" w:rsidR="001D71D1" w:rsidRPr="00D140AB" w:rsidRDefault="004D408A" w:rsidP="004D408A">
      <w:pPr>
        <w:spacing w:after="0" w:line="480" w:lineRule="auto"/>
        <w:rPr>
          <w:rFonts w:ascii="Courier New" w:hAnsi="Courier New" w:cs="Courier New"/>
          <w:sz w:val="24"/>
          <w:szCs w:val="24"/>
        </w:rPr>
      </w:pPr>
      <w:r>
        <w:rPr>
          <w:rFonts w:ascii="Courier New" w:eastAsia="Arial Unicode MS" w:hAnsi="Courier New" w:cs="Courier New"/>
          <w:sz w:val="24"/>
          <w:szCs w:val="24"/>
        </w:rPr>
        <w:t xml:space="preserve">     </w:t>
      </w:r>
      <w:r w:rsidR="001D71D1" w:rsidRPr="00D140AB">
        <w:rPr>
          <w:rFonts w:ascii="Courier New" w:eastAsia="Arial Unicode MS" w:hAnsi="Courier New" w:cs="Courier New"/>
          <w:sz w:val="24"/>
          <w:szCs w:val="24"/>
        </w:rPr>
        <w:t xml:space="preserve">Some commenters stated that permitting a mitigating circumstances showing would result in unfair and unequal </w:t>
      </w:r>
      <w:r w:rsidR="001D71D1" w:rsidRPr="00D140AB">
        <w:rPr>
          <w:rFonts w:ascii="Courier New" w:eastAsia="Arial Unicode MS" w:hAnsi="Courier New" w:cs="Courier New"/>
          <w:sz w:val="24"/>
          <w:szCs w:val="24"/>
        </w:rPr>
        <w:lastRenderedPageBreak/>
        <w:t xml:space="preserve">treatment of similar institutions in different States.  The commenter said that, for example, in some States, cosmetology programs are eligible for State tuition assistance grants, while in other States these programs are not eligible for such grants.  Schools charging the same tuition and whose graduates are making the same amount in one State would pass the D/E rates measure while those in another would not. </w:t>
      </w:r>
      <w:r w:rsidR="007F7F0E">
        <w:rPr>
          <w:rFonts w:ascii="Courier New" w:eastAsia="Arial Unicode MS" w:hAnsi="Courier New" w:cs="Courier New"/>
          <w:sz w:val="24"/>
          <w:szCs w:val="24"/>
        </w:rPr>
        <w:t xml:space="preserve"> </w:t>
      </w:r>
      <w:r w:rsidR="001D71D1" w:rsidRPr="00D140AB">
        <w:rPr>
          <w:rFonts w:ascii="Courier New" w:eastAsia="Arial Unicode MS" w:hAnsi="Courier New" w:cs="Courier New"/>
          <w:sz w:val="24"/>
          <w:szCs w:val="24"/>
        </w:rPr>
        <w:t xml:space="preserve">Finally, some commenters asserted that </w:t>
      </w:r>
      <w:r w:rsidR="001D71D1" w:rsidRPr="00D140AB">
        <w:rPr>
          <w:rFonts w:ascii="Courier New" w:hAnsi="Courier New" w:cs="Courier New"/>
          <w:sz w:val="24"/>
          <w:szCs w:val="24"/>
        </w:rPr>
        <w:t xml:space="preserve">only a fraction of programs at public institutions would fail the D/E rates measure, and that this small number does not support an exemption or permitting a mitigating circumstances showing.  </w:t>
      </w:r>
    </w:p>
    <w:p w14:paraId="4269AFA0" w14:textId="6676A1B4" w:rsidR="001D71D1" w:rsidRPr="00D140AB" w:rsidRDefault="001D71D1" w:rsidP="004D408A">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t xml:space="preserve">     A number of commenters supported the proposed mitigating circumstances showing, and specifically the inclusion of individuals who do not receive title IV, HEA program funds.  As noted previously, commenters argued that these individuals should be considered because the number of students receiving title IV, HEA program funds and incurring debt to enroll in many community college programs is typically very small and these students do not represent the majority of individuals who complete the program.  According to these commenters, a program in which </w:t>
      </w:r>
      <w:r w:rsidRPr="00503B02">
        <w:rPr>
          <w:rFonts w:ascii="Courier New" w:hAnsi="Courier New"/>
          <w:sz w:val="24"/>
        </w:rPr>
        <w:t>a</w:t>
      </w:r>
      <w:r w:rsidR="00162545" w:rsidRPr="00503B02">
        <w:rPr>
          <w:rFonts w:ascii="Courier New" w:hAnsi="Courier New"/>
          <w:sz w:val="24"/>
        </w:rPr>
        <w:t>t least 50 percent</w:t>
      </w:r>
      <w:r w:rsidRPr="00503B02">
        <w:rPr>
          <w:rFonts w:ascii="Courier New" w:hAnsi="Courier New"/>
          <w:sz w:val="24"/>
        </w:rPr>
        <w:t xml:space="preserve"> </w:t>
      </w:r>
      <w:r w:rsidRPr="00D140AB">
        <w:rPr>
          <w:rFonts w:ascii="Courier New" w:hAnsi="Courier New" w:cs="Courier New"/>
          <w:sz w:val="24"/>
          <w:szCs w:val="24"/>
        </w:rPr>
        <w:t xml:space="preserve">of individuals enrolled in the program have no debt is unlikely to produce graduates whose educational debts would be excessive because tuition and costs are likely to be low and require little borrowing.  Commenters </w:t>
      </w:r>
      <w:r w:rsidRPr="00D140AB">
        <w:rPr>
          <w:rFonts w:ascii="Courier New" w:hAnsi="Courier New" w:cs="Courier New"/>
          <w:sz w:val="24"/>
          <w:szCs w:val="24"/>
        </w:rPr>
        <w:lastRenderedPageBreak/>
        <w:t xml:space="preserve">further noted that including these individuals in the calculation would be consistent with the 2011 Prior Rule, where a program with a median loan debt of zero passed the debt-to-earnings measures based on the borrowing activity of individuals </w:t>
      </w:r>
      <w:r w:rsidR="00CD676F" w:rsidRPr="00D140AB">
        <w:rPr>
          <w:rFonts w:ascii="Courier New" w:hAnsi="Courier New" w:cs="Courier New"/>
          <w:sz w:val="24"/>
          <w:szCs w:val="24"/>
        </w:rPr>
        <w:t xml:space="preserve">who </w:t>
      </w:r>
      <w:r w:rsidRPr="00D140AB">
        <w:rPr>
          <w:rFonts w:ascii="Courier New" w:hAnsi="Courier New" w:cs="Courier New"/>
          <w:sz w:val="24"/>
          <w:szCs w:val="24"/>
        </w:rPr>
        <w:t>receiv</w:t>
      </w:r>
      <w:r w:rsidR="00CD676F" w:rsidRPr="00D140AB">
        <w:rPr>
          <w:rFonts w:ascii="Courier New" w:hAnsi="Courier New" w:cs="Courier New"/>
          <w:sz w:val="24"/>
          <w:szCs w:val="24"/>
        </w:rPr>
        <w:t>e</w:t>
      </w:r>
      <w:r w:rsidRPr="00D140AB">
        <w:rPr>
          <w:rFonts w:ascii="Courier New" w:hAnsi="Courier New" w:cs="Courier New"/>
          <w:sz w:val="24"/>
          <w:szCs w:val="24"/>
        </w:rPr>
        <w:t xml:space="preserve"> title IV, HEA program funds and those who do not.  These commenters stated that even though the Department is largely limiting the accountability measures to an analysis of the earnings and debt of students receiving title IV, HEA program funds due to the concerns expressed by the </w:t>
      </w:r>
      <w:r w:rsidR="00866401">
        <w:rPr>
          <w:rFonts w:ascii="Courier New" w:hAnsi="Courier New" w:cs="Courier New"/>
          <w:sz w:val="24"/>
          <w:szCs w:val="24"/>
        </w:rPr>
        <w:t>d</w:t>
      </w:r>
      <w:r w:rsidRPr="00D140AB">
        <w:rPr>
          <w:rFonts w:ascii="Courier New" w:hAnsi="Courier New" w:cs="Courier New"/>
          <w:sz w:val="24"/>
          <w:szCs w:val="24"/>
        </w:rPr>
        <w:t xml:space="preserve">istrict </w:t>
      </w:r>
      <w:r w:rsidR="00866401">
        <w:rPr>
          <w:rFonts w:ascii="Courier New" w:hAnsi="Courier New" w:cs="Courier New"/>
          <w:sz w:val="24"/>
          <w:szCs w:val="24"/>
        </w:rPr>
        <w:t>c</w:t>
      </w:r>
      <w:r w:rsidRPr="00D140AB">
        <w:rPr>
          <w:rFonts w:ascii="Courier New" w:hAnsi="Courier New" w:cs="Courier New"/>
          <w:sz w:val="24"/>
          <w:szCs w:val="24"/>
        </w:rPr>
        <w:t xml:space="preserve">ourt in </w:t>
      </w:r>
      <w:r w:rsidRPr="00D140AB">
        <w:rPr>
          <w:rFonts w:ascii="Courier New" w:hAnsi="Courier New" w:cs="Courier New"/>
          <w:sz w:val="24"/>
          <w:szCs w:val="24"/>
          <w:u w:val="single"/>
        </w:rPr>
        <w:t>APSCU v. Duncan</w:t>
      </w:r>
      <w:r w:rsidRPr="00D140AB">
        <w:rPr>
          <w:rFonts w:ascii="Courier New" w:hAnsi="Courier New" w:cs="Courier New"/>
          <w:sz w:val="24"/>
          <w:szCs w:val="24"/>
        </w:rPr>
        <w:t xml:space="preserve">, a program with a median loan debt of zero, whether or not the calculation is limited to students receiving title IV, HEA program funds, should still pass the D/E rates measure. </w:t>
      </w:r>
    </w:p>
    <w:p w14:paraId="4269AFA1" w14:textId="2057DC4C" w:rsidR="001D71D1" w:rsidRPr="00D140AB" w:rsidRDefault="007F7F0E"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Finally, these commenters noted that the D/E rates measure is designed to help ensure that students are receiving training that will lead to earnings that will allow them to pay back their student loan debts after they complete their program.  According to these commenters, many GE programs, including many programs offered by community colleges, have low tuition and many of their students can pay the costs of the program </w:t>
      </w:r>
      <w:r w:rsidR="00C40DC3">
        <w:rPr>
          <w:rFonts w:ascii="Courier New" w:hAnsi="Courier New" w:cs="Courier New"/>
          <w:sz w:val="24"/>
          <w:szCs w:val="24"/>
        </w:rPr>
        <w:t xml:space="preserve">solely </w:t>
      </w:r>
      <w:r w:rsidR="001D71D1" w:rsidRPr="00D140AB">
        <w:rPr>
          <w:rFonts w:ascii="Courier New" w:hAnsi="Courier New" w:cs="Courier New"/>
          <w:sz w:val="24"/>
          <w:szCs w:val="24"/>
        </w:rPr>
        <w:t xml:space="preserve">through a Pell Grant, rather than incurring </w:t>
      </w:r>
      <w:r w:rsidR="00C40DC3">
        <w:rPr>
          <w:rFonts w:ascii="Courier New" w:hAnsi="Courier New" w:cs="Courier New"/>
          <w:sz w:val="24"/>
          <w:szCs w:val="24"/>
        </w:rPr>
        <w:t>debt</w:t>
      </w:r>
      <w:r w:rsidR="001D71D1" w:rsidRPr="00D140AB">
        <w:rPr>
          <w:rFonts w:ascii="Courier New" w:hAnsi="Courier New" w:cs="Courier New"/>
          <w:sz w:val="24"/>
          <w:szCs w:val="24"/>
        </w:rPr>
        <w:t xml:space="preserve">.  </w:t>
      </w:r>
    </w:p>
    <w:p w14:paraId="4269AFA2" w14:textId="23D2D8BB" w:rsidR="001D71D1" w:rsidRPr="008037ED" w:rsidRDefault="001D71D1" w:rsidP="004D408A">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t xml:space="preserve">     Some of the commenters who supported allowing an institution to make a showing of mitigating circumstances under §668.406 of the proposed regulations also argued that, instead </w:t>
      </w:r>
      <w:r w:rsidRPr="00D140AB">
        <w:rPr>
          <w:rFonts w:ascii="Courier New" w:hAnsi="Courier New" w:cs="Courier New"/>
          <w:sz w:val="24"/>
          <w:szCs w:val="24"/>
        </w:rPr>
        <w:lastRenderedPageBreak/>
        <w:t xml:space="preserve">of requiring such a showing, the Department should completely exempt from the D/E rates measure any GE program for which less than 50 percent of the individuals who completed the program incurred loan debt for enrollment in the program.  </w:t>
      </w:r>
      <w:r w:rsidR="00F56F82" w:rsidRPr="00D140AB">
        <w:rPr>
          <w:rFonts w:ascii="Courier New" w:hAnsi="Courier New" w:cs="Courier New"/>
          <w:sz w:val="24"/>
          <w:szCs w:val="24"/>
        </w:rPr>
        <w:t xml:space="preserve">The commenters proposed several methodologies the Department could use to determine which programs qualify for the exemption.  </w:t>
      </w:r>
      <w:r w:rsidRPr="00D140AB">
        <w:rPr>
          <w:rFonts w:ascii="Courier New" w:hAnsi="Courier New" w:cs="Courier New"/>
          <w:sz w:val="24"/>
          <w:szCs w:val="24"/>
        </w:rPr>
        <w:t xml:space="preserve">These commenters made similar arguments to those discussed previously--that these programs should not be subject to the administratively burdensome process for calculating the D/E rates, when ultimately these programs will have a median loan debt of zero and therefore will be determined to be passing the D/E rates measure.  </w:t>
      </w:r>
      <w:r w:rsidR="008037ED">
        <w:rPr>
          <w:rFonts w:ascii="Courier New" w:hAnsi="Courier New" w:cs="Courier New"/>
          <w:sz w:val="24"/>
          <w:szCs w:val="24"/>
        </w:rPr>
        <w:t xml:space="preserve">One of these commenters </w:t>
      </w:r>
      <w:r w:rsidR="008F1635">
        <w:rPr>
          <w:rFonts w:ascii="Courier New" w:hAnsi="Courier New" w:cs="Courier New"/>
          <w:sz w:val="24"/>
        </w:rPr>
        <w:t>suggested that, i</w:t>
      </w:r>
      <w:r w:rsidR="008037ED" w:rsidRPr="008037ED">
        <w:rPr>
          <w:rFonts w:ascii="Courier New" w:hAnsi="Courier New" w:cs="Courier New"/>
          <w:sz w:val="24"/>
        </w:rPr>
        <w:t>f</w:t>
      </w:r>
      <w:r w:rsidR="008037ED" w:rsidRPr="008037ED">
        <w:rPr>
          <w:rFonts w:ascii="Courier New" w:hAnsi="Courier New" w:cs="Courier New"/>
          <w:b/>
          <w:sz w:val="24"/>
        </w:rPr>
        <w:t xml:space="preserve"> </w:t>
      </w:r>
      <w:r w:rsidR="008037ED" w:rsidRPr="008037ED">
        <w:rPr>
          <w:rFonts w:ascii="Courier New" w:hAnsi="Courier New" w:cs="Courier New"/>
          <w:sz w:val="24"/>
        </w:rPr>
        <w:t xml:space="preserve">a program is failing </w:t>
      </w:r>
      <w:r w:rsidR="008037ED">
        <w:rPr>
          <w:rFonts w:ascii="Courier New" w:hAnsi="Courier New" w:cs="Courier New"/>
          <w:sz w:val="24"/>
        </w:rPr>
        <w:t>or in the zone with respect to the D/E rates measure</w:t>
      </w:r>
      <w:r w:rsidR="008037ED" w:rsidRPr="008037ED">
        <w:rPr>
          <w:rFonts w:ascii="Courier New" w:hAnsi="Courier New" w:cs="Courier New"/>
          <w:sz w:val="24"/>
        </w:rPr>
        <w:t>, the institution should have the ability to recalculate its median loan debt based on all graduates</w:t>
      </w:r>
      <w:r w:rsidR="008F1635">
        <w:rPr>
          <w:rFonts w:ascii="Courier New" w:hAnsi="Courier New" w:cs="Courier New"/>
          <w:sz w:val="24"/>
        </w:rPr>
        <w:t>,</w:t>
      </w:r>
      <w:r w:rsidR="008F1635" w:rsidRPr="008F1635">
        <w:rPr>
          <w:rFonts w:ascii="Courier New" w:hAnsi="Courier New" w:cs="Courier New"/>
          <w:sz w:val="24"/>
        </w:rPr>
        <w:t xml:space="preserve"> </w:t>
      </w:r>
      <w:r w:rsidR="008F1635">
        <w:rPr>
          <w:rFonts w:ascii="Courier New" w:hAnsi="Courier New" w:cs="Courier New"/>
          <w:sz w:val="24"/>
        </w:rPr>
        <w:t>t</w:t>
      </w:r>
      <w:r w:rsidR="008F1635" w:rsidRPr="008037ED">
        <w:rPr>
          <w:rFonts w:ascii="Courier New" w:hAnsi="Courier New" w:cs="Courier New"/>
          <w:sz w:val="24"/>
        </w:rPr>
        <w:t>o evaluate the overall quality of a program</w:t>
      </w:r>
      <w:r w:rsidR="008037ED" w:rsidRPr="008037ED">
        <w:rPr>
          <w:rFonts w:ascii="Courier New" w:hAnsi="Courier New" w:cs="Courier New"/>
          <w:sz w:val="24"/>
        </w:rPr>
        <w:t xml:space="preserve">. </w:t>
      </w:r>
      <w:r w:rsidR="008037ED">
        <w:rPr>
          <w:rFonts w:ascii="Courier New" w:hAnsi="Courier New" w:cs="Courier New"/>
          <w:sz w:val="24"/>
        </w:rPr>
        <w:t xml:space="preserve"> </w:t>
      </w:r>
      <w:r w:rsidR="008F1635">
        <w:rPr>
          <w:rFonts w:ascii="Courier New" w:hAnsi="Courier New" w:cs="Courier New"/>
          <w:sz w:val="24"/>
        </w:rPr>
        <w:t>The commenter proposed that, i</w:t>
      </w:r>
      <w:r w:rsidR="008037ED" w:rsidRPr="008037ED">
        <w:rPr>
          <w:rFonts w:ascii="Courier New" w:hAnsi="Courier New" w:cs="Courier New"/>
          <w:sz w:val="24"/>
        </w:rPr>
        <w:t xml:space="preserve">f the program passes on the basis of that recalculation, the notice of determination </w:t>
      </w:r>
      <w:r w:rsidR="008037ED">
        <w:rPr>
          <w:rFonts w:ascii="Courier New" w:hAnsi="Courier New" w:cs="Courier New"/>
          <w:sz w:val="24"/>
        </w:rPr>
        <w:t xml:space="preserve">issued by the Department </w:t>
      </w:r>
      <w:r w:rsidR="008F1635">
        <w:rPr>
          <w:rFonts w:ascii="Courier New" w:hAnsi="Courier New" w:cs="Courier New"/>
          <w:sz w:val="24"/>
        </w:rPr>
        <w:t>w</w:t>
      </w:r>
      <w:r w:rsidR="008037ED" w:rsidRPr="008037ED">
        <w:rPr>
          <w:rFonts w:ascii="Courier New" w:hAnsi="Courier New" w:cs="Courier New"/>
          <w:sz w:val="24"/>
        </w:rPr>
        <w:t xml:space="preserve">ould be annotated to reflect that the institution made a showing of </w:t>
      </w:r>
      <w:r w:rsidR="008F1635">
        <w:rPr>
          <w:rFonts w:ascii="Courier New" w:hAnsi="Courier New" w:cs="Courier New"/>
          <w:sz w:val="24"/>
        </w:rPr>
        <w:t>“</w:t>
      </w:r>
      <w:r w:rsidR="008037ED" w:rsidRPr="008037ED">
        <w:rPr>
          <w:rFonts w:ascii="Courier New" w:hAnsi="Courier New" w:cs="Courier New"/>
          <w:sz w:val="24"/>
        </w:rPr>
        <w:t>mitigating circumstances</w:t>
      </w:r>
      <w:r w:rsidR="008F1635">
        <w:rPr>
          <w:rFonts w:ascii="Courier New" w:hAnsi="Courier New" w:cs="Courier New"/>
          <w:sz w:val="24"/>
        </w:rPr>
        <w:t>”</w:t>
      </w:r>
      <w:r w:rsidR="008037ED" w:rsidRPr="008037ED">
        <w:rPr>
          <w:rFonts w:ascii="Courier New" w:hAnsi="Courier New" w:cs="Courier New"/>
          <w:sz w:val="24"/>
        </w:rPr>
        <w:t xml:space="preserve"> and </w:t>
      </w:r>
      <w:r w:rsidR="008037ED">
        <w:rPr>
          <w:rFonts w:ascii="Courier New" w:hAnsi="Courier New" w:cs="Courier New"/>
          <w:sz w:val="24"/>
        </w:rPr>
        <w:t xml:space="preserve">the program </w:t>
      </w:r>
      <w:r w:rsidR="008F1635">
        <w:rPr>
          <w:rFonts w:ascii="Courier New" w:hAnsi="Courier New" w:cs="Courier New"/>
          <w:sz w:val="24"/>
        </w:rPr>
        <w:t>would be</w:t>
      </w:r>
      <w:r w:rsidR="008037ED">
        <w:rPr>
          <w:rFonts w:ascii="Courier New" w:hAnsi="Courier New" w:cs="Courier New"/>
          <w:sz w:val="24"/>
        </w:rPr>
        <w:t xml:space="preserve"> deemed passing.</w:t>
      </w:r>
      <w:r w:rsidR="00FF264C">
        <w:rPr>
          <w:rFonts w:ascii="Courier New" w:hAnsi="Courier New" w:cs="Courier New"/>
          <w:sz w:val="24"/>
        </w:rPr>
        <w:t xml:space="preserve">  </w:t>
      </w:r>
      <w:r w:rsidR="00FF264C" w:rsidRPr="00D140AB">
        <w:rPr>
          <w:rFonts w:ascii="Courier New" w:hAnsi="Courier New" w:cs="Courier New"/>
          <w:sz w:val="24"/>
          <w:szCs w:val="24"/>
        </w:rPr>
        <w:t xml:space="preserve">Some of the commenters also argued that </w:t>
      </w:r>
      <w:r w:rsidR="008F1635">
        <w:rPr>
          <w:rFonts w:ascii="Courier New" w:hAnsi="Courier New" w:cs="Courier New"/>
          <w:sz w:val="24"/>
          <w:szCs w:val="24"/>
        </w:rPr>
        <w:t>an</w:t>
      </w:r>
      <w:r w:rsidR="00FF264C" w:rsidRPr="00D140AB">
        <w:rPr>
          <w:rFonts w:ascii="Courier New" w:hAnsi="Courier New" w:cs="Courier New"/>
          <w:sz w:val="24"/>
          <w:szCs w:val="24"/>
        </w:rPr>
        <w:t xml:space="preserve"> exemption</w:t>
      </w:r>
      <w:r w:rsidR="008F1635">
        <w:rPr>
          <w:rFonts w:ascii="Courier New" w:hAnsi="Courier New" w:cs="Courier New"/>
          <w:sz w:val="24"/>
          <w:szCs w:val="24"/>
        </w:rPr>
        <w:t xml:space="preserve"> based on a borrowing rate of less than 50 percent</w:t>
      </w:r>
      <w:r w:rsidR="00FF264C" w:rsidRPr="00D140AB">
        <w:rPr>
          <w:rFonts w:ascii="Courier New" w:hAnsi="Courier New" w:cs="Courier New"/>
          <w:sz w:val="24"/>
          <w:szCs w:val="24"/>
        </w:rPr>
        <w:t xml:space="preserve"> should apply across the board to all GE program requirements, including the reporting and disclosure requirements.</w:t>
      </w:r>
      <w:r w:rsidR="00FF264C">
        <w:rPr>
          <w:rFonts w:ascii="Courier New" w:hAnsi="Courier New" w:cs="Courier New"/>
          <w:sz w:val="24"/>
          <w:szCs w:val="24"/>
        </w:rPr>
        <w:t xml:space="preserve">  </w:t>
      </w:r>
    </w:p>
    <w:p w14:paraId="4269AFA3" w14:textId="78136749"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lastRenderedPageBreak/>
        <w:t xml:space="preserve">     </w:t>
      </w:r>
      <w:r w:rsidR="007730D2">
        <w:rPr>
          <w:rFonts w:ascii="Courier New" w:hAnsi="Courier New" w:cs="Courier New"/>
          <w:sz w:val="24"/>
          <w:szCs w:val="24"/>
        </w:rPr>
        <w:t>C</w:t>
      </w:r>
      <w:r w:rsidR="008037ED">
        <w:rPr>
          <w:rFonts w:ascii="Courier New" w:hAnsi="Courier New" w:cs="Courier New"/>
          <w:sz w:val="24"/>
          <w:szCs w:val="24"/>
        </w:rPr>
        <w:t xml:space="preserve">ommenters </w:t>
      </w:r>
      <w:r w:rsidRPr="00D140AB">
        <w:rPr>
          <w:rFonts w:ascii="Courier New" w:hAnsi="Courier New" w:cs="Courier New"/>
          <w:sz w:val="24"/>
          <w:szCs w:val="24"/>
        </w:rPr>
        <w:t>asserted that, absent an exemption, many low-cost programs with a low borrowing rate would be inclined to leave the Direct Loan program or close their programs, even those programs that were effective.  The commenters further stated that these closures would disproportionately affect minority and economically disadvantaged students, many of whom enroll in these programs, and that without these programs, these students would not have available economically viable options for furthering their education.</w:t>
      </w:r>
    </w:p>
    <w:p w14:paraId="4269AFA4" w14:textId="5404A21D"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appreciate the commenters’ responses to our request for comment on the definition of “student” and the mitigating circumstances provision in proposed §668.406.  None of the commenters, however, presented an adequate justification for us to depart from our proposed definition of “students” and the purpose of the regulations, which is to evaluate the outcomes of </w:t>
      </w:r>
      <w:r w:rsidR="00CD676F" w:rsidRPr="00D140AB">
        <w:rPr>
          <w:rFonts w:ascii="Courier New" w:hAnsi="Courier New" w:cs="Courier New"/>
          <w:sz w:val="24"/>
          <w:szCs w:val="24"/>
        </w:rPr>
        <w:t>individuals</w:t>
      </w:r>
      <w:r w:rsidRPr="00D140AB">
        <w:rPr>
          <w:rFonts w:ascii="Courier New" w:hAnsi="Courier New" w:cs="Courier New"/>
          <w:sz w:val="24"/>
          <w:szCs w:val="24"/>
        </w:rPr>
        <w:t xml:space="preserve"> receiving title IV, HEA program funds and a program’s continued eligibility to receive title IV, HEA program funds based solely on those outcomes.  We do not agree that a borrowing rate below 50 percent necessarily </w:t>
      </w:r>
      <w:r w:rsidR="007730D2">
        <w:rPr>
          <w:rFonts w:ascii="Courier New" w:hAnsi="Courier New" w:cs="Courier New"/>
          <w:sz w:val="24"/>
          <w:szCs w:val="24"/>
        </w:rPr>
        <w:t>indicates that a program is</w:t>
      </w:r>
      <w:r w:rsidR="007730D2" w:rsidRPr="00D140AB">
        <w:rPr>
          <w:rFonts w:ascii="Courier New" w:hAnsi="Courier New" w:cs="Courier New"/>
          <w:sz w:val="24"/>
          <w:szCs w:val="24"/>
        </w:rPr>
        <w:t xml:space="preserve"> </w:t>
      </w:r>
      <w:r w:rsidRPr="00D140AB">
        <w:rPr>
          <w:rFonts w:ascii="Courier New" w:hAnsi="Courier New" w:cs="Courier New"/>
          <w:sz w:val="24"/>
          <w:szCs w:val="24"/>
        </w:rPr>
        <w:t>low cost or low risk.  A program with a borrowing rate of under 50 percent, particularly a large program, could still have a substantial number of students with title IV loans and, additionally, those students could have a substantial amount of debt</w:t>
      </w:r>
      <w:r w:rsidR="00CD676F" w:rsidRPr="00D140AB">
        <w:rPr>
          <w:rFonts w:ascii="Courier New" w:hAnsi="Courier New" w:cs="Courier New"/>
          <w:sz w:val="24"/>
          <w:szCs w:val="24"/>
        </w:rPr>
        <w:t xml:space="preserve"> or insufficient earnings to pay their </w:t>
      </w:r>
      <w:r w:rsidR="00CD676F" w:rsidRPr="00D140AB">
        <w:rPr>
          <w:rFonts w:ascii="Courier New" w:hAnsi="Courier New" w:cs="Courier New"/>
          <w:sz w:val="24"/>
          <w:szCs w:val="24"/>
        </w:rPr>
        <w:lastRenderedPageBreak/>
        <w:t>debt</w:t>
      </w:r>
      <w:r w:rsidRPr="00D140AB">
        <w:rPr>
          <w:rFonts w:ascii="Courier New" w:hAnsi="Courier New" w:cs="Courier New"/>
          <w:sz w:val="24"/>
          <w:szCs w:val="24"/>
        </w:rPr>
        <w:t xml:space="preserve">.  We also note that, if a GE program is indeed “low cost” or does not have a significant </w:t>
      </w:r>
      <w:r w:rsidR="0080024F">
        <w:rPr>
          <w:rFonts w:ascii="Courier New" w:hAnsi="Courier New" w:cs="Courier New"/>
          <w:sz w:val="24"/>
          <w:szCs w:val="24"/>
        </w:rPr>
        <w:t>percentage</w:t>
      </w:r>
      <w:r w:rsidRPr="00D140AB">
        <w:rPr>
          <w:rFonts w:ascii="Courier New" w:hAnsi="Courier New" w:cs="Courier New"/>
          <w:sz w:val="24"/>
          <w:szCs w:val="24"/>
        </w:rPr>
        <w:t xml:space="preserve"> of borrowers, </w:t>
      </w:r>
      <w:r w:rsidR="00644587">
        <w:rPr>
          <w:rFonts w:ascii="Courier New" w:hAnsi="Courier New" w:cs="Courier New"/>
          <w:sz w:val="24"/>
          <w:szCs w:val="24"/>
        </w:rPr>
        <w:t xml:space="preserve">which commenters claimed </w:t>
      </w:r>
      <w:r w:rsidR="001768FF">
        <w:rPr>
          <w:rFonts w:ascii="Courier New" w:hAnsi="Courier New" w:cs="Courier New"/>
          <w:sz w:val="24"/>
          <w:szCs w:val="24"/>
        </w:rPr>
        <w:t xml:space="preserve">is the case with </w:t>
      </w:r>
      <w:r w:rsidR="00562A62">
        <w:rPr>
          <w:rFonts w:ascii="Courier New" w:hAnsi="Courier New" w:cs="Courier New"/>
          <w:sz w:val="24"/>
          <w:szCs w:val="24"/>
        </w:rPr>
        <w:t xml:space="preserve">many </w:t>
      </w:r>
      <w:r w:rsidR="001768FF">
        <w:rPr>
          <w:rFonts w:ascii="Courier New" w:hAnsi="Courier New" w:cs="Courier New"/>
          <w:sz w:val="24"/>
          <w:szCs w:val="24"/>
        </w:rPr>
        <w:t xml:space="preserve">community college programs, </w:t>
      </w:r>
      <w:r w:rsidRPr="00D140AB">
        <w:rPr>
          <w:rFonts w:ascii="Courier New" w:hAnsi="Courier New" w:cs="Courier New"/>
          <w:sz w:val="24"/>
          <w:szCs w:val="24"/>
        </w:rPr>
        <w:t>it is very likely that the program will pass the D/E rates measure</w:t>
      </w:r>
      <w:r w:rsidR="00C510F5">
        <w:rPr>
          <w:rFonts w:ascii="Courier New" w:hAnsi="Courier New" w:cs="Courier New"/>
          <w:sz w:val="24"/>
          <w:szCs w:val="24"/>
        </w:rPr>
        <w:t xml:space="preserve"> because most students will not have any debt</w:t>
      </w:r>
      <w:r w:rsidRPr="00D140AB">
        <w:rPr>
          <w:rFonts w:ascii="Courier New" w:hAnsi="Courier New" w:cs="Courier New"/>
          <w:sz w:val="24"/>
          <w:szCs w:val="24"/>
        </w:rPr>
        <w:t xml:space="preserve">. </w:t>
      </w:r>
      <w:r w:rsidR="008217FF">
        <w:rPr>
          <w:rFonts w:ascii="Courier New" w:hAnsi="Courier New" w:cs="Courier New"/>
          <w:sz w:val="24"/>
          <w:szCs w:val="24"/>
        </w:rPr>
        <w:t xml:space="preserve"> NPSAS data show that, of all </w:t>
      </w:r>
      <w:r w:rsidR="00C2265F">
        <w:rPr>
          <w:rFonts w:ascii="Courier New" w:hAnsi="Courier New" w:cs="Courier New"/>
          <w:sz w:val="24"/>
          <w:szCs w:val="24"/>
        </w:rPr>
        <w:t xml:space="preserve">students completing </w:t>
      </w:r>
      <w:r w:rsidR="008217FF">
        <w:rPr>
          <w:rFonts w:ascii="Courier New" w:hAnsi="Courier New" w:cs="Courier New"/>
          <w:sz w:val="24"/>
          <w:szCs w:val="24"/>
        </w:rPr>
        <w:t xml:space="preserve">certificate </w:t>
      </w:r>
      <w:r w:rsidR="00C2265F">
        <w:rPr>
          <w:rFonts w:ascii="Courier New" w:hAnsi="Courier New" w:cs="Courier New"/>
          <w:sz w:val="24"/>
          <w:szCs w:val="24"/>
        </w:rPr>
        <w:t>programs</w:t>
      </w:r>
      <w:r w:rsidR="008217FF">
        <w:rPr>
          <w:rFonts w:ascii="Courier New" w:hAnsi="Courier New" w:cs="Courier New"/>
          <w:sz w:val="24"/>
          <w:szCs w:val="24"/>
        </w:rPr>
        <w:t xml:space="preserve"> at </w:t>
      </w:r>
      <w:r w:rsidR="00C2265F">
        <w:rPr>
          <w:rFonts w:ascii="Courier New" w:hAnsi="Courier New" w:cs="Courier New"/>
          <w:sz w:val="24"/>
          <w:szCs w:val="24"/>
        </w:rPr>
        <w:t>two</w:t>
      </w:r>
      <w:r w:rsidR="008217FF">
        <w:rPr>
          <w:rFonts w:ascii="Courier New" w:hAnsi="Courier New" w:cs="Courier New"/>
          <w:sz w:val="24"/>
          <w:szCs w:val="24"/>
        </w:rPr>
        <w:t>-year public institutions</w:t>
      </w:r>
      <w:r w:rsidR="00C510F5">
        <w:rPr>
          <w:rFonts w:ascii="Courier New" w:hAnsi="Courier New" w:cs="Courier New"/>
          <w:sz w:val="24"/>
          <w:szCs w:val="24"/>
        </w:rPr>
        <w:t xml:space="preserve"> who received title IV, HEA program </w:t>
      </w:r>
      <w:r w:rsidR="00C2265F">
        <w:rPr>
          <w:rFonts w:ascii="Courier New" w:hAnsi="Courier New" w:cs="Courier New"/>
          <w:sz w:val="24"/>
          <w:szCs w:val="24"/>
        </w:rPr>
        <w:t>funds</w:t>
      </w:r>
      <w:r w:rsidR="00C510F5">
        <w:rPr>
          <w:rFonts w:ascii="Courier New" w:hAnsi="Courier New" w:cs="Courier New"/>
          <w:sz w:val="24"/>
          <w:szCs w:val="24"/>
        </w:rPr>
        <w:t>, 77 percent received only Pell Grants and only 23 percent were borrowers.</w:t>
      </w:r>
      <w:r w:rsidR="00F85826">
        <w:rPr>
          <w:rStyle w:val="FootnoteReference"/>
          <w:rFonts w:ascii="Courier New" w:hAnsi="Courier New"/>
          <w:sz w:val="24"/>
          <w:szCs w:val="24"/>
        </w:rPr>
        <w:footnoteReference w:id="6"/>
      </w:r>
      <w:r w:rsidR="00C510F5">
        <w:rPr>
          <w:rFonts w:ascii="Courier New" w:hAnsi="Courier New" w:cs="Courier New"/>
          <w:sz w:val="24"/>
          <w:szCs w:val="24"/>
        </w:rPr>
        <w:t xml:space="preserve">  </w:t>
      </w:r>
      <w:r w:rsidR="00F85826">
        <w:rPr>
          <w:rFonts w:ascii="Courier New" w:hAnsi="Courier New" w:cs="Courier New"/>
          <w:sz w:val="24"/>
          <w:szCs w:val="24"/>
        </w:rPr>
        <w:t>Program results in</w:t>
      </w:r>
      <w:r w:rsidR="00C510F5">
        <w:rPr>
          <w:rFonts w:ascii="Courier New" w:hAnsi="Courier New" w:cs="Courier New"/>
          <w:sz w:val="24"/>
          <w:szCs w:val="24"/>
        </w:rPr>
        <w:t xml:space="preserve"> the 2012 GE informational D/E rates data set reflects the </w:t>
      </w:r>
      <w:r w:rsidR="00F85826">
        <w:rPr>
          <w:rFonts w:ascii="Courier New" w:hAnsi="Courier New" w:cs="Courier New"/>
          <w:sz w:val="24"/>
          <w:szCs w:val="24"/>
        </w:rPr>
        <w:t>findings of the NPSAS analysis</w:t>
      </w:r>
      <w:r w:rsidR="00C510F5">
        <w:rPr>
          <w:rFonts w:ascii="Courier New" w:hAnsi="Courier New" w:cs="Courier New"/>
          <w:sz w:val="24"/>
          <w:szCs w:val="24"/>
        </w:rPr>
        <w:t xml:space="preserve">.  </w:t>
      </w:r>
      <w:r w:rsidR="00A04C4B">
        <w:rPr>
          <w:rFonts w:ascii="Courier New" w:hAnsi="Courier New" w:cs="Courier New"/>
          <w:sz w:val="24"/>
          <w:szCs w:val="24"/>
        </w:rPr>
        <w:t xml:space="preserve">Of the </w:t>
      </w:r>
      <w:r w:rsidR="006154CA">
        <w:rPr>
          <w:rFonts w:ascii="Courier New" w:hAnsi="Courier New" w:cs="Courier New"/>
          <w:sz w:val="24"/>
          <w:szCs w:val="24"/>
        </w:rPr>
        <w:t>824</w:t>
      </w:r>
      <w:r w:rsidR="00A04C4B">
        <w:rPr>
          <w:rFonts w:ascii="Courier New" w:hAnsi="Courier New" w:cs="Courier New"/>
          <w:sz w:val="24"/>
          <w:szCs w:val="24"/>
        </w:rPr>
        <w:t xml:space="preserve"> programs at </w:t>
      </w:r>
      <w:r w:rsidR="00C2265F">
        <w:rPr>
          <w:rFonts w:ascii="Courier New" w:hAnsi="Courier New" w:cs="Courier New"/>
          <w:sz w:val="24"/>
          <w:szCs w:val="24"/>
        </w:rPr>
        <w:t>two</w:t>
      </w:r>
      <w:r w:rsidR="00AD68BB">
        <w:rPr>
          <w:rFonts w:ascii="Courier New" w:hAnsi="Courier New" w:cs="Courier New"/>
          <w:sz w:val="24"/>
          <w:szCs w:val="24"/>
        </w:rPr>
        <w:t>-</w:t>
      </w:r>
      <w:r w:rsidR="001903DC">
        <w:rPr>
          <w:rFonts w:ascii="Courier New" w:hAnsi="Courier New" w:cs="Courier New"/>
          <w:sz w:val="24"/>
          <w:szCs w:val="24"/>
        </w:rPr>
        <w:t>to</w:t>
      </w:r>
      <w:r w:rsidR="00AD68BB">
        <w:rPr>
          <w:rFonts w:ascii="Courier New" w:hAnsi="Courier New" w:cs="Courier New"/>
          <w:sz w:val="24"/>
          <w:szCs w:val="24"/>
        </w:rPr>
        <w:t>-</w:t>
      </w:r>
      <w:r w:rsidR="001903DC">
        <w:rPr>
          <w:rFonts w:ascii="Courier New" w:hAnsi="Courier New" w:cs="Courier New"/>
          <w:sz w:val="24"/>
          <w:szCs w:val="24"/>
        </w:rPr>
        <w:t>three</w:t>
      </w:r>
      <w:r w:rsidR="00AD68BB">
        <w:rPr>
          <w:rFonts w:ascii="Courier New" w:hAnsi="Courier New" w:cs="Courier New"/>
          <w:sz w:val="24"/>
          <w:szCs w:val="24"/>
        </w:rPr>
        <w:t>-</w:t>
      </w:r>
      <w:r w:rsidR="00A04C4B">
        <w:rPr>
          <w:rFonts w:ascii="Courier New" w:hAnsi="Courier New" w:cs="Courier New"/>
          <w:sz w:val="24"/>
          <w:szCs w:val="24"/>
        </w:rPr>
        <w:t xml:space="preserve">year public institutions in the 2012 GE informational D/E rates data set, </w:t>
      </w:r>
      <w:r w:rsidR="006154CA">
        <w:rPr>
          <w:rFonts w:ascii="Courier New" w:hAnsi="Courier New" w:cs="Courier New"/>
          <w:sz w:val="24"/>
          <w:szCs w:val="24"/>
        </w:rPr>
        <w:t>823</w:t>
      </w:r>
      <w:r w:rsidR="00D726C1">
        <w:rPr>
          <w:rFonts w:ascii="Courier New" w:hAnsi="Courier New" w:cs="Courier New"/>
          <w:sz w:val="24"/>
          <w:szCs w:val="24"/>
        </w:rPr>
        <w:t xml:space="preserve"> pass under the D/E rates measure.  Further, of the </w:t>
      </w:r>
      <w:r w:rsidR="006154CA">
        <w:rPr>
          <w:rFonts w:ascii="Courier New" w:hAnsi="Courier New" w:cs="Courier New"/>
          <w:sz w:val="24"/>
          <w:szCs w:val="24"/>
        </w:rPr>
        <w:t>824</w:t>
      </w:r>
      <w:r w:rsidR="00D726C1">
        <w:rPr>
          <w:rFonts w:ascii="Courier New" w:hAnsi="Courier New" w:cs="Courier New"/>
          <w:sz w:val="24"/>
          <w:szCs w:val="24"/>
        </w:rPr>
        <w:t xml:space="preserve"> total programs at </w:t>
      </w:r>
      <w:r w:rsidR="00C2265F">
        <w:rPr>
          <w:rFonts w:ascii="Courier New" w:hAnsi="Courier New" w:cs="Courier New"/>
          <w:sz w:val="24"/>
          <w:szCs w:val="24"/>
        </w:rPr>
        <w:t>two</w:t>
      </w:r>
      <w:r w:rsidR="00AD68BB">
        <w:rPr>
          <w:rFonts w:ascii="Courier New" w:hAnsi="Courier New" w:cs="Courier New"/>
          <w:sz w:val="24"/>
          <w:szCs w:val="24"/>
        </w:rPr>
        <w:t>-</w:t>
      </w:r>
      <w:r w:rsidR="002622E0">
        <w:rPr>
          <w:rFonts w:ascii="Courier New" w:hAnsi="Courier New" w:cs="Courier New"/>
          <w:sz w:val="24"/>
          <w:szCs w:val="24"/>
        </w:rPr>
        <w:t>to</w:t>
      </w:r>
      <w:r w:rsidR="00AD68BB">
        <w:rPr>
          <w:rFonts w:ascii="Courier New" w:hAnsi="Courier New" w:cs="Courier New"/>
          <w:sz w:val="24"/>
          <w:szCs w:val="24"/>
        </w:rPr>
        <w:t>-</w:t>
      </w:r>
      <w:r w:rsidR="002622E0">
        <w:rPr>
          <w:rFonts w:ascii="Courier New" w:hAnsi="Courier New" w:cs="Courier New"/>
          <w:sz w:val="24"/>
          <w:szCs w:val="24"/>
        </w:rPr>
        <w:t>three</w:t>
      </w:r>
      <w:r w:rsidR="00D726C1">
        <w:rPr>
          <w:rFonts w:ascii="Courier New" w:hAnsi="Courier New" w:cs="Courier New"/>
          <w:sz w:val="24"/>
          <w:szCs w:val="24"/>
        </w:rPr>
        <w:t xml:space="preserve">-year public institutions, </w:t>
      </w:r>
      <w:r w:rsidR="004077BC">
        <w:rPr>
          <w:rFonts w:ascii="Courier New" w:hAnsi="Courier New" w:cs="Courier New"/>
          <w:sz w:val="24"/>
          <w:szCs w:val="24"/>
        </w:rPr>
        <w:t>50</w:t>
      </w:r>
      <w:r w:rsidR="006154CA">
        <w:rPr>
          <w:rFonts w:ascii="Courier New" w:hAnsi="Courier New" w:cs="Courier New"/>
          <w:sz w:val="24"/>
          <w:szCs w:val="24"/>
        </w:rPr>
        <w:t>4</w:t>
      </w:r>
      <w:r w:rsidR="00D726C1">
        <w:rPr>
          <w:rFonts w:ascii="Courier New" w:hAnsi="Courier New" w:cs="Courier New"/>
          <w:sz w:val="24"/>
          <w:szCs w:val="24"/>
        </w:rPr>
        <w:t xml:space="preserve"> (</w:t>
      </w:r>
      <w:r w:rsidR="006154CA">
        <w:rPr>
          <w:rFonts w:ascii="Courier New" w:hAnsi="Courier New" w:cs="Courier New"/>
          <w:sz w:val="24"/>
          <w:szCs w:val="24"/>
        </w:rPr>
        <w:t>61</w:t>
      </w:r>
      <w:r w:rsidR="00D726C1">
        <w:rPr>
          <w:rFonts w:ascii="Courier New" w:hAnsi="Courier New" w:cs="Courier New"/>
          <w:sz w:val="24"/>
          <w:szCs w:val="24"/>
        </w:rPr>
        <w:t xml:space="preserve"> percent) have zero median debt, which means that, for these programs, less </w:t>
      </w:r>
      <w:r w:rsidR="00C2265F">
        <w:rPr>
          <w:rFonts w:ascii="Courier New" w:hAnsi="Courier New" w:cs="Courier New"/>
          <w:sz w:val="24"/>
          <w:szCs w:val="24"/>
        </w:rPr>
        <w:t xml:space="preserve">than </w:t>
      </w:r>
      <w:r w:rsidR="00D726C1">
        <w:rPr>
          <w:rFonts w:ascii="Courier New" w:hAnsi="Courier New" w:cs="Courier New"/>
          <w:sz w:val="24"/>
          <w:szCs w:val="24"/>
        </w:rPr>
        <w:t xml:space="preserve">half of the </w:t>
      </w:r>
      <w:r w:rsidR="00C2265F">
        <w:rPr>
          <w:rFonts w:ascii="Courier New" w:hAnsi="Courier New" w:cs="Courier New"/>
          <w:sz w:val="24"/>
          <w:szCs w:val="24"/>
        </w:rPr>
        <w:t xml:space="preserve">students </w:t>
      </w:r>
      <w:r w:rsidR="00D726C1">
        <w:rPr>
          <w:rFonts w:ascii="Courier New" w:hAnsi="Courier New" w:cs="Courier New"/>
          <w:sz w:val="24"/>
          <w:szCs w:val="24"/>
        </w:rPr>
        <w:t>complet</w:t>
      </w:r>
      <w:r w:rsidR="00C2265F">
        <w:rPr>
          <w:rFonts w:ascii="Courier New" w:hAnsi="Courier New" w:cs="Courier New"/>
          <w:sz w:val="24"/>
          <w:szCs w:val="24"/>
        </w:rPr>
        <w:t>ing</w:t>
      </w:r>
      <w:r w:rsidR="00D726C1">
        <w:rPr>
          <w:rFonts w:ascii="Courier New" w:hAnsi="Courier New" w:cs="Courier New"/>
          <w:sz w:val="24"/>
          <w:szCs w:val="24"/>
        </w:rPr>
        <w:t xml:space="preserve"> </w:t>
      </w:r>
      <w:r w:rsidR="00C2265F">
        <w:rPr>
          <w:rFonts w:ascii="Courier New" w:hAnsi="Courier New" w:cs="Courier New"/>
          <w:sz w:val="24"/>
          <w:szCs w:val="24"/>
        </w:rPr>
        <w:t xml:space="preserve">the program </w:t>
      </w:r>
      <w:r w:rsidR="00D726C1">
        <w:rPr>
          <w:rFonts w:ascii="Courier New" w:hAnsi="Courier New" w:cs="Courier New"/>
          <w:sz w:val="24"/>
          <w:szCs w:val="24"/>
        </w:rPr>
        <w:t>are borrowers</w:t>
      </w:r>
      <w:r w:rsidR="007626F2">
        <w:rPr>
          <w:rFonts w:ascii="Courier New" w:hAnsi="Courier New" w:cs="Courier New"/>
          <w:sz w:val="24"/>
          <w:szCs w:val="24"/>
        </w:rPr>
        <w:t xml:space="preserve"> and that the majority of their </w:t>
      </w:r>
      <w:r w:rsidR="00C2265F">
        <w:rPr>
          <w:rFonts w:ascii="Courier New" w:hAnsi="Courier New" w:cs="Courier New"/>
          <w:sz w:val="24"/>
          <w:szCs w:val="24"/>
        </w:rPr>
        <w:t>students completing the program</w:t>
      </w:r>
      <w:r w:rsidR="007626F2">
        <w:rPr>
          <w:rFonts w:ascii="Courier New" w:hAnsi="Courier New" w:cs="Courier New"/>
          <w:sz w:val="24"/>
          <w:szCs w:val="24"/>
        </w:rPr>
        <w:t xml:space="preserve"> received title IV, HEA program </w:t>
      </w:r>
      <w:r w:rsidR="00C2265F">
        <w:rPr>
          <w:rFonts w:ascii="Courier New" w:hAnsi="Courier New" w:cs="Courier New"/>
          <w:sz w:val="24"/>
          <w:szCs w:val="24"/>
        </w:rPr>
        <w:t>funds</w:t>
      </w:r>
      <w:r w:rsidR="007626F2">
        <w:rPr>
          <w:rFonts w:ascii="Courier New" w:hAnsi="Courier New" w:cs="Courier New"/>
          <w:sz w:val="24"/>
          <w:szCs w:val="24"/>
        </w:rPr>
        <w:t xml:space="preserve"> in the form of Pell Grants only</w:t>
      </w:r>
      <w:r w:rsidR="00D726C1">
        <w:rPr>
          <w:rFonts w:ascii="Courier New" w:hAnsi="Courier New" w:cs="Courier New"/>
          <w:sz w:val="24"/>
          <w:szCs w:val="24"/>
        </w:rPr>
        <w:t xml:space="preserve">.  </w:t>
      </w:r>
      <w:r w:rsidRPr="00D140AB">
        <w:rPr>
          <w:rFonts w:ascii="Courier New" w:hAnsi="Courier New" w:cs="Courier New"/>
          <w:sz w:val="24"/>
          <w:szCs w:val="24"/>
        </w:rPr>
        <w:t xml:space="preserve">Accordingly, we do not believe there is adequate justification to depart from our definition of “student,” by permitting a showing of mitigating circumstances based on individuals who do not receive title IV, HEA program </w:t>
      </w:r>
      <w:r w:rsidRPr="00D140AB">
        <w:rPr>
          <w:rFonts w:ascii="Courier New" w:hAnsi="Courier New" w:cs="Courier New"/>
          <w:sz w:val="24"/>
          <w:szCs w:val="24"/>
        </w:rPr>
        <w:lastRenderedPageBreak/>
        <w:t xml:space="preserve">funds for enrollment in a program, or to make a greater departure from our accountability framework, by permitting a related up-front exemption. </w:t>
      </w:r>
    </w:p>
    <w:p w14:paraId="4269AFA5" w14:textId="5BA36BB1"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We have revised the regulations to remove the provisions in §668.406 that would have permitted institutions to submit a mitigating circumstances showing for a </w:t>
      </w:r>
      <w:r w:rsidR="00CD676F" w:rsidRPr="00D140AB">
        <w:rPr>
          <w:rFonts w:ascii="Courier New" w:hAnsi="Courier New" w:cs="Courier New"/>
          <w:sz w:val="24"/>
          <w:szCs w:val="24"/>
        </w:rPr>
        <w:t xml:space="preserve">GE </w:t>
      </w:r>
      <w:r w:rsidRPr="00D140AB">
        <w:rPr>
          <w:rFonts w:ascii="Courier New" w:hAnsi="Courier New" w:cs="Courier New"/>
          <w:sz w:val="24"/>
          <w:szCs w:val="24"/>
        </w:rPr>
        <w:t xml:space="preserve">program that is not passing the D/E rates measure.  </w:t>
      </w:r>
    </w:p>
    <w:p w14:paraId="4269AFA6"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A number of commenters recommended revisions to the definition of “prospective student.”  One commenter recommended that the Department use the definition of “prospective student” in §668.41(a), which provides that a “prospective student” is an individual who has contacted an eligible institution for the purpose of requesting information concerning admission to that institution.  The commenter argued that using this definition would maintain consistency across the title IV, HEA program regulations.  </w:t>
      </w:r>
    </w:p>
    <w:p w14:paraId="4269AFA7" w14:textId="07213EC3"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Some of the commenters stated that the proposed definition is too broad.  Specifically, they noted that an institution would not be able to identify, for example, to whom it was required to deliver disclosures and student warnings if anyone who had passive contact with an institution’s advertising constituted a “prospective student” under the regulations.  They suggested that if “prospective student” is defined that broadly, they would not be able to meet their obligations with respect to </w:t>
      </w:r>
      <w:r w:rsidR="001D71D1" w:rsidRPr="00D140AB">
        <w:rPr>
          <w:rFonts w:ascii="Courier New" w:hAnsi="Courier New" w:cs="Courier New"/>
          <w:sz w:val="24"/>
          <w:szCs w:val="24"/>
        </w:rPr>
        <w:lastRenderedPageBreak/>
        <w:t>these students under the regulations or that compliance would be very burdensome, potentially requiring the development of new admissions and marketing materials</w:t>
      </w:r>
      <w:r w:rsidR="00C40DC3">
        <w:rPr>
          <w:rFonts w:ascii="Courier New" w:hAnsi="Courier New" w:cs="Courier New"/>
          <w:sz w:val="24"/>
          <w:szCs w:val="24"/>
        </w:rPr>
        <w:t xml:space="preserve"> </w:t>
      </w:r>
      <w:r w:rsidR="001D71D1" w:rsidRPr="00D140AB">
        <w:rPr>
          <w:rFonts w:ascii="Courier New" w:hAnsi="Courier New" w:cs="Courier New"/>
          <w:sz w:val="24"/>
          <w:szCs w:val="24"/>
        </w:rPr>
        <w:t>annua</w:t>
      </w:r>
      <w:r w:rsidR="00C40DC3">
        <w:rPr>
          <w:rFonts w:ascii="Courier New" w:hAnsi="Courier New" w:cs="Courier New"/>
          <w:sz w:val="24"/>
          <w:szCs w:val="24"/>
        </w:rPr>
        <w:t>lly</w:t>
      </w:r>
      <w:r w:rsidR="001D71D1" w:rsidRPr="00D140AB">
        <w:rPr>
          <w:rFonts w:ascii="Courier New" w:hAnsi="Courier New" w:cs="Courier New"/>
          <w:sz w:val="24"/>
          <w:szCs w:val="24"/>
        </w:rPr>
        <w:t>.  These commenters recommended that we revise the definition of “prospective student” to include only individuals who actively seek information from an institution about enrollment in a program.</w:t>
      </w:r>
      <w:r w:rsidR="005F1114">
        <w:rPr>
          <w:rFonts w:ascii="Courier New" w:hAnsi="Courier New" w:cs="Courier New"/>
          <w:sz w:val="24"/>
          <w:szCs w:val="24"/>
        </w:rPr>
        <w:t xml:space="preserve">  Another commenter expressed concern about the definition because, according to the commenter, a prospective student would include anyone who ha</w:t>
      </w:r>
      <w:r w:rsidR="0080024F">
        <w:rPr>
          <w:rFonts w:ascii="Courier New" w:hAnsi="Courier New" w:cs="Courier New"/>
          <w:sz w:val="24"/>
          <w:szCs w:val="24"/>
        </w:rPr>
        <w:t>s</w:t>
      </w:r>
      <w:r w:rsidR="005F1114">
        <w:rPr>
          <w:rFonts w:ascii="Courier New" w:hAnsi="Courier New" w:cs="Courier New"/>
          <w:sz w:val="24"/>
          <w:szCs w:val="24"/>
        </w:rPr>
        <w:t xml:space="preserve"> access to the Internet.  </w:t>
      </w:r>
    </w:p>
    <w:p w14:paraId="4269AFA8" w14:textId="21717F5B"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Other commenters stated that the definition is too narrow and recommended that the term include anyone in contact with an institution about “enrollment,” rather than “enrolling.”  According to these commenters, with this change, the definition would include family members, counselors, and others making enrollment inquiries on behalf of someone else. </w:t>
      </w:r>
    </w:p>
    <w:p w14:paraId="4269AFA9" w14:textId="47E545A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We believe that</w:t>
      </w:r>
      <w:r w:rsidR="00CD676F" w:rsidRPr="00D140AB">
        <w:rPr>
          <w:rFonts w:ascii="Courier New" w:hAnsi="Courier New" w:cs="Courier New"/>
          <w:sz w:val="24"/>
          <w:szCs w:val="24"/>
        </w:rPr>
        <w:t xml:space="preserve"> </w:t>
      </w:r>
      <w:r w:rsidRPr="00D140AB">
        <w:rPr>
          <w:rFonts w:ascii="Courier New" w:hAnsi="Courier New" w:cs="Courier New"/>
          <w:sz w:val="24"/>
          <w:szCs w:val="24"/>
        </w:rPr>
        <w:t xml:space="preserve">it is appropriate to establish a definition of “prospective student” that is tailored to the purpose of these </w:t>
      </w:r>
      <w:r w:rsidR="00CD676F" w:rsidRPr="00D140AB">
        <w:rPr>
          <w:rFonts w:ascii="Courier New" w:hAnsi="Courier New" w:cs="Courier New"/>
          <w:sz w:val="24"/>
          <w:szCs w:val="24"/>
        </w:rPr>
        <w:t xml:space="preserve">specific </w:t>
      </w:r>
      <w:r w:rsidRPr="00D140AB">
        <w:rPr>
          <w:rFonts w:ascii="Courier New" w:hAnsi="Courier New" w:cs="Courier New"/>
          <w:sz w:val="24"/>
          <w:szCs w:val="24"/>
        </w:rPr>
        <w:t xml:space="preserve">regulations.  In that regard, the definition </w:t>
      </w:r>
      <w:r w:rsidR="00B35FAE">
        <w:rPr>
          <w:rFonts w:ascii="Courier New" w:hAnsi="Courier New" w:cs="Courier New"/>
          <w:sz w:val="24"/>
          <w:szCs w:val="24"/>
        </w:rPr>
        <w:t>will</w:t>
      </w:r>
      <w:r w:rsidRPr="00D140AB">
        <w:rPr>
          <w:rFonts w:ascii="Courier New" w:hAnsi="Courier New" w:cs="Courier New"/>
          <w:sz w:val="24"/>
          <w:szCs w:val="24"/>
        </w:rPr>
        <w:t xml:space="preserve"> account for the various ways that institutions and prospective students commonly interact and target interactions that are specific to enrollment in a GE program, rather than more general contact about admission to an institution.  Specifically, unlike the existing definition of </w:t>
      </w:r>
      <w:r w:rsidR="00191E41" w:rsidRPr="00D140AB">
        <w:rPr>
          <w:rFonts w:ascii="Courier New" w:hAnsi="Courier New" w:cs="Courier New"/>
          <w:sz w:val="24"/>
          <w:szCs w:val="24"/>
        </w:rPr>
        <w:t>“</w:t>
      </w:r>
      <w:r w:rsidRPr="00D140AB">
        <w:rPr>
          <w:rFonts w:ascii="Courier New" w:hAnsi="Courier New" w:cs="Courier New"/>
          <w:sz w:val="24"/>
          <w:szCs w:val="24"/>
        </w:rPr>
        <w:t>prospective student</w:t>
      </w:r>
      <w:r w:rsidR="00191E41" w:rsidRPr="00D140AB">
        <w:rPr>
          <w:rFonts w:ascii="Courier New" w:hAnsi="Courier New" w:cs="Courier New"/>
          <w:sz w:val="24"/>
          <w:szCs w:val="24"/>
        </w:rPr>
        <w:t>”</w:t>
      </w:r>
      <w:r w:rsidRPr="00D140AB">
        <w:rPr>
          <w:rFonts w:ascii="Courier New" w:hAnsi="Courier New" w:cs="Courier New"/>
          <w:sz w:val="24"/>
          <w:szCs w:val="24"/>
        </w:rPr>
        <w:t xml:space="preserve"> in §668.41(a), the definition in the GE </w:t>
      </w:r>
      <w:r w:rsidRPr="00D140AB">
        <w:rPr>
          <w:rFonts w:ascii="Courier New" w:hAnsi="Courier New" w:cs="Courier New"/>
          <w:sz w:val="24"/>
          <w:szCs w:val="24"/>
        </w:rPr>
        <w:lastRenderedPageBreak/>
        <w:t xml:space="preserve">regulations applies without regard to whether an individual or the institution initiates contact.  </w:t>
      </w:r>
    </w:p>
    <w:p w14:paraId="4269AFAA"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We agree, however, that an individual’s passive interaction with an institution’s advertising should not result in that individual being considered a “prospective student” for the purposes of the regulations.  Accordingly, we are removing the reference to indirect contact through advertising from the definition of “prospective student.”  Recognizing that institutions sometimes engage third parties to recruit students, we have also revised the definition to capture this type of direct contact with prospective students.    </w:t>
      </w:r>
    </w:p>
    <w:p w14:paraId="3FE24267" w14:textId="490E45C0" w:rsidR="009C1A7F"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r>
      <w:r w:rsidR="00FD1C78">
        <w:rPr>
          <w:rFonts w:ascii="Courier New" w:hAnsi="Courier New" w:cs="Courier New"/>
          <w:sz w:val="24"/>
          <w:szCs w:val="24"/>
        </w:rPr>
        <w:t>T</w:t>
      </w:r>
      <w:r w:rsidRPr="00D140AB">
        <w:rPr>
          <w:rFonts w:ascii="Courier New" w:hAnsi="Courier New" w:cs="Courier New"/>
          <w:sz w:val="24"/>
          <w:szCs w:val="24"/>
        </w:rPr>
        <w:t>he commenters’ proposed alternative definition, which would include individuals other than those in contact with the institution about enrolling in a program</w:t>
      </w:r>
      <w:r w:rsidR="00191E41" w:rsidRPr="00D140AB">
        <w:rPr>
          <w:rFonts w:ascii="Courier New" w:hAnsi="Courier New" w:cs="Courier New"/>
          <w:sz w:val="24"/>
          <w:szCs w:val="24"/>
        </w:rPr>
        <w:t>,</w:t>
      </w:r>
      <w:r w:rsidRPr="00D140AB">
        <w:rPr>
          <w:rFonts w:ascii="Courier New" w:hAnsi="Courier New" w:cs="Courier New"/>
          <w:sz w:val="24"/>
          <w:szCs w:val="24"/>
        </w:rPr>
        <w:t xml:space="preserve"> is too broad</w:t>
      </w:r>
      <w:r w:rsidR="00191E41" w:rsidRPr="00D140AB">
        <w:rPr>
          <w:rFonts w:ascii="Courier New" w:hAnsi="Courier New" w:cs="Courier New"/>
          <w:sz w:val="24"/>
          <w:szCs w:val="24"/>
        </w:rPr>
        <w:t xml:space="preserve"> for each of the purposes for which the definition is used</w:t>
      </w:r>
      <w:r w:rsidRPr="00D140AB">
        <w:rPr>
          <w:rFonts w:ascii="Courier New" w:hAnsi="Courier New" w:cs="Courier New"/>
          <w:sz w:val="24"/>
          <w:szCs w:val="24"/>
        </w:rPr>
        <w:t xml:space="preserve">.  </w:t>
      </w:r>
      <w:r w:rsidR="00191E41" w:rsidRPr="00D140AB">
        <w:rPr>
          <w:rFonts w:ascii="Courier New" w:hAnsi="Courier New" w:cs="Courier New"/>
          <w:sz w:val="24"/>
          <w:szCs w:val="24"/>
        </w:rPr>
        <w:t>However, as we discuss in “§668.410  Consequences of the D/E Rates Measure,” we agree that</w:t>
      </w:r>
      <w:r w:rsidR="003E6E0C" w:rsidRPr="00D140AB">
        <w:rPr>
          <w:rFonts w:ascii="Courier New" w:hAnsi="Courier New" w:cs="Courier New"/>
          <w:sz w:val="24"/>
          <w:szCs w:val="24"/>
        </w:rPr>
        <w:t>,</w:t>
      </w:r>
      <w:r w:rsidR="00191E41" w:rsidRPr="00D140AB">
        <w:rPr>
          <w:rFonts w:ascii="Courier New" w:hAnsi="Courier New" w:cs="Courier New"/>
          <w:sz w:val="24"/>
          <w:szCs w:val="24"/>
        </w:rPr>
        <w:t xml:space="preserve"> where an initial inquiry about enrolling in a program is made by a third party on</w:t>
      </w:r>
      <w:r w:rsidR="003E6E0C" w:rsidRPr="00D140AB">
        <w:rPr>
          <w:rFonts w:ascii="Courier New" w:hAnsi="Courier New" w:cs="Courier New"/>
          <w:sz w:val="24"/>
          <w:szCs w:val="24"/>
        </w:rPr>
        <w:t xml:space="preserve"> behalf of</w:t>
      </w:r>
      <w:r w:rsidR="00191E41" w:rsidRPr="00D140AB">
        <w:rPr>
          <w:rFonts w:ascii="Courier New" w:hAnsi="Courier New" w:cs="Courier New"/>
          <w:sz w:val="24"/>
          <w:szCs w:val="24"/>
        </w:rPr>
        <w:t xml:space="preserve"> a prospective student</w:t>
      </w:r>
      <w:r w:rsidR="003E6E0C" w:rsidRPr="00D140AB">
        <w:rPr>
          <w:rFonts w:ascii="Courier New" w:hAnsi="Courier New" w:cs="Courier New"/>
          <w:sz w:val="24"/>
          <w:szCs w:val="24"/>
        </w:rPr>
        <w:t>, the third party, as a proxy for the prospective student, should be given the student warning, as that is when a decision is likely to be made about whether to further explore enrolling in that program.  We do not believe that the same reasoning</w:t>
      </w:r>
      <w:r w:rsidR="002F70A0" w:rsidRPr="00D140AB">
        <w:rPr>
          <w:rFonts w:ascii="Courier New" w:hAnsi="Courier New" w:cs="Courier New"/>
          <w:sz w:val="24"/>
          <w:szCs w:val="24"/>
        </w:rPr>
        <w:t xml:space="preserve"> applies, for example, with respect to the requirement in §668.410 that a written warning be given to a prospective </w:t>
      </w:r>
      <w:r w:rsidR="002F70A0" w:rsidRPr="00D140AB">
        <w:rPr>
          <w:rFonts w:ascii="Courier New" w:hAnsi="Courier New" w:cs="Courier New"/>
          <w:sz w:val="24"/>
          <w:szCs w:val="24"/>
        </w:rPr>
        <w:lastRenderedPageBreak/>
        <w:t xml:space="preserve">student at least three, but not more than 30, days before entering into an enrollment agreement.  </w:t>
      </w:r>
    </w:p>
    <w:p w14:paraId="4269AFAB" w14:textId="1A2F8899" w:rsidR="001D71D1" w:rsidRPr="00D140AB" w:rsidRDefault="004D408A" w:rsidP="004D408A">
      <w:pPr>
        <w:spacing w:after="0" w:line="480" w:lineRule="auto"/>
        <w:rPr>
          <w:rFonts w:ascii="Courier New" w:hAnsi="Courier New" w:cs="Courier New"/>
          <w:sz w:val="24"/>
          <w:szCs w:val="24"/>
        </w:rPr>
      </w:pPr>
      <w:r>
        <w:rPr>
          <w:rFonts w:ascii="Courier New" w:hAnsi="Courier New" w:cs="Courier New"/>
          <w:sz w:val="24"/>
          <w:szCs w:val="24"/>
        </w:rPr>
        <w:t xml:space="preserve">     </w:t>
      </w:r>
      <w:r w:rsidR="002F70A0" w:rsidRPr="00D140AB">
        <w:rPr>
          <w:rFonts w:ascii="Courier New" w:hAnsi="Courier New" w:cs="Courier New"/>
          <w:sz w:val="24"/>
          <w:szCs w:val="24"/>
        </w:rPr>
        <w:t xml:space="preserve">Thus, </w:t>
      </w:r>
      <w:r w:rsidR="001D71D1" w:rsidRPr="00D140AB">
        <w:rPr>
          <w:rFonts w:ascii="Courier New" w:hAnsi="Courier New" w:cs="Courier New"/>
          <w:sz w:val="24"/>
          <w:szCs w:val="24"/>
        </w:rPr>
        <w:t>the changes to the definition</w:t>
      </w:r>
      <w:r w:rsidR="002F70A0" w:rsidRPr="00D140AB">
        <w:rPr>
          <w:rFonts w:ascii="Courier New" w:hAnsi="Courier New" w:cs="Courier New"/>
          <w:sz w:val="24"/>
          <w:szCs w:val="24"/>
        </w:rPr>
        <w:t xml:space="preserve"> and to the related requirements</w:t>
      </w:r>
      <w:r w:rsidR="001D71D1" w:rsidRPr="00D140AB">
        <w:rPr>
          <w:rFonts w:ascii="Courier New" w:hAnsi="Courier New" w:cs="Courier New"/>
          <w:sz w:val="24"/>
          <w:szCs w:val="24"/>
        </w:rPr>
        <w:t xml:space="preserve"> that we have described</w:t>
      </w:r>
      <w:r w:rsidR="0066684D">
        <w:rPr>
          <w:rFonts w:ascii="Courier New" w:hAnsi="Courier New" w:cs="Courier New"/>
          <w:sz w:val="24"/>
          <w:szCs w:val="24"/>
        </w:rPr>
        <w:t xml:space="preserve"> </w:t>
      </w:r>
      <w:r w:rsidR="001D71D1" w:rsidRPr="00D140AB">
        <w:rPr>
          <w:rFonts w:ascii="Courier New" w:hAnsi="Courier New" w:cs="Courier New"/>
          <w:sz w:val="24"/>
          <w:szCs w:val="24"/>
        </w:rPr>
        <w:t xml:space="preserve">balance the need to provide prospective students with critical information at a time when they can most benefit from it with ensuring that the administrative burden for institutions is not unnecessarily increased.  </w:t>
      </w:r>
    </w:p>
    <w:p w14:paraId="4269AFAC"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revised the definition of “prospective student” to exclude indirect contact through advertising and to include contact made by a third party on an institution’s behalf.</w:t>
      </w:r>
    </w:p>
    <w:p w14:paraId="4269AFAD"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One commenter asked that we clarify whether credential level is determined by academic year or calendar year.</w:t>
      </w:r>
    </w:p>
    <w:p w14:paraId="4269AFAE"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After further review of the proposed regulations, we have made several changes to the definition of “credential level” that make the commenter’s concern moot.  First, we are revising the definition to accurately reflect the treatment of a post-baccalaureate certificate as an undergraduate credential level under the title IV, HEA programs.  This certificate was inappropriately listed as a graduate credential level in the proposed regulations.</w:t>
      </w:r>
    </w:p>
    <w:p w14:paraId="4269AFAF" w14:textId="1876944B"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lastRenderedPageBreak/>
        <w:t xml:space="preserve">     We also are simplifying the definition by treating all of an institution’s undergraduate programs with the same CIP code and credential level as one “GE program,” without regard to program length, rather than breaking down the undergraduate credential levels according to the length of the program as we proposed in the NPRM.  </w:t>
      </w:r>
      <w:r w:rsidR="00B03BAE">
        <w:rPr>
          <w:rFonts w:ascii="Courier New" w:hAnsi="Courier New" w:cs="Courier New"/>
          <w:sz w:val="24"/>
          <w:szCs w:val="24"/>
        </w:rPr>
        <w:t xml:space="preserve">To do so would be inconsistent with other title IV, HEA program reporting procedures and would unnecessarily add complexity for institutions.  </w:t>
      </w:r>
      <w:r w:rsidRPr="00D140AB">
        <w:rPr>
          <w:rFonts w:ascii="Courier New" w:hAnsi="Courier New" w:cs="Courier New"/>
          <w:sz w:val="24"/>
          <w:szCs w:val="24"/>
        </w:rPr>
        <w:t>We note that, under §668.412(f</w:t>
      </w:r>
      <w:r w:rsidR="00C50DE4">
        <w:rPr>
          <w:rFonts w:ascii="Courier New" w:hAnsi="Courier New" w:cs="Courier New"/>
          <w:sz w:val="24"/>
          <w:szCs w:val="24"/>
        </w:rPr>
        <w:t>)</w:t>
      </w:r>
      <w:r w:rsidRPr="00D140AB">
        <w:rPr>
          <w:rFonts w:ascii="Courier New" w:hAnsi="Courier New" w:cs="Courier New"/>
          <w:sz w:val="24"/>
          <w:szCs w:val="24"/>
        </w:rPr>
        <w:t xml:space="preserve">, an institution that offers a GE program in more than one program length </w:t>
      </w:r>
      <w:r w:rsidR="00A51EB3">
        <w:rPr>
          <w:rFonts w:ascii="Courier New" w:hAnsi="Courier New" w:cs="Courier New"/>
          <w:sz w:val="24"/>
          <w:szCs w:val="24"/>
        </w:rPr>
        <w:t>must</w:t>
      </w:r>
      <w:r w:rsidR="00A51EB3" w:rsidRPr="00D140AB">
        <w:rPr>
          <w:rFonts w:ascii="Courier New" w:hAnsi="Courier New" w:cs="Courier New"/>
          <w:sz w:val="24"/>
          <w:szCs w:val="24"/>
        </w:rPr>
        <w:t xml:space="preserve"> </w:t>
      </w:r>
      <w:r w:rsidRPr="00D140AB">
        <w:rPr>
          <w:rFonts w:ascii="Courier New" w:hAnsi="Courier New" w:cs="Courier New"/>
          <w:sz w:val="24"/>
          <w:szCs w:val="24"/>
        </w:rPr>
        <w:t>publish a separate disclosure template for each length of the program.  Although D/E rates will not be separately calculated, several of the other required disclosures, including the number of clock or credit hours</w:t>
      </w:r>
      <w:r w:rsidR="00CD676F" w:rsidRPr="00D140AB">
        <w:rPr>
          <w:rFonts w:ascii="Courier New" w:hAnsi="Courier New" w:cs="Courier New"/>
          <w:sz w:val="24"/>
          <w:szCs w:val="24"/>
        </w:rPr>
        <w:t xml:space="preserve"> or equivalent</w:t>
      </w:r>
      <w:r w:rsidRPr="00D140AB">
        <w:rPr>
          <w:rFonts w:ascii="Courier New" w:hAnsi="Courier New" w:cs="Courier New"/>
          <w:sz w:val="24"/>
          <w:szCs w:val="24"/>
        </w:rPr>
        <w:t xml:space="preserve">, program cost, placement rate, and percentage of students who borrow, </w:t>
      </w:r>
      <w:r w:rsidR="00A51EB3">
        <w:rPr>
          <w:rFonts w:ascii="Courier New" w:hAnsi="Courier New" w:cs="Courier New"/>
          <w:sz w:val="24"/>
          <w:szCs w:val="24"/>
        </w:rPr>
        <w:t>must</w:t>
      </w:r>
      <w:r w:rsidR="00A51EB3" w:rsidRPr="00D140AB">
        <w:rPr>
          <w:rFonts w:ascii="Courier New" w:hAnsi="Courier New" w:cs="Courier New"/>
          <w:sz w:val="24"/>
          <w:szCs w:val="24"/>
        </w:rPr>
        <w:t xml:space="preserve"> </w:t>
      </w:r>
      <w:r w:rsidRPr="00D140AB">
        <w:rPr>
          <w:rFonts w:ascii="Courier New" w:hAnsi="Courier New" w:cs="Courier New"/>
          <w:sz w:val="24"/>
          <w:szCs w:val="24"/>
        </w:rPr>
        <w:t xml:space="preserve">be broken down by length of </w:t>
      </w:r>
      <w:r w:rsidR="00CD676F" w:rsidRPr="00D140AB">
        <w:rPr>
          <w:rFonts w:ascii="Courier New" w:hAnsi="Courier New" w:cs="Courier New"/>
          <w:sz w:val="24"/>
          <w:szCs w:val="24"/>
        </w:rPr>
        <w:t xml:space="preserve">the </w:t>
      </w:r>
      <w:r w:rsidRPr="00D140AB">
        <w:rPr>
          <w:rFonts w:ascii="Courier New" w:hAnsi="Courier New" w:cs="Courier New"/>
          <w:sz w:val="24"/>
          <w:szCs w:val="24"/>
        </w:rPr>
        <w:t xml:space="preserve">program.  Thus, students and prospective students </w:t>
      </w:r>
      <w:r w:rsidR="00A51EB3">
        <w:rPr>
          <w:rFonts w:ascii="Courier New" w:hAnsi="Courier New" w:cs="Courier New"/>
          <w:sz w:val="24"/>
          <w:szCs w:val="24"/>
        </w:rPr>
        <w:t>will</w:t>
      </w:r>
      <w:r w:rsidR="00A51EB3" w:rsidRPr="00D140AB">
        <w:rPr>
          <w:rFonts w:ascii="Courier New" w:hAnsi="Courier New" w:cs="Courier New"/>
          <w:sz w:val="24"/>
          <w:szCs w:val="24"/>
        </w:rPr>
        <w:t xml:space="preserve"> </w:t>
      </w:r>
      <w:r w:rsidRPr="00D140AB">
        <w:rPr>
          <w:rFonts w:ascii="Courier New" w:hAnsi="Courier New" w:cs="Courier New"/>
          <w:sz w:val="24"/>
          <w:szCs w:val="24"/>
        </w:rPr>
        <w:t xml:space="preserve">have information available to make distinctions between programs of different lengths.  </w:t>
      </w:r>
    </w:p>
    <w:p w14:paraId="4269AFB0"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We have revised the definition of “credential level” to include post-baccalaureate certificates as an undergraduate, rather than graduate, credential level and to specify that undergraduate credential levels are:  undergraduate certificate or diploma, associate degree, bachelor’s degree, and post-baccalaureate certificate.  </w:t>
      </w:r>
    </w:p>
    <w:p w14:paraId="4269AFB1" w14:textId="77777777" w:rsidR="001D71D1" w:rsidRPr="00D140AB" w:rsidRDefault="001D71D1" w:rsidP="004D408A">
      <w:pPr>
        <w:pStyle w:val="Heading1"/>
      </w:pPr>
      <w:r w:rsidRPr="00D140AB">
        <w:lastRenderedPageBreak/>
        <w:t>§668.402  Definitions</w:t>
      </w:r>
    </w:p>
    <w:p w14:paraId="4269AFB2"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We received a number of comments regarding defined terms in the proposed regulations.</w:t>
      </w:r>
    </w:p>
    <w:p w14:paraId="4269AFB3" w14:textId="7777777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Consistent with our organizational approach in the NPRM, we describe the comments received relating to a specific defined term in the section in which the defined term is first substantively used.</w:t>
      </w:r>
    </w:p>
    <w:p w14:paraId="6C651252" w14:textId="77777777" w:rsidR="00336C9D" w:rsidRDefault="001D71D1" w:rsidP="004D408A">
      <w:pPr>
        <w:spacing w:after="0" w:line="480" w:lineRule="auto"/>
        <w:rPr>
          <w:rFonts w:ascii="Courier New" w:hAnsi="Courier New" w:cs="Courier New"/>
          <w:sz w:val="24"/>
          <w:szCs w:val="24"/>
        </w:rPr>
      </w:pPr>
      <w:r w:rsidRPr="00336C9D">
        <w:rPr>
          <w:rFonts w:ascii="Courier New" w:hAnsi="Courier New" w:cs="Courier New"/>
          <w:sz w:val="24"/>
          <w:szCs w:val="24"/>
          <w:u w:val="single"/>
        </w:rPr>
        <w:t>Changes</w:t>
      </w:r>
      <w:r w:rsidRPr="00336C9D">
        <w:rPr>
          <w:rFonts w:ascii="Courier New" w:hAnsi="Courier New" w:cs="Courier New"/>
          <w:sz w:val="24"/>
          <w:szCs w:val="24"/>
        </w:rPr>
        <w:t xml:space="preserve">:  We have made changes to the following defined terms.  The changes are described in the section </w:t>
      </w:r>
      <w:r w:rsidR="009C1A7F" w:rsidRPr="00336C9D">
        <w:rPr>
          <w:rFonts w:ascii="Courier New" w:hAnsi="Courier New" w:cs="Courier New"/>
          <w:sz w:val="24"/>
          <w:szCs w:val="24"/>
        </w:rPr>
        <w:t>or sections</w:t>
      </w:r>
      <w:r w:rsidRPr="00336C9D">
        <w:rPr>
          <w:rFonts w:ascii="Courier New" w:hAnsi="Courier New" w:cs="Courier New"/>
          <w:sz w:val="24"/>
          <w:szCs w:val="24"/>
        </w:rPr>
        <w:t xml:space="preserve"> indicated after the defined term.</w:t>
      </w:r>
    </w:p>
    <w:p w14:paraId="4269AFB5" w14:textId="61A293B6" w:rsidR="001D71D1" w:rsidRPr="004D408A" w:rsidRDefault="001D71D1" w:rsidP="004D408A">
      <w:pPr>
        <w:spacing w:after="0" w:line="480" w:lineRule="auto"/>
        <w:ind w:firstLine="720"/>
        <w:rPr>
          <w:rFonts w:ascii="Courier New" w:hAnsi="Courier New" w:cs="Courier New"/>
          <w:sz w:val="24"/>
          <w:szCs w:val="24"/>
        </w:rPr>
      </w:pPr>
      <w:r w:rsidRPr="004D408A">
        <w:rPr>
          <w:rFonts w:ascii="Courier New" w:hAnsi="Courier New" w:cs="Courier New"/>
          <w:sz w:val="24"/>
          <w:szCs w:val="24"/>
        </w:rPr>
        <w:t>Credential level (§668.401)</w:t>
      </w:r>
    </w:p>
    <w:p w14:paraId="4269AFB6" w14:textId="3895D2C8" w:rsidR="001D71D1" w:rsidRDefault="001D71D1" w:rsidP="004D408A">
      <w:pPr>
        <w:spacing w:after="0" w:line="480" w:lineRule="auto"/>
        <w:ind w:left="720"/>
        <w:rPr>
          <w:rFonts w:ascii="Courier New" w:hAnsi="Courier New" w:cs="Courier New"/>
          <w:sz w:val="24"/>
          <w:szCs w:val="24"/>
        </w:rPr>
      </w:pPr>
      <w:r w:rsidRPr="00336C9D">
        <w:rPr>
          <w:rFonts w:ascii="Courier New" w:hAnsi="Courier New" w:cs="Courier New"/>
          <w:sz w:val="24"/>
          <w:szCs w:val="24"/>
        </w:rPr>
        <w:t xml:space="preserve">Classification of instructional program (CIP) code </w:t>
      </w:r>
      <w:r w:rsidR="00253F7C" w:rsidRPr="00336C9D">
        <w:rPr>
          <w:rFonts w:ascii="Courier New" w:hAnsi="Courier New" w:cs="Courier New"/>
          <w:sz w:val="24"/>
          <w:szCs w:val="24"/>
        </w:rPr>
        <w:t>and</w:t>
      </w:r>
      <w:r w:rsidR="009C1A7F" w:rsidRPr="00336C9D">
        <w:rPr>
          <w:rFonts w:ascii="Courier New" w:hAnsi="Courier New" w:cs="Courier New"/>
          <w:sz w:val="24"/>
          <w:szCs w:val="24"/>
        </w:rPr>
        <w:t>,</w:t>
      </w:r>
      <w:r w:rsidR="00253F7C" w:rsidRPr="00336C9D">
        <w:rPr>
          <w:rFonts w:ascii="Courier New" w:hAnsi="Courier New" w:cs="Courier New"/>
          <w:sz w:val="24"/>
          <w:szCs w:val="24"/>
        </w:rPr>
        <w:t xml:space="preserve"> within that definition, the term “substantially similar” </w:t>
      </w:r>
      <w:r w:rsidRPr="00336C9D">
        <w:rPr>
          <w:rFonts w:ascii="Courier New" w:hAnsi="Courier New" w:cs="Courier New"/>
          <w:sz w:val="24"/>
          <w:szCs w:val="24"/>
        </w:rPr>
        <w:t>(§</w:t>
      </w:r>
      <w:r w:rsidR="00DB38D2" w:rsidRPr="00336C9D">
        <w:rPr>
          <w:rFonts w:ascii="Courier New" w:hAnsi="Courier New" w:cs="Courier New"/>
          <w:sz w:val="24"/>
          <w:szCs w:val="24"/>
        </w:rPr>
        <w:t>§</w:t>
      </w:r>
      <w:r w:rsidRPr="00336C9D">
        <w:rPr>
          <w:rFonts w:ascii="Courier New" w:hAnsi="Courier New" w:cs="Courier New"/>
          <w:sz w:val="24"/>
          <w:szCs w:val="24"/>
        </w:rPr>
        <w:t>668.410</w:t>
      </w:r>
      <w:r w:rsidR="009C1A7F" w:rsidRPr="00336C9D">
        <w:rPr>
          <w:rFonts w:ascii="Courier New" w:hAnsi="Courier New" w:cs="Courier New"/>
          <w:sz w:val="24"/>
          <w:szCs w:val="24"/>
        </w:rPr>
        <w:t xml:space="preserve"> and 668.414</w:t>
      </w:r>
      <w:r w:rsidRPr="00336C9D">
        <w:rPr>
          <w:rFonts w:ascii="Courier New" w:hAnsi="Courier New" w:cs="Courier New"/>
          <w:sz w:val="24"/>
          <w:szCs w:val="24"/>
        </w:rPr>
        <w:t>)</w:t>
      </w:r>
      <w:r w:rsidR="00253F7C" w:rsidRPr="00336C9D">
        <w:rPr>
          <w:rFonts w:ascii="Courier New" w:hAnsi="Courier New" w:cs="Courier New"/>
          <w:sz w:val="24"/>
          <w:szCs w:val="24"/>
        </w:rPr>
        <w:t xml:space="preserve"> </w:t>
      </w:r>
    </w:p>
    <w:p w14:paraId="4B920127" w14:textId="4F7F06D8" w:rsidR="00E759E6" w:rsidRPr="00336C9D" w:rsidRDefault="00E759E6" w:rsidP="004D408A">
      <w:pPr>
        <w:spacing w:after="0" w:line="480" w:lineRule="auto"/>
        <w:ind w:left="720"/>
        <w:rPr>
          <w:rFonts w:ascii="Courier New" w:hAnsi="Courier New" w:cs="Courier New"/>
          <w:sz w:val="24"/>
          <w:szCs w:val="24"/>
        </w:rPr>
      </w:pPr>
      <w:r>
        <w:rPr>
          <w:rFonts w:ascii="Courier New" w:hAnsi="Courier New" w:cs="Courier New"/>
          <w:sz w:val="24"/>
          <w:szCs w:val="24"/>
        </w:rPr>
        <w:t>Cohort period (§668.404</w:t>
      </w:r>
      <w:r w:rsidRPr="004D408A">
        <w:rPr>
          <w:rFonts w:ascii="Courier New" w:hAnsi="Courier New" w:cs="Courier New"/>
          <w:sz w:val="24"/>
          <w:szCs w:val="24"/>
        </w:rPr>
        <w:t>)</w:t>
      </w:r>
    </w:p>
    <w:p w14:paraId="4269AFB7" w14:textId="77777777" w:rsidR="001D71D1" w:rsidRPr="004D408A" w:rsidRDefault="001D71D1" w:rsidP="004D408A">
      <w:pPr>
        <w:spacing w:after="0" w:line="480" w:lineRule="auto"/>
        <w:ind w:firstLine="720"/>
        <w:rPr>
          <w:rFonts w:ascii="Courier New" w:hAnsi="Courier New" w:cs="Courier New"/>
          <w:sz w:val="24"/>
          <w:szCs w:val="24"/>
        </w:rPr>
      </w:pPr>
      <w:r w:rsidRPr="004D408A">
        <w:rPr>
          <w:rFonts w:ascii="Courier New" w:hAnsi="Courier New" w:cs="Courier New"/>
          <w:sz w:val="24"/>
          <w:szCs w:val="24"/>
        </w:rPr>
        <w:t>GE measures (§668.403)</w:t>
      </w:r>
    </w:p>
    <w:p w14:paraId="4269AFB8" w14:textId="77777777" w:rsidR="001D71D1" w:rsidRPr="004D408A" w:rsidRDefault="001D71D1" w:rsidP="004D408A">
      <w:pPr>
        <w:spacing w:after="0" w:line="480" w:lineRule="auto"/>
        <w:ind w:firstLine="720"/>
        <w:rPr>
          <w:rFonts w:ascii="Courier New" w:hAnsi="Courier New" w:cs="Courier New"/>
          <w:sz w:val="24"/>
          <w:szCs w:val="24"/>
        </w:rPr>
      </w:pPr>
      <w:r w:rsidRPr="004D408A">
        <w:rPr>
          <w:rFonts w:ascii="Courier New" w:hAnsi="Courier New" w:cs="Courier New"/>
          <w:sz w:val="24"/>
          <w:szCs w:val="24"/>
        </w:rPr>
        <w:t>Program cohort default rate (§668.403)</w:t>
      </w:r>
    </w:p>
    <w:p w14:paraId="4269AFB9" w14:textId="77777777" w:rsidR="001D71D1" w:rsidRDefault="001D71D1" w:rsidP="004D408A">
      <w:pPr>
        <w:spacing w:after="0" w:line="480" w:lineRule="auto"/>
        <w:ind w:firstLine="720"/>
        <w:rPr>
          <w:rFonts w:ascii="Courier New" w:hAnsi="Courier New" w:cs="Courier New"/>
          <w:sz w:val="24"/>
          <w:szCs w:val="24"/>
        </w:rPr>
      </w:pPr>
      <w:r w:rsidRPr="004D408A">
        <w:rPr>
          <w:rFonts w:ascii="Courier New" w:hAnsi="Courier New" w:cs="Courier New"/>
          <w:sz w:val="24"/>
          <w:szCs w:val="24"/>
        </w:rPr>
        <w:t>Prospective student (§668.401)</w:t>
      </w:r>
    </w:p>
    <w:p w14:paraId="5ED5B5D7" w14:textId="77777777" w:rsidR="0096107B" w:rsidRPr="00436A8E" w:rsidRDefault="0096107B" w:rsidP="007B61F2">
      <w:pPr>
        <w:spacing w:after="0" w:line="480" w:lineRule="auto"/>
        <w:outlineLvl w:val="0"/>
        <w:rPr>
          <w:rFonts w:ascii="Courier New" w:eastAsia="Times New Roman" w:hAnsi="Courier New"/>
          <w:sz w:val="24"/>
          <w:u w:val="single"/>
        </w:rPr>
      </w:pPr>
      <w:r w:rsidRPr="00436A8E">
        <w:rPr>
          <w:rFonts w:ascii="Courier New" w:eastAsia="Times New Roman" w:hAnsi="Courier New"/>
          <w:sz w:val="24"/>
          <w:u w:val="single"/>
        </w:rPr>
        <w:t>§668.403  Gainful Employment Program Framework</w:t>
      </w:r>
    </w:p>
    <w:p w14:paraId="47ADF0B1" w14:textId="150C0A60" w:rsidR="0096107B" w:rsidRPr="00436A8E" w:rsidDel="00B73017" w:rsidRDefault="0096107B" w:rsidP="007B61F2">
      <w:pPr>
        <w:spacing w:after="0" w:line="480" w:lineRule="auto"/>
        <w:outlineLvl w:val="1"/>
        <w:rPr>
          <w:rFonts w:ascii="Courier New" w:hAnsi="Courier New"/>
          <w:sz w:val="24"/>
          <w:u w:val="single"/>
        </w:rPr>
      </w:pPr>
      <w:r w:rsidRPr="00436A8E" w:rsidDel="00B73017">
        <w:rPr>
          <w:rFonts w:ascii="Courier New" w:hAnsi="Courier New"/>
          <w:sz w:val="24"/>
          <w:u w:val="single"/>
        </w:rPr>
        <w:t>Impact on For-Profit Institutions</w:t>
      </w:r>
    </w:p>
    <w:p w14:paraId="76F78C3E" w14:textId="77777777" w:rsidR="0096107B" w:rsidRPr="0096107B" w:rsidDel="00B73017" w:rsidRDefault="0096107B" w:rsidP="007B61F2">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u w:val="single"/>
        </w:rPr>
        <w:t>Comments</w:t>
      </w:r>
      <w:r w:rsidRPr="0096107B" w:rsidDel="00B73017">
        <w:rPr>
          <w:rFonts w:ascii="Courier New" w:eastAsia="Times New Roman" w:hAnsi="Courier New" w:cs="Courier New"/>
          <w:sz w:val="24"/>
          <w:szCs w:val="24"/>
        </w:rPr>
        <w:t xml:space="preserve">:  Some commenters asserted that the poor outcomes identified by the D/E rates measure--high debt and low earnings--are problems across higher education and that, as a result, it would be unfair to hold only GE programs accountable under the </w:t>
      </w:r>
      <w:r w:rsidRPr="0096107B" w:rsidDel="00B73017">
        <w:rPr>
          <w:rFonts w:ascii="Courier New" w:eastAsia="Times New Roman" w:hAnsi="Courier New" w:cs="Courier New"/>
          <w:sz w:val="24"/>
          <w:szCs w:val="24"/>
        </w:rPr>
        <w:lastRenderedPageBreak/>
        <w:t>D/E rates measure.  Commenters cited data that, they argued, showed that this is the case for a large fraction of four-year programs operated by public and non-profit institutions.  One commenter contended that between 28 percent and 54 percent of programs operated by the University of Texas would fail the Department’s accountability metrics.</w:t>
      </w:r>
      <w:r w:rsidRPr="0096107B" w:rsidDel="00B73017">
        <w:rPr>
          <w:rFonts w:ascii="Courier New" w:eastAsia="Times New Roman" w:hAnsi="Courier New" w:cs="Courier New"/>
          <w:sz w:val="24"/>
          <w:szCs w:val="24"/>
          <w:vertAlign w:val="superscript"/>
        </w:rPr>
        <w:footnoteReference w:id="7"/>
      </w:r>
      <w:r w:rsidRPr="0096107B" w:rsidDel="00B73017">
        <w:rPr>
          <w:rFonts w:ascii="Courier New" w:eastAsia="Times New Roman" w:hAnsi="Courier New" w:cs="Courier New"/>
          <w:sz w:val="24"/>
          <w:szCs w:val="24"/>
        </w:rPr>
        <w:t xml:space="preserve">    </w:t>
      </w:r>
    </w:p>
    <w:p w14:paraId="11CC0D7A" w14:textId="530B0186"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Several commenters alleged that the regulations are a Federal overreach into higher education.  A number of these commenters believed that the regulations unfairly target for-profit institutions.  They stated that while a degree program at a for-profit institution must meet the D/E rates measure to remain eligible for title IV, HEA program funds, a comparable degree program at a public or private non-profit institution, which may have low completion rates or other poor outcomes, would not be subject to the regulations.  </w:t>
      </w:r>
      <w:r w:rsidRPr="0096107B" w:rsidDel="00B73017">
        <w:rPr>
          <w:rFonts w:ascii="Courier New" w:eastAsia="Times New Roman" w:hAnsi="Courier New" w:cs="Courier New"/>
          <w:sz w:val="24"/>
          <w:szCs w:val="24"/>
          <w:u w:val="single"/>
        </w:rPr>
        <w:t xml:space="preserve">  </w:t>
      </w:r>
    </w:p>
    <w:p w14:paraId="5C2DCAF9" w14:textId="3BDE38A7"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Some commenters asserted that for-profit institutions play an important role in providing career training for students to enter into jobs that do not require a four-year bachelor’s degree.  In that regard, one commenter contended that, because the regulations apply only to GE programs offered primarily by for-profit institutions, the regulations reflect a bias in favor of traditional four-year degree programs not subject to the </w:t>
      </w:r>
      <w:r w:rsidRPr="0096107B" w:rsidDel="00B73017">
        <w:rPr>
          <w:rFonts w:ascii="Courier New" w:eastAsia="Times New Roman" w:hAnsi="Courier New" w:cs="Courier New"/>
          <w:sz w:val="24"/>
          <w:szCs w:val="24"/>
        </w:rPr>
        <w:lastRenderedPageBreak/>
        <w:t>regulations.  This bias, the commenter argued, cannot be justified in light of BLS data showing that nearly half of bachelor’s degree graduates are working in jobs that do not require a four-year degree.  These degree-holders, according to the commenter, are actually employed in what can be described as “middle-skill” positions, for which the commenter believed for-profit institutions provide more effective preparation.  These commenters all asserted that traditional institutions are ill-suited to provide students with training for middle-skill jobs compared to for-profit institutions.  Other commenters argued that enrollment growth at non-profit and public institutions has not kept up with demand from students and for-profit institutions have responded to this need by offering opportunities for students.  One commenter presented data showing that a majority of degrees in the fastest growing occupations are awarded by for-</w:t>
      </w:r>
      <w:r w:rsidR="0072431B" w:rsidRPr="0096107B">
        <w:rPr>
          <w:rFonts w:ascii="Courier New" w:eastAsia="Times New Roman" w:hAnsi="Courier New" w:cs="Courier New"/>
          <w:sz w:val="24"/>
          <w:szCs w:val="24"/>
        </w:rPr>
        <w:t>profit</w:t>
      </w:r>
      <w:r w:rsidR="0072431B">
        <w:rPr>
          <w:rFonts w:ascii="Courier New" w:eastAsia="Times New Roman" w:hAnsi="Courier New" w:cs="Courier New"/>
          <w:sz w:val="24"/>
          <w:szCs w:val="24"/>
        </w:rPr>
        <w:t xml:space="preserve"> institutions</w:t>
      </w:r>
      <w:r w:rsidR="0072431B" w:rsidRPr="0096107B">
        <w:rPr>
          <w:rFonts w:ascii="Courier New" w:eastAsia="Times New Roman" w:hAnsi="Courier New" w:cs="Courier New"/>
          <w:sz w:val="24"/>
          <w:szCs w:val="24"/>
        </w:rPr>
        <w:t xml:space="preserve">.  </w:t>
      </w:r>
    </w:p>
    <w:p w14:paraId="63D0A180" w14:textId="7D4250FF"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Several commenters asserted that the regulations would have a substantial and disproportionate impact on programs in the for-profit sector and the students they serve.  Commenters cited an analysis by Mark Kantrowitz claiming that, of GE programs that would not pass the D/E rates measure, a large and disproportionate portion are operated by for-profit institutions compared to programs operated by non-profit and public </w:t>
      </w:r>
      <w:r w:rsidRPr="0096107B" w:rsidDel="00B73017">
        <w:rPr>
          <w:rFonts w:ascii="Courier New" w:eastAsia="Times New Roman" w:hAnsi="Courier New" w:cs="Courier New"/>
          <w:sz w:val="24"/>
          <w:szCs w:val="24"/>
        </w:rPr>
        <w:lastRenderedPageBreak/>
        <w:t>institutions, while other commenters relied on Department data to draw the same conclusion.</w:t>
      </w:r>
      <w:r w:rsidRPr="0096107B" w:rsidDel="00B73017">
        <w:rPr>
          <w:rFonts w:ascii="Courier New" w:eastAsia="Times New Roman" w:hAnsi="Courier New" w:cs="Courier New"/>
          <w:sz w:val="24"/>
          <w:szCs w:val="24"/>
          <w:vertAlign w:val="superscript"/>
        </w:rPr>
        <w:footnoteReference w:id="8"/>
      </w:r>
      <w:r w:rsidRPr="0096107B" w:rsidDel="00B73017">
        <w:rPr>
          <w:rFonts w:ascii="Courier New" w:eastAsia="Times New Roman" w:hAnsi="Courier New" w:cs="Courier New"/>
          <w:sz w:val="24"/>
          <w:szCs w:val="24"/>
        </w:rPr>
        <w:t xml:space="preserve">  </w:t>
      </w:r>
    </w:p>
    <w:p w14:paraId="55D08CAE" w14:textId="77777777" w:rsidR="0096107B" w:rsidRPr="0096107B" w:rsidDel="00B73017" w:rsidRDefault="0096107B" w:rsidP="00CD55E2">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Commenters said the Department is targeting for-profit programs because of an incorrect assumption that student outcomes are worse at for-profit institutions.  They said the Department has ignored studies showing that, when compared to institutions that serve similar populations of students, for-profit institutions achieve comparable outcomes for their students.  </w:t>
      </w:r>
      <w:r w:rsidR="007F6EE0" w:rsidRPr="0096107B" w:rsidDel="00B73017">
        <w:rPr>
          <w:rFonts w:ascii="Courier New" w:eastAsia="Times New Roman" w:hAnsi="Courier New" w:cs="Courier New"/>
          <w:sz w:val="24"/>
          <w:szCs w:val="24"/>
        </w:rPr>
        <w:t>Another commenter cited a study that showed that first-time enrollees at for-profit schools experience greater unemployment after leaving school, but among those working, their annual earnings are statistically similar to their counterparts</w:t>
      </w:r>
      <w:r w:rsidR="001C73D9" w:rsidDel="00B73017">
        <w:rPr>
          <w:rFonts w:ascii="Courier New" w:eastAsia="Times New Roman" w:hAnsi="Courier New" w:cs="Courier New"/>
          <w:sz w:val="24"/>
          <w:szCs w:val="24"/>
        </w:rPr>
        <w:t xml:space="preserve"> at non-profit institutions</w:t>
      </w:r>
      <w:r w:rsidR="007F6EE0" w:rsidRPr="0096107B" w:rsidDel="00B73017">
        <w:rPr>
          <w:rFonts w:ascii="Courier New" w:eastAsia="Times New Roman" w:hAnsi="Courier New" w:cs="Courier New"/>
          <w:sz w:val="24"/>
          <w:szCs w:val="24"/>
        </w:rPr>
        <w:t>.</w:t>
      </w:r>
    </w:p>
    <w:p w14:paraId="7EBD67EC" w14:textId="2EB0C349" w:rsidR="0072431B" w:rsidRPr="0096107B" w:rsidRDefault="0072431B" w:rsidP="001D6595">
      <w:pPr>
        <w:spacing w:after="0" w:line="480" w:lineRule="auto"/>
        <w:ind w:firstLine="720"/>
        <w:rPr>
          <w:rFonts w:ascii="Courier New" w:eastAsia="Times New Roman" w:hAnsi="Courier New"/>
          <w:sz w:val="24"/>
          <w:szCs w:val="24"/>
        </w:rPr>
      </w:pPr>
      <w:r w:rsidRPr="0096107B">
        <w:rPr>
          <w:rFonts w:ascii="Courier New" w:eastAsia="Times New Roman" w:hAnsi="Courier New"/>
          <w:sz w:val="24"/>
          <w:szCs w:val="24"/>
        </w:rPr>
        <w:t xml:space="preserve">Several commenters asserted that the student body </w:t>
      </w:r>
      <w:r w:rsidRPr="0096107B">
        <w:rPr>
          <w:rFonts w:ascii="Courier New" w:eastAsia="Times New Roman" w:hAnsi="Courier New" w:cs="Courier New"/>
          <w:sz w:val="24"/>
          <w:szCs w:val="24"/>
        </w:rPr>
        <w:t>profiles</w:t>
      </w:r>
      <w:r w:rsidRPr="0096107B">
        <w:rPr>
          <w:rFonts w:ascii="Courier New" w:eastAsia="Times New Roman" w:hAnsi="Courier New"/>
          <w:sz w:val="24"/>
          <w:szCs w:val="24"/>
        </w:rPr>
        <w:t xml:space="preserve"> at for-profit institutions could significantly affect program performance under the D/E rates measure.  Charles River Associates analyzed NPSAS:2012 data and found that for-profit institutions serve older students (average age of 30.0 years compared to 24.6 </w:t>
      </w:r>
      <w:r>
        <w:rPr>
          <w:rFonts w:ascii="Courier New" w:eastAsia="Times New Roman" w:hAnsi="Courier New"/>
          <w:sz w:val="24"/>
          <w:szCs w:val="24"/>
        </w:rPr>
        <w:t xml:space="preserve">years </w:t>
      </w:r>
      <w:r w:rsidRPr="0096107B">
        <w:rPr>
          <w:rFonts w:ascii="Courier New" w:eastAsia="Times New Roman" w:hAnsi="Courier New"/>
          <w:sz w:val="24"/>
          <w:szCs w:val="24"/>
        </w:rPr>
        <w:t xml:space="preserve">at private non-profit and 26.0 years at public institutions), veterans (7 percent of students compared to 3 percent at private non-profit and public institutions), students that are not exclusively full-time (30 percent </w:t>
      </w:r>
      <w:r>
        <w:rPr>
          <w:rFonts w:ascii="Courier New" w:eastAsia="Times New Roman" w:hAnsi="Courier New"/>
          <w:sz w:val="24"/>
          <w:szCs w:val="24"/>
        </w:rPr>
        <w:t xml:space="preserve">of </w:t>
      </w:r>
      <w:r>
        <w:rPr>
          <w:rFonts w:ascii="Courier New" w:eastAsia="Times New Roman" w:hAnsi="Courier New"/>
          <w:sz w:val="24"/>
          <w:szCs w:val="24"/>
        </w:rPr>
        <w:lastRenderedPageBreak/>
        <w:t xml:space="preserve">students compared </w:t>
      </w:r>
      <w:r w:rsidRPr="0096107B">
        <w:rPr>
          <w:rFonts w:ascii="Courier New" w:eastAsia="Times New Roman" w:hAnsi="Courier New"/>
          <w:sz w:val="24"/>
          <w:szCs w:val="24"/>
        </w:rPr>
        <w:t xml:space="preserve">to 29 percent </w:t>
      </w:r>
      <w:r>
        <w:rPr>
          <w:rFonts w:ascii="Courier New" w:eastAsia="Times New Roman" w:hAnsi="Courier New"/>
          <w:sz w:val="24"/>
          <w:szCs w:val="24"/>
        </w:rPr>
        <w:t xml:space="preserve">at private non-profit </w:t>
      </w:r>
      <w:r w:rsidRPr="0096107B">
        <w:rPr>
          <w:rFonts w:ascii="Courier New" w:eastAsia="Times New Roman" w:hAnsi="Courier New"/>
          <w:sz w:val="24"/>
          <w:szCs w:val="24"/>
        </w:rPr>
        <w:t>and 57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independent students (80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34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and 49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single parents (33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9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w:t>
      </w:r>
      <w:r>
        <w:rPr>
          <w:rFonts w:ascii="Courier New" w:eastAsia="Times New Roman" w:hAnsi="Courier New"/>
          <w:sz w:val="24"/>
          <w:szCs w:val="24"/>
        </w:rPr>
        <w:t>and</w:t>
      </w:r>
      <w:r w:rsidRPr="0096107B">
        <w:rPr>
          <w:rFonts w:ascii="Courier New" w:eastAsia="Times New Roman" w:hAnsi="Courier New"/>
          <w:sz w:val="24"/>
          <w:szCs w:val="24"/>
        </w:rPr>
        <w:t xml:space="preserve"> 13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students with dependents (51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18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to 25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students working more than 20 hours per week (48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29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to 44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students who consider their primary role to be an employee rather than a student (52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23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to 31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 xml:space="preserve">), and students less likely to have a parent with at least a bachelor’s degree (22 percent </w:t>
      </w:r>
      <w:r>
        <w:rPr>
          <w:rFonts w:ascii="Courier New" w:eastAsia="Times New Roman" w:hAnsi="Courier New"/>
          <w:sz w:val="24"/>
          <w:szCs w:val="24"/>
        </w:rPr>
        <w:t>at private for-profit institutions</w:t>
      </w:r>
      <w:r w:rsidRPr="0096107B">
        <w:rPr>
          <w:rFonts w:ascii="Courier New" w:eastAsia="Times New Roman" w:hAnsi="Courier New"/>
          <w:sz w:val="24"/>
          <w:szCs w:val="24"/>
        </w:rPr>
        <w:t xml:space="preserve"> to 52 percent </w:t>
      </w:r>
      <w:r>
        <w:rPr>
          <w:rFonts w:ascii="Courier New" w:eastAsia="Times New Roman" w:hAnsi="Courier New"/>
          <w:sz w:val="24"/>
          <w:szCs w:val="24"/>
        </w:rPr>
        <w:t>at private non-profit institutions</w:t>
      </w:r>
      <w:r w:rsidRPr="0096107B">
        <w:rPr>
          <w:rFonts w:ascii="Courier New" w:eastAsia="Times New Roman" w:hAnsi="Courier New"/>
          <w:sz w:val="24"/>
          <w:szCs w:val="24"/>
        </w:rPr>
        <w:t xml:space="preserve"> to 37 percent</w:t>
      </w:r>
      <w:r>
        <w:rPr>
          <w:rFonts w:ascii="Courier New" w:eastAsia="Times New Roman" w:hAnsi="Courier New"/>
          <w:sz w:val="24"/>
          <w:szCs w:val="24"/>
        </w:rPr>
        <w:t xml:space="preserve"> at public institutions</w:t>
      </w:r>
      <w:r w:rsidRPr="0096107B">
        <w:rPr>
          <w:rFonts w:ascii="Courier New" w:eastAsia="Times New Roman" w:hAnsi="Courier New"/>
          <w:sz w:val="24"/>
          <w:szCs w:val="24"/>
        </w:rPr>
        <w:t>).</w:t>
      </w:r>
      <w:r w:rsidRPr="0096107B">
        <w:rPr>
          <w:rFonts w:ascii="Courier New" w:eastAsia="Times New Roman" w:hAnsi="Courier New" w:cs="Courier New"/>
          <w:sz w:val="24"/>
          <w:szCs w:val="24"/>
          <w:vertAlign w:val="superscript"/>
        </w:rPr>
        <w:footnoteReference w:id="9"/>
      </w:r>
      <w:r w:rsidRPr="0096107B">
        <w:rPr>
          <w:rFonts w:ascii="Courier New" w:eastAsia="Times New Roman" w:hAnsi="Courier New"/>
          <w:sz w:val="24"/>
          <w:szCs w:val="24"/>
        </w:rPr>
        <w:t xml:space="preserve">  They also found that minority students make up a higher percentage of the student body at for-profit institutions, with African-</w:t>
      </w:r>
      <w:r w:rsidRPr="0096107B">
        <w:rPr>
          <w:rFonts w:ascii="Courier New" w:eastAsia="Times New Roman" w:hAnsi="Courier New"/>
          <w:sz w:val="24"/>
          <w:szCs w:val="24"/>
        </w:rPr>
        <w:lastRenderedPageBreak/>
        <w:t xml:space="preserve">Americans making up 26 percent of students compared to 15 percent at public institutions and 14 percent at private non-profit institutions and Hispanic students comprising 19 percent of students at for-profit </w:t>
      </w:r>
      <w:r w:rsidRPr="0096107B">
        <w:rPr>
          <w:rFonts w:ascii="Courier New" w:eastAsia="Times New Roman" w:hAnsi="Courier New" w:cs="Courier New"/>
          <w:sz w:val="24"/>
          <w:szCs w:val="24"/>
        </w:rPr>
        <w:t>institutions</w:t>
      </w:r>
      <w:r w:rsidRPr="0096107B">
        <w:rPr>
          <w:rFonts w:ascii="Courier New" w:eastAsia="Times New Roman" w:hAnsi="Courier New"/>
          <w:sz w:val="24"/>
          <w:szCs w:val="24"/>
        </w:rPr>
        <w:t xml:space="preserve">, similar to the 17 percent at public institutions but higher than the 10 percent at private non-profit institutions.  Additionally, </w:t>
      </w:r>
      <w:r>
        <w:rPr>
          <w:rFonts w:ascii="Courier New" w:eastAsia="Times New Roman" w:hAnsi="Courier New"/>
          <w:sz w:val="24"/>
          <w:szCs w:val="24"/>
        </w:rPr>
        <w:t xml:space="preserve">commenters stated that </w:t>
      </w:r>
      <w:r w:rsidRPr="0096107B">
        <w:rPr>
          <w:rFonts w:ascii="Courier New" w:eastAsia="Times New Roman" w:hAnsi="Courier New"/>
          <w:sz w:val="24"/>
          <w:szCs w:val="24"/>
        </w:rPr>
        <w:t xml:space="preserve">65 percent of students at for-profit institutions receive Pell Grants, while at private non-profit and public institutions, the percentage of Pell Grant recipients averages 36 percent and 38 percent, respectively.  </w:t>
      </w:r>
      <w:r w:rsidRPr="0096107B">
        <w:rPr>
          <w:rFonts w:ascii="Courier New" w:eastAsia="Times New Roman" w:hAnsi="Courier New" w:cs="Courier New"/>
          <w:sz w:val="24"/>
          <w:szCs w:val="24"/>
        </w:rPr>
        <w:t>In addition, one commenter suggested that the Department should have considered that for-profit institutions are more likely to be open-enrollment institutions.</w:t>
      </w:r>
    </w:p>
    <w:p w14:paraId="4348CF9B" w14:textId="30A31C39" w:rsidR="0072431B" w:rsidRPr="0096107B" w:rsidRDefault="0072431B" w:rsidP="0072431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Commenters asserted that for-profit institutions do not in fact cost more for students and taxpayers than public institutions, particularly community colleges, when State and local appropriations and other subsidies received by public institutions are taken into account.  One commenter said that for-profit two-year institutions cost less per student than public two-year institutions and that completion rates are somewhat higher at for-profit institutions.  Commenters pointed to a number of studies estimating taxpayer costs across types of institutions.  One found that associate degree programs at public institutions cost $4,000 more per enrollee and $35,000 </w:t>
      </w:r>
      <w:r w:rsidRPr="0096107B">
        <w:rPr>
          <w:rFonts w:ascii="Courier New" w:eastAsia="Times New Roman" w:hAnsi="Courier New" w:cs="Courier New"/>
          <w:sz w:val="24"/>
          <w:szCs w:val="24"/>
        </w:rPr>
        <w:lastRenderedPageBreak/>
        <w:t xml:space="preserve">more per graduate than associate degree programs at for-profit institutions, while another found that the direct cost to taxpayers on a per-student basis is $25,546 lower at for-profit institutions than at public two-year institutions, and a third found that taxpayer costs of four-year public institutions averaged $9,709 per student compared to $99 per student at for-profit institutions.  Another study estimated that public institutions receive $19.38 per student in direct tax support and private non-profit institutions receive $8.69 per student for every $1 received by for-profit institutions per student.  Commenters also referenced research </w:t>
      </w:r>
      <w:r>
        <w:rPr>
          <w:rFonts w:ascii="Courier New" w:eastAsia="Times New Roman" w:hAnsi="Courier New" w:cs="Courier New"/>
          <w:sz w:val="24"/>
          <w:szCs w:val="24"/>
        </w:rPr>
        <w:t>estimating the</w:t>
      </w:r>
      <w:r w:rsidRPr="0096107B">
        <w:rPr>
          <w:rFonts w:ascii="Courier New" w:eastAsia="Times New Roman" w:hAnsi="Courier New" w:cs="Courier New"/>
          <w:sz w:val="24"/>
          <w:szCs w:val="24"/>
        </w:rPr>
        <w:t xml:space="preserve"> total costs to State and local governments if students affected by the regulations shift to public institutions, with results ranging from $3.6 to $4.7 billion to shift students from nine for-profit institutions in four States to public two-year or four-year institutions</w:t>
      </w:r>
      <w:r>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Similarly, one commenter referenced a study estimating the total cost of shifting students to public institutions among all States would be</w:t>
      </w:r>
      <w:r w:rsidRPr="0096107B">
        <w:rPr>
          <w:rFonts w:ascii="Courier New" w:eastAsia="Times New Roman" w:hAnsi="Courier New" w:cs="Courier New"/>
          <w:sz w:val="24"/>
          <w:szCs w:val="24"/>
        </w:rPr>
        <w:t xml:space="preserve"> $1.7 billion in State appropriations to support one cohort of graduates from failing or zone programs at public 2-year or least selective four-year institutions.  </w:t>
      </w:r>
    </w:p>
    <w:p w14:paraId="2957822C" w14:textId="1C73D3F1"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Other commenters referred to budget data related to the title IV, </w:t>
      </w:r>
      <w:r w:rsidR="0072431B" w:rsidRPr="0096107B">
        <w:rPr>
          <w:rFonts w:ascii="Courier New" w:eastAsia="Times New Roman" w:hAnsi="Courier New" w:cs="Courier New"/>
          <w:sz w:val="24"/>
          <w:szCs w:val="24"/>
        </w:rPr>
        <w:t>HEA</w:t>
      </w:r>
      <w:r w:rsidRPr="0096107B" w:rsidDel="00B73017">
        <w:rPr>
          <w:rFonts w:ascii="Courier New" w:eastAsia="Times New Roman" w:hAnsi="Courier New" w:cs="Courier New"/>
          <w:sz w:val="24"/>
          <w:szCs w:val="24"/>
        </w:rPr>
        <w:t xml:space="preserve"> programs to state that student loans do not constitute costs to taxpayers because the recovery rate for </w:t>
      </w:r>
      <w:r w:rsidR="0072431B" w:rsidRPr="0096107B">
        <w:rPr>
          <w:rFonts w:ascii="Courier New" w:eastAsia="Times New Roman" w:hAnsi="Courier New" w:cs="Courier New"/>
          <w:sz w:val="24"/>
          <w:szCs w:val="24"/>
        </w:rPr>
        <w:lastRenderedPageBreak/>
        <w:t>the</w:t>
      </w:r>
      <w:r w:rsidR="0072431B">
        <w:rPr>
          <w:rFonts w:ascii="Courier New" w:eastAsia="Times New Roman" w:hAnsi="Courier New" w:cs="Courier New"/>
          <w:sz w:val="24"/>
          <w:szCs w:val="24"/>
        </w:rPr>
        <w:t>se</w:t>
      </w:r>
      <w:r w:rsidRPr="0096107B" w:rsidDel="00B73017">
        <w:rPr>
          <w:rFonts w:ascii="Courier New" w:eastAsia="Times New Roman" w:hAnsi="Courier New" w:cs="Courier New"/>
          <w:sz w:val="24"/>
          <w:szCs w:val="24"/>
        </w:rPr>
        <w:t xml:space="preserve"> loans is over 100 percent, and asserted that any cost reductions in the title IV, HEA programs would be offset by reduced tax revenues at all levels of government and increased demand for capacity in the public sector.  Others noted a GAO Report indicating </w:t>
      </w:r>
      <w:r w:rsidR="0072431B" w:rsidRPr="0096107B">
        <w:rPr>
          <w:rFonts w:ascii="Courier New" w:eastAsia="Times New Roman" w:hAnsi="Courier New" w:cs="Courier New"/>
          <w:sz w:val="24"/>
          <w:szCs w:val="24"/>
        </w:rPr>
        <w:t>Federal</w:t>
      </w:r>
      <w:r w:rsidRPr="0096107B" w:rsidDel="00B73017">
        <w:rPr>
          <w:rFonts w:ascii="Courier New" w:eastAsia="Times New Roman" w:hAnsi="Courier New" w:cs="Courier New"/>
          <w:sz w:val="24"/>
          <w:szCs w:val="24"/>
        </w:rPr>
        <w:t xml:space="preserve"> student loans originated between 2007 and 2012 will bring in $66 billion in revenue and that Congressional Budget Office projections from 2013 </w:t>
      </w:r>
      <w:r w:rsidR="0072431B" w:rsidRPr="0096107B">
        <w:rPr>
          <w:rFonts w:ascii="Courier New" w:eastAsia="Times New Roman" w:hAnsi="Courier New" w:cs="Courier New"/>
          <w:sz w:val="24"/>
          <w:szCs w:val="24"/>
        </w:rPr>
        <w:t>indicate</w:t>
      </w:r>
      <w:r w:rsidRPr="0096107B" w:rsidDel="00B73017">
        <w:rPr>
          <w:rFonts w:ascii="Courier New" w:eastAsia="Times New Roman" w:hAnsi="Courier New" w:cs="Courier New"/>
          <w:sz w:val="24"/>
          <w:szCs w:val="24"/>
        </w:rPr>
        <w:t xml:space="preserve"> that loans originated in the next ten-year period would generate $185 billion.  Whether approaching the issue on a per-student, per-graduate, or overall taxpayer cost basis, the commenters stated that the rationale that the regulations will protect taxpayer interests does not withstand scrutiny. </w:t>
      </w:r>
    </w:p>
    <w:p w14:paraId="1D299DE4" w14:textId="229688AA"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One commenter said that the NPRM overstated the cost of for-profit institutions relative to public two-year institutions, because many programs </w:t>
      </w:r>
      <w:r w:rsidR="000F14F4" w:rsidDel="00B73017">
        <w:rPr>
          <w:rFonts w:ascii="Courier New" w:eastAsia="Times New Roman" w:hAnsi="Courier New" w:cs="Courier New"/>
          <w:sz w:val="24"/>
          <w:szCs w:val="24"/>
        </w:rPr>
        <w:t xml:space="preserve">at for-profit </w:t>
      </w:r>
      <w:r w:rsidR="0072431B">
        <w:rPr>
          <w:rFonts w:ascii="Courier New" w:eastAsia="Times New Roman" w:hAnsi="Courier New" w:cs="Courier New"/>
          <w:sz w:val="24"/>
          <w:szCs w:val="24"/>
        </w:rPr>
        <w:t>institutions</w:t>
      </w:r>
      <w:r w:rsidR="000F14F4"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offer advanced degrees and their students accrue more debt.  Other commenters said the Department ignores the comparable tuition costs of non-profit private institutions, which, like for-profit institutions, generally do not benefit from direct appropriations from State governments.</w:t>
      </w:r>
    </w:p>
    <w:p w14:paraId="325D7382" w14:textId="77777777" w:rsidR="000350D8" w:rsidDel="00B73017" w:rsidRDefault="0072431B"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color w:val="000000"/>
          <w:sz w:val="24"/>
          <w:szCs w:val="24"/>
        </w:rPr>
        <w:t>One</w:t>
      </w:r>
      <w:r w:rsidR="000350D8" w:rsidRPr="00157046" w:rsidDel="00B73017">
        <w:rPr>
          <w:rFonts w:ascii="Courier New" w:eastAsia="Times New Roman" w:hAnsi="Courier New" w:cs="Courier New"/>
          <w:color w:val="000000"/>
          <w:sz w:val="24"/>
          <w:szCs w:val="24"/>
        </w:rPr>
        <w:t xml:space="preserve"> commenter </w:t>
      </w:r>
      <w:r>
        <w:rPr>
          <w:rFonts w:ascii="Courier New" w:eastAsia="Times New Roman" w:hAnsi="Courier New" w:cs="Courier New"/>
          <w:color w:val="000000"/>
          <w:sz w:val="24"/>
          <w:szCs w:val="24"/>
        </w:rPr>
        <w:t>asserted</w:t>
      </w:r>
      <w:r w:rsidR="000350D8" w:rsidRPr="00157046" w:rsidDel="00B73017">
        <w:rPr>
          <w:rFonts w:ascii="Courier New" w:eastAsia="Times New Roman" w:hAnsi="Courier New" w:cs="Courier New"/>
          <w:color w:val="000000"/>
          <w:sz w:val="24"/>
          <w:szCs w:val="24"/>
        </w:rPr>
        <w:t xml:space="preserve"> that </w:t>
      </w:r>
      <w:r w:rsidR="001074D9" w:rsidDel="00B73017">
        <w:rPr>
          <w:rFonts w:ascii="Courier New" w:eastAsia="Times New Roman" w:hAnsi="Courier New" w:cs="Courier New"/>
          <w:color w:val="000000"/>
          <w:sz w:val="24"/>
          <w:szCs w:val="24"/>
        </w:rPr>
        <w:t xml:space="preserve">the 150 percent of normal time graduation rate for </w:t>
      </w:r>
      <w:r w:rsidR="000350D8" w:rsidRPr="00157046" w:rsidDel="00B73017">
        <w:rPr>
          <w:rFonts w:ascii="Courier New" w:eastAsia="Times New Roman" w:hAnsi="Courier New" w:cs="Courier New"/>
          <w:color w:val="000000"/>
          <w:sz w:val="24"/>
          <w:szCs w:val="24"/>
        </w:rPr>
        <w:t>p</w:t>
      </w:r>
      <w:r w:rsidR="000350D8" w:rsidDel="00B73017">
        <w:rPr>
          <w:rFonts w:ascii="Courier New" w:eastAsia="Times New Roman" w:hAnsi="Courier New" w:cs="Courier New"/>
          <w:color w:val="000000"/>
          <w:sz w:val="24"/>
          <w:szCs w:val="24"/>
        </w:rPr>
        <w:t xml:space="preserve">ublic </w:t>
      </w:r>
      <w:r w:rsidR="001074D9" w:rsidDel="00B73017">
        <w:rPr>
          <w:rFonts w:ascii="Courier New" w:eastAsia="Times New Roman" w:hAnsi="Courier New" w:cs="Courier New"/>
          <w:color w:val="000000"/>
          <w:sz w:val="24"/>
          <w:szCs w:val="24"/>
        </w:rPr>
        <w:t xml:space="preserve">and private non-profit </w:t>
      </w:r>
      <w:r w:rsidR="000350D8" w:rsidDel="00B73017">
        <w:rPr>
          <w:rFonts w:ascii="Courier New" w:eastAsia="Times New Roman" w:hAnsi="Courier New" w:cs="Courier New"/>
          <w:color w:val="000000"/>
          <w:sz w:val="24"/>
          <w:szCs w:val="24"/>
        </w:rPr>
        <w:t>open</w:t>
      </w:r>
      <w:r w:rsidR="000350D8" w:rsidRPr="00157046" w:rsidDel="00B73017">
        <w:rPr>
          <w:rFonts w:ascii="Cambria Math" w:eastAsia="Times New Roman" w:hAnsi="Cambria Math" w:cs="Cambria Math"/>
          <w:color w:val="000000"/>
          <w:sz w:val="24"/>
          <w:szCs w:val="24"/>
        </w:rPr>
        <w:t>‐</w:t>
      </w:r>
      <w:r w:rsidR="000350D8" w:rsidRPr="00157046" w:rsidDel="00B73017">
        <w:rPr>
          <w:rFonts w:ascii="Courier New" w:eastAsia="Times New Roman" w:hAnsi="Courier New" w:cs="Courier New"/>
          <w:color w:val="000000"/>
          <w:sz w:val="24"/>
          <w:szCs w:val="24"/>
        </w:rPr>
        <w:t xml:space="preserve">enrollment colleges </w:t>
      </w:r>
      <w:r>
        <w:rPr>
          <w:rFonts w:ascii="Courier New" w:eastAsia="Times New Roman" w:hAnsi="Courier New" w:cs="Courier New"/>
          <w:color w:val="000000"/>
          <w:sz w:val="24"/>
          <w:szCs w:val="24"/>
        </w:rPr>
        <w:t>is</w:t>
      </w:r>
      <w:r w:rsidR="000350D8" w:rsidRPr="00157046" w:rsidDel="00B73017">
        <w:rPr>
          <w:rFonts w:ascii="Courier New" w:eastAsia="Times New Roman" w:hAnsi="Courier New" w:cs="Courier New"/>
          <w:color w:val="000000"/>
          <w:sz w:val="24"/>
          <w:szCs w:val="24"/>
        </w:rPr>
        <w:t xml:space="preserve"> 28.3 percent </w:t>
      </w:r>
      <w:r>
        <w:rPr>
          <w:rFonts w:ascii="Courier New" w:eastAsia="Times New Roman" w:hAnsi="Courier New" w:cs="Courier New"/>
          <w:color w:val="000000"/>
          <w:sz w:val="24"/>
          <w:szCs w:val="24"/>
        </w:rPr>
        <w:t xml:space="preserve">and </w:t>
      </w:r>
      <w:r w:rsidR="000350D8" w:rsidDel="00B73017">
        <w:rPr>
          <w:rFonts w:ascii="Courier New" w:eastAsia="Times New Roman" w:hAnsi="Courier New" w:cs="Courier New"/>
          <w:color w:val="000000"/>
          <w:sz w:val="24"/>
          <w:szCs w:val="24"/>
        </w:rPr>
        <w:t>39.7 percent</w:t>
      </w:r>
      <w:r w:rsidR="00A0425C" w:rsidDel="00B73017">
        <w:rPr>
          <w:rFonts w:ascii="Courier New" w:eastAsia="Times New Roman" w:hAnsi="Courier New" w:cs="Courier New"/>
          <w:color w:val="000000"/>
          <w:sz w:val="24"/>
          <w:szCs w:val="24"/>
        </w:rPr>
        <w:t xml:space="preserve"> </w:t>
      </w:r>
      <w:r w:rsidR="001074D9" w:rsidDel="00B73017">
        <w:rPr>
          <w:rFonts w:ascii="Courier New" w:eastAsia="Times New Roman" w:hAnsi="Courier New" w:cs="Courier New"/>
          <w:color w:val="000000"/>
          <w:sz w:val="24"/>
          <w:szCs w:val="24"/>
        </w:rPr>
        <w:t xml:space="preserve">respectively while </w:t>
      </w:r>
      <w:r>
        <w:rPr>
          <w:rFonts w:ascii="Courier New" w:eastAsia="Times New Roman" w:hAnsi="Courier New" w:cs="Courier New"/>
          <w:color w:val="000000"/>
          <w:sz w:val="24"/>
          <w:szCs w:val="24"/>
        </w:rPr>
        <w:t>for</w:t>
      </w:r>
      <w:r w:rsidR="000350D8" w:rsidRPr="00157046" w:rsidDel="00B73017">
        <w:rPr>
          <w:rFonts w:ascii="Cambria Math" w:eastAsia="Times New Roman" w:hAnsi="Cambria Math" w:cs="Cambria Math"/>
          <w:color w:val="000000"/>
          <w:sz w:val="24"/>
          <w:szCs w:val="24"/>
        </w:rPr>
        <w:t>‐</w:t>
      </w:r>
      <w:r w:rsidR="000350D8" w:rsidRPr="00157046" w:rsidDel="00B73017">
        <w:rPr>
          <w:rFonts w:ascii="Courier New" w:eastAsia="Times New Roman" w:hAnsi="Courier New" w:cs="Courier New"/>
          <w:color w:val="000000"/>
          <w:sz w:val="24"/>
          <w:szCs w:val="24"/>
        </w:rPr>
        <w:t>profit colleges graduated 35.2 percent of students within 150</w:t>
      </w:r>
      <w:r w:rsidR="001074D9" w:rsidDel="00B73017">
        <w:rPr>
          <w:rFonts w:ascii="Courier New" w:eastAsia="Times New Roman" w:hAnsi="Courier New" w:cs="Courier New"/>
          <w:color w:val="000000"/>
          <w:sz w:val="24"/>
          <w:szCs w:val="24"/>
        </w:rPr>
        <w:t xml:space="preserve"> </w:t>
      </w:r>
      <w:r w:rsidR="001074D9" w:rsidDel="00B73017">
        <w:rPr>
          <w:rFonts w:ascii="Courier New" w:eastAsia="Times New Roman" w:hAnsi="Courier New" w:cs="Courier New"/>
          <w:color w:val="000000"/>
          <w:sz w:val="24"/>
          <w:szCs w:val="24"/>
        </w:rPr>
        <w:lastRenderedPageBreak/>
        <w:t>percent</w:t>
      </w:r>
      <w:r w:rsidR="000350D8" w:rsidRPr="00157046" w:rsidDel="00B73017">
        <w:rPr>
          <w:rFonts w:ascii="Courier New" w:eastAsia="Times New Roman" w:hAnsi="Courier New" w:cs="Courier New"/>
          <w:color w:val="000000"/>
          <w:sz w:val="24"/>
          <w:szCs w:val="24"/>
        </w:rPr>
        <w:t xml:space="preserve"> of normal time. Additionally, </w:t>
      </w:r>
      <w:r w:rsidR="001074D9" w:rsidDel="00B73017">
        <w:rPr>
          <w:rFonts w:ascii="Courier New" w:eastAsia="Times New Roman" w:hAnsi="Courier New" w:cs="Courier New"/>
          <w:color w:val="000000"/>
          <w:sz w:val="24"/>
          <w:szCs w:val="24"/>
        </w:rPr>
        <w:t xml:space="preserve">the commenter contended, </w:t>
      </w:r>
      <w:r w:rsidR="000350D8" w:rsidRPr="00157046" w:rsidDel="00B73017">
        <w:rPr>
          <w:rFonts w:ascii="Courier New" w:eastAsia="Times New Roman" w:hAnsi="Courier New" w:cs="Courier New"/>
          <w:color w:val="000000"/>
          <w:sz w:val="24"/>
          <w:szCs w:val="24"/>
        </w:rPr>
        <w:t>more t</w:t>
      </w:r>
      <w:r w:rsidR="000350D8" w:rsidDel="00B73017">
        <w:rPr>
          <w:rFonts w:ascii="Courier New" w:eastAsia="Times New Roman" w:hAnsi="Courier New" w:cs="Courier New"/>
          <w:color w:val="000000"/>
          <w:sz w:val="24"/>
          <w:szCs w:val="24"/>
        </w:rPr>
        <w:t>han half (55.7 percent) of for-</w:t>
      </w:r>
      <w:r w:rsidR="000350D8" w:rsidRPr="00157046" w:rsidDel="00B73017">
        <w:rPr>
          <w:rFonts w:ascii="Courier New" w:eastAsia="Times New Roman" w:hAnsi="Courier New" w:cs="Courier New"/>
          <w:color w:val="000000"/>
          <w:sz w:val="24"/>
          <w:szCs w:val="24"/>
        </w:rPr>
        <w:t xml:space="preserve">profit colleges were open </w:t>
      </w:r>
      <w:r w:rsidR="000350D8" w:rsidDel="00B73017">
        <w:rPr>
          <w:rFonts w:ascii="Courier New" w:eastAsia="Times New Roman" w:hAnsi="Courier New" w:cs="Courier New"/>
          <w:color w:val="000000"/>
          <w:sz w:val="24"/>
          <w:szCs w:val="24"/>
        </w:rPr>
        <w:t>enrollment institutions in 2011-</w:t>
      </w:r>
      <w:r w:rsidR="000350D8" w:rsidRPr="00157046" w:rsidDel="00B73017">
        <w:rPr>
          <w:rFonts w:ascii="Courier New" w:eastAsia="Times New Roman" w:hAnsi="Courier New" w:cs="Courier New"/>
          <w:color w:val="000000"/>
          <w:sz w:val="24"/>
          <w:szCs w:val="24"/>
        </w:rPr>
        <w:t>12, compared to less than 18 percent of publi</w:t>
      </w:r>
      <w:r w:rsidR="000350D8" w:rsidDel="00B73017">
        <w:rPr>
          <w:rFonts w:ascii="Courier New" w:eastAsia="Times New Roman" w:hAnsi="Courier New" w:cs="Courier New"/>
          <w:color w:val="000000"/>
          <w:sz w:val="24"/>
          <w:szCs w:val="24"/>
        </w:rPr>
        <w:t>c and 12 percent of private not</w:t>
      </w:r>
      <w:r w:rsidR="000350D8" w:rsidRPr="00157046" w:rsidDel="00B73017">
        <w:rPr>
          <w:rFonts w:ascii="Cambria Math" w:eastAsia="Times New Roman" w:hAnsi="Cambria Math" w:cs="Cambria Math"/>
          <w:color w:val="000000"/>
          <w:sz w:val="24"/>
          <w:szCs w:val="24"/>
        </w:rPr>
        <w:t>‐</w:t>
      </w:r>
      <w:r w:rsidR="000350D8" w:rsidDel="00B73017">
        <w:rPr>
          <w:rFonts w:ascii="Courier New" w:eastAsia="Times New Roman" w:hAnsi="Courier New" w:cs="Courier New"/>
          <w:color w:val="000000"/>
          <w:sz w:val="24"/>
          <w:szCs w:val="24"/>
        </w:rPr>
        <w:t>for</w:t>
      </w:r>
      <w:r w:rsidR="000350D8" w:rsidRPr="00157046" w:rsidDel="00B73017">
        <w:rPr>
          <w:rFonts w:ascii="Cambria Math" w:eastAsia="Times New Roman" w:hAnsi="Cambria Math" w:cs="Cambria Math"/>
          <w:color w:val="000000"/>
          <w:sz w:val="24"/>
          <w:szCs w:val="24"/>
        </w:rPr>
        <w:t>‐</w:t>
      </w:r>
      <w:r w:rsidR="000350D8" w:rsidRPr="00157046" w:rsidDel="00B73017">
        <w:rPr>
          <w:rFonts w:ascii="Courier New" w:eastAsia="Times New Roman" w:hAnsi="Courier New" w:cs="Courier New"/>
          <w:color w:val="000000"/>
          <w:sz w:val="24"/>
          <w:szCs w:val="24"/>
        </w:rPr>
        <w:t xml:space="preserve">profit schools. </w:t>
      </w:r>
      <w:r w:rsidR="000350D8" w:rsidDel="00B73017">
        <w:rPr>
          <w:rFonts w:ascii="Courier New" w:eastAsia="Times New Roman" w:hAnsi="Courier New" w:cs="Courier New"/>
          <w:color w:val="000000"/>
          <w:sz w:val="24"/>
          <w:szCs w:val="24"/>
        </w:rPr>
        <w:t xml:space="preserve">Based on these findings, the commenter </w:t>
      </w:r>
      <w:r>
        <w:rPr>
          <w:rFonts w:ascii="Courier New" w:eastAsia="Times New Roman" w:hAnsi="Courier New" w:cs="Courier New"/>
          <w:color w:val="000000"/>
          <w:sz w:val="24"/>
          <w:szCs w:val="24"/>
        </w:rPr>
        <w:t>argued</w:t>
      </w:r>
      <w:r w:rsidR="000350D8" w:rsidDel="00B73017">
        <w:rPr>
          <w:rFonts w:ascii="Courier New" w:eastAsia="Times New Roman" w:hAnsi="Courier New" w:cs="Courier New"/>
          <w:color w:val="000000"/>
          <w:sz w:val="24"/>
          <w:szCs w:val="24"/>
        </w:rPr>
        <w:t xml:space="preserve"> that w</w:t>
      </w:r>
      <w:r w:rsidR="000350D8" w:rsidRPr="00157046" w:rsidDel="00B73017">
        <w:rPr>
          <w:rFonts w:ascii="Courier New" w:eastAsia="Times New Roman" w:hAnsi="Courier New" w:cs="Courier New"/>
          <w:color w:val="000000"/>
          <w:sz w:val="24"/>
          <w:szCs w:val="24"/>
        </w:rPr>
        <w:t>hile the fo</w:t>
      </w:r>
      <w:r w:rsidR="000350D8" w:rsidDel="00B73017">
        <w:rPr>
          <w:rFonts w:ascii="Courier New" w:eastAsia="Times New Roman" w:hAnsi="Courier New" w:cs="Courier New"/>
          <w:color w:val="000000"/>
          <w:sz w:val="24"/>
          <w:szCs w:val="24"/>
        </w:rPr>
        <w:t>r</w:t>
      </w:r>
      <w:r w:rsidR="000350D8" w:rsidRPr="00157046" w:rsidDel="00B73017">
        <w:rPr>
          <w:rFonts w:ascii="Cambria Math" w:eastAsia="Times New Roman" w:hAnsi="Cambria Math" w:cs="Cambria Math"/>
          <w:color w:val="000000"/>
          <w:sz w:val="24"/>
          <w:szCs w:val="24"/>
        </w:rPr>
        <w:t>‐</w:t>
      </w:r>
      <w:r w:rsidR="000350D8" w:rsidRPr="00157046" w:rsidDel="00B73017">
        <w:rPr>
          <w:rFonts w:ascii="Courier New" w:eastAsia="Times New Roman" w:hAnsi="Courier New" w:cs="Courier New"/>
          <w:color w:val="000000"/>
          <w:sz w:val="24"/>
          <w:szCs w:val="24"/>
        </w:rPr>
        <w:t>profit graduation rate is lower than the average of all public and private nonprofit institutions, it is high</w:t>
      </w:r>
      <w:r w:rsidR="000350D8" w:rsidDel="00B73017">
        <w:rPr>
          <w:rFonts w:ascii="Courier New" w:eastAsia="Times New Roman" w:hAnsi="Courier New" w:cs="Courier New"/>
          <w:color w:val="000000"/>
          <w:sz w:val="24"/>
          <w:szCs w:val="24"/>
        </w:rPr>
        <w:t>er than the average of all open</w:t>
      </w:r>
      <w:r w:rsidR="000350D8" w:rsidRPr="00157046" w:rsidDel="00B73017">
        <w:rPr>
          <w:rFonts w:ascii="Cambria Math" w:eastAsia="Times New Roman" w:hAnsi="Cambria Math" w:cs="Cambria Math"/>
          <w:color w:val="000000"/>
          <w:sz w:val="24"/>
          <w:szCs w:val="24"/>
        </w:rPr>
        <w:t>‐</w:t>
      </w:r>
      <w:r w:rsidR="000350D8" w:rsidRPr="00157046" w:rsidDel="00B73017">
        <w:rPr>
          <w:rFonts w:ascii="Courier New" w:eastAsia="Times New Roman" w:hAnsi="Courier New" w:cs="Courier New"/>
          <w:color w:val="000000"/>
          <w:sz w:val="24"/>
          <w:szCs w:val="24"/>
        </w:rPr>
        <w:t xml:space="preserve">enrollment public and private </w:t>
      </w:r>
      <w:r w:rsidR="000350D8" w:rsidDel="00B73017">
        <w:rPr>
          <w:rFonts w:ascii="Courier New" w:eastAsia="Times New Roman" w:hAnsi="Courier New" w:cs="Courier New"/>
          <w:color w:val="000000"/>
          <w:sz w:val="24"/>
          <w:szCs w:val="24"/>
        </w:rPr>
        <w:t>nonprofit institutions, which</w:t>
      </w:r>
      <w:r w:rsidR="000350D8" w:rsidRPr="00157046" w:rsidDel="00B73017">
        <w:rPr>
          <w:rFonts w:ascii="Courier New" w:eastAsia="Times New Roman" w:hAnsi="Courier New" w:cs="Courier New"/>
          <w:color w:val="000000"/>
          <w:sz w:val="24"/>
          <w:szCs w:val="24"/>
        </w:rPr>
        <w:t xml:space="preserve"> the commenter stated is likely to be a more appropriate comparison group.</w:t>
      </w:r>
    </w:p>
    <w:p w14:paraId="609AE761" w14:textId="0AE8DD5B"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Several commenters claimed that the Department’s reference in the NPRM to </w:t>
      </w:r>
      <w:r w:rsidRPr="0096107B" w:rsidDel="00B73017">
        <w:rPr>
          <w:rFonts w:ascii="Courier New" w:eastAsia="Times New Roman" w:hAnsi="Courier New" w:cs="Courier New"/>
          <w:i/>
          <w:sz w:val="24"/>
          <w:szCs w:val="24"/>
        </w:rPr>
        <w:t>qui tam</w:t>
      </w:r>
      <w:r w:rsidRPr="0096107B" w:rsidDel="00B73017">
        <w:rPr>
          <w:rFonts w:ascii="Courier New" w:eastAsia="Times New Roman" w:hAnsi="Courier New" w:cs="Courier New"/>
          <w:sz w:val="24"/>
          <w:szCs w:val="24"/>
        </w:rPr>
        <w:t xml:space="preserve"> lawsuits and State Attorneys General investigations into for-profit institutions evidence bias.  In particular, commenters suggested such investigations were politically driven, based on bad-faith attacks, and failed to produce evidence of wrongdoing.  </w:t>
      </w:r>
    </w:p>
    <w:p w14:paraId="31AB4CE1" w14:textId="65DEC918"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Some commenters said the Department’s reference in the NPRM to a GAO report on the for-profit sector also demonstrates bias against for-profit institutions.  Commenters asserted that the GAO investigation in particular </w:t>
      </w:r>
      <w:r w:rsidR="009409DD" w:rsidDel="00B73017">
        <w:rPr>
          <w:rFonts w:ascii="Courier New" w:eastAsia="Times New Roman" w:hAnsi="Courier New" w:cs="Courier New"/>
          <w:sz w:val="24"/>
          <w:szCs w:val="24"/>
        </w:rPr>
        <w:t>contained</w:t>
      </w:r>
      <w:r w:rsidRPr="0096107B" w:rsidDel="00B73017">
        <w:rPr>
          <w:rFonts w:ascii="Courier New" w:eastAsia="Times New Roman" w:hAnsi="Courier New" w:cs="Courier New"/>
          <w:sz w:val="24"/>
          <w:szCs w:val="24"/>
        </w:rPr>
        <w:t xml:space="preserve"> errors and relied on false testimony, which required the GAO to correct and reissue </w:t>
      </w:r>
      <w:r w:rsidRPr="0096107B" w:rsidDel="00B73017">
        <w:rPr>
          <w:rFonts w:ascii="Courier New" w:eastAsia="Times New Roman" w:hAnsi="Courier New" w:cs="Courier New"/>
          <w:sz w:val="24"/>
          <w:szCs w:val="24"/>
        </w:rPr>
        <w:lastRenderedPageBreak/>
        <w:t>its report.</w:t>
      </w:r>
      <w:r w:rsidRPr="0096107B" w:rsidDel="00B73017">
        <w:rPr>
          <w:rFonts w:ascii="Courier New" w:eastAsia="Times New Roman" w:hAnsi="Courier New" w:cs="Courier New"/>
          <w:sz w:val="24"/>
          <w:szCs w:val="24"/>
          <w:vertAlign w:val="superscript"/>
        </w:rPr>
        <w:footnoteReference w:id="10"/>
      </w:r>
      <w:r w:rsidRPr="0096107B" w:rsidDel="00B73017">
        <w:rPr>
          <w:rFonts w:ascii="Courier New" w:eastAsia="Times New Roman" w:hAnsi="Courier New" w:cs="Courier New"/>
          <w:sz w:val="24"/>
          <w:szCs w:val="24"/>
        </w:rPr>
        <w:t xml:space="preserve">  Commenters said it was also inappropriate for the Department to rely on what the commenter</w:t>
      </w:r>
      <w:r w:rsidR="003A30FA" w:rsidDel="00B73017">
        <w:rPr>
          <w:rFonts w:ascii="Courier New" w:eastAsia="Times New Roman" w:hAnsi="Courier New" w:cs="Courier New"/>
          <w:sz w:val="24"/>
          <w:szCs w:val="24"/>
        </w:rPr>
        <w:t>s</w:t>
      </w:r>
      <w:r w:rsidRPr="0096107B" w:rsidDel="00B73017">
        <w:rPr>
          <w:rFonts w:ascii="Courier New" w:eastAsia="Times New Roman" w:hAnsi="Courier New" w:cs="Courier New"/>
          <w:sz w:val="24"/>
          <w:szCs w:val="24"/>
        </w:rPr>
        <w:t xml:space="preserve"> called a </w:t>
      </w:r>
      <w:r w:rsidR="009409DD" w:rsidDel="00B73017">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deeply flawed</w:t>
      </w:r>
      <w:r w:rsidR="009409DD" w:rsidDel="00B73017">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 partisan report by the Senate HELP committee majority staff, because the report partially relied on evidence presented in the GAO report, was actually issued by the committee majority staff for the committee, and was not adopted by vote of the whole committee.</w:t>
      </w:r>
      <w:r w:rsidRPr="0096107B" w:rsidDel="00B73017">
        <w:rPr>
          <w:rFonts w:ascii="Courier New" w:eastAsia="Times New Roman" w:hAnsi="Courier New" w:cs="Courier New"/>
          <w:sz w:val="24"/>
          <w:szCs w:val="24"/>
          <w:vertAlign w:val="superscript"/>
        </w:rPr>
        <w:footnoteReference w:id="11"/>
      </w:r>
      <w:r w:rsidRPr="0096107B" w:rsidDel="00B73017">
        <w:rPr>
          <w:rFonts w:ascii="Courier New" w:eastAsia="Times New Roman" w:hAnsi="Courier New" w:cs="Courier New"/>
          <w:sz w:val="24"/>
          <w:szCs w:val="24"/>
        </w:rPr>
        <w:t xml:space="preserve"> </w:t>
      </w:r>
    </w:p>
    <w:p w14:paraId="13B12902" w14:textId="073E3CB8"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On the other hand, several commenters suggested that the Department should focus regulatory efforts on for-profit institutions because they have been engaged in predatory recruitment practices that hurt students and divert taxpayer funds away from higher-quality education programs.  One commenter said that for-</w:t>
      </w:r>
      <w:r w:rsidR="0072431B" w:rsidRPr="0096107B">
        <w:rPr>
          <w:rFonts w:ascii="Courier New" w:eastAsia="Times New Roman" w:hAnsi="Courier New" w:cs="Courier New"/>
          <w:sz w:val="24"/>
          <w:szCs w:val="24"/>
        </w:rPr>
        <w:t>profit</w:t>
      </w:r>
      <w:r w:rsidRPr="0096107B" w:rsidDel="00B73017">
        <w:rPr>
          <w:rFonts w:ascii="Courier New" w:eastAsia="Times New Roman" w:hAnsi="Courier New" w:cs="Courier New"/>
          <w:sz w:val="24"/>
          <w:szCs w:val="24"/>
        </w:rPr>
        <w:t xml:space="preserve"> </w:t>
      </w:r>
      <w:r w:rsidR="000F14F4" w:rsidDel="00B73017">
        <w:rPr>
          <w:rFonts w:ascii="Courier New" w:eastAsia="Times New Roman" w:hAnsi="Courier New" w:cs="Courier New"/>
          <w:sz w:val="24"/>
          <w:szCs w:val="24"/>
        </w:rPr>
        <w:t>institutions</w:t>
      </w:r>
      <w:r w:rsidRPr="0096107B" w:rsidDel="00B73017">
        <w:rPr>
          <w:rFonts w:ascii="Courier New" w:eastAsia="Times New Roman" w:hAnsi="Courier New" w:cs="Courier New"/>
          <w:sz w:val="24"/>
          <w:szCs w:val="24"/>
        </w:rPr>
        <w:t xml:space="preserve"> increased recruiting of veterans by over 200 percent in just one year.  Many commenters described the disproportionate distribution of government benefits to the for-profit sector, contending that for-</w:t>
      </w:r>
      <w:r w:rsidR="0072431B" w:rsidRPr="0096107B">
        <w:rPr>
          <w:rFonts w:ascii="Courier New" w:eastAsia="Times New Roman" w:hAnsi="Courier New" w:cs="Courier New"/>
          <w:sz w:val="24"/>
          <w:szCs w:val="24"/>
        </w:rPr>
        <w:t>profit</w:t>
      </w:r>
      <w:r w:rsidR="0072431B">
        <w:rPr>
          <w:rFonts w:ascii="Courier New" w:eastAsia="Times New Roman" w:hAnsi="Courier New" w:cs="Courier New"/>
          <w:sz w:val="24"/>
          <w:szCs w:val="24"/>
        </w:rPr>
        <w:t xml:space="preserve"> institutions</w:t>
      </w:r>
      <w:r w:rsidRPr="0096107B" w:rsidDel="00B73017">
        <w:rPr>
          <w:rFonts w:ascii="Courier New" w:eastAsia="Times New Roman" w:hAnsi="Courier New" w:cs="Courier New"/>
          <w:sz w:val="24"/>
          <w:szCs w:val="24"/>
        </w:rPr>
        <w:t xml:space="preserve"> enroll only 10 percent of students, but account for 25 percent of Pell Grants and Stafford loan volume and account for half of defaults; that for-profit schools collected more than one-third of all G.I. Bill funds, but trained only 25 percent of veterans, while public colleges and </w:t>
      </w:r>
      <w:r w:rsidRPr="0096107B" w:rsidDel="00B73017">
        <w:rPr>
          <w:rFonts w:ascii="Courier New" w:eastAsia="Times New Roman" w:hAnsi="Courier New" w:cs="Courier New"/>
          <w:sz w:val="24"/>
          <w:szCs w:val="24"/>
        </w:rPr>
        <w:lastRenderedPageBreak/>
        <w:t xml:space="preserve">universities received only 40 percent of G.I. Bill benefits but trained 59 percent of veterans; and that for-profit colleges cost taxpayers twice the tuition as non-profits.  Several commenters described the high proportion of students who </w:t>
      </w:r>
      <w:r w:rsidR="0072431B" w:rsidRPr="0096107B">
        <w:rPr>
          <w:rFonts w:ascii="Courier New" w:eastAsia="Times New Roman" w:hAnsi="Courier New" w:cs="Courier New"/>
          <w:sz w:val="24"/>
          <w:szCs w:val="24"/>
        </w:rPr>
        <w:t>drop</w:t>
      </w:r>
      <w:r w:rsidRPr="0096107B" w:rsidDel="00B73017">
        <w:rPr>
          <w:rFonts w:ascii="Courier New" w:eastAsia="Times New Roman" w:hAnsi="Courier New" w:cs="Courier New"/>
          <w:sz w:val="24"/>
          <w:szCs w:val="24"/>
        </w:rPr>
        <w:t xml:space="preserve"> out </w:t>
      </w:r>
      <w:r w:rsidR="000F14F4" w:rsidDel="00B73017">
        <w:rPr>
          <w:rFonts w:ascii="Courier New" w:eastAsia="Times New Roman" w:hAnsi="Courier New" w:cs="Courier New"/>
          <w:sz w:val="24"/>
          <w:szCs w:val="24"/>
        </w:rPr>
        <w:t xml:space="preserve">of </w:t>
      </w:r>
      <w:r w:rsidRPr="0096107B" w:rsidDel="00B73017">
        <w:rPr>
          <w:rFonts w:ascii="Courier New" w:eastAsia="Times New Roman" w:hAnsi="Courier New" w:cs="Courier New"/>
          <w:sz w:val="24"/>
          <w:szCs w:val="24"/>
        </w:rPr>
        <w:t xml:space="preserve">or </w:t>
      </w:r>
      <w:r w:rsidR="0072431B" w:rsidRPr="0096107B">
        <w:rPr>
          <w:rFonts w:ascii="Courier New" w:eastAsia="Times New Roman" w:hAnsi="Courier New" w:cs="Courier New"/>
          <w:sz w:val="24"/>
          <w:szCs w:val="24"/>
        </w:rPr>
        <w:t>withdraw</w:t>
      </w:r>
      <w:r w:rsidRPr="0096107B" w:rsidDel="00B73017">
        <w:rPr>
          <w:rFonts w:ascii="Courier New" w:eastAsia="Times New Roman" w:hAnsi="Courier New" w:cs="Courier New"/>
          <w:sz w:val="24"/>
          <w:szCs w:val="24"/>
        </w:rPr>
        <w:t xml:space="preserve"> from </w:t>
      </w:r>
      <w:r w:rsidR="000F14F4" w:rsidDel="00B73017">
        <w:rPr>
          <w:rFonts w:ascii="Courier New" w:eastAsia="Times New Roman" w:hAnsi="Courier New" w:cs="Courier New"/>
          <w:sz w:val="24"/>
          <w:szCs w:val="24"/>
        </w:rPr>
        <w:t xml:space="preserve">programs at </w:t>
      </w:r>
      <w:r w:rsidRPr="0096107B" w:rsidDel="00B73017">
        <w:rPr>
          <w:rFonts w:ascii="Courier New" w:eastAsia="Times New Roman" w:hAnsi="Courier New" w:cs="Courier New"/>
          <w:sz w:val="24"/>
          <w:szCs w:val="24"/>
        </w:rPr>
        <w:t xml:space="preserve">for-profit </w:t>
      </w:r>
      <w:r w:rsidR="0072431B">
        <w:rPr>
          <w:rFonts w:ascii="Courier New" w:eastAsia="Times New Roman" w:hAnsi="Courier New" w:cs="Courier New"/>
          <w:sz w:val="24"/>
          <w:szCs w:val="24"/>
        </w:rPr>
        <w:t>institutions</w:t>
      </w:r>
      <w:r w:rsidR="0072431B"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about half of students who </w:t>
      </w:r>
      <w:r w:rsidR="0072431B" w:rsidRPr="0096107B">
        <w:rPr>
          <w:rFonts w:ascii="Courier New" w:eastAsia="Times New Roman" w:hAnsi="Courier New" w:cs="Courier New"/>
          <w:sz w:val="24"/>
          <w:szCs w:val="24"/>
        </w:rPr>
        <w:t>enroll</w:t>
      </w:r>
      <w:r w:rsidRPr="0096107B" w:rsidDel="00B73017">
        <w:rPr>
          <w:rFonts w:ascii="Courier New" w:eastAsia="Times New Roman" w:hAnsi="Courier New" w:cs="Courier New"/>
          <w:sz w:val="24"/>
          <w:szCs w:val="24"/>
        </w:rPr>
        <w:t xml:space="preserve">. </w:t>
      </w:r>
    </w:p>
    <w:p w14:paraId="0E7F0054" w14:textId="3E0369A3"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On the other hand, several commenters </w:t>
      </w:r>
      <w:r w:rsidR="00957E7A" w:rsidDel="00B73017">
        <w:rPr>
          <w:rFonts w:ascii="Courier New" w:eastAsia="Times New Roman" w:hAnsi="Courier New" w:cs="Courier New"/>
          <w:sz w:val="24"/>
          <w:szCs w:val="24"/>
        </w:rPr>
        <w:t>cited</w:t>
      </w:r>
      <w:r w:rsidRPr="0096107B" w:rsidDel="00B73017">
        <w:rPr>
          <w:rFonts w:ascii="Courier New" w:eastAsia="Times New Roman" w:hAnsi="Courier New" w:cs="Courier New"/>
          <w:sz w:val="24"/>
          <w:szCs w:val="24"/>
        </w:rPr>
        <w:t xml:space="preserve"> an analysis of IPEDS data </w:t>
      </w:r>
      <w:r w:rsidR="009409DD" w:rsidDel="00B73017">
        <w:rPr>
          <w:rFonts w:ascii="Courier New" w:eastAsia="Times New Roman" w:hAnsi="Courier New" w:cs="Courier New"/>
          <w:sz w:val="24"/>
          <w:szCs w:val="24"/>
        </w:rPr>
        <w:t xml:space="preserve">by Charles River Associates </w:t>
      </w:r>
      <w:r w:rsidRPr="0096107B" w:rsidDel="00B73017">
        <w:rPr>
          <w:rFonts w:ascii="Courier New" w:eastAsia="Times New Roman" w:hAnsi="Courier New" w:cs="Courier New"/>
          <w:sz w:val="24"/>
          <w:szCs w:val="24"/>
        </w:rPr>
        <w:t xml:space="preserve">that found that the difference in FY 2010 institutional cohort </w:t>
      </w:r>
      <w:r w:rsidR="0072431B" w:rsidRPr="0096107B">
        <w:rPr>
          <w:rFonts w:ascii="Courier New" w:eastAsia="Times New Roman" w:hAnsi="Courier New" w:cs="Courier New"/>
          <w:sz w:val="24"/>
          <w:szCs w:val="24"/>
        </w:rPr>
        <w:t>default</w:t>
      </w:r>
      <w:r w:rsidRPr="0096107B" w:rsidDel="00B73017">
        <w:rPr>
          <w:rFonts w:ascii="Courier New" w:eastAsia="Times New Roman" w:hAnsi="Courier New" w:cs="Courier New"/>
          <w:sz w:val="24"/>
          <w:szCs w:val="24"/>
        </w:rPr>
        <w:t xml:space="preserve"> rates (iCDR) </w:t>
      </w:r>
      <w:r w:rsidR="0072431B">
        <w:rPr>
          <w:rFonts w:ascii="Courier New" w:eastAsia="Times New Roman" w:hAnsi="Courier New" w:cs="Courier New"/>
          <w:sz w:val="24"/>
          <w:szCs w:val="24"/>
        </w:rPr>
        <w:t>among</w:t>
      </w:r>
      <w:r w:rsidRPr="0096107B" w:rsidDel="00B73017">
        <w:rPr>
          <w:rFonts w:ascii="Courier New" w:eastAsia="Times New Roman" w:hAnsi="Courier New" w:cs="Courier New"/>
          <w:sz w:val="24"/>
          <w:szCs w:val="24"/>
        </w:rPr>
        <w:t xml:space="preserve"> for-profit (22 percent), private non-profit (8 percent), and public (13 percent) institutions was significantly reduced when institutions were grouped into two categories of Pell </w:t>
      </w:r>
      <w:r w:rsidR="000F14F4" w:rsidDel="00B73017">
        <w:rPr>
          <w:rFonts w:ascii="Courier New" w:eastAsia="Times New Roman" w:hAnsi="Courier New" w:cs="Courier New"/>
          <w:sz w:val="24"/>
          <w:szCs w:val="24"/>
        </w:rPr>
        <w:t xml:space="preserve">Grant </w:t>
      </w:r>
      <w:r w:rsidRPr="0096107B" w:rsidDel="00B73017">
        <w:rPr>
          <w:rFonts w:ascii="Courier New" w:eastAsia="Times New Roman" w:hAnsi="Courier New" w:cs="Courier New"/>
          <w:sz w:val="24"/>
          <w:szCs w:val="24"/>
        </w:rPr>
        <w:t xml:space="preserve">recipient concentration.  The High Pell group had at least 50 percent of students receiving Pell Grants and the Low Pell group had less than 50 percent of students with Pell Grants.  </w:t>
      </w:r>
      <w:r w:rsidR="0072431B">
        <w:rPr>
          <w:rFonts w:ascii="Courier New" w:eastAsia="Times New Roman" w:hAnsi="Courier New" w:cs="Courier New"/>
          <w:sz w:val="24"/>
          <w:szCs w:val="24"/>
        </w:rPr>
        <w:t>The</w:t>
      </w:r>
      <w:r w:rsidR="00957E7A" w:rsidDel="00B73017">
        <w:rPr>
          <w:rFonts w:ascii="Courier New" w:eastAsia="Times New Roman" w:hAnsi="Courier New" w:cs="Courier New"/>
          <w:sz w:val="24"/>
          <w:szCs w:val="24"/>
        </w:rPr>
        <w:t xml:space="preserve"> Charles River Associates analysis found that </w:t>
      </w:r>
      <w:r w:rsidR="0072431B">
        <w:rPr>
          <w:rFonts w:ascii="Courier New" w:eastAsia="Times New Roman" w:hAnsi="Courier New" w:cs="Courier New"/>
          <w:sz w:val="24"/>
          <w:szCs w:val="24"/>
        </w:rPr>
        <w:t>a</w:t>
      </w:r>
      <w:r w:rsidR="0072431B" w:rsidRPr="0096107B">
        <w:rPr>
          <w:rFonts w:ascii="Courier New" w:eastAsia="Times New Roman" w:hAnsi="Courier New" w:cs="Courier New"/>
          <w:sz w:val="24"/>
          <w:szCs w:val="24"/>
        </w:rPr>
        <w:t>mong</w:t>
      </w:r>
      <w:r w:rsidRPr="0096107B" w:rsidDel="00B73017">
        <w:rPr>
          <w:rFonts w:ascii="Courier New" w:eastAsia="Times New Roman" w:hAnsi="Courier New" w:cs="Courier New"/>
          <w:sz w:val="24"/>
          <w:szCs w:val="24"/>
        </w:rPr>
        <w:t xml:space="preserve"> two-year institutions, in the High Pell Group, the iCDR at for-profit institutions is 20.6 percent compared to 24.2 percent at public institutions and, in the Low Pell Group, the iCDR is 16.6 percent at for-profit institutions and 20.4 percent at public institutions. </w:t>
      </w:r>
    </w:p>
    <w:p w14:paraId="0C17875F" w14:textId="77777777" w:rsidR="0072431B" w:rsidRPr="0096107B" w:rsidRDefault="0072431B" w:rsidP="0072431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Several commenters asserted that the Department has clear justification for limiting application of the regulations to institutions in the for-profit sector and other institutions </w:t>
      </w:r>
      <w:r w:rsidRPr="0096107B">
        <w:rPr>
          <w:rFonts w:ascii="Courier New" w:eastAsia="Times New Roman" w:hAnsi="Courier New" w:cs="Courier New"/>
          <w:sz w:val="24"/>
          <w:szCs w:val="24"/>
        </w:rPr>
        <w:lastRenderedPageBreak/>
        <w:t>offering programs that purport to prepare students for gainful employment.  One commenter cited a study that found that students at for-profit institutions were twice as likely to default on their student loans as students at other types of schools and another study that found that graduation rates at for-profit colleges were less than one-third the rates at non-profit colleges.  By comparison, the commenter cited economic research that found that students in non-profit and public certificate programs had lower debt burdens, higher earnings, lower unemployment, and lower student loan default rates and were more satisfied with their programs, even after controlling for student demographic factors.</w:t>
      </w:r>
    </w:p>
    <w:p w14:paraId="5C0BA31F" w14:textId="410352E9"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One commenter said the Department has a specific legislative mandate to regulate gainful employment programs, which include the programs offered by for-profit institutions, and, as a result, the Department is correct to apply the regulations to those programs.  Some commenters added that for-profit institutions are subject to less regulation and accountability than non-profit institutions because for-profit institutions are not governed by an independent board composed of members without an ownership interest.  Consequently, they argued, the Department should particularly regulate programs operated by for-profit institutions. </w:t>
      </w:r>
    </w:p>
    <w:p w14:paraId="0B9376D3" w14:textId="09A445CD" w:rsidR="0072431B" w:rsidRPr="0096107B" w:rsidRDefault="0072431B" w:rsidP="0072431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Discussion</w:t>
      </w:r>
      <w:r w:rsidRPr="0096107B">
        <w:rPr>
          <w:rFonts w:ascii="Courier New" w:eastAsia="Times New Roman" w:hAnsi="Courier New" w:cs="Courier New"/>
          <w:sz w:val="24"/>
          <w:szCs w:val="24"/>
        </w:rPr>
        <w:t xml:space="preserve">:  The regulations </w:t>
      </w:r>
      <w:r>
        <w:rPr>
          <w:rFonts w:ascii="Courier New" w:eastAsia="Times New Roman" w:hAnsi="Courier New" w:cs="Courier New"/>
          <w:sz w:val="24"/>
          <w:szCs w:val="24"/>
        </w:rPr>
        <w:t>do</w:t>
      </w:r>
      <w:r w:rsidRPr="0096107B">
        <w:rPr>
          <w:rFonts w:ascii="Courier New" w:eastAsia="Times New Roman" w:hAnsi="Courier New" w:cs="Courier New"/>
          <w:sz w:val="24"/>
          <w:szCs w:val="24"/>
        </w:rPr>
        <w:t xml:space="preserve"> not target for-profit programs for loss of eligibility under the title IV, HEA programs.  To the contrary, the Department appreciates the important role for-profit institutions play in educating students.  </w:t>
      </w:r>
    </w:p>
    <w:p w14:paraId="33423347" w14:textId="40170CA7" w:rsidR="0072431B" w:rsidRPr="00910701" w:rsidRDefault="0072431B" w:rsidP="0072431B">
      <w:pPr>
        <w:spacing w:after="0" w:line="480" w:lineRule="auto"/>
        <w:ind w:firstLine="720"/>
        <w:rPr>
          <w:rFonts w:ascii="Courier New" w:hAnsi="Courier New"/>
          <w:sz w:val="24"/>
        </w:rPr>
      </w:pPr>
      <w:r w:rsidRPr="0096107B">
        <w:rPr>
          <w:rFonts w:ascii="Courier New" w:eastAsia="Times New Roman" w:hAnsi="Courier New" w:cs="Courier New"/>
          <w:sz w:val="24"/>
          <w:szCs w:val="24"/>
        </w:rPr>
        <w:t>The for-profit sector has experienced tremendous growth in recent years,</w:t>
      </w:r>
      <w:r w:rsidRPr="0096107B">
        <w:rPr>
          <w:rFonts w:ascii="Courier New" w:eastAsia="Times New Roman" w:hAnsi="Courier New" w:cs="Courier New"/>
          <w:sz w:val="24"/>
          <w:szCs w:val="24"/>
          <w:vertAlign w:val="superscript"/>
        </w:rPr>
        <w:footnoteReference w:id="12"/>
      </w:r>
      <w:r w:rsidRPr="0096107B">
        <w:rPr>
          <w:rFonts w:ascii="Courier New" w:eastAsia="Times New Roman" w:hAnsi="Courier New" w:cs="Courier New"/>
          <w:sz w:val="24"/>
          <w:szCs w:val="24"/>
        </w:rPr>
        <w:t xml:space="preserve"> fueled by the availability of Federal student aid funding and an increased demand for higher education, particularly among non-traditional students</w:t>
      </w:r>
      <w:r w:rsidRPr="00FF5785">
        <w:rPr>
          <w:rFonts w:ascii="Courier New" w:eastAsia="Times New Roman" w:hAnsi="Courier New" w:cs="Courier New"/>
          <w:sz w:val="24"/>
          <w:szCs w:val="24"/>
        </w:rPr>
        <w:t>.</w:t>
      </w:r>
      <w:r w:rsidRPr="00FF5785">
        <w:rPr>
          <w:rFonts w:ascii="Courier New" w:eastAsia="Times New Roman" w:hAnsi="Courier New" w:cs="Courier New"/>
          <w:sz w:val="24"/>
          <w:szCs w:val="24"/>
          <w:vertAlign w:val="superscript"/>
        </w:rPr>
        <w:footnoteReference w:id="13"/>
      </w:r>
      <w:r w:rsidRPr="00FF5785">
        <w:rPr>
          <w:rFonts w:ascii="Courier New" w:eastAsia="Times New Roman" w:hAnsi="Courier New" w:cs="Courier New"/>
          <w:sz w:val="24"/>
          <w:szCs w:val="24"/>
        </w:rPr>
        <w:t xml:space="preserve"> </w:t>
      </w:r>
      <w:r w:rsidRPr="001D6595">
        <w:rPr>
          <w:rFonts w:ascii="Courier New" w:eastAsia="Times New Roman" w:hAnsi="Courier New" w:cs="Courier New"/>
          <w:sz w:val="24"/>
          <w:szCs w:val="24"/>
        </w:rPr>
        <w:t xml:space="preserve"> </w:t>
      </w:r>
      <w:r w:rsidRPr="001D6595">
        <w:rPr>
          <w:rFonts w:ascii="Courier New" w:hAnsi="Courier New"/>
          <w:sz w:val="24"/>
          <w:szCs w:val="24"/>
        </w:rPr>
        <w:t>T</w:t>
      </w:r>
      <w:r w:rsidRPr="0096107B">
        <w:rPr>
          <w:rFonts w:ascii="Courier New" w:eastAsia="Times New Roman" w:hAnsi="Courier New"/>
          <w:sz w:val="24"/>
        </w:rPr>
        <w:t xml:space="preserve">he share of Federal student financial aid going to students at for-profit institutions has </w:t>
      </w:r>
      <w:r>
        <w:rPr>
          <w:rFonts w:ascii="Courier New" w:hAnsi="Courier New" w:cs="Courier New"/>
          <w:sz w:val="24"/>
          <w:szCs w:val="24"/>
        </w:rPr>
        <w:t>grown from</w:t>
      </w:r>
      <w:r w:rsidRPr="00F828BD">
        <w:rPr>
          <w:rFonts w:ascii="Courier New" w:hAnsi="Courier New" w:cs="Courier New"/>
          <w:sz w:val="24"/>
          <w:szCs w:val="24"/>
        </w:rPr>
        <w:t xml:space="preserve"> approximately </w:t>
      </w:r>
      <w:r>
        <w:rPr>
          <w:rFonts w:ascii="Courier New" w:hAnsi="Courier New" w:cs="Courier New"/>
          <w:sz w:val="24"/>
          <w:szCs w:val="24"/>
        </w:rPr>
        <w:t>13</w:t>
      </w:r>
      <w:r w:rsidRPr="00F828BD">
        <w:rPr>
          <w:rFonts w:ascii="Courier New" w:hAnsi="Courier New" w:cs="Courier New"/>
          <w:sz w:val="24"/>
          <w:szCs w:val="24"/>
        </w:rPr>
        <w:t xml:space="preserve"> percent </w:t>
      </w:r>
      <w:r w:rsidRPr="00771AFC">
        <w:rPr>
          <w:rFonts w:ascii="Courier New" w:hAnsi="Courier New" w:cs="Courier New"/>
          <w:sz w:val="24"/>
          <w:szCs w:val="24"/>
        </w:rPr>
        <w:t>of all title IV, HEA program funds</w:t>
      </w:r>
      <w:r w:rsidRPr="00F828BD">
        <w:rPr>
          <w:rFonts w:ascii="Courier New" w:hAnsi="Courier New" w:cs="Courier New"/>
          <w:sz w:val="24"/>
          <w:szCs w:val="24"/>
        </w:rPr>
        <w:t xml:space="preserve"> </w:t>
      </w:r>
      <w:r>
        <w:rPr>
          <w:rFonts w:ascii="Courier New" w:hAnsi="Courier New" w:cs="Courier New"/>
          <w:sz w:val="24"/>
          <w:szCs w:val="24"/>
        </w:rPr>
        <w:t>in award year 2000-2001 to 19 percent in award year 2013-2014</w:t>
      </w:r>
      <w:r w:rsidRPr="00F828BD">
        <w:rPr>
          <w:rFonts w:ascii="Courier New" w:hAnsi="Courier New" w:cs="Courier New"/>
          <w:sz w:val="24"/>
          <w:szCs w:val="24"/>
        </w:rPr>
        <w:t>.</w:t>
      </w:r>
      <w:r w:rsidRPr="0061624E">
        <w:rPr>
          <w:rStyle w:val="FootnoteReference"/>
        </w:rPr>
        <w:footnoteReference w:id="14"/>
      </w:r>
    </w:p>
    <w:p w14:paraId="571AF247" w14:textId="77777777"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The for-profit sector plays an important role in serving traditionally underrepresented populations of students.  For-profit institutions are</w:t>
      </w:r>
      <w:r w:rsidR="006D540E" w:rsidDel="00B73017">
        <w:rPr>
          <w:rFonts w:ascii="Courier New" w:eastAsia="Times New Roman" w:hAnsi="Courier New" w:cs="Courier New"/>
          <w:sz w:val="24"/>
          <w:szCs w:val="24"/>
        </w:rPr>
        <w:t xml:space="preserve"> </w:t>
      </w:r>
      <w:r w:rsidR="0072431B">
        <w:rPr>
          <w:rFonts w:ascii="Courier New" w:eastAsia="Times New Roman" w:hAnsi="Courier New" w:cs="Courier New"/>
          <w:sz w:val="24"/>
          <w:szCs w:val="24"/>
        </w:rPr>
        <w:t>typically</w:t>
      </w:r>
      <w:r w:rsidR="006D540E" w:rsidDel="00B73017">
        <w:rPr>
          <w:rFonts w:ascii="Courier New" w:eastAsia="Times New Roman" w:hAnsi="Courier New" w:cs="Courier New"/>
          <w:sz w:val="24"/>
          <w:szCs w:val="24"/>
        </w:rPr>
        <w:t xml:space="preserve"> open-enrollment institutions that</w:t>
      </w:r>
      <w:r w:rsidRPr="0096107B" w:rsidDel="00B73017">
        <w:rPr>
          <w:rFonts w:ascii="Courier New" w:eastAsia="Times New Roman" w:hAnsi="Courier New" w:cs="Courier New"/>
          <w:sz w:val="24"/>
          <w:szCs w:val="24"/>
        </w:rPr>
        <w:t xml:space="preserve"> are more likely to enroll students who are older, women, </w:t>
      </w:r>
      <w:r w:rsidRPr="0096107B" w:rsidDel="00B73017">
        <w:rPr>
          <w:rFonts w:ascii="Courier New" w:eastAsia="Times New Roman" w:hAnsi="Courier New" w:cs="Courier New"/>
          <w:sz w:val="24"/>
          <w:szCs w:val="24"/>
        </w:rPr>
        <w:lastRenderedPageBreak/>
        <w:t>Black, Hispanic, or with low incomes.</w:t>
      </w:r>
      <w:r w:rsidRPr="0096107B" w:rsidDel="00B73017">
        <w:rPr>
          <w:rFonts w:ascii="Courier New" w:eastAsia="Times New Roman" w:hAnsi="Courier New" w:cs="Courier New"/>
          <w:sz w:val="24"/>
          <w:szCs w:val="24"/>
          <w:vertAlign w:val="superscript"/>
        </w:rPr>
        <w:footnoteReference w:id="15"/>
      </w:r>
      <w:r w:rsidRPr="0096107B" w:rsidDel="00B73017">
        <w:rPr>
          <w:rFonts w:ascii="Courier New" w:eastAsia="Times New Roman" w:hAnsi="Courier New" w:cs="Courier New"/>
          <w:sz w:val="24"/>
          <w:szCs w:val="24"/>
        </w:rPr>
        <w:t xml:space="preserve">  Single parents, students with a certificate of high school equivalency, and students with lower family incomes are also more commonly found at for-profit institutions than community colleges.</w:t>
      </w:r>
      <w:r w:rsidRPr="0096107B" w:rsidDel="00B73017">
        <w:rPr>
          <w:rFonts w:ascii="Courier New" w:eastAsia="Times New Roman" w:hAnsi="Courier New" w:cs="Courier New"/>
          <w:sz w:val="24"/>
          <w:szCs w:val="24"/>
          <w:vertAlign w:val="superscript"/>
        </w:rPr>
        <w:footnoteReference w:id="16"/>
      </w:r>
    </w:p>
    <w:p w14:paraId="3FCD623D" w14:textId="53A9D828"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For-profit institutions develop curriculum and teaching practices that can be replicated at multiple locations and at convenient times, and offer highly structured programs to help ensure timely completion.</w:t>
      </w:r>
      <w:r w:rsidRPr="0096107B" w:rsidDel="00B73017">
        <w:rPr>
          <w:rFonts w:ascii="Courier New" w:eastAsia="Times New Roman" w:hAnsi="Courier New" w:cs="Courier New"/>
          <w:sz w:val="24"/>
          <w:szCs w:val="24"/>
          <w:vertAlign w:val="superscript"/>
        </w:rPr>
        <w:footnoteReference w:id="17"/>
      </w:r>
      <w:r w:rsidRPr="0096107B" w:rsidDel="00B73017">
        <w:rPr>
          <w:rFonts w:ascii="Courier New" w:eastAsia="Times New Roman" w:hAnsi="Courier New" w:cs="Courier New"/>
          <w:sz w:val="24"/>
          <w:szCs w:val="24"/>
        </w:rPr>
        <w:t xml:space="preserve">  For-profit institutions “are attuned to the marketplace and are quick to open new schools, hire faculty, and add programs in growing fields and localities,”</w:t>
      </w:r>
      <w:r w:rsidRPr="0096107B" w:rsidDel="00B73017">
        <w:rPr>
          <w:rFonts w:ascii="Courier New" w:eastAsia="Times New Roman" w:hAnsi="Courier New" w:cs="Courier New"/>
          <w:sz w:val="24"/>
          <w:szCs w:val="24"/>
          <w:vertAlign w:val="superscript"/>
        </w:rPr>
        <w:footnoteReference w:id="18"/>
      </w:r>
      <w:r w:rsidRPr="0096107B" w:rsidDel="00B73017">
        <w:rPr>
          <w:rFonts w:ascii="Courier New" w:eastAsia="Times New Roman" w:hAnsi="Courier New" w:cs="Courier New"/>
          <w:sz w:val="24"/>
          <w:szCs w:val="24"/>
        </w:rPr>
        <w:t xml:space="preserve"> including occupations requiring “middle-skill” training.   </w:t>
      </w:r>
    </w:p>
    <w:p w14:paraId="453E8CD6" w14:textId="54DA8C74" w:rsidR="0096107B" w:rsidRPr="0096107B" w:rsidDel="00B73017" w:rsidRDefault="0096107B" w:rsidP="0096107B">
      <w:pPr>
        <w:spacing w:after="0" w:line="480" w:lineRule="auto"/>
        <w:ind w:firstLine="63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At least some research suggests that for-profit institutions respond to demand that public institutions are unable to handle.  Recent evidence from California suggests that for-profit institutions absorb students where public institutions are unable to respond to demand due to budget constraints.</w:t>
      </w:r>
      <w:r w:rsidRPr="0096107B" w:rsidDel="00B73017">
        <w:rPr>
          <w:rFonts w:ascii="Courier New" w:eastAsia="Times New Roman" w:hAnsi="Courier New" w:cs="Courier New"/>
          <w:sz w:val="24"/>
          <w:szCs w:val="24"/>
          <w:vertAlign w:val="superscript"/>
        </w:rPr>
        <w:footnoteReference w:id="19"/>
      </w:r>
      <w:r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vertAlign w:val="superscript"/>
        </w:rPr>
        <w:footnoteReference w:id="20"/>
      </w:r>
      <w:r w:rsidRPr="0096107B" w:rsidDel="00B73017">
        <w:rPr>
          <w:rFonts w:ascii="Courier New" w:eastAsia="Times New Roman" w:hAnsi="Courier New" w:cs="Courier New"/>
          <w:sz w:val="24"/>
          <w:szCs w:val="24"/>
        </w:rPr>
        <w:t xml:space="preserve">  Additional research has found that “[c]hange[s] in for-profit </w:t>
      </w:r>
      <w:r w:rsidRPr="0096107B" w:rsidDel="00B73017">
        <w:rPr>
          <w:rFonts w:ascii="Courier New" w:eastAsia="Times New Roman" w:hAnsi="Courier New" w:cs="Courier New"/>
          <w:sz w:val="24"/>
          <w:szCs w:val="24"/>
        </w:rPr>
        <w:lastRenderedPageBreak/>
        <w:t>college enrollments are more positively correlated with changes in State college-age populations than are changes in public-sector college enrollments.”</w:t>
      </w:r>
      <w:r w:rsidRPr="0096107B" w:rsidDel="00B73017">
        <w:rPr>
          <w:rFonts w:ascii="Courier New" w:eastAsia="Times New Roman" w:hAnsi="Courier New" w:cs="Courier New"/>
          <w:sz w:val="24"/>
          <w:szCs w:val="24"/>
          <w:vertAlign w:val="superscript"/>
        </w:rPr>
        <w:footnoteReference w:id="21"/>
      </w:r>
    </w:p>
    <w:p w14:paraId="5DBE3623" w14:textId="31B21276" w:rsidR="0072431B" w:rsidRPr="0096107B" w:rsidRDefault="0072431B" w:rsidP="0072431B">
      <w:pPr>
        <w:spacing w:after="0" w:line="480" w:lineRule="auto"/>
        <w:ind w:firstLine="720"/>
        <w:rPr>
          <w:rFonts w:ascii="Courier New" w:eastAsia="Times New Roman" w:hAnsi="Courier New" w:cs="Courier New"/>
          <w:sz w:val="24"/>
          <w:szCs w:val="24"/>
          <w:vertAlign w:val="superscript"/>
        </w:rPr>
      </w:pPr>
      <w:r w:rsidRPr="0096107B">
        <w:rPr>
          <w:rFonts w:ascii="Courier New" w:eastAsia="Times New Roman" w:hAnsi="Courier New" w:cs="Courier New"/>
          <w:sz w:val="24"/>
          <w:szCs w:val="24"/>
        </w:rPr>
        <w:t>Other evidence, however, suggests that for-profit</w:t>
      </w:r>
      <w:r>
        <w:rPr>
          <w:rFonts w:ascii="Courier New" w:eastAsia="Times New Roman" w:hAnsi="Courier New" w:cs="Courier New"/>
          <w:sz w:val="24"/>
          <w:szCs w:val="24"/>
        </w:rPr>
        <w:t xml:space="preserve"> institutions</w:t>
      </w:r>
      <w:r w:rsidRPr="0096107B">
        <w:rPr>
          <w:rFonts w:ascii="Courier New" w:eastAsia="Times New Roman" w:hAnsi="Courier New" w:cs="Courier New"/>
          <w:sz w:val="24"/>
          <w:szCs w:val="24"/>
        </w:rPr>
        <w:t xml:space="preserve"> are facing increasing competition from community colleges and traditional universities, as these institutions have started to expand their programs in online education.  According to the annual report recently filed by a large, publically traded for-profit institution</w:t>
      </w:r>
      <w:r w:rsidR="003914D7">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w:t>
      </w:r>
      <w:r w:rsidR="003914D7">
        <w:rPr>
          <w:rFonts w:ascii="Courier New" w:eastAsia="Times New Roman" w:hAnsi="Courier New" w:cs="Courier New"/>
          <w:sz w:val="24"/>
          <w:szCs w:val="24"/>
        </w:rPr>
        <w:t>a</w:t>
      </w:r>
      <w:r w:rsidRPr="0096107B">
        <w:rPr>
          <w:rFonts w:ascii="Courier New" w:eastAsia="Times New Roman" w:hAnsi="Courier New" w:cs="Courier New"/>
          <w:sz w:val="24"/>
          <w:szCs w:val="24"/>
        </w:rPr>
        <w:t xml:space="preserve"> substantial proportion of traditional colleges and universities and community colleges now offer some form of . . . online education programs, including programs geared towards the needs of working learners.  As a result, we continue to face increasing competition, including from colleges with well-established brand names.  As the online . . . learning segment of the postsecondary education market matures, we believe that the intensity of the competition we face will continue to increase.”</w:t>
      </w:r>
      <w:r w:rsidRPr="0096107B">
        <w:rPr>
          <w:rFonts w:ascii="Courier New" w:eastAsia="Times New Roman" w:hAnsi="Courier New" w:cs="Courier New"/>
          <w:sz w:val="24"/>
          <w:szCs w:val="24"/>
          <w:vertAlign w:val="superscript"/>
        </w:rPr>
        <w:footnoteReference w:id="22"/>
      </w:r>
    </w:p>
    <w:p w14:paraId="2336432B" w14:textId="1D1EA765"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lastRenderedPageBreak/>
        <w:t xml:space="preserve">These regulations apply not only to programs operated by for-profit institutions, but to all programs, across all sectors, that are subject to the requirement that in order to qualify for Federal student assistance, they must provide training </w:t>
      </w:r>
      <w:r w:rsidR="0072431B">
        <w:rPr>
          <w:rFonts w:ascii="Courier New" w:eastAsia="Times New Roman" w:hAnsi="Courier New" w:cs="Courier New"/>
          <w:sz w:val="24"/>
          <w:szCs w:val="24"/>
        </w:rPr>
        <w:t>that</w:t>
      </w:r>
      <w:r w:rsidRPr="0096107B" w:rsidDel="00B73017">
        <w:rPr>
          <w:rFonts w:ascii="Courier New" w:eastAsia="Times New Roman" w:hAnsi="Courier New" w:cs="Courier New"/>
          <w:sz w:val="24"/>
          <w:szCs w:val="24"/>
        </w:rPr>
        <w:t xml:space="preserve"> prepare</w:t>
      </w:r>
      <w:r w:rsidR="000F14F4" w:rsidDel="00B73017">
        <w:rPr>
          <w:rFonts w:ascii="Courier New" w:eastAsia="Times New Roman" w:hAnsi="Courier New" w:cs="Courier New"/>
          <w:sz w:val="24"/>
          <w:szCs w:val="24"/>
        </w:rPr>
        <w:t>s</w:t>
      </w:r>
      <w:r w:rsidRPr="0096107B" w:rsidDel="00B73017">
        <w:rPr>
          <w:rFonts w:ascii="Courier New" w:eastAsia="Times New Roman" w:hAnsi="Courier New" w:cs="Courier New"/>
          <w:sz w:val="24"/>
          <w:szCs w:val="24"/>
        </w:rPr>
        <w:t xml:space="preserve"> students for gainful employment in a recognized occupation.  Under the HEA, for these purposes, an eligible program includes non-degree programs, including diploma and certificate programs, at public and private non-profit institutions such as community colleges and nearly all educational programs at for-profit institutions of higher education regardless of program length or credential level.  Our regulatory authority in this rulemaking with respect to institutional accountability is limited to defining the statutory requirement that these programs are eligible to participate in the title IV, HEA programs because they provide training that prepares students for gainful employment in a recognized occupation.  The Department does not have the authority in this rulemaking to regulate other higher education institutions or programs, even if such institutions or programs would not pass the accountability metrics.</w:t>
      </w:r>
    </w:p>
    <w:p w14:paraId="73BB8563" w14:textId="77777777"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 regulations establish an accountability framework and transparency framework for GE programs, whether the programs are operated by for-profit institutions or by public or private non-profit institutions.  However, we are particularly concerned </w:t>
      </w:r>
      <w:r w:rsidRPr="0096107B" w:rsidDel="00B73017">
        <w:rPr>
          <w:rFonts w:ascii="Courier New" w:eastAsia="Times New Roman" w:hAnsi="Courier New" w:cs="Courier New"/>
          <w:sz w:val="24"/>
          <w:szCs w:val="24"/>
        </w:rPr>
        <w:lastRenderedPageBreak/>
        <w:t>about high costs, poor outcomes, and deceptive practices at some institutions in the for-profit sector.</w:t>
      </w:r>
    </w:p>
    <w:p w14:paraId="254AADE3" w14:textId="0671A595" w:rsidR="0072431B" w:rsidRPr="0096107B" w:rsidRDefault="0072431B" w:rsidP="0072431B">
      <w:pPr>
        <w:spacing w:after="0" w:line="480" w:lineRule="auto"/>
        <w:ind w:firstLine="720"/>
        <w:contextualSpacing/>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With respect to comments that the NPRM overstates the cost of for-profit institutions relative to public two-year institutions because many for-profit programs offer advanced degrees, the data do not support this contention.  A comparison of costs at institutions offering credentials of comparable levels shows that for-profit institutions typically charge higher tuition than do public postsecondary institutions. </w:t>
      </w:r>
      <w:r w:rsidRPr="00503B02">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Among first-time full-time</w:t>
      </w:r>
      <w:r>
        <w:rPr>
          <w:rFonts w:ascii="Courier New" w:eastAsia="Times New Roman" w:hAnsi="Courier New" w:cs="Courier New"/>
          <w:sz w:val="24"/>
          <w:szCs w:val="24"/>
        </w:rPr>
        <w:t xml:space="preserve"> </w:t>
      </w:r>
      <w:r w:rsidRPr="00503B02">
        <w:rPr>
          <w:rFonts w:ascii="Courier New" w:eastAsia="Times New Roman" w:hAnsi="Courier New"/>
          <w:sz w:val="24"/>
        </w:rPr>
        <w:t>degree or certificate seeking</w:t>
      </w:r>
      <w:r w:rsidRPr="0096107B">
        <w:rPr>
          <w:rFonts w:ascii="Courier New" w:eastAsia="Times New Roman" w:hAnsi="Courier New" w:cs="Courier New"/>
          <w:sz w:val="24"/>
          <w:szCs w:val="24"/>
        </w:rPr>
        <w:t xml:space="preserve"> undergraduates</w:t>
      </w:r>
      <w:r>
        <w:rPr>
          <w:rFonts w:ascii="Courier New" w:eastAsia="Times New Roman" w:hAnsi="Courier New" w:cs="Courier New"/>
          <w:sz w:val="24"/>
          <w:szCs w:val="24"/>
        </w:rPr>
        <w:t xml:space="preserve"> </w:t>
      </w:r>
      <w:r w:rsidR="001D6595">
        <w:rPr>
          <w:rFonts w:ascii="Courier New" w:eastAsia="Times New Roman" w:hAnsi="Courier New"/>
          <w:sz w:val="24"/>
        </w:rPr>
        <w:t xml:space="preserve">at title IV, HEA </w:t>
      </w:r>
      <w:r w:rsidRPr="00503B02">
        <w:rPr>
          <w:rFonts w:ascii="Courier New" w:eastAsia="Times New Roman" w:hAnsi="Courier New"/>
          <w:sz w:val="24"/>
        </w:rPr>
        <w:t>institutions operating on an academic calendar system</w:t>
      </w:r>
      <w:r w:rsidRPr="0096107B">
        <w:rPr>
          <w:rFonts w:ascii="Courier New" w:eastAsia="Times New Roman" w:hAnsi="Courier New" w:cs="Courier New"/>
          <w:sz w:val="24"/>
          <w:szCs w:val="24"/>
        </w:rPr>
        <w:t xml:space="preserve"> and excluding students in graduate programs, average tuition and </w:t>
      </w:r>
      <w:r w:rsidRPr="00503B02">
        <w:rPr>
          <w:rFonts w:ascii="Courier New" w:eastAsia="Times New Roman" w:hAnsi="Courier New"/>
          <w:sz w:val="24"/>
        </w:rPr>
        <w:t>required</w:t>
      </w:r>
      <w:r>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fees at less-than-two-year for-profit institutions are more than double the average cost at less-than-two-year public institutions</w:t>
      </w:r>
      <w:r>
        <w:rPr>
          <w:rFonts w:ascii="Courier New" w:eastAsia="Times New Roman" w:hAnsi="Courier New" w:cs="Courier New"/>
          <w:sz w:val="24"/>
          <w:szCs w:val="24"/>
        </w:rPr>
        <w:t xml:space="preserve"> and average tuition and required fees at two-year for-profit institutions are about four times the average cost at two-year public institutions</w:t>
      </w:r>
      <w:r w:rsidRPr="0096107B">
        <w:rPr>
          <w:rFonts w:ascii="Courier New" w:eastAsia="Times New Roman" w:hAnsi="Courier New" w:cs="Courier New"/>
          <w:sz w:val="24"/>
          <w:szCs w:val="24"/>
        </w:rPr>
        <w:t>.</w:t>
      </w:r>
      <w:r w:rsidRPr="0096107B">
        <w:rPr>
          <w:rFonts w:ascii="Courier New" w:eastAsia="Times New Roman" w:hAnsi="Courier New" w:cs="Courier New"/>
          <w:sz w:val="24"/>
          <w:szCs w:val="24"/>
          <w:vertAlign w:val="superscript"/>
        </w:rPr>
        <w:footnoteReference w:id="23"/>
      </w:r>
      <w:r>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24"/>
      </w:r>
      <w:r w:rsidRPr="0096107B">
        <w:rPr>
          <w:rFonts w:ascii="Courier New" w:eastAsia="Times New Roman" w:hAnsi="Courier New" w:cs="Courier New"/>
          <w:sz w:val="24"/>
          <w:szCs w:val="24"/>
        </w:rPr>
        <w:t xml:space="preserve">  Because less than two-year and two-year for-profit institutions largely offer certificates and associate degrees, rather than more expensive four-year degrees or advanced degrees,</w:t>
      </w:r>
      <w:r>
        <w:rPr>
          <w:rStyle w:val="FootnoteReference"/>
          <w:rFonts w:ascii="Courier New" w:eastAsia="Times New Roman" w:hAnsi="Courier New"/>
          <w:sz w:val="24"/>
          <w:szCs w:val="24"/>
        </w:rPr>
        <w:footnoteReference w:id="25"/>
      </w:r>
      <w:r w:rsidRPr="0096107B">
        <w:rPr>
          <w:rFonts w:ascii="Courier New" w:eastAsia="Times New Roman" w:hAnsi="Courier New" w:cs="Courier New"/>
          <w:sz w:val="24"/>
          <w:szCs w:val="24"/>
        </w:rPr>
        <w:t xml:space="preserve"> it is unlikely to be the case that higher </w:t>
      </w:r>
      <w:r w:rsidRPr="0096107B">
        <w:rPr>
          <w:rFonts w:ascii="Courier New" w:eastAsia="Times New Roman" w:hAnsi="Courier New" w:cs="Courier New"/>
          <w:sz w:val="24"/>
          <w:szCs w:val="24"/>
        </w:rPr>
        <w:lastRenderedPageBreak/>
        <w:t xml:space="preserve">tuition at for-profit institutions is the result of advanced degree offerings as argued by some commenters. </w:t>
      </w:r>
    </w:p>
    <w:p w14:paraId="3CFD94B0" w14:textId="5B5A881A" w:rsidR="0072431B" w:rsidRPr="0096107B" w:rsidRDefault="0072431B" w:rsidP="0072431B">
      <w:pPr>
        <w:spacing w:after="0" w:line="480" w:lineRule="auto"/>
        <w:ind w:firstLine="720"/>
        <w:contextualSpacing/>
        <w:rPr>
          <w:rFonts w:ascii="Courier New" w:eastAsia="Times New Roman" w:hAnsi="Courier New" w:cs="Courier New"/>
          <w:sz w:val="24"/>
          <w:szCs w:val="24"/>
        </w:rPr>
      </w:pPr>
      <w:r>
        <w:rPr>
          <w:rFonts w:ascii="Courier New" w:eastAsia="Times New Roman" w:hAnsi="Courier New" w:cs="Courier New"/>
          <w:sz w:val="24"/>
          <w:szCs w:val="24"/>
        </w:rPr>
        <w:t>Comparing</w:t>
      </w:r>
      <w:r w:rsidRPr="0096107B">
        <w:rPr>
          <w:rFonts w:ascii="Courier New" w:eastAsia="Times New Roman" w:hAnsi="Courier New" w:cs="Courier New"/>
          <w:sz w:val="24"/>
          <w:szCs w:val="24"/>
        </w:rPr>
        <w:t xml:space="preserve"> tuition at for-profit institutions and private non-profit institutions reveals similar results.  Although the differential between for-profit institutions and private non-profit institutions that offer similar credentials is smaller than the difference between for-profit institutions and public institutions, for-profit institutions still charge more than </w:t>
      </w:r>
      <w:r>
        <w:rPr>
          <w:rFonts w:ascii="Courier New" w:eastAsia="Times New Roman" w:hAnsi="Courier New" w:cs="Courier New"/>
          <w:sz w:val="24"/>
          <w:szCs w:val="24"/>
        </w:rPr>
        <w:t xml:space="preserve">private </w:t>
      </w:r>
      <w:r w:rsidRPr="0096107B">
        <w:rPr>
          <w:rFonts w:ascii="Courier New" w:eastAsia="Times New Roman" w:hAnsi="Courier New" w:cs="Courier New"/>
          <w:sz w:val="24"/>
          <w:szCs w:val="24"/>
        </w:rPr>
        <w:t xml:space="preserve">non-profit institutions when comparing two-year and less-than-two-year institutions, which includes </w:t>
      </w:r>
      <w:r>
        <w:rPr>
          <w:rFonts w:ascii="Courier New" w:eastAsia="Times New Roman" w:hAnsi="Courier New" w:cs="Courier New"/>
          <w:sz w:val="24"/>
          <w:szCs w:val="24"/>
        </w:rPr>
        <w:t>the majority of</w:t>
      </w:r>
      <w:r w:rsidRPr="0096107B">
        <w:rPr>
          <w:rFonts w:ascii="Courier New" w:eastAsia="Times New Roman" w:hAnsi="Courier New" w:cs="Courier New"/>
          <w:sz w:val="24"/>
          <w:szCs w:val="24"/>
        </w:rPr>
        <w:t xml:space="preserve"> institutions offering GE programs within the non-profit sector.</w:t>
      </w:r>
      <w:r w:rsidRPr="0096107B">
        <w:rPr>
          <w:rFonts w:ascii="Courier New" w:eastAsia="Times New Roman" w:hAnsi="Courier New" w:cs="Courier New"/>
          <w:sz w:val="24"/>
          <w:szCs w:val="24"/>
          <w:vertAlign w:val="superscript"/>
        </w:rPr>
        <w:footnoteReference w:id="26"/>
      </w:r>
      <w:r w:rsidRPr="0096107B">
        <w:rPr>
          <w:rFonts w:ascii="Courier New" w:eastAsia="Times New Roman" w:hAnsi="Courier New" w:cs="Courier New"/>
          <w:sz w:val="24"/>
          <w:szCs w:val="24"/>
        </w:rPr>
        <w:t xml:space="preserve">  </w:t>
      </w:r>
    </w:p>
    <w:p w14:paraId="1F61C90D" w14:textId="7777777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 Department acknowledges that funding structures and levels of government support vary by type of </w:t>
      </w:r>
      <w:r w:rsidR="0072431B" w:rsidRPr="0096107B">
        <w:rPr>
          <w:rFonts w:ascii="Courier New" w:eastAsia="Times New Roman" w:hAnsi="Courier New" w:cs="Courier New"/>
          <w:sz w:val="24"/>
          <w:szCs w:val="24"/>
        </w:rPr>
        <w:t>institution</w:t>
      </w:r>
      <w:r w:rsidRPr="0096107B" w:rsidDel="00B73017">
        <w:rPr>
          <w:rFonts w:ascii="Courier New" w:eastAsia="Times New Roman" w:hAnsi="Courier New" w:cs="Courier New"/>
          <w:sz w:val="24"/>
          <w:szCs w:val="24"/>
        </w:rPr>
        <w:t xml:space="preserve">, with public institutions receiving more direct funding and public and private non-profit institutions benefiting from their tax-exempt status.  However, as detailed in “Discussion of Costs, Benefits, and Transfers” in the </w:t>
      </w:r>
      <w:r w:rsidRPr="0096107B" w:rsidDel="00B73017">
        <w:rPr>
          <w:rFonts w:ascii="Courier New" w:eastAsia="Times New Roman" w:hAnsi="Courier New" w:cs="Courier New"/>
          <w:sz w:val="24"/>
          <w:szCs w:val="24"/>
          <w:u w:val="single"/>
        </w:rPr>
        <w:t xml:space="preserve">Regulatory Impact </w:t>
      </w:r>
      <w:r w:rsidR="0072431B" w:rsidRPr="0096107B">
        <w:rPr>
          <w:rFonts w:ascii="Courier New" w:eastAsia="Times New Roman" w:hAnsi="Courier New" w:cs="Courier New"/>
          <w:sz w:val="24"/>
          <w:szCs w:val="24"/>
          <w:u w:val="single"/>
        </w:rPr>
        <w:t>Analysis</w:t>
      </w:r>
      <w:r w:rsidRPr="0096107B" w:rsidDel="00B73017">
        <w:rPr>
          <w:rFonts w:ascii="Courier New" w:eastAsia="Times New Roman" w:hAnsi="Courier New" w:cs="Courier New"/>
          <w:sz w:val="24"/>
          <w:szCs w:val="24"/>
        </w:rPr>
        <w:t xml:space="preserve">, we do not agree that the regulations will result in significant costs for State and local governments.  In particular, we expect that many students who change programs as a result of the regulations will </w:t>
      </w:r>
      <w:r w:rsidRPr="0096107B" w:rsidDel="00B73017">
        <w:rPr>
          <w:rFonts w:ascii="Courier New" w:eastAsia="Times New Roman" w:hAnsi="Courier New" w:cs="Courier New"/>
          <w:sz w:val="24"/>
          <w:szCs w:val="24"/>
        </w:rPr>
        <w:lastRenderedPageBreak/>
        <w:t xml:space="preserve">choose from the many passing programs at for-profit institutions or that State and local governments may pursue lower marginal cost options to expand capacity at public institutions.  </w:t>
      </w:r>
    </w:p>
    <w:p w14:paraId="056AB385" w14:textId="7777777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With respect to revenues generated by the Federal student loan programs, we note that the estimates presented reflect a low discount rate environment and that returns vary across different segments of the portfolio.  Currently, the Direct Loan program reflects a negative subsidy.  Subsidy rates represent the Federal portion of non-administrative costs</w:t>
      </w:r>
      <w:r w:rsidR="0072431B"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principally interest subsidies and defaults</w:t>
      </w:r>
      <w:r w:rsidR="0072431B"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associated with each borrowed dollar over the life of the loan.  Under Federal Credit Reform Act (FCRA) rules, subsidy costs such as default costs and in-school interest benefits are embedded within the program subsidy, whereas Federal administration costs are treated as annual cash amounts and are not included within the subsidy rate.</w:t>
      </w:r>
    </w:p>
    <w:p w14:paraId="6975A6D8" w14:textId="1DF35D6C"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Annual variations in the subsidy rate are largely due to the relationship between the OMB-provided discount rate that drives the Government’s borrowing rate and the interest rate at which borrowers repay their loans.  Technical assumptions for defaults, repayment patterns, and other borrower characteristics would also apply.  The loan subsidy estimates are particularly sensitive to fluctuations in the discount rate.  Even small shifts in economic projections may produce substantial movement, </w:t>
      </w:r>
      <w:r w:rsidRPr="0096107B" w:rsidDel="00B73017">
        <w:rPr>
          <w:rFonts w:ascii="Courier New" w:eastAsia="Times New Roman" w:hAnsi="Courier New" w:cs="Courier New"/>
          <w:sz w:val="24"/>
          <w:szCs w:val="24"/>
        </w:rPr>
        <w:lastRenderedPageBreak/>
        <w:t xml:space="preserve">up or down, in the subsidy rate.  While the Federal student loan programs, especially Unsubsidized loans and PLUS loans, generate savings in the current interest rate environment, the estimates are subject to change.  In any event, although the regulations </w:t>
      </w:r>
      <w:r w:rsidR="0072431B">
        <w:rPr>
          <w:rFonts w:ascii="Courier New" w:eastAsia="Times New Roman" w:hAnsi="Courier New" w:cs="Courier New"/>
          <w:sz w:val="24"/>
          <w:szCs w:val="24"/>
        </w:rPr>
        <w:t>may</w:t>
      </w:r>
      <w:r w:rsidR="00B61584" w:rsidDel="00B73017">
        <w:rPr>
          <w:rFonts w:ascii="Courier New" w:eastAsia="Times New Roman" w:hAnsi="Courier New" w:cs="Courier New"/>
          <w:sz w:val="24"/>
          <w:szCs w:val="24"/>
        </w:rPr>
        <w:t xml:space="preserve"> result in </w:t>
      </w:r>
      <w:r w:rsidR="0072431B" w:rsidRPr="0096107B">
        <w:rPr>
          <w:rFonts w:ascii="Courier New" w:eastAsia="Times New Roman" w:hAnsi="Courier New" w:cs="Courier New"/>
          <w:sz w:val="24"/>
          <w:szCs w:val="24"/>
        </w:rPr>
        <w:t>reduced</w:t>
      </w:r>
      <w:r w:rsidRPr="0096107B" w:rsidDel="00B73017">
        <w:rPr>
          <w:rFonts w:ascii="Courier New" w:eastAsia="Times New Roman" w:hAnsi="Courier New" w:cs="Courier New"/>
          <w:sz w:val="24"/>
          <w:szCs w:val="24"/>
        </w:rPr>
        <w:t xml:space="preserve"> costs to taxpayers </w:t>
      </w:r>
      <w:r w:rsidR="0072431B" w:rsidRPr="0096107B">
        <w:rPr>
          <w:rFonts w:ascii="Courier New" w:eastAsia="Times New Roman" w:hAnsi="Courier New" w:cs="Courier New"/>
          <w:sz w:val="24"/>
          <w:szCs w:val="24"/>
        </w:rPr>
        <w:t>from</w:t>
      </w:r>
      <w:r w:rsidRPr="0096107B" w:rsidDel="00B73017">
        <w:rPr>
          <w:rFonts w:ascii="Courier New" w:eastAsia="Times New Roman" w:hAnsi="Courier New" w:cs="Courier New"/>
          <w:sz w:val="24"/>
          <w:szCs w:val="24"/>
        </w:rPr>
        <w:t xml:space="preserve"> the title IV, HEA programs</w:t>
      </w:r>
      <w:r w:rsidR="0072431B"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 the primary benefits of the </w:t>
      </w:r>
      <w:r w:rsidR="0072431B" w:rsidRPr="0096107B">
        <w:rPr>
          <w:rFonts w:ascii="Courier New" w:eastAsia="Times New Roman" w:hAnsi="Courier New" w:cs="Courier New"/>
          <w:sz w:val="24"/>
          <w:szCs w:val="24"/>
        </w:rPr>
        <w:t>regulations</w:t>
      </w:r>
      <w:r w:rsidRPr="0096107B" w:rsidDel="00B73017">
        <w:rPr>
          <w:rFonts w:ascii="Courier New" w:eastAsia="Times New Roman" w:hAnsi="Courier New" w:cs="Courier New"/>
          <w:sz w:val="24"/>
          <w:szCs w:val="24"/>
        </w:rPr>
        <w:t xml:space="preserve"> are the benefits to students.</w:t>
      </w:r>
    </w:p>
    <w:p w14:paraId="6AB2AAE6" w14:textId="77777777" w:rsidR="0072431B" w:rsidRPr="0096107B" w:rsidRDefault="0072431B" w:rsidP="0072431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color w:val="231F20"/>
          <w:sz w:val="24"/>
          <w:szCs w:val="24"/>
        </w:rPr>
        <w:t>Because aid received from grants has not kept pace with rising tuition in the for-profit sector, in contrast to other sectors, the net cost to students who attend GE programs has increased sharply in recent years.</w:t>
      </w:r>
      <w:r w:rsidRPr="0096107B">
        <w:rPr>
          <w:rFonts w:ascii="Courier New" w:eastAsia="Times New Roman" w:hAnsi="Courier New" w:cs="Courier New"/>
          <w:color w:val="231F20"/>
          <w:sz w:val="24"/>
          <w:szCs w:val="24"/>
          <w:vertAlign w:val="superscript"/>
        </w:rPr>
        <w:footnoteReference w:id="27"/>
      </w:r>
      <w:r w:rsidRPr="0096107B">
        <w:rPr>
          <w:rFonts w:ascii="Courier New" w:eastAsia="Times New Roman" w:hAnsi="Courier New" w:cs="Courier New"/>
          <w:color w:val="231F20"/>
          <w:sz w:val="24"/>
          <w:szCs w:val="24"/>
        </w:rPr>
        <w:t xml:space="preserve">  Not surprisingly, “student borrowing in the for-profit sector has risen dramatically to meet the rising net prices.”</w:t>
      </w:r>
      <w:r w:rsidRPr="0096107B">
        <w:rPr>
          <w:rFonts w:ascii="Courier New" w:eastAsia="Times New Roman" w:hAnsi="Courier New" w:cs="Courier New"/>
          <w:color w:val="231F20"/>
          <w:sz w:val="24"/>
          <w:szCs w:val="24"/>
          <w:vertAlign w:val="superscript"/>
        </w:rPr>
        <w:footnoteReference w:id="28"/>
      </w:r>
      <w:r w:rsidRPr="0096107B">
        <w:rPr>
          <w:rFonts w:ascii="Courier New" w:eastAsia="Times New Roman" w:hAnsi="Courier New" w:cs="Courier New"/>
          <w:sz w:val="24"/>
          <w:szCs w:val="24"/>
        </w:rPr>
        <w:t xml:space="preserve">  Students at for-profit institutions are more likely to receive Federal student financial aid and have higher average student debt than students in public and </w:t>
      </w:r>
      <w:r>
        <w:rPr>
          <w:rFonts w:ascii="Courier New" w:eastAsia="Times New Roman" w:hAnsi="Courier New" w:cs="Courier New"/>
          <w:sz w:val="24"/>
          <w:szCs w:val="24"/>
        </w:rPr>
        <w:t xml:space="preserve">private </w:t>
      </w:r>
      <w:r w:rsidRPr="0096107B">
        <w:rPr>
          <w:rFonts w:ascii="Courier New" w:eastAsia="Times New Roman" w:hAnsi="Courier New" w:cs="Courier New"/>
          <w:sz w:val="24"/>
          <w:szCs w:val="24"/>
        </w:rPr>
        <w:t>non-profit institutions</w:t>
      </w:r>
      <w:r>
        <w:rPr>
          <w:rFonts w:ascii="Courier New" w:eastAsia="Times New Roman" w:hAnsi="Courier New" w:cs="Courier New"/>
          <w:sz w:val="24"/>
          <w:szCs w:val="24"/>
        </w:rPr>
        <w:t>, even taking into account the socioeconomic background of the students enrolled within each sector</w:t>
      </w:r>
      <w:r w:rsidRPr="0096107B">
        <w:rPr>
          <w:rFonts w:ascii="Courier New" w:eastAsia="Times New Roman" w:hAnsi="Courier New" w:cs="Courier New"/>
          <w:sz w:val="24"/>
          <w:szCs w:val="24"/>
        </w:rPr>
        <w:t>.</w:t>
      </w:r>
      <w:r w:rsidRPr="0096107B">
        <w:rPr>
          <w:rFonts w:ascii="Courier New" w:eastAsia="Times New Roman" w:hAnsi="Courier New" w:cs="Courier New"/>
          <w:sz w:val="24"/>
          <w:szCs w:val="24"/>
          <w:vertAlign w:val="superscript"/>
        </w:rPr>
        <w:footnoteReference w:id="29"/>
      </w:r>
      <w:r w:rsidRPr="0096107B">
        <w:rPr>
          <w:rFonts w:ascii="Courier New" w:eastAsia="Times New Roman" w:hAnsi="Courier New" w:cs="Courier New"/>
          <w:sz w:val="24"/>
          <w:szCs w:val="24"/>
        </w:rPr>
        <w:t xml:space="preserve">  </w:t>
      </w:r>
    </w:p>
    <w:p w14:paraId="63533170" w14:textId="7769E6B4" w:rsidR="0072431B" w:rsidRPr="0096107B" w:rsidRDefault="0072431B" w:rsidP="0072431B">
      <w:pPr>
        <w:widowControl w:val="0"/>
        <w:autoSpaceDE w:val="0"/>
        <w:autoSpaceDN w:val="0"/>
        <w:adjustRightInd w:val="0"/>
        <w:spacing w:after="0" w:line="480" w:lineRule="auto"/>
        <w:ind w:firstLine="720"/>
        <w:rPr>
          <w:rFonts w:ascii="Courier New" w:eastAsia="Times New Roman" w:hAnsi="Courier New" w:cs="Courier New"/>
          <w:color w:val="231F20"/>
          <w:sz w:val="24"/>
          <w:szCs w:val="24"/>
        </w:rPr>
      </w:pPr>
      <w:r w:rsidRPr="0096107B">
        <w:rPr>
          <w:rFonts w:ascii="Courier New" w:eastAsia="Times New Roman" w:hAnsi="Courier New" w:cs="Courier New"/>
          <w:sz w:val="24"/>
          <w:szCs w:val="24"/>
        </w:rPr>
        <w:t xml:space="preserve">In 2011-2012, </w:t>
      </w:r>
      <w:r>
        <w:rPr>
          <w:rFonts w:ascii="Courier New" w:eastAsia="Times New Roman" w:hAnsi="Courier New" w:cs="Courier New"/>
          <w:sz w:val="24"/>
          <w:szCs w:val="24"/>
        </w:rPr>
        <w:t>60</w:t>
      </w:r>
      <w:r w:rsidRPr="0096107B">
        <w:rPr>
          <w:rFonts w:ascii="Courier New" w:eastAsia="Times New Roman" w:hAnsi="Courier New" w:cs="Courier New"/>
          <w:sz w:val="24"/>
          <w:szCs w:val="24"/>
        </w:rPr>
        <w:t xml:space="preserve"> percent of </w:t>
      </w:r>
      <w:r>
        <w:rPr>
          <w:rFonts w:ascii="Courier New" w:eastAsia="Times New Roman" w:hAnsi="Courier New" w:cs="Courier New"/>
          <w:sz w:val="24"/>
          <w:szCs w:val="24"/>
        </w:rPr>
        <w:t>certificate</w:t>
      </w:r>
      <w:r w:rsidRPr="0096107B">
        <w:rPr>
          <w:rFonts w:ascii="Courier New" w:eastAsia="Times New Roman" w:hAnsi="Courier New" w:cs="Courier New"/>
          <w:sz w:val="24"/>
          <w:szCs w:val="24"/>
        </w:rPr>
        <w:t xml:space="preserve"> students who </w:t>
      </w:r>
      <w:r>
        <w:rPr>
          <w:rFonts w:ascii="Courier New" w:eastAsia="Times New Roman" w:hAnsi="Courier New" w:cs="Courier New"/>
          <w:sz w:val="24"/>
          <w:szCs w:val="24"/>
        </w:rPr>
        <w:t xml:space="preserve">were enrolled at </w:t>
      </w:r>
      <w:r w:rsidRPr="0096107B">
        <w:rPr>
          <w:rFonts w:ascii="Courier New" w:eastAsia="Times New Roman" w:hAnsi="Courier New" w:cs="Courier New"/>
          <w:sz w:val="24"/>
          <w:szCs w:val="24"/>
        </w:rPr>
        <w:t xml:space="preserve">for-profit </w:t>
      </w:r>
      <w:r>
        <w:rPr>
          <w:rFonts w:ascii="Courier New" w:eastAsia="Times New Roman" w:hAnsi="Courier New" w:cs="Courier New"/>
          <w:sz w:val="24"/>
          <w:szCs w:val="24"/>
        </w:rPr>
        <w:t>two-year</w:t>
      </w:r>
      <w:r w:rsidRPr="0096107B">
        <w:rPr>
          <w:rFonts w:ascii="Courier New" w:eastAsia="Times New Roman" w:hAnsi="Courier New" w:cs="Courier New"/>
          <w:sz w:val="24"/>
          <w:szCs w:val="24"/>
        </w:rPr>
        <w:t xml:space="preserve"> institutions took out </w:t>
      </w:r>
      <w:r>
        <w:rPr>
          <w:rFonts w:ascii="Courier New" w:eastAsia="Times New Roman" w:hAnsi="Courier New" w:cs="Courier New"/>
          <w:sz w:val="24"/>
          <w:szCs w:val="24"/>
        </w:rPr>
        <w:t xml:space="preserve">title IV </w:t>
      </w:r>
      <w:r w:rsidRPr="0096107B">
        <w:rPr>
          <w:rFonts w:ascii="Courier New" w:eastAsia="Times New Roman" w:hAnsi="Courier New" w:cs="Courier New"/>
          <w:sz w:val="24"/>
          <w:szCs w:val="24"/>
        </w:rPr>
        <w:lastRenderedPageBreak/>
        <w:t xml:space="preserve">student loans </w:t>
      </w:r>
      <w:r>
        <w:rPr>
          <w:rFonts w:ascii="Courier New" w:eastAsia="Times New Roman" w:hAnsi="Courier New" w:cs="Courier New"/>
          <w:sz w:val="24"/>
          <w:szCs w:val="24"/>
        </w:rPr>
        <w:t>during that year</w:t>
      </w:r>
      <w:r w:rsidRPr="0096107B">
        <w:rPr>
          <w:rFonts w:ascii="Courier New" w:eastAsia="Times New Roman" w:hAnsi="Courier New" w:cs="Courier New"/>
          <w:sz w:val="24"/>
          <w:szCs w:val="24"/>
        </w:rPr>
        <w:t xml:space="preserve"> compared to </w:t>
      </w:r>
      <w:r>
        <w:rPr>
          <w:rFonts w:ascii="Courier New" w:eastAsia="Times New Roman" w:hAnsi="Courier New" w:cs="Courier New"/>
          <w:sz w:val="24"/>
          <w:szCs w:val="24"/>
        </w:rPr>
        <w:t>10</w:t>
      </w:r>
      <w:r w:rsidRPr="0096107B">
        <w:rPr>
          <w:rFonts w:ascii="Courier New" w:eastAsia="Times New Roman" w:hAnsi="Courier New" w:cs="Courier New"/>
          <w:sz w:val="24"/>
          <w:szCs w:val="24"/>
        </w:rPr>
        <w:t xml:space="preserve"> percent at public two-year institutions.</w:t>
      </w:r>
      <w:r w:rsidRPr="0096107B">
        <w:rPr>
          <w:rFonts w:ascii="Courier New" w:eastAsia="Times New Roman" w:hAnsi="Courier New" w:cs="Courier New"/>
          <w:sz w:val="24"/>
          <w:szCs w:val="24"/>
          <w:vertAlign w:val="superscript"/>
        </w:rPr>
        <w:footnoteReference w:id="30"/>
      </w:r>
      <w:r w:rsidRPr="0096107B">
        <w:rPr>
          <w:rFonts w:ascii="Courier New" w:eastAsia="Times New Roman" w:hAnsi="Courier New" w:cs="Courier New"/>
          <w:sz w:val="24"/>
          <w:szCs w:val="24"/>
        </w:rPr>
        <w:t xml:space="preserve">  Of those who borrowed, the median amount borrowed by </w:t>
      </w:r>
      <w:r>
        <w:rPr>
          <w:rFonts w:ascii="Courier New" w:eastAsia="Times New Roman" w:hAnsi="Courier New" w:cs="Courier New"/>
          <w:sz w:val="24"/>
          <w:szCs w:val="24"/>
        </w:rPr>
        <w:t>students enrolled in certificate programs</w:t>
      </w:r>
      <w:r w:rsidRPr="0096107B">
        <w:rPr>
          <w:rFonts w:ascii="Courier New" w:eastAsia="Times New Roman" w:hAnsi="Courier New" w:cs="Courier New"/>
          <w:sz w:val="24"/>
          <w:szCs w:val="24"/>
        </w:rPr>
        <w:t xml:space="preserve"> at </w:t>
      </w:r>
      <w:r>
        <w:rPr>
          <w:rFonts w:ascii="Courier New" w:eastAsia="Times New Roman" w:hAnsi="Courier New" w:cs="Courier New"/>
          <w:sz w:val="24"/>
          <w:szCs w:val="24"/>
        </w:rPr>
        <w:t xml:space="preserve">two-year </w:t>
      </w:r>
      <w:r w:rsidRPr="0096107B">
        <w:rPr>
          <w:rFonts w:ascii="Courier New" w:eastAsia="Times New Roman" w:hAnsi="Courier New" w:cs="Courier New"/>
          <w:sz w:val="24"/>
          <w:szCs w:val="24"/>
        </w:rPr>
        <w:t>for-profit institutions was $</w:t>
      </w:r>
      <w:r>
        <w:rPr>
          <w:rFonts w:ascii="Courier New" w:eastAsia="Times New Roman" w:hAnsi="Courier New" w:cs="Courier New"/>
          <w:sz w:val="24"/>
          <w:szCs w:val="24"/>
        </w:rPr>
        <w:t>6,629</w:t>
      </w:r>
      <w:r w:rsidRPr="0096107B">
        <w:rPr>
          <w:rFonts w:ascii="Courier New" w:eastAsia="Times New Roman" w:hAnsi="Courier New" w:cs="Courier New"/>
          <w:sz w:val="24"/>
          <w:szCs w:val="24"/>
        </w:rPr>
        <w:t>, as opposed to $</w:t>
      </w:r>
      <w:r>
        <w:rPr>
          <w:rFonts w:ascii="Courier New" w:eastAsia="Times New Roman" w:hAnsi="Courier New" w:cs="Courier New"/>
          <w:sz w:val="24"/>
          <w:szCs w:val="24"/>
        </w:rPr>
        <w:t>4,000</w:t>
      </w:r>
      <w:r w:rsidRPr="00845FED" w:rsidDel="002E5DB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at public two-year institutions.</w:t>
      </w:r>
      <w:r w:rsidRPr="0096107B">
        <w:rPr>
          <w:rFonts w:ascii="Courier New" w:eastAsia="Times New Roman" w:hAnsi="Courier New" w:cs="Courier New"/>
          <w:sz w:val="24"/>
          <w:szCs w:val="24"/>
          <w:vertAlign w:val="superscript"/>
        </w:rPr>
        <w:footnoteReference w:id="31"/>
      </w:r>
      <w:r w:rsidRPr="0096107B">
        <w:rPr>
          <w:rFonts w:ascii="Courier New" w:eastAsia="Times New Roman" w:hAnsi="Courier New" w:cs="Courier New"/>
          <w:sz w:val="24"/>
          <w:szCs w:val="24"/>
        </w:rPr>
        <w:t xml:space="preserve">  </w:t>
      </w:r>
      <w:r>
        <w:rPr>
          <w:rFonts w:ascii="Courier New" w:eastAsia="Times New Roman" w:hAnsi="Courier New" w:cs="Courier New"/>
          <w:sz w:val="24"/>
          <w:szCs w:val="24"/>
        </w:rPr>
        <w:t>In 2011-12, 20</w:t>
      </w:r>
      <w:r w:rsidRPr="0096107B">
        <w:rPr>
          <w:rFonts w:ascii="Courier New" w:eastAsia="Times New Roman" w:hAnsi="Courier New" w:cs="Courier New"/>
          <w:sz w:val="24"/>
          <w:szCs w:val="24"/>
        </w:rPr>
        <w:t xml:space="preserve"> percent of associate degree </w:t>
      </w:r>
      <w:r>
        <w:rPr>
          <w:rFonts w:ascii="Courier New" w:eastAsia="Times New Roman" w:hAnsi="Courier New" w:cs="Courier New"/>
          <w:sz w:val="24"/>
          <w:szCs w:val="24"/>
        </w:rPr>
        <w:t>students who were enrolled at</w:t>
      </w:r>
      <w:r w:rsidRPr="0096107B">
        <w:rPr>
          <w:rFonts w:ascii="Courier New" w:eastAsia="Times New Roman" w:hAnsi="Courier New" w:cs="Courier New"/>
          <w:sz w:val="24"/>
          <w:szCs w:val="24"/>
        </w:rPr>
        <w:t xml:space="preserve"> for-profit institutions took out student loans, while only </w:t>
      </w:r>
      <w:r>
        <w:rPr>
          <w:rFonts w:ascii="Courier New" w:eastAsia="Times New Roman" w:hAnsi="Courier New" w:cs="Courier New"/>
          <w:sz w:val="24"/>
          <w:szCs w:val="24"/>
        </w:rPr>
        <w:t xml:space="preserve">66 </w:t>
      </w:r>
      <w:r w:rsidRPr="0096107B">
        <w:rPr>
          <w:rFonts w:ascii="Courier New" w:eastAsia="Times New Roman" w:hAnsi="Courier New" w:cs="Courier New"/>
          <w:sz w:val="24"/>
          <w:szCs w:val="24"/>
        </w:rPr>
        <w:t xml:space="preserve">percent of associate degree </w:t>
      </w:r>
      <w:r>
        <w:rPr>
          <w:rFonts w:ascii="Courier New" w:eastAsia="Times New Roman" w:hAnsi="Courier New" w:cs="Courier New"/>
          <w:sz w:val="24"/>
          <w:szCs w:val="24"/>
        </w:rPr>
        <w:t>students who were enrolled</w:t>
      </w:r>
      <w:r w:rsidRPr="0096107B">
        <w:rPr>
          <w:rFonts w:ascii="Courier New" w:eastAsia="Times New Roman" w:hAnsi="Courier New" w:cs="Courier New"/>
          <w:sz w:val="24"/>
          <w:szCs w:val="24"/>
        </w:rPr>
        <w:t xml:space="preserve"> </w:t>
      </w:r>
      <w:r>
        <w:rPr>
          <w:rFonts w:ascii="Courier New" w:eastAsia="Times New Roman" w:hAnsi="Courier New" w:cs="Courier New"/>
          <w:sz w:val="24"/>
          <w:szCs w:val="24"/>
        </w:rPr>
        <w:t>at</w:t>
      </w:r>
      <w:r w:rsidRPr="0096107B">
        <w:rPr>
          <w:rFonts w:ascii="Courier New" w:eastAsia="Times New Roman" w:hAnsi="Courier New" w:cs="Courier New"/>
          <w:sz w:val="24"/>
          <w:szCs w:val="24"/>
        </w:rPr>
        <w:t xml:space="preserve"> public two-year institutions did so.</w:t>
      </w:r>
      <w:r w:rsidRPr="0096107B">
        <w:rPr>
          <w:rFonts w:ascii="Courier New" w:eastAsia="Times New Roman" w:hAnsi="Courier New" w:cs="Courier New"/>
          <w:sz w:val="24"/>
          <w:szCs w:val="24"/>
          <w:vertAlign w:val="superscript"/>
        </w:rPr>
        <w:footnoteReference w:id="32"/>
      </w:r>
      <w:r w:rsidRPr="0096107B">
        <w:rPr>
          <w:rFonts w:ascii="Courier New" w:eastAsia="Times New Roman" w:hAnsi="Courier New" w:cs="Courier New"/>
          <w:sz w:val="24"/>
          <w:szCs w:val="24"/>
        </w:rPr>
        <w:t xml:space="preserve">  Of those who borrowed</w:t>
      </w:r>
      <w:r>
        <w:rPr>
          <w:rFonts w:ascii="Courier New" w:eastAsia="Times New Roman" w:hAnsi="Courier New" w:cs="Courier New"/>
          <w:sz w:val="24"/>
          <w:szCs w:val="24"/>
        </w:rPr>
        <w:t xml:space="preserve"> in 2011-12</w:t>
      </w:r>
      <w:r w:rsidRPr="0096107B">
        <w:rPr>
          <w:rFonts w:ascii="Courier New" w:eastAsia="Times New Roman" w:hAnsi="Courier New" w:cs="Courier New"/>
          <w:sz w:val="24"/>
          <w:szCs w:val="24"/>
        </w:rPr>
        <w:t xml:space="preserve">, for-profit </w:t>
      </w:r>
      <w:r>
        <w:rPr>
          <w:rFonts w:ascii="Courier New" w:eastAsia="Times New Roman" w:hAnsi="Courier New" w:cs="Courier New"/>
          <w:sz w:val="24"/>
          <w:szCs w:val="24"/>
        </w:rPr>
        <w:t>two-year</w:t>
      </w:r>
      <w:r w:rsidRPr="0096107B">
        <w:rPr>
          <w:rFonts w:ascii="Courier New" w:eastAsia="Times New Roman" w:hAnsi="Courier New" w:cs="Courier New"/>
          <w:sz w:val="24"/>
          <w:szCs w:val="24"/>
        </w:rPr>
        <w:t xml:space="preserve"> associate degree </w:t>
      </w:r>
      <w:r>
        <w:rPr>
          <w:rFonts w:ascii="Courier New" w:eastAsia="Times New Roman" w:hAnsi="Courier New" w:cs="Courier New"/>
          <w:sz w:val="24"/>
          <w:szCs w:val="24"/>
        </w:rPr>
        <w:t>enrollees</w:t>
      </w:r>
      <w:r w:rsidRPr="0096107B">
        <w:rPr>
          <w:rFonts w:ascii="Courier New" w:eastAsia="Times New Roman" w:hAnsi="Courier New" w:cs="Courier New"/>
          <w:sz w:val="24"/>
          <w:szCs w:val="24"/>
        </w:rPr>
        <w:t xml:space="preserve"> had a median amount borrowed </w:t>
      </w:r>
      <w:r>
        <w:rPr>
          <w:rFonts w:ascii="Courier New" w:eastAsia="Times New Roman" w:hAnsi="Courier New" w:cs="Courier New"/>
          <w:sz w:val="24"/>
          <w:szCs w:val="24"/>
        </w:rPr>
        <w:t>during that year</w:t>
      </w:r>
      <w:r w:rsidRPr="0096107B">
        <w:rPr>
          <w:rFonts w:ascii="Courier New" w:eastAsia="Times New Roman" w:hAnsi="Courier New" w:cs="Courier New"/>
          <w:sz w:val="24"/>
          <w:szCs w:val="24"/>
        </w:rPr>
        <w:t xml:space="preserve"> of $</w:t>
      </w:r>
      <w:r w:rsidRPr="00845FED">
        <w:rPr>
          <w:rFonts w:ascii="Courier New" w:eastAsia="Times New Roman" w:hAnsi="Courier New" w:cs="Courier New"/>
          <w:sz w:val="24"/>
          <w:szCs w:val="24"/>
        </w:rPr>
        <w:t>7,583</w:t>
      </w:r>
      <w:r w:rsidRPr="0096107B">
        <w:rPr>
          <w:rFonts w:ascii="Courier New" w:eastAsia="Times New Roman" w:hAnsi="Courier New" w:cs="Courier New"/>
          <w:sz w:val="24"/>
          <w:szCs w:val="24"/>
        </w:rPr>
        <w:t>, compared to $</w:t>
      </w:r>
      <w:r>
        <w:rPr>
          <w:rFonts w:ascii="Courier New" w:eastAsia="Times New Roman" w:hAnsi="Courier New" w:cs="Courier New"/>
          <w:sz w:val="24"/>
          <w:szCs w:val="24"/>
        </w:rPr>
        <w:t xml:space="preserve">4,467 </w:t>
      </w:r>
      <w:r w:rsidRPr="0096107B">
        <w:rPr>
          <w:rFonts w:ascii="Courier New" w:eastAsia="Times New Roman" w:hAnsi="Courier New" w:cs="Courier New"/>
          <w:sz w:val="24"/>
          <w:szCs w:val="24"/>
        </w:rPr>
        <w:t>for students at public two-year institutions.</w:t>
      </w:r>
      <w:r w:rsidRPr="0096107B">
        <w:rPr>
          <w:rFonts w:ascii="Courier New" w:eastAsia="Times New Roman" w:hAnsi="Courier New" w:cs="Courier New"/>
          <w:sz w:val="24"/>
          <w:szCs w:val="24"/>
          <w:vertAlign w:val="superscript"/>
        </w:rPr>
        <w:footnoteReference w:id="33"/>
      </w:r>
      <w:r w:rsidRPr="0096107B">
        <w:rPr>
          <w:rFonts w:ascii="Courier New" w:eastAsia="Times New Roman" w:hAnsi="Courier New" w:cs="Courier New"/>
          <w:sz w:val="24"/>
          <w:szCs w:val="24"/>
        </w:rPr>
        <w:t xml:space="preserve"> </w:t>
      </w:r>
      <w:r w:rsidRPr="0096107B">
        <w:rPr>
          <w:rFonts w:ascii="Courier New" w:eastAsia="Times New Roman" w:hAnsi="Courier New" w:cs="Courier New"/>
          <w:color w:val="231F20"/>
          <w:sz w:val="24"/>
          <w:szCs w:val="24"/>
        </w:rPr>
        <w:t xml:space="preserve"> </w:t>
      </w:r>
    </w:p>
    <w:p w14:paraId="099C8782" w14:textId="70D71D4C" w:rsidR="0072431B" w:rsidRPr="00910701" w:rsidRDefault="0072431B" w:rsidP="0053510E">
      <w:pPr>
        <w:autoSpaceDE w:val="0"/>
        <w:autoSpaceDN w:val="0"/>
        <w:adjustRightInd w:val="0"/>
        <w:spacing w:after="0" w:line="480" w:lineRule="auto"/>
        <w:ind w:firstLine="720"/>
        <w:rPr>
          <w:rFonts w:ascii="Courier New" w:hAnsi="Courier New"/>
          <w:sz w:val="24"/>
        </w:rPr>
      </w:pPr>
      <w:r w:rsidRPr="0096107B">
        <w:rPr>
          <w:rFonts w:ascii="Courier New" w:eastAsia="Times New Roman" w:hAnsi="Courier New" w:cs="Courier New"/>
          <w:color w:val="231F20"/>
          <w:sz w:val="24"/>
          <w:szCs w:val="24"/>
        </w:rPr>
        <w:t>Although student loan default rates have increased in all sectors in recent year</w:t>
      </w:r>
      <w:r>
        <w:rPr>
          <w:rFonts w:ascii="Courier New" w:eastAsia="Times New Roman" w:hAnsi="Courier New" w:cs="Courier New"/>
          <w:color w:val="231F20"/>
          <w:sz w:val="24"/>
          <w:szCs w:val="24"/>
        </w:rPr>
        <w:t>s</w:t>
      </w:r>
      <w:r w:rsidRPr="0096107B">
        <w:rPr>
          <w:rFonts w:ascii="Courier New" w:eastAsia="Times New Roman" w:hAnsi="Courier New" w:cs="Courier New"/>
          <w:color w:val="231F20"/>
          <w:sz w:val="24"/>
          <w:szCs w:val="24"/>
        </w:rPr>
        <w:t>, they are highest among students attending for-profit institutions.</w:t>
      </w:r>
      <w:r w:rsidRPr="0096107B">
        <w:rPr>
          <w:rFonts w:ascii="Courier New" w:eastAsia="Times New Roman" w:hAnsi="Courier New" w:cs="Courier New"/>
          <w:color w:val="231F20"/>
          <w:sz w:val="24"/>
          <w:szCs w:val="24"/>
          <w:vertAlign w:val="superscript"/>
        </w:rPr>
        <w:footnoteReference w:id="34"/>
      </w:r>
      <w:r w:rsidRPr="0096107B">
        <w:rPr>
          <w:rFonts w:ascii="Courier New" w:eastAsia="Times New Roman" w:hAnsi="Courier New" w:cs="Courier New"/>
          <w:sz w:val="24"/>
          <w:szCs w:val="24"/>
          <w:vertAlign w:val="superscript"/>
        </w:rPr>
        <w:t xml:space="preserve"> </w:t>
      </w:r>
      <w:r w:rsidRPr="0096107B">
        <w:rPr>
          <w:rFonts w:ascii="Courier New" w:eastAsia="Times New Roman" w:hAnsi="Courier New" w:cs="Courier New"/>
          <w:sz w:val="24"/>
          <w:szCs w:val="24"/>
          <w:vertAlign w:val="superscript"/>
        </w:rPr>
        <w:footnoteReference w:id="35"/>
      </w:r>
      <w:r w:rsidRPr="0096107B">
        <w:rPr>
          <w:rFonts w:ascii="Courier New" w:eastAsia="Times New Roman" w:hAnsi="Courier New" w:cs="Courier New"/>
          <w:color w:val="231F20"/>
          <w:sz w:val="24"/>
          <w:szCs w:val="24"/>
        </w:rPr>
        <w:t xml:space="preserve">  </w:t>
      </w:r>
      <w:r w:rsidRPr="0096107B">
        <w:rPr>
          <w:rFonts w:ascii="Courier New" w:eastAsia="Times New Roman" w:hAnsi="Courier New" w:cs="Courier New"/>
          <w:sz w:val="24"/>
          <w:szCs w:val="24"/>
        </w:rPr>
        <w:t xml:space="preserve">Approximately 19 percent of borrowers who attended for-profit institutions default on their Federal student loans within the first three years of repayment as compared to about 13 percent of borrowers who </w:t>
      </w:r>
      <w:r w:rsidRPr="0096107B">
        <w:rPr>
          <w:rFonts w:ascii="Courier New" w:eastAsia="Times New Roman" w:hAnsi="Courier New" w:cs="Courier New"/>
          <w:sz w:val="24"/>
          <w:szCs w:val="24"/>
        </w:rPr>
        <w:lastRenderedPageBreak/>
        <w:t>attended public institutions.</w:t>
      </w:r>
      <w:r w:rsidRPr="0096107B">
        <w:rPr>
          <w:rFonts w:ascii="Courier New" w:eastAsia="Times New Roman" w:hAnsi="Courier New" w:cs="Courier New"/>
          <w:sz w:val="24"/>
          <w:szCs w:val="24"/>
          <w:vertAlign w:val="superscript"/>
        </w:rPr>
        <w:footnoteReference w:id="36"/>
      </w:r>
      <w:r w:rsidRPr="0096107B">
        <w:rPr>
          <w:rFonts w:ascii="Courier New" w:eastAsia="Times New Roman" w:hAnsi="Courier New" w:cs="Courier New"/>
          <w:sz w:val="24"/>
          <w:szCs w:val="24"/>
        </w:rPr>
        <w:t xml:space="preserve">  </w:t>
      </w:r>
      <w:r w:rsidRPr="0096107B">
        <w:rPr>
          <w:rFonts w:ascii="Courier New" w:eastAsia="Times New Roman" w:hAnsi="Courier New" w:cs="Courier New"/>
          <w:color w:val="231F20"/>
          <w:sz w:val="24"/>
          <w:szCs w:val="24"/>
        </w:rPr>
        <w:t xml:space="preserve">Estimates of “cumulative lifetime default rates,” based on the number of loans, rather than borrowers, yield  average default rates of 24, 23, and 31 percent, respectively, for public, private, and for-profit two-year institutions in the 2007-2011 cohort years.  Based on estimates using dollars in those same cohort years (rather than loans or borrowers, to estimate defaults) the average lifetime default rate is 50 percent for students who attended two-year for-profit institutions in comparison to 35 percent for students who attended two-year public and </w:t>
      </w:r>
      <w:r>
        <w:rPr>
          <w:rFonts w:ascii="Courier New" w:eastAsia="Times New Roman" w:hAnsi="Courier New" w:cs="Courier New"/>
          <w:color w:val="231F20"/>
          <w:sz w:val="24"/>
          <w:szCs w:val="24"/>
        </w:rPr>
        <w:t xml:space="preserve">non-profit </w:t>
      </w:r>
      <w:r w:rsidRPr="0096107B">
        <w:rPr>
          <w:rFonts w:ascii="Courier New" w:eastAsia="Times New Roman" w:hAnsi="Courier New" w:cs="Courier New"/>
          <w:color w:val="231F20"/>
          <w:sz w:val="24"/>
          <w:szCs w:val="24"/>
        </w:rPr>
        <w:t>private institutions.</w:t>
      </w:r>
      <w:r w:rsidRPr="0096107B">
        <w:rPr>
          <w:rFonts w:ascii="Courier New" w:eastAsia="Times New Roman" w:hAnsi="Courier New" w:cs="Courier New"/>
          <w:color w:val="231F20"/>
          <w:sz w:val="24"/>
          <w:szCs w:val="24"/>
          <w:vertAlign w:val="superscript"/>
        </w:rPr>
        <w:footnoteReference w:id="37"/>
      </w:r>
      <w:r>
        <w:rPr>
          <w:rFonts w:ascii="Courier New" w:eastAsia="Times New Roman" w:hAnsi="Courier New" w:cs="Courier New"/>
          <w:color w:val="231F20"/>
          <w:sz w:val="24"/>
          <w:szCs w:val="24"/>
        </w:rPr>
        <w:t xml:space="preserve">  </w:t>
      </w:r>
      <w:r w:rsidRPr="0096107B">
        <w:rPr>
          <w:rFonts w:ascii="Courier New" w:eastAsia="Times New Roman" w:hAnsi="Courier New" w:cs="Courier New"/>
          <w:sz w:val="24"/>
          <w:szCs w:val="24"/>
        </w:rPr>
        <w:t>Although we included a regression analysis on pCDR</w:t>
      </w:r>
      <w:r>
        <w:rPr>
          <w:rFonts w:ascii="Courier New" w:eastAsia="Times New Roman" w:hAnsi="Courier New" w:cs="Courier New"/>
          <w:sz w:val="24"/>
          <w:szCs w:val="24"/>
        </w:rPr>
        <w:t xml:space="preserve"> and student demographic characteristics, including the percentage of Pell students attending each program,</w:t>
      </w:r>
      <w:r w:rsidRPr="0096107B">
        <w:rPr>
          <w:rFonts w:ascii="Courier New" w:eastAsia="Times New Roman" w:hAnsi="Courier New" w:cs="Courier New"/>
          <w:sz w:val="24"/>
          <w:szCs w:val="24"/>
        </w:rPr>
        <w:t xml:space="preserve"> in the NPRM, we do not respond to comments on this </w:t>
      </w:r>
      <w:r>
        <w:rPr>
          <w:rFonts w:ascii="Courier New" w:eastAsia="Times New Roman" w:hAnsi="Courier New" w:cs="Courier New"/>
          <w:sz w:val="24"/>
          <w:szCs w:val="24"/>
        </w:rPr>
        <w:t>subject</w:t>
      </w:r>
      <w:r w:rsidRPr="0096107B">
        <w:rPr>
          <w:rFonts w:ascii="Courier New" w:eastAsia="Times New Roman" w:hAnsi="Courier New" w:cs="Courier New"/>
          <w:sz w:val="24"/>
          <w:szCs w:val="24"/>
        </w:rPr>
        <w:t xml:space="preserve"> because the regulations no longer include pCDR as an accountability metric to determine eligibility for title IV, HEA program funds.  </w:t>
      </w:r>
    </w:p>
    <w:p w14:paraId="6AD6E9D5" w14:textId="078BD058" w:rsidR="0096107B" w:rsidRPr="0096107B" w:rsidDel="00B73017" w:rsidRDefault="0072431B" w:rsidP="0096107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There is evidence that many programs </w:t>
      </w:r>
      <w:r>
        <w:rPr>
          <w:rFonts w:ascii="Courier New" w:eastAsia="Times New Roman" w:hAnsi="Courier New" w:cs="Courier New"/>
          <w:sz w:val="24"/>
          <w:szCs w:val="24"/>
        </w:rPr>
        <w:t>at for-profit institutions</w:t>
      </w:r>
      <w:r w:rsidR="001E75BE" w:rsidDel="00B73017">
        <w:rPr>
          <w:rFonts w:ascii="Courier New" w:eastAsia="Times New Roman" w:hAnsi="Courier New" w:cs="Courier New"/>
          <w:sz w:val="24"/>
          <w:szCs w:val="24"/>
        </w:rPr>
        <w:t xml:space="preserve"> </w:t>
      </w:r>
      <w:r w:rsidR="0096107B" w:rsidRPr="0096107B" w:rsidDel="00B73017">
        <w:rPr>
          <w:rFonts w:ascii="Courier New" w:eastAsia="Times New Roman" w:hAnsi="Courier New" w:cs="Courier New"/>
          <w:sz w:val="24"/>
          <w:szCs w:val="24"/>
        </w:rPr>
        <w:t xml:space="preserve">may not be preparing students as well as comparable programs at public institutions.  A 2011 GAO report reviewed results of licensing exams for 10 occupations that are, by </w:t>
      </w:r>
      <w:r w:rsidR="0096107B" w:rsidRPr="0096107B" w:rsidDel="00B73017">
        <w:rPr>
          <w:rFonts w:ascii="Courier New" w:eastAsia="Times New Roman" w:hAnsi="Courier New" w:cs="Courier New"/>
          <w:sz w:val="24"/>
          <w:szCs w:val="24"/>
        </w:rPr>
        <w:lastRenderedPageBreak/>
        <w:t>enrollment, among the largest fields of study and found that, for 9 out of 10 licensing exams, graduates of for-profit institutions had lower rates of passing than graduates of public institutions.</w:t>
      </w:r>
      <w:r w:rsidR="0096107B" w:rsidRPr="0096107B" w:rsidDel="00B73017">
        <w:rPr>
          <w:rFonts w:ascii="Courier New" w:eastAsia="Times New Roman" w:hAnsi="Courier New" w:cs="Courier New"/>
          <w:sz w:val="24"/>
          <w:szCs w:val="24"/>
          <w:vertAlign w:val="superscript"/>
        </w:rPr>
        <w:footnoteReference w:id="38"/>
      </w:r>
      <w:r w:rsidR="0096107B" w:rsidRPr="0096107B" w:rsidDel="00B73017">
        <w:rPr>
          <w:rFonts w:ascii="Courier New" w:eastAsia="Times New Roman" w:hAnsi="Courier New" w:cs="Courier New"/>
          <w:sz w:val="24"/>
          <w:szCs w:val="24"/>
        </w:rPr>
        <w:t xml:space="preserve">  </w:t>
      </w:r>
    </w:p>
    <w:p w14:paraId="51D5815F" w14:textId="19C46A75" w:rsidR="0096107B" w:rsidRP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Many for-profit institutions devote greater resources to recruiting and marketing than they do to instruction or to student support services.</w:t>
      </w:r>
      <w:r w:rsidRPr="0096107B" w:rsidDel="00B73017">
        <w:rPr>
          <w:rFonts w:ascii="Courier New" w:eastAsia="Times New Roman" w:hAnsi="Courier New" w:cs="Courier New"/>
          <w:sz w:val="24"/>
          <w:szCs w:val="24"/>
          <w:vertAlign w:val="superscript"/>
        </w:rPr>
        <w:footnoteReference w:id="39"/>
      </w:r>
      <w:r w:rsidRPr="0096107B" w:rsidDel="00B73017">
        <w:rPr>
          <w:rFonts w:ascii="Courier New" w:eastAsia="Times New Roman" w:hAnsi="Courier New" w:cs="Courier New"/>
          <w:sz w:val="24"/>
          <w:szCs w:val="24"/>
        </w:rPr>
        <w:t xml:space="preserve">  An investigation by the U.S. Senate Committee on Health, Education, Labor &amp; Pensions (Senate HELP Committee) of </w:t>
      </w:r>
      <w:r w:rsidR="0072431B">
        <w:rPr>
          <w:rFonts w:ascii="Courier New" w:eastAsia="Times New Roman" w:hAnsi="Courier New" w:cs="Courier New"/>
          <w:sz w:val="24"/>
          <w:szCs w:val="24"/>
        </w:rPr>
        <w:t>30</w:t>
      </w:r>
      <w:r w:rsidR="00C25025"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prominent for-profit institutions found that almost 23 percent of revenues were spent on marketing and recruiting but only 17 percent on instruction.</w:t>
      </w:r>
      <w:r w:rsidRPr="0096107B" w:rsidDel="00B73017">
        <w:rPr>
          <w:rFonts w:ascii="Courier New" w:eastAsia="Times New Roman" w:hAnsi="Courier New" w:cs="Courier New"/>
          <w:sz w:val="24"/>
          <w:szCs w:val="24"/>
          <w:vertAlign w:val="superscript"/>
        </w:rPr>
        <w:footnoteReference w:id="40"/>
      </w:r>
      <w:r w:rsidRPr="0096107B" w:rsidDel="00B73017">
        <w:rPr>
          <w:rFonts w:ascii="Courier New" w:eastAsia="Times New Roman" w:hAnsi="Courier New" w:cs="Courier New"/>
          <w:sz w:val="24"/>
          <w:szCs w:val="24"/>
        </w:rPr>
        <w:t xml:space="preserve">  A review of useable data provided by some of the institutions that were investigated showed that they employed 35,202 recruiters compared with 3,512 career services staff and 12,452 support services staff.</w:t>
      </w:r>
      <w:r w:rsidRPr="0096107B" w:rsidDel="00B73017">
        <w:rPr>
          <w:rFonts w:ascii="Courier New" w:eastAsia="Times New Roman" w:hAnsi="Courier New" w:cs="Courier New"/>
          <w:sz w:val="24"/>
          <w:szCs w:val="24"/>
          <w:vertAlign w:val="superscript"/>
        </w:rPr>
        <w:footnoteReference w:id="41"/>
      </w:r>
    </w:p>
    <w:p w14:paraId="1D062220" w14:textId="4C07CED0" w:rsidR="0096107B" w:rsidRP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We disagree with the commenters who </w:t>
      </w:r>
      <w:r w:rsidR="0072431B">
        <w:rPr>
          <w:rFonts w:ascii="Courier New" w:eastAsia="Times New Roman" w:hAnsi="Courier New" w:cs="Courier New"/>
          <w:sz w:val="24"/>
          <w:szCs w:val="24"/>
        </w:rPr>
        <w:t>asserted</w:t>
      </w:r>
      <w:r w:rsidR="00AD3F6F" w:rsidDel="00B73017">
        <w:rPr>
          <w:rFonts w:ascii="Courier New" w:eastAsia="Times New Roman" w:hAnsi="Courier New" w:cs="Courier New"/>
          <w:sz w:val="24"/>
          <w:szCs w:val="24"/>
        </w:rPr>
        <w:t xml:space="preserve"> that</w:t>
      </w:r>
      <w:r w:rsidR="00AD3F6F"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 xml:space="preserve">the Department’s reference to the findings presented in the GAO and Senate HELP Committee staff reports are inappropriate because the GAO report (on which the Senate HELP Committee report partially relied) contained errors and misleading testimony.  We </w:t>
      </w:r>
      <w:r w:rsidRPr="0096107B" w:rsidDel="00B73017">
        <w:rPr>
          <w:rFonts w:ascii="Courier New" w:eastAsia="Times New Roman" w:hAnsi="Courier New" w:cs="Courier New"/>
          <w:sz w:val="24"/>
          <w:szCs w:val="24"/>
        </w:rPr>
        <w:lastRenderedPageBreak/>
        <w:t xml:space="preserve">rely upon available data presented in the re-released version of the GAO report.  Because GAO included these data and conclusions on licensure passage rates in their re-released version, we believe this evidence is reliable and appropriate to reference in support of the regulations.  </w:t>
      </w:r>
      <w:r w:rsidR="0072431B">
        <w:rPr>
          <w:rFonts w:ascii="Courier New" w:eastAsia="Times New Roman" w:hAnsi="Courier New" w:cs="Courier New"/>
          <w:sz w:val="24"/>
          <w:szCs w:val="24"/>
        </w:rPr>
        <w:t>Also, w</w:t>
      </w:r>
      <w:r w:rsidR="0072431B" w:rsidRPr="0096107B">
        <w:rPr>
          <w:rFonts w:ascii="Courier New" w:eastAsia="Times New Roman" w:hAnsi="Courier New" w:cs="Courier New"/>
          <w:sz w:val="24"/>
          <w:szCs w:val="24"/>
        </w:rPr>
        <w:t xml:space="preserve">e </w:t>
      </w:r>
      <w:r w:rsidR="0072431B">
        <w:rPr>
          <w:rFonts w:ascii="Courier New" w:eastAsia="Times New Roman" w:hAnsi="Courier New" w:cs="Courier New"/>
          <w:sz w:val="24"/>
          <w:szCs w:val="24"/>
        </w:rPr>
        <w:t>note</w:t>
      </w:r>
      <w:r w:rsidRPr="0096107B" w:rsidDel="00B73017">
        <w:rPr>
          <w:rFonts w:ascii="Courier New" w:eastAsia="Times New Roman" w:hAnsi="Courier New" w:cs="Courier New"/>
          <w:sz w:val="24"/>
          <w:szCs w:val="24"/>
        </w:rPr>
        <w:t xml:space="preserve"> that </w:t>
      </w:r>
      <w:r w:rsidR="00D6124F" w:rsidDel="00B73017">
        <w:rPr>
          <w:rFonts w:ascii="Courier New" w:eastAsia="Times New Roman" w:hAnsi="Courier New" w:cs="Courier New"/>
          <w:sz w:val="24"/>
          <w:szCs w:val="24"/>
        </w:rPr>
        <w:t xml:space="preserve">the </w:t>
      </w:r>
      <w:r w:rsidRPr="0096107B" w:rsidDel="00B73017">
        <w:rPr>
          <w:rFonts w:ascii="Courier New" w:eastAsia="Times New Roman" w:hAnsi="Courier New" w:cs="Courier New"/>
          <w:sz w:val="24"/>
          <w:szCs w:val="24"/>
        </w:rPr>
        <w:t>evidence we use from the Senate HELP Committee report</w:t>
      </w:r>
      <w:r w:rsidRPr="0096107B" w:rsidDel="00B73017">
        <w:rPr>
          <w:rFonts w:ascii="Courier New" w:eastAsia="Times New Roman" w:hAnsi="Courier New"/>
          <w:sz w:val="24"/>
          <w:szCs w:val="24"/>
          <w:vertAlign w:val="superscript"/>
        </w:rPr>
        <w:footnoteReference w:id="42"/>
      </w:r>
      <w:r w:rsidRPr="0096107B" w:rsidDel="00B73017">
        <w:rPr>
          <w:rFonts w:ascii="Courier New" w:eastAsia="Times New Roman" w:hAnsi="Courier New" w:cs="Courier New"/>
          <w:sz w:val="24"/>
          <w:szCs w:val="24"/>
        </w:rPr>
        <w:t xml:space="preserve"> is reliable because the data the report is based on are </w:t>
      </w:r>
      <w:r w:rsidR="00D6124F" w:rsidDel="00B73017">
        <w:rPr>
          <w:rFonts w:ascii="Courier New" w:eastAsia="Times New Roman" w:hAnsi="Courier New" w:cs="Courier New"/>
          <w:sz w:val="24"/>
          <w:szCs w:val="24"/>
        </w:rPr>
        <w:t xml:space="preserve">readily available and has been subject to </w:t>
      </w:r>
      <w:r w:rsidR="0072431B">
        <w:rPr>
          <w:rFonts w:ascii="Courier New" w:eastAsia="Times New Roman" w:hAnsi="Courier New" w:cs="Courier New"/>
          <w:sz w:val="24"/>
          <w:szCs w:val="24"/>
        </w:rPr>
        <w:t>public</w:t>
      </w:r>
      <w:r w:rsidR="00D6124F" w:rsidDel="00B73017">
        <w:rPr>
          <w:rFonts w:ascii="Courier New" w:eastAsia="Times New Roman" w:hAnsi="Courier New" w:cs="Courier New"/>
          <w:sz w:val="24"/>
          <w:szCs w:val="24"/>
        </w:rPr>
        <w:t xml:space="preserve"> review.  </w:t>
      </w:r>
      <w:r w:rsidRPr="0096107B" w:rsidDel="00B73017">
        <w:rPr>
          <w:rFonts w:ascii="Courier New" w:eastAsia="Times New Roman" w:hAnsi="Courier New" w:cs="Courier New"/>
          <w:sz w:val="24"/>
          <w:szCs w:val="24"/>
        </w:rPr>
        <w:t xml:space="preserve">We do not rely upon qualitative testimony presented by the Committee.  </w:t>
      </w:r>
      <w:r w:rsidR="0072431B" w:rsidRPr="0096107B">
        <w:rPr>
          <w:rFonts w:ascii="Courier New" w:eastAsia="Times New Roman" w:hAnsi="Courier New" w:cs="Courier New"/>
          <w:sz w:val="24"/>
          <w:szCs w:val="24"/>
        </w:rPr>
        <w:t>We</w:t>
      </w:r>
      <w:r w:rsidRPr="0096107B" w:rsidDel="00B73017">
        <w:rPr>
          <w:rFonts w:ascii="Courier New" w:eastAsia="Times New Roman" w:hAnsi="Courier New" w:cs="Courier New"/>
          <w:sz w:val="24"/>
          <w:szCs w:val="24"/>
        </w:rPr>
        <w:t xml:space="preserve"> referenced in the </w:t>
      </w:r>
      <w:r w:rsidR="0072431B" w:rsidRPr="0096107B">
        <w:rPr>
          <w:rFonts w:ascii="Courier New" w:eastAsia="Times New Roman" w:hAnsi="Courier New" w:cs="Courier New"/>
          <w:sz w:val="24"/>
          <w:szCs w:val="24"/>
        </w:rPr>
        <w:t xml:space="preserve">NPRM </w:t>
      </w:r>
      <w:r w:rsidRPr="0096107B" w:rsidDel="00B73017">
        <w:rPr>
          <w:rFonts w:ascii="Courier New" w:eastAsia="Times New Roman" w:hAnsi="Courier New" w:cs="Courier New"/>
          <w:sz w:val="24"/>
          <w:szCs w:val="24"/>
        </w:rPr>
        <w:t xml:space="preserve">some descriptions and characterizations </w:t>
      </w:r>
      <w:r w:rsidR="0072431B">
        <w:rPr>
          <w:rFonts w:ascii="Courier New" w:eastAsia="Times New Roman" w:hAnsi="Courier New" w:cs="Courier New"/>
          <w:sz w:val="24"/>
          <w:szCs w:val="24"/>
        </w:rPr>
        <w:t>from</w:t>
      </w:r>
      <w:r w:rsidR="00911DE0"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 xml:space="preserve">the HELP and GAO reports of abusive conduct by for-profit institutions, but those </w:t>
      </w:r>
      <w:r w:rsidR="00911DE0" w:rsidDel="00B73017">
        <w:rPr>
          <w:rFonts w:ascii="Courier New" w:eastAsia="Times New Roman" w:hAnsi="Courier New" w:cs="Courier New"/>
          <w:sz w:val="24"/>
          <w:szCs w:val="24"/>
        </w:rPr>
        <w:t xml:space="preserve">descriptions and </w:t>
      </w:r>
      <w:r w:rsidRPr="0096107B" w:rsidDel="00B73017">
        <w:rPr>
          <w:rFonts w:ascii="Courier New" w:eastAsia="Times New Roman" w:hAnsi="Courier New" w:cs="Courier New"/>
          <w:sz w:val="24"/>
          <w:szCs w:val="24"/>
        </w:rPr>
        <w:t xml:space="preserve">characterizations were incidental to </w:t>
      </w:r>
      <w:r w:rsidR="0072431B">
        <w:rPr>
          <w:rFonts w:ascii="Courier New" w:eastAsia="Times New Roman" w:hAnsi="Courier New" w:cs="Courier New"/>
          <w:sz w:val="24"/>
          <w:szCs w:val="24"/>
        </w:rPr>
        <w:t>our</w:t>
      </w:r>
      <w:r w:rsidR="00A1061C"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discussion</w:t>
      </w:r>
      <w:r w:rsidR="00A1061C" w:rsidDel="00B73017">
        <w:rPr>
          <w:rFonts w:ascii="Courier New" w:eastAsia="Times New Roman" w:hAnsi="Courier New" w:cs="Courier New"/>
          <w:sz w:val="24"/>
          <w:szCs w:val="24"/>
        </w:rPr>
        <w:t xml:space="preserve"> and rationale</w:t>
      </w:r>
      <w:r w:rsidRPr="0096107B" w:rsidDel="00B73017">
        <w:rPr>
          <w:rFonts w:ascii="Courier New" w:eastAsia="Times New Roman" w:hAnsi="Courier New" w:cs="Courier New"/>
          <w:sz w:val="24"/>
          <w:szCs w:val="24"/>
        </w:rPr>
        <w:t>.</w:t>
      </w:r>
      <w:r w:rsidRPr="0096107B" w:rsidDel="00B73017">
        <w:rPr>
          <w:rFonts w:ascii="Courier New" w:eastAsia="Times New Roman" w:hAnsi="Courier New"/>
          <w:sz w:val="24"/>
          <w:szCs w:val="24"/>
          <w:vertAlign w:val="superscript"/>
        </w:rPr>
        <w:footnoteReference w:id="43"/>
      </w:r>
      <w:r w:rsidRPr="0096107B" w:rsidDel="00B73017">
        <w:rPr>
          <w:rFonts w:ascii="Courier New" w:eastAsia="Times New Roman" w:hAnsi="Courier New" w:cs="Courier New"/>
          <w:sz w:val="24"/>
          <w:szCs w:val="24"/>
        </w:rPr>
        <w:t xml:space="preserve">  We make clear in the NPRM our “primary concern”--that a number of GE programs are not providing effective training and are training for low-paying jobs that do not justify costs of borrowing.  79 FR 16433.  </w:t>
      </w:r>
      <w:r w:rsidR="0072431B" w:rsidRPr="0096107B">
        <w:rPr>
          <w:rFonts w:ascii="Courier New" w:eastAsia="Times New Roman" w:hAnsi="Courier New" w:cs="Courier New"/>
          <w:sz w:val="24"/>
          <w:szCs w:val="24"/>
        </w:rPr>
        <w:t>We state</w:t>
      </w:r>
      <w:r w:rsidR="0072431B">
        <w:rPr>
          <w:rFonts w:ascii="Courier New" w:eastAsia="Times New Roman" w:hAnsi="Courier New" w:cs="Courier New"/>
          <w:sz w:val="24"/>
          <w:szCs w:val="24"/>
        </w:rPr>
        <w:t>d</w:t>
      </w:r>
      <w:r w:rsidRPr="0096107B" w:rsidDel="00B73017">
        <w:rPr>
          <w:rFonts w:ascii="Courier New" w:eastAsia="Times New Roman" w:hAnsi="Courier New" w:cs="Courier New"/>
          <w:sz w:val="24"/>
          <w:szCs w:val="24"/>
        </w:rPr>
        <w:t xml:space="preserve"> that the causes of these problems are “numerous</w:t>
      </w:r>
      <w:r w:rsidR="0072431B">
        <w:rPr>
          <w:rFonts w:ascii="Courier New" w:eastAsia="Times New Roman" w:hAnsi="Courier New" w:cs="Courier New"/>
          <w:sz w:val="24"/>
          <w:szCs w:val="24"/>
        </w:rPr>
        <w:t>;</w:t>
      </w:r>
      <w:r w:rsidR="0072431B" w:rsidRPr="0096107B">
        <w:rPr>
          <w:rFonts w:ascii="Courier New" w:eastAsia="Times New Roman" w:hAnsi="Courier New" w:cs="Courier New"/>
          <w:sz w:val="24"/>
          <w:szCs w:val="24"/>
        </w:rPr>
        <w:t xml:space="preserve">” we </w:t>
      </w:r>
      <w:r w:rsidR="0072431B" w:rsidRPr="0096107B">
        <w:rPr>
          <w:rFonts w:ascii="Courier New" w:eastAsia="Times New Roman" w:hAnsi="Courier New" w:cs="Courier New"/>
          <w:sz w:val="24"/>
          <w:szCs w:val="24"/>
        </w:rPr>
        <w:lastRenderedPageBreak/>
        <w:t>list</w:t>
      </w:r>
      <w:r w:rsidR="0072431B">
        <w:rPr>
          <w:rFonts w:ascii="Courier New" w:eastAsia="Times New Roman" w:hAnsi="Courier New" w:cs="Courier New"/>
          <w:sz w:val="24"/>
          <w:szCs w:val="24"/>
        </w:rPr>
        <w:t>ed</w:t>
      </w:r>
      <w:r w:rsidRPr="0096107B" w:rsidDel="00B73017">
        <w:rPr>
          <w:rFonts w:ascii="Courier New" w:eastAsia="Times New Roman" w:hAnsi="Courier New" w:cs="Courier New"/>
          <w:sz w:val="24"/>
          <w:szCs w:val="24"/>
        </w:rPr>
        <w:t xml:space="preserve"> five causes, the last of which is the deceptive marketing practices on which the two reports focus.</w:t>
      </w:r>
      <w:r w:rsidR="00AD1B67" w:rsidRPr="0096107B" w:rsidDel="00B73017">
        <w:rPr>
          <w:rFonts w:ascii="Courier New" w:eastAsia="Times New Roman" w:hAnsi="Courier New"/>
          <w:sz w:val="24"/>
          <w:szCs w:val="24"/>
          <w:vertAlign w:val="superscript"/>
        </w:rPr>
        <w:footnoteReference w:id="44"/>
      </w:r>
      <w:r w:rsidRPr="0096107B" w:rsidDel="00B73017">
        <w:rPr>
          <w:rFonts w:ascii="Courier New" w:eastAsia="Times New Roman" w:hAnsi="Courier New" w:cs="Courier New"/>
          <w:sz w:val="24"/>
          <w:szCs w:val="24"/>
        </w:rPr>
        <w:t xml:space="preserve">  </w:t>
      </w:r>
      <w:r w:rsidR="00E73DBF" w:rsidDel="00B73017">
        <w:rPr>
          <w:rFonts w:ascii="Courier New" w:eastAsia="Times New Roman" w:hAnsi="Courier New" w:cs="Courier New"/>
          <w:sz w:val="24"/>
          <w:szCs w:val="24"/>
        </w:rPr>
        <w:t xml:space="preserve">Moreover, </w:t>
      </w:r>
      <w:r w:rsidR="0072431B">
        <w:rPr>
          <w:rFonts w:ascii="Courier New" w:eastAsia="Times New Roman" w:hAnsi="Courier New" w:cs="Courier New"/>
          <w:sz w:val="24"/>
          <w:szCs w:val="24"/>
        </w:rPr>
        <w:t>t</w:t>
      </w:r>
      <w:r w:rsidR="0072431B" w:rsidRPr="0096107B">
        <w:rPr>
          <w:rFonts w:ascii="Courier New" w:eastAsia="Times New Roman" w:hAnsi="Courier New" w:cs="Courier New"/>
          <w:sz w:val="24"/>
          <w:szCs w:val="24"/>
        </w:rPr>
        <w:t>he</w:t>
      </w:r>
      <w:r w:rsidRPr="0096107B" w:rsidDel="00B73017">
        <w:rPr>
          <w:rFonts w:ascii="Courier New" w:eastAsia="Times New Roman" w:hAnsi="Courier New" w:cs="Courier New"/>
          <w:sz w:val="24"/>
          <w:szCs w:val="24"/>
        </w:rPr>
        <w:t xml:space="preserve"> two reports were hardly the only evidence we cited of such practices.  79 FR 16435.  More pertinent to the commenter’s objection, these regulations are not adopted to impose sanctions on schools that engage in misrepresentations; the Department has already adopted rules to address enforcement actions for misrepresentations by institutions regarding, among other things, their educational programs and the employability of their graduates.  </w:t>
      </w:r>
      <w:r w:rsidR="0072431B" w:rsidRPr="008467CF">
        <w:rPr>
          <w:rFonts w:ascii="Courier New" w:eastAsia="Times New Roman" w:hAnsi="Courier New" w:cs="Courier New"/>
          <w:sz w:val="24"/>
          <w:szCs w:val="24"/>
          <w:u w:val="single"/>
        </w:rPr>
        <w:t>See</w:t>
      </w:r>
      <w:r w:rsidRPr="0096107B" w:rsidDel="00B73017">
        <w:rPr>
          <w:rFonts w:ascii="Courier New" w:eastAsia="Times New Roman" w:hAnsi="Courier New" w:cs="Courier New"/>
          <w:sz w:val="24"/>
          <w:szCs w:val="24"/>
        </w:rPr>
        <w:t xml:space="preserve"> 34 CFR part 668, subpart F.  </w:t>
      </w:r>
      <w:r w:rsidR="00AB0479" w:rsidDel="00B73017">
        <w:rPr>
          <w:rFonts w:ascii="Courier New" w:eastAsia="Times New Roman" w:hAnsi="Courier New" w:cs="Courier New"/>
          <w:sz w:val="24"/>
          <w:szCs w:val="24"/>
        </w:rPr>
        <w:t>Rather</w:t>
      </w:r>
      <w:r w:rsidRPr="0096107B" w:rsidDel="00B73017">
        <w:rPr>
          <w:rFonts w:ascii="Courier New" w:eastAsia="Times New Roman" w:hAnsi="Courier New" w:cs="Courier New"/>
          <w:sz w:val="24"/>
          <w:szCs w:val="24"/>
        </w:rPr>
        <w:t xml:space="preserve">, we concluded that these regulations </w:t>
      </w:r>
      <w:r w:rsidR="0072431B">
        <w:rPr>
          <w:rFonts w:ascii="Courier New" w:eastAsia="Times New Roman" w:hAnsi="Courier New" w:cs="Courier New"/>
          <w:sz w:val="24"/>
          <w:szCs w:val="24"/>
        </w:rPr>
        <w:t>a</w:t>
      </w:r>
      <w:r w:rsidR="0072431B" w:rsidRPr="0096107B">
        <w:rPr>
          <w:rFonts w:ascii="Courier New" w:eastAsia="Times New Roman" w:hAnsi="Courier New" w:cs="Courier New"/>
          <w:sz w:val="24"/>
          <w:szCs w:val="24"/>
        </w:rPr>
        <w:t>re</w:t>
      </w:r>
      <w:r w:rsidR="00AB0479"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 xml:space="preserve">needed based on our analysis of the data and literature, and </w:t>
      </w:r>
      <w:r w:rsidR="0072431B" w:rsidRPr="0096107B">
        <w:rPr>
          <w:rFonts w:ascii="Courier New" w:eastAsia="Times New Roman" w:hAnsi="Courier New" w:cs="Courier New"/>
          <w:sz w:val="24"/>
          <w:szCs w:val="24"/>
        </w:rPr>
        <w:t>our</w:t>
      </w:r>
      <w:r w:rsidRPr="0096107B" w:rsidDel="00B73017">
        <w:rPr>
          <w:rFonts w:ascii="Courier New" w:eastAsia="Times New Roman" w:hAnsi="Courier New" w:cs="Courier New"/>
          <w:sz w:val="24"/>
          <w:szCs w:val="24"/>
        </w:rPr>
        <w:t xml:space="preserve"> objectives </w:t>
      </w:r>
      <w:r w:rsidR="0072431B" w:rsidRPr="0096107B">
        <w:rPr>
          <w:rFonts w:ascii="Courier New" w:eastAsia="Times New Roman" w:hAnsi="Courier New" w:cs="Courier New"/>
          <w:sz w:val="24"/>
          <w:szCs w:val="24"/>
        </w:rPr>
        <w:t xml:space="preserve">in </w:t>
      </w:r>
      <w:r w:rsidRPr="0096107B" w:rsidDel="00B73017">
        <w:rPr>
          <w:rFonts w:ascii="Courier New" w:eastAsia="Times New Roman" w:hAnsi="Courier New" w:cs="Courier New"/>
          <w:sz w:val="24"/>
          <w:szCs w:val="24"/>
        </w:rPr>
        <w:t xml:space="preserve">these regulations are to </w:t>
      </w:r>
      <w:r w:rsidR="0072431B" w:rsidRPr="0096107B">
        <w:rPr>
          <w:rFonts w:ascii="Courier New" w:eastAsia="Times New Roman" w:hAnsi="Courier New" w:cs="Courier New"/>
          <w:sz w:val="24"/>
          <w:szCs w:val="24"/>
        </w:rPr>
        <w:t>establish</w:t>
      </w:r>
      <w:r w:rsidRPr="0096107B" w:rsidDel="00B73017">
        <w:rPr>
          <w:rFonts w:ascii="Courier New" w:eastAsia="Times New Roman" w:hAnsi="Courier New" w:cs="Courier New"/>
          <w:sz w:val="24"/>
          <w:szCs w:val="24"/>
        </w:rPr>
        <w:t xml:space="preserve"> standards to determine whether a GE program is an eligible program and to </w:t>
      </w:r>
      <w:r w:rsidR="0072431B" w:rsidRPr="0096107B">
        <w:rPr>
          <w:rFonts w:ascii="Courier New" w:eastAsia="Times New Roman" w:hAnsi="Courier New" w:cs="Courier New"/>
          <w:sz w:val="24"/>
          <w:szCs w:val="24"/>
        </w:rPr>
        <w:t>provide</w:t>
      </w:r>
      <w:r w:rsidRPr="0096107B" w:rsidDel="00B73017">
        <w:rPr>
          <w:rFonts w:ascii="Courier New" w:eastAsia="Times New Roman" w:hAnsi="Courier New" w:cs="Courier New"/>
          <w:sz w:val="24"/>
          <w:szCs w:val="24"/>
        </w:rPr>
        <w:t xml:space="preserve"> important disclosures to students and prospective students.  We need not rely on reports that indicate predatory and abusive behavior in order to conclude that a test is needed to determine whether a program is in fact one that prepares students </w:t>
      </w:r>
      <w:r w:rsidR="0072431B" w:rsidRPr="0096107B">
        <w:rPr>
          <w:rFonts w:ascii="Courier New" w:eastAsia="Times New Roman" w:hAnsi="Courier New" w:cs="Courier New"/>
          <w:sz w:val="24"/>
          <w:szCs w:val="24"/>
        </w:rPr>
        <w:t>for “gainful employment.”</w:t>
      </w:r>
      <w:r w:rsidRPr="0096107B" w:rsidDel="00B73017">
        <w:rPr>
          <w:rFonts w:ascii="Courier New" w:eastAsia="Times New Roman" w:hAnsi="Courier New" w:cs="Courier New"/>
          <w:sz w:val="24"/>
          <w:szCs w:val="24"/>
        </w:rPr>
        <w:t xml:space="preserve"> </w:t>
      </w:r>
    </w:p>
    <w:p w14:paraId="0F57E2FF" w14:textId="2EE7F98C" w:rsid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color w:val="000000"/>
          <w:sz w:val="24"/>
          <w:szCs w:val="24"/>
          <w:shd w:val="clear" w:color="auto" w:fill="FFFFFF"/>
        </w:rPr>
      </w:pPr>
      <w:r w:rsidRPr="0096107B" w:rsidDel="00B73017">
        <w:rPr>
          <w:rFonts w:ascii="Courier New" w:eastAsia="Times New Roman" w:hAnsi="Courier New" w:cs="Courier New"/>
          <w:sz w:val="24"/>
          <w:szCs w:val="24"/>
        </w:rPr>
        <w:t xml:space="preserve">Lower rates of completion at many for-profit institutions are a cause for concern.  </w:t>
      </w:r>
      <w:r w:rsidRPr="0096107B" w:rsidDel="00B73017">
        <w:rPr>
          <w:rFonts w:ascii="Courier New" w:eastAsia="Times New Roman" w:hAnsi="Courier New" w:cs="Courier New"/>
          <w:color w:val="000000"/>
          <w:sz w:val="24"/>
          <w:szCs w:val="24"/>
          <w:shd w:val="clear" w:color="auto" w:fill="FFFFFF"/>
        </w:rPr>
        <w:t xml:space="preserve">The six-year degree/certificate attainment rate of first-time undergraduate students who began </w:t>
      </w:r>
      <w:r w:rsidRPr="0096107B" w:rsidDel="00B73017">
        <w:rPr>
          <w:rFonts w:ascii="Courier New" w:eastAsia="Times New Roman" w:hAnsi="Courier New" w:cs="Courier New"/>
          <w:color w:val="000000"/>
          <w:sz w:val="24"/>
          <w:szCs w:val="24"/>
          <w:shd w:val="clear" w:color="auto" w:fill="FFFFFF"/>
        </w:rPr>
        <w:lastRenderedPageBreak/>
        <w:t>at a four-year degree-granting institution in 2003-2004 was 34 percent at for-profit institutions in comparison to 67 percent at public institutions.</w:t>
      </w:r>
      <w:r w:rsidR="0063777B" w:rsidRPr="0096107B">
        <w:rPr>
          <w:rFonts w:ascii="Courier New" w:eastAsia="Times New Roman" w:hAnsi="Courier New" w:cs="Courier New"/>
          <w:color w:val="000000"/>
          <w:sz w:val="24"/>
          <w:szCs w:val="24"/>
          <w:vertAlign w:val="superscript"/>
        </w:rPr>
        <w:footnoteReference w:id="45"/>
      </w:r>
      <w:r w:rsidRPr="0096107B" w:rsidDel="00B73017">
        <w:rPr>
          <w:rFonts w:ascii="Courier New" w:eastAsia="Times New Roman" w:hAnsi="Courier New" w:cs="Courier New"/>
          <w:color w:val="000000"/>
          <w:sz w:val="24"/>
          <w:szCs w:val="24"/>
          <w:shd w:val="clear" w:color="auto" w:fill="FFFFFF"/>
        </w:rPr>
        <w:t xml:space="preserve"> </w:t>
      </w:r>
      <w:r w:rsidRPr="0096107B" w:rsidDel="00B73017">
        <w:rPr>
          <w:rFonts w:ascii="Courier New" w:eastAsia="Times New Roman" w:hAnsi="Courier New" w:cs="Courier New"/>
          <w:color w:val="000000"/>
          <w:sz w:val="24"/>
          <w:szCs w:val="24"/>
        </w:rPr>
        <w:t> </w:t>
      </w:r>
      <w:r w:rsidR="0072431B" w:rsidRPr="0096107B">
        <w:rPr>
          <w:rFonts w:ascii="Courier New" w:eastAsia="Times New Roman" w:hAnsi="Courier New" w:cs="Courier New"/>
          <w:color w:val="000000"/>
          <w:sz w:val="24"/>
          <w:szCs w:val="24"/>
          <w:shd w:val="clear" w:color="auto" w:fill="FFFFFF"/>
        </w:rPr>
        <w:t xml:space="preserve">However, it is important to note that, among first-time undergraduate students who began at a two-year degree-granting institution in 2003-2004, the six-year </w:t>
      </w:r>
      <w:r w:rsidR="0072431B">
        <w:rPr>
          <w:rFonts w:ascii="Courier New" w:eastAsia="Times New Roman" w:hAnsi="Courier New" w:cs="Courier New"/>
          <w:color w:val="000000"/>
          <w:sz w:val="24"/>
          <w:szCs w:val="24"/>
          <w:shd w:val="clear" w:color="auto" w:fill="FFFFFF"/>
        </w:rPr>
        <w:t>degree/certification</w:t>
      </w:r>
      <w:r w:rsidRPr="0096107B" w:rsidDel="00B73017">
        <w:rPr>
          <w:rFonts w:ascii="Courier New" w:eastAsia="Times New Roman" w:hAnsi="Courier New" w:cs="Courier New"/>
          <w:color w:val="000000"/>
          <w:sz w:val="24"/>
          <w:szCs w:val="24"/>
          <w:shd w:val="clear" w:color="auto" w:fill="FFFFFF"/>
        </w:rPr>
        <w:t xml:space="preserve"> </w:t>
      </w:r>
      <w:r w:rsidR="00E43CFD" w:rsidDel="00B73017">
        <w:rPr>
          <w:rFonts w:ascii="Courier New" w:eastAsia="Times New Roman" w:hAnsi="Courier New" w:cs="Courier New"/>
          <w:color w:val="000000"/>
          <w:sz w:val="24"/>
          <w:szCs w:val="24"/>
          <w:shd w:val="clear" w:color="auto" w:fill="FFFFFF"/>
        </w:rPr>
        <w:t>attainment</w:t>
      </w:r>
      <w:r w:rsidR="00E43CFD" w:rsidRPr="0096107B" w:rsidDel="00B73017">
        <w:rPr>
          <w:rFonts w:ascii="Courier New" w:eastAsia="Times New Roman" w:hAnsi="Courier New" w:cs="Courier New"/>
          <w:color w:val="000000"/>
          <w:sz w:val="24"/>
          <w:szCs w:val="24"/>
          <w:shd w:val="clear" w:color="auto" w:fill="FFFFFF"/>
        </w:rPr>
        <w:t xml:space="preserve"> </w:t>
      </w:r>
      <w:r w:rsidRPr="0096107B" w:rsidDel="00B73017">
        <w:rPr>
          <w:rFonts w:ascii="Courier New" w:eastAsia="Times New Roman" w:hAnsi="Courier New" w:cs="Courier New"/>
          <w:color w:val="000000"/>
          <w:sz w:val="24"/>
          <w:szCs w:val="24"/>
          <w:shd w:val="clear" w:color="auto" w:fill="FFFFFF"/>
        </w:rPr>
        <w:t>rate was 40 percent at for-profit institutions compared to 35 percent at public institutions.</w:t>
      </w:r>
      <w:r w:rsidRPr="0096107B" w:rsidDel="00B73017">
        <w:rPr>
          <w:rFonts w:ascii="Courier New" w:eastAsia="Times New Roman" w:hAnsi="Courier New" w:cs="Courier New"/>
          <w:color w:val="000000"/>
          <w:sz w:val="24"/>
          <w:szCs w:val="24"/>
          <w:vertAlign w:val="superscript"/>
        </w:rPr>
        <w:footnoteReference w:id="46"/>
      </w:r>
      <w:r w:rsidRPr="0096107B" w:rsidDel="00B73017">
        <w:rPr>
          <w:rFonts w:ascii="Courier New" w:eastAsia="Times New Roman" w:hAnsi="Courier New" w:cs="Courier New"/>
          <w:color w:val="000000"/>
          <w:sz w:val="24"/>
          <w:szCs w:val="24"/>
          <w:shd w:val="clear" w:color="auto" w:fill="FFFFFF"/>
        </w:rPr>
        <w:t xml:space="preserve">  </w:t>
      </w:r>
      <w:r w:rsidR="00447B52" w:rsidDel="00B73017">
        <w:rPr>
          <w:rFonts w:ascii="Courier New" w:eastAsia="Times New Roman" w:hAnsi="Courier New" w:cs="Courier New"/>
          <w:color w:val="000000"/>
          <w:sz w:val="24"/>
          <w:szCs w:val="24"/>
          <w:shd w:val="clear" w:color="auto" w:fill="FFFFFF"/>
        </w:rPr>
        <w:t xml:space="preserve">We note that, as suggested by a commenter, completion rates for only open-enrollment institutions may be different than those discussed here.  </w:t>
      </w:r>
    </w:p>
    <w:p w14:paraId="7070836F" w14:textId="21702677" w:rsidR="0096107B" w:rsidRPr="0096107B" w:rsidDel="00B73017" w:rsidRDefault="0072431B" w:rsidP="00030DBA">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color w:val="000000"/>
          <w:sz w:val="24"/>
          <w:szCs w:val="24"/>
          <w:shd w:val="clear" w:color="auto" w:fill="FFFFFF"/>
        </w:rPr>
        <w:t xml:space="preserve">The slightly lower </w:t>
      </w:r>
      <w:r>
        <w:rPr>
          <w:rFonts w:ascii="Courier New" w:eastAsia="Times New Roman" w:hAnsi="Courier New" w:cs="Courier New"/>
          <w:color w:val="000000"/>
          <w:sz w:val="24"/>
          <w:szCs w:val="24"/>
          <w:shd w:val="clear" w:color="auto" w:fill="FFFFFF"/>
        </w:rPr>
        <w:t>degree/certification</w:t>
      </w:r>
      <w:r w:rsidRPr="0096107B">
        <w:rPr>
          <w:rFonts w:ascii="Courier New" w:eastAsia="Times New Roman" w:hAnsi="Courier New" w:cs="Courier New"/>
          <w:color w:val="000000"/>
          <w:sz w:val="24"/>
          <w:szCs w:val="24"/>
          <w:shd w:val="clear" w:color="auto" w:fill="FFFFFF"/>
        </w:rPr>
        <w:t xml:space="preserve"> </w:t>
      </w:r>
      <w:r>
        <w:rPr>
          <w:rFonts w:ascii="Courier New" w:eastAsia="Times New Roman" w:hAnsi="Courier New" w:cs="Courier New"/>
          <w:color w:val="000000"/>
          <w:sz w:val="24"/>
          <w:szCs w:val="24"/>
          <w:shd w:val="clear" w:color="auto" w:fill="FFFFFF"/>
        </w:rPr>
        <w:t>attainment</w:t>
      </w:r>
      <w:r w:rsidRPr="0096107B">
        <w:rPr>
          <w:rFonts w:ascii="Courier New" w:eastAsia="Times New Roman" w:hAnsi="Courier New" w:cs="Courier New"/>
          <w:color w:val="000000"/>
          <w:sz w:val="24"/>
          <w:szCs w:val="24"/>
          <w:shd w:val="clear" w:color="auto" w:fill="FFFFFF"/>
        </w:rPr>
        <w:t xml:space="preserve"> rates of two-year public institutions</w:t>
      </w:r>
      <w:r>
        <w:rPr>
          <w:rFonts w:ascii="Courier New" w:eastAsia="Times New Roman" w:hAnsi="Courier New" w:cs="Courier New"/>
          <w:color w:val="000000"/>
          <w:sz w:val="24"/>
          <w:szCs w:val="24"/>
          <w:shd w:val="clear" w:color="auto" w:fill="FFFFFF"/>
        </w:rPr>
        <w:t xml:space="preserve"> </w:t>
      </w:r>
      <w:r w:rsidRPr="0096107B">
        <w:rPr>
          <w:rFonts w:ascii="Courier New" w:eastAsia="Times New Roman" w:hAnsi="Courier New" w:cs="Courier New"/>
          <w:color w:val="000000"/>
          <w:sz w:val="24"/>
          <w:szCs w:val="24"/>
          <w:shd w:val="clear" w:color="auto" w:fill="FFFFFF"/>
        </w:rPr>
        <w:t>may at least be partially attributable to higher rates of transfer from two-year public institutions to other institutions.</w:t>
      </w:r>
      <w:r w:rsidRPr="0096107B">
        <w:rPr>
          <w:rFonts w:ascii="Courier New" w:eastAsia="Times New Roman" w:hAnsi="Courier New" w:cs="Courier New"/>
          <w:color w:val="000000"/>
          <w:sz w:val="24"/>
          <w:szCs w:val="24"/>
          <w:vertAlign w:val="superscript"/>
        </w:rPr>
        <w:footnoteReference w:id="47"/>
      </w:r>
      <w:r w:rsidRPr="00AA0B3C">
        <w:rPr>
          <w:rFonts w:ascii="Courier New" w:hAnsi="Courier New"/>
          <w:color w:val="000000"/>
          <w:sz w:val="24"/>
          <w:shd w:val="clear" w:color="auto" w:fill="FFFFFF"/>
        </w:rPr>
        <w:t xml:space="preserve">  </w:t>
      </w:r>
      <w:r w:rsidRPr="0096107B">
        <w:rPr>
          <w:rFonts w:ascii="Courier New" w:eastAsia="Times New Roman" w:hAnsi="Courier New" w:cs="Courier New"/>
          <w:color w:val="000000"/>
          <w:sz w:val="24"/>
          <w:szCs w:val="24"/>
          <w:shd w:val="clear" w:color="auto" w:fill="FFFFFF"/>
        </w:rPr>
        <w:t>Based on available data, it appears that relatively few students transfer from for-profit institutions to other institutions.  Survey data indicate about 5 percent of all student transfers originate from for-profit institutions, while students transferring from public institutions represent 64 percent of all transfers occurring at any institution (public two-year institutions to public four-</w:t>
      </w:r>
      <w:r w:rsidRPr="0096107B">
        <w:rPr>
          <w:rFonts w:ascii="Courier New" w:eastAsia="Times New Roman" w:hAnsi="Courier New" w:cs="Courier New"/>
          <w:color w:val="000000"/>
          <w:sz w:val="24"/>
          <w:szCs w:val="24"/>
          <w:shd w:val="clear" w:color="auto" w:fill="FFFFFF"/>
        </w:rPr>
        <w:lastRenderedPageBreak/>
        <w:t>year institutions being the most common type of transfer).</w:t>
      </w:r>
      <w:r w:rsidRPr="0096107B">
        <w:rPr>
          <w:rFonts w:ascii="Courier New" w:eastAsia="Times New Roman" w:hAnsi="Courier New" w:cs="Courier New"/>
          <w:color w:val="000000"/>
          <w:sz w:val="24"/>
          <w:szCs w:val="24"/>
          <w:vertAlign w:val="superscript"/>
        </w:rPr>
        <w:footnoteReference w:id="48"/>
      </w:r>
      <w:r>
        <w:rPr>
          <w:rFonts w:ascii="Courier New" w:eastAsia="Times New Roman" w:hAnsi="Courier New" w:cs="Courier New"/>
          <w:color w:val="000000"/>
          <w:sz w:val="24"/>
          <w:szCs w:val="24"/>
          <w:shd w:val="clear" w:color="auto" w:fill="FFFFFF"/>
        </w:rPr>
        <w:t xml:space="preserve">  Additionally, s</w:t>
      </w:r>
      <w:r w:rsidRPr="0096107B">
        <w:rPr>
          <w:rFonts w:ascii="Courier New" w:eastAsia="Times New Roman" w:hAnsi="Courier New" w:cs="Courier New"/>
          <w:color w:val="000000"/>
          <w:sz w:val="24"/>
          <w:szCs w:val="24"/>
          <w:shd w:val="clear" w:color="auto" w:fill="FFFFFF"/>
        </w:rPr>
        <w:t>tudents</w:t>
      </w:r>
      <w:r w:rsidR="0096107B" w:rsidRPr="0096107B" w:rsidDel="00B73017">
        <w:rPr>
          <w:rFonts w:ascii="Courier New" w:eastAsia="Times New Roman" w:hAnsi="Courier New" w:cs="Courier New"/>
          <w:color w:val="000000"/>
          <w:sz w:val="24"/>
          <w:szCs w:val="24"/>
          <w:shd w:val="clear" w:color="auto" w:fill="FFFFFF"/>
        </w:rPr>
        <w:t xml:space="preserve"> who transfer from for-profit institutions are substantially less likely to be able to successfully transfer credits to other institutions than students who transfer from public institutions.  According to a recent NCES study, an estimated 83 percent of first-time beginning undergraduate students who transferred from a for-profit institution to an institution in another sector were unable to successfully transfer credits to their new institution.  In comparison, 38 percent of first-time beginning undergraduate students who </w:t>
      </w:r>
      <w:r w:rsidRPr="0096107B">
        <w:rPr>
          <w:rFonts w:ascii="Courier New" w:eastAsia="Times New Roman" w:hAnsi="Courier New" w:cs="Courier New"/>
          <w:color w:val="000000"/>
          <w:sz w:val="24"/>
          <w:szCs w:val="24"/>
          <w:shd w:val="clear" w:color="auto" w:fill="FFFFFF"/>
        </w:rPr>
        <w:t>transfer</w:t>
      </w:r>
      <w:r>
        <w:rPr>
          <w:rFonts w:ascii="Courier New" w:eastAsia="Times New Roman" w:hAnsi="Courier New" w:cs="Courier New"/>
          <w:color w:val="000000"/>
          <w:sz w:val="24"/>
          <w:szCs w:val="24"/>
          <w:shd w:val="clear" w:color="auto" w:fill="FFFFFF"/>
        </w:rPr>
        <w:t>red</w:t>
      </w:r>
      <w:r w:rsidR="0096107B" w:rsidRPr="0096107B" w:rsidDel="00B73017">
        <w:rPr>
          <w:rFonts w:ascii="Courier New" w:eastAsia="Times New Roman" w:hAnsi="Courier New" w:cs="Courier New"/>
          <w:color w:val="000000"/>
          <w:sz w:val="24"/>
          <w:szCs w:val="24"/>
          <w:shd w:val="clear" w:color="auto" w:fill="FFFFFF"/>
        </w:rPr>
        <w:t xml:space="preserve"> between two public institutions were not able to transfer credits to their new institution.</w:t>
      </w:r>
      <w:r w:rsidR="0096107B" w:rsidRPr="0096107B" w:rsidDel="00B73017">
        <w:rPr>
          <w:rFonts w:ascii="Courier New" w:eastAsia="Times New Roman" w:hAnsi="Courier New" w:cs="Courier New"/>
          <w:color w:val="000000"/>
          <w:sz w:val="24"/>
          <w:szCs w:val="24"/>
          <w:vertAlign w:val="superscript"/>
        </w:rPr>
        <w:footnoteReference w:id="49"/>
      </w:r>
      <w:r w:rsidR="0096107B" w:rsidRPr="0096107B" w:rsidDel="00B73017">
        <w:rPr>
          <w:rFonts w:ascii="Courier New" w:eastAsia="Times New Roman" w:hAnsi="Courier New" w:cs="Courier New"/>
          <w:color w:val="000000"/>
          <w:sz w:val="24"/>
          <w:szCs w:val="24"/>
          <w:shd w:val="clear" w:color="auto" w:fill="FFFFFF"/>
        </w:rPr>
        <w:t xml:space="preserve">  </w:t>
      </w:r>
    </w:p>
    <w:p w14:paraId="276F2CF1" w14:textId="131BEC6B" w:rsidR="0096107B" w:rsidRP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F24A9F" w:rsidDel="00B73017">
        <w:rPr>
          <w:rFonts w:ascii="Courier New" w:eastAsia="Times New Roman" w:hAnsi="Courier New"/>
          <w:sz w:val="24"/>
        </w:rPr>
        <w:t>The higher costs of for-profit institutions and resulting greater amounts of debt incurred by their former students</w:t>
      </w:r>
      <w:r w:rsidRPr="0096107B" w:rsidDel="00B73017">
        <w:rPr>
          <w:rFonts w:ascii="Courier New" w:eastAsia="Times New Roman" w:hAnsi="Courier New" w:cs="Courier New"/>
          <w:sz w:val="24"/>
          <w:szCs w:val="24"/>
        </w:rPr>
        <w:t xml:space="preserve">, together with generally lower rates of completion, continue to raise concerns about whether some for-profit programs lead to earnings that justify the investment made by students, and additionally, taxpayers through the title IV, HEA programs.  </w:t>
      </w:r>
    </w:p>
    <w:p w14:paraId="6F1BD784" w14:textId="4E1A3BF2" w:rsidR="0096107B" w:rsidRP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In general, </w:t>
      </w:r>
      <w:r w:rsidR="00E869C3" w:rsidDel="00B73017">
        <w:rPr>
          <w:rFonts w:ascii="Courier New" w:eastAsia="Times New Roman" w:hAnsi="Courier New" w:cs="Courier New"/>
          <w:sz w:val="24"/>
          <w:szCs w:val="24"/>
        </w:rPr>
        <w:t xml:space="preserve">we believe that </w:t>
      </w:r>
      <w:r w:rsidRPr="0096107B" w:rsidDel="00B73017">
        <w:rPr>
          <w:rFonts w:ascii="Courier New" w:eastAsia="Times New Roman" w:hAnsi="Courier New" w:cs="Courier New"/>
          <w:sz w:val="24"/>
          <w:szCs w:val="24"/>
        </w:rPr>
        <w:t xml:space="preserve">most programs operated by for-profit institutions produce positive educational and career outcomes for students.  One study estimated moderately positive earnings gains, finding that “[a]mong associate’s degree </w:t>
      </w:r>
      <w:r w:rsidRPr="0096107B" w:rsidDel="00B73017">
        <w:rPr>
          <w:rFonts w:ascii="Courier New" w:eastAsia="Times New Roman" w:hAnsi="Courier New" w:cs="Courier New"/>
          <w:sz w:val="24"/>
          <w:szCs w:val="24"/>
        </w:rPr>
        <w:lastRenderedPageBreak/>
        <w:t>students, estimates of returns to for-profit attendance are generally in the range of 2 to 8 percent per year of education.”</w:t>
      </w:r>
      <w:r w:rsidRPr="0096107B" w:rsidDel="00B73017">
        <w:rPr>
          <w:rFonts w:ascii="Courier New" w:eastAsia="Times New Roman" w:hAnsi="Courier New" w:cs="Courier New"/>
          <w:sz w:val="24"/>
          <w:szCs w:val="24"/>
          <w:vertAlign w:val="superscript"/>
        </w:rPr>
        <w:footnoteReference w:id="50"/>
      </w:r>
      <w:r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vertAlign w:val="superscript"/>
        </w:rPr>
        <w:t xml:space="preserve"> </w:t>
      </w:r>
      <w:r w:rsidRPr="0096107B" w:rsidDel="00B73017">
        <w:rPr>
          <w:rFonts w:ascii="Courier New" w:eastAsia="Times New Roman" w:hAnsi="Courier New" w:cs="Courier New"/>
          <w:sz w:val="24"/>
          <w:szCs w:val="24"/>
        </w:rPr>
        <w:t>However, recent evidence suggests “students attending for-profit institutions generate earnings gains that are lower than those of students in other sectors.”</w:t>
      </w:r>
      <w:r w:rsidRPr="0096107B" w:rsidDel="00B73017">
        <w:rPr>
          <w:rFonts w:ascii="Courier New" w:eastAsia="Times New Roman" w:hAnsi="Courier New" w:cs="Courier New"/>
          <w:sz w:val="24"/>
          <w:szCs w:val="24"/>
          <w:vertAlign w:val="superscript"/>
        </w:rPr>
        <w:footnoteReference w:id="51"/>
      </w:r>
      <w:r w:rsidRPr="0096107B" w:rsidDel="00B73017">
        <w:rPr>
          <w:rFonts w:ascii="Courier New" w:eastAsia="Times New Roman" w:hAnsi="Courier New" w:cs="Courier New"/>
          <w:sz w:val="24"/>
          <w:szCs w:val="24"/>
        </w:rPr>
        <w:t xml:space="preserve">  The same study that found gains resulting from for-profit attendance in the range of 2 to 8 percent per year of education also found that gains for students attending public institution are “upwards of 9 percent.”</w:t>
      </w:r>
      <w:r w:rsidRPr="0096107B" w:rsidDel="00B73017">
        <w:rPr>
          <w:rFonts w:ascii="Courier New" w:eastAsia="Times New Roman" w:hAnsi="Courier New" w:cs="Courier New"/>
          <w:sz w:val="24"/>
          <w:szCs w:val="24"/>
          <w:vertAlign w:val="superscript"/>
        </w:rPr>
        <w:footnoteReference w:id="52"/>
      </w:r>
      <w:r w:rsidRPr="0096107B" w:rsidDel="00B73017">
        <w:rPr>
          <w:rFonts w:ascii="Courier New" w:eastAsia="Times New Roman" w:hAnsi="Courier New" w:cs="Courier New"/>
          <w:sz w:val="24"/>
          <w:szCs w:val="24"/>
        </w:rPr>
        <w:t xml:space="preserve">  </w:t>
      </w:r>
      <w:r w:rsidR="00E869C3" w:rsidDel="00B73017">
        <w:rPr>
          <w:rFonts w:ascii="Courier New" w:eastAsia="Times New Roman" w:hAnsi="Courier New" w:cs="Courier New"/>
          <w:sz w:val="24"/>
          <w:szCs w:val="24"/>
        </w:rPr>
        <w:t>But</w:t>
      </w:r>
      <w:r w:rsidRPr="0096107B" w:rsidDel="00B73017">
        <w:rPr>
          <w:rFonts w:ascii="Courier New" w:eastAsia="Times New Roman" w:hAnsi="Courier New" w:cs="Courier New"/>
          <w:sz w:val="24"/>
          <w:szCs w:val="24"/>
        </w:rPr>
        <w:t>, other studies fail to find significant differences between the returns to students on educational programs at for-profit institutions and other sectors.</w:t>
      </w:r>
      <w:r w:rsidRPr="0096107B" w:rsidDel="00B73017">
        <w:rPr>
          <w:rFonts w:ascii="Courier New" w:eastAsia="Times New Roman" w:hAnsi="Courier New" w:cs="Courier New"/>
          <w:sz w:val="24"/>
          <w:szCs w:val="24"/>
          <w:vertAlign w:val="superscript"/>
        </w:rPr>
        <w:footnoteReference w:id="53"/>
      </w:r>
      <w:r w:rsidRPr="0096107B" w:rsidDel="00B73017">
        <w:rPr>
          <w:rFonts w:ascii="Courier New" w:eastAsia="Times New Roman" w:hAnsi="Courier New" w:cs="Courier New"/>
          <w:sz w:val="24"/>
          <w:szCs w:val="24"/>
        </w:rPr>
        <w:t xml:space="preserve">  </w:t>
      </w:r>
    </w:p>
    <w:p w14:paraId="1A27C51D" w14:textId="227FE459" w:rsidR="0096107B" w:rsidRPr="0096107B" w:rsidDel="00B73017" w:rsidRDefault="0096107B" w:rsidP="0096107B">
      <w:pPr>
        <w:widowControl w:val="0"/>
        <w:autoSpaceDE w:val="0"/>
        <w:autoSpaceDN w:val="0"/>
        <w:adjustRightInd w:val="0"/>
        <w:spacing w:after="0" w:line="480" w:lineRule="auto"/>
        <w:ind w:firstLine="720"/>
        <w:rPr>
          <w:rFonts w:ascii="Courier New" w:eastAsia="Times New Roman" w:hAnsi="Courier New" w:cs="Courier New"/>
          <w:sz w:val="24"/>
          <w:szCs w:val="24"/>
          <w:highlight w:val="yellow"/>
        </w:rPr>
      </w:pPr>
      <w:r w:rsidRPr="0096107B" w:rsidDel="00B73017">
        <w:rPr>
          <w:rFonts w:ascii="Courier New" w:eastAsia="Times New Roman" w:hAnsi="Courier New" w:cs="Courier New"/>
          <w:sz w:val="24"/>
          <w:szCs w:val="24"/>
        </w:rPr>
        <w:t xml:space="preserve">Analysis of data collected on the outcomes of 2003-2004 first-time beginning postsecondary students in the Beginning Postsecondary Students Longitudinal Study shows that students who attend for-profit institutions are more likely to be idle--neither working nor still in school--six years after starting their programs of study in comparison to students who attend </w:t>
      </w:r>
      <w:r w:rsidRPr="0096107B" w:rsidDel="00B73017">
        <w:rPr>
          <w:rFonts w:ascii="Courier New" w:eastAsia="Times New Roman" w:hAnsi="Courier New" w:cs="Courier New"/>
          <w:sz w:val="24"/>
          <w:szCs w:val="24"/>
        </w:rPr>
        <w:lastRenderedPageBreak/>
        <w:t>other types of institutions.</w:t>
      </w:r>
      <w:r w:rsidRPr="0096107B" w:rsidDel="00B73017">
        <w:rPr>
          <w:rFonts w:ascii="Courier New" w:eastAsia="Times New Roman" w:hAnsi="Courier New" w:cs="Courier New"/>
          <w:sz w:val="24"/>
          <w:szCs w:val="24"/>
          <w:vertAlign w:val="superscript"/>
        </w:rPr>
        <w:footnoteReference w:id="54"/>
      </w:r>
      <w:r w:rsidRPr="0096107B" w:rsidDel="00B73017">
        <w:rPr>
          <w:rFonts w:ascii="Courier New" w:eastAsia="Times New Roman" w:hAnsi="Courier New" w:cs="Courier New"/>
          <w:sz w:val="24"/>
          <w:szCs w:val="24"/>
        </w:rPr>
        <w:t xml:space="preserve">  Additionally, students who attend for-profit institutions and are no longer enrolled in school six years after beginning postsecondary education have lower earnings at the six-year mark than students who attend other types of institutions.</w:t>
      </w:r>
      <w:r w:rsidRPr="0096107B" w:rsidDel="00B73017">
        <w:rPr>
          <w:rFonts w:ascii="Courier New" w:eastAsia="Times New Roman" w:hAnsi="Courier New" w:cs="Courier New"/>
          <w:sz w:val="24"/>
          <w:szCs w:val="24"/>
          <w:vertAlign w:val="superscript"/>
        </w:rPr>
        <w:footnoteReference w:id="55"/>
      </w:r>
      <w:r w:rsidRPr="0096107B" w:rsidDel="00B73017">
        <w:rPr>
          <w:rFonts w:ascii="Courier New" w:eastAsia="Times New Roman" w:hAnsi="Courier New" w:cs="Courier New"/>
          <w:sz w:val="24"/>
          <w:szCs w:val="24"/>
        </w:rPr>
        <w:t xml:space="preserve">   </w:t>
      </w:r>
    </w:p>
    <w:p w14:paraId="02C19B37" w14:textId="3B0EA2C4"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 commenters’ claims that the Department’s reference in the NPRM to </w:t>
      </w:r>
      <w:r w:rsidRPr="0096107B" w:rsidDel="00B73017">
        <w:rPr>
          <w:rFonts w:ascii="Courier New" w:eastAsia="Times New Roman" w:hAnsi="Courier New" w:cs="Courier New"/>
          <w:i/>
          <w:sz w:val="24"/>
          <w:szCs w:val="24"/>
        </w:rPr>
        <w:t>qui tam</w:t>
      </w:r>
      <w:r w:rsidRPr="0096107B" w:rsidDel="00B73017">
        <w:rPr>
          <w:rFonts w:ascii="Courier New" w:eastAsia="Times New Roman" w:hAnsi="Courier New" w:cs="Courier New"/>
          <w:sz w:val="24"/>
          <w:szCs w:val="24"/>
        </w:rPr>
        <w:t xml:space="preserve"> lawsuits and State Attorneys General investigations into for-profit institutions demonstrates bias by the Department against the for-profit sector are simply unfounded.  The evidence derived from these actions shows individuals considering enrolling in GE programs offered by for-profit institutions have in many instances been given such misleading information about program outcomes that they could not effectively compare programs offered by different institutions in order to make informed decisions about where to invest their time and limited educational funding.  </w:t>
      </w:r>
    </w:p>
    <w:p w14:paraId="586C50DD" w14:textId="7777777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 GAO and other investigators have found evidence that high-pressure and deceptive recruiting practices may be taking place at some for-profit institutions.  In 2010, the GAO released the results of undercover testing at 15 for-profit </w:t>
      </w:r>
      <w:r w:rsidRPr="0096107B" w:rsidDel="00B73017">
        <w:rPr>
          <w:rFonts w:ascii="Courier New" w:eastAsia="Times New Roman" w:hAnsi="Courier New" w:cs="Courier New"/>
          <w:sz w:val="24"/>
          <w:szCs w:val="24"/>
        </w:rPr>
        <w:lastRenderedPageBreak/>
        <w:t>colleges across several States.</w:t>
      </w:r>
      <w:r w:rsidRPr="0096107B" w:rsidDel="00B73017">
        <w:rPr>
          <w:rFonts w:ascii="Courier New" w:eastAsia="Times New Roman" w:hAnsi="Courier New" w:cs="Courier New"/>
          <w:sz w:val="24"/>
          <w:szCs w:val="24"/>
          <w:vertAlign w:val="superscript"/>
        </w:rPr>
        <w:footnoteReference w:id="56"/>
      </w:r>
      <w:r w:rsidRPr="0096107B" w:rsidDel="00B73017">
        <w:rPr>
          <w:rFonts w:ascii="Courier New" w:eastAsia="Times New Roman" w:hAnsi="Courier New" w:cs="Courier New"/>
          <w:sz w:val="24"/>
          <w:szCs w:val="24"/>
        </w:rPr>
        <w:t xml:space="preserve">  Thirteen of the colleges tested gave undercover student applicants “deceptive or otherwise questionable information” about graduation rates, job placement, or expected earnings.</w:t>
      </w:r>
      <w:r w:rsidRPr="0096107B" w:rsidDel="00B73017">
        <w:rPr>
          <w:rFonts w:ascii="Courier New" w:eastAsia="Times New Roman" w:hAnsi="Courier New" w:cs="Courier New"/>
          <w:sz w:val="24"/>
          <w:szCs w:val="24"/>
          <w:vertAlign w:val="superscript"/>
        </w:rPr>
        <w:footnoteReference w:id="57"/>
      </w:r>
      <w:r w:rsidRPr="0096107B" w:rsidDel="00B73017">
        <w:rPr>
          <w:rFonts w:ascii="Courier New" w:eastAsia="Times New Roman" w:hAnsi="Courier New" w:cs="Courier New"/>
          <w:sz w:val="24"/>
          <w:szCs w:val="24"/>
        </w:rPr>
        <w:t xml:space="preserve">  The Senate HELP Committee investigation of the for-profit education sector also found evidence that many of the most prominent for-profit institutions engage in aggressive sales practices and provide misleading information to prospective students.</w:t>
      </w:r>
      <w:r w:rsidRPr="0096107B" w:rsidDel="00B73017">
        <w:rPr>
          <w:rFonts w:ascii="Courier New" w:eastAsia="Times New Roman" w:hAnsi="Courier New" w:cs="Courier New"/>
          <w:sz w:val="24"/>
          <w:szCs w:val="24"/>
          <w:vertAlign w:val="superscript"/>
        </w:rPr>
        <w:footnoteReference w:id="58"/>
      </w:r>
      <w:r w:rsidRPr="0096107B" w:rsidDel="00B73017">
        <w:rPr>
          <w:rFonts w:ascii="Courier New" w:eastAsia="Times New Roman" w:hAnsi="Courier New" w:cs="Courier New"/>
          <w:sz w:val="24"/>
          <w:szCs w:val="24"/>
        </w:rPr>
        <w:t xml:space="preserve">  Recruiters described “boiler room”-like sales and marketing tactics and internal institutional documents showed that recruiters are taught to identify and manipulate emotional vulnerabilities and target non-traditional students.</w:t>
      </w:r>
      <w:r w:rsidRPr="0096107B" w:rsidDel="00B73017">
        <w:rPr>
          <w:rFonts w:ascii="Courier New" w:eastAsia="Times New Roman" w:hAnsi="Courier New" w:cs="Courier New"/>
          <w:sz w:val="24"/>
          <w:szCs w:val="24"/>
          <w:vertAlign w:val="superscript"/>
        </w:rPr>
        <w:footnoteReference w:id="59"/>
      </w:r>
      <w:r w:rsidRPr="0096107B" w:rsidDel="00B73017">
        <w:rPr>
          <w:rFonts w:ascii="Courier New" w:eastAsia="Times New Roman" w:hAnsi="Courier New" w:cs="Courier New"/>
          <w:sz w:val="24"/>
          <w:szCs w:val="24"/>
        </w:rPr>
        <w:t xml:space="preserve">  </w:t>
      </w:r>
    </w:p>
    <w:p w14:paraId="4E671DDB" w14:textId="7F85E875"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There has been </w:t>
      </w:r>
      <w:r w:rsidRPr="00967F43" w:rsidDel="00B73017">
        <w:rPr>
          <w:rFonts w:ascii="Courier New" w:eastAsia="Times New Roman" w:hAnsi="Courier New"/>
          <w:sz w:val="24"/>
        </w:rPr>
        <w:t xml:space="preserve">growth in the number of </w:t>
      </w:r>
      <w:r w:rsidRPr="00967F43" w:rsidDel="00B73017">
        <w:rPr>
          <w:rFonts w:ascii="Courier New" w:eastAsia="Times New Roman" w:hAnsi="Courier New"/>
          <w:i/>
          <w:sz w:val="24"/>
        </w:rPr>
        <w:t>qui tam</w:t>
      </w:r>
      <w:r w:rsidRPr="00967F43" w:rsidDel="00B73017">
        <w:rPr>
          <w:rFonts w:ascii="Courier New" w:eastAsia="Times New Roman" w:hAnsi="Courier New"/>
          <w:sz w:val="24"/>
        </w:rPr>
        <w:t xml:space="preserve"> </w:t>
      </w:r>
      <w:r w:rsidRPr="0096107B" w:rsidDel="00B73017">
        <w:rPr>
          <w:rFonts w:ascii="Courier New" w:eastAsia="Times New Roman" w:hAnsi="Courier New" w:cs="Courier New"/>
          <w:sz w:val="24"/>
          <w:szCs w:val="24"/>
        </w:rPr>
        <w:t>lawsuits brought by private parties alleging wrongdoing at for-profit institutions, such as misleading consumers about their effectiveness by inflating job placement rates.</w:t>
      </w:r>
      <w:r w:rsidR="00455855" w:rsidDel="00B73017">
        <w:rPr>
          <w:rStyle w:val="FootnoteReference"/>
          <w:rFonts w:ascii="Courier New" w:eastAsia="Times New Roman" w:hAnsi="Courier New"/>
          <w:sz w:val="24"/>
          <w:szCs w:val="24"/>
        </w:rPr>
        <w:footnoteReference w:id="60"/>
      </w:r>
      <w:r w:rsidRPr="0096107B" w:rsidDel="00B73017">
        <w:rPr>
          <w:rFonts w:ascii="Courier New" w:eastAsia="Times New Roman" w:hAnsi="Courier New" w:cs="Courier New"/>
          <w:sz w:val="24"/>
          <w:szCs w:val="24"/>
        </w:rPr>
        <w:t xml:space="preserve">  Such conduct can reasonably be expected to cause consumers to enroll and borrow, on the basis of these representations, amounts that they may not be able to repay.  </w:t>
      </w:r>
    </w:p>
    <w:p w14:paraId="64F136CB" w14:textId="2B07BC8D"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lastRenderedPageBreak/>
        <w:t>In addition, a growing number of State and Federal law enforcement authorities have launched investigations into whether for-profit institutions are using aggressive or even deceptive marketing and recruiting practices that will likely result in the same high debt burdens.  Several State Attorneys General have sued for-profit institutions to stop these fraudulent marketing practices, including manipulation of job placement rates.  In 2013, the New York State Attorney General announced a $10.25 million settlement with Career Education Corporation (CEC), a private for-profit education company, after its investigation revealed that CEC significantly inflated its graduates’ job placement rates in disclosures made to students, accreditors, and the State.</w:t>
      </w:r>
      <w:r w:rsidRPr="0096107B" w:rsidDel="00B73017">
        <w:rPr>
          <w:rFonts w:ascii="Courier New" w:eastAsia="Times New Roman" w:hAnsi="Courier New" w:cs="Courier New"/>
          <w:sz w:val="24"/>
          <w:szCs w:val="24"/>
          <w:vertAlign w:val="superscript"/>
        </w:rPr>
        <w:footnoteReference w:id="61"/>
      </w:r>
      <w:r w:rsidRPr="0096107B" w:rsidDel="00B73017">
        <w:rPr>
          <w:rFonts w:ascii="Courier New" w:eastAsia="Times New Roman" w:hAnsi="Courier New" w:cs="Courier New"/>
          <w:sz w:val="24"/>
          <w:szCs w:val="24"/>
        </w:rPr>
        <w:t xml:space="preserve">  The State of Illinois sued Westwood College for misrepresentations and false promises made to students enrolling in the company’s criminal justice program.</w:t>
      </w:r>
      <w:r w:rsidRPr="0096107B" w:rsidDel="00B73017">
        <w:rPr>
          <w:rFonts w:ascii="Courier New" w:eastAsia="Times New Roman" w:hAnsi="Courier New" w:cs="Courier New"/>
          <w:sz w:val="24"/>
          <w:szCs w:val="24"/>
          <w:vertAlign w:val="superscript"/>
        </w:rPr>
        <w:footnoteReference w:id="62"/>
      </w:r>
      <w:r w:rsidRPr="0096107B" w:rsidDel="00B73017">
        <w:rPr>
          <w:rFonts w:ascii="Courier New" w:eastAsia="Times New Roman" w:hAnsi="Courier New" w:cs="Courier New"/>
          <w:sz w:val="24"/>
          <w:szCs w:val="24"/>
        </w:rPr>
        <w:t xml:space="preserve">  The Commonwealth of Kentucky has filed lawsuits against several private for-profit institutions, including National College of Kentucky, Inc., for misrepresenting job placement rates, and Daymar College, Inc., for misleading </w:t>
      </w:r>
      <w:r w:rsidRPr="0096107B" w:rsidDel="00B73017">
        <w:rPr>
          <w:rFonts w:ascii="Courier New" w:eastAsia="Times New Roman" w:hAnsi="Courier New" w:cs="Courier New"/>
          <w:sz w:val="24"/>
          <w:szCs w:val="24"/>
        </w:rPr>
        <w:lastRenderedPageBreak/>
        <w:t>students about financial aid and overcharging for textbooks.</w:t>
      </w:r>
      <w:r w:rsidRPr="0096107B" w:rsidDel="00B73017">
        <w:rPr>
          <w:rFonts w:ascii="Courier New" w:eastAsia="Times New Roman" w:hAnsi="Courier New" w:cs="Courier New"/>
          <w:sz w:val="24"/>
          <w:szCs w:val="24"/>
          <w:vertAlign w:val="superscript"/>
        </w:rPr>
        <w:footnoteReference w:id="63"/>
      </w:r>
      <w:r w:rsidRPr="0096107B" w:rsidDel="00B73017">
        <w:rPr>
          <w:rFonts w:ascii="Courier New" w:eastAsia="Times New Roman" w:hAnsi="Courier New" w:cs="Courier New"/>
          <w:sz w:val="24"/>
          <w:szCs w:val="24"/>
        </w:rPr>
        <w:t xml:space="preserve">  And most recently, a group of 13 State Attorneys General issued Civil Investigatory Demands to Corinthian Colleges, Inc. (Corinthian), Education Management Co., ITT Educational Services, Inc. (ITT), and CEC, seeking information about job placement rate data and marketing and recruitment practices.</w:t>
      </w:r>
      <w:r w:rsidR="008E6223" w:rsidDel="00B73017">
        <w:rPr>
          <w:rStyle w:val="FootnoteReference"/>
          <w:rFonts w:ascii="Courier New" w:eastAsia="Times New Roman" w:hAnsi="Courier New"/>
          <w:sz w:val="24"/>
          <w:szCs w:val="24"/>
        </w:rPr>
        <w:footnoteReference w:id="64"/>
      </w:r>
      <w:r w:rsidRPr="0096107B" w:rsidDel="00B73017">
        <w:rPr>
          <w:rFonts w:ascii="Courier New" w:eastAsia="Times New Roman" w:hAnsi="Courier New" w:cs="Courier New"/>
          <w:sz w:val="24"/>
          <w:szCs w:val="24"/>
        </w:rPr>
        <w:t xml:space="preserve">  </w:t>
      </w:r>
      <w:r w:rsidRPr="0096107B" w:rsidDel="00B73017">
        <w:rPr>
          <w:rFonts w:ascii="Courier New" w:eastAsia="MS ??" w:hAnsi="Courier New" w:cs="Courier New"/>
          <w:sz w:val="24"/>
          <w:szCs w:val="24"/>
        </w:rPr>
        <w:t>The States participating include Arizona, Arkansas, Connecticut, Idaho, Iowa, Kentucky, Missouri, Nebraska, North Carolina, Oregon, Pennsylvania, Tennessee, and Washington.</w:t>
      </w:r>
      <w:r w:rsidRPr="0096107B" w:rsidDel="00B73017">
        <w:rPr>
          <w:rFonts w:ascii="Courier New" w:eastAsia="Times New Roman" w:hAnsi="Courier New" w:cs="Courier New"/>
          <w:sz w:val="24"/>
          <w:szCs w:val="24"/>
        </w:rPr>
        <w:t xml:space="preserve"> </w:t>
      </w:r>
    </w:p>
    <w:p w14:paraId="14CFFA97" w14:textId="3CA213D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Federal agencies have also begun investigations into such practices.  For example, the Consumer Financial Protection Bureau (CFPB) issued Civil Investigatory Demands to Corinthian and ITT in 2013, demanding information about their marketing, advertising, and lending policies.</w:t>
      </w:r>
      <w:r w:rsidRPr="0096107B" w:rsidDel="00B73017">
        <w:rPr>
          <w:rFonts w:ascii="Courier New" w:eastAsia="Times New Roman" w:hAnsi="Courier New" w:cs="Courier New"/>
          <w:sz w:val="24"/>
          <w:szCs w:val="24"/>
          <w:vertAlign w:val="superscript"/>
        </w:rPr>
        <w:footnoteReference w:id="65"/>
      </w:r>
      <w:r w:rsidRPr="0096107B" w:rsidDel="00B73017">
        <w:rPr>
          <w:rFonts w:ascii="Courier New" w:eastAsia="Times New Roman" w:hAnsi="Courier New" w:cs="Courier New"/>
          <w:sz w:val="24"/>
          <w:szCs w:val="24"/>
        </w:rPr>
        <w:t xml:space="preserve">  The Securities and Exchange Commission also subpoenaed records from Corinthian in 2013, seeking student information in the areas of recruitment, attendance, completion, placement, and loan defaults.</w:t>
      </w:r>
      <w:r w:rsidRPr="0096107B" w:rsidDel="00B73017">
        <w:rPr>
          <w:rFonts w:ascii="Courier New" w:eastAsia="Times New Roman" w:hAnsi="Courier New" w:cs="Courier New"/>
          <w:sz w:val="24"/>
          <w:szCs w:val="24"/>
          <w:vertAlign w:val="superscript"/>
        </w:rPr>
        <w:footnoteReference w:id="66"/>
      </w:r>
      <w:r w:rsidRPr="0096107B" w:rsidDel="00B73017">
        <w:rPr>
          <w:rFonts w:ascii="Courier New" w:eastAsia="Times New Roman" w:hAnsi="Courier New" w:cs="Courier New"/>
          <w:sz w:val="24"/>
          <w:szCs w:val="24"/>
        </w:rPr>
        <w:t xml:space="preserve">  And, the Department itself is gathering and reviewing extensive amounts </w:t>
      </w:r>
      <w:r w:rsidRPr="0096107B" w:rsidDel="00B73017">
        <w:rPr>
          <w:rFonts w:ascii="Courier New" w:eastAsia="Times New Roman" w:hAnsi="Courier New" w:cs="Courier New"/>
          <w:sz w:val="24"/>
          <w:szCs w:val="24"/>
        </w:rPr>
        <w:lastRenderedPageBreak/>
        <w:t>of data from Corinthian regarding, in particular, the reliability of its disclosures of placement rates.</w:t>
      </w:r>
      <w:r w:rsidRPr="0096107B" w:rsidDel="00B73017">
        <w:rPr>
          <w:rFonts w:ascii="Courier New" w:eastAsia="Times New Roman" w:hAnsi="Courier New" w:cs="Courier New"/>
          <w:sz w:val="24"/>
          <w:szCs w:val="24"/>
          <w:vertAlign w:val="superscript"/>
        </w:rPr>
        <w:footnoteReference w:id="67"/>
      </w:r>
      <w:r w:rsidRPr="0096107B" w:rsidDel="00B73017">
        <w:rPr>
          <w:rFonts w:ascii="Courier New" w:eastAsia="Times New Roman" w:hAnsi="Courier New" w:cs="Courier New"/>
          <w:sz w:val="24"/>
          <w:szCs w:val="24"/>
        </w:rPr>
        <w:t xml:space="preserve">  </w:t>
      </w:r>
    </w:p>
    <w:p w14:paraId="09CD3B77" w14:textId="7777777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This accumulation of evidence of misrepresentations to consumers by for-profit institutions regarding their outcomes provides a sound basis for the Department to conclude that a strong accountability framework for assessing outcomes by objective measures is necessary to protect consumers from enrolling and borrowing more than they can afford to repay.  The same accumulation of evidence demonstrates the need for requiring standardized, readily comparable disclosures of outcomes to consumers, to enable consumers to compare programs and identify those more likely to lead to positive results.   </w:t>
      </w:r>
    </w:p>
    <w:p w14:paraId="5ED41327" w14:textId="4A2F8B7C" w:rsidR="0072431B" w:rsidRPr="0096107B" w:rsidRDefault="0072431B" w:rsidP="0072431B">
      <w:pPr>
        <w:spacing w:after="0" w:line="480" w:lineRule="auto"/>
        <w:ind w:firstLine="720"/>
        <w:contextualSpacing/>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Commenters’ claims of bias are further belied by the Department’s own data estimates.  We expect that the great majority of programs, including those in the for-profit sector, will pass the D/E rates measure and comply with the other requirements of the regulations.  Further, we believe that the estimated data likely overstate the number of failing and zone programs because many programs will improve outcomes during the transition period.  </w:t>
      </w:r>
    </w:p>
    <w:p w14:paraId="08EF9BB5" w14:textId="77777777" w:rsidR="0072431B" w:rsidRPr="0096107B" w:rsidRDefault="0072431B" w:rsidP="0072431B">
      <w:pPr>
        <w:spacing w:after="0" w:line="480" w:lineRule="auto"/>
        <w:ind w:firstLine="720"/>
        <w:contextualSpacing/>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Of the minority of programs that we expect will not pass the D/E rates measure, a disproportionate percentage may be operated by for-profit institutions.  However, since a great many more for-profit programs will in fact pass the measure, we expect students to continue to have access to GE programs operated by for-profit institutions in addition to educational options offered by public and non-profit institutions.</w:t>
      </w:r>
      <w:r>
        <w:rPr>
          <w:rFonts w:ascii="Courier New" w:eastAsia="Times New Roman" w:hAnsi="Courier New" w:cs="Courier New"/>
          <w:sz w:val="24"/>
          <w:szCs w:val="24"/>
        </w:rPr>
        <w:t xml:space="preserve">  With respect to comments that a </w:t>
      </w:r>
      <w:r w:rsidRPr="0096107B">
        <w:rPr>
          <w:rFonts w:ascii="Courier New" w:eastAsia="Times New Roman" w:hAnsi="Courier New" w:cs="Courier New"/>
          <w:sz w:val="24"/>
          <w:szCs w:val="24"/>
        </w:rPr>
        <w:t>disproportionate percentage</w:t>
      </w:r>
      <w:r>
        <w:rPr>
          <w:rFonts w:ascii="Courier New" w:eastAsia="Times New Roman" w:hAnsi="Courier New" w:cs="Courier New"/>
          <w:sz w:val="24"/>
          <w:szCs w:val="24"/>
        </w:rPr>
        <w:t xml:space="preserve"> of programs operated by for-profit institutions will not pass the D/E rates measure because they provide open enrollment admissions to low-income and underrepresented populations of students, we do not expect student demographics to </w:t>
      </w:r>
      <w:r w:rsidRPr="0096107B">
        <w:rPr>
          <w:rFonts w:ascii="Courier New" w:eastAsia="Times New Roman" w:hAnsi="Courier New" w:cs="Courier New"/>
          <w:sz w:val="24"/>
          <w:szCs w:val="24"/>
        </w:rPr>
        <w:t xml:space="preserve">overly </w:t>
      </w:r>
      <w:r w:rsidRPr="005432E2">
        <w:rPr>
          <w:rFonts w:ascii="Courier New" w:eastAsia="Times New Roman" w:hAnsi="Courier New" w:cs="Courier New"/>
          <w:sz w:val="24"/>
          <w:szCs w:val="24"/>
        </w:rPr>
        <w:t xml:space="preserve">influence the performance of programs on the D/E rates measure.  Please see “Student Demographic Analysis of Final Regulations” in the Regulatory Impact Analysis for a discussion of </w:t>
      </w:r>
      <w:r>
        <w:rPr>
          <w:rFonts w:ascii="Courier New" w:eastAsia="Times New Roman" w:hAnsi="Courier New" w:cs="Courier New"/>
          <w:sz w:val="24"/>
          <w:szCs w:val="24"/>
        </w:rPr>
        <w:t>student demographics</w:t>
      </w:r>
      <w:r w:rsidRPr="005432E2">
        <w:rPr>
          <w:rFonts w:ascii="Courier New" w:eastAsia="Times New Roman" w:hAnsi="Courier New" w:cs="Courier New"/>
          <w:sz w:val="24"/>
          <w:szCs w:val="24"/>
        </w:rPr>
        <w:t>.</w:t>
      </w:r>
    </w:p>
    <w:p w14:paraId="0340BC72" w14:textId="77777777"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Finally, we disagree with the commenters that claimed the regulations unfairly assess for-profit institutions because programs operated by for-profit institutions are in fact less expensive than programs operated by public institutions, once State and local subsidies are taken into account.  While for-profit institutions may need to charge more than public institutions because they do not have the </w:t>
      </w:r>
      <w:r w:rsidR="0072431B" w:rsidRPr="0096107B">
        <w:rPr>
          <w:rFonts w:ascii="Courier New" w:eastAsia="Times New Roman" w:hAnsi="Courier New" w:cs="Courier New"/>
          <w:sz w:val="24"/>
          <w:szCs w:val="24"/>
        </w:rPr>
        <w:t>State</w:t>
      </w:r>
      <w:r w:rsidRPr="0096107B" w:rsidDel="00B73017">
        <w:rPr>
          <w:rFonts w:ascii="Courier New" w:eastAsia="Times New Roman" w:hAnsi="Courier New" w:cs="Courier New"/>
          <w:sz w:val="24"/>
          <w:szCs w:val="24"/>
        </w:rPr>
        <w:t xml:space="preserve"> and local appropriation dollars and must pass the educational cost onto </w:t>
      </w:r>
      <w:r w:rsidRPr="0096107B" w:rsidDel="00B73017">
        <w:rPr>
          <w:rFonts w:ascii="Courier New" w:eastAsia="Times New Roman" w:hAnsi="Courier New" w:cs="Courier New"/>
          <w:sz w:val="24"/>
          <w:szCs w:val="24"/>
        </w:rPr>
        <w:lastRenderedPageBreak/>
        <w:t>the student, there is some indication that even when controlling for government subsidies, for-profit institutions charge more than their public counterparts.  To assess the role of government subsidies in driving the cost differential between for-profit and public institutions, Cellini conducted a sensitivity analysis comparing the costs of for-profit and community college programs.  Her research found the primary costs to students at for-profit institutions, including foregone earnings, tuition, and loan interest, amounted to $51,600 per year on average, as compared with $32,200 for the same primary costs at community colleges.  Further, Cellini’s analysis estimated taxpayer contributions, such as government grants, of $7,600 per year for for-profit institutions and $11,400 for community colleges.</w:t>
      </w:r>
      <w:r w:rsidRPr="0096107B" w:rsidDel="00B73017">
        <w:rPr>
          <w:rFonts w:ascii="Courier New" w:eastAsia="Times New Roman" w:hAnsi="Courier New" w:cs="Courier New"/>
          <w:sz w:val="24"/>
          <w:szCs w:val="24"/>
          <w:vertAlign w:val="superscript"/>
        </w:rPr>
        <w:footnoteReference w:id="68"/>
      </w:r>
      <w:r w:rsidRPr="0096107B" w:rsidDel="00B73017">
        <w:rPr>
          <w:rFonts w:ascii="Courier New" w:eastAsia="Times New Roman" w:hAnsi="Courier New" w:cs="Courier New"/>
          <w:sz w:val="24"/>
          <w:szCs w:val="24"/>
        </w:rPr>
        <w:t xml:space="preserve">  </w:t>
      </w:r>
    </w:p>
    <w:p w14:paraId="658A0B26" w14:textId="36581BA3" w:rsidR="0096107B" w:rsidRPr="0096107B" w:rsidDel="00B73017" w:rsidRDefault="0096107B" w:rsidP="0096107B">
      <w:pPr>
        <w:spacing w:after="0" w:line="480" w:lineRule="auto"/>
        <w:ind w:firstLine="720"/>
        <w:contextualSpacing/>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These regulations </w:t>
      </w:r>
      <w:r w:rsidR="00A72342" w:rsidDel="00B73017">
        <w:rPr>
          <w:rFonts w:ascii="Courier New" w:eastAsia="Times New Roman" w:hAnsi="Courier New" w:cs="Courier New"/>
          <w:sz w:val="24"/>
          <w:szCs w:val="24"/>
        </w:rPr>
        <w:t>will help</w:t>
      </w:r>
      <w:r w:rsidRPr="0096107B" w:rsidDel="00B73017">
        <w:rPr>
          <w:rFonts w:ascii="Courier New" w:eastAsia="Times New Roman" w:hAnsi="Courier New" w:cs="Courier New"/>
          <w:sz w:val="24"/>
          <w:szCs w:val="24"/>
        </w:rPr>
        <w:t xml:space="preserve"> ensure that students are receiving training that prepares them for gainful employment, regardless of the financial structure of the institution they attend.  Although the regulations may disproportionately affect programs operated by for-profit institutions, we believe evidence on the performance, economic costs, and business practices of for-profit institutions shows that these </w:t>
      </w:r>
      <w:r w:rsidRPr="0096107B" w:rsidDel="00B73017">
        <w:rPr>
          <w:rFonts w:ascii="Courier New" w:eastAsia="Times New Roman" w:hAnsi="Courier New" w:cs="Courier New"/>
          <w:sz w:val="24"/>
          <w:szCs w:val="24"/>
        </w:rPr>
        <w:lastRenderedPageBreak/>
        <w:t xml:space="preserve">regulations are necessary to protect students and safeguard taxpayer funds. </w:t>
      </w:r>
    </w:p>
    <w:p w14:paraId="7BDA9150" w14:textId="174F412B"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u w:val="single"/>
        </w:rPr>
        <w:t>Changes</w:t>
      </w:r>
      <w:r w:rsidRPr="0096107B" w:rsidDel="00B73017">
        <w:rPr>
          <w:rFonts w:ascii="Courier New" w:eastAsia="Times New Roman" w:hAnsi="Courier New" w:cs="Courier New"/>
          <w:sz w:val="24"/>
          <w:szCs w:val="24"/>
        </w:rPr>
        <w:t>:  None.</w:t>
      </w:r>
    </w:p>
    <w:p w14:paraId="0B05991C" w14:textId="77777777"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u w:val="single"/>
        </w:rPr>
        <w:t>Comments</w:t>
      </w:r>
      <w:r w:rsidRPr="0096107B" w:rsidDel="00B73017">
        <w:rPr>
          <w:rFonts w:ascii="Courier New" w:eastAsia="Times New Roman" w:hAnsi="Courier New" w:cs="Courier New"/>
          <w:sz w:val="24"/>
          <w:szCs w:val="24"/>
        </w:rPr>
        <w:t>:  A few commenters suggested that, in lieu of the gainful employment regulations, the Department adopt the</w:t>
      </w:r>
      <w:r w:rsidR="00E65A23" w:rsidDel="00B73017">
        <w:rPr>
          <w:rFonts w:ascii="Courier New" w:eastAsia="Times New Roman" w:hAnsi="Courier New" w:cs="Courier New"/>
          <w:sz w:val="24"/>
          <w:szCs w:val="24"/>
        </w:rPr>
        <w:t xml:space="preserve"> college ratings system</w:t>
      </w:r>
      <w:r w:rsidRPr="0096107B" w:rsidDel="00B73017">
        <w:rPr>
          <w:rFonts w:ascii="Courier New" w:eastAsia="Times New Roman" w:hAnsi="Courier New" w:cs="Courier New"/>
          <w:sz w:val="24"/>
          <w:szCs w:val="24"/>
        </w:rPr>
        <w:t xml:space="preserve"> and College Scorecard to apply equally across all programs.</w:t>
      </w:r>
    </w:p>
    <w:p w14:paraId="70CF8223" w14:textId="65571EB3"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u w:val="single"/>
        </w:rPr>
        <w:t>Discussion</w:t>
      </w:r>
      <w:r w:rsidRPr="0096107B" w:rsidDel="00B73017">
        <w:rPr>
          <w:rFonts w:ascii="Courier New" w:eastAsia="Times New Roman" w:hAnsi="Courier New" w:cs="Courier New"/>
          <w:sz w:val="24"/>
          <w:szCs w:val="24"/>
        </w:rPr>
        <w:t>:  In addition to these regulations, the Department publishes the College Scorecard, which includes data on institutional performance that can inform the enrollment decisions of prospective student</w:t>
      </w:r>
      <w:r w:rsidDel="00B73017">
        <w:rPr>
          <w:rFonts w:ascii="Courier New" w:eastAsia="Times New Roman" w:hAnsi="Courier New" w:cs="Courier New"/>
          <w:sz w:val="24"/>
          <w:szCs w:val="24"/>
        </w:rPr>
        <w:t>s.  We also plan to release the college ratings system</w:t>
      </w:r>
      <w:r w:rsidRPr="0096107B" w:rsidDel="00B73017">
        <w:rPr>
          <w:rFonts w:ascii="Courier New" w:eastAsia="Times New Roman" w:hAnsi="Courier New" w:cs="Courier New"/>
          <w:sz w:val="24"/>
          <w:szCs w:val="24"/>
        </w:rPr>
        <w:t xml:space="preserve"> to provide additional information for students and develop the data infrastructure and framework for linking the allocation of title IV, HEA program funds to institutional performance.   Because the College Scorecard and the proposed ratings system focus on institution level performance, rather than program </w:t>
      </w:r>
      <w:r w:rsidR="005A330B">
        <w:rPr>
          <w:rFonts w:ascii="Courier New" w:eastAsia="Times New Roman" w:hAnsi="Courier New" w:cs="Courier New"/>
          <w:sz w:val="24"/>
          <w:szCs w:val="24"/>
        </w:rPr>
        <w:t xml:space="preserve">level </w:t>
      </w:r>
      <w:r w:rsidR="0072431B">
        <w:rPr>
          <w:rFonts w:ascii="Courier New" w:eastAsia="Times New Roman" w:hAnsi="Courier New" w:cs="Courier New"/>
          <w:sz w:val="24"/>
          <w:szCs w:val="24"/>
        </w:rPr>
        <w:t>performance</w:t>
      </w:r>
      <w:r w:rsidRPr="0096107B" w:rsidDel="00B73017">
        <w:rPr>
          <w:rFonts w:ascii="Courier New" w:eastAsia="Times New Roman" w:hAnsi="Courier New" w:cs="Courier New"/>
          <w:sz w:val="24"/>
          <w:szCs w:val="24"/>
        </w:rPr>
        <w:t xml:space="preserve">, we do not believe it is appropriate to consider them as alternatives to these regulations for purposes of public disclosure or accountability.  Further, neither of these initiatives allow for determinations of eligibility for the title IV, HEA programs as provided for in these regulations.      </w:t>
      </w:r>
    </w:p>
    <w:p w14:paraId="63C0770B" w14:textId="5DC0440F"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u w:val="single"/>
        </w:rPr>
        <w:t>Changes</w:t>
      </w:r>
      <w:r w:rsidRPr="0096107B" w:rsidDel="00B73017">
        <w:rPr>
          <w:rFonts w:ascii="Courier New" w:eastAsia="Times New Roman" w:hAnsi="Courier New" w:cs="Courier New"/>
          <w:sz w:val="24"/>
          <w:szCs w:val="24"/>
        </w:rPr>
        <w:t>:  None.</w:t>
      </w:r>
    </w:p>
    <w:p w14:paraId="69A3C46C"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Impact on Students</w:t>
      </w:r>
    </w:p>
    <w:p w14:paraId="4AB364DC" w14:textId="44D1BF9D"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Comments</w:t>
      </w:r>
      <w:r w:rsidRPr="0096107B">
        <w:rPr>
          <w:rFonts w:ascii="Courier New" w:eastAsia="Times New Roman" w:hAnsi="Courier New" w:cs="Courier New"/>
          <w:sz w:val="24"/>
          <w:szCs w:val="24"/>
        </w:rPr>
        <w:t>:  One commenter asserted that the regulations would harm millions of students who attend private sector</w:t>
      </w:r>
      <w:r w:rsidR="00784094">
        <w:rPr>
          <w:rFonts w:ascii="Courier New" w:eastAsia="Times New Roman" w:hAnsi="Courier New" w:cs="Courier New"/>
          <w:sz w:val="24"/>
          <w:szCs w:val="24"/>
        </w:rPr>
        <w:t>, usually for-profit,</w:t>
      </w:r>
      <w:r w:rsidRPr="0096107B">
        <w:rPr>
          <w:rFonts w:ascii="Courier New" w:eastAsia="Times New Roman" w:hAnsi="Courier New" w:cs="Courier New"/>
          <w:sz w:val="24"/>
          <w:szCs w:val="24"/>
        </w:rPr>
        <w:t xml:space="preserve"> colleges and universities and requested that the Department withdraw the proposed regulations and instead engage in meaningful dialogue with stakeholders to reach shared goals.  Numerous commenters contended that the regulations are biased against programs that serve a significant number of non-traditional, underserved, low-income, and minority students and, as a result, will reduce opportunities for these students.  One commenter estimated that, by 2020, the regulations will restrict the access to education of between one and two million students, and nearly four million within the next decade. </w:t>
      </w:r>
    </w:p>
    <w:p w14:paraId="5F312EE7" w14:textId="0B0F409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The commenters argued that students from underserved populations have greater financial need, causing them to borrow more, and typically start with lower earnings, and so will also have relatively lower earnings after completion.  Several commenters submitted data or information </w:t>
      </w:r>
      <w:r w:rsidR="003B40EE">
        <w:rPr>
          <w:rFonts w:ascii="Courier New" w:eastAsia="Times New Roman" w:hAnsi="Courier New" w:cs="Courier New"/>
          <w:sz w:val="24"/>
          <w:szCs w:val="24"/>
        </w:rPr>
        <w:t xml:space="preserve">that they believed </w:t>
      </w:r>
      <w:r w:rsidRPr="0096107B">
        <w:rPr>
          <w:rFonts w:ascii="Courier New" w:eastAsia="Times New Roman" w:hAnsi="Courier New" w:cs="Courier New"/>
          <w:sz w:val="24"/>
          <w:szCs w:val="24"/>
        </w:rPr>
        <w:t>support</w:t>
      </w:r>
      <w:r w:rsidR="003B40EE">
        <w:rPr>
          <w:rFonts w:ascii="Courier New" w:eastAsia="Times New Roman" w:hAnsi="Courier New" w:cs="Courier New"/>
          <w:sz w:val="24"/>
          <w:szCs w:val="24"/>
        </w:rPr>
        <w:t>ed</w:t>
      </w:r>
      <w:r w:rsidRPr="0096107B">
        <w:rPr>
          <w:rFonts w:ascii="Courier New" w:eastAsia="Times New Roman" w:hAnsi="Courier New" w:cs="Courier New"/>
          <w:sz w:val="24"/>
          <w:szCs w:val="24"/>
        </w:rPr>
        <w:t xml:space="preserve"> this point.  One commenter asserted that Pell Grant recipients are 3.8 to 5 times more likely to borrow as those who do not have Pell Grants and that, among students who complete GE programs, African-Americans and Hispanics are 22 to 24 percent more likely to borrow than whites.  Another commenter referenced NCES Baccalaureate and Beyond 2008/09 data to argue that socioeconomic status at the time of college entry affects a </w:t>
      </w:r>
      <w:r w:rsidRPr="0096107B">
        <w:rPr>
          <w:rFonts w:ascii="Courier New" w:eastAsia="Times New Roman" w:hAnsi="Courier New" w:cs="Courier New"/>
          <w:sz w:val="24"/>
          <w:szCs w:val="24"/>
        </w:rPr>
        <w:lastRenderedPageBreak/>
        <w:t xml:space="preserve">student's debt-to-earnings ratio one year after college and that only students at public institutions in the highest quartile of income before college had debt-to-earnings ratios below 8 percent while students in the lowest quartile had debt-to-earnings ratios of about 12 percent in all types of institutions.  The commenters reasoned that as a result, the programs that serve students from these populations are disproportionately likely to be failing programs.  Several commenters referred to the Department’s analysis in the NPRM that the commenters believed demonstrates that a large subset of students in failing and zone programs will be female, African-American, and Hispanic.  Some commenters provided additional analyses conducted at the direction of an association representing for-profit institutions </w:t>
      </w:r>
      <w:r w:rsidR="00F949FE">
        <w:rPr>
          <w:rFonts w:ascii="Courier New" w:eastAsia="Times New Roman" w:hAnsi="Courier New" w:cs="Courier New"/>
          <w:sz w:val="24"/>
          <w:szCs w:val="24"/>
        </w:rPr>
        <w:t>asserting that</w:t>
      </w:r>
      <w:r w:rsidR="00F949FE"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much of the variance in D/E rates is associated with student demographic characteristics.</w:t>
      </w:r>
      <w:r w:rsidRPr="0096107B">
        <w:rPr>
          <w:rFonts w:ascii="Courier New" w:eastAsia="Times New Roman" w:hAnsi="Courier New" w:cs="Courier New"/>
          <w:sz w:val="24"/>
          <w:szCs w:val="24"/>
          <w:vertAlign w:val="superscript"/>
        </w:rPr>
        <w:footnoteReference w:id="69"/>
      </w:r>
      <w:r w:rsidRPr="0096107B">
        <w:rPr>
          <w:rFonts w:ascii="Courier New" w:eastAsia="Times New Roman" w:hAnsi="Courier New" w:cs="Courier New"/>
          <w:sz w:val="24"/>
          <w:szCs w:val="24"/>
        </w:rPr>
        <w:t xml:space="preserve">  The commenters </w:t>
      </w:r>
      <w:r w:rsidR="00F949FE">
        <w:rPr>
          <w:rFonts w:ascii="Courier New" w:eastAsia="Times New Roman" w:hAnsi="Courier New" w:cs="Courier New"/>
          <w:sz w:val="24"/>
          <w:szCs w:val="24"/>
        </w:rPr>
        <w:t xml:space="preserve">contended </w:t>
      </w:r>
      <w:r w:rsidRPr="0096107B">
        <w:rPr>
          <w:rFonts w:ascii="Courier New" w:eastAsia="Times New Roman" w:hAnsi="Courier New" w:cs="Courier New"/>
          <w:sz w:val="24"/>
          <w:szCs w:val="24"/>
        </w:rPr>
        <w:t xml:space="preserve">that a substantial body of research exists demonstrating a strong correlation between student characteristics and outcomes including graduation, earnings, and loan default.  One commenter </w:t>
      </w:r>
      <w:r w:rsidR="00F949FE">
        <w:rPr>
          <w:rFonts w:ascii="Courier New" w:eastAsia="Times New Roman" w:hAnsi="Courier New" w:cs="Courier New"/>
          <w:sz w:val="24"/>
          <w:szCs w:val="24"/>
        </w:rPr>
        <w:t>posited</w:t>
      </w:r>
      <w:r w:rsidR="00F949FE"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that a multivariate regression analysis conducted by the Department in 2012 showed that race, gender, and income were all significant characteristics in predicting degree completion, </w:t>
      </w:r>
      <w:r w:rsidRPr="0096107B">
        <w:rPr>
          <w:rFonts w:ascii="Courier New" w:eastAsia="Times New Roman" w:hAnsi="Courier New" w:cs="Courier New"/>
          <w:sz w:val="24"/>
          <w:szCs w:val="24"/>
        </w:rPr>
        <w:lastRenderedPageBreak/>
        <w:t>with the odds of completing a degree 32 percent lower for male</w:t>
      </w:r>
      <w:r w:rsidR="004C74A1">
        <w:rPr>
          <w:rFonts w:ascii="Courier New" w:eastAsia="Times New Roman" w:hAnsi="Courier New" w:cs="Courier New"/>
          <w:sz w:val="24"/>
          <w:szCs w:val="24"/>
        </w:rPr>
        <w:t xml:space="preserve"> students</w:t>
      </w:r>
      <w:r w:rsidRPr="0096107B">
        <w:rPr>
          <w:rFonts w:ascii="Courier New" w:eastAsia="Times New Roman" w:hAnsi="Courier New" w:cs="Courier New"/>
          <w:sz w:val="24"/>
          <w:szCs w:val="24"/>
        </w:rPr>
        <w:t>, 43 percent lower for Black students, and 25 percent lower for Hispanic students.  Other commenters pointed to an article noting that the overall B.A. graduation rate at private non-profit colleges in 2011 was 52 percent, but for institutions with under 20 percent of students receiving Pell Grants, the graduation rate was 79 percent, while for institutions with more than 60 percent of students receiving Pell Grants, the B.A. graduation rate was 31 percent.</w:t>
      </w:r>
    </w:p>
    <w:p w14:paraId="7CE12BBB" w14:textId="7CF5A75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According to the commenters, as a result of the regulations, students from underserved populations would be forced to either forego postsecondary education or instead attend passing programs, and the performance of those passing programs would be harmed by the increases in debt and decreases in earnings due to the shift in the composition of enrolling students.  They also argued that educational opportunities for low-income and minority students would be reduced because both the Department’s and third-party analyses project that most of the programs that would lose eligibility for title IV, HEA program funds under the regulations would be programs offered by for-profit institutions, which serve a large number of these students.  One commenter estimated the racial and ethnic composition of students in ineligible programs:  between 25 and 40 percent of African</w:t>
      </w:r>
      <w:r w:rsidRPr="0096107B">
        <w:rPr>
          <w:rFonts w:ascii="Cambria Math" w:eastAsia="Times New Roman" w:hAnsi="Cambria Math" w:cs="Cambria Math"/>
          <w:sz w:val="24"/>
          <w:szCs w:val="24"/>
        </w:rPr>
        <w:t>‐</w:t>
      </w:r>
      <w:r w:rsidRPr="0096107B">
        <w:rPr>
          <w:rFonts w:ascii="Courier New" w:eastAsia="Times New Roman" w:hAnsi="Courier New" w:cs="Courier New"/>
          <w:sz w:val="24"/>
          <w:szCs w:val="24"/>
        </w:rPr>
        <w:t xml:space="preserve">American students, and between 21 and 39 </w:t>
      </w:r>
      <w:r w:rsidRPr="0096107B">
        <w:rPr>
          <w:rFonts w:ascii="Courier New" w:eastAsia="Times New Roman" w:hAnsi="Courier New" w:cs="Courier New"/>
          <w:sz w:val="24"/>
          <w:szCs w:val="24"/>
        </w:rPr>
        <w:lastRenderedPageBreak/>
        <w:t xml:space="preserve">percent of Hispanic students </w:t>
      </w:r>
      <w:r w:rsidR="003A13AA">
        <w:rPr>
          <w:rFonts w:ascii="Courier New" w:eastAsia="Times New Roman" w:hAnsi="Courier New" w:cs="Courier New"/>
          <w:sz w:val="24"/>
          <w:szCs w:val="24"/>
        </w:rPr>
        <w:t>who are enrolled</w:t>
      </w:r>
      <w:r w:rsidRPr="0096107B">
        <w:rPr>
          <w:rFonts w:ascii="Courier New" w:eastAsia="Times New Roman" w:hAnsi="Courier New" w:cs="Courier New"/>
          <w:sz w:val="24"/>
          <w:szCs w:val="24"/>
        </w:rPr>
        <w:t xml:space="preserve"> in </w:t>
      </w:r>
      <w:r w:rsidR="003A13AA">
        <w:rPr>
          <w:rFonts w:ascii="Courier New" w:eastAsia="Times New Roman" w:hAnsi="Courier New" w:cs="Courier New"/>
          <w:sz w:val="24"/>
          <w:szCs w:val="24"/>
        </w:rPr>
        <w:t>GE</w:t>
      </w:r>
      <w:r w:rsidRPr="0096107B">
        <w:rPr>
          <w:rFonts w:ascii="Courier New" w:eastAsia="Times New Roman" w:hAnsi="Courier New" w:cs="Courier New"/>
          <w:sz w:val="24"/>
          <w:szCs w:val="24"/>
        </w:rPr>
        <w:t xml:space="preserve"> programs would be in ineligible programs. </w:t>
      </w:r>
      <w:r w:rsidR="00436A8E">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Similarly between 24 and 41 percent of female students, between 32 and 46 percent of veteran students, and between 26 and 46 percent of Pell-eligible students would </w:t>
      </w:r>
      <w:r w:rsidR="004C74A1">
        <w:rPr>
          <w:rFonts w:ascii="Courier New" w:eastAsia="Times New Roman" w:hAnsi="Courier New" w:cs="Courier New"/>
          <w:sz w:val="24"/>
          <w:szCs w:val="24"/>
        </w:rPr>
        <w:t xml:space="preserve">be </w:t>
      </w:r>
      <w:r w:rsidRPr="0096107B">
        <w:rPr>
          <w:rFonts w:ascii="Courier New" w:eastAsia="Times New Roman" w:hAnsi="Courier New" w:cs="Courier New"/>
          <w:sz w:val="24"/>
          <w:szCs w:val="24"/>
        </w:rPr>
        <w:t xml:space="preserve">in ineligible programs. </w:t>
      </w:r>
      <w:r w:rsidR="00436A8E">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Two commenters referred to the impact on the Latino community in particular, claiming that nearly 840,000 Latinos in Orange and Los Angeles counties alone will be denied access to community colleges over the next ten years</w:t>
      </w:r>
      <w:r w:rsidR="00717A0C">
        <w:rPr>
          <w:rFonts w:ascii="Courier New" w:eastAsia="Times New Roman" w:hAnsi="Courier New" w:cs="Courier New"/>
          <w:sz w:val="24"/>
          <w:szCs w:val="24"/>
        </w:rPr>
        <w:t xml:space="preserve"> because there are not enough programs to address growing demand in the Los Angeles metropolitan area</w:t>
      </w:r>
      <w:r w:rsidRPr="0096107B">
        <w:rPr>
          <w:rFonts w:ascii="Courier New" w:eastAsia="Times New Roman" w:hAnsi="Courier New" w:cs="Courier New"/>
          <w:sz w:val="24"/>
          <w:szCs w:val="24"/>
        </w:rPr>
        <w:t xml:space="preserve">. </w:t>
      </w:r>
    </w:p>
    <w:p w14:paraId="6557A0A3" w14:textId="7721AC43"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Some commenters expressed concern that the regulations would create incentives for for-profit institutions to decrease access to low-income and minority students.  At the same time, they argued, community colleges would not by themselves have the capacity to meet the increased demand resulting from this decreased access, and from programs that become ineligible, at for-profit institutions.  The commenters suggested that community colleges are not flexible enough in course scheduling and other areas to accommodate many non-traditional and adult students and are not nimble enough to quickly adjust to labor market changes.  Accordingly, they said, the regulations run counter to the goal of increasing educational opportunities for all students, not just those in socioeconomic and demographic groups that tend to enter into high-earning occupations, and, </w:t>
      </w:r>
      <w:r w:rsidRPr="0096107B">
        <w:rPr>
          <w:rFonts w:ascii="Courier New" w:eastAsia="Times New Roman" w:hAnsi="Courier New" w:cs="Courier New"/>
          <w:sz w:val="24"/>
          <w:szCs w:val="24"/>
        </w:rPr>
        <w:lastRenderedPageBreak/>
        <w:t xml:space="preserve">over time, the regulations would not improve the situations of students from underserved populations.  </w:t>
      </w:r>
    </w:p>
    <w:p w14:paraId="46B6AAFB" w14:textId="286DB8E1" w:rsidR="00D8717B" w:rsidRPr="0096107B" w:rsidRDefault="0096107B" w:rsidP="00D8717B">
      <w:pPr>
        <w:spacing w:after="0" w:line="480" w:lineRule="auto"/>
        <w:ind w:firstLine="720"/>
        <w:rPr>
          <w:rFonts w:ascii="Courier New" w:eastAsia="Arial Unicode MS" w:hAnsi="Courier New" w:cs="Courier New"/>
          <w:sz w:val="24"/>
          <w:szCs w:val="24"/>
        </w:rPr>
      </w:pPr>
      <w:r w:rsidRPr="0096107B">
        <w:rPr>
          <w:rFonts w:ascii="Courier New" w:eastAsia="Times New Roman" w:hAnsi="Courier New" w:cs="Courier New"/>
          <w:sz w:val="24"/>
          <w:szCs w:val="24"/>
        </w:rPr>
        <w:t xml:space="preserve">Commenters argued that the regulations, and the accountability metrics in particular, should factor in the effect of these and other student characteristics on outcomes.  Some commenters suggested that the Department estimate earnings gains using regression-based methods that take into account student characteristics, while others suggested applying different D/E rates thresholds to each program, based on student characteristics, such as the percentage of students receiving a Pell </w:t>
      </w:r>
      <w:r w:rsidR="004C74A1">
        <w:rPr>
          <w:rFonts w:ascii="Courier New" w:eastAsia="Times New Roman" w:hAnsi="Courier New" w:cs="Courier New"/>
          <w:sz w:val="24"/>
          <w:szCs w:val="24"/>
        </w:rPr>
        <w:t>G</w:t>
      </w:r>
      <w:r w:rsidRPr="0096107B">
        <w:rPr>
          <w:rFonts w:ascii="Courier New" w:eastAsia="Times New Roman" w:hAnsi="Courier New" w:cs="Courier New"/>
          <w:sz w:val="24"/>
          <w:szCs w:val="24"/>
        </w:rPr>
        <w:t>rant.  Commenters cited an analysis conducted at the direction of an association representing for-profit institutions that focused on a subset of programs providing training for healthcare-related professions that they claimed showed student demographics are stronger predictors of GE program outcomes on the D/E rates and pCDR measures than the quality of program instruction.</w:t>
      </w:r>
      <w:r w:rsidRPr="0096107B">
        <w:rPr>
          <w:rFonts w:ascii="Courier New" w:eastAsia="Times New Roman" w:hAnsi="Courier New" w:cs="Courier New"/>
          <w:sz w:val="24"/>
          <w:szCs w:val="24"/>
          <w:vertAlign w:val="superscript"/>
        </w:rPr>
        <w:footnoteReference w:id="70"/>
      </w:r>
      <w:r w:rsidRPr="0096107B">
        <w:rPr>
          <w:rFonts w:ascii="Courier New" w:eastAsia="Times New Roman" w:hAnsi="Courier New" w:cs="Courier New"/>
          <w:sz w:val="24"/>
          <w:szCs w:val="24"/>
        </w:rPr>
        <w:t xml:space="preserve">  The commenters said that these findings contradicted the analysis conducted by the Department.  Other commenters said minority status and Pell Grant eligibility, in particular, are factors that significantly affect completion, borrowing, and default outcomes.  </w:t>
      </w:r>
      <w:r w:rsidR="00D8717B">
        <w:rPr>
          <w:rFonts w:ascii="Courier New" w:hAnsi="Courier New" w:cs="Courier New"/>
          <w:sz w:val="24"/>
          <w:szCs w:val="24"/>
        </w:rPr>
        <w:t xml:space="preserve">Another commenter argued that the statutory provisions that allow an institution with high </w:t>
      </w:r>
      <w:r w:rsidR="00D8717B">
        <w:rPr>
          <w:rFonts w:ascii="Courier New" w:hAnsi="Courier New" w:cs="Courier New"/>
          <w:sz w:val="24"/>
          <w:szCs w:val="24"/>
        </w:rPr>
        <w:lastRenderedPageBreak/>
        <w:t xml:space="preserve">cohort default rates to appeal the determination of ineligibility if it serves a high number of low-income students are evidence that Congress intended to recognize that student demographics are unrelated to program quality. </w:t>
      </w:r>
      <w:r w:rsidR="00967F43">
        <w:rPr>
          <w:rFonts w:ascii="Courier New" w:hAnsi="Courier New" w:cs="Courier New"/>
          <w:sz w:val="24"/>
          <w:szCs w:val="24"/>
        </w:rPr>
        <w:t xml:space="preserve"> </w:t>
      </w:r>
      <w:r w:rsidR="00D8717B">
        <w:rPr>
          <w:rFonts w:ascii="Courier New" w:hAnsi="Courier New" w:cs="Courier New"/>
          <w:sz w:val="24"/>
          <w:szCs w:val="24"/>
        </w:rPr>
        <w:t>As such, the commenter suggested that student demographics should be taken into account in the r</w:t>
      </w:r>
      <w:r w:rsidR="00967F43">
        <w:rPr>
          <w:rFonts w:ascii="Courier New" w:hAnsi="Courier New" w:cs="Courier New"/>
          <w:sz w:val="24"/>
          <w:szCs w:val="24"/>
        </w:rPr>
        <w:t>egulations</w:t>
      </w:r>
      <w:r w:rsidR="00D8717B">
        <w:rPr>
          <w:rFonts w:ascii="Courier New" w:hAnsi="Courier New" w:cs="Courier New"/>
          <w:sz w:val="24"/>
          <w:szCs w:val="24"/>
        </w:rPr>
        <w:t>.</w:t>
      </w:r>
    </w:p>
    <w:p w14:paraId="23C09579" w14:textId="02F68E9E" w:rsidR="0096107B" w:rsidRPr="0096107B" w:rsidRDefault="0096107B" w:rsidP="00A44646">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Specifically with respect to the pCDR measure, commenters argued that its use as an eligibility metric would hold institutions and programs accountable for factors beyond their control, including the demographics of their students and the amounts they borrowed.  The commenters argued that, in the context of iCDR, data publically available through FSA and NCES show a strong relationship between a failing iCDR and high usage of Pell Grants (an indicator of students’ low-income status), and demonstrate a strong relationship between a failing iCDR and minority status.  The commenters believed that outcomes under the pCDR measure would similarly be tied to students’ socioeconomic and minority statuses, resulting in less institutional willingness to enroll minority, low-income students or students from any subgroup that shows increased risk of student loan defaults.    </w:t>
      </w:r>
    </w:p>
    <w:p w14:paraId="32236B29" w14:textId="47CA0290"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stated that the regulations would have a negative effect on minority students because, on average, they do not have the existing financial resources to pay for more </w:t>
      </w:r>
      <w:r w:rsidRPr="0096107B">
        <w:rPr>
          <w:rFonts w:ascii="Courier New" w:eastAsia="Times New Roman" w:hAnsi="Courier New" w:cs="Courier New"/>
          <w:sz w:val="24"/>
          <w:szCs w:val="24"/>
        </w:rPr>
        <w:lastRenderedPageBreak/>
        <w:t xml:space="preserve">expensive programs and, thus, rely on debt to pay for programs leading to well-paying jobs such as medical </w:t>
      </w:r>
      <w:r w:rsidR="000A0A82">
        <w:rPr>
          <w:rFonts w:ascii="Courier New" w:eastAsia="Times New Roman" w:hAnsi="Courier New" w:cs="Courier New"/>
          <w:sz w:val="24"/>
          <w:szCs w:val="24"/>
        </w:rPr>
        <w:t>programs</w:t>
      </w:r>
      <w:r w:rsidRPr="0096107B">
        <w:rPr>
          <w:rFonts w:ascii="Courier New" w:eastAsia="Times New Roman" w:hAnsi="Courier New" w:cs="Courier New"/>
          <w:sz w:val="24"/>
          <w:szCs w:val="24"/>
        </w:rPr>
        <w:t xml:space="preserve">.  The commenter asserted that the regulations would restrict access to those programs for minority students and therefore increase disparities in economic opportunity between whites and minorities.  Another commenter said the regulations are biased against institutions enrolling more first-generation college students, because these students, on average, have fewer financial resources, rely more on borrowing, and are less likely to complete the program.    </w:t>
      </w:r>
    </w:p>
    <w:p w14:paraId="13D2CB14"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 the other hand, several commenters argued that the regulations would help increase access to high-quality postsecondary education for underserved students.  Based on the experience of financial aid programs--such as the Cal Grants program in California--that have tightened standards for institutions receiving State-funded student aid, commenters believed that the regulations are likely to direct more funds to programs producing positive student outcomes.  They predicted that the redirection of public funding will encourage programs with strong performance to expand enrollment to meet the demands of students who would otherwise attend programs that are determined ineligible under the D/E rates measure or are voluntarily discontinued by an institution.  They also argued that the regulations would encourage low-quality programs to </w:t>
      </w:r>
      <w:r w:rsidRPr="0096107B">
        <w:rPr>
          <w:rFonts w:ascii="Courier New" w:eastAsia="Times New Roman" w:hAnsi="Courier New" w:cs="Courier New"/>
          <w:sz w:val="24"/>
          <w:szCs w:val="24"/>
        </w:rPr>
        <w:lastRenderedPageBreak/>
        <w:t xml:space="preserve">take steps to improve outcomes of non-traditional students.  One commenter predicted large financial gains for low-income and minority students who enroll in better performing programs. </w:t>
      </w:r>
    </w:p>
    <w:p w14:paraId="18C5872C" w14:textId="2E7D9F44"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do not agree that the regulations will substantially reduce educational opportunities for minorities, economically disadvantaged students, first-generation college students, women, and other underserved groups of students.  We further disagree that the available evidence suggests that the D/E rates measure is predominantly a measure of student composition, rather than program quality.  </w:t>
      </w:r>
      <w:r w:rsidR="000A0A82">
        <w:rPr>
          <w:rFonts w:ascii="Courier New" w:eastAsia="Times New Roman" w:hAnsi="Courier New" w:cs="Courier New"/>
          <w:sz w:val="24"/>
          <w:szCs w:val="24"/>
        </w:rPr>
        <w:t>As provided i</w:t>
      </w:r>
      <w:r w:rsidRPr="0096107B">
        <w:rPr>
          <w:rFonts w:ascii="Courier New" w:eastAsia="Times New Roman" w:hAnsi="Courier New" w:cs="Courier New"/>
          <w:sz w:val="24"/>
          <w:szCs w:val="24"/>
        </w:rPr>
        <w:t xml:space="preserve">n the </w:t>
      </w:r>
      <w:r w:rsidRPr="008467CF">
        <w:rPr>
          <w:rFonts w:ascii="Courier New" w:eastAsia="Times New Roman" w:hAnsi="Courier New" w:cs="Courier New"/>
          <w:sz w:val="24"/>
          <w:szCs w:val="24"/>
          <w:u w:val="single"/>
        </w:rPr>
        <w:t>Regulatory Impact Analysis</w:t>
      </w:r>
      <w:r w:rsidRPr="0096107B">
        <w:rPr>
          <w:rFonts w:ascii="Courier New" w:eastAsia="Times New Roman" w:hAnsi="Courier New" w:cs="Courier New"/>
          <w:sz w:val="24"/>
          <w:szCs w:val="24"/>
        </w:rPr>
        <w:t>, the Department’s analysis indicates that the student characteristics of programs do not overly influence the performance of programs on the D/E rates measure.</w:t>
      </w:r>
      <w:r w:rsidR="00162545">
        <w:rPr>
          <w:rFonts w:ascii="Courier New" w:eastAsia="Times New Roman" w:hAnsi="Courier New" w:cs="Courier New"/>
          <w:sz w:val="24"/>
          <w:szCs w:val="24"/>
        </w:rPr>
        <w:t xml:space="preserve">  </w:t>
      </w:r>
      <w:r w:rsidR="000A0A82">
        <w:rPr>
          <w:rFonts w:ascii="Courier New" w:eastAsia="Times New Roman" w:hAnsi="Courier New"/>
          <w:sz w:val="24"/>
        </w:rPr>
        <w:t>S</w:t>
      </w:r>
      <w:r w:rsidR="00162545" w:rsidRPr="00176DD3">
        <w:rPr>
          <w:rFonts w:ascii="Courier New" w:eastAsia="Times New Roman" w:hAnsi="Courier New"/>
          <w:sz w:val="24"/>
        </w:rPr>
        <w:t xml:space="preserve">ee “Student </w:t>
      </w:r>
      <w:r w:rsidR="00CE3D3A" w:rsidRPr="00176DD3">
        <w:rPr>
          <w:rFonts w:ascii="Courier New" w:eastAsia="Times New Roman" w:hAnsi="Courier New"/>
          <w:sz w:val="24"/>
        </w:rPr>
        <w:t>D</w:t>
      </w:r>
      <w:r w:rsidR="00162545" w:rsidRPr="00176DD3">
        <w:rPr>
          <w:rFonts w:ascii="Courier New" w:eastAsia="Times New Roman" w:hAnsi="Courier New"/>
          <w:sz w:val="24"/>
        </w:rPr>
        <w:t xml:space="preserve">emographic </w:t>
      </w:r>
      <w:r w:rsidR="00CE3D3A" w:rsidRPr="00176DD3">
        <w:rPr>
          <w:rFonts w:ascii="Courier New" w:eastAsia="Times New Roman" w:hAnsi="Courier New"/>
          <w:sz w:val="24"/>
        </w:rPr>
        <w:t>A</w:t>
      </w:r>
      <w:r w:rsidR="00162545" w:rsidRPr="00176DD3">
        <w:rPr>
          <w:rFonts w:ascii="Courier New" w:eastAsia="Times New Roman" w:hAnsi="Courier New"/>
          <w:sz w:val="24"/>
        </w:rPr>
        <w:t xml:space="preserve">nalysis of </w:t>
      </w:r>
      <w:r w:rsidR="00CE3D3A" w:rsidRPr="00176DD3">
        <w:rPr>
          <w:rFonts w:ascii="Courier New" w:eastAsia="Times New Roman" w:hAnsi="Courier New"/>
          <w:sz w:val="24"/>
        </w:rPr>
        <w:t>F</w:t>
      </w:r>
      <w:r w:rsidR="00162545" w:rsidRPr="00176DD3">
        <w:rPr>
          <w:rFonts w:ascii="Courier New" w:eastAsia="Times New Roman" w:hAnsi="Courier New"/>
          <w:sz w:val="24"/>
        </w:rPr>
        <w:t xml:space="preserve">inal </w:t>
      </w:r>
      <w:r w:rsidR="00CE3D3A" w:rsidRPr="00176DD3">
        <w:rPr>
          <w:rFonts w:ascii="Courier New" w:eastAsia="Times New Roman" w:hAnsi="Courier New" w:cs="Courier New"/>
          <w:sz w:val="24"/>
          <w:szCs w:val="24"/>
        </w:rPr>
        <w:t>R</w:t>
      </w:r>
      <w:r w:rsidR="00162545" w:rsidRPr="00176DD3">
        <w:rPr>
          <w:rFonts w:ascii="Courier New" w:eastAsia="Times New Roman" w:hAnsi="Courier New" w:cs="Courier New"/>
          <w:sz w:val="24"/>
          <w:szCs w:val="24"/>
        </w:rPr>
        <w:t>egulation</w:t>
      </w:r>
      <w:r w:rsidR="00176DD3" w:rsidRPr="00176DD3">
        <w:rPr>
          <w:rFonts w:ascii="Courier New" w:eastAsia="Times New Roman" w:hAnsi="Courier New" w:cs="Courier New"/>
          <w:sz w:val="24"/>
          <w:szCs w:val="24"/>
        </w:rPr>
        <w:t>s</w:t>
      </w:r>
      <w:r w:rsidR="00162545" w:rsidRPr="00176DD3">
        <w:rPr>
          <w:rFonts w:ascii="Courier New" w:eastAsia="Times New Roman" w:hAnsi="Courier New" w:cs="Courier New"/>
          <w:sz w:val="24"/>
          <w:szCs w:val="24"/>
        </w:rPr>
        <w:t>”</w:t>
      </w:r>
      <w:r w:rsidR="00162545" w:rsidRPr="00176DD3">
        <w:rPr>
          <w:rFonts w:ascii="Courier New" w:eastAsia="Times New Roman" w:hAnsi="Courier New"/>
          <w:sz w:val="24"/>
        </w:rPr>
        <w:t xml:space="preserve"> in the Regulatory Impact Analysis for a discussion of the Department’s analysis.</w:t>
      </w:r>
      <w:r w:rsidRPr="0096107B">
        <w:rPr>
          <w:rFonts w:ascii="Courier New" w:eastAsia="Times New Roman" w:hAnsi="Courier New" w:cs="Courier New"/>
          <w:sz w:val="24"/>
          <w:szCs w:val="24"/>
        </w:rPr>
        <w:t xml:space="preserve">  </w:t>
      </w:r>
    </w:p>
    <w:p w14:paraId="6CDF72B5" w14:textId="3B971AF9" w:rsidR="0096107B" w:rsidRPr="0096107B" w:rsidRDefault="001A1C86"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For these regulations, t</w:t>
      </w:r>
      <w:r w:rsidR="0096107B" w:rsidRPr="0096107B">
        <w:rPr>
          <w:rFonts w:ascii="Courier New" w:eastAsia="Times New Roman" w:hAnsi="Courier New" w:cs="Courier New"/>
          <w:sz w:val="24"/>
          <w:szCs w:val="24"/>
        </w:rPr>
        <w:t>he Department modified the two regression analyses it developed for the NPRM to better understand the extent to which student demographic factors may explain program performance under the regulations.  As with the NPRM, the regression analyses are based on the 2012 GE informational D/E rates.  We summarize the regression analysis for the annual earnings rate here.</w:t>
      </w:r>
    </w:p>
    <w:p w14:paraId="53406DC8" w14:textId="65995B01"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For the annual earnings rate regression analysis, we explored the influence of demographic factors such as those cited by commenters.  These were measured at the program level for the percentage of students who completed a program and have the following demographic characteristics:  zero expected family contribution estimated by the FASFA; </w:t>
      </w:r>
      <w:r w:rsidR="0021008B">
        <w:rPr>
          <w:rFonts w:ascii="Courier New" w:eastAsia="Times New Roman" w:hAnsi="Courier New" w:cs="Courier New"/>
          <w:sz w:val="24"/>
          <w:szCs w:val="24"/>
        </w:rPr>
        <w:t>race and ethnicity status (</w:t>
      </w:r>
      <w:r w:rsidR="0021008B">
        <w:rPr>
          <w:rFonts w:ascii="Courier New" w:hAnsi="Courier New" w:cs="Courier New"/>
          <w:sz w:val="24"/>
          <w:szCs w:val="24"/>
        </w:rPr>
        <w:t>white, Black, Hispanic, Asian</w:t>
      </w:r>
      <w:r w:rsidR="00BA4016" w:rsidRPr="00BA4016">
        <w:rPr>
          <w:rFonts w:ascii="Courier New" w:hAnsi="Courier New" w:cs="Courier New"/>
          <w:sz w:val="24"/>
          <w:szCs w:val="24"/>
        </w:rPr>
        <w:t xml:space="preserve"> or Pacific Islander</w:t>
      </w:r>
      <w:r w:rsidR="0021008B">
        <w:rPr>
          <w:rFonts w:ascii="Courier New" w:hAnsi="Courier New" w:cs="Courier New"/>
          <w:sz w:val="24"/>
          <w:szCs w:val="24"/>
        </w:rPr>
        <w:t>, American Indian</w:t>
      </w:r>
      <w:r w:rsidR="00BA4016" w:rsidRPr="00BA4016">
        <w:rPr>
          <w:rFonts w:ascii="Courier New" w:hAnsi="Courier New" w:cs="Courier New"/>
          <w:sz w:val="24"/>
          <w:szCs w:val="24"/>
        </w:rPr>
        <w:t xml:space="preserve"> or Alaska Native</w:t>
      </w:r>
      <w:r w:rsidR="0021008B">
        <w:rPr>
          <w:rFonts w:ascii="Courier New" w:hAnsi="Courier New" w:cs="Courier New"/>
          <w:sz w:val="24"/>
          <w:szCs w:val="24"/>
        </w:rPr>
        <w:t>)</w:t>
      </w:r>
      <w:r w:rsidRPr="0096107B">
        <w:rPr>
          <w:rFonts w:ascii="Courier New" w:eastAsia="Times New Roman" w:hAnsi="Courier New" w:cs="Courier New"/>
          <w:sz w:val="24"/>
          <w:szCs w:val="24"/>
        </w:rPr>
        <w:t>; female; independent status; married; had a mother without a bachelor’s degree.</w:t>
      </w:r>
      <w:r w:rsidRPr="00BA4016">
        <w:rPr>
          <w:rFonts w:ascii="Courier New" w:eastAsia="Times New Roman" w:hAnsi="Courier New"/>
          <w:sz w:val="24"/>
          <w:vertAlign w:val="superscript"/>
        </w:rPr>
        <w:t xml:space="preserve"> </w:t>
      </w:r>
      <w:r w:rsidR="00BA4016" w:rsidRPr="0096107B">
        <w:rPr>
          <w:rFonts w:ascii="Courier New" w:eastAsia="Times New Roman" w:hAnsi="Courier New" w:cs="Courier New"/>
          <w:sz w:val="24"/>
          <w:szCs w:val="24"/>
          <w:vertAlign w:val="superscript"/>
        </w:rPr>
        <w:footnoteReference w:id="71"/>
      </w:r>
      <w:r w:rsidRPr="0096107B">
        <w:rPr>
          <w:rFonts w:ascii="Courier New" w:eastAsia="Times New Roman" w:hAnsi="Courier New" w:cs="Courier New"/>
          <w:sz w:val="24"/>
          <w:szCs w:val="24"/>
        </w:rPr>
        <w:t xml:space="preserve">  We held the effects of credential level and institutional sector of programs constant.  The regression analysis show</w:t>
      </w:r>
      <w:r w:rsidR="00206818">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that annual earnings rates results do not have a strong association with programs serving minorities, economically disadvantaged students, first-generation college students, women, and other underserved groups of students.  Descriptive analyses</w:t>
      </w:r>
      <w:r w:rsidR="00206818">
        <w:rPr>
          <w:rFonts w:ascii="Courier New" w:eastAsia="Times New Roman" w:hAnsi="Courier New" w:cs="Courier New"/>
          <w:sz w:val="24"/>
          <w:szCs w:val="24"/>
        </w:rPr>
        <w:t>, also provided in the RIA,</w:t>
      </w:r>
      <w:r w:rsidRPr="0096107B">
        <w:rPr>
          <w:rFonts w:ascii="Courier New" w:eastAsia="Times New Roman" w:hAnsi="Courier New" w:cs="Courier New"/>
          <w:sz w:val="24"/>
          <w:szCs w:val="24"/>
        </w:rPr>
        <w:t xml:space="preserve"> </w:t>
      </w:r>
      <w:r w:rsidR="00206818">
        <w:rPr>
          <w:rFonts w:ascii="Courier New" w:eastAsia="Times New Roman" w:hAnsi="Courier New" w:cs="Courier New"/>
          <w:sz w:val="24"/>
          <w:szCs w:val="24"/>
        </w:rPr>
        <w:t>further</w:t>
      </w:r>
      <w:r w:rsidR="00206818"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indicate that the characteristics of students attending GE programs are not strong predictors of which programs pass the D/E rates measure, further suggesting the regulations do not disproportionately negatively affect programs serving minorities, economically disadvantaged students, first-generation college students, women, and other underserved groups of students. </w:t>
      </w:r>
    </w:p>
    <w:p w14:paraId="69C07E60" w14:textId="47452455"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Although we included a regression analysis on pCDR in the NPRM, we do not respond to comments on this analysis because the regulations no longer include pCDR as an accountability metric to determine eligibility for title IV, HEA program funds.  </w:t>
      </w:r>
    </w:p>
    <w:p w14:paraId="18BD1839"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2956F30A"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Arial Unicode MS" w:hAnsi="Courier New" w:cs="Courier New"/>
          <w:sz w:val="24"/>
          <w:szCs w:val="24"/>
          <w:u w:val="single"/>
        </w:rPr>
        <w:t>Comments</w:t>
      </w:r>
      <w:r w:rsidRPr="0096107B">
        <w:rPr>
          <w:rFonts w:ascii="Courier New" w:eastAsia="Arial Unicode MS" w:hAnsi="Courier New" w:cs="Courier New"/>
          <w:sz w:val="24"/>
          <w:szCs w:val="24"/>
        </w:rPr>
        <w:t xml:space="preserve">:  </w:t>
      </w:r>
      <w:r w:rsidRPr="0096107B">
        <w:rPr>
          <w:rFonts w:ascii="Courier New" w:eastAsia="Times New Roman" w:hAnsi="Courier New" w:cs="Courier New"/>
          <w:sz w:val="24"/>
          <w:szCs w:val="24"/>
        </w:rPr>
        <w:t>Several commenters asserted that the problems associated with low completion rates and churn would not be resolved if low-income and minority students who are attending failing programs at for-profit institutions transfer to programs at community colleges.  According to these commenters, completion rates are lower at public two-year institutions than at for-profit two-year institutions.</w:t>
      </w:r>
    </w:p>
    <w:p w14:paraId="2715BCAF" w14:textId="6B52FB39" w:rsidR="005A0870"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We disagree that the regulations will negatively affect the completion rates of low-income and minority students if, as a result of the regulations, more of these students transfer to public two-year institutions.</w:t>
      </w:r>
      <w:r w:rsidR="00614949">
        <w:rPr>
          <w:rFonts w:ascii="Courier New" w:eastAsia="Times New Roman" w:hAnsi="Courier New" w:cs="Courier New"/>
          <w:sz w:val="24"/>
          <w:szCs w:val="24"/>
        </w:rPr>
        <w:t xml:space="preserve">  As stated previously in this section, we acknowledge six-year certificate/degree attainment rates may be slightly lower at public two-year institutions compared to for-profit two-year institutions.  However, we believe this slight difference in attainment rates is too small to provide compelling evidence that these regulations will harm low-income or minority students due to a possible shift in enrollment to public institutions.</w:t>
      </w:r>
      <w:r w:rsidR="00614949"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 </w:t>
      </w:r>
      <w:r w:rsidR="00614949">
        <w:rPr>
          <w:rFonts w:ascii="Courier New" w:eastAsia="Times New Roman" w:hAnsi="Courier New" w:cs="Courier New"/>
          <w:sz w:val="24"/>
          <w:szCs w:val="24"/>
        </w:rPr>
        <w:t>Further, a</w:t>
      </w:r>
      <w:r w:rsidRPr="0096107B">
        <w:rPr>
          <w:rFonts w:ascii="Courier New" w:eastAsia="Times New Roman" w:hAnsi="Courier New" w:cs="Courier New"/>
          <w:sz w:val="24"/>
          <w:szCs w:val="24"/>
        </w:rPr>
        <w:t xml:space="preserve">s </w:t>
      </w:r>
      <w:r w:rsidR="00614949">
        <w:rPr>
          <w:rFonts w:ascii="Courier New" w:eastAsia="Times New Roman" w:hAnsi="Courier New" w:cs="Courier New"/>
          <w:sz w:val="24"/>
          <w:szCs w:val="24"/>
        </w:rPr>
        <w:t xml:space="preserve">also </w:t>
      </w:r>
      <w:r w:rsidRPr="0096107B">
        <w:rPr>
          <w:rFonts w:ascii="Courier New" w:eastAsia="Times New Roman" w:hAnsi="Courier New" w:cs="Courier New"/>
          <w:sz w:val="24"/>
          <w:szCs w:val="24"/>
        </w:rPr>
        <w:t xml:space="preserve">discussed previously, one possible </w:t>
      </w:r>
      <w:r w:rsidR="005A0870">
        <w:rPr>
          <w:rFonts w:ascii="Courier New" w:eastAsia="Times New Roman" w:hAnsi="Courier New" w:cs="Courier New"/>
          <w:sz w:val="24"/>
          <w:szCs w:val="24"/>
        </w:rPr>
        <w:t>factor</w:t>
      </w:r>
      <w:r w:rsidR="005A0870"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that</w:t>
      </w:r>
      <w:r w:rsidR="005A0870">
        <w:rPr>
          <w:rFonts w:ascii="Courier New" w:eastAsia="Times New Roman" w:hAnsi="Courier New" w:cs="Courier New"/>
          <w:sz w:val="24"/>
          <w:szCs w:val="24"/>
        </w:rPr>
        <w:t xml:space="preserve"> </w:t>
      </w:r>
      <w:r w:rsidR="005A0870">
        <w:rPr>
          <w:rFonts w:ascii="Courier New" w:eastAsia="Times New Roman" w:hAnsi="Courier New" w:cs="Courier New"/>
          <w:sz w:val="24"/>
          <w:szCs w:val="24"/>
        </w:rPr>
        <w:lastRenderedPageBreak/>
        <w:t>contributes to</w:t>
      </w:r>
      <w:r w:rsidRPr="0096107B">
        <w:rPr>
          <w:rFonts w:ascii="Courier New" w:eastAsia="Times New Roman" w:hAnsi="Courier New" w:cs="Courier New"/>
          <w:sz w:val="24"/>
          <w:szCs w:val="24"/>
        </w:rPr>
        <w:t xml:space="preserve"> graduation rates at public two-year institutions </w:t>
      </w:r>
      <w:r w:rsidR="005A0870">
        <w:rPr>
          <w:rFonts w:ascii="Courier New" w:eastAsia="Times New Roman" w:hAnsi="Courier New" w:cs="Courier New"/>
          <w:sz w:val="24"/>
          <w:szCs w:val="24"/>
        </w:rPr>
        <w:t>being</w:t>
      </w:r>
      <w:r w:rsidR="005A0870"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lower than graduation rates at for-profit two-year institutions is that a goal of many community college programs is to prepare students to transfer from public two-year institutions into programs offered at other institutions, particularly public four-year institutions.  Without taking into account transfer outcomes, differences in graduation rates among for-profit two-year institutions and public two-year institutions do not provide convincing evidence that the regulations will negatively affect completion rates. </w:t>
      </w:r>
      <w:r w:rsidR="004C74A1">
        <w:rPr>
          <w:rFonts w:ascii="Courier New" w:eastAsia="Times New Roman" w:hAnsi="Courier New" w:cs="Courier New"/>
          <w:sz w:val="24"/>
          <w:szCs w:val="24"/>
        </w:rPr>
        <w:t xml:space="preserve"> </w:t>
      </w:r>
    </w:p>
    <w:p w14:paraId="07B6802E" w14:textId="716DABF5" w:rsidR="0096107B" w:rsidRPr="0096107B" w:rsidRDefault="0096107B" w:rsidP="005A0870">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Further, the Department would not expect that the regulations would disproportionately harm low-income or minority students, particularly where institutions raise quality to provide better outcomes for students, or where they are more selective in their admissions.  Research shows that when challenged to attend </w:t>
      </w:r>
      <w:r w:rsidR="000C7D90">
        <w:rPr>
          <w:rFonts w:ascii="Courier New" w:eastAsia="Times New Roman" w:hAnsi="Courier New" w:cs="Courier New"/>
          <w:sz w:val="24"/>
          <w:szCs w:val="24"/>
        </w:rPr>
        <w:t>more</w:t>
      </w:r>
      <w:r w:rsidRPr="0096107B">
        <w:rPr>
          <w:rFonts w:ascii="Courier New" w:eastAsia="Times New Roman" w:hAnsi="Courier New" w:cs="Courier New"/>
          <w:sz w:val="24"/>
          <w:szCs w:val="24"/>
        </w:rPr>
        <w:t xml:space="preserve"> selective institutions, minority and low-income students have increased attainment, and that characteristics of institutions play a bigger role in determining student outcomes than do individual characteristics of attendees.</w:t>
      </w:r>
      <w:r w:rsidRPr="0096107B">
        <w:rPr>
          <w:rFonts w:ascii="Courier New" w:eastAsia="Times New Roman" w:hAnsi="Courier New" w:cs="Courier New"/>
          <w:sz w:val="24"/>
          <w:szCs w:val="24"/>
          <w:vertAlign w:val="superscript"/>
        </w:rPr>
        <w:footnoteReference w:id="72"/>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73"/>
      </w:r>
    </w:p>
    <w:p w14:paraId="7F602B5D" w14:textId="0BE94966"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Regardless of the distinctions between programs operated by public and for-profit institutions, our estimates indicate that the substantial majority of programs </w:t>
      </w:r>
      <w:r w:rsidR="004C74A1">
        <w:rPr>
          <w:rFonts w:ascii="Courier New" w:eastAsia="Times New Roman" w:hAnsi="Courier New" w:cs="Courier New"/>
          <w:sz w:val="24"/>
          <w:szCs w:val="24"/>
        </w:rPr>
        <w:t xml:space="preserve">at for-profit institutions </w:t>
      </w:r>
      <w:r w:rsidRPr="0096107B">
        <w:rPr>
          <w:rFonts w:ascii="Courier New" w:eastAsia="Times New Roman" w:hAnsi="Courier New" w:cs="Courier New"/>
          <w:sz w:val="24"/>
          <w:szCs w:val="24"/>
        </w:rPr>
        <w:t xml:space="preserve">will pass the D/E rates measure and we believe the net effect of the D/E rates measure will be that students will have the opportunity to enroll in programs </w:t>
      </w:r>
      <w:r w:rsidR="004C74A1">
        <w:rPr>
          <w:rFonts w:ascii="Courier New" w:eastAsia="Times New Roman" w:hAnsi="Courier New" w:cs="Courier New"/>
          <w:sz w:val="24"/>
          <w:szCs w:val="24"/>
        </w:rPr>
        <w:t xml:space="preserve">at both public and for-profit institutions </w:t>
      </w:r>
      <w:r w:rsidRPr="0096107B">
        <w:rPr>
          <w:rFonts w:ascii="Courier New" w:eastAsia="Times New Roman" w:hAnsi="Courier New" w:cs="Courier New"/>
          <w:sz w:val="24"/>
          <w:szCs w:val="24"/>
        </w:rPr>
        <w:t>with better performance than programs that do not pass the D/E rates measure.  In addition, students leaving a failing program at a for-profit</w:t>
      </w:r>
      <w:r w:rsidRPr="00183FCA">
        <w:rPr>
          <w:rFonts w:ascii="Courier New" w:eastAsia="Times New Roman" w:hAnsi="Courier New" w:cs="Courier New"/>
        </w:rPr>
        <w:t xml:space="preserve"> </w:t>
      </w:r>
      <w:r w:rsidRPr="004C74A1">
        <w:rPr>
          <w:rFonts w:ascii="Courier New" w:eastAsia="Times New Roman" w:hAnsi="Courier New"/>
          <w:sz w:val="24"/>
        </w:rPr>
        <w:t>institution</w:t>
      </w:r>
      <w:r w:rsidRPr="00183FCA">
        <w:rPr>
          <w:rFonts w:ascii="Courier New" w:eastAsia="Times New Roman" w:hAnsi="Courier New" w:cs="Courier New"/>
        </w:rPr>
        <w:t xml:space="preserve"> </w:t>
      </w:r>
      <w:r w:rsidRPr="004C74A1">
        <w:rPr>
          <w:rFonts w:ascii="Courier New" w:eastAsia="Times New Roman" w:hAnsi="Courier New"/>
          <w:sz w:val="24"/>
        </w:rPr>
        <w:t>may transfer to another for-profit program,</w:t>
      </w:r>
      <w:r w:rsidRPr="00183FCA">
        <w:rPr>
          <w:rFonts w:ascii="Courier New" w:eastAsia="Times New Roman" w:hAnsi="Courier New" w:cs="Courier New"/>
        </w:rPr>
        <w:t xml:space="preserve"> </w:t>
      </w:r>
      <w:r w:rsidRPr="0096107B">
        <w:rPr>
          <w:rFonts w:ascii="Courier New" w:eastAsia="Times New Roman" w:hAnsi="Courier New" w:cs="Courier New"/>
          <w:sz w:val="24"/>
          <w:szCs w:val="24"/>
        </w:rPr>
        <w:t>but one that is performing well on the D/E rates measure.</w:t>
      </w:r>
    </w:p>
    <w:p w14:paraId="276C9A01"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0C5CDEB9" w14:textId="16B10D1C"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One commenter claimed the regulations do not adequately protect veteran students from deceptive practices by for-profit institutions that result in enrollment in low-quality programs.  One commenter said that for-profit</w:t>
      </w:r>
      <w:r w:rsidR="004C74A1">
        <w:rPr>
          <w:rFonts w:ascii="Courier New" w:eastAsia="Times New Roman" w:hAnsi="Courier New" w:cs="Courier New"/>
          <w:sz w:val="24"/>
          <w:szCs w:val="24"/>
        </w:rPr>
        <w:t xml:space="preserve"> institutions</w:t>
      </w:r>
      <w:r w:rsidRPr="0096107B">
        <w:rPr>
          <w:rFonts w:ascii="Courier New" w:eastAsia="Times New Roman" w:hAnsi="Courier New" w:cs="Courier New"/>
          <w:sz w:val="24"/>
          <w:szCs w:val="24"/>
        </w:rPr>
        <w:t xml:space="preserve"> increased recruiting of veterans by over 200 percent in just one year.  Another commenter contended that 500,000 veterans dropped out of the top eight for-profit schools over the course of just one year.</w:t>
      </w:r>
    </w:p>
    <w:p w14:paraId="61D9282F" w14:textId="4C52CB44" w:rsidR="0096107B" w:rsidRPr="0096107B" w:rsidRDefault="0096107B" w:rsidP="0096107B">
      <w:pPr>
        <w:spacing w:after="0" w:line="480" w:lineRule="auto"/>
        <w:contextualSpacing/>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appreciate the </w:t>
      </w:r>
      <w:r w:rsidR="004E7594">
        <w:rPr>
          <w:rFonts w:ascii="Courier New" w:eastAsia="Times New Roman" w:hAnsi="Courier New" w:cs="Courier New"/>
          <w:sz w:val="24"/>
          <w:szCs w:val="24"/>
        </w:rPr>
        <w:t xml:space="preserve">commenters’ </w:t>
      </w:r>
      <w:r w:rsidRPr="0096107B">
        <w:rPr>
          <w:rFonts w:ascii="Courier New" w:eastAsia="Times New Roman" w:hAnsi="Courier New" w:cs="Courier New"/>
          <w:sz w:val="24"/>
          <w:szCs w:val="24"/>
        </w:rPr>
        <w:t xml:space="preserve">concerns with respect to protecting students from deceptive practices by for-profit institutions.  As discussed in the NPRM, the Senate HELP Committee recently investigated deceptive practices targeted at </w:t>
      </w:r>
      <w:r w:rsidRPr="0096107B">
        <w:rPr>
          <w:rFonts w:ascii="Courier New" w:eastAsia="Times New Roman" w:hAnsi="Courier New" w:cs="Courier New"/>
          <w:sz w:val="24"/>
          <w:szCs w:val="24"/>
        </w:rPr>
        <w:lastRenderedPageBreak/>
        <w:t>military veterans, particularly within the for-profit sector.  In its report, it noted finding extensive evidence of aggressive and deceptive recruiting practices, high tuition, and regulatory evasion and manipulation by for-profit colleges in their efforts to enroll service members, veterans, and their families.</w:t>
      </w:r>
      <w:r w:rsidRPr="0096107B">
        <w:rPr>
          <w:rFonts w:ascii="Courier New" w:eastAsia="Times New Roman" w:hAnsi="Courier New" w:cs="Courier New"/>
          <w:sz w:val="24"/>
          <w:szCs w:val="24"/>
          <w:vertAlign w:val="superscript"/>
        </w:rPr>
        <w:footnoteReference w:id="74"/>
      </w:r>
    </w:p>
    <w:p w14:paraId="62E79021" w14:textId="5EFED39E" w:rsidR="0096107B" w:rsidRPr="0096107B" w:rsidRDefault="0096107B" w:rsidP="0096107B">
      <w:pPr>
        <w:spacing w:after="0" w:line="480" w:lineRule="auto"/>
        <w:ind w:firstLine="720"/>
        <w:contextualSpacing/>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believe that the regulations will help protect all prospective students, including veterans, from unscrupulous recruiting practices.  As discussed in “§668.410  Consequences of the D/E Rates Measure” and in “§668.412 </w:t>
      </w:r>
      <w:r w:rsidRPr="0096107B" w:rsidDel="00CE32DF">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Disclosure Requirements for GE Programs,” prospective students will have the benefit of a fulsome set of disclosures about a program and its students’ outcomes to inform their educational and financial decision making.  Further, prospective students will be warned under §668.410 if the program in which they intend to enroll </w:t>
      </w:r>
      <w:r w:rsidR="002A22CB" w:rsidRPr="002A22CB">
        <w:rPr>
          <w:rFonts w:ascii="Courier New" w:hAnsi="Courier New" w:cs="Courier New"/>
          <w:sz w:val="24"/>
          <w:szCs w:val="24"/>
        </w:rPr>
        <w:t xml:space="preserve">could become ineligible based on its </w:t>
      </w:r>
      <w:r w:rsidR="002A22CB" w:rsidRPr="0096107B">
        <w:rPr>
          <w:rFonts w:ascii="Courier New" w:eastAsia="Times New Roman" w:hAnsi="Courier New"/>
          <w:sz w:val="24"/>
        </w:rPr>
        <w:t xml:space="preserve">D/E rates </w:t>
      </w:r>
      <w:r w:rsidR="002A22CB" w:rsidRPr="002A22CB">
        <w:rPr>
          <w:rFonts w:ascii="Courier New" w:hAnsi="Courier New" w:cs="Courier New"/>
          <w:sz w:val="24"/>
          <w:szCs w:val="24"/>
        </w:rPr>
        <w:t>for the next award year</w:t>
      </w:r>
      <w:r w:rsidRPr="0096107B">
        <w:rPr>
          <w:rFonts w:ascii="Courier New" w:eastAsia="Times New Roman" w:hAnsi="Courier New" w:cs="Courier New"/>
          <w:sz w:val="24"/>
          <w:szCs w:val="24"/>
        </w:rPr>
        <w:t xml:space="preserve">.  By requiring that at least three days pass after a warning is delivered to a prospective student before the prospective student may be enrolled, the prospective student will benefit from a “cooling-off period” for the student to consider the information contained in the warning without direct pressure from the institution, and for the prospective student to consider alternatives to the program either at the same </w:t>
      </w:r>
      <w:r w:rsidRPr="0096107B">
        <w:rPr>
          <w:rFonts w:ascii="Courier New" w:eastAsia="Times New Roman" w:hAnsi="Courier New" w:cs="Courier New"/>
          <w:sz w:val="24"/>
          <w:szCs w:val="24"/>
        </w:rPr>
        <w:lastRenderedPageBreak/>
        <w:t xml:space="preserve">institution or another institution.  Moreover, the accountability framework is designed to improve the quality of GE programs available to prospective students by establishing measures that will assess whether programs provide quality education and training that allow students </w:t>
      </w:r>
      <w:r w:rsidR="004C74A1">
        <w:rPr>
          <w:rFonts w:ascii="Courier New" w:eastAsia="Times New Roman" w:hAnsi="Courier New" w:cs="Courier New"/>
          <w:sz w:val="24"/>
          <w:szCs w:val="24"/>
        </w:rPr>
        <w:t xml:space="preserve">obtain gainful employment and thereby </w:t>
      </w:r>
      <w:r w:rsidRPr="0096107B">
        <w:rPr>
          <w:rFonts w:ascii="Courier New" w:eastAsia="Times New Roman" w:hAnsi="Courier New" w:cs="Courier New"/>
          <w:sz w:val="24"/>
          <w:szCs w:val="24"/>
        </w:rPr>
        <w:t xml:space="preserve">to pay back their student loan debt.  The certification requirements in §668.414 will ensure that a program eligible for title IV, HEA program funds meets certain basic minimum requirements necessary for students to obtain gainful employment in the occupation for which the program provides training.  Finally, by conditioning a program’s continuing eligibility for title IV, HEA program funds on its leading to acceptable student outcomes, we believe that the D/E rates measure will help ensure that prospective students, including veterans, will be less likely to enroll in a low-quality GE program. </w:t>
      </w:r>
    </w:p>
    <w:p w14:paraId="689121E5"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22CE3B37"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Accountability Metrics</w:t>
      </w:r>
    </w:p>
    <w:p w14:paraId="5CC26B78"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A number of commenters opposed the Department’s proposal to use the D/E rates measure and the pCDR measure for accountability purposes.  These commenters also offered suggestions for alternative metrics the Department should consider adopting in the final regulations.</w:t>
      </w:r>
    </w:p>
    <w:p w14:paraId="29A1C72B"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D/E Rates Measure</w:t>
      </w:r>
    </w:p>
    <w:p w14:paraId="3E6277AA"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Many commenters stated that the Department should not use the D/E rates measure as an accountability metric because it is flawed and, more specifically, would not capture the lifetime earnings gains that arise from attending a GE program.  Without knowing lifetime earnings, these commenters contended, it is difficult to assess what an appropriate amount of debt is or whether a program is providing value to students.  They asserted that the standard way to evaluate whether it is worthwhile to attend a postsecondary education program is to compare the full benefits against the cost.  Consequently, they reasoned that the D/E rates measure is faulty because it only captures earnings after a short window of time. </w:t>
      </w:r>
    </w:p>
    <w:p w14:paraId="629593B1" w14:textId="217E4C95"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Several commenters offered studies that show that a college degree leads to an annual increase in wages of somewhere between 4 to 15 percent.  One commenter stated that the earnings premium between a high school graduate and a college graduate is lowest from ages 25-29 but peaks from ages 45-54.  One commenter asserted</w:t>
      </w:r>
      <w:r w:rsidR="00ED2C6D">
        <w:rPr>
          <w:rFonts w:ascii="Courier New" w:eastAsia="Times New Roman" w:hAnsi="Courier New" w:cs="Courier New"/>
          <w:sz w:val="24"/>
          <w:szCs w:val="24"/>
        </w:rPr>
        <w:t xml:space="preserve"> that</w:t>
      </w:r>
      <w:r w:rsidRPr="0096107B">
        <w:rPr>
          <w:rFonts w:ascii="Courier New" w:eastAsia="Times New Roman" w:hAnsi="Courier New" w:cs="Courier New"/>
          <w:sz w:val="24"/>
          <w:szCs w:val="24"/>
        </w:rPr>
        <w:t>, based on an institutional survey of students five years after their graduation from associate and bachelor’s degree programs that compared the students’ initial 2009 median salaries</w:t>
      </w:r>
      <w:r w:rsidR="00ED2C6D">
        <w:rPr>
          <w:rFonts w:ascii="Courier New" w:eastAsia="Times New Roman" w:hAnsi="Courier New" w:cs="Courier New"/>
          <w:sz w:val="24"/>
          <w:szCs w:val="24"/>
        </w:rPr>
        <w:t xml:space="preserve"> to</w:t>
      </w:r>
      <w:r w:rsidRPr="0096107B">
        <w:rPr>
          <w:rFonts w:ascii="Courier New" w:eastAsia="Times New Roman" w:hAnsi="Courier New" w:cs="Courier New"/>
          <w:sz w:val="24"/>
          <w:szCs w:val="24"/>
        </w:rPr>
        <w:t xml:space="preserve"> their 2014 median salaries</w:t>
      </w:r>
      <w:r w:rsidR="00ED2C6D">
        <w:rPr>
          <w:rFonts w:ascii="Courier New" w:eastAsia="Times New Roman" w:hAnsi="Courier New" w:cs="Courier New"/>
          <w:sz w:val="24"/>
          <w:szCs w:val="24"/>
        </w:rPr>
        <w:t>, the students’ salaries</w:t>
      </w:r>
      <w:r w:rsidRPr="0096107B">
        <w:rPr>
          <w:rFonts w:ascii="Courier New" w:eastAsia="Times New Roman" w:hAnsi="Courier New" w:cs="Courier New"/>
          <w:sz w:val="24"/>
          <w:szCs w:val="24"/>
        </w:rPr>
        <w:t xml:space="preserve"> increased about 50 percent over </w:t>
      </w:r>
      <w:r w:rsidR="006C6F30">
        <w:rPr>
          <w:rFonts w:ascii="Courier New" w:eastAsia="Times New Roman" w:hAnsi="Courier New" w:cs="Courier New"/>
          <w:sz w:val="24"/>
          <w:szCs w:val="24"/>
        </w:rPr>
        <w:t>the first five years after graduation</w:t>
      </w:r>
      <w:r w:rsidRPr="0096107B">
        <w:rPr>
          <w:rFonts w:ascii="Courier New" w:eastAsia="Times New Roman" w:hAnsi="Courier New" w:cs="Courier New"/>
          <w:sz w:val="24"/>
          <w:szCs w:val="24"/>
        </w:rPr>
        <w:t xml:space="preserve">.  Thus, the commenter suggested that the regulations </w:t>
      </w:r>
      <w:r w:rsidRPr="0096107B">
        <w:rPr>
          <w:rFonts w:ascii="Courier New" w:eastAsia="Times New Roman" w:hAnsi="Courier New" w:cs="Courier New"/>
          <w:sz w:val="24"/>
          <w:szCs w:val="24"/>
        </w:rPr>
        <w:lastRenderedPageBreak/>
        <w:t xml:space="preserve">consider earnings no less than five years after graduation for the calculation of D/E rates.  </w:t>
      </w:r>
    </w:p>
    <w:p w14:paraId="1F4FCC76" w14:textId="054CB0CC"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Commenters also expressed concern that the earnings assessed by the D/E rates measure do not include other returns from higher education, such as fringe benefits, contributions to retirement accounts, subsidized insurance, paid vacations, and employment stability.  Further, they contended that the D/E rates measure does not account for the social benefits that accrue to students, in addition to the pecuniary benefits.  Other commenters posited that the benefits of higher education have generally trended upwards over time and so the D/E rates measure understates the future benefits of programs that provide training for occupations in growing fields, such as health care.  </w:t>
      </w:r>
    </w:p>
    <w:p w14:paraId="53639891" w14:textId="6A272C3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suggested that as a result of differences in what for-profit institutions, as opposed to community colleges, receive in the form of State subsidies, and because for-profit institutions pay taxes, any accountability metrics should be divorced from the tuition charged, and should instead focus on the earnings increase resulting from increased education, completion rates at institutions, or job or advanced degree placement rates. </w:t>
      </w:r>
    </w:p>
    <w:p w14:paraId="2EE0DA61" w14:textId="0684B22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Finally, one commenter claimed the D/E rates measure is not valid because it is not predictive of default outcomes.  Based on </w:t>
      </w:r>
      <w:r w:rsidR="00DC6104">
        <w:rPr>
          <w:rFonts w:ascii="Courier New" w:eastAsia="Times New Roman" w:hAnsi="Courier New" w:cs="Courier New"/>
          <w:sz w:val="24"/>
          <w:szCs w:val="24"/>
        </w:rPr>
        <w:t xml:space="preserve">the </w:t>
      </w:r>
      <w:r w:rsidR="00D10ABC">
        <w:rPr>
          <w:rFonts w:ascii="Courier New" w:eastAsia="Times New Roman" w:hAnsi="Courier New" w:cs="Courier New"/>
          <w:sz w:val="24"/>
          <w:szCs w:val="24"/>
        </w:rPr>
        <w:t>201</w:t>
      </w:r>
      <w:r w:rsidR="00A57163">
        <w:rPr>
          <w:rFonts w:ascii="Courier New" w:eastAsia="Times New Roman" w:hAnsi="Courier New" w:cs="Courier New"/>
          <w:sz w:val="24"/>
          <w:szCs w:val="24"/>
        </w:rPr>
        <w:t>2</w:t>
      </w:r>
      <w:r w:rsidRPr="0096107B">
        <w:rPr>
          <w:rFonts w:ascii="Courier New" w:eastAsia="Times New Roman" w:hAnsi="Courier New" w:cs="Courier New"/>
          <w:sz w:val="24"/>
          <w:szCs w:val="24"/>
        </w:rPr>
        <w:t xml:space="preserve"> GE informational rates, the commenter claimed </w:t>
      </w:r>
      <w:r w:rsidRPr="0096107B">
        <w:rPr>
          <w:rFonts w:ascii="Courier New" w:eastAsia="Times New Roman" w:hAnsi="Courier New" w:cs="Courier New"/>
          <w:sz w:val="24"/>
          <w:szCs w:val="24"/>
        </w:rPr>
        <w:lastRenderedPageBreak/>
        <w:t xml:space="preserve">students in programs in the lowest performing decile </w:t>
      </w:r>
      <w:r w:rsidR="00DC6104">
        <w:rPr>
          <w:rFonts w:ascii="Courier New" w:eastAsia="Times New Roman" w:hAnsi="Courier New" w:cs="Courier New"/>
          <w:sz w:val="24"/>
          <w:szCs w:val="24"/>
        </w:rPr>
        <w:t>under</w:t>
      </w:r>
      <w:r w:rsidR="00DC6104"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the D/E rates measure were still more than four times as likely to be in repayment than in default.  The commenter stated that, if </w:t>
      </w:r>
      <w:r w:rsidR="00DC6104">
        <w:rPr>
          <w:rFonts w:ascii="Courier New" w:eastAsia="Times New Roman" w:hAnsi="Courier New" w:cs="Courier New"/>
          <w:sz w:val="24"/>
          <w:szCs w:val="24"/>
        </w:rPr>
        <w:t xml:space="preserve">the </w:t>
      </w:r>
      <w:r w:rsidRPr="0096107B">
        <w:rPr>
          <w:rFonts w:ascii="Courier New" w:eastAsia="Times New Roman" w:hAnsi="Courier New" w:cs="Courier New"/>
          <w:sz w:val="24"/>
          <w:szCs w:val="24"/>
        </w:rPr>
        <w:t xml:space="preserve">D/E </w:t>
      </w:r>
      <w:r w:rsidR="00DC6104">
        <w:rPr>
          <w:rFonts w:ascii="Courier New" w:eastAsia="Times New Roman" w:hAnsi="Courier New" w:cs="Courier New"/>
          <w:sz w:val="24"/>
          <w:szCs w:val="24"/>
        </w:rPr>
        <w:t xml:space="preserve">rates </w:t>
      </w:r>
      <w:r w:rsidRPr="0096107B">
        <w:rPr>
          <w:rFonts w:ascii="Courier New" w:eastAsia="Times New Roman" w:hAnsi="Courier New" w:cs="Courier New"/>
          <w:sz w:val="24"/>
          <w:szCs w:val="24"/>
        </w:rPr>
        <w:t>measure were truly an indicator of affordability, there would have been much higher default and forbearance rates for students in programs with the highest D/E rates.</w:t>
      </w:r>
    </w:p>
    <w:p w14:paraId="03267DB4"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pCDR Measure</w:t>
      </w:r>
    </w:p>
    <w:p w14:paraId="76B11A49" w14:textId="2BB34D9F" w:rsidR="0096107B" w:rsidRPr="0096107B" w:rsidRDefault="0096107B" w:rsidP="0096107B">
      <w:pPr>
        <w:spacing w:after="0" w:line="480" w:lineRule="auto"/>
        <w:ind w:firstLine="720"/>
        <w:rPr>
          <w:rFonts w:ascii="Courier New" w:eastAsia="Arial Unicode MS" w:hAnsi="Courier New" w:cs="Courier New"/>
          <w:sz w:val="24"/>
          <w:szCs w:val="24"/>
        </w:rPr>
      </w:pPr>
      <w:r w:rsidRPr="0096107B">
        <w:rPr>
          <w:rFonts w:ascii="Courier New" w:eastAsia="Times New Roman" w:hAnsi="Courier New" w:cs="Courier New"/>
          <w:sz w:val="24"/>
          <w:szCs w:val="24"/>
        </w:rPr>
        <w:t xml:space="preserve">A number of commenters also opposed the Department’s proposal to include pCDR as an accountability metric, arguing that this metric is largely unrelated to whether a program prepares students for gainful employment.  Several commenters argued that the Department lacks the legal authority to adopt </w:t>
      </w:r>
      <w:r w:rsidRPr="0096107B">
        <w:rPr>
          <w:rFonts w:ascii="Courier New" w:eastAsia="Arial Unicode MS" w:hAnsi="Courier New" w:cs="Courier New"/>
          <w:sz w:val="24"/>
          <w:szCs w:val="24"/>
        </w:rPr>
        <w:t xml:space="preserve">pCDR to determine GE program eligibility and contended that the use of cohort default rates to assess program eligibility is contrary to the intent of Congress, because Congress never explicitly authorized the Department to use cohort default rates to assess program eligibility.  The same commenters further contended that the history of congressional attention to the iCDR eligibility standard over the years, applied with periodic amendments, reflected Congress’s intent that cohort default rates be used only for institutional eligibility determinations, and left no room for the Department to apply that test for programmatic eligibility.  Similarly, they contended that Congress’s choice to apply cohort default rates as an </w:t>
      </w:r>
      <w:r w:rsidRPr="0096107B">
        <w:rPr>
          <w:rFonts w:ascii="Courier New" w:eastAsia="Arial Unicode MS" w:hAnsi="Courier New" w:cs="Courier New"/>
          <w:sz w:val="24"/>
          <w:szCs w:val="24"/>
        </w:rPr>
        <w:lastRenderedPageBreak/>
        <w:t>eligibility standard for all institutions receiving title IV, HEA program funds indicated a congressional intent that such a test should not be applied only to a subset of institutions--chiefly, for-profit schools.</w:t>
      </w:r>
      <w:r w:rsidR="00365B6D">
        <w:rPr>
          <w:rFonts w:ascii="Courier New" w:eastAsia="Arial Unicode MS" w:hAnsi="Courier New" w:cs="Courier New"/>
          <w:sz w:val="24"/>
          <w:szCs w:val="24"/>
        </w:rPr>
        <w:t xml:space="preserve"> </w:t>
      </w:r>
    </w:p>
    <w:p w14:paraId="034A4FB2" w14:textId="77777777" w:rsidR="0096107B" w:rsidRPr="0096107B" w:rsidRDefault="0096107B" w:rsidP="0096107B">
      <w:pPr>
        <w:spacing w:after="0" w:line="480" w:lineRule="auto"/>
        <w:ind w:firstLine="720"/>
        <w:rPr>
          <w:rFonts w:ascii="Courier New" w:eastAsia="Arial Unicode MS" w:hAnsi="Courier New" w:cs="Courier New"/>
          <w:sz w:val="24"/>
          <w:szCs w:val="24"/>
        </w:rPr>
      </w:pPr>
      <w:r w:rsidRPr="0096107B">
        <w:rPr>
          <w:rFonts w:ascii="Courier New" w:eastAsia="Arial Unicode MS" w:hAnsi="Courier New" w:cs="Courier New"/>
          <w:sz w:val="24"/>
          <w:szCs w:val="24"/>
        </w:rPr>
        <w:t xml:space="preserve">Some commenters contended that the ruling by the court in </w:t>
      </w:r>
      <w:r w:rsidRPr="0096107B">
        <w:rPr>
          <w:rFonts w:ascii="Courier New" w:eastAsia="Arial Unicode MS" w:hAnsi="Courier New" w:cs="Courier New"/>
          <w:sz w:val="24"/>
          <w:szCs w:val="24"/>
          <w:u w:val="single"/>
        </w:rPr>
        <w:t>APSCU v. Duncan</w:t>
      </w:r>
      <w:r w:rsidRPr="0096107B">
        <w:rPr>
          <w:rFonts w:ascii="Courier New" w:eastAsia="Arial Unicode MS" w:hAnsi="Courier New" w:cs="Courier New"/>
          <w:sz w:val="24"/>
          <w:szCs w:val="24"/>
        </w:rPr>
        <w:t xml:space="preserve"> requires the Department to base any program eligibility standard on expert studies or industry practice, or both.  Because the Department did not cite to such support in the NPRM for adopting the iCDR methodology and the institutional eligibility threshold to determine program eligibility, these commenters believed the Department was barred from using cohort default rates to determine programmatic eligibility.  Commenters contended that the Department provided no reasoned explanation in the NPRM for the proposed use of cohort default rates at the program level.</w:t>
      </w:r>
    </w:p>
    <w:p w14:paraId="54E01CBB" w14:textId="09B228BA" w:rsidR="0096107B" w:rsidRPr="0096107B" w:rsidRDefault="0096107B" w:rsidP="0096107B">
      <w:pPr>
        <w:spacing w:after="0" w:line="480" w:lineRule="auto"/>
        <w:ind w:firstLine="720"/>
        <w:rPr>
          <w:rFonts w:ascii="Courier New" w:eastAsia="Arial Unicode MS" w:hAnsi="Courier New" w:cs="Courier New"/>
          <w:sz w:val="24"/>
          <w:szCs w:val="24"/>
        </w:rPr>
      </w:pPr>
      <w:r w:rsidRPr="0096107B">
        <w:rPr>
          <w:rFonts w:ascii="Courier New" w:eastAsia="Arial Unicode MS" w:hAnsi="Courier New" w:cs="Courier New"/>
          <w:sz w:val="24"/>
          <w:szCs w:val="24"/>
        </w:rPr>
        <w:t xml:space="preserve">Commenters also asserted that the Department provided no reasoned basis for adopting a 30 percent cohort default rate as the threshold for program eligibility for title IV, HEA program funds.  They asserted that the Department failed to consider the bases on which Congress, in its 2008 amendments to the HEA, increased the iCDR threshold rate from 25 percent to 30 percent.  They argued that Congress, in amending the HEA to count defaults over a three-year term and raising the iCDR eligibility standard to 30 percent, recognized that setting a lower standard would </w:t>
      </w:r>
      <w:r w:rsidRPr="0096107B">
        <w:rPr>
          <w:rFonts w:ascii="Courier New" w:eastAsia="Arial Unicode MS" w:hAnsi="Courier New" w:cs="Courier New"/>
          <w:sz w:val="24"/>
          <w:szCs w:val="24"/>
        </w:rPr>
        <w:lastRenderedPageBreak/>
        <w:t xml:space="preserve">deter institutions from enrolling “minority, low-income students, or any subgroup that shows any risk of more defaults on student loans.”  The commenters conceded that iCDR was an important way to protect the Federal fiscal interest, but asserted that Congress did not consider iCDR to be a measure of educational quality, and that Congress did not consider rates greater than 30 percent to be evidence that institutions were not preparing their students adequately.  </w:t>
      </w:r>
    </w:p>
    <w:p w14:paraId="34BB0D33"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Several commenters asserted that measures of default like pCDR reflect personal decisions by individual borrowers, specifically whether or not to repay their debt, and not the performance of a program.  Other commenters stated that institutions cannot control how much students borrow, or need to borrow.  In this regard, commenters noted that, although institutions can control the cost of attendance, they cannot control other factors contributing to borrowing behavior, such as living expenses and the student’s financial resources at the time of enrollment, and that institutions have only a limited ability to affect repayment once a student has left the institution.  </w:t>
      </w:r>
    </w:p>
    <w:p w14:paraId="06F63127"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Some commenters contended that the proposed pCDR measure would impose a stricter standard than the iCDR standard on which it was based, because the iCDR standard allows offset of poor </w:t>
      </w:r>
      <w:r w:rsidRPr="0096107B">
        <w:rPr>
          <w:rFonts w:ascii="Courier New" w:eastAsia="Times New Roman" w:hAnsi="Courier New" w:cs="Courier New"/>
          <w:sz w:val="24"/>
          <w:szCs w:val="24"/>
        </w:rPr>
        <w:lastRenderedPageBreak/>
        <w:t xml:space="preserve">results of some programs against the more successful rates achieved by other programs offered by the institution.   </w:t>
      </w:r>
    </w:p>
    <w:p w14:paraId="2DC84D8E"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While some commenters considered pCDR a poor metric for the reasons described, others expressed concern that pCDR would be a poor measure of performance because institutions could encourage students struggling to repay their debt to enter forbearance or deferment in order to evade the consequences of failing the pCDR measure.  They stated that programs would not be held accountable for the excessive debt burden of these students because, by pushing students into deferment or forbearance during the three-year period that the pCDR measure would track defaults, any default would occur after the time during which the program would be held accountable under the proposed regulations.  Several commenters expressed concern that, because the metric is subject to manipulation, the 30 percent threshold would be too lenient and should be lower, with some commenters suggesting a 15 percent threshold.</w:t>
      </w:r>
    </w:p>
    <w:p w14:paraId="785416C0" w14:textId="3701E727" w:rsidR="0096107B" w:rsidRPr="0096107B" w:rsidDel="00B73017" w:rsidRDefault="0096107B" w:rsidP="0096107B">
      <w:pPr>
        <w:spacing w:after="0" w:line="480" w:lineRule="auto"/>
        <w:outlineLvl w:val="1"/>
        <w:rPr>
          <w:rFonts w:ascii="Courier New" w:hAnsi="Courier New" w:cs="Courier New"/>
          <w:bCs/>
          <w:sz w:val="24"/>
          <w:szCs w:val="24"/>
          <w:u w:val="single"/>
        </w:rPr>
      </w:pPr>
      <w:r w:rsidRPr="0096107B" w:rsidDel="00B73017">
        <w:rPr>
          <w:rFonts w:ascii="Courier New" w:hAnsi="Courier New" w:cs="Courier New"/>
          <w:bCs/>
          <w:sz w:val="24"/>
          <w:szCs w:val="24"/>
          <w:u w:val="single"/>
        </w:rPr>
        <w:t>Alternative Metrics</w:t>
      </w:r>
    </w:p>
    <w:p w14:paraId="4CF9BF9B" w14:textId="12D12A56"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Commenters proposed a number of alternatives to the D/E rates and pCDR measures to assess the performance of gainful employment programs.  A number of commenters, arguing that both the D/E rates and pCDR measures are too tenuously linked to what institutions do to affect the quality of training students receive, encouraged the Department to consider metrics more </w:t>
      </w:r>
      <w:r w:rsidRPr="0096107B" w:rsidDel="00B73017">
        <w:rPr>
          <w:rFonts w:ascii="Courier New" w:eastAsia="Times New Roman" w:hAnsi="Courier New" w:cs="Courier New"/>
          <w:sz w:val="24"/>
          <w:szCs w:val="24"/>
        </w:rPr>
        <w:lastRenderedPageBreak/>
        <w:t>closely linked to student academic achievement, loan repayment behavior, or employment outcomes like job placement rates.  Commenters proposed alternative metrics that they felt better account for factors that are largely outside of programs’ control, such as fluctuations in local labor market conditions.  Some commenters suggested that alternative metrics should be tailored to measure student outcomes in specific occupational fields, such as cosmetology or medical professions.  For example, several commenters said the Department should use licensure exam pass rates and residency placement rates in tandem to evaluate medical schools.  They said these metrics would take into account occupational preparedness and are better metrics than the D/E rates measure because earnings rise steadily across long periods of time among students completing medical degrees.  On the other hand, one commenter expressed concern about job placement rates as a metric because there are no standard definitions of placement, national accreditation agencies each have different methodologies, and regional accreditation agencies do not require rates be reported.</w:t>
      </w:r>
    </w:p>
    <w:p w14:paraId="243880E4" w14:textId="13895976"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A few commenters said programs should be evaluated according to metrics focusing on student success in a program.  Commenters suggested the Department consider retention and graduation rates as alternative metrics, as completion of a degree or certificate program is closely linked to whether </w:t>
      </w:r>
      <w:r w:rsidRPr="0096107B" w:rsidDel="00B73017">
        <w:rPr>
          <w:rFonts w:ascii="Courier New" w:eastAsia="Times New Roman" w:hAnsi="Courier New" w:cs="Courier New"/>
          <w:sz w:val="24"/>
          <w:szCs w:val="24"/>
        </w:rPr>
        <w:lastRenderedPageBreak/>
        <w:t>students obtain employment.  One commenter criticized the Department for not including a graduation rate metric in the regulations because, based on GE informational rates, for-profit institutions with default rates higher than graduation rates have a very large percentage of programs that do not graduate enough students to meet the n-size requirements for D/E rates to be calculated.  The commenter noted a similar pattern among some community colleges with very low graduation rates.  The commenter also arrived at the same conclusion based on a study conducted by College Measures, a non-profit organization</w:t>
      </w:r>
      <w:r w:rsidR="002A50CA">
        <w:rPr>
          <w:rFonts w:ascii="Courier New" w:eastAsia="Times New Roman" w:hAnsi="Courier New" w:cs="Courier New"/>
          <w:sz w:val="24"/>
          <w:szCs w:val="24"/>
        </w:rPr>
        <w:t xml:space="preserve">, which </w:t>
      </w:r>
      <w:r w:rsidRPr="0096107B" w:rsidDel="00B73017">
        <w:rPr>
          <w:rFonts w:ascii="Courier New" w:eastAsia="Times New Roman" w:hAnsi="Courier New" w:cs="Courier New"/>
          <w:sz w:val="24"/>
          <w:szCs w:val="24"/>
        </w:rPr>
        <w:t xml:space="preserve">examined </w:t>
      </w:r>
      <w:r w:rsidR="000D3846" w:rsidDel="00B73017">
        <w:rPr>
          <w:rFonts w:ascii="Courier New" w:eastAsia="Times New Roman" w:hAnsi="Courier New" w:cs="Courier New"/>
          <w:sz w:val="24"/>
          <w:szCs w:val="24"/>
        </w:rPr>
        <w:t>GE programs</w:t>
      </w:r>
      <w:r w:rsidRPr="0096107B" w:rsidDel="00B73017">
        <w:rPr>
          <w:rFonts w:ascii="Courier New" w:eastAsia="Times New Roman" w:hAnsi="Courier New" w:cs="Courier New"/>
          <w:sz w:val="24"/>
          <w:szCs w:val="24"/>
        </w:rPr>
        <w:t xml:space="preserve"> at 1</w:t>
      </w:r>
      <w:r w:rsidR="002446C1">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777 two-year public and for</w:t>
      </w:r>
      <w:r w:rsidR="002A50CA">
        <w:rPr>
          <w:rFonts w:ascii="Cambria Math" w:eastAsia="Times New Roman" w:hAnsi="Cambria Math" w:cs="Cambria Math"/>
          <w:sz w:val="24"/>
          <w:szCs w:val="24"/>
        </w:rPr>
        <w:t>-</w:t>
      </w:r>
      <w:r w:rsidRPr="0096107B" w:rsidDel="00B73017">
        <w:rPr>
          <w:rFonts w:ascii="Courier New" w:eastAsia="Times New Roman" w:hAnsi="Courier New" w:cs="Courier New"/>
          <w:sz w:val="24"/>
          <w:szCs w:val="24"/>
        </w:rPr>
        <w:t xml:space="preserve">profit institutions. </w:t>
      </w:r>
      <w:r w:rsidR="00ED2C6D" w:rsidDel="00B73017">
        <w:rPr>
          <w:rFonts w:ascii="Courier New" w:eastAsia="Times New Roman" w:hAnsi="Courier New" w:cs="Courier New"/>
          <w:sz w:val="24"/>
          <w:szCs w:val="24"/>
        </w:rPr>
        <w:t xml:space="preserve"> </w:t>
      </w:r>
      <w:r w:rsidR="008F5FA6" w:rsidDel="00B73017">
        <w:rPr>
          <w:rFonts w:ascii="Courier New" w:eastAsia="Times New Roman" w:hAnsi="Courier New" w:cs="Courier New"/>
          <w:sz w:val="24"/>
          <w:szCs w:val="24"/>
        </w:rPr>
        <w:t xml:space="preserve">The study referenced indicated that, among the </w:t>
      </w:r>
      <w:r w:rsidRPr="0096107B" w:rsidDel="00B73017">
        <w:rPr>
          <w:rFonts w:ascii="Courier New" w:eastAsia="Times New Roman" w:hAnsi="Courier New" w:cs="Courier New"/>
          <w:sz w:val="24"/>
          <w:szCs w:val="24"/>
        </w:rPr>
        <w:t>724 public and 24 for</w:t>
      </w:r>
      <w:r w:rsidR="002A50CA"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profit institutions </w:t>
      </w:r>
      <w:r w:rsidR="008F5FA6" w:rsidDel="00B73017">
        <w:rPr>
          <w:rFonts w:ascii="Courier New" w:eastAsia="Times New Roman" w:hAnsi="Courier New" w:cs="Courier New"/>
          <w:sz w:val="24"/>
          <w:szCs w:val="24"/>
        </w:rPr>
        <w:t xml:space="preserve">that </w:t>
      </w:r>
      <w:r w:rsidRPr="0096107B" w:rsidDel="00B73017">
        <w:rPr>
          <w:rFonts w:ascii="Courier New" w:eastAsia="Times New Roman" w:hAnsi="Courier New" w:cs="Courier New"/>
          <w:sz w:val="24"/>
          <w:szCs w:val="24"/>
        </w:rPr>
        <w:t>had graduation rates below 30 percent</w:t>
      </w:r>
      <w:r w:rsidR="002A50CA">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 29 percent of the for</w:t>
      </w:r>
      <w:r w:rsidR="002A50CA" w:rsidRPr="0096107B">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profit programs with low graduation rates failed</w:t>
      </w:r>
      <w:r w:rsidR="001C73D9" w:rsidDel="00B73017">
        <w:rPr>
          <w:rFonts w:ascii="Courier New" w:eastAsia="Times New Roman" w:hAnsi="Courier New" w:cs="Courier New"/>
          <w:sz w:val="24"/>
          <w:szCs w:val="24"/>
        </w:rPr>
        <w:t xml:space="preserve"> the D/E rates measure</w:t>
      </w:r>
      <w:r w:rsidRPr="0096107B" w:rsidDel="00B73017">
        <w:rPr>
          <w:rFonts w:ascii="Courier New" w:eastAsia="Times New Roman" w:hAnsi="Courier New" w:cs="Courier New"/>
          <w:sz w:val="24"/>
          <w:szCs w:val="24"/>
        </w:rPr>
        <w:t>, while only 2 percent of the public institutions with low graduation rates failed</w:t>
      </w:r>
      <w:r w:rsidR="000D3846" w:rsidDel="00B73017">
        <w:rPr>
          <w:rFonts w:ascii="Courier New" w:eastAsia="Times New Roman" w:hAnsi="Courier New" w:cs="Courier New"/>
          <w:sz w:val="24"/>
          <w:szCs w:val="24"/>
        </w:rPr>
        <w:t xml:space="preserve"> the D/E rates measure</w:t>
      </w:r>
      <w:r w:rsidRPr="0096107B" w:rsidDel="00B73017">
        <w:rPr>
          <w:rFonts w:ascii="Courier New" w:eastAsia="Times New Roman" w:hAnsi="Courier New" w:cs="Courier New"/>
          <w:sz w:val="24"/>
          <w:szCs w:val="24"/>
        </w:rPr>
        <w:t xml:space="preserve">.  Based on this analysis, the commenter further asserted that the regulations are biased toward passing programs operated by public institutions because they </w:t>
      </w:r>
      <w:r w:rsidR="002A50CA" w:rsidRPr="0096107B">
        <w:rPr>
          <w:rFonts w:ascii="Courier New" w:eastAsia="Times New Roman" w:hAnsi="Courier New" w:cs="Courier New"/>
          <w:sz w:val="24"/>
          <w:szCs w:val="24"/>
        </w:rPr>
        <w:t>do</w:t>
      </w:r>
      <w:r w:rsidRPr="0096107B" w:rsidDel="00B73017">
        <w:rPr>
          <w:rFonts w:ascii="Courier New" w:eastAsia="Times New Roman" w:hAnsi="Courier New" w:cs="Courier New"/>
          <w:sz w:val="24"/>
          <w:szCs w:val="24"/>
        </w:rPr>
        <w:t xml:space="preserve"> not include a graduation rate metric.  </w:t>
      </w:r>
      <w:r w:rsidR="002A50CA">
        <w:rPr>
          <w:rFonts w:ascii="Courier New" w:eastAsia="Times New Roman" w:hAnsi="Courier New" w:cs="Courier New"/>
          <w:sz w:val="24"/>
          <w:szCs w:val="24"/>
        </w:rPr>
        <w:t>According</w:t>
      </w:r>
      <w:r w:rsidR="00FC4364" w:rsidDel="00B73017">
        <w:rPr>
          <w:rFonts w:ascii="Courier New" w:eastAsia="Times New Roman" w:hAnsi="Courier New" w:cs="Courier New"/>
          <w:sz w:val="24"/>
          <w:szCs w:val="24"/>
        </w:rPr>
        <w:t xml:space="preserve"> to </w:t>
      </w:r>
      <w:r w:rsidR="002A50CA">
        <w:rPr>
          <w:rFonts w:ascii="Courier New" w:eastAsia="Times New Roman" w:hAnsi="Courier New" w:cs="Courier New"/>
          <w:sz w:val="24"/>
          <w:szCs w:val="24"/>
        </w:rPr>
        <w:t>the</w:t>
      </w:r>
      <w:r w:rsidR="002A50CA" w:rsidRPr="0096107B">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commenter</w:t>
      </w:r>
      <w:r w:rsidR="002A50CA">
        <w:rPr>
          <w:rFonts w:ascii="Courier New" w:eastAsia="Times New Roman" w:hAnsi="Courier New" w:cs="Courier New"/>
          <w:sz w:val="24"/>
          <w:szCs w:val="24"/>
        </w:rPr>
        <w:t>,</w:t>
      </w:r>
      <w:r w:rsidRPr="0096107B" w:rsidDel="00B73017">
        <w:rPr>
          <w:rFonts w:ascii="Courier New" w:eastAsia="Times New Roman" w:hAnsi="Courier New" w:cs="Courier New"/>
          <w:sz w:val="24"/>
          <w:szCs w:val="24"/>
        </w:rPr>
        <w:t xml:space="preserve"> any program with a starting class that has fewer than 70 students and less than a 10 percent graduation rate </w:t>
      </w:r>
      <w:r w:rsidR="002A50CA">
        <w:rPr>
          <w:rFonts w:ascii="Courier New" w:eastAsia="Times New Roman" w:hAnsi="Courier New" w:cs="Courier New"/>
          <w:sz w:val="24"/>
          <w:szCs w:val="24"/>
        </w:rPr>
        <w:t>would</w:t>
      </w:r>
      <w:r w:rsidR="00FC4364" w:rsidDel="00B73017">
        <w:rPr>
          <w:rFonts w:ascii="Courier New" w:eastAsia="Times New Roman" w:hAnsi="Courier New" w:cs="Courier New"/>
          <w:sz w:val="24"/>
          <w:szCs w:val="24"/>
        </w:rPr>
        <w:t xml:space="preserve"> be</w:t>
      </w:r>
      <w:r w:rsidR="00FC4364" w:rsidRPr="0096107B"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automatically exempt from the regulation, even counting four years of graduates</w:t>
      </w:r>
      <w:r w:rsidR="00FC4364" w:rsidDel="00B73017">
        <w:rPr>
          <w:rFonts w:ascii="Courier New" w:eastAsia="Times New Roman" w:hAnsi="Courier New" w:cs="Courier New"/>
          <w:sz w:val="24"/>
          <w:szCs w:val="24"/>
        </w:rPr>
        <w:t xml:space="preserve">. </w:t>
      </w:r>
      <w:r w:rsidRPr="0096107B" w:rsidDel="00B73017">
        <w:rPr>
          <w:rFonts w:ascii="Courier New" w:eastAsia="Times New Roman" w:hAnsi="Courier New" w:cs="Courier New"/>
          <w:sz w:val="24"/>
          <w:szCs w:val="24"/>
        </w:rPr>
        <w:t xml:space="preserve"> Another commenter said the Department </w:t>
      </w:r>
      <w:r w:rsidRPr="0096107B" w:rsidDel="00B73017">
        <w:rPr>
          <w:rFonts w:ascii="Courier New" w:eastAsia="Times New Roman" w:hAnsi="Courier New" w:cs="Courier New"/>
          <w:sz w:val="24"/>
          <w:szCs w:val="24"/>
        </w:rPr>
        <w:lastRenderedPageBreak/>
        <w:t>should focus on each program’s curriculum and other aspects of the program controlled by the institution rather than the proposed metrics.</w:t>
      </w:r>
    </w:p>
    <w:p w14:paraId="26B56DAB" w14:textId="55607C99"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ab/>
        <w:t>Several commenters said the Department should include a repayment rate or a negative amortization test instead of pCDR, which they viewed as unreliable and easily manipulated by institutions.  Some commenters favored using a repayment rate rather than pCDR because the former would hold programs accountable for students who go into forbearance and are unable to reduce the principal balances on their loans.  Other commenters asserted that a repayment rate is a preferable metric for students who choose income-based repayment plans because under such plans, students with low incomes can avoid default even though their loans are in negative amortization, making pCDR a less reliable metric than repayment rate.</w:t>
      </w:r>
    </w:p>
    <w:p w14:paraId="193CED80" w14:textId="77777777"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ab/>
      </w:r>
      <w:r w:rsidRPr="003168D3" w:rsidDel="00B73017">
        <w:rPr>
          <w:rFonts w:ascii="Courier New" w:eastAsia="Times New Roman" w:hAnsi="Courier New" w:cs="Courier New"/>
          <w:sz w:val="24"/>
          <w:szCs w:val="24"/>
        </w:rPr>
        <w:t>Several c</w:t>
      </w:r>
      <w:r w:rsidRPr="0096107B" w:rsidDel="00B73017">
        <w:rPr>
          <w:rFonts w:ascii="Courier New" w:eastAsia="Times New Roman" w:hAnsi="Courier New" w:cs="Courier New"/>
          <w:sz w:val="24"/>
          <w:szCs w:val="24"/>
        </w:rPr>
        <w:t xml:space="preserve">ommenters suggested specific ways in which the Department could set a passing threshold for a repayment rate or negative amortization test.  Some commenters stated that the regulations should provide that programs with more than half of loans in negative amortization would be considered failing. Several other commenters said the Department should invert the pCDR </w:t>
      </w:r>
      <w:r w:rsidR="002A50CA" w:rsidRPr="0096107B">
        <w:rPr>
          <w:rFonts w:ascii="Courier New" w:eastAsia="Times New Roman" w:hAnsi="Courier New" w:cs="Courier New"/>
          <w:sz w:val="24"/>
          <w:szCs w:val="24"/>
        </w:rPr>
        <w:t>measure</w:t>
      </w:r>
      <w:r w:rsidRPr="0096107B" w:rsidDel="00B73017">
        <w:rPr>
          <w:rFonts w:ascii="Courier New" w:eastAsia="Times New Roman" w:hAnsi="Courier New" w:cs="Courier New"/>
          <w:sz w:val="24"/>
          <w:szCs w:val="24"/>
        </w:rPr>
        <w:t xml:space="preserve"> by failing programs with less than 70 percent of students reducing the balance on their debt.  One commenter asserted that the Department should include a repayment rate </w:t>
      </w:r>
      <w:r w:rsidRPr="0096107B" w:rsidDel="00B73017">
        <w:rPr>
          <w:rFonts w:ascii="Courier New" w:eastAsia="Times New Roman" w:hAnsi="Courier New" w:cs="Courier New"/>
          <w:sz w:val="24"/>
          <w:szCs w:val="24"/>
        </w:rPr>
        <w:lastRenderedPageBreak/>
        <w:t xml:space="preserve">metric based on the repayment definition from the 2011 Prior Rule.  The commenter suggested that 45 percent would be an appropriate passing threshold for a repayment rate based on Current Population Survey </w:t>
      </w:r>
      <w:r w:rsidR="00EE36D7" w:rsidDel="00B73017">
        <w:rPr>
          <w:rFonts w:ascii="Courier New" w:eastAsia="Times New Roman" w:hAnsi="Courier New" w:cs="Courier New"/>
          <w:sz w:val="24"/>
          <w:szCs w:val="24"/>
        </w:rPr>
        <w:t>(CPS)</w:t>
      </w:r>
      <w:r w:rsidRPr="0096107B" w:rsidDel="00B73017">
        <w:rPr>
          <w:rFonts w:ascii="Courier New" w:eastAsia="Times New Roman" w:hAnsi="Courier New" w:cs="Courier New"/>
          <w:sz w:val="24"/>
          <w:szCs w:val="24"/>
        </w:rPr>
        <w:t xml:space="preserve"> census data that estimates that 46.2 percent of young adults with a high school diploma could possibly afford student debt payments. </w:t>
      </w:r>
    </w:p>
    <w:p w14:paraId="516FF9B4" w14:textId="051BD696"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ab/>
        <w:t>Some commenters argued the Department has adequate expertise and authority, as the issuer of all Federal Direct Loans, to set a loan repayment threshold appropriate for its own loan portfolio without needing to rely on an unrelated external standard.  Additionally, commenters suggested the Department convene a panel of experts to set a repayment rate threshold for the regulations.  One commenter said the Department should use available data to set a repayment rate threshold that would be difficult for programs to manipulate.</w:t>
      </w:r>
    </w:p>
    <w:p w14:paraId="4FCB3CB1" w14:textId="1739BF83"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ab/>
        <w:t xml:space="preserve">A few commenters offered what they believed are limitations of relying on a repayment rate metric.  One commenter said the regulations should not include a repayment rate metric because such a standard would disproportionately affect programs providing access to low-income and minority students.  Another commenter suggested that if the Department includes a repayment rate metric in the regulations, it should prohibit institutions from making loan payments on students’ behalf in an attempt to increase the proportion of students counted as successfully in </w:t>
      </w:r>
      <w:r w:rsidRPr="0096107B" w:rsidDel="00B73017">
        <w:rPr>
          <w:rFonts w:ascii="Courier New" w:eastAsia="Times New Roman" w:hAnsi="Courier New" w:cs="Courier New"/>
          <w:sz w:val="24"/>
          <w:szCs w:val="24"/>
        </w:rPr>
        <w:lastRenderedPageBreak/>
        <w:t xml:space="preserve">repayment.  As an alternative to pCDR or a repayment rate metric, one commenter proposed that the regulations evaluate iCDR and the percentage of enrolled students borrowing to set an eligibility standard that would identify and curtail abuses in the short run and suspend program participation if both </w:t>
      </w:r>
      <w:r w:rsidR="002A50CA">
        <w:rPr>
          <w:rFonts w:ascii="Courier New" w:eastAsia="Times New Roman" w:hAnsi="Courier New" w:cs="Courier New"/>
          <w:sz w:val="24"/>
          <w:szCs w:val="24"/>
        </w:rPr>
        <w:t>i</w:t>
      </w:r>
      <w:r w:rsidR="002A50CA" w:rsidRPr="0096107B">
        <w:rPr>
          <w:rFonts w:ascii="Courier New" w:eastAsia="Times New Roman" w:hAnsi="Courier New" w:cs="Courier New"/>
          <w:sz w:val="24"/>
          <w:szCs w:val="24"/>
        </w:rPr>
        <w:t>CDR</w:t>
      </w:r>
      <w:r w:rsidRPr="0096107B" w:rsidDel="00B73017">
        <w:rPr>
          <w:rFonts w:ascii="Courier New" w:eastAsia="Times New Roman" w:hAnsi="Courier New" w:cs="Courier New"/>
          <w:sz w:val="24"/>
          <w:szCs w:val="24"/>
        </w:rPr>
        <w:t xml:space="preserve"> and borrowing rates are high.</w:t>
      </w:r>
    </w:p>
    <w:p w14:paraId="11E28A30" w14:textId="1D74CE8C" w:rsidR="002A50CA" w:rsidRPr="0096107B" w:rsidRDefault="002A50CA" w:rsidP="002A50CA">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Some commenters believed that, if the 90/10 </w:t>
      </w:r>
      <w:r w:rsidRPr="0096107B">
        <w:rPr>
          <w:rFonts w:ascii="Courier New" w:hAnsi="Courier New" w:cs="Courier New"/>
          <w:sz w:val="24"/>
          <w:szCs w:val="24"/>
        </w:rPr>
        <w:t>provisions in section 487(a)(24) of the HEA</w:t>
      </w:r>
      <w:r w:rsidRPr="0096107B" w:rsidDel="00D411D7">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limiting the percentage of revenue for-profit institutions may receive from title IV, HEA programs were eliminated, there would be no need for the D/E rates measure.  Several commenters said the 90/10 provisions should be modified to include GI benefits and other Federal sources of aid.  Some commenters argued that the 90/10 provisions should be modified to provide for an 85/15 ratio such that a for-profit institution receiving more than </w:t>
      </w:r>
      <w:r w:rsidRPr="002446C1">
        <w:rPr>
          <w:rFonts w:ascii="Courier New" w:eastAsia="Times New Roman" w:hAnsi="Courier New" w:cs="Courier New"/>
          <w:sz w:val="24"/>
          <w:szCs w:val="24"/>
        </w:rPr>
        <w:t>an 85 percent</w:t>
      </w:r>
      <w:r w:rsidRPr="0096107B">
        <w:rPr>
          <w:rFonts w:ascii="Courier New" w:eastAsia="Times New Roman" w:hAnsi="Courier New" w:cs="Courier New"/>
          <w:sz w:val="24"/>
          <w:szCs w:val="24"/>
        </w:rPr>
        <w:t xml:space="preserve"> share of revenue from title IV, HEA programs and other Federal programs would be determined ineligible to participate in the title IV, HEA programs. </w:t>
      </w:r>
    </w:p>
    <w:p w14:paraId="456D1F09" w14:textId="77777777" w:rsidR="0096107B" w:rsidRPr="0096107B" w:rsidDel="00B73017" w:rsidRDefault="0096107B" w:rsidP="0096107B">
      <w:pPr>
        <w:spacing w:after="0" w:line="480" w:lineRule="auto"/>
        <w:ind w:firstLine="720"/>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t xml:space="preserve">Other commenters asked the Department to set standards that would cap the prices charged or amount of loans disbursed for different kinds of programs.  For instance, </w:t>
      </w:r>
      <w:r w:rsidR="00331794" w:rsidDel="00B73017">
        <w:rPr>
          <w:rFonts w:ascii="Courier New" w:eastAsia="Times New Roman" w:hAnsi="Courier New" w:cs="Courier New"/>
          <w:sz w:val="24"/>
          <w:szCs w:val="24"/>
        </w:rPr>
        <w:t xml:space="preserve">one commenter proposed that </w:t>
      </w:r>
      <w:r w:rsidRPr="0096107B" w:rsidDel="00B73017">
        <w:rPr>
          <w:rFonts w:ascii="Courier New" w:eastAsia="Times New Roman" w:hAnsi="Courier New" w:cs="Courier New"/>
          <w:sz w:val="24"/>
          <w:szCs w:val="24"/>
        </w:rPr>
        <w:t xml:space="preserve">loan disbursements could be capped for all cosmetology programs based on the average earnings of individuals who enter the field.  </w:t>
      </w:r>
    </w:p>
    <w:p w14:paraId="064C7D88" w14:textId="324F6F1C" w:rsidR="0096107B" w:rsidRPr="0096107B" w:rsidDel="00B73017" w:rsidRDefault="0096107B" w:rsidP="0096107B">
      <w:pPr>
        <w:spacing w:after="0" w:line="480" w:lineRule="auto"/>
        <w:rPr>
          <w:rFonts w:ascii="Courier New" w:eastAsia="Times New Roman" w:hAnsi="Courier New" w:cs="Courier New"/>
          <w:sz w:val="24"/>
          <w:szCs w:val="24"/>
        </w:rPr>
      </w:pPr>
      <w:r w:rsidRPr="0096107B" w:rsidDel="00B73017">
        <w:rPr>
          <w:rFonts w:ascii="Courier New" w:eastAsia="Times New Roman" w:hAnsi="Courier New" w:cs="Courier New"/>
          <w:sz w:val="24"/>
          <w:szCs w:val="24"/>
        </w:rPr>
        <w:lastRenderedPageBreak/>
        <w:tab/>
        <w:t xml:space="preserve">Several commenters contended the Department should use risk-adjusted lifetime earnings gains net of the average cost of program attendance as an alternative metric.  One commenter suggested that the regulations consider earnings before and after attendance in a program in order to measure program success.  The commenter also argued that the amount of debt incurred should not be used to measure the success of a program. </w:t>
      </w:r>
    </w:p>
    <w:p w14:paraId="3F78750A" w14:textId="77777777" w:rsidR="0096107B" w:rsidDel="00B73017" w:rsidRDefault="0096107B" w:rsidP="002A50CA">
      <w:r w:rsidRPr="0096107B" w:rsidDel="00B73017">
        <w:rPr>
          <w:rFonts w:ascii="Courier New" w:eastAsia="Times New Roman" w:hAnsi="Courier New" w:cs="Courier New"/>
          <w:sz w:val="24"/>
          <w:szCs w:val="24"/>
          <w:u w:val="single"/>
        </w:rPr>
        <w:t>Discussion</w:t>
      </w:r>
      <w:r w:rsidRPr="0096107B" w:rsidDel="00B73017">
        <w:rPr>
          <w:rFonts w:ascii="Courier New" w:eastAsia="Times New Roman" w:hAnsi="Courier New" w:cs="Courier New"/>
          <w:sz w:val="24"/>
          <w:szCs w:val="24"/>
        </w:rPr>
        <w:t>:</w:t>
      </w:r>
    </w:p>
    <w:p w14:paraId="0B2EE80A" w14:textId="77777777" w:rsid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D/E Rates Measure</w:t>
      </w:r>
    </w:p>
    <w:p w14:paraId="250B62EE" w14:textId="3138D348" w:rsidR="00B035BC" w:rsidRPr="002446C1" w:rsidRDefault="003E632C" w:rsidP="0096107B">
      <w:pPr>
        <w:spacing w:after="0" w:line="480" w:lineRule="auto"/>
        <w:ind w:firstLine="720"/>
        <w:rPr>
          <w:rFonts w:ascii="Courier New" w:eastAsia="Times New Roman" w:hAnsi="Courier New" w:cs="Courier New"/>
          <w:sz w:val="24"/>
          <w:szCs w:val="24"/>
        </w:rPr>
      </w:pPr>
      <w:r>
        <w:rPr>
          <w:rFonts w:ascii="Courier New" w:hAnsi="Courier New" w:cs="Courier New"/>
          <w:sz w:val="24"/>
          <w:szCs w:val="24"/>
        </w:rPr>
        <w:t xml:space="preserve">Although </w:t>
      </w:r>
      <w:r w:rsidRPr="003E632C">
        <w:rPr>
          <w:rFonts w:ascii="Courier New" w:hAnsi="Courier New" w:cs="Courier New"/>
          <w:sz w:val="24"/>
          <w:szCs w:val="24"/>
        </w:rPr>
        <w:t>the creation of a program “value added” measure using some function of earnings gains may</w:t>
      </w:r>
      <w:r w:rsidR="00B035BC" w:rsidRPr="002446C1">
        <w:rPr>
          <w:rFonts w:ascii="Courier New" w:hAnsi="Courier New" w:cs="Courier New"/>
          <w:sz w:val="24"/>
          <w:szCs w:val="24"/>
        </w:rPr>
        <w:t xml:space="preserve"> provide some information on program quality, we disagree that it is more appropriate </w:t>
      </w:r>
      <w:r w:rsidR="004A2AE2" w:rsidRPr="002446C1">
        <w:rPr>
          <w:rFonts w:ascii="Courier New" w:hAnsi="Courier New" w:cs="Courier New"/>
          <w:sz w:val="24"/>
          <w:szCs w:val="24"/>
        </w:rPr>
        <w:t xml:space="preserve">than the D/E rates measure as a </w:t>
      </w:r>
      <w:r w:rsidR="00B035BC" w:rsidRPr="002446C1">
        <w:rPr>
          <w:rFonts w:ascii="Courier New" w:hAnsi="Courier New" w:cs="Courier New"/>
          <w:sz w:val="24"/>
          <w:szCs w:val="24"/>
        </w:rPr>
        <w:t xml:space="preserve">basis for an eligibility standard.  We do not believe it is aligned with the accountability framework of the regulations, which is based on discouraging institutions from saddling students with </w:t>
      </w:r>
      <w:r w:rsidR="00F75627" w:rsidRPr="002446C1">
        <w:rPr>
          <w:rFonts w:ascii="Courier New" w:hAnsi="Courier New" w:cs="Courier New"/>
          <w:sz w:val="24"/>
          <w:szCs w:val="24"/>
        </w:rPr>
        <w:t>unmanageable</w:t>
      </w:r>
      <w:r w:rsidR="00B035BC" w:rsidRPr="002446C1">
        <w:rPr>
          <w:rFonts w:ascii="Courier New" w:hAnsi="Courier New" w:cs="Courier New"/>
          <w:sz w:val="24"/>
          <w:szCs w:val="24"/>
        </w:rPr>
        <w:t xml:space="preserve"> amounts of debt. </w:t>
      </w:r>
      <w:r w:rsidR="00046EA9" w:rsidRPr="002446C1">
        <w:rPr>
          <w:rFonts w:ascii="Courier New" w:hAnsi="Courier New" w:cs="Courier New"/>
          <w:sz w:val="24"/>
          <w:szCs w:val="24"/>
        </w:rPr>
        <w:t xml:space="preserve"> </w:t>
      </w:r>
      <w:r w:rsidR="00B035BC" w:rsidRPr="002446C1">
        <w:rPr>
          <w:rFonts w:ascii="Courier New" w:hAnsi="Courier New" w:cs="Courier New"/>
          <w:sz w:val="24"/>
          <w:szCs w:val="24"/>
        </w:rPr>
        <w:t>Furthermore, the commenters have failed to establish an appropriate standard supported in the research that demonstrates how such a measure could be used to determine whether a program adequately prepares students for gainful employment in a recognized occupation</w:t>
      </w:r>
      <w:r w:rsidR="00046EA9" w:rsidRPr="002446C1">
        <w:rPr>
          <w:rFonts w:ascii="Courier New" w:hAnsi="Courier New" w:cs="Courier New"/>
          <w:sz w:val="24"/>
          <w:szCs w:val="24"/>
        </w:rPr>
        <w:t>.</w:t>
      </w:r>
      <w:r w:rsidR="00B035BC" w:rsidRPr="002446C1">
        <w:rPr>
          <w:rFonts w:ascii="Courier New" w:eastAsia="Times New Roman" w:hAnsi="Courier New" w:cs="Courier New"/>
          <w:sz w:val="24"/>
          <w:szCs w:val="24"/>
        </w:rPr>
        <w:t xml:space="preserve"> </w:t>
      </w:r>
    </w:p>
    <w:p w14:paraId="21886E39" w14:textId="47D4190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The accountability framework </w:t>
      </w:r>
      <w:r w:rsidR="00B035BC">
        <w:rPr>
          <w:rFonts w:ascii="Courier New" w:eastAsia="Times New Roman" w:hAnsi="Courier New" w:cs="Courier New"/>
          <w:sz w:val="24"/>
          <w:szCs w:val="24"/>
        </w:rPr>
        <w:t xml:space="preserve">of the regulations </w:t>
      </w:r>
      <w:r w:rsidRPr="0096107B">
        <w:rPr>
          <w:rFonts w:ascii="Courier New" w:eastAsia="Times New Roman" w:hAnsi="Courier New" w:cs="Courier New"/>
          <w:sz w:val="24"/>
          <w:szCs w:val="24"/>
        </w:rPr>
        <w:t xml:space="preserve">focuses on whether students who attend GE programs will be able to manage their debt.  As we discussed in the NPRM, the gainful employment </w:t>
      </w:r>
      <w:r w:rsidRPr="0096107B">
        <w:rPr>
          <w:rFonts w:ascii="Courier New" w:eastAsia="Times New Roman" w:hAnsi="Courier New" w:cs="Courier New"/>
          <w:sz w:val="24"/>
          <w:szCs w:val="24"/>
        </w:rPr>
        <w:lastRenderedPageBreak/>
        <w:t xml:space="preserve">requirements are tied to Congress’ historic concern that vocational and career training offered by programs for which students require loans should equip students to earn enough to repay their loans.  </w:t>
      </w:r>
      <w:r w:rsidRPr="0096107B">
        <w:rPr>
          <w:rFonts w:ascii="Courier New" w:eastAsia="Times New Roman" w:hAnsi="Courier New" w:cs="Courier New"/>
          <w:sz w:val="24"/>
          <w:szCs w:val="24"/>
          <w:u w:val="single"/>
        </w:rPr>
        <w:t>APSCU v. Duncan</w:t>
      </w:r>
      <w:r w:rsidRPr="0096107B">
        <w:rPr>
          <w:rFonts w:ascii="Courier New" w:eastAsia="Times New Roman" w:hAnsi="Courier New" w:cs="Courier New"/>
          <w:sz w:val="24"/>
          <w:szCs w:val="24"/>
        </w:rPr>
        <w:t xml:space="preserve">, 870 F.Supp.2d at 139; </w:t>
      </w:r>
      <w:r w:rsidRPr="0096107B">
        <w:rPr>
          <w:rFonts w:ascii="Courier New" w:eastAsia="Times New Roman" w:hAnsi="Courier New" w:cs="Courier New"/>
          <w:sz w:val="24"/>
          <w:szCs w:val="24"/>
          <w:u w:val="single"/>
        </w:rPr>
        <w:t>see also</w:t>
      </w:r>
      <w:r w:rsidRPr="0096107B">
        <w:rPr>
          <w:rFonts w:ascii="Courier New" w:eastAsia="Times New Roman" w:hAnsi="Courier New" w:cs="Courier New"/>
          <w:sz w:val="24"/>
          <w:szCs w:val="24"/>
        </w:rPr>
        <w:t xml:space="preserve"> 76 FR 34392.  Allowing students to borrow was expected to neither unduly burden the students nor pose “a poor financial risk” to taxpayers.  In authorizing federally backed student lending, Congress considered expert assurances that vocational training would enable graduates to earn wages that would not pose a “poor financial risk” of default.  </w:t>
      </w:r>
    </w:p>
    <w:p w14:paraId="09F94917" w14:textId="220240B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Congress’ decision in this area is supported by research that shows that high levels of debt and default on student loans can lead to negative consequence for borrowers.  There is some evidence suggesting that high levels of student debt decrease the long-term probability of marriage.</w:t>
      </w:r>
      <w:r w:rsidRPr="0096107B">
        <w:rPr>
          <w:rFonts w:ascii="Courier New" w:eastAsia="Times New Roman" w:hAnsi="Courier New" w:cs="Courier New"/>
          <w:sz w:val="24"/>
          <w:szCs w:val="24"/>
          <w:vertAlign w:val="superscript"/>
        </w:rPr>
        <w:footnoteReference w:id="75"/>
      </w:r>
      <w:r w:rsidRPr="0096107B">
        <w:rPr>
          <w:rFonts w:ascii="Courier New" w:eastAsia="Times New Roman" w:hAnsi="Courier New" w:cs="Courier New"/>
          <w:sz w:val="24"/>
          <w:szCs w:val="24"/>
        </w:rPr>
        <w:t xml:space="preserve">  For those who do not complete a degree, greater amounts of student debt may raise the probability of bankruptcy.</w:t>
      </w:r>
      <w:r w:rsidRPr="0096107B">
        <w:rPr>
          <w:rFonts w:ascii="Courier New" w:eastAsia="Times New Roman" w:hAnsi="Courier New" w:cs="Courier New"/>
          <w:sz w:val="24"/>
          <w:szCs w:val="24"/>
          <w:vertAlign w:val="superscript"/>
        </w:rPr>
        <w:footnoteReference w:id="76"/>
      </w:r>
      <w:r w:rsidRPr="0096107B">
        <w:rPr>
          <w:rFonts w:ascii="Courier New" w:eastAsia="Times New Roman" w:hAnsi="Courier New" w:cs="Courier New"/>
          <w:sz w:val="24"/>
          <w:szCs w:val="24"/>
        </w:rPr>
        <w:t xml:space="preserve">  There is also evidence that high levels of debt increase the probability of being denied credit, not paying bills on time, and filing for bankruptcy--particularly if students underestimate the probability of </w:t>
      </w:r>
      <w:r w:rsidRPr="0096107B">
        <w:rPr>
          <w:rFonts w:ascii="Courier New" w:eastAsia="Times New Roman" w:hAnsi="Courier New" w:cs="Courier New"/>
          <w:sz w:val="24"/>
          <w:szCs w:val="24"/>
        </w:rPr>
        <w:lastRenderedPageBreak/>
        <w:t>dropping out.</w:t>
      </w:r>
      <w:r w:rsidRPr="0096107B">
        <w:rPr>
          <w:rFonts w:ascii="Courier New" w:eastAsia="Times New Roman" w:hAnsi="Courier New" w:cs="Courier New"/>
          <w:sz w:val="24"/>
          <w:szCs w:val="24"/>
          <w:vertAlign w:val="superscript"/>
        </w:rPr>
        <w:footnoteReference w:id="77"/>
      </w:r>
      <w:r w:rsidRPr="0096107B">
        <w:rPr>
          <w:rFonts w:ascii="Courier New" w:eastAsia="Times New Roman" w:hAnsi="Courier New" w:cs="Courier New"/>
          <w:sz w:val="24"/>
          <w:szCs w:val="24"/>
        </w:rPr>
        <w:t xml:space="preserve">  Since the Great Recession, student debt has been found to be associated with reduced home ownership rates.</w:t>
      </w:r>
      <w:r w:rsidRPr="0096107B">
        <w:rPr>
          <w:rFonts w:ascii="Courier New" w:eastAsia="Times New Roman" w:hAnsi="Courier New" w:cs="Courier New"/>
          <w:sz w:val="24"/>
          <w:szCs w:val="24"/>
          <w:vertAlign w:val="superscript"/>
        </w:rPr>
        <w:footnoteReference w:id="78"/>
      </w:r>
      <w:r w:rsidRPr="0096107B">
        <w:rPr>
          <w:rFonts w:ascii="Courier New" w:eastAsia="Times New Roman" w:hAnsi="Courier New" w:cs="Courier New"/>
          <w:sz w:val="24"/>
          <w:szCs w:val="24"/>
        </w:rPr>
        <w:t xml:space="preserve">  And, high student debt may make it more difficult for borrowers to meet new mortgage underwriting standards, tightened in response to the recent recession and financial crisis.</w:t>
      </w:r>
      <w:r w:rsidRPr="0096107B">
        <w:rPr>
          <w:rFonts w:ascii="Courier New" w:eastAsia="Times New Roman" w:hAnsi="Courier New" w:cs="Courier New"/>
          <w:sz w:val="24"/>
          <w:szCs w:val="24"/>
          <w:vertAlign w:val="superscript"/>
        </w:rPr>
        <w:footnoteReference w:id="79"/>
      </w:r>
      <w:r w:rsidRPr="0096107B">
        <w:rPr>
          <w:rFonts w:ascii="Courier New" w:eastAsia="Times New Roman" w:hAnsi="Courier New" w:cs="Courier New"/>
          <w:sz w:val="24"/>
          <w:szCs w:val="24"/>
        </w:rPr>
        <w:t xml:space="preserve">  </w:t>
      </w:r>
    </w:p>
    <w:p w14:paraId="2ED3A046" w14:textId="090C2C44" w:rsidR="0096107B" w:rsidRPr="0096107B" w:rsidRDefault="0096107B" w:rsidP="0096107B">
      <w:pPr>
        <w:widowControl w:val="0"/>
        <w:autoSpaceDE w:val="0"/>
        <w:autoSpaceDN w:val="0"/>
        <w:adjustRightInd w:val="0"/>
        <w:spacing w:after="0" w:line="480" w:lineRule="auto"/>
        <w:ind w:firstLine="720"/>
        <w:rPr>
          <w:rFonts w:ascii="Courier New" w:eastAsia="Times New Roman" w:hAnsi="Courier New" w:cs="Courier New"/>
          <w:color w:val="000000"/>
          <w:sz w:val="24"/>
          <w:szCs w:val="24"/>
        </w:rPr>
      </w:pPr>
      <w:r w:rsidRPr="0096107B">
        <w:rPr>
          <w:rFonts w:ascii="Courier New" w:eastAsia="Times New Roman" w:hAnsi="Courier New" w:cs="Courier New"/>
          <w:sz w:val="24"/>
          <w:szCs w:val="24"/>
        </w:rPr>
        <w:t>Further, when borrowers default on their loans, everyday activities like signing up for utilities, obtaining insurance, and renting an apartment can become a challenge.  Such borrowers become subject to losing Federal payments</w:t>
      </w:r>
      <w:r w:rsidRPr="002446C1">
        <w:rPr>
          <w:rFonts w:ascii="Courier New" w:eastAsia="Times New Roman" w:hAnsi="Courier New" w:cs="Courier New"/>
          <w:sz w:val="24"/>
          <w:szCs w:val="24"/>
        </w:rPr>
        <w:t xml:space="preserve"> and</w:t>
      </w:r>
      <w:r w:rsidRPr="0096107B">
        <w:rPr>
          <w:rFonts w:ascii="Courier New" w:eastAsia="Times New Roman" w:hAnsi="Courier New" w:cs="Courier New"/>
          <w:sz w:val="24"/>
          <w:szCs w:val="24"/>
        </w:rPr>
        <w:t xml:space="preserve"> tax refunds and wage garnishment.</w:t>
      </w:r>
      <w:r w:rsidRPr="0096107B">
        <w:rPr>
          <w:rFonts w:ascii="Courier New" w:eastAsia="Times New Roman" w:hAnsi="Courier New" w:cs="Courier New"/>
          <w:sz w:val="24"/>
          <w:szCs w:val="24"/>
          <w:vertAlign w:val="superscript"/>
        </w:rPr>
        <w:footnoteReference w:id="80"/>
      </w:r>
      <w:r w:rsidRPr="0096107B">
        <w:rPr>
          <w:rFonts w:ascii="Courier New" w:eastAsia="Times New Roman" w:hAnsi="Courier New" w:cs="Courier New"/>
          <w:sz w:val="24"/>
          <w:szCs w:val="24"/>
        </w:rPr>
        <w:t xml:space="preserve">  Borrowers who default might also be denied a job due to poor credit, struggle to pay fees necessary to maintain professional licenses, or be unable to open a new checking account.</w:t>
      </w:r>
      <w:r w:rsidRPr="0096107B">
        <w:rPr>
          <w:rFonts w:ascii="Courier New" w:eastAsia="Times New Roman" w:hAnsi="Courier New" w:cs="Courier New"/>
          <w:sz w:val="24"/>
          <w:szCs w:val="24"/>
          <w:vertAlign w:val="superscript"/>
        </w:rPr>
        <w:footnoteReference w:id="81"/>
      </w:r>
      <w:r w:rsidRPr="0096107B">
        <w:rPr>
          <w:rFonts w:ascii="Courier New" w:eastAsia="Times New Roman" w:hAnsi="Courier New" w:cs="Courier New"/>
          <w:sz w:val="24"/>
          <w:szCs w:val="24"/>
        </w:rPr>
        <w:t xml:space="preserve">  As a responsible lender, one important role for the Department is to hold all GE programs to a minimum standard that ensures students are able to service their debt without undue hardship, regardless of whether students experience earnings gains upon completion.</w:t>
      </w:r>
      <w:r w:rsidRPr="0096107B">
        <w:rPr>
          <w:rFonts w:ascii="Courier New" w:eastAsia="Times New Roman" w:hAnsi="Courier New" w:cs="Courier New"/>
          <w:color w:val="000000"/>
          <w:sz w:val="24"/>
          <w:szCs w:val="24"/>
        </w:rPr>
        <w:t xml:space="preserve">  </w:t>
      </w:r>
      <w:r w:rsidRPr="0096107B">
        <w:rPr>
          <w:rFonts w:ascii="Courier New" w:eastAsia="Times New Roman" w:hAnsi="Courier New" w:cs="Courier New"/>
          <w:sz w:val="24"/>
          <w:szCs w:val="24"/>
        </w:rPr>
        <w:t xml:space="preserve">   </w:t>
      </w:r>
    </w:p>
    <w:p w14:paraId="69D34AA9" w14:textId="6BB1E737" w:rsidR="009F7269"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Research has consistently demonstrated the significant benefits of postsecondary education.  Among them are private pecuniary benefits</w:t>
      </w:r>
      <w:r w:rsidRPr="0096107B">
        <w:rPr>
          <w:rFonts w:ascii="Courier New" w:eastAsia="Times New Roman" w:hAnsi="Courier New" w:cs="Courier New"/>
          <w:sz w:val="24"/>
          <w:szCs w:val="24"/>
          <w:vertAlign w:val="superscript"/>
        </w:rPr>
        <w:footnoteReference w:id="82"/>
      </w:r>
      <w:r w:rsidRPr="0096107B">
        <w:rPr>
          <w:rFonts w:ascii="Courier New" w:eastAsia="Times New Roman" w:hAnsi="Courier New" w:cs="Courier New"/>
          <w:sz w:val="24"/>
          <w:szCs w:val="24"/>
        </w:rPr>
        <w:t xml:space="preserve"> </w:t>
      </w:r>
      <w:r w:rsidR="00FD2B22" w:rsidRPr="0096107B">
        <w:rPr>
          <w:rFonts w:ascii="Courier New" w:eastAsia="Times New Roman" w:hAnsi="Courier New" w:cs="Courier New"/>
          <w:sz w:val="24"/>
          <w:szCs w:val="24"/>
        </w:rPr>
        <w:t xml:space="preserve">such as higher wages </w:t>
      </w:r>
      <w:r w:rsidRPr="0096107B">
        <w:rPr>
          <w:rFonts w:ascii="Courier New" w:eastAsia="Times New Roman" w:hAnsi="Courier New" w:cs="Courier New"/>
          <w:sz w:val="24"/>
          <w:szCs w:val="24"/>
        </w:rPr>
        <w:t>and social benefits</w:t>
      </w:r>
      <w:r w:rsidR="00FD2B22">
        <w:rPr>
          <w:rFonts w:ascii="Courier New" w:eastAsia="Times New Roman" w:hAnsi="Courier New" w:cs="Courier New"/>
          <w:sz w:val="24"/>
          <w:szCs w:val="24"/>
        </w:rPr>
        <w:t xml:space="preserve"> </w:t>
      </w:r>
      <w:r w:rsidR="00FD2B22" w:rsidRPr="00FD2B22">
        <w:rPr>
          <w:rFonts w:ascii="Courier New" w:hAnsi="Courier New" w:cs="Courier New"/>
          <w:sz w:val="24"/>
          <w:szCs w:val="24"/>
        </w:rPr>
        <w:t>such as a better educated and flexible workforce and greater civic participation</w:t>
      </w:r>
      <w:r w:rsidRPr="0096107B">
        <w:rPr>
          <w:rFonts w:ascii="Courier New" w:eastAsia="Times New Roman" w:hAnsi="Courier New" w:cs="Courier New"/>
          <w:sz w:val="24"/>
          <w:szCs w:val="24"/>
        </w:rPr>
        <w:t>.</w:t>
      </w:r>
      <w:r w:rsidRPr="0096107B">
        <w:rPr>
          <w:rFonts w:ascii="Courier New" w:eastAsia="Times New Roman" w:hAnsi="Courier New" w:cs="Courier New"/>
          <w:sz w:val="24"/>
          <w:szCs w:val="24"/>
          <w:vertAlign w:val="superscript"/>
        </w:rPr>
        <w:footnoteReference w:id="83"/>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84"/>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85"/>
      </w:r>
      <w:r w:rsidR="00FD2B22">
        <w:rPr>
          <w:rFonts w:ascii="Courier New" w:eastAsia="Times New Roman" w:hAnsi="Courier New" w:cs="Courier New"/>
          <w:sz w:val="24"/>
          <w:szCs w:val="24"/>
        </w:rPr>
        <w:t xml:space="preserve"> </w:t>
      </w:r>
      <w:r w:rsidR="00FD2B22" w:rsidRPr="00F828BD">
        <w:rPr>
          <w:rStyle w:val="FootnoteReference"/>
          <w:rFonts w:ascii="Courier New" w:hAnsi="Courier New" w:cs="Courier New"/>
          <w:sz w:val="24"/>
          <w:szCs w:val="24"/>
        </w:rPr>
        <w:footnoteReference w:id="86"/>
      </w:r>
      <w:r w:rsidRPr="0096107B">
        <w:rPr>
          <w:rFonts w:ascii="Courier New" w:eastAsia="Times New Roman" w:hAnsi="Courier New" w:cs="Courier New"/>
          <w:sz w:val="24"/>
          <w:szCs w:val="24"/>
        </w:rPr>
        <w:t xml:space="preserve">  Even though the costs of postsecondary education have risen, there is evidence that </w:t>
      </w:r>
      <w:r w:rsidR="009F7269">
        <w:rPr>
          <w:rFonts w:ascii="Courier New" w:eastAsia="Times New Roman" w:hAnsi="Courier New" w:cs="Courier New"/>
          <w:sz w:val="24"/>
          <w:szCs w:val="24"/>
        </w:rPr>
        <w:t xml:space="preserve">the average </w:t>
      </w:r>
      <w:r w:rsidRPr="0096107B">
        <w:rPr>
          <w:rFonts w:ascii="Courier New" w:eastAsia="Times New Roman" w:hAnsi="Courier New" w:cs="Courier New"/>
          <w:sz w:val="24"/>
          <w:szCs w:val="24"/>
        </w:rPr>
        <w:t xml:space="preserve">financial returns to </w:t>
      </w:r>
      <w:r w:rsidR="009F7269">
        <w:rPr>
          <w:rFonts w:ascii="Courier New" w:eastAsia="Times New Roman" w:hAnsi="Courier New" w:cs="Courier New"/>
          <w:sz w:val="24"/>
          <w:szCs w:val="24"/>
        </w:rPr>
        <w:t xml:space="preserve">graduates </w:t>
      </w:r>
      <w:r w:rsidRPr="0096107B">
        <w:rPr>
          <w:rFonts w:ascii="Courier New" w:eastAsia="Times New Roman" w:hAnsi="Courier New" w:cs="Courier New"/>
          <w:sz w:val="24"/>
          <w:szCs w:val="24"/>
        </w:rPr>
        <w:t xml:space="preserve">have </w:t>
      </w:r>
      <w:r w:rsidR="009F7269">
        <w:rPr>
          <w:rFonts w:ascii="Courier New" w:eastAsia="Times New Roman" w:hAnsi="Courier New" w:cs="Courier New"/>
          <w:sz w:val="24"/>
          <w:szCs w:val="24"/>
        </w:rPr>
        <w:t xml:space="preserve">also </w:t>
      </w:r>
      <w:r w:rsidRPr="0096107B">
        <w:rPr>
          <w:rFonts w:ascii="Courier New" w:eastAsia="Times New Roman" w:hAnsi="Courier New" w:cs="Courier New"/>
          <w:sz w:val="24"/>
          <w:szCs w:val="24"/>
        </w:rPr>
        <w:t>increased.</w:t>
      </w:r>
      <w:r w:rsidRPr="0096107B">
        <w:rPr>
          <w:rFonts w:ascii="Courier New" w:eastAsia="Times New Roman" w:hAnsi="Courier New" w:cs="Courier New"/>
          <w:sz w:val="24"/>
          <w:szCs w:val="24"/>
          <w:vertAlign w:val="superscript"/>
        </w:rPr>
        <w:footnoteReference w:id="87"/>
      </w:r>
      <w:r w:rsidRPr="0096107B">
        <w:rPr>
          <w:rFonts w:ascii="Courier New" w:eastAsia="Times New Roman" w:hAnsi="Courier New" w:cs="Courier New"/>
          <w:sz w:val="24"/>
          <w:szCs w:val="24"/>
        </w:rPr>
        <w:t xml:space="preserve">  </w:t>
      </w:r>
    </w:p>
    <w:p w14:paraId="69C8B369"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recognize the value of programs that lead to earnings gains and agree that gains are essential.  However, we believe that the D/E rates measure, rather than a measure of earnings gains, better achieves the objectives of these regulations because it assesses earnings in the context of whether they are at a level that would allow borrowers to service their debt without serious risk of financial or emotional harm to students and loss to taxpayers. </w:t>
      </w:r>
    </w:p>
    <w:p w14:paraId="5397BBEE" w14:textId="44BDE0B0" w:rsidR="0096107B" w:rsidRPr="0096107B" w:rsidRDefault="0096107B" w:rsidP="0096107B">
      <w:pPr>
        <w:spacing w:after="0" w:line="480" w:lineRule="auto"/>
        <w:ind w:firstLine="720"/>
        <w:rPr>
          <w:rFonts w:ascii="Courier New" w:eastAsia="Times New Roman" w:hAnsi="Courier New" w:cs="Courier New"/>
          <w:color w:val="000000"/>
          <w:sz w:val="24"/>
          <w:szCs w:val="24"/>
        </w:rPr>
      </w:pPr>
      <w:r w:rsidRPr="0096107B">
        <w:rPr>
          <w:rFonts w:ascii="Courier New" w:eastAsia="Times New Roman" w:hAnsi="Courier New" w:cs="Courier New"/>
          <w:sz w:val="24"/>
          <w:szCs w:val="24"/>
        </w:rPr>
        <w:t xml:space="preserve">We also disagree with commenters who claim a low correlation between D/E rates and default undermines D/E rates </w:t>
      </w:r>
      <w:r w:rsidRPr="0096107B">
        <w:rPr>
          <w:rFonts w:ascii="Courier New" w:eastAsia="Times New Roman" w:hAnsi="Courier New" w:cs="Courier New"/>
          <w:sz w:val="24"/>
          <w:szCs w:val="24"/>
        </w:rPr>
        <w:lastRenderedPageBreak/>
        <w:t xml:space="preserve">as an indicator of financial risk to students.  As our discussion of the D/E rates thresholds provides in more detail, our analyses indicate an association between ultimate repayment outcomes, including default, and D/E rates.  Based on the best data available to the Department, </w:t>
      </w:r>
      <w:r w:rsidR="009F7269">
        <w:rPr>
          <w:rFonts w:ascii="Courier New" w:eastAsia="Times New Roman" w:hAnsi="Courier New" w:cs="Courier New"/>
          <w:sz w:val="24"/>
          <w:szCs w:val="24"/>
        </w:rPr>
        <w:t>graduates of programs</w:t>
      </w:r>
      <w:r w:rsidR="009F7269" w:rsidRPr="0096107B">
        <w:rPr>
          <w:rFonts w:ascii="Courier New" w:eastAsia="Times New Roman" w:hAnsi="Courier New" w:cs="Courier New"/>
          <w:sz w:val="24"/>
          <w:szCs w:val="24"/>
        </w:rPr>
        <w:t xml:space="preserve"> </w:t>
      </w:r>
      <w:r w:rsidR="009F7269">
        <w:rPr>
          <w:rFonts w:ascii="Courier New" w:eastAsia="Times New Roman" w:hAnsi="Courier New" w:cs="Courier New"/>
          <w:sz w:val="24"/>
          <w:szCs w:val="24"/>
        </w:rPr>
        <w:t>with</w:t>
      </w:r>
      <w:r w:rsidRPr="0096107B">
        <w:rPr>
          <w:rFonts w:ascii="Courier New" w:eastAsia="Times New Roman" w:hAnsi="Courier New" w:cs="Courier New"/>
          <w:sz w:val="24"/>
          <w:szCs w:val="24"/>
        </w:rPr>
        <w:t xml:space="preserve"> D/E rates above the passing thresholds </w:t>
      </w:r>
      <w:r w:rsidR="009F7269">
        <w:rPr>
          <w:rFonts w:ascii="Courier New" w:eastAsia="Times New Roman" w:hAnsi="Courier New" w:cs="Courier New"/>
          <w:sz w:val="24"/>
          <w:szCs w:val="24"/>
        </w:rPr>
        <w:t>have higher</w:t>
      </w:r>
      <w:r w:rsidRPr="0096107B">
        <w:rPr>
          <w:rFonts w:ascii="Courier New" w:eastAsia="Times New Roman" w:hAnsi="Courier New" w:cs="Courier New"/>
          <w:sz w:val="24"/>
          <w:szCs w:val="24"/>
        </w:rPr>
        <w:t xml:space="preserve"> default </w:t>
      </w:r>
      <w:r w:rsidR="009F7269">
        <w:rPr>
          <w:rFonts w:ascii="Courier New" w:eastAsia="Times New Roman" w:hAnsi="Courier New" w:cs="Courier New"/>
          <w:sz w:val="24"/>
          <w:szCs w:val="24"/>
        </w:rPr>
        <w:t xml:space="preserve">rates and lower repayment rates </w:t>
      </w:r>
      <w:r w:rsidRPr="0096107B">
        <w:rPr>
          <w:rFonts w:ascii="Courier New" w:eastAsia="Times New Roman" w:hAnsi="Courier New" w:cs="Courier New"/>
          <w:sz w:val="24"/>
          <w:szCs w:val="24"/>
        </w:rPr>
        <w:t xml:space="preserve">than </w:t>
      </w:r>
      <w:r w:rsidR="009F7269">
        <w:rPr>
          <w:rFonts w:ascii="Courier New" w:eastAsia="Times New Roman" w:hAnsi="Courier New" w:cs="Courier New"/>
          <w:sz w:val="24"/>
          <w:szCs w:val="24"/>
        </w:rPr>
        <w:t>programs</w:t>
      </w:r>
      <w:r w:rsidR="009F7269"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below the thresholds.  Although many other factors may contribute to default outcomes, we believe high D/E rates are an important indicator of financial risk and possibility of default on student loans.</w:t>
      </w:r>
      <w:r w:rsidR="009F7269">
        <w:rPr>
          <w:rFonts w:ascii="Courier New" w:eastAsia="Times New Roman" w:hAnsi="Courier New" w:cs="Courier New"/>
          <w:sz w:val="24"/>
          <w:szCs w:val="24"/>
        </w:rPr>
        <w:t xml:space="preserve">  </w:t>
      </w:r>
      <w:r w:rsidR="009F7269" w:rsidRPr="0096107B">
        <w:rPr>
          <w:rFonts w:ascii="Courier New" w:eastAsia="Times New Roman" w:hAnsi="Courier New" w:cs="Courier New"/>
          <w:color w:val="000000"/>
          <w:sz w:val="24"/>
          <w:szCs w:val="24"/>
        </w:rPr>
        <w:t xml:space="preserve">In addition to addressing Congress’ concern of ensuring that students’ earnings would be adequate to manage their debt, research </w:t>
      </w:r>
      <w:r w:rsidR="009F7269">
        <w:rPr>
          <w:rFonts w:ascii="Courier New" w:eastAsia="Times New Roman" w:hAnsi="Courier New" w:cs="Courier New"/>
          <w:color w:val="000000"/>
          <w:sz w:val="24"/>
          <w:szCs w:val="24"/>
        </w:rPr>
        <w:t xml:space="preserve">also </w:t>
      </w:r>
      <w:r w:rsidR="009F7269" w:rsidRPr="0096107B">
        <w:rPr>
          <w:rFonts w:ascii="Courier New" w:eastAsia="Times New Roman" w:hAnsi="Courier New" w:cs="Courier New"/>
          <w:color w:val="000000"/>
          <w:sz w:val="24"/>
          <w:szCs w:val="24"/>
        </w:rPr>
        <w:t xml:space="preserve">indicates that debt-to-earnings is an effective indicator of unmanageable debt burden.  </w:t>
      </w:r>
      <w:r w:rsidR="009F7269" w:rsidRPr="0096107B">
        <w:rPr>
          <w:rFonts w:ascii="Courier New" w:eastAsia="Times New Roman" w:hAnsi="Courier New" w:cs="Courier New"/>
          <w:sz w:val="24"/>
          <w:szCs w:val="24"/>
        </w:rPr>
        <w:t>An analysis of a 2002 survey of student loan borrowers combined borrowers’ responses to questions about perceived loan burden, hardship, and regret to create a “debt burden index” that was significantly positively associated with borrowers’ actual debt-to-income ratios.  In other words, borrowers with higher debt-to-income ratios tended to feel higher levels of burden, hardship, and regret.</w:t>
      </w:r>
      <w:r w:rsidR="009F7269" w:rsidRPr="0096107B">
        <w:rPr>
          <w:rFonts w:ascii="Courier New" w:eastAsia="Times New Roman" w:hAnsi="Courier New" w:cs="Courier New"/>
          <w:sz w:val="24"/>
          <w:szCs w:val="24"/>
          <w:vertAlign w:val="superscript"/>
        </w:rPr>
        <w:footnoteReference w:id="88"/>
      </w:r>
    </w:p>
    <w:p w14:paraId="7F116BCE"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color w:val="000000"/>
          <w:sz w:val="24"/>
          <w:szCs w:val="24"/>
        </w:rPr>
        <w:lastRenderedPageBreak/>
        <w:t xml:space="preserve">Further, </w:t>
      </w:r>
      <w:r w:rsidRPr="0096107B">
        <w:rPr>
          <w:rFonts w:ascii="Courier New" w:eastAsia="Times New Roman" w:hAnsi="Courier New" w:cs="Courier New"/>
          <w:sz w:val="24"/>
          <w:szCs w:val="24"/>
        </w:rPr>
        <w:t xml:space="preserve">although annual earnings may increase for program graduates over the course of their lives as a result of additional credentialing, the Department disagrees that this fact undermines the appropriateness of determining eligibility based on the D/E rates measure.  Borrowers are still responsible for managing debt payments, which begin shortly after they complete a program, even in the early stages of their career.  </w:t>
      </w:r>
    </w:p>
    <w:p w14:paraId="2C0B38BC" w14:textId="44700CFD" w:rsidR="00B73017" w:rsidRPr="0096107B" w:rsidRDefault="0096107B" w:rsidP="002A50CA">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Repayment under the standard repayment plan is typically expected to be completed within 10 years; the return on investment from training may well be experienced over a lifetime, but benefits ultimately available over a lifetime may not accrue soon enough to enable the individual to repay the student loan debt under and within the schedules available under the title IV, HEA programs.  These regulations evaluate debt service using longer repayment terms than the typical 10-year plan, taking into account our experience with the history of actual borrower repayment and the use of forbearances and deferment.  However, even the extended repayment expectations we use to amortize debt under the D/E rates measure (10, 15, and 20 years for non-baccalaureate credentials, baccalaureate and master</w:t>
      </w:r>
      <w:r w:rsidR="00ED2C6D">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s degrees, and doctoral or professional degrees, respectively) do not encompass a lifetime of benefits.  Rather, </w:t>
      </w:r>
      <w:r w:rsidRPr="0096107B">
        <w:rPr>
          <w:rFonts w:ascii="Courier New" w:eastAsia="Times New Roman" w:hAnsi="Courier New" w:cs="Courier New"/>
          <w:sz w:val="24"/>
          <w:szCs w:val="24"/>
        </w:rPr>
        <w:lastRenderedPageBreak/>
        <w:t xml:space="preserve">we believe it is important to measure whether the ratio of debt to earnings indicates whether a student is able to manage debt both in the early years after completion, and in later years, since students must be able to sustain loan payments at all stages, regardless of the benefits that may accrue to them over their entire career.  </w:t>
      </w:r>
    </w:p>
    <w:p w14:paraId="70999069"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pCDR Measure</w:t>
      </w:r>
    </w:p>
    <w:p w14:paraId="4E460F91" w14:textId="310F589A"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As we discussed in the NPRM, the Department’s proposal to include pCDR as a measure of whether a program prepares students for gainful employment in a recognized occupation is</w:t>
      </w:r>
      <w:r w:rsidR="005C595C">
        <w:rPr>
          <w:rFonts w:ascii="Courier New" w:eastAsia="Times New Roman" w:hAnsi="Courier New" w:cs="Courier New"/>
          <w:sz w:val="24"/>
          <w:szCs w:val="24"/>
        </w:rPr>
        <w:t>, like</w:t>
      </w:r>
      <w:r w:rsidRPr="0096107B">
        <w:rPr>
          <w:rFonts w:ascii="Courier New" w:eastAsia="Times New Roman" w:hAnsi="Courier New" w:cs="Courier New"/>
          <w:sz w:val="24"/>
          <w:szCs w:val="24"/>
        </w:rPr>
        <w:t xml:space="preserve"> the </w:t>
      </w:r>
      <w:r w:rsidR="005C595C">
        <w:rPr>
          <w:rFonts w:ascii="Courier New" w:eastAsia="Times New Roman" w:hAnsi="Courier New" w:cs="Courier New"/>
          <w:sz w:val="24"/>
          <w:szCs w:val="24"/>
        </w:rPr>
        <w:t>D/E rates measure,</w:t>
      </w:r>
      <w:r w:rsidRPr="0096107B">
        <w:rPr>
          <w:rFonts w:ascii="Courier New" w:eastAsia="Times New Roman" w:hAnsi="Courier New" w:cs="Courier New"/>
          <w:sz w:val="24"/>
          <w:szCs w:val="24"/>
        </w:rPr>
        <w:t xml:space="preserve"> grounded both in statute and legislative history.  We included the pCDR measure as an accountability metric in the proposed regulations because it would measure actual repayment outcomes and because it would assess the outcomes of both students who completed a GE program and those who had not.  Both reasons are responsive to the concerns of Congress in making the student aid loan programs available to students in career training programs.  As previously discussed, the legislative history regarding GE programs shows that Congress considered these programs to warrant eligibility on the basis that they would produce skills and, therefore, earnings at a level that would allow students to manage their debt.  This concern extended not only to students who completed a program, but also to those who transferred or dropped out of a program.  </w:t>
      </w:r>
      <w:r w:rsidRPr="0096107B">
        <w:rPr>
          <w:rFonts w:ascii="Courier New" w:eastAsia="Times New Roman" w:hAnsi="Courier New" w:cs="Courier New"/>
          <w:sz w:val="24"/>
          <w:szCs w:val="24"/>
        </w:rPr>
        <w:lastRenderedPageBreak/>
        <w:t>Accordingly, to measure whether a program is leading to unmanageable debt for both students who complete a program and those who do not, we proposed adopting the identical eligibility threshold for pCDR that Congress established for iCDR.</w:t>
      </w:r>
    </w:p>
    <w:p w14:paraId="70D01E97" w14:textId="35EF70C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The Department strongly believes in the importance of holding GE programs accountable for the outcomes of students who do not complete a program and ensuring that institutions make strong efforts to increase completion rates.  As previously discussed, many commenters offered alternate metrics for the Department to consider adopting, including those that would measure the outcomes of students who do not complete</w:t>
      </w:r>
      <w:r w:rsidR="00ED2C6D">
        <w:rPr>
          <w:rFonts w:ascii="Courier New" w:eastAsia="Times New Roman" w:hAnsi="Courier New" w:cs="Courier New"/>
          <w:sz w:val="24"/>
          <w:szCs w:val="24"/>
        </w:rPr>
        <w:t xml:space="preserve"> their programs</w:t>
      </w:r>
      <w:r w:rsidRPr="0096107B">
        <w:rPr>
          <w:rFonts w:ascii="Courier New" w:eastAsia="Times New Roman" w:hAnsi="Courier New" w:cs="Courier New"/>
          <w:sz w:val="24"/>
          <w:szCs w:val="24"/>
        </w:rPr>
        <w:t>.  Given the wealth of feedback we received on this issue through the comments, we believe further study is necessary before we adopt pCDR or another accountability metric that would take into account the outcomes of students who do not complete</w:t>
      </w:r>
      <w:r w:rsidR="00ED2C6D">
        <w:rPr>
          <w:rFonts w:ascii="Courier New" w:eastAsia="Times New Roman" w:hAnsi="Courier New" w:cs="Courier New"/>
          <w:sz w:val="24"/>
          <w:szCs w:val="24"/>
        </w:rPr>
        <w:t xml:space="preserve"> a program</w:t>
      </w:r>
      <w:r w:rsidRPr="0096107B">
        <w:rPr>
          <w:rFonts w:ascii="Courier New" w:eastAsia="Times New Roman" w:hAnsi="Courier New" w:cs="Courier New"/>
          <w:sz w:val="24"/>
          <w:szCs w:val="24"/>
        </w:rPr>
        <w:t>.  We also believe further study is necessary before adopting other metrics based on CDR, including “borrowing indices” that take into account iCDR and the percentage of students who take out loans at the institution.  Using the information we will receive from institutions through reporting, we will continue to develop a robust measure of outcomes for students who do not complete</w:t>
      </w:r>
      <w:r w:rsidR="00ED2C6D">
        <w:rPr>
          <w:rFonts w:ascii="Courier New" w:eastAsia="Times New Roman" w:hAnsi="Courier New" w:cs="Courier New"/>
          <w:sz w:val="24"/>
          <w:szCs w:val="24"/>
        </w:rPr>
        <w:t xml:space="preserve"> a program</w:t>
      </w:r>
      <w:r w:rsidRPr="0096107B">
        <w:rPr>
          <w:rFonts w:ascii="Courier New" w:eastAsia="Times New Roman" w:hAnsi="Courier New" w:cs="Courier New"/>
          <w:sz w:val="24"/>
          <w:szCs w:val="24"/>
        </w:rPr>
        <w:t xml:space="preserve">, which may include some measure based on repayment behavior.  Because pCDR has been removed as an accountability metric, we do not specifically </w:t>
      </w:r>
      <w:r w:rsidRPr="0096107B">
        <w:rPr>
          <w:rFonts w:ascii="Courier New" w:eastAsia="Times New Roman" w:hAnsi="Courier New" w:cs="Courier New"/>
          <w:sz w:val="24"/>
          <w:szCs w:val="24"/>
        </w:rPr>
        <w:lastRenderedPageBreak/>
        <w:t xml:space="preserve">address the comments related to its operation for accountability purposes.  </w:t>
      </w:r>
    </w:p>
    <w:p w14:paraId="7B327CCA" w14:textId="4A92E269"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Despite our decision not to use pCDR as an accountability metric, we continue to believe in the importance of holding GE programs accountable for the outcomes of students who do not complete a program and ensuring that institutions make strong efforts to increase completion rates.  Default rates are important information for students to consider as they decide where to pursue, or continue</w:t>
      </w:r>
      <w:r w:rsidR="00ED2C6D">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their postsecondary education and whether or not to borrow to attend a particular program.  Accordingly, we are retaining pCDR as one of the disclosures that institutions may be required to make for GE programs under §668.412.  We believe that requiring this disclosure, along with other potential disclosures such as completion, withdrawal, and repayment rates, will bring accountability and transparency to GE programs with high rates of non-completion. </w:t>
      </w:r>
    </w:p>
    <w:p w14:paraId="5AEA4DFD"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Alternative Metrics</w:t>
      </w:r>
    </w:p>
    <w:p w14:paraId="69BEBF72" w14:textId="0004B65B"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We appreciate the suggestions to use retention rates, employment or job placement rates, and completion rates as alternative measures to the D/E rates measure.  While these are all valid and useful indicators for specific purposes, there is no evidence that any of these measures, by themselves, indicate</w:t>
      </w:r>
      <w:r w:rsidR="00ED2C6D">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whether a student will be likely to repay his or her debt.  For example, placing a student in a job related to the training </w:t>
      </w:r>
      <w:r w:rsidRPr="0096107B">
        <w:rPr>
          <w:rFonts w:ascii="Courier New" w:eastAsia="Times New Roman" w:hAnsi="Courier New" w:cs="Courier New"/>
          <w:sz w:val="24"/>
          <w:szCs w:val="24"/>
        </w:rPr>
        <w:lastRenderedPageBreak/>
        <w:t xml:space="preserve">provided by a program is a good outcome, but without considering any information related to the student’s debt or earnings, it is difficult to say whether the student will be able to make monthly loan payments.  We also disagree that the D/E rates measure is tenuously linked to the performance of programs because it does not take into account these alternative metrics.  We believe the measure appropriately holds programs accountable for whether students earn enough income to manage their debt after completion of the program. </w:t>
      </w:r>
    </w:p>
    <w:p w14:paraId="55C35EC4" w14:textId="73BC7E1F"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do not agree that, without a graduation rate metric, poorly performing programs will not be held accountable under the regulations due to having an insufficient number of students who complete the programs to be evaluated under the D/E rates measure.  First, in order to address this concern, we calculate the D/E rates measure over a four-year cohort period for small programs in order to </w:t>
      </w:r>
      <w:r w:rsidR="00566C77">
        <w:rPr>
          <w:rFonts w:ascii="Courier New" w:eastAsia="Times New Roman" w:hAnsi="Courier New" w:cs="Courier New"/>
          <w:sz w:val="24"/>
          <w:szCs w:val="24"/>
        </w:rPr>
        <w:t>make it more likely that</w:t>
      </w:r>
      <w:r w:rsidR="00566C77"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programs with low graduation rates are evaluated.  Second, although the regulations do not include pCDR as an accountability metric, </w:t>
      </w:r>
      <w:r w:rsidR="00566C77">
        <w:rPr>
          <w:rFonts w:ascii="Courier New" w:eastAsia="Times New Roman" w:hAnsi="Courier New" w:cs="Courier New"/>
          <w:sz w:val="24"/>
          <w:szCs w:val="24"/>
        </w:rPr>
        <w:t>they will</w:t>
      </w:r>
      <w:r w:rsidRPr="0096107B">
        <w:rPr>
          <w:rFonts w:ascii="Courier New" w:eastAsia="Times New Roman" w:hAnsi="Courier New" w:cs="Courier New"/>
          <w:sz w:val="24"/>
          <w:szCs w:val="24"/>
        </w:rPr>
        <w:t xml:space="preserve"> require programs to disclose completion rates and pCDR to students and we believe these disclosure items will help students and families make more informed enrollment decisions.  Third, as previously stated, the focus of the D/E rates measure is to hold programs accountable for whether students are able to manage their debt after completion, and we do not believe it is </w:t>
      </w:r>
      <w:r w:rsidRPr="0096107B">
        <w:rPr>
          <w:rFonts w:ascii="Courier New" w:eastAsia="Times New Roman" w:hAnsi="Courier New" w:cs="Courier New"/>
          <w:sz w:val="24"/>
          <w:szCs w:val="24"/>
        </w:rPr>
        <w:lastRenderedPageBreak/>
        <w:t>appropriate to base eligibility for title IV, HEA program funding on a metric, such as graduation rate, that does not indicate whether a student will be likely to repay his or her debt.</w:t>
      </w:r>
    </w:p>
    <w:p w14:paraId="431763B0" w14:textId="1A3A9894"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disagree with comments suggesting we tailor alternative metrics to measure student outcomes in specific occupational fields, such as cosmetology or medical professions.  It is neither feasible nor appropriate to apply different metrics to different kinds of programs.  By itself, the occupation an individual receives training for </w:t>
      </w:r>
      <w:r w:rsidR="00566C77">
        <w:rPr>
          <w:rFonts w:ascii="Courier New" w:eastAsia="Times New Roman" w:hAnsi="Courier New" w:cs="Courier New"/>
          <w:sz w:val="24"/>
          <w:szCs w:val="24"/>
        </w:rPr>
        <w:t>does not by itself determine</w:t>
      </w:r>
      <w:r w:rsidRPr="0096107B">
        <w:rPr>
          <w:rFonts w:ascii="Courier New" w:eastAsia="Times New Roman" w:hAnsi="Courier New" w:cs="Courier New"/>
          <w:sz w:val="24"/>
          <w:szCs w:val="24"/>
        </w:rPr>
        <w:t xml:space="preserve"> whether debt is manageable.  Rather, it is related to the debt that the individual accumulates and the earnings achieved as a result of the program’s preparation--exactly what the D/E rates measure assesses.  </w:t>
      </w:r>
    </w:p>
    <w:p w14:paraId="735832A6"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Similarly, we believe it is inappropriate to rely on licensure exam pass rates and residency placement rates to evaluate medical programs and other graduate programs.  There is no evidence that any of these measures, by themselves, would indicate whether a student will be likely to be able to repay his or her debt.  </w:t>
      </w:r>
    </w:p>
    <w:p w14:paraId="199BF0BC"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also disagree that programs should be evaluated according to each program’s curriculum and other aspects of the program controlled by the institution rather than under the D/E rates measure.  Although factors such as program curriculum and </w:t>
      </w:r>
      <w:r w:rsidRPr="0096107B">
        <w:rPr>
          <w:rFonts w:ascii="Courier New" w:eastAsia="Times New Roman" w:hAnsi="Courier New" w:cs="Courier New"/>
          <w:sz w:val="24"/>
          <w:szCs w:val="24"/>
        </w:rPr>
        <w:lastRenderedPageBreak/>
        <w:t>quality of instruction may contribute to the value of the training students receive, other factors such as earnings and student debt levels affect whether students are able to manage their debt payments after completion.  Accordingly, we believe it is more appropriate to evaluate programs based on the outcomes of their students after completion, rather than the curricular content or educational practices of the institutions operating the programs.</w:t>
      </w:r>
    </w:p>
    <w:p w14:paraId="0E6F1B77" w14:textId="256D18D9"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color w:val="000000"/>
          <w:sz w:val="24"/>
          <w:szCs w:val="24"/>
        </w:rPr>
        <w:tab/>
      </w:r>
      <w:r w:rsidRPr="0096107B">
        <w:rPr>
          <w:rFonts w:ascii="Courier New" w:eastAsia="Times New Roman" w:hAnsi="Courier New" w:cs="Courier New"/>
          <w:sz w:val="24"/>
          <w:szCs w:val="24"/>
        </w:rPr>
        <w:t xml:space="preserve">We continue to believe that a repayment rate metric is an informative measure of students’ ability to repay their loans and an informative measure of outcomes of both students who do and do not complete a program.  However, as discussed in the NPRM, we have been unable to determine an appropriate threshold for distinguishing whether a program meets the minimum standard for eligibility.  We have not identified any expert opinion, nor has any statistical analysis demonstrated, that a particular level of repayment should serve as an eligibility standard.  We appreciate suggestions for repayment rate thresholds of 70 percent and 45 percent.  Commenters indicated 70 percent may be appropriate because it seems to correspond to 100 percent minus 30 percent, the threshold for iCDR.  We do not believe this rationale is sufficient as repayment rate reflects the percentage of students reducing the principal on their loans, rather than the percentage of students avoiding default.  The </w:t>
      </w:r>
      <w:r w:rsidRPr="0096107B">
        <w:rPr>
          <w:rFonts w:ascii="Courier New" w:eastAsia="Times New Roman" w:hAnsi="Courier New" w:cs="Courier New"/>
          <w:sz w:val="24"/>
          <w:szCs w:val="24"/>
        </w:rPr>
        <w:lastRenderedPageBreak/>
        <w:t xml:space="preserve">commenter who recommended 45 percent relied on Census data for justification.  However, we have been unable to identify any specific support in the Census data for this proposition. </w:t>
      </w:r>
    </w:p>
    <w:p w14:paraId="577D5C6D"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The Department’s status as lender does not eliminate the need to support any standard adopted to define eligibility.  As a result, we decline to adopt a repayment-based eligibility metric at this time.    </w:t>
      </w:r>
    </w:p>
    <w:p w14:paraId="7F4FA446" w14:textId="655F049D"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Similarly, we lack expert opinion or statistical analysis that would support other metrics and thresholds based on borrower repayment.  For example, we are unable to identify expert opinion or statistical analysis that supports negative amortization as a metric, or the proposed 50 percent threshold, as an appropriate measure for whether students are able to manage their debt.  Some students who have chosen income-based or graduated repayment plans may be able to manage their debt payment, but are observed as being in negative amortization.  On the other hand, students who reduce the principal on their debt may be earning too little to manage their debt without experiencing financial hardship.       </w:t>
      </w:r>
    </w:p>
    <w:p w14:paraId="2D5E1A1A" w14:textId="277B081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Finally, with respect to suggestions that the 90/10 provisions should be modified, we note that such changes are beyond the Department’s regulatory authority because the 90/10 requirements are set in statute.  Moreover, even if the Department had authority to change the 90/10 provisions, we do </w:t>
      </w:r>
      <w:r w:rsidRPr="0096107B">
        <w:rPr>
          <w:rFonts w:ascii="Courier New" w:eastAsia="Times New Roman" w:hAnsi="Courier New" w:cs="Courier New"/>
          <w:sz w:val="24"/>
          <w:szCs w:val="24"/>
        </w:rPr>
        <w:lastRenderedPageBreak/>
        <w:t xml:space="preserve">not believe doing so would serve the purposes of these regulations.  First, the 90/10 provisions measure the revenues of institutions, not students’ ability to repay debt accumulated as a result of enrolling in a GE program.  Second, the provisions apply only to for-profit institutions and could not be equally applied to GE programs in other sectors.  </w:t>
      </w:r>
    </w:p>
    <w:p w14:paraId="0E1C16EA" w14:textId="35F210E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We have removed pCDR as an accountability metric.  Other changes affecting the use of pCDR as a disclosure item are discussed in “§668.413  Calculating, Issuing, and Challenging Completion Rates, Withdrawal Rates, Repayment Rates, Median Loan Debt, Median Earnings, and Program Cohort Default Rate.”</w:t>
      </w:r>
    </w:p>
    <w:p w14:paraId="66A7BCB6"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Because the final regulations include only the D/E rates measure as an accountability metric, we have removed the term and definition of “GE measures” from §668.402.</w:t>
      </w:r>
    </w:p>
    <w:p w14:paraId="4BFF8AAD"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Commenters posited that because the D/E rates measure does not measure actual benefits, it would have the effect of artificially reducing program prices and, as a result, lowering quality and academic standards.  </w:t>
      </w:r>
    </w:p>
    <w:p w14:paraId="2577F2A7"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The Department disagrees that the D/E rates measure will result in GE programs with lower educational quality or less rigorous academic standards than they would have in the absence of the regulations.  According to our data, the great majority of GE programs in all sectors will pass the D/E rates </w:t>
      </w:r>
      <w:r w:rsidRPr="0096107B">
        <w:rPr>
          <w:rFonts w:ascii="Courier New" w:eastAsia="Times New Roman" w:hAnsi="Courier New" w:cs="Courier New"/>
          <w:sz w:val="24"/>
          <w:szCs w:val="24"/>
        </w:rPr>
        <w:lastRenderedPageBreak/>
        <w:t xml:space="preserve">measure.  Hence, most programs will not have to lower their prices as a result of the D/E rates measure. </w:t>
      </w:r>
    </w:p>
    <w:p w14:paraId="05A4C86A" w14:textId="09499FA2"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Programs with high D/E rates will have several ways to </w:t>
      </w:r>
      <w:r w:rsidR="0094673D">
        <w:rPr>
          <w:rFonts w:ascii="Courier New" w:eastAsia="Times New Roman" w:hAnsi="Courier New" w:cs="Courier New"/>
          <w:sz w:val="24"/>
          <w:szCs w:val="24"/>
        </w:rPr>
        <w:t xml:space="preserve">ensure that the performance of their programs meet the standards of the regulations </w:t>
      </w:r>
      <w:r w:rsidRPr="0096107B">
        <w:rPr>
          <w:rFonts w:ascii="Courier New" w:eastAsia="Times New Roman" w:hAnsi="Courier New" w:cs="Courier New"/>
          <w:sz w:val="24"/>
          <w:szCs w:val="24"/>
        </w:rPr>
        <w:t xml:space="preserve">while maintaining or improving the quality of the training they provide, such as:  providing financial aid to students with the least ability to pay in order to reduce the number of students borrowing and the amount of debt that students must repay upon completion; improving the quality of the vocational training they offer so that students are able to earn more and service a larger amount of debt; and decreasing prices for students and offsetting any loss in revenues by reducing institutional or program expenditures in areas not affecting programs quality, such as administrative overhead, recruiting, and advertising.  </w:t>
      </w:r>
    </w:p>
    <w:p w14:paraId="1DA93286"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7F03F201" w14:textId="3B64CAB9"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Arial Unicode MS" w:hAnsi="Courier New" w:cs="Courier New"/>
          <w:sz w:val="24"/>
          <w:szCs w:val="24"/>
          <w:u w:val="single"/>
        </w:rPr>
        <w:t>Comments</w:t>
      </w:r>
      <w:r w:rsidRPr="0096107B">
        <w:rPr>
          <w:rFonts w:ascii="Courier New" w:eastAsia="Arial Unicode MS" w:hAnsi="Courier New" w:cs="Courier New"/>
          <w:sz w:val="24"/>
          <w:szCs w:val="24"/>
        </w:rPr>
        <w:t xml:space="preserve">:  One </w:t>
      </w:r>
      <w:r w:rsidRPr="0096107B">
        <w:rPr>
          <w:rFonts w:ascii="Courier New" w:eastAsia="Times New Roman" w:hAnsi="Courier New" w:cs="Courier New"/>
          <w:sz w:val="24"/>
          <w:szCs w:val="24"/>
        </w:rPr>
        <w:t xml:space="preserve">commenter asserted that short periods of attendance at GE programs may provide students with benefits not measured by the D/E rates or pCDR measures because underserved students can still acquire some skills even if they do not complete their program.  The commenter argued that the regulations should recognize the benefits associated with partial completion of a program as a positive outcome by relying on a metric that measures incremental increases in the net </w:t>
      </w:r>
      <w:r w:rsidRPr="0096107B">
        <w:rPr>
          <w:rFonts w:ascii="Courier New" w:eastAsia="Times New Roman" w:hAnsi="Courier New" w:cs="Courier New"/>
          <w:sz w:val="24"/>
          <w:szCs w:val="24"/>
        </w:rPr>
        <w:lastRenderedPageBreak/>
        <w:t>present value of earnings.  The commenter stated that the proposed regulations would not accomplish this because the D/E rates measure does not include the outcomes of students who do not complete a program and the pCDR measure punishes all “churn,” regardless of whether partial completion may have some positive benefits.</w:t>
      </w:r>
    </w:p>
    <w:p w14:paraId="5567FA76"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do not agree that the regulations should specifically recognize partial completion.  Although students, including those from underserved backgrounds, may gain some benefit from attending a GE program even if they do not complete, we do not believe that some other negative outcome, such as high debt burden in the case of the D/E rates measure, should be ignored.  Further, these students would presumably benefit even more by reaching completion.   </w:t>
      </w:r>
    </w:p>
    <w:p w14:paraId="11006280"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56CF95FA"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A few commenters said the D/E rates measure is flawed because it treats short-term certificate programs the same as graduate programs.  The commenters said certain programs, such as certificate programs, are designed to leave graduates with little debt, but more short-term earnings gains, while graduate programs may produce larger debt levels, but have larger increases in lifetime earnings.  Commenters suggested that the Department establish an alternative metric that takes into account the fact that students in professional graduate programs </w:t>
      </w:r>
      <w:r w:rsidRPr="0096107B">
        <w:rPr>
          <w:rFonts w:ascii="Courier New" w:eastAsia="Times New Roman" w:hAnsi="Courier New" w:cs="Courier New"/>
          <w:sz w:val="24"/>
          <w:szCs w:val="24"/>
        </w:rPr>
        <w:lastRenderedPageBreak/>
        <w:t xml:space="preserve">take out large amounts of debt but earn high enough lifetime earnings to service that debt.  </w:t>
      </w:r>
    </w:p>
    <w:p w14:paraId="74B96A9D" w14:textId="24C1E65D"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believe that the D/E rates measure is an appropriate metric to assess all GE programs, including graduate professional programs.  These regulations </w:t>
      </w:r>
      <w:r w:rsidR="00467E37">
        <w:rPr>
          <w:rFonts w:ascii="Courier New" w:eastAsia="Times New Roman" w:hAnsi="Courier New" w:cs="Courier New"/>
          <w:sz w:val="24"/>
          <w:szCs w:val="24"/>
        </w:rPr>
        <w:t xml:space="preserve">will help </w:t>
      </w:r>
      <w:r w:rsidRPr="0096107B">
        <w:rPr>
          <w:rFonts w:ascii="Courier New" w:eastAsia="Times New Roman" w:hAnsi="Courier New" w:cs="Courier New"/>
          <w:sz w:val="24"/>
          <w:szCs w:val="24"/>
        </w:rPr>
        <w:t xml:space="preserve">ensure that students who attend GE programs are able to manage their debt.  Although graduates of professional programs may experience increased earnings later, as discussed previously, earnings must be adequate to manage debt both in the early years after entering repayment and in later years, regardless of what an individual’s lifetime earnings may be.  </w:t>
      </w:r>
    </w:p>
    <w:p w14:paraId="083BFE3A" w14:textId="0612BCBB"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Further, as discussed later in this section, the discretionary income rate </w:t>
      </w:r>
      <w:r w:rsidR="00A72342">
        <w:rPr>
          <w:rFonts w:ascii="Courier New" w:eastAsia="Times New Roman" w:hAnsi="Courier New" w:cs="Courier New"/>
          <w:sz w:val="24"/>
          <w:szCs w:val="24"/>
        </w:rPr>
        <w:t xml:space="preserve">will help </w:t>
      </w:r>
      <w:r w:rsidRPr="0096107B">
        <w:rPr>
          <w:rFonts w:ascii="Courier New" w:eastAsia="Times New Roman" w:hAnsi="Courier New" w:cs="Courier New"/>
          <w:sz w:val="24"/>
          <w:szCs w:val="24"/>
        </w:rPr>
        <w:t>accurately assess programs that may result in higher debt that may take longer to repay but also provide relatively higher earnings.  Also, as discussed in “§668.404  Calculating D/E Rates,” the regulations apply a relatively longer 20-year amortization period to the D/E rates calculation for graduate programs, and assess earnings for medical and dental programs at a later time after completion to account for time in a required internship or residency.</w:t>
      </w:r>
    </w:p>
    <w:p w14:paraId="0094ADD9" w14:textId="77777777" w:rsidR="0096107B" w:rsidRPr="0096107B" w:rsidRDefault="0096107B" w:rsidP="0096107B">
      <w:pPr>
        <w:spacing w:after="0" w:line="480" w:lineRule="auto"/>
        <w:rPr>
          <w:rFonts w:ascii="Courier New" w:eastAsia="Times New Roman" w:hAnsi="Courier New" w:cs="Courier New"/>
          <w:sz w:val="24"/>
          <w:szCs w:val="24"/>
          <w:u w:val="single"/>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62DE08D7"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D/E Rates Thresholds</w:t>
      </w:r>
    </w:p>
    <w:p w14:paraId="391F24C4" w14:textId="00BD6775" w:rsidR="0059578A" w:rsidRDefault="0096107B" w:rsidP="0059578A">
      <w:pPr>
        <w:autoSpaceDE w:val="0"/>
        <w:autoSpaceDN w:val="0"/>
        <w:adjustRightInd w:val="0"/>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Some commenters suggested that the D/E rates thresholds should be those established in the 2011 Prior Rule--a </w:t>
      </w:r>
      <w:r w:rsidRPr="0096107B">
        <w:rPr>
          <w:rFonts w:ascii="Courier New" w:eastAsia="Times New Roman" w:hAnsi="Courier New" w:cs="Courier New"/>
          <w:sz w:val="24"/>
          <w:szCs w:val="24"/>
        </w:rPr>
        <w:lastRenderedPageBreak/>
        <w:t xml:space="preserve">discretionary income rate threshold of 30 percent and an annual earnings rate threshold of 12 percent.  </w:t>
      </w:r>
      <w:r w:rsidR="0059578A">
        <w:rPr>
          <w:rFonts w:ascii="Courier New" w:eastAsia="Times New Roman" w:hAnsi="Courier New" w:cs="Courier New"/>
          <w:sz w:val="24"/>
          <w:szCs w:val="24"/>
        </w:rPr>
        <w:t>C</w:t>
      </w:r>
      <w:r w:rsidR="0059578A" w:rsidRPr="0096107B">
        <w:rPr>
          <w:rFonts w:ascii="Courier New" w:eastAsia="Times New Roman" w:hAnsi="Courier New" w:cs="Courier New"/>
          <w:sz w:val="24"/>
          <w:szCs w:val="24"/>
        </w:rPr>
        <w:t xml:space="preserve">ommenters suggested that because the D/E rates thresholds in these regulations differ from those in the 2011 Prior Rule, the D/E rates thresholds are arbitrary. </w:t>
      </w:r>
    </w:p>
    <w:p w14:paraId="5EF242B8" w14:textId="6698DDEB" w:rsidR="0059578A" w:rsidRPr="0096107B" w:rsidRDefault="0059578A" w:rsidP="0059578A">
      <w:pPr>
        <w:autoSpaceDE w:val="0"/>
        <w:autoSpaceDN w:val="0"/>
        <w:adjustRightInd w:val="0"/>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t>Other commenters cited studies</w:t>
      </w:r>
      <w:r w:rsidR="00775CBB">
        <w:rPr>
          <w:rFonts w:ascii="Courier New" w:eastAsia="Times New Roman" w:hAnsi="Courier New" w:cs="Courier New"/>
          <w:sz w:val="24"/>
          <w:szCs w:val="24"/>
        </w:rPr>
        <w:t xml:space="preserve"> and data</w:t>
      </w:r>
      <w:r>
        <w:rPr>
          <w:rFonts w:ascii="Courier New" w:eastAsia="Times New Roman" w:hAnsi="Courier New" w:cs="Courier New"/>
          <w:sz w:val="24"/>
          <w:szCs w:val="24"/>
        </w:rPr>
        <w:t xml:space="preserve"> in support of alternative thresholds and </w:t>
      </w:r>
      <w:r w:rsidRPr="0096107B">
        <w:rPr>
          <w:rFonts w:ascii="Courier New" w:eastAsia="Times New Roman" w:hAnsi="Courier New" w:cs="Courier New"/>
          <w:sz w:val="24"/>
          <w:szCs w:val="24"/>
        </w:rPr>
        <w:t>stated that t</w:t>
      </w:r>
      <w:r>
        <w:rPr>
          <w:rFonts w:ascii="Courier New" w:eastAsia="Times New Roman" w:hAnsi="Courier New" w:cs="Courier New"/>
          <w:sz w:val="24"/>
          <w:szCs w:val="24"/>
        </w:rPr>
        <w:t xml:space="preserve">he Department’s choice of </w:t>
      </w:r>
      <w:r w:rsidRPr="0096107B">
        <w:rPr>
          <w:rFonts w:ascii="Courier New" w:eastAsia="Times New Roman" w:hAnsi="Courier New" w:cs="Courier New"/>
          <w:sz w:val="24"/>
          <w:szCs w:val="24"/>
        </w:rPr>
        <w:t>threshold</w:t>
      </w:r>
      <w:r>
        <w:rPr>
          <w:rFonts w:ascii="Courier New" w:eastAsia="Times New Roman" w:hAnsi="Courier New" w:cs="Courier New"/>
          <w:sz w:val="24"/>
          <w:szCs w:val="24"/>
        </w:rPr>
        <w:t>s more stringent than those they believed were supported by the studies</w:t>
      </w:r>
      <w:r w:rsidRPr="0096107B">
        <w:rPr>
          <w:rFonts w:ascii="Courier New" w:eastAsia="Times New Roman" w:hAnsi="Courier New" w:cs="Courier New"/>
          <w:sz w:val="24"/>
          <w:szCs w:val="24"/>
        </w:rPr>
        <w:t xml:space="preserve"> is arbitrary and capricious</w:t>
      </w:r>
      <w:r>
        <w:rPr>
          <w:rFonts w:ascii="Courier New" w:eastAsia="Times New Roman" w:hAnsi="Courier New" w:cs="Courier New"/>
          <w:sz w:val="24"/>
          <w:szCs w:val="24"/>
        </w:rPr>
        <w:t>, particularly</w:t>
      </w:r>
      <w:r w:rsidRPr="0096107B">
        <w:rPr>
          <w:rFonts w:ascii="Courier New" w:eastAsia="Times New Roman" w:hAnsi="Courier New" w:cs="Courier New"/>
          <w:sz w:val="24"/>
          <w:szCs w:val="24"/>
        </w:rPr>
        <w:t xml:space="preserve"> in their application to the for-profit industry.</w:t>
      </w:r>
    </w:p>
    <w:p w14:paraId="7B0603FC" w14:textId="70A79192" w:rsidR="0096107B" w:rsidRPr="0096107B" w:rsidRDefault="0096107B" w:rsidP="0059578A">
      <w:pPr>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Commenters argued the 12 percent threshold for the annual earnings rate is inappropriate because, based on an NCES study, a substantial percentage of first-time bachelor’s degree recipients have an annual income rate greater than 12 percent.</w:t>
      </w:r>
      <w:r w:rsidR="00554C87" w:rsidRPr="0096107B">
        <w:rPr>
          <w:rFonts w:ascii="Courier New" w:eastAsia="Times New Roman" w:hAnsi="Courier New" w:cs="Courier New"/>
          <w:sz w:val="24"/>
          <w:szCs w:val="24"/>
          <w:vertAlign w:val="superscript"/>
        </w:rPr>
        <w:footnoteReference w:id="89"/>
      </w:r>
      <w:r w:rsidRPr="0096107B">
        <w:rPr>
          <w:rFonts w:ascii="Courier New" w:eastAsia="Times New Roman" w:hAnsi="Courier New" w:cs="Courier New"/>
          <w:sz w:val="24"/>
          <w:szCs w:val="24"/>
        </w:rPr>
        <w:t xml:space="preserve">  The study analyzed earnings and debt levels collected by NCES in</w:t>
      </w:r>
      <w:r w:rsidR="006656B0">
        <w:rPr>
          <w:rFonts w:ascii="Courier New" w:eastAsia="Times New Roman" w:hAnsi="Courier New" w:cs="Courier New"/>
          <w:sz w:val="24"/>
          <w:szCs w:val="24"/>
        </w:rPr>
        <w:t xml:space="preserve"> its</w:t>
      </w:r>
      <w:r w:rsidRPr="0096107B">
        <w:rPr>
          <w:rFonts w:ascii="Courier New" w:eastAsia="Times New Roman" w:hAnsi="Courier New" w:cs="Courier New"/>
          <w:sz w:val="24"/>
          <w:szCs w:val="24"/>
        </w:rPr>
        <w:t xml:space="preserve"> 1993/94, 2000/01, and 2008/09 Baccalaureate and Beyond Longitudinal Studies Survey.  According to the study, in 2009, 31 percent of bachelor’s degree recipients who borrowed and entered repayment had an annual income rate greater than 12 percent one year after graduation.  Commenters noted 26 percent of recipients who borrowed at public institutions and 39 percent of recipients who borrowed at private, non-profit institutions </w:t>
      </w:r>
      <w:r w:rsidRPr="0096107B">
        <w:rPr>
          <w:rFonts w:ascii="Courier New" w:eastAsia="Times New Roman" w:hAnsi="Courier New" w:cs="Courier New"/>
          <w:sz w:val="24"/>
          <w:szCs w:val="24"/>
        </w:rPr>
        <w:lastRenderedPageBreak/>
        <w:t>exceeded the 12 percent threshold, suggesting the threshold for the annual earnings rate is too low.  Commenters also contended the annual earnings rate threshold is inappropriately low because the same study indicated the average monthly loan payment as a percentage of income among bachelor’s degree recipients who borrowed, were employed, and were repaying their loans one year after graduation was about 13 percent in 2009.</w:t>
      </w:r>
    </w:p>
    <w:p w14:paraId="472EAF85" w14:textId="71BCAB90" w:rsidR="0096107B" w:rsidRPr="0096107B" w:rsidRDefault="0096107B" w:rsidP="00CD0C5D">
      <w:pPr>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reached similar conclusions based on a study that used </w:t>
      </w:r>
      <w:r w:rsidRPr="0096107B">
        <w:rPr>
          <w:rFonts w:ascii="Courier New" w:eastAsia="Times New Roman" w:hAnsi="Courier New" w:cs="Courier New"/>
          <w:color w:val="000000"/>
          <w:sz w:val="24"/>
          <w:szCs w:val="24"/>
          <w:shd w:val="clear" w:color="auto" w:fill="FFFFFF"/>
        </w:rPr>
        <w:t>Beginning Postsecondary Students Longitudinal Study</w:t>
      </w:r>
      <w:r w:rsidRPr="0096107B">
        <w:rPr>
          <w:rFonts w:ascii="Courier New" w:eastAsia="Times New Roman" w:hAnsi="Courier New" w:cs="Courier New"/>
          <w:sz w:val="24"/>
          <w:szCs w:val="24"/>
          <w:vertAlign w:val="superscript"/>
        </w:rPr>
        <w:t xml:space="preserve"> </w:t>
      </w:r>
      <w:r w:rsidRPr="0096107B">
        <w:rPr>
          <w:rFonts w:ascii="Courier New" w:eastAsia="Times New Roman" w:hAnsi="Courier New" w:cs="Courier New"/>
          <w:sz w:val="24"/>
          <w:szCs w:val="24"/>
        </w:rPr>
        <w:t>(BPS) data to indicate annual earnings rates are, on average, about 10.5 percent among all bachelor’s degree recipients six years after enrollment.</w:t>
      </w:r>
      <w:r w:rsidRPr="0096107B">
        <w:rPr>
          <w:rFonts w:ascii="Courier New" w:eastAsia="Times New Roman" w:hAnsi="Courier New" w:cs="Courier New"/>
          <w:sz w:val="24"/>
          <w:szCs w:val="24"/>
          <w:vertAlign w:val="superscript"/>
        </w:rPr>
        <w:footnoteReference w:id="90"/>
      </w:r>
      <w:r w:rsidRPr="0096107B">
        <w:rPr>
          <w:rFonts w:ascii="Courier New" w:eastAsia="Times New Roman" w:hAnsi="Courier New" w:cs="Courier New"/>
          <w:sz w:val="24"/>
          <w:szCs w:val="24"/>
        </w:rPr>
        <w:t xml:space="preserve">    </w:t>
      </w:r>
    </w:p>
    <w:p w14:paraId="1DE0F0FB" w14:textId="6E0EB5D6" w:rsidR="0059578A"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According to some commenters, a 2010 study conducted by Mark Kantrowitz indicates that the majority of personal finance experts believe that an acceptable annual debt-to-earnings ratio falls between 10 percent and 15 percent.</w:t>
      </w:r>
      <w:r w:rsidRPr="0096107B">
        <w:rPr>
          <w:rFonts w:ascii="Courier New" w:eastAsia="Times New Roman" w:hAnsi="Courier New" w:cs="Courier New"/>
          <w:sz w:val="24"/>
          <w:szCs w:val="24"/>
          <w:vertAlign w:val="superscript"/>
        </w:rPr>
        <w:footnoteReference w:id="91"/>
      </w:r>
      <w:r w:rsidRPr="0096107B">
        <w:rPr>
          <w:rFonts w:ascii="Courier New" w:eastAsia="Times New Roman" w:hAnsi="Courier New" w:cs="Courier New"/>
          <w:sz w:val="24"/>
          <w:szCs w:val="24"/>
        </w:rPr>
        <w:t xml:space="preserve">  These commenters suggested that the Department’s reliance on research conducted by Sandy Baum and Saul Schwartz in 2006 in establishing the 8 percent annual earnings rate threshold is arbitrary.  The commenters stated that Baum and Schwartz acknowledge that the 8 percent threshold is based on mortgage underwriting practices, </w:t>
      </w:r>
      <w:r w:rsidRPr="0096107B">
        <w:rPr>
          <w:rFonts w:ascii="Courier New" w:eastAsia="Times New Roman" w:hAnsi="Courier New" w:cs="Courier New"/>
          <w:sz w:val="24"/>
          <w:szCs w:val="24"/>
        </w:rPr>
        <w:lastRenderedPageBreak/>
        <w:t>and they believe that there is not sufficient research to justify using an 8 percent annual earnings rate in the context of the regulations.  Specifically, the commenters stated that Baum and Schwartz criticized the 8 percent threshold as not necessarily applicable to higher education loans because the 8 percent threshold (1) reflects a lender’s standard of borrowing, (2) is unrelated to individual borrowers' credit scores or their economic situations, (3) reflects a standard for potential homeowners rather than for recent college graduates who generally have a greater ability and willingness to maintain higher debt loads, and (4) does not account for borrowers</w:t>
      </w:r>
      <w:r w:rsidR="00CE6088">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potential to earn a higher income in the future.  Commenters emphasized that Baum and Schwartz believe that using the difference between the front-end and back-end ratios historically used in the mortgage industry as a benchmark for manageable student loan borrowing has no particular merit or justification.  The commenters believed the Department should recognize that borrowing for education costs is different from borrowing for a home mortgage because education tends to cause earnings to increase.  As a result, the commenters believed the Department should increase the threshold.</w:t>
      </w:r>
    </w:p>
    <w:p w14:paraId="58E21F2A" w14:textId="2FD6D6C2" w:rsidR="0096107B" w:rsidRPr="0096107B" w:rsidRDefault="00FF0FD9"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Some commenters contended that the research by Baum and Schwartz also suggests that increased burden beyond the 8 percent annual earnings rate may be a conscious choice by those </w:t>
      </w:r>
      <w:r w:rsidRPr="0096107B">
        <w:rPr>
          <w:rFonts w:ascii="Courier New" w:eastAsia="Times New Roman" w:hAnsi="Courier New" w:cs="Courier New"/>
          <w:sz w:val="24"/>
          <w:szCs w:val="24"/>
        </w:rPr>
        <w:lastRenderedPageBreak/>
        <w:t>early in a career to take on increased burden and that the research justifies an annual earnings rate threshold of 12 to 18 percent, and a discretionary income rate threshold of 30 to 45 percent as “reasonable.”</w:t>
      </w:r>
      <w:r w:rsidRPr="0096107B">
        <w:rPr>
          <w:rFonts w:ascii="Courier New" w:eastAsia="Times New Roman" w:hAnsi="Courier New" w:cs="Courier New"/>
          <w:sz w:val="24"/>
          <w:szCs w:val="24"/>
          <w:vertAlign w:val="superscript"/>
        </w:rPr>
        <w:footnoteReference w:id="92"/>
      </w:r>
      <w:r w:rsidR="0096107B" w:rsidRPr="0096107B">
        <w:rPr>
          <w:rFonts w:ascii="Courier New" w:eastAsia="Times New Roman" w:hAnsi="Courier New" w:cs="Courier New"/>
          <w:sz w:val="24"/>
          <w:szCs w:val="24"/>
        </w:rPr>
        <w:t xml:space="preserve">One commenter said the Department could arrive at an annual earnings rate threshold higher than 8 percent using a methodology similar to the one cited by the Department in the NPRM.  Specifically, the commenter said a higher threshold is justified by regulations issued by the Consumer Financial Protection Bureau (CFPB) that became final on January 10, 2014, defining </w:t>
      </w:r>
      <w:r w:rsidR="00B0683C">
        <w:rPr>
          <w:rFonts w:ascii="Courier New" w:eastAsia="Times New Roman" w:hAnsi="Courier New" w:cs="Courier New"/>
          <w:sz w:val="24"/>
          <w:szCs w:val="24"/>
        </w:rPr>
        <w:t xml:space="preserve">the </w:t>
      </w:r>
      <w:r w:rsidR="00B0683C" w:rsidRPr="0096107B">
        <w:rPr>
          <w:rFonts w:ascii="Courier New" w:eastAsia="Times New Roman" w:hAnsi="Courier New" w:cs="Courier New"/>
          <w:sz w:val="24"/>
          <w:szCs w:val="24"/>
        </w:rPr>
        <w:t xml:space="preserve">total debt service-to-earnings ratio </w:t>
      </w:r>
      <w:r w:rsidR="00B0683C">
        <w:rPr>
          <w:rFonts w:ascii="Courier New" w:eastAsia="Times New Roman" w:hAnsi="Courier New" w:cs="Courier New"/>
          <w:sz w:val="24"/>
          <w:szCs w:val="24"/>
        </w:rPr>
        <w:t xml:space="preserve">at 43 percent for the purpose of </w:t>
      </w:r>
      <w:r w:rsidR="0096107B" w:rsidRPr="0096107B">
        <w:rPr>
          <w:rFonts w:ascii="Courier New" w:eastAsia="Times New Roman" w:hAnsi="Courier New" w:cs="Courier New"/>
          <w:sz w:val="24"/>
          <w:szCs w:val="24"/>
        </w:rPr>
        <w:t>a qualified mortgage.  Moreover, the commenter cited the 2008 consumer expenditures survey showing that, on average, associate degree recipients pay 27 percent of income and bachelor’s degree recipients pay 25 percent of income toward housing costs, including mortgage principal and interest.  Thus, the commenter said this would yield 16 percent and 18 percent of income available to pay for other debt, such as education-related loans.  The commenter also asserted a higher annual earnings rate threshold is warranted because some mortgage lenders use a 28 percent to 33 percent threshold for mortgage debt, which still leaves 10 percent to 15 percent of income available for other debt.</w:t>
      </w:r>
    </w:p>
    <w:p w14:paraId="75D279A1" w14:textId="602DB6BD" w:rsidR="0096107B" w:rsidRPr="0096107B" w:rsidRDefault="0096107B" w:rsidP="0096107B">
      <w:pPr>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Some commenters suggested that the Department should base the annual earnings rate threshold on a 2003 GAO study “Monitoring Aid Greater Than Federally Defined Need Could Help Address Student Loan Indebtedness” (GAO-03-508).</w:t>
      </w:r>
      <w:r w:rsidRPr="0096107B">
        <w:rPr>
          <w:rFonts w:ascii="Courier New" w:eastAsia="Times New Roman" w:hAnsi="Courier New" w:cs="Courier New"/>
          <w:sz w:val="24"/>
          <w:szCs w:val="24"/>
          <w:vertAlign w:val="superscript"/>
        </w:rPr>
        <w:footnoteReference w:id="93"/>
      </w:r>
      <w:r w:rsidRPr="0096107B">
        <w:rPr>
          <w:rFonts w:ascii="Courier New" w:eastAsia="Times New Roman" w:hAnsi="Courier New" w:cs="Courier New"/>
          <w:sz w:val="24"/>
          <w:szCs w:val="24"/>
        </w:rPr>
        <w:t xml:space="preserve">  </w:t>
      </w:r>
      <w:r w:rsidR="00757963">
        <w:rPr>
          <w:rFonts w:ascii="Courier New" w:eastAsia="Times New Roman" w:hAnsi="Courier New" w:cs="Courier New"/>
          <w:sz w:val="24"/>
          <w:szCs w:val="24"/>
        </w:rPr>
        <w:t>C</w:t>
      </w:r>
      <w:r w:rsidRPr="0096107B">
        <w:rPr>
          <w:rFonts w:ascii="Courier New" w:eastAsia="Times New Roman" w:hAnsi="Courier New" w:cs="Courier New"/>
          <w:sz w:val="24"/>
          <w:szCs w:val="24"/>
        </w:rPr>
        <w:t>ommenter</w:t>
      </w:r>
      <w:r w:rsidR="00757963">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said that the GAO study indicated that 10 percent of first-year income is the generally agreed-upon standard for student loan repayment and that the Department itself established a performance indicator of maintaining borrower indebtedness and average borrower payments for Federal student loans at less than 10 percent of borrower income in the first repayment year in the Department’s </w:t>
      </w:r>
      <w:r w:rsidRPr="0096107B">
        <w:rPr>
          <w:rFonts w:ascii="Courier New" w:eastAsia="Times New Roman" w:hAnsi="Courier New" w:cs="Courier New"/>
          <w:b/>
          <w:sz w:val="24"/>
          <w:szCs w:val="24"/>
        </w:rPr>
        <w:t>“</w:t>
      </w:r>
      <w:r w:rsidRPr="0096107B">
        <w:rPr>
          <w:rFonts w:ascii="Courier New" w:eastAsia="Times New Roman" w:hAnsi="Courier New" w:cs="Courier New"/>
          <w:sz w:val="24"/>
          <w:szCs w:val="24"/>
        </w:rPr>
        <w:t>FY 2002 Performance and Accountability Report.”</w:t>
      </w:r>
      <w:r w:rsidRPr="0096107B">
        <w:rPr>
          <w:rFonts w:ascii="Courier New" w:eastAsia="Times New Roman" w:hAnsi="Courier New" w:cs="Courier New"/>
          <w:sz w:val="24"/>
          <w:szCs w:val="24"/>
          <w:vertAlign w:val="superscript"/>
        </w:rPr>
        <w:footnoteReference w:id="94"/>
      </w:r>
      <w:r w:rsidRPr="0096107B">
        <w:rPr>
          <w:rFonts w:ascii="Courier New" w:eastAsia="Times New Roman" w:hAnsi="Courier New" w:cs="Courier New"/>
          <w:sz w:val="24"/>
          <w:szCs w:val="24"/>
        </w:rPr>
        <w:t xml:space="preserve"> </w:t>
      </w:r>
    </w:p>
    <w:p w14:paraId="3457965C" w14:textId="397CC4CB" w:rsidR="00D4784E" w:rsidRDefault="00DC175D" w:rsidP="00DC175D">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suggested that title IV, HEA program funds that students use to pay room and board costs should be factored into the D/E rates calculations because these funds are allowed to be used for those purposes and schools may be tempted to shift costs between tuition and room and board in order to create more favorable D/E rates.  The commenter proposed that if </w:t>
      </w:r>
      <w:r w:rsidRPr="0096107B">
        <w:rPr>
          <w:rFonts w:ascii="Courier New" w:eastAsia="Times New Roman" w:hAnsi="Courier New" w:cs="Courier New"/>
          <w:sz w:val="24"/>
          <w:szCs w:val="24"/>
        </w:rPr>
        <w:lastRenderedPageBreak/>
        <w:t>these costs are factored into the D/E rates calculations, the passing thresholds should be increased from 8 percent to 15 percent for the annual earnings rate and from 20 percent to 30 percent for the discretionary income rate</w:t>
      </w:r>
      <w:r>
        <w:rPr>
          <w:rFonts w:ascii="Courier New" w:eastAsia="Times New Roman" w:hAnsi="Courier New" w:cs="Courier New"/>
          <w:sz w:val="24"/>
          <w:szCs w:val="24"/>
        </w:rPr>
        <w:t>.</w:t>
      </w:r>
    </w:p>
    <w:p w14:paraId="516ECA75" w14:textId="784BB628" w:rsidR="00DC175D" w:rsidRPr="0096107B" w:rsidRDefault="00DC175D" w:rsidP="00DC175D">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criticized the D/E rates measure and the thresholds of 8 and 20 percent because they would be sensitive to changes in the interest rate.  The commenter explained that an increase in the interest rate would yield a lower maximum allowable total </w:t>
      </w:r>
      <w:r w:rsidR="00DA233D">
        <w:rPr>
          <w:rFonts w:ascii="Courier New" w:eastAsia="Times New Roman" w:hAnsi="Courier New" w:cs="Courier New"/>
          <w:sz w:val="24"/>
          <w:szCs w:val="24"/>
        </w:rPr>
        <w:t xml:space="preserve">annual debt service amount </w:t>
      </w:r>
      <w:r w:rsidRPr="0096107B">
        <w:rPr>
          <w:rFonts w:ascii="Courier New" w:eastAsia="Times New Roman" w:hAnsi="Courier New" w:cs="Courier New"/>
          <w:sz w:val="24"/>
          <w:szCs w:val="24"/>
        </w:rPr>
        <w:t xml:space="preserve">as a percentage of annual earnings, since the monthly payment will be higher.  For example, the commenter noted that an increase in the loan interest rate to 6.8 percent would increase the </w:t>
      </w:r>
      <w:r w:rsidR="00921C21">
        <w:rPr>
          <w:rFonts w:ascii="Courier New" w:eastAsia="Times New Roman" w:hAnsi="Courier New" w:cs="Courier New"/>
          <w:sz w:val="24"/>
          <w:szCs w:val="24"/>
        </w:rPr>
        <w:t xml:space="preserve">annual debt service amount, and therefore the </w:t>
      </w:r>
      <w:r w:rsidRPr="0096107B">
        <w:rPr>
          <w:rFonts w:ascii="Courier New" w:eastAsia="Times New Roman" w:hAnsi="Courier New" w:cs="Courier New"/>
          <w:sz w:val="24"/>
          <w:szCs w:val="24"/>
        </w:rPr>
        <w:t>debt-to-annual earnings ratio</w:t>
      </w:r>
      <w:r w:rsidR="00921C21">
        <w:rPr>
          <w:rFonts w:ascii="Courier New" w:eastAsia="Times New Roman" w:hAnsi="Courier New" w:cs="Courier New"/>
          <w:sz w:val="24"/>
          <w:szCs w:val="24"/>
        </w:rPr>
        <w:t xml:space="preserve"> of </w:t>
      </w:r>
      <w:r w:rsidR="00C940C9">
        <w:rPr>
          <w:rFonts w:ascii="Courier New" w:eastAsia="Times New Roman" w:hAnsi="Courier New" w:cs="Courier New"/>
          <w:sz w:val="24"/>
          <w:szCs w:val="24"/>
        </w:rPr>
        <w:t>a</w:t>
      </w:r>
      <w:r w:rsidR="00921C21">
        <w:rPr>
          <w:rFonts w:ascii="Courier New" w:eastAsia="Times New Roman" w:hAnsi="Courier New" w:cs="Courier New"/>
          <w:sz w:val="24"/>
          <w:szCs w:val="24"/>
        </w:rPr>
        <w:t xml:space="preserve"> program,</w:t>
      </w:r>
      <w:r w:rsidRPr="0096107B">
        <w:rPr>
          <w:rFonts w:ascii="Courier New" w:eastAsia="Times New Roman" w:hAnsi="Courier New" w:cs="Courier New"/>
          <w:sz w:val="24"/>
          <w:szCs w:val="24"/>
        </w:rPr>
        <w:t xml:space="preserve"> </w:t>
      </w:r>
      <w:r w:rsidR="00921C21">
        <w:rPr>
          <w:rFonts w:ascii="Courier New" w:eastAsia="Times New Roman" w:hAnsi="Courier New" w:cs="Courier New"/>
          <w:sz w:val="24"/>
          <w:szCs w:val="24"/>
        </w:rPr>
        <w:t>significantly,</w:t>
      </w:r>
      <w:r w:rsidRPr="0096107B">
        <w:rPr>
          <w:rFonts w:ascii="Courier New" w:eastAsia="Times New Roman" w:hAnsi="Courier New" w:cs="Courier New"/>
          <w:sz w:val="24"/>
          <w:szCs w:val="24"/>
        </w:rPr>
        <w:t xml:space="preserve"> making it more difficult for institutions to pass the D/E rates measure.  </w:t>
      </w:r>
    </w:p>
    <w:p w14:paraId="0EC052A4" w14:textId="4C4A1810" w:rsidR="00E5380C" w:rsidRPr="0096107B" w:rsidRDefault="0096107B" w:rsidP="00DF41C6">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Some commenters suggested that the 8 percent annual earnings rate and 20 percent discretionary income rate are too high to support sustainable debt levels.  </w:t>
      </w:r>
      <w:r w:rsidR="00FF0FD9">
        <w:rPr>
          <w:rFonts w:ascii="Courier New" w:eastAsia="Times New Roman" w:hAnsi="Courier New" w:cs="Courier New"/>
          <w:sz w:val="24"/>
          <w:szCs w:val="24"/>
        </w:rPr>
        <w:t>C</w:t>
      </w:r>
      <w:r w:rsidR="00E5380C" w:rsidRPr="0096107B">
        <w:rPr>
          <w:rFonts w:ascii="Courier New" w:eastAsia="Times New Roman" w:hAnsi="Courier New" w:cs="Courier New"/>
          <w:sz w:val="24"/>
          <w:szCs w:val="24"/>
        </w:rPr>
        <w:t>ommenters suggested</w:t>
      </w:r>
      <w:r w:rsidR="00FF0FD9">
        <w:rPr>
          <w:rFonts w:ascii="Courier New" w:eastAsia="Times New Roman" w:hAnsi="Courier New" w:cs="Courier New"/>
          <w:sz w:val="24"/>
          <w:szCs w:val="24"/>
        </w:rPr>
        <w:t xml:space="preserve"> that</w:t>
      </w:r>
      <w:r w:rsidR="00E5380C" w:rsidRPr="0096107B">
        <w:rPr>
          <w:rFonts w:ascii="Courier New" w:eastAsia="Times New Roman" w:hAnsi="Courier New" w:cs="Courier New"/>
          <w:sz w:val="24"/>
          <w:szCs w:val="24"/>
        </w:rPr>
        <w:t xml:space="preserve"> the </w:t>
      </w:r>
      <w:r w:rsidR="00FF0FD9">
        <w:rPr>
          <w:rFonts w:ascii="Courier New" w:eastAsia="Times New Roman" w:hAnsi="Courier New" w:cs="Courier New"/>
          <w:sz w:val="24"/>
          <w:szCs w:val="24"/>
        </w:rPr>
        <w:t>annual earnings rate</w:t>
      </w:r>
      <w:r w:rsidR="00E5380C" w:rsidRPr="0096107B">
        <w:rPr>
          <w:rFonts w:ascii="Courier New" w:eastAsia="Times New Roman" w:hAnsi="Courier New" w:cs="Courier New"/>
          <w:sz w:val="24"/>
          <w:szCs w:val="24"/>
        </w:rPr>
        <w:t xml:space="preserve"> threshold </w:t>
      </w:r>
      <w:r w:rsidR="00FF0FD9">
        <w:rPr>
          <w:rFonts w:ascii="Courier New" w:eastAsia="Times New Roman" w:hAnsi="Courier New" w:cs="Courier New"/>
          <w:sz w:val="24"/>
          <w:szCs w:val="24"/>
        </w:rPr>
        <w:t>is</w:t>
      </w:r>
      <w:r w:rsidR="00E5380C" w:rsidRPr="0096107B">
        <w:rPr>
          <w:rFonts w:ascii="Courier New" w:eastAsia="Times New Roman" w:hAnsi="Courier New" w:cs="Courier New"/>
          <w:sz w:val="24"/>
          <w:szCs w:val="24"/>
        </w:rPr>
        <w:t xml:space="preserve"> too high because</w:t>
      </w:r>
      <w:r w:rsidR="00FF0FD9">
        <w:rPr>
          <w:rFonts w:ascii="Courier New" w:eastAsia="Times New Roman" w:hAnsi="Courier New" w:cs="Courier New"/>
          <w:sz w:val="24"/>
          <w:szCs w:val="24"/>
        </w:rPr>
        <w:t>, as</w:t>
      </w:r>
      <w:r w:rsidR="00E5380C" w:rsidRPr="0096107B">
        <w:rPr>
          <w:rFonts w:ascii="Courier New" w:eastAsia="Times New Roman" w:hAnsi="Courier New" w:cs="Courier New"/>
          <w:sz w:val="24"/>
          <w:szCs w:val="24"/>
        </w:rPr>
        <w:t xml:space="preserve"> Baum and Schwartz explained</w:t>
      </w:r>
      <w:r w:rsidR="00FF0FD9">
        <w:rPr>
          <w:rFonts w:ascii="Courier New" w:eastAsia="Times New Roman" w:hAnsi="Courier New" w:cs="Courier New"/>
          <w:sz w:val="24"/>
          <w:szCs w:val="24"/>
        </w:rPr>
        <w:t>,</w:t>
      </w:r>
      <w:r w:rsidR="00E5380C" w:rsidRPr="0096107B">
        <w:rPr>
          <w:rFonts w:ascii="Courier New" w:eastAsia="Times New Roman" w:hAnsi="Courier New" w:cs="Courier New"/>
          <w:sz w:val="24"/>
          <w:szCs w:val="24"/>
        </w:rPr>
        <w:t xml:space="preserve"> a supportable annual earnings rate of 8 percent assumes that all non-housing debts do not exceed 8 percent of annual income.  Commenters suggested that all other debts, including, but not exclusively, student loan debts, should be included in that 8 percent threshold, and, thus, the </w:t>
      </w:r>
      <w:r w:rsidR="00E5380C" w:rsidRPr="0096107B">
        <w:rPr>
          <w:rFonts w:ascii="Courier New" w:eastAsia="Times New Roman" w:hAnsi="Courier New" w:cs="Courier New"/>
          <w:sz w:val="24"/>
          <w:szCs w:val="24"/>
        </w:rPr>
        <w:lastRenderedPageBreak/>
        <w:t xml:space="preserve">Department should provide a buffer to borrowers with other debts and investments to ensure sustainable debt levels.  </w:t>
      </w:r>
      <w:r w:rsidR="00D4784E" w:rsidRPr="0096107B">
        <w:rPr>
          <w:rFonts w:ascii="Courier New" w:eastAsia="Times New Roman" w:hAnsi="Courier New" w:cs="Courier New"/>
          <w:sz w:val="24"/>
          <w:szCs w:val="24"/>
        </w:rPr>
        <w:t>Other commenters suggested that the D/E rates thresholds are too high because they do not account for other educational costs (beyond tuition, fees, books, supplies, and equipment) which may limit students’ ability to repay debt.</w:t>
      </w:r>
    </w:p>
    <w:p w14:paraId="00F91B8A" w14:textId="16B01993" w:rsidR="0096107B" w:rsidRPr="0096107B" w:rsidRDefault="00D4784E"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In recommending</w:t>
      </w:r>
      <w:r w:rsidR="0096107B" w:rsidRPr="0096107B">
        <w:rPr>
          <w:rFonts w:ascii="Courier New" w:eastAsia="Times New Roman" w:hAnsi="Courier New" w:cs="Courier New"/>
          <w:sz w:val="24"/>
          <w:szCs w:val="24"/>
        </w:rPr>
        <w:t xml:space="preserve"> that the annual earnings rate threshold be strengthened</w:t>
      </w:r>
      <w:r>
        <w:rPr>
          <w:rFonts w:ascii="Courier New" w:eastAsia="Times New Roman" w:hAnsi="Courier New" w:cs="Courier New"/>
          <w:sz w:val="24"/>
          <w:szCs w:val="24"/>
        </w:rPr>
        <w:t>, some</w:t>
      </w:r>
      <w:r w:rsidR="0096107B" w:rsidRPr="0096107B">
        <w:rPr>
          <w:rFonts w:ascii="Courier New" w:eastAsia="Times New Roman" w:hAnsi="Courier New" w:cs="Courier New"/>
          <w:sz w:val="24"/>
          <w:szCs w:val="24"/>
        </w:rPr>
        <w:t xml:space="preserve"> commenters noted that allowing a passing threshold of up to 8 percent for student loan debt alone already fails to account for a student’s other debts, but allowing up to 12 percent before a program is failing the D/E rates measure is without a sound rationale and should be eliminated from the regulations after a phase-in period.  </w:t>
      </w:r>
    </w:p>
    <w:p w14:paraId="6FA23673" w14:textId="49F08F65"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Commenters also noted that a student’s debt is likely to be understated because the same interest rate that is used for calculating the annual debt service for Federal Direct Unsubsidized loans would also be used to calculate the debt service of private education loans, which are used more by students attending for-profit institutions</w:t>
      </w:r>
      <w:r w:rsidR="009D10D1">
        <w:rPr>
          <w:rFonts w:ascii="Courier New" w:eastAsia="Times New Roman" w:hAnsi="Courier New" w:cs="Courier New"/>
          <w:sz w:val="24"/>
          <w:szCs w:val="24"/>
        </w:rPr>
        <w:t>, and which typically have rates equal to, or higher, than the Direct Unsubsidized loan rate</w:t>
      </w:r>
      <w:r w:rsidRPr="0096107B">
        <w:rPr>
          <w:rFonts w:ascii="Courier New" w:eastAsia="Times New Roman" w:hAnsi="Courier New" w:cs="Courier New"/>
          <w:sz w:val="24"/>
          <w:szCs w:val="24"/>
        </w:rPr>
        <w:t>.  For these reasons, the commenters argued that the Department should avoid using any threshold higher than 8 percent of annual earnings.</w:t>
      </w:r>
    </w:p>
    <w:p w14:paraId="7DFBDCD6" w14:textId="0156955C" w:rsidR="00D4784E" w:rsidRPr="0096107B" w:rsidRDefault="00D4784E" w:rsidP="00D4784E">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With respect to the discretionary income rate threshold, commenters suggested that changes made by section 2213 of the </w:t>
      </w:r>
      <w:r w:rsidR="006716C1" w:rsidRPr="006716C1">
        <w:rPr>
          <w:rFonts w:ascii="Courier New" w:eastAsia="Times New Roman" w:hAnsi="Courier New" w:cs="Courier New"/>
          <w:sz w:val="24"/>
          <w:szCs w:val="24"/>
        </w:rPr>
        <w:t>Student Aid and Fiscal Responsibility Act</w:t>
      </w:r>
      <w:r w:rsidR="006716C1">
        <w:rPr>
          <w:rFonts w:ascii="Courier New" w:eastAsia="Times New Roman" w:hAnsi="Courier New" w:cs="Courier New"/>
          <w:sz w:val="24"/>
          <w:szCs w:val="24"/>
        </w:rPr>
        <w:t xml:space="preserve"> (SAFRA)</w:t>
      </w:r>
      <w:r w:rsidR="006716C1" w:rsidRPr="006716C1">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to lower the cap on allowable income-based repayments from 15 percent to 10 percent of discretionary income support a lower discretionary income rate threshold.</w:t>
      </w:r>
      <w:r w:rsidRPr="0096107B">
        <w:rPr>
          <w:rFonts w:ascii="Courier New" w:eastAsia="Times New Roman" w:hAnsi="Courier New" w:cs="Courier New"/>
          <w:sz w:val="24"/>
          <w:szCs w:val="24"/>
          <w:vertAlign w:val="superscript"/>
        </w:rPr>
        <w:footnoteReference w:id="95"/>
      </w:r>
      <w:r w:rsidRPr="0096107B">
        <w:rPr>
          <w:rFonts w:ascii="Courier New" w:eastAsia="Times New Roman" w:hAnsi="Courier New" w:cs="Courier New"/>
          <w:sz w:val="24"/>
          <w:szCs w:val="24"/>
        </w:rPr>
        <w:t xml:space="preserve">  Furthermore, commenters stated that the 20 percent discretionary income rate threshold recommended by Baum and Schwartz provides an absolute maximum discretionary income rate that anyone could reasonably pay and that should never be exceeded.  Accordingly, the commenters contended that the discretionary income rate thresholds for the D/E rates measure are far too high. </w:t>
      </w:r>
    </w:p>
    <w:p w14:paraId="1DE12A8D" w14:textId="4782081A"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do not agree with the commenters that argued for passing D/E rates thresholds of 12 percent of annual earnings and 30 percent of discretionary income, rather than 8 percent and 20 percent.  Instead, we establish 12 percent and 30 percent as the upper boundaries of the zone.  Although these thresholds differ from those established in the 2011 Prior Rule, they are supported by a reasoned basis as we outlined in the NPRM and in the following discussion. </w:t>
      </w:r>
    </w:p>
    <w:p w14:paraId="0B4EDEFA" w14:textId="1F609C11" w:rsidR="00962BA5" w:rsidRDefault="008072A5"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lastRenderedPageBreak/>
        <w:t>W</w:t>
      </w:r>
      <w:r w:rsidR="0096107B" w:rsidRPr="0096107B">
        <w:rPr>
          <w:rFonts w:ascii="Courier New" w:eastAsia="Times New Roman" w:hAnsi="Courier New" w:cs="Courier New"/>
          <w:sz w:val="24"/>
          <w:szCs w:val="24"/>
        </w:rPr>
        <w:t>e first clarify the difference between the term “debt” as used in the D/E rates measure and as used in the literature and opinions on which those commenters who consider the D/E rates thresholds too strict rely.  In connection with the 2011 Prior Rule and during the negotiated rulemaking process for these regulations, institutional representatives repeatedly stressed the inability of institutions to control the amount of debt that their students incurred.</w:t>
      </w:r>
      <w:r w:rsidR="0096107B" w:rsidRPr="0096107B">
        <w:rPr>
          <w:rFonts w:ascii="Courier New" w:eastAsia="Times New Roman" w:hAnsi="Courier New" w:cs="Courier New"/>
          <w:sz w:val="24"/>
          <w:szCs w:val="24"/>
          <w:vertAlign w:val="superscript"/>
        </w:rPr>
        <w:footnoteReference w:id="96"/>
      </w:r>
      <w:r w:rsidR="0096107B" w:rsidRPr="0096107B">
        <w:rPr>
          <w:rFonts w:ascii="Courier New" w:eastAsia="Times New Roman" w:hAnsi="Courier New" w:cs="Courier New"/>
          <w:sz w:val="24"/>
          <w:szCs w:val="24"/>
        </w:rPr>
        <w:t xml:space="preserve">  In response to that concern, in §668.404(b)(1) of the regulations, the Department limits the amount of debt that will be evaluated under the D/E rates measure to the amount of tuition and fees and books, supplies, and equipment, unless the actual loan amount is smaller--in  which case the Department evaluates the actual loan amount, including any portion taken out for living expenses.  Thus, the D/E rates measure will typically capture, as a commenter noted, not the actual </w:t>
      </w:r>
      <w:r w:rsidR="00277748">
        <w:rPr>
          <w:rFonts w:ascii="Courier New" w:eastAsia="Times New Roman" w:hAnsi="Courier New" w:cs="Courier New"/>
          <w:sz w:val="24"/>
          <w:szCs w:val="24"/>
        </w:rPr>
        <w:t xml:space="preserve">total student </w:t>
      </w:r>
      <w:r w:rsidR="0096107B" w:rsidRPr="0096107B">
        <w:rPr>
          <w:rFonts w:ascii="Courier New" w:eastAsia="Times New Roman" w:hAnsi="Courier New" w:cs="Courier New"/>
          <w:sz w:val="24"/>
          <w:szCs w:val="24"/>
        </w:rPr>
        <w:t>debt, but only a portion of that debt</w:t>
      </w:r>
      <w:r w:rsidR="00277748">
        <w:rPr>
          <w:rFonts w:ascii="Courier New" w:eastAsia="Times New Roman" w:hAnsi="Courier New" w:cs="Courier New"/>
          <w:sz w:val="24"/>
          <w:szCs w:val="24"/>
        </w:rPr>
        <w:t xml:space="preserve">—up to </w:t>
      </w:r>
      <w:r w:rsidR="0096107B" w:rsidRPr="0096107B">
        <w:rPr>
          <w:rFonts w:ascii="Courier New" w:eastAsia="Times New Roman" w:hAnsi="Courier New" w:cs="Courier New"/>
          <w:sz w:val="24"/>
          <w:szCs w:val="24"/>
        </w:rPr>
        <w:t xml:space="preserve">the amount </w:t>
      </w:r>
      <w:r w:rsidR="00277748">
        <w:rPr>
          <w:rFonts w:ascii="Courier New" w:eastAsia="Times New Roman" w:hAnsi="Courier New" w:cs="Courier New"/>
          <w:sz w:val="24"/>
          <w:szCs w:val="24"/>
        </w:rPr>
        <w:t>of</w:t>
      </w:r>
      <w:r w:rsidR="0096107B" w:rsidRPr="0096107B">
        <w:rPr>
          <w:rFonts w:ascii="Courier New" w:eastAsia="Times New Roman" w:hAnsi="Courier New" w:cs="Courier New"/>
          <w:sz w:val="24"/>
          <w:szCs w:val="24"/>
        </w:rPr>
        <w:t xml:space="preserve"> direct charges.  The commenters cite analysis and authority opining that the appropriate levels of student loan debt that borrowers can manage are in the range of </w:t>
      </w:r>
      <w:r w:rsidR="0096107B" w:rsidRPr="0096107B">
        <w:rPr>
          <w:rFonts w:ascii="Courier New" w:eastAsia="Times New Roman" w:hAnsi="Courier New" w:cs="Courier New"/>
          <w:sz w:val="24"/>
          <w:szCs w:val="24"/>
        </w:rPr>
        <w:lastRenderedPageBreak/>
        <w:t>10 percent to 15 percent of annual income.</w:t>
      </w:r>
      <w:r w:rsidR="0096107B" w:rsidRPr="0096107B">
        <w:rPr>
          <w:rFonts w:ascii="Courier New" w:eastAsia="Times New Roman" w:hAnsi="Courier New" w:cs="Courier New"/>
          <w:sz w:val="24"/>
          <w:szCs w:val="24"/>
          <w:vertAlign w:val="superscript"/>
        </w:rPr>
        <w:footnoteReference w:id="97"/>
      </w:r>
      <w:r w:rsidR="0096107B" w:rsidRPr="0096107B">
        <w:rPr>
          <w:rFonts w:ascii="Courier New" w:eastAsia="Times New Roman" w:hAnsi="Courier New" w:cs="Courier New"/>
          <w:sz w:val="24"/>
          <w:szCs w:val="24"/>
        </w:rPr>
        <w:t xml:space="preserve">  That position is not inconsistent with the standard we adopt here because those opinions address the actual student loan debt that borrowers must repay--what could be called the borrower’s real debt burden.  That approach is reasonable when addressing actual borrower debt burden, and it is the Department’s approach when calculating the debt burden for an individual student borrower in other regulations.  </w:t>
      </w:r>
      <w:r w:rsidR="0096107B" w:rsidRPr="0096107B">
        <w:rPr>
          <w:rFonts w:ascii="Courier New" w:eastAsia="Times New Roman" w:hAnsi="Courier New" w:cs="Courier New"/>
          <w:sz w:val="24"/>
          <w:szCs w:val="24"/>
          <w:u w:val="single"/>
        </w:rPr>
        <w:t>See</w:t>
      </w:r>
      <w:r w:rsidR="0096107B" w:rsidRPr="0096107B">
        <w:rPr>
          <w:rFonts w:ascii="Courier New" w:eastAsia="Times New Roman" w:hAnsi="Courier New" w:cs="Courier New"/>
          <w:sz w:val="24"/>
          <w:szCs w:val="24"/>
        </w:rPr>
        <w:t xml:space="preserve">, </w:t>
      </w:r>
      <w:r w:rsidR="0096107B" w:rsidRPr="0096107B">
        <w:rPr>
          <w:rFonts w:ascii="Courier New" w:eastAsia="Times New Roman" w:hAnsi="Courier New" w:cs="Courier New"/>
          <w:sz w:val="24"/>
          <w:szCs w:val="24"/>
          <w:u w:val="single"/>
        </w:rPr>
        <w:t>e.g.</w:t>
      </w:r>
      <w:r w:rsidR="0096107B" w:rsidRPr="0096107B">
        <w:rPr>
          <w:rFonts w:ascii="Courier New" w:eastAsia="Times New Roman" w:hAnsi="Courier New" w:cs="Courier New"/>
          <w:sz w:val="24"/>
          <w:szCs w:val="24"/>
        </w:rPr>
        <w:t xml:space="preserve">, </w:t>
      </w:r>
      <w:r w:rsidR="006716C1" w:rsidRPr="0096107B">
        <w:rPr>
          <w:rFonts w:ascii="Courier New" w:eastAsia="Times New Roman" w:hAnsi="Courier New" w:cs="Courier New"/>
          <w:sz w:val="24"/>
          <w:szCs w:val="24"/>
        </w:rPr>
        <w:t xml:space="preserve">section 2213 of the </w:t>
      </w:r>
      <w:r w:rsidR="006716C1" w:rsidRPr="006716C1">
        <w:rPr>
          <w:rFonts w:ascii="Courier New" w:eastAsia="Times New Roman" w:hAnsi="Courier New" w:cs="Courier New"/>
          <w:sz w:val="24"/>
          <w:szCs w:val="24"/>
        </w:rPr>
        <w:t>S</w:t>
      </w:r>
      <w:r w:rsidR="003C7879">
        <w:rPr>
          <w:rFonts w:ascii="Courier New" w:eastAsia="Times New Roman" w:hAnsi="Courier New" w:cs="Courier New"/>
          <w:sz w:val="24"/>
          <w:szCs w:val="24"/>
        </w:rPr>
        <w:t>AFRA</w:t>
      </w:r>
      <w:r w:rsidR="006716C1">
        <w:rPr>
          <w:rFonts w:ascii="Courier New" w:eastAsia="Times New Roman" w:hAnsi="Courier New" w:cs="Courier New"/>
          <w:sz w:val="24"/>
          <w:szCs w:val="24"/>
        </w:rPr>
        <w:t xml:space="preserve"> and</w:t>
      </w:r>
      <w:r w:rsidR="0096107B" w:rsidRPr="0096107B">
        <w:rPr>
          <w:rFonts w:ascii="Courier New" w:eastAsia="Times New Roman" w:hAnsi="Courier New" w:cs="Courier New"/>
          <w:sz w:val="24"/>
          <w:szCs w:val="24"/>
        </w:rPr>
        <w:t xml:space="preserve"> 34 CFR 685.209.  In contrast, the D/E rates measure assesses aggregate debt burden for a cohort of borrowers, and does so using a formula that holds the institution accountable only for the borrowing costs under its control--tuition, fees, books, equipment, and supplies.  Accordingly, we decline to raise the annual earnings rate threshold to 12 percent and discretionary income rate threshold to 30 percent to capture the total amount borrowed; and we also decline to lower the rates to below 8 percent and 20 percent, respectively, to account for the exclusion of other debt.  </w:t>
      </w:r>
    </w:p>
    <w:p w14:paraId="39481E6E" w14:textId="1610CA81" w:rsidR="006F3AC8" w:rsidRPr="0096107B" w:rsidRDefault="008072A5"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In reference to the comment suggesting</w:t>
      </w:r>
      <w:r w:rsidRPr="0096107B">
        <w:rPr>
          <w:rFonts w:ascii="Courier New" w:eastAsia="Times New Roman" w:hAnsi="Courier New" w:cs="Courier New"/>
          <w:sz w:val="24"/>
          <w:szCs w:val="24"/>
        </w:rPr>
        <w:t xml:space="preserve"> that title IV, HEA program funds that students use to pay room and board costs </w:t>
      </w:r>
      <w:r w:rsidRPr="0096107B">
        <w:rPr>
          <w:rFonts w:ascii="Courier New" w:eastAsia="Times New Roman" w:hAnsi="Courier New" w:cs="Courier New"/>
          <w:sz w:val="24"/>
          <w:szCs w:val="24"/>
        </w:rPr>
        <w:lastRenderedPageBreak/>
        <w:t>should be factored into the D/E rates calculations</w:t>
      </w:r>
      <w:r>
        <w:rPr>
          <w:rFonts w:ascii="Courier New" w:eastAsia="Times New Roman" w:hAnsi="Courier New" w:cs="Courier New"/>
          <w:sz w:val="24"/>
          <w:szCs w:val="24"/>
        </w:rPr>
        <w:t>,</w:t>
      </w:r>
      <w:r w:rsidR="00277748">
        <w:rPr>
          <w:rFonts w:ascii="Courier New" w:eastAsia="Times New Roman" w:hAnsi="Courier New" w:cs="Courier New"/>
          <w:sz w:val="24"/>
          <w:szCs w:val="24"/>
        </w:rPr>
        <w:t xml:space="preserve"> </w:t>
      </w:r>
      <w:r>
        <w:rPr>
          <w:rFonts w:ascii="Courier New" w:eastAsia="Times New Roman" w:hAnsi="Courier New" w:cs="Courier New"/>
          <w:sz w:val="24"/>
          <w:szCs w:val="24"/>
        </w:rPr>
        <w:t>w</w:t>
      </w:r>
      <w:r w:rsidR="0096107B" w:rsidRPr="0096107B">
        <w:rPr>
          <w:rFonts w:ascii="Courier New" w:eastAsia="Times New Roman" w:hAnsi="Courier New" w:cs="Courier New"/>
          <w:sz w:val="24"/>
          <w:szCs w:val="24"/>
        </w:rPr>
        <w:t>e</w:t>
      </w:r>
      <w:r>
        <w:rPr>
          <w:rFonts w:ascii="Courier New" w:eastAsia="Times New Roman" w:hAnsi="Courier New" w:cs="Courier New"/>
          <w:sz w:val="24"/>
          <w:szCs w:val="24"/>
        </w:rPr>
        <w:t xml:space="preserve"> </w:t>
      </w:r>
      <w:r w:rsidR="0096107B" w:rsidRPr="0096107B">
        <w:rPr>
          <w:rFonts w:ascii="Courier New" w:eastAsia="Times New Roman" w:hAnsi="Courier New" w:cs="Courier New"/>
          <w:sz w:val="24"/>
          <w:szCs w:val="24"/>
        </w:rPr>
        <w:t>continue to believe that, for the purpose of the D/E rates measure, loan debt should be capped at the amount charged for tuition and fees and books, supplies, and equipment, because those costs are within an institution’s control</w:t>
      </w:r>
      <w:r>
        <w:rPr>
          <w:rFonts w:ascii="Courier New" w:eastAsia="Times New Roman" w:hAnsi="Courier New" w:cs="Courier New"/>
          <w:sz w:val="24"/>
          <w:szCs w:val="24"/>
        </w:rPr>
        <w:t>.</w:t>
      </w:r>
      <w:r w:rsidR="00C63885">
        <w:rPr>
          <w:rFonts w:ascii="Courier New" w:eastAsia="Times New Roman" w:hAnsi="Courier New" w:cs="Courier New"/>
          <w:sz w:val="24"/>
          <w:szCs w:val="24"/>
        </w:rPr>
        <w:t xml:space="preserve"> </w:t>
      </w:r>
      <w:r w:rsidR="006F3AC8">
        <w:rPr>
          <w:rFonts w:ascii="Courier New" w:eastAsia="Times New Roman" w:hAnsi="Courier New" w:cs="Courier New"/>
          <w:sz w:val="24"/>
          <w:szCs w:val="24"/>
        </w:rPr>
        <w:t>We do not believe that it is reasonable to include room and board charges in the amount at which loan debt is capped.  Unlike tuition</w:t>
      </w:r>
      <w:r w:rsidR="0004716B">
        <w:rPr>
          <w:rFonts w:ascii="Courier New" w:eastAsia="Times New Roman" w:hAnsi="Courier New" w:cs="Courier New"/>
          <w:sz w:val="24"/>
          <w:szCs w:val="24"/>
        </w:rPr>
        <w:t xml:space="preserve"> and</w:t>
      </w:r>
      <w:r w:rsidR="006F3AC8">
        <w:rPr>
          <w:rFonts w:ascii="Courier New" w:eastAsia="Times New Roman" w:hAnsi="Courier New" w:cs="Courier New"/>
          <w:sz w:val="24"/>
          <w:szCs w:val="24"/>
        </w:rPr>
        <w:t xml:space="preserve"> fees, books</w:t>
      </w:r>
      <w:r w:rsidR="0004716B">
        <w:rPr>
          <w:rFonts w:ascii="Courier New" w:eastAsia="Times New Roman" w:hAnsi="Courier New" w:cs="Courier New"/>
          <w:sz w:val="24"/>
          <w:szCs w:val="24"/>
        </w:rPr>
        <w:t>, equipment,</w:t>
      </w:r>
      <w:r w:rsidR="006F3AC8">
        <w:rPr>
          <w:rFonts w:ascii="Courier New" w:eastAsia="Times New Roman" w:hAnsi="Courier New" w:cs="Courier New"/>
          <w:sz w:val="24"/>
          <w:szCs w:val="24"/>
        </w:rPr>
        <w:t xml:space="preserve"> and supplies, </w:t>
      </w:r>
      <w:r w:rsidR="00982ED7">
        <w:rPr>
          <w:rFonts w:ascii="Courier New" w:eastAsia="Times New Roman" w:hAnsi="Courier New" w:cs="Courier New"/>
          <w:sz w:val="24"/>
          <w:szCs w:val="24"/>
        </w:rPr>
        <w:t xml:space="preserve">costs </w:t>
      </w:r>
      <w:r w:rsidR="006F3AC8">
        <w:rPr>
          <w:rFonts w:ascii="Courier New" w:eastAsia="Times New Roman" w:hAnsi="Courier New" w:cs="Courier New"/>
          <w:sz w:val="24"/>
          <w:szCs w:val="24"/>
        </w:rPr>
        <w:t xml:space="preserve">which all students must </w:t>
      </w:r>
      <w:r w:rsidR="00982ED7">
        <w:rPr>
          <w:rFonts w:ascii="Courier New" w:eastAsia="Times New Roman" w:hAnsi="Courier New" w:cs="Courier New"/>
          <w:sz w:val="24"/>
          <w:szCs w:val="24"/>
        </w:rPr>
        <w:t>pay for</w:t>
      </w:r>
      <w:r w:rsidR="00537986">
        <w:rPr>
          <w:rFonts w:ascii="Courier New" w:eastAsia="Times New Roman" w:hAnsi="Courier New" w:cs="Courier New"/>
          <w:sz w:val="24"/>
          <w:szCs w:val="24"/>
        </w:rPr>
        <w:t xml:space="preserve">, room and board are within the choice of the student, and their inclusion runs counter to the general position that we hold schools accountable under these metrics for </w:t>
      </w:r>
      <w:r w:rsidR="00944822">
        <w:rPr>
          <w:rFonts w:ascii="Courier New" w:eastAsia="Times New Roman" w:hAnsi="Courier New" w:cs="Courier New"/>
          <w:sz w:val="24"/>
          <w:szCs w:val="24"/>
        </w:rPr>
        <w:t xml:space="preserve">those </w:t>
      </w:r>
      <w:r w:rsidR="00537986">
        <w:rPr>
          <w:rFonts w:ascii="Courier New" w:eastAsia="Times New Roman" w:hAnsi="Courier New" w:cs="Courier New"/>
          <w:sz w:val="24"/>
          <w:szCs w:val="24"/>
        </w:rPr>
        <w:t>costs that are under their control.</w:t>
      </w:r>
      <w:r w:rsidR="0061306E">
        <w:rPr>
          <w:rFonts w:ascii="Courier New" w:eastAsia="Times New Roman" w:hAnsi="Courier New" w:cs="Courier New"/>
          <w:sz w:val="24"/>
          <w:szCs w:val="24"/>
        </w:rPr>
        <w:t xml:space="preserve"> </w:t>
      </w:r>
      <w:r w:rsidR="006F3AC8">
        <w:rPr>
          <w:rFonts w:ascii="Courier New" w:eastAsia="Times New Roman" w:hAnsi="Courier New" w:cs="Courier New"/>
          <w:sz w:val="24"/>
          <w:szCs w:val="24"/>
        </w:rPr>
        <w:t xml:space="preserve"> </w:t>
      </w:r>
      <w:r w:rsidR="00601ED3">
        <w:rPr>
          <w:rFonts w:ascii="Courier New" w:eastAsia="Times New Roman" w:hAnsi="Courier New" w:cs="Courier New"/>
          <w:sz w:val="24"/>
          <w:szCs w:val="24"/>
        </w:rPr>
        <w:t xml:space="preserve">Costs of room and board – or allowance for room and board, for students not </w:t>
      </w:r>
      <w:r w:rsidR="00944822">
        <w:rPr>
          <w:rFonts w:ascii="Courier New" w:eastAsia="Times New Roman" w:hAnsi="Courier New" w:cs="Courier New"/>
          <w:sz w:val="24"/>
          <w:szCs w:val="24"/>
        </w:rPr>
        <w:t>in institutional housing – vary from institution to institution, depend on the housing choices actually available to, as well as the choices within those options of</w:t>
      </w:r>
      <w:r w:rsidR="0004716B">
        <w:rPr>
          <w:rFonts w:ascii="Courier New" w:eastAsia="Times New Roman" w:hAnsi="Courier New" w:cs="Courier New"/>
          <w:sz w:val="24"/>
          <w:szCs w:val="24"/>
        </w:rPr>
        <w:t>,</w:t>
      </w:r>
      <w:r w:rsidR="00944822">
        <w:rPr>
          <w:rFonts w:ascii="Courier New" w:eastAsia="Times New Roman" w:hAnsi="Courier New" w:cs="Courier New"/>
          <w:sz w:val="24"/>
          <w:szCs w:val="24"/>
        </w:rPr>
        <w:t xml:space="preserve"> individuals, and even the locale of the available housing choices. </w:t>
      </w:r>
      <w:r w:rsidR="0004716B">
        <w:rPr>
          <w:rFonts w:ascii="Courier New" w:eastAsia="Times New Roman" w:hAnsi="Courier New" w:cs="Courier New"/>
          <w:sz w:val="24"/>
          <w:szCs w:val="24"/>
        </w:rPr>
        <w:t xml:space="preserve"> </w:t>
      </w:r>
      <w:r w:rsidR="00601ED3">
        <w:rPr>
          <w:rFonts w:ascii="Courier New" w:eastAsia="Times New Roman" w:hAnsi="Courier New" w:cs="Courier New"/>
          <w:sz w:val="24"/>
          <w:szCs w:val="24"/>
        </w:rPr>
        <w:t xml:space="preserve">Including room and board </w:t>
      </w:r>
      <w:r w:rsidR="00944822">
        <w:rPr>
          <w:rFonts w:ascii="Courier New" w:eastAsia="Times New Roman" w:hAnsi="Courier New" w:cs="Courier New"/>
          <w:sz w:val="24"/>
          <w:szCs w:val="24"/>
        </w:rPr>
        <w:t>would not only appear impracticable but difficult to implement in a manner that treats similar or identical programs in an evenhanded manner for accountability purposes</w:t>
      </w:r>
      <w:r w:rsidR="00586DB0">
        <w:rPr>
          <w:rFonts w:ascii="Courier New" w:eastAsia="Times New Roman" w:hAnsi="Courier New" w:cs="Courier New"/>
          <w:sz w:val="24"/>
          <w:szCs w:val="24"/>
        </w:rPr>
        <w:t xml:space="preserve"> as well as disclosure purposes. </w:t>
      </w:r>
      <w:r w:rsidR="006F3AC8">
        <w:rPr>
          <w:rFonts w:ascii="Courier New" w:eastAsia="Times New Roman" w:hAnsi="Courier New" w:cs="Courier New"/>
          <w:sz w:val="24"/>
          <w:szCs w:val="24"/>
        </w:rPr>
        <w:t xml:space="preserve"> </w:t>
      </w:r>
    </w:p>
    <w:p w14:paraId="034E275C" w14:textId="2420712E"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also disagree with the commenters who believe the failing thresholds should be </w:t>
      </w:r>
      <w:r w:rsidR="00287526">
        <w:rPr>
          <w:rFonts w:ascii="Courier New" w:eastAsia="Times New Roman" w:hAnsi="Courier New" w:cs="Courier New"/>
          <w:sz w:val="24"/>
          <w:szCs w:val="24"/>
        </w:rPr>
        <w:t>lower</w:t>
      </w:r>
      <w:r w:rsidR="00287526"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because the debt payment calculations do not take into account debt other than student loan debt.  Because of the substantial negative consequences </w:t>
      </w:r>
      <w:r w:rsidRPr="0096107B">
        <w:rPr>
          <w:rFonts w:ascii="Courier New" w:eastAsia="Times New Roman" w:hAnsi="Courier New" w:cs="Courier New"/>
          <w:sz w:val="24"/>
          <w:szCs w:val="24"/>
        </w:rPr>
        <w:lastRenderedPageBreak/>
        <w:t xml:space="preserve">associated with a program’s loss of title IV, HEA program eligibility, we believe it is appropriate to maintain the failing thresholds at 12 percent and 30 percent.  Some programs may enroll students with very little debt other than the debt they accrue to attend their program.  Decreasing the failing thresholds on the basis that students, on average, accrue non-educational debt would risk setting an overly strict standard for some programs.  </w:t>
      </w:r>
    </w:p>
    <w:p w14:paraId="6848A25A" w14:textId="5AB3D970"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also clarify that, as discussed in “§668.404  Calculating D/E Rates,” we calculate interest rates for the annual debt payment using a sliding scale average based on the credential level of a program and, for most students, these interest rates are below the actual interest payments made by students.  Although we agree the interest rates used in the calculation of D/E rates, </w:t>
      </w:r>
      <w:r w:rsidR="000D3846" w:rsidRPr="0096107B">
        <w:rPr>
          <w:rFonts w:ascii="Courier New" w:eastAsia="Times New Roman" w:hAnsi="Courier New" w:cs="Courier New"/>
          <w:sz w:val="24"/>
          <w:szCs w:val="24"/>
        </w:rPr>
        <w:t>as discussed in “§668.404  Calculating D/E Rates,”</w:t>
      </w:r>
      <w:r w:rsidRPr="0096107B">
        <w:rPr>
          <w:rFonts w:ascii="Courier New" w:eastAsia="Times New Roman" w:hAnsi="Courier New" w:cs="Courier New"/>
          <w:sz w:val="24"/>
          <w:szCs w:val="24"/>
        </w:rPr>
        <w:t xml:space="preserve"> for most programs, result in debt calculations that are conservatively low estimates of the actual debt payments made by students, we disagree with the commenters arguing that we should set the failing thresholds for the D/E rates below 12 percent and 30 percent because of our interest rate assumptions.  Since the interest rates used in the calculation of the D/E rates measure are conservatively low estimates of the actual debt payment made by students, we also disagree with the </w:t>
      </w:r>
      <w:r w:rsidRPr="0096107B">
        <w:rPr>
          <w:rFonts w:ascii="Courier New" w:eastAsia="Times New Roman" w:hAnsi="Courier New" w:cs="Courier New"/>
          <w:sz w:val="24"/>
          <w:szCs w:val="24"/>
        </w:rPr>
        <w:lastRenderedPageBreak/>
        <w:t>commenters who believe the D/E rates thresholds are too low because they are sensitive to interest rates.</w:t>
      </w:r>
    </w:p>
    <w:p w14:paraId="45893DCD" w14:textId="6ED9D7C2"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As we stated in the NPRM, the passing thresholds for the discretionary income rate and the annual earnings rate are based upon mortgage industry practices and expert recommendations.  The passing threshold for the discretionary income rate is set at 20 percent, based on research conducted by economists Sandy Baum and Saul Schwartz, which the Department previously considered in connection with the 2011 Prior Rule.</w:t>
      </w:r>
      <w:r w:rsidRPr="0096107B">
        <w:rPr>
          <w:rFonts w:ascii="Courier New" w:eastAsia="Times New Roman" w:hAnsi="Courier New" w:cs="Courier New"/>
          <w:sz w:val="24"/>
          <w:szCs w:val="24"/>
          <w:vertAlign w:val="superscript"/>
        </w:rPr>
        <w:footnoteReference w:id="98"/>
      </w:r>
      <w:r w:rsidRPr="0096107B">
        <w:rPr>
          <w:rFonts w:ascii="Courier New" w:eastAsia="Times New Roman" w:hAnsi="Courier New" w:cs="Courier New"/>
          <w:sz w:val="24"/>
          <w:szCs w:val="24"/>
        </w:rPr>
        <w:t xml:space="preserve">  Specifically, Baum and Schwartz proposed a benchmark for a manageable debt level of not more than 20 percent of discretionary income.  That is, they proposed that borrowers have no repayment obligations that exceed 20 percent of their income, a level they found to be unreasonable under virtually all circumstances.</w:t>
      </w:r>
      <w:r w:rsidRPr="0096107B">
        <w:rPr>
          <w:rFonts w:ascii="Courier New" w:eastAsia="Times New Roman" w:hAnsi="Courier New" w:cs="Courier New"/>
          <w:sz w:val="24"/>
          <w:szCs w:val="24"/>
          <w:vertAlign w:val="superscript"/>
        </w:rPr>
        <w:footnoteReference w:id="99"/>
      </w:r>
      <w:r w:rsidRPr="0096107B">
        <w:rPr>
          <w:rFonts w:ascii="Courier New" w:eastAsia="Times New Roman" w:hAnsi="Courier New" w:cs="Courier New"/>
          <w:sz w:val="24"/>
          <w:szCs w:val="24"/>
        </w:rPr>
        <w:t xml:space="preserve">  The passing threshold of 8 percent for the annual earnings rate has been a fairly common mortgage-underwriting standard, as many lenders typically recommend that </w:t>
      </w:r>
      <w:r w:rsidRPr="0096107B">
        <w:rPr>
          <w:rFonts w:ascii="Courier New" w:eastAsia="Times New Roman" w:hAnsi="Courier New" w:cs="Courier New"/>
          <w:sz w:val="24"/>
          <w:szCs w:val="24"/>
        </w:rPr>
        <w:lastRenderedPageBreak/>
        <w:t>all non-mortgage loan installments not exceed 8 percent of the borrower’s pretax income.</w:t>
      </w:r>
      <w:r w:rsidRPr="0096107B">
        <w:rPr>
          <w:rFonts w:ascii="Courier New" w:eastAsia="Times New Roman" w:hAnsi="Courier New" w:cs="Courier New"/>
          <w:sz w:val="24"/>
          <w:szCs w:val="24"/>
          <w:vertAlign w:val="superscript"/>
        </w:rPr>
        <w:footnoteReference w:id="100"/>
      </w:r>
      <w:r w:rsidRPr="0096107B">
        <w:rPr>
          <w:rFonts w:ascii="Courier New" w:eastAsia="Times New Roman" w:hAnsi="Courier New" w:cs="Courier New"/>
          <w:sz w:val="24"/>
          <w:szCs w:val="24"/>
        </w:rPr>
        <w:t xml:space="preserve">  </w:t>
      </w:r>
    </w:p>
    <w:p w14:paraId="4D06F610" w14:textId="3CE21B0B" w:rsidR="00404EF8" w:rsidRDefault="0096107B" w:rsidP="00796D14">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Additionally, </w:t>
      </w:r>
      <w:r w:rsidRPr="0096107B">
        <w:rPr>
          <w:rFonts w:ascii="Courier New" w:eastAsia="Times New Roman" w:hAnsi="Courier New" w:cs="Courier New"/>
          <w:color w:val="000000"/>
          <w:sz w:val="24"/>
          <w:szCs w:val="24"/>
        </w:rPr>
        <w:t xml:space="preserve">the 8 percent cutoff has long been referred to as a limit for student debt burden.  </w:t>
      </w:r>
      <w:r w:rsidRPr="0096107B">
        <w:rPr>
          <w:rFonts w:ascii="Courier New" w:eastAsia="Times New Roman" w:hAnsi="Courier New" w:cs="Courier New"/>
          <w:sz w:val="24"/>
          <w:szCs w:val="24"/>
        </w:rPr>
        <w:t>Several studies of student debt have accepted the 8 percent standard.</w:t>
      </w:r>
      <w:r w:rsidRPr="0096107B">
        <w:rPr>
          <w:rFonts w:ascii="Courier New" w:eastAsia="Times New Roman" w:hAnsi="Courier New" w:cs="Courier New"/>
          <w:sz w:val="24"/>
          <w:szCs w:val="24"/>
          <w:vertAlign w:val="superscript"/>
        </w:rPr>
        <w:footnoteReference w:id="101"/>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02"/>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03"/>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04"/>
      </w:r>
      <w:r w:rsidRPr="0096107B">
        <w:rPr>
          <w:rFonts w:ascii="Courier New" w:eastAsia="Times New Roman" w:hAnsi="Courier New" w:cs="Courier New"/>
          <w:sz w:val="24"/>
          <w:szCs w:val="24"/>
        </w:rPr>
        <w:t xml:space="preserve">  Some State agencies have established guidelines based on this limit.  </w:t>
      </w:r>
      <w:r w:rsidRPr="0096107B">
        <w:rPr>
          <w:rFonts w:ascii="Courier New" w:eastAsia="Times New Roman" w:hAnsi="Courier New" w:cs="Courier New"/>
          <w:color w:val="000000"/>
          <w:sz w:val="24"/>
          <w:szCs w:val="24"/>
        </w:rPr>
        <w:t>In 1986, the National Association of Student Financial Aid Administrators identified 8 percent of gross income as a limit for excessive debt burden.</w:t>
      </w:r>
      <w:r w:rsidRPr="0096107B">
        <w:rPr>
          <w:rFonts w:ascii="Courier New" w:eastAsia="Times New Roman" w:hAnsi="Courier New" w:cs="Courier New"/>
          <w:color w:val="000000"/>
          <w:sz w:val="24"/>
          <w:szCs w:val="24"/>
          <w:vertAlign w:val="superscript"/>
        </w:rPr>
        <w:footnoteReference w:id="105"/>
      </w:r>
      <w:r w:rsidRPr="0096107B">
        <w:rPr>
          <w:rFonts w:ascii="Courier New" w:eastAsia="Times New Roman" w:hAnsi="Courier New" w:cs="Courier New"/>
          <w:color w:val="000000"/>
          <w:sz w:val="24"/>
          <w:szCs w:val="24"/>
        </w:rPr>
        <w:t xml:space="preserve"> </w:t>
      </w:r>
      <w:r w:rsidRPr="0096107B">
        <w:rPr>
          <w:rFonts w:ascii="Courier New" w:eastAsia="Times New Roman" w:hAnsi="Courier New" w:cs="Courier New"/>
          <w:sz w:val="24"/>
          <w:szCs w:val="24"/>
        </w:rPr>
        <w:t xml:space="preserve"> Finally, based on a study that compared borrowers’ perception of debt burden versus their actual debt-to-earnings ratios, Baum and </w:t>
      </w:r>
      <w:r w:rsidR="00877ACD">
        <w:rPr>
          <w:rFonts w:ascii="Courier New" w:eastAsia="Times New Roman" w:hAnsi="Courier New" w:cs="Courier New"/>
          <w:sz w:val="24"/>
          <w:szCs w:val="24"/>
        </w:rPr>
        <w:t>O’Malley</w:t>
      </w:r>
      <w:r w:rsidR="00877ACD"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determined that borrowers typically feel overburdened when that ratio is above 8 percent.</w:t>
      </w:r>
      <w:r w:rsidRPr="0096107B">
        <w:rPr>
          <w:rFonts w:ascii="Courier New" w:eastAsia="Times New Roman" w:hAnsi="Courier New" w:cs="Courier New"/>
          <w:sz w:val="24"/>
          <w:szCs w:val="24"/>
          <w:vertAlign w:val="superscript"/>
        </w:rPr>
        <w:footnoteReference w:id="106"/>
      </w:r>
    </w:p>
    <w:p w14:paraId="5326F6C7" w14:textId="0B30BEF1" w:rsidR="00404EF8" w:rsidRDefault="00404EF8"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We note that we disagree with the characterization of some commenters that the paper</w:t>
      </w:r>
      <w:r w:rsidR="00A763F0">
        <w:rPr>
          <w:rFonts w:ascii="Courier New" w:eastAsia="Times New Roman" w:hAnsi="Courier New" w:cs="Courier New"/>
          <w:sz w:val="24"/>
          <w:szCs w:val="24"/>
        </w:rPr>
        <w:t xml:space="preserve"> by Baum and Schwartz</w:t>
      </w:r>
      <w:r>
        <w:rPr>
          <w:rFonts w:ascii="Courier New" w:eastAsia="Times New Roman" w:hAnsi="Courier New" w:cs="Courier New"/>
          <w:sz w:val="24"/>
          <w:szCs w:val="24"/>
        </w:rPr>
        <w:t xml:space="preserve"> that we rely on for support of the 20 percent discretionary income rate </w:t>
      </w:r>
      <w:r>
        <w:rPr>
          <w:rFonts w:ascii="Courier New" w:eastAsia="Times New Roman" w:hAnsi="Courier New" w:cs="Courier New"/>
          <w:sz w:val="24"/>
          <w:szCs w:val="24"/>
        </w:rPr>
        <w:lastRenderedPageBreak/>
        <w:t>threshold rejects the 8 percent annual earnings rate threshold</w:t>
      </w:r>
      <w:r w:rsidR="00557569">
        <w:rPr>
          <w:rFonts w:ascii="Courier New" w:eastAsia="Times New Roman" w:hAnsi="Courier New" w:cs="Courier New"/>
          <w:sz w:val="24"/>
          <w:szCs w:val="24"/>
        </w:rPr>
        <w:t xml:space="preserve"> and that for this reason, a higher threshold for the annual earnings rate is more appropriate</w:t>
      </w:r>
      <w:r>
        <w:rPr>
          <w:rFonts w:ascii="Courier New" w:eastAsia="Times New Roman" w:hAnsi="Courier New" w:cs="Courier New"/>
          <w:sz w:val="24"/>
          <w:szCs w:val="24"/>
        </w:rPr>
        <w:t>.</w:t>
      </w:r>
      <w:r w:rsidR="00557569">
        <w:rPr>
          <w:rStyle w:val="FootnoteReference"/>
          <w:rFonts w:ascii="Courier New" w:eastAsia="Times New Roman" w:hAnsi="Courier New"/>
          <w:sz w:val="24"/>
          <w:szCs w:val="24"/>
        </w:rPr>
        <w:footnoteReference w:id="107"/>
      </w:r>
      <w:r w:rsidR="00557569">
        <w:rPr>
          <w:rFonts w:ascii="Courier New" w:eastAsia="Times New Roman" w:hAnsi="Courier New" w:cs="Courier New"/>
          <w:sz w:val="24"/>
          <w:szCs w:val="24"/>
        </w:rPr>
        <w:t xml:space="preserve">  In their review of relevant literature, Baum and Schwartz specifically acknowledge the widespread acceptance of the 8 percent standard and conclude that</w:t>
      </w:r>
      <w:r w:rsidR="00841AC6">
        <w:rPr>
          <w:rFonts w:ascii="Courier New" w:eastAsia="Times New Roman" w:hAnsi="Courier New" w:cs="Courier New"/>
          <w:sz w:val="24"/>
          <w:szCs w:val="24"/>
        </w:rPr>
        <w:t>, although it is not as precise as a standard based on a function of discretionary earnings,</w:t>
      </w:r>
      <w:r w:rsidR="00557569">
        <w:rPr>
          <w:rFonts w:ascii="Courier New" w:eastAsia="Times New Roman" w:hAnsi="Courier New" w:cs="Courier New"/>
          <w:sz w:val="24"/>
          <w:szCs w:val="24"/>
        </w:rPr>
        <w:t xml:space="preserve"> it is </w:t>
      </w:r>
      <w:r w:rsidR="000D14F1">
        <w:rPr>
          <w:rFonts w:ascii="Courier New" w:eastAsia="Times New Roman" w:hAnsi="Courier New" w:cs="Courier New"/>
          <w:sz w:val="24"/>
          <w:szCs w:val="24"/>
        </w:rPr>
        <w:t>“</w:t>
      </w:r>
      <w:r w:rsidR="00557569">
        <w:rPr>
          <w:rFonts w:ascii="Courier New" w:eastAsia="Times New Roman" w:hAnsi="Courier New" w:cs="Courier New"/>
          <w:sz w:val="24"/>
          <w:szCs w:val="24"/>
        </w:rPr>
        <w:t>not</w:t>
      </w:r>
      <w:r w:rsidR="00796D14">
        <w:rPr>
          <w:rFonts w:ascii="Courier New" w:eastAsia="Times New Roman" w:hAnsi="Courier New" w:cs="Courier New"/>
          <w:sz w:val="24"/>
          <w:szCs w:val="24"/>
        </w:rPr>
        <w:t xml:space="preserve"> . . .</w:t>
      </w:r>
      <w:r w:rsidR="000D14F1">
        <w:rPr>
          <w:rFonts w:ascii="Courier New" w:eastAsia="Times New Roman" w:hAnsi="Courier New" w:cs="Courier New"/>
          <w:sz w:val="24"/>
          <w:szCs w:val="24"/>
        </w:rPr>
        <w:t xml:space="preserve"> unreasonable.</w:t>
      </w:r>
      <w:r w:rsidR="00EA4D37">
        <w:rPr>
          <w:rFonts w:ascii="Courier New" w:eastAsia="Times New Roman" w:hAnsi="Courier New" w:cs="Courier New"/>
          <w:sz w:val="24"/>
          <w:szCs w:val="24"/>
        </w:rPr>
        <w:t>”</w:t>
      </w:r>
      <w:r w:rsidR="000D14F1">
        <w:rPr>
          <w:rStyle w:val="FootnoteReference"/>
          <w:rFonts w:ascii="Courier New" w:eastAsia="Times New Roman" w:hAnsi="Courier New"/>
          <w:sz w:val="24"/>
          <w:szCs w:val="24"/>
        </w:rPr>
        <w:footnoteReference w:id="108"/>
      </w:r>
      <w:r w:rsidR="000D14F1">
        <w:rPr>
          <w:rFonts w:ascii="Courier New" w:eastAsia="Times New Roman" w:hAnsi="Courier New" w:cs="Courier New"/>
          <w:sz w:val="24"/>
          <w:szCs w:val="24"/>
        </w:rPr>
        <w:t xml:space="preserve">  Further, </w:t>
      </w:r>
      <w:r w:rsidR="00861996">
        <w:rPr>
          <w:rFonts w:ascii="Courier New" w:eastAsia="Times New Roman" w:hAnsi="Courier New" w:cs="Courier New"/>
          <w:sz w:val="24"/>
          <w:szCs w:val="24"/>
        </w:rPr>
        <w:t xml:space="preserve">drawing from their analysis of manageable debt in relation to discretionary earnings, Baum and Schwartz </w:t>
      </w:r>
      <w:r w:rsidR="000D14F1">
        <w:rPr>
          <w:rFonts w:ascii="Courier New" w:eastAsia="Times New Roman" w:hAnsi="Courier New" w:cs="Courier New"/>
          <w:sz w:val="24"/>
          <w:szCs w:val="24"/>
        </w:rPr>
        <w:t xml:space="preserve">recommend a </w:t>
      </w:r>
      <w:r w:rsidR="00861996">
        <w:rPr>
          <w:rFonts w:ascii="Courier New" w:eastAsia="Times New Roman" w:hAnsi="Courier New" w:cs="Courier New"/>
          <w:sz w:val="24"/>
          <w:szCs w:val="24"/>
        </w:rPr>
        <w:t xml:space="preserve">sliding scale </w:t>
      </w:r>
      <w:r w:rsidR="00A763F0">
        <w:rPr>
          <w:rFonts w:ascii="Courier New" w:eastAsia="Times New Roman" w:hAnsi="Courier New" w:cs="Courier New"/>
          <w:sz w:val="24"/>
          <w:szCs w:val="24"/>
        </w:rPr>
        <w:t>limit</w:t>
      </w:r>
      <w:r w:rsidR="00EA4D37">
        <w:rPr>
          <w:rFonts w:ascii="Courier New" w:eastAsia="Times New Roman" w:hAnsi="Courier New" w:cs="Courier New"/>
          <w:sz w:val="24"/>
          <w:szCs w:val="24"/>
        </w:rPr>
        <w:t xml:space="preserve"> for debt-to-earnings</w:t>
      </w:r>
      <w:r w:rsidR="00A763F0">
        <w:rPr>
          <w:rFonts w:ascii="Courier New" w:eastAsia="Times New Roman" w:hAnsi="Courier New" w:cs="Courier New"/>
          <w:sz w:val="24"/>
          <w:szCs w:val="24"/>
        </w:rPr>
        <w:t>,</w:t>
      </w:r>
      <w:r w:rsidR="00861996">
        <w:rPr>
          <w:rFonts w:ascii="Courier New" w:eastAsia="Times New Roman" w:hAnsi="Courier New" w:cs="Courier New"/>
          <w:sz w:val="24"/>
          <w:szCs w:val="24"/>
        </w:rPr>
        <w:t xml:space="preserve"> based on the level </w:t>
      </w:r>
      <w:r w:rsidR="00A763F0">
        <w:rPr>
          <w:rFonts w:ascii="Courier New" w:eastAsia="Times New Roman" w:hAnsi="Courier New" w:cs="Courier New"/>
          <w:sz w:val="24"/>
          <w:szCs w:val="24"/>
        </w:rPr>
        <w:t xml:space="preserve">of </w:t>
      </w:r>
      <w:r w:rsidR="00F11C18">
        <w:rPr>
          <w:rFonts w:ascii="Courier New" w:eastAsia="Times New Roman" w:hAnsi="Courier New" w:cs="Courier New"/>
          <w:sz w:val="24"/>
          <w:szCs w:val="24"/>
        </w:rPr>
        <w:t xml:space="preserve">discretionary </w:t>
      </w:r>
      <w:r w:rsidR="00861996">
        <w:rPr>
          <w:rFonts w:ascii="Courier New" w:eastAsia="Times New Roman" w:hAnsi="Courier New" w:cs="Courier New"/>
          <w:sz w:val="24"/>
          <w:szCs w:val="24"/>
        </w:rPr>
        <w:t>earnings</w:t>
      </w:r>
      <w:r w:rsidR="00A763F0">
        <w:rPr>
          <w:rFonts w:ascii="Courier New" w:eastAsia="Times New Roman" w:hAnsi="Courier New" w:cs="Courier New"/>
          <w:sz w:val="24"/>
          <w:szCs w:val="24"/>
        </w:rPr>
        <w:t>,</w:t>
      </w:r>
      <w:r w:rsidR="00861996">
        <w:rPr>
          <w:rFonts w:ascii="Courier New" w:eastAsia="Times New Roman" w:hAnsi="Courier New" w:cs="Courier New"/>
          <w:sz w:val="24"/>
          <w:szCs w:val="24"/>
        </w:rPr>
        <w:t xml:space="preserve"> that results in a </w:t>
      </w:r>
      <w:r w:rsidR="00F11C18">
        <w:rPr>
          <w:rFonts w:ascii="Courier New" w:eastAsia="Times New Roman" w:hAnsi="Courier New" w:cs="Courier New"/>
          <w:sz w:val="24"/>
          <w:szCs w:val="24"/>
        </w:rPr>
        <w:t>“maximum Debt-Service Ratio</w:t>
      </w:r>
      <w:r w:rsidR="00F11C18" w:rsidRPr="001A0E7F">
        <w:rPr>
          <w:rFonts w:ascii="Courier New" w:eastAsia="Times New Roman" w:hAnsi="Courier New"/>
          <w:sz w:val="24"/>
        </w:rPr>
        <w:t xml:space="preserve">” </w:t>
      </w:r>
      <w:r w:rsidR="00A763F0" w:rsidRPr="001A0E7F">
        <w:rPr>
          <w:rFonts w:ascii="Courier New" w:eastAsia="Times New Roman" w:hAnsi="Courier New"/>
          <w:sz w:val="24"/>
        </w:rPr>
        <w:t xml:space="preserve">standard </w:t>
      </w:r>
      <w:r w:rsidR="001E2A3A" w:rsidRPr="001A0E7F">
        <w:rPr>
          <w:rFonts w:ascii="Courier New" w:eastAsia="Times New Roman" w:hAnsi="Courier New"/>
          <w:sz w:val="24"/>
        </w:rPr>
        <w:t xml:space="preserve">generally stricter </w:t>
      </w:r>
      <w:r w:rsidR="00861996" w:rsidRPr="001A0E7F">
        <w:rPr>
          <w:rFonts w:ascii="Courier New" w:eastAsia="Times New Roman" w:hAnsi="Courier New"/>
          <w:sz w:val="24"/>
        </w:rPr>
        <w:t>than 8 percent</w:t>
      </w:r>
      <w:r w:rsidR="001E2A3A" w:rsidRPr="001A0E7F">
        <w:rPr>
          <w:rFonts w:ascii="Courier New" w:eastAsia="Times New Roman" w:hAnsi="Courier New"/>
          <w:sz w:val="24"/>
        </w:rPr>
        <w:t>.</w:t>
      </w:r>
      <w:r w:rsidR="00A763F0" w:rsidRPr="001A0E7F">
        <w:rPr>
          <w:rStyle w:val="FootnoteReference"/>
          <w:rFonts w:ascii="Courier New" w:eastAsia="Times New Roman" w:hAnsi="Courier New"/>
          <w:sz w:val="24"/>
        </w:rPr>
        <w:footnoteReference w:id="109"/>
      </w:r>
      <w:r w:rsidR="00A763F0">
        <w:rPr>
          <w:rFonts w:ascii="Courier New" w:eastAsia="Times New Roman" w:hAnsi="Courier New" w:cs="Courier New"/>
          <w:sz w:val="24"/>
          <w:szCs w:val="24"/>
        </w:rPr>
        <w:t xml:space="preserve"> </w:t>
      </w:r>
      <w:r w:rsidR="00861996">
        <w:rPr>
          <w:rFonts w:ascii="Courier New" w:eastAsia="Times New Roman" w:hAnsi="Courier New" w:cs="Courier New"/>
          <w:sz w:val="24"/>
          <w:szCs w:val="24"/>
        </w:rPr>
        <w:t xml:space="preserve">  </w:t>
      </w:r>
      <w:r w:rsidR="0055756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p>
    <w:p w14:paraId="5CB97C62" w14:textId="5C90F199"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More recently, financial regulators released guidance that debt service payments from all non-mortgage debt should remain below 12 percent of pretax income.  In particular, current Federal Housing Administration (FHA) underwriting standards set total debt at an amount not exceeding 43 percent of annual income, a standard that</w:t>
      </w:r>
      <w:r w:rsidR="002B54CB">
        <w:rPr>
          <w:rFonts w:ascii="Courier New" w:eastAsia="Times New Roman" w:hAnsi="Courier New" w:cs="Courier New"/>
          <w:sz w:val="24"/>
          <w:szCs w:val="24"/>
        </w:rPr>
        <w:t>, as noted by a commenter,</w:t>
      </w:r>
      <w:r w:rsidRPr="0096107B">
        <w:rPr>
          <w:rFonts w:ascii="Courier New" w:eastAsia="Times New Roman" w:hAnsi="Courier New" w:cs="Courier New"/>
          <w:sz w:val="24"/>
          <w:szCs w:val="24"/>
        </w:rPr>
        <w:t xml:space="preserve"> was adopted by the CFPB in recently published regulations, with housing debt comprising no more than 31 percent of that total income, leaving </w:t>
      </w:r>
      <w:r w:rsidRPr="0096107B">
        <w:rPr>
          <w:rFonts w:ascii="Courier New" w:eastAsia="Times New Roman" w:hAnsi="Courier New" w:cs="Courier New"/>
          <w:sz w:val="24"/>
          <w:szCs w:val="24"/>
        </w:rPr>
        <w:lastRenderedPageBreak/>
        <w:t>12 percent for all other debt, including student loan debt, car loans, and all other consumer debt.</w:t>
      </w:r>
      <w:r w:rsidRPr="0096107B">
        <w:rPr>
          <w:rFonts w:ascii="Courier New" w:eastAsia="Times New Roman" w:hAnsi="Courier New" w:cs="Courier New"/>
          <w:sz w:val="24"/>
          <w:szCs w:val="24"/>
          <w:vertAlign w:val="superscript"/>
        </w:rPr>
        <w:footnoteReference w:id="110"/>
      </w:r>
      <w:r w:rsidRPr="0096107B">
        <w:rPr>
          <w:rFonts w:ascii="Courier New" w:eastAsia="Times New Roman" w:hAnsi="Courier New" w:cs="Courier New"/>
          <w:sz w:val="24"/>
          <w:szCs w:val="24"/>
        </w:rPr>
        <w:t xml:space="preserve">  That 12 percent is consumed by credit card debt (2.25 percent) and by other consumer debt (9.75 percent), which includes student loan debt.</w:t>
      </w:r>
      <w:r w:rsidR="000360ED" w:rsidRPr="000360ED">
        <w:rPr>
          <w:rFonts w:ascii="Courier New" w:eastAsia="Times New Roman" w:hAnsi="Courier New" w:cs="Courier New"/>
          <w:sz w:val="24"/>
          <w:szCs w:val="24"/>
          <w:vertAlign w:val="superscript"/>
        </w:rPr>
        <w:t xml:space="preserve"> </w:t>
      </w:r>
      <w:r w:rsidR="000360ED" w:rsidRPr="0096107B">
        <w:rPr>
          <w:rFonts w:ascii="Courier New" w:eastAsia="Times New Roman" w:hAnsi="Courier New" w:cs="Courier New"/>
          <w:sz w:val="24"/>
          <w:szCs w:val="24"/>
          <w:vertAlign w:val="superscript"/>
        </w:rPr>
        <w:footnoteReference w:id="111"/>
      </w:r>
      <w:r w:rsidRPr="0096107B">
        <w:rPr>
          <w:rFonts w:ascii="Courier New" w:eastAsia="Times New Roman" w:hAnsi="Courier New" w:cs="Courier New"/>
          <w:sz w:val="24"/>
          <w:szCs w:val="24"/>
        </w:rPr>
        <w:t xml:space="preserve">  </w:t>
      </w:r>
      <w:r w:rsidRPr="00AF3B21">
        <w:rPr>
          <w:rFonts w:ascii="Courier New" w:eastAsia="Times New Roman" w:hAnsi="Courier New"/>
          <w:sz w:val="24"/>
        </w:rPr>
        <w:t xml:space="preserve">The 2010 Federal Reserve Board Survey of Consumer Finances found that student debt comprises </w:t>
      </w:r>
      <w:r w:rsidR="002F687F">
        <w:rPr>
          <w:rFonts w:ascii="Courier New" w:eastAsia="Times New Roman" w:hAnsi="Courier New"/>
          <w:sz w:val="24"/>
        </w:rPr>
        <w:t>“</w:t>
      </w:r>
      <w:r w:rsidR="002F687F" w:rsidRPr="002F687F">
        <w:rPr>
          <w:rFonts w:ascii="Courier New" w:hAnsi="Courier New" w:cs="Courier New"/>
          <w:color w:val="000000"/>
          <w:sz w:val="24"/>
          <w:szCs w:val="24"/>
          <w:shd w:val="clear" w:color="auto" w:fill="FFFFFF"/>
        </w:rPr>
        <w:t>among families headed by someone less than age 35, 65.6 percent of their installment deb</w:t>
      </w:r>
      <w:r w:rsidR="009C7527">
        <w:rPr>
          <w:rFonts w:ascii="Courier New" w:hAnsi="Courier New" w:cs="Courier New"/>
          <w:color w:val="000000"/>
          <w:sz w:val="24"/>
          <w:szCs w:val="24"/>
          <w:shd w:val="clear" w:color="auto" w:fill="FFFFFF"/>
        </w:rPr>
        <w:t>t was education related in 2010.”</w:t>
      </w:r>
      <w:r w:rsidRPr="00AF3B21">
        <w:rPr>
          <w:rFonts w:ascii="Courier New" w:eastAsia="Times New Roman" w:hAnsi="Courier New"/>
          <w:sz w:val="24"/>
          <w:vertAlign w:val="superscript"/>
        </w:rPr>
        <w:footnoteReference w:id="112"/>
      </w:r>
      <w:r w:rsidRPr="0096107B">
        <w:rPr>
          <w:rFonts w:ascii="Courier New" w:eastAsia="Times New Roman" w:hAnsi="Courier New" w:cs="Courier New"/>
          <w:sz w:val="24"/>
          <w:szCs w:val="24"/>
        </w:rPr>
        <w:t xml:space="preserve">  Eight percent is an appropriate minimum standard because it falls reasonably within the 12 percent of gross income allocable to non-housing debt under current lending standards as well as the 9.75 percent of gross income attributable to non-credit card debt.</w:t>
      </w:r>
      <w:r w:rsidRPr="0096107B">
        <w:rPr>
          <w:rFonts w:ascii="Courier New" w:eastAsia="Times New Roman" w:hAnsi="Courier New" w:cs="Courier New"/>
          <w:sz w:val="24"/>
          <w:szCs w:val="24"/>
          <w:vertAlign w:val="superscript"/>
        </w:rPr>
        <w:footnoteReference w:id="113"/>
      </w:r>
      <w:r w:rsidRPr="0096107B">
        <w:rPr>
          <w:rFonts w:ascii="Courier New" w:eastAsia="Times New Roman" w:hAnsi="Courier New" w:cs="Courier New"/>
          <w:sz w:val="24"/>
          <w:szCs w:val="24"/>
        </w:rPr>
        <w:t xml:space="preserve">  Thus, we </w:t>
      </w:r>
      <w:r w:rsidRPr="0096107B">
        <w:rPr>
          <w:rFonts w:ascii="Courier New" w:eastAsia="Times New Roman" w:hAnsi="Courier New" w:cs="Courier New"/>
          <w:sz w:val="24"/>
          <w:szCs w:val="24"/>
        </w:rPr>
        <w:lastRenderedPageBreak/>
        <w:t xml:space="preserve">disagree with commenters that state current FHA underwriting standards provide strong support for a threshold greater than 8 percent for the annual earnings rate. </w:t>
      </w:r>
    </w:p>
    <w:p w14:paraId="52E5A699" w14:textId="104A4602"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In the 2011 Prior Rule, the passing thresholds for the debt-to-earnings ratios were based on the same expert recommendations and industry practice, but were increased by 50 percent to 30 percent for the discretionary income rate and 12 percent for the annual earnings rate to “provide a tolerance over the baseline amounts to identify the lowest-performing programs, as well as to account for former students . . . who may have left the workforce voluntarily or are working part-time.”  76 FR 34400.  As we explained in the NPRM, we continue to believe that the stated objectives of the 2011 Prior Rule--to identify poor performing programs, to build a “tolerance” into the thresholds, and to ensure programs are accurately evaluated as to whether they produce graduates with acceptable levels of debt--are better achieved by setting 30 percent for the discretionary income rate and 12 percent for the annual earnings rate as the upper boundaries for a zone, or as failing thresholds, rather than as the passing thresholds.  </w:t>
      </w:r>
      <w:r w:rsidRPr="0096107B">
        <w:rPr>
          <w:rFonts w:ascii="Courier New" w:eastAsia="Times New Roman" w:hAnsi="Courier New" w:cs="Courier New"/>
          <w:sz w:val="24"/>
          <w:szCs w:val="24"/>
        </w:rPr>
        <w:br/>
        <w:t xml:space="preserve">     We base this change on our evaluation of data obtained </w:t>
      </w:r>
      <w:r w:rsidRPr="0096107B">
        <w:rPr>
          <w:rFonts w:ascii="Courier New" w:eastAsia="Times New Roman" w:hAnsi="Courier New" w:cs="Courier New"/>
          <w:sz w:val="24"/>
          <w:szCs w:val="24"/>
        </w:rPr>
        <w:lastRenderedPageBreak/>
        <w:t>after the 2011 Prior Rule.  We conclude that even though</w:t>
      </w:r>
      <w:r w:rsidRPr="0096107B" w:rsidDel="00A57A12">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programs with D/E rates exceeding the 20 percent and 8 percent thresholds </w:t>
      </w:r>
      <w:r w:rsidR="002B54CB">
        <w:rPr>
          <w:rFonts w:ascii="Courier New" w:eastAsia="Times New Roman" w:hAnsi="Courier New" w:cs="Courier New"/>
          <w:sz w:val="24"/>
          <w:szCs w:val="24"/>
        </w:rPr>
        <w:t xml:space="preserve">may not </w:t>
      </w:r>
      <w:r w:rsidR="00A57A12">
        <w:rPr>
          <w:rFonts w:ascii="Courier New" w:eastAsia="Times New Roman" w:hAnsi="Courier New" w:cs="Courier New"/>
          <w:sz w:val="24"/>
          <w:szCs w:val="24"/>
        </w:rPr>
        <w:t xml:space="preserve">all </w:t>
      </w:r>
      <w:r w:rsidR="002B54CB">
        <w:rPr>
          <w:rFonts w:ascii="Courier New" w:eastAsia="Times New Roman" w:hAnsi="Courier New" w:cs="Courier New"/>
          <w:sz w:val="24"/>
          <w:szCs w:val="24"/>
        </w:rPr>
        <w:t>be</w:t>
      </w:r>
      <w:r w:rsidRPr="0096107B">
        <w:rPr>
          <w:rFonts w:ascii="Courier New" w:eastAsia="Times New Roman" w:hAnsi="Courier New" w:cs="Courier New"/>
          <w:sz w:val="24"/>
          <w:szCs w:val="24"/>
        </w:rPr>
        <w:t xml:space="preserve"> </w:t>
      </w:r>
      <w:r w:rsidR="00A57A12">
        <w:rPr>
          <w:rFonts w:ascii="Courier New" w:eastAsia="Times New Roman" w:hAnsi="Courier New" w:cs="Courier New"/>
          <w:sz w:val="24"/>
          <w:szCs w:val="24"/>
        </w:rPr>
        <w:t>resulting in egregious levels of debt in relation to earnings</w:t>
      </w:r>
      <w:r w:rsidRPr="0096107B">
        <w:rPr>
          <w:rFonts w:ascii="Courier New" w:eastAsia="Times New Roman" w:hAnsi="Courier New" w:cs="Courier New"/>
          <w:sz w:val="24"/>
          <w:szCs w:val="24"/>
        </w:rPr>
        <w:t xml:space="preserve">, these programs still exhibit poor outcomes and unsustainable debt levels.  For the following reasons, our analysis of the programs we evaluated using data reported by institutions after the 2011 Prior Rule went into effect indicates that the stricter thresholds would more effectively identify poorly performing programs.  </w:t>
      </w:r>
    </w:p>
    <w:p w14:paraId="4F35241B" w14:textId="1316B592"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First, we </w:t>
      </w:r>
      <w:r w:rsidR="00ED06B0">
        <w:rPr>
          <w:rFonts w:ascii="Courier New" w:eastAsia="Times New Roman" w:hAnsi="Courier New" w:cs="Courier New"/>
          <w:sz w:val="24"/>
          <w:szCs w:val="24"/>
        </w:rPr>
        <w:t>examined</w:t>
      </w:r>
      <w:r w:rsidRPr="0096107B">
        <w:rPr>
          <w:rFonts w:ascii="Courier New" w:eastAsia="Times New Roman" w:hAnsi="Courier New" w:cs="Courier New"/>
          <w:sz w:val="24"/>
          <w:szCs w:val="24"/>
        </w:rPr>
        <w:t xml:space="preserve"> how debt burden that would have passed the 2011 Prior Rule thresholds would affect borrowers with low earnings.  Students who completed programs that passed the 2011 Prior Rule thresholds (12 percent/30 percent) but would not pass the 8 percent/20 percent thresholds adopted in these regulations had average earnings of less than $18,000.</w:t>
      </w:r>
      <w:r w:rsidRPr="0096107B">
        <w:rPr>
          <w:rFonts w:ascii="Courier New" w:eastAsia="Times New Roman" w:hAnsi="Courier New" w:cs="Courier New"/>
          <w:sz w:val="24"/>
          <w:szCs w:val="24"/>
          <w:vertAlign w:val="superscript"/>
        </w:rPr>
        <w:footnoteReference w:id="114"/>
      </w:r>
      <w:r w:rsidRPr="0096107B">
        <w:rPr>
          <w:rFonts w:ascii="Courier New" w:eastAsia="Times New Roman" w:hAnsi="Courier New" w:cs="Courier New"/>
          <w:sz w:val="24"/>
          <w:szCs w:val="24"/>
        </w:rPr>
        <w:t xml:space="preserve">  Graduates of programs that would pass the thresholds of the 2011 Prior Rule (12 percent/30 percent) could be devoting up to almost $2,200, or 12 percent, of their $18,000 in annual earnings toward student loan payments.  We believe it would be very difficult for an individual earning $18,000 to manage that level of debt, and we establish lower passing thresholds to help ensure programs are not leading to </w:t>
      </w:r>
      <w:r w:rsidR="00ED06B0">
        <w:rPr>
          <w:rFonts w:ascii="Courier New" w:eastAsia="Times New Roman" w:hAnsi="Courier New" w:cs="Courier New"/>
          <w:sz w:val="24"/>
          <w:szCs w:val="24"/>
        </w:rPr>
        <w:t>such results</w:t>
      </w:r>
      <w:r w:rsidRPr="0096107B">
        <w:rPr>
          <w:rFonts w:ascii="Courier New" w:eastAsia="Times New Roman" w:hAnsi="Courier New" w:cs="Courier New"/>
          <w:sz w:val="24"/>
          <w:szCs w:val="24"/>
        </w:rPr>
        <w:t xml:space="preserve">. </w:t>
      </w:r>
    </w:p>
    <w:p w14:paraId="44B7088F" w14:textId="7488168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Next, we compared </w:t>
      </w:r>
      <w:r w:rsidR="00ED06B0">
        <w:rPr>
          <w:rFonts w:ascii="Courier New" w:eastAsia="Times New Roman" w:hAnsi="Courier New" w:cs="Courier New"/>
          <w:sz w:val="24"/>
          <w:szCs w:val="24"/>
        </w:rPr>
        <w:t xml:space="preserve">repayment </w:t>
      </w:r>
      <w:r w:rsidRPr="0096107B">
        <w:rPr>
          <w:rFonts w:ascii="Courier New" w:eastAsia="Times New Roman" w:hAnsi="Courier New" w:cs="Courier New"/>
          <w:sz w:val="24"/>
          <w:szCs w:val="24"/>
        </w:rPr>
        <w:t xml:space="preserve">outcomes for programs that meet the 8 percent/20 percent thresholds with those that did not, and that comparison also supports </w:t>
      </w:r>
      <w:r w:rsidR="00ED06B0">
        <w:rPr>
          <w:rFonts w:ascii="Courier New" w:eastAsia="Times New Roman" w:hAnsi="Courier New" w:cs="Courier New"/>
          <w:sz w:val="24"/>
          <w:szCs w:val="24"/>
        </w:rPr>
        <w:t>lowering</w:t>
      </w:r>
      <w:r w:rsidR="00ED06B0"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the passing thresholds.  Specifically, we examined data showing how borrowers default on, and repay, Federal loans through the first three years of repayment.  We compared borrower performance among three groups of programs:  programs that pass the 8 percent/20 percent thresholds, programs that do not pass the 8 percent/20 percent thresholds, but would pass the 2011 Prior Rule 12 percent/30 percent thresholds</w:t>
      </w:r>
      <w:r w:rsidR="00ED06B0">
        <w:rPr>
          <w:rFonts w:ascii="Courier New" w:eastAsia="Times New Roman" w:hAnsi="Courier New" w:cs="Courier New"/>
          <w:sz w:val="24"/>
          <w:szCs w:val="24"/>
        </w:rPr>
        <w:t xml:space="preserve"> (programs in the zone under these regulations)</w:t>
      </w:r>
      <w:r w:rsidRPr="0096107B">
        <w:rPr>
          <w:rFonts w:ascii="Courier New" w:eastAsia="Times New Roman" w:hAnsi="Courier New" w:cs="Courier New"/>
          <w:sz w:val="24"/>
          <w:szCs w:val="24"/>
        </w:rPr>
        <w:t xml:space="preserve">, and programs that fail under </w:t>
      </w:r>
      <w:r w:rsidR="00B04DAA">
        <w:rPr>
          <w:rFonts w:ascii="Courier New" w:eastAsia="Times New Roman" w:hAnsi="Courier New" w:cs="Courier New"/>
          <w:sz w:val="24"/>
          <w:szCs w:val="24"/>
        </w:rPr>
        <w:t xml:space="preserve">the 12 percent/30 percent thresholds of </w:t>
      </w:r>
      <w:r w:rsidR="00ED06B0">
        <w:rPr>
          <w:rFonts w:ascii="Courier New" w:eastAsia="Times New Roman" w:hAnsi="Courier New" w:cs="Courier New"/>
          <w:sz w:val="24"/>
          <w:szCs w:val="24"/>
        </w:rPr>
        <w:t xml:space="preserve">both </w:t>
      </w:r>
      <w:r w:rsidRPr="0096107B">
        <w:rPr>
          <w:rFonts w:ascii="Courier New" w:eastAsia="Times New Roman" w:hAnsi="Courier New" w:cs="Courier New"/>
          <w:sz w:val="24"/>
          <w:szCs w:val="24"/>
        </w:rPr>
        <w:t xml:space="preserve">the 2011 Prior Rule </w:t>
      </w:r>
      <w:r w:rsidR="00B04DAA">
        <w:rPr>
          <w:rFonts w:ascii="Courier New" w:eastAsia="Times New Roman" w:hAnsi="Courier New" w:cs="Courier New"/>
          <w:sz w:val="24"/>
          <w:szCs w:val="24"/>
        </w:rPr>
        <w:t>and these regulations</w:t>
      </w:r>
      <w:r w:rsidRPr="0096107B">
        <w:rPr>
          <w:rFonts w:ascii="Courier New" w:eastAsia="Times New Roman" w:hAnsi="Courier New" w:cs="Courier New"/>
          <w:sz w:val="24"/>
          <w:szCs w:val="24"/>
        </w:rPr>
        <w:t>.  Borrowers in the first group</w:t>
      </w:r>
      <w:r w:rsidR="00FD5C92">
        <w:rPr>
          <w:rFonts w:ascii="Courier New" w:eastAsia="Times New Roman" w:hAnsi="Courier New" w:cs="Courier New"/>
          <w:sz w:val="24"/>
          <w:szCs w:val="24"/>
        </w:rPr>
        <w:t xml:space="preserve"> (passing programs under these regulations)</w:t>
      </w:r>
      <w:r w:rsidRPr="0096107B">
        <w:rPr>
          <w:rFonts w:ascii="Courier New" w:eastAsia="Times New Roman" w:hAnsi="Courier New" w:cs="Courier New"/>
          <w:sz w:val="24"/>
          <w:szCs w:val="24"/>
        </w:rPr>
        <w:t>, from programs that pass the 8 percent/20 percent thresholds, have an average default rate of 19 percent, and an average repayment rate of 45 percent.</w:t>
      </w:r>
      <w:r w:rsidRPr="0096107B">
        <w:rPr>
          <w:rFonts w:ascii="Courier New" w:eastAsia="Times New Roman" w:hAnsi="Courier New" w:cs="Courier New"/>
          <w:sz w:val="24"/>
          <w:szCs w:val="24"/>
          <w:vertAlign w:val="superscript"/>
        </w:rPr>
        <w:footnoteReference w:id="115"/>
      </w:r>
      <w:r w:rsidRPr="0096107B">
        <w:rPr>
          <w:rFonts w:ascii="Courier New" w:eastAsia="Times New Roman" w:hAnsi="Courier New" w:cs="Courier New"/>
          <w:sz w:val="24"/>
          <w:szCs w:val="24"/>
        </w:rPr>
        <w:t xml:space="preserve">  Borrower performance for the other two groups is different than those in the passing group:  borrowers in the second group</w:t>
      </w:r>
      <w:r w:rsidR="00FD5C92">
        <w:rPr>
          <w:rFonts w:ascii="Courier New" w:eastAsia="Times New Roman" w:hAnsi="Courier New" w:cs="Courier New"/>
          <w:sz w:val="24"/>
          <w:szCs w:val="24"/>
        </w:rPr>
        <w:t xml:space="preserve"> (zone programs under these regulations)</w:t>
      </w:r>
      <w:r w:rsidRPr="0096107B">
        <w:rPr>
          <w:rFonts w:ascii="Courier New" w:eastAsia="Times New Roman" w:hAnsi="Courier New" w:cs="Courier New"/>
          <w:sz w:val="24"/>
          <w:szCs w:val="24"/>
        </w:rPr>
        <w:t xml:space="preserve">--those from programs that met the 2011 Prior Rule passing thresholds (12 percent/30 percent) but would not meet the 8 percent/20 percent thresholds--have a default rate of 25 percent and only a 32 percent average </w:t>
      </w:r>
      <w:r w:rsidRPr="0096107B">
        <w:rPr>
          <w:rFonts w:ascii="Courier New" w:eastAsia="Times New Roman" w:hAnsi="Courier New" w:cs="Courier New"/>
          <w:sz w:val="24"/>
          <w:szCs w:val="24"/>
        </w:rPr>
        <w:lastRenderedPageBreak/>
        <w:t>repayment rate</w:t>
      </w:r>
      <w:r w:rsidRPr="0096107B" w:rsidDel="00A50010">
        <w:rPr>
          <w:rFonts w:ascii="Courier New" w:eastAsia="Times New Roman" w:hAnsi="Courier New" w:cs="Courier New"/>
          <w:sz w:val="24"/>
          <w:szCs w:val="24"/>
        </w:rPr>
        <w:t>.</w:t>
      </w:r>
      <w:r w:rsidRPr="0096107B">
        <w:rPr>
          <w:rFonts w:ascii="Courier New" w:eastAsia="Times New Roman" w:hAnsi="Courier New" w:cs="Courier New"/>
          <w:sz w:val="24"/>
          <w:szCs w:val="24"/>
          <w:vertAlign w:val="superscript"/>
        </w:rPr>
        <w:footnoteReference w:id="116"/>
      </w:r>
      <w:r w:rsidRPr="0096107B">
        <w:rPr>
          <w:rFonts w:ascii="Courier New" w:eastAsia="Times New Roman" w:hAnsi="Courier New" w:cs="Courier New"/>
          <w:sz w:val="24"/>
          <w:szCs w:val="24"/>
        </w:rPr>
        <w:t xml:space="preserve">  Borrowers in the third group</w:t>
      </w:r>
      <w:r w:rsidR="00FD5C92">
        <w:rPr>
          <w:rFonts w:ascii="Courier New" w:eastAsia="Times New Roman" w:hAnsi="Courier New" w:cs="Courier New"/>
          <w:sz w:val="24"/>
          <w:szCs w:val="24"/>
        </w:rPr>
        <w:t xml:space="preserve"> (failing programs under these regulations)</w:t>
      </w:r>
      <w:r w:rsidRPr="0096107B">
        <w:rPr>
          <w:rFonts w:ascii="Courier New" w:eastAsia="Times New Roman" w:hAnsi="Courier New" w:cs="Courier New"/>
          <w:sz w:val="24"/>
          <w:szCs w:val="24"/>
        </w:rPr>
        <w:t xml:space="preserve">, from programs that fail even the 2011 Prior Rule thresholds (12 percent/30 percent), have </w:t>
      </w:r>
      <w:r w:rsidRPr="0096107B" w:rsidDel="00FD5C92">
        <w:rPr>
          <w:rFonts w:ascii="Courier New" w:eastAsia="Times New Roman" w:hAnsi="Courier New" w:cs="Courier New"/>
          <w:sz w:val="24"/>
          <w:szCs w:val="24"/>
        </w:rPr>
        <w:t>r</w:t>
      </w:r>
      <w:r w:rsidRPr="0096107B">
        <w:rPr>
          <w:rFonts w:ascii="Courier New" w:eastAsia="Times New Roman" w:hAnsi="Courier New" w:cs="Courier New"/>
          <w:sz w:val="24"/>
          <w:szCs w:val="24"/>
        </w:rPr>
        <w:t>ates like those in the zone group:  about a 28 percent default rate and an average repayment rate of about 32 percent.</w:t>
      </w:r>
      <w:r w:rsidRPr="0096107B">
        <w:rPr>
          <w:rFonts w:ascii="Courier New" w:eastAsia="Times New Roman" w:hAnsi="Courier New" w:cs="Courier New"/>
          <w:sz w:val="24"/>
          <w:szCs w:val="24"/>
          <w:vertAlign w:val="superscript"/>
        </w:rPr>
        <w:footnoteReference w:id="117"/>
      </w:r>
      <w:r w:rsidRPr="0096107B">
        <w:rPr>
          <w:rFonts w:ascii="Courier New" w:eastAsia="Times New Roman" w:hAnsi="Courier New" w:cs="Courier New"/>
          <w:sz w:val="24"/>
          <w:szCs w:val="24"/>
        </w:rPr>
        <w:t xml:space="preserve">  Together, these results indicate that zone programs are much more similar to their failing counterparts than their passing counterparts. Accordingly, although zone programs are allowed additional time before ineligibility in comparison to failing programs, programs in both groups are ultimately treated the same if their results do not change because expert recommendations, industry practice, and the Department’s analysis all indicate that they are both resulting in similarly poor student outcomes and not resulting in gainful employment.</w:t>
      </w:r>
      <w:r w:rsidRPr="0096107B" w:rsidDel="002D7255">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 By reducing the passing thresholds for the D/E rates measure to 8 percent and 20 percent, we treat as unacceptable those programs that exceed these thresholds, but allow a limited time to evaluate whether the unacceptable performance persists before revoking eligibility. </w:t>
      </w:r>
    </w:p>
    <w:p w14:paraId="40EEE8D0" w14:textId="6E82BCA4" w:rsidR="00A567FE"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With regard to the stated intention to adopt a rate that includes a tolerance to reduce the likelihood that a program will be mischaracterized, we believe that</w:t>
      </w:r>
      <w:r w:rsidR="002E0867">
        <w:rPr>
          <w:rFonts w:ascii="Courier New" w:eastAsia="Times New Roman" w:hAnsi="Courier New" w:cs="Courier New"/>
          <w:sz w:val="24"/>
          <w:szCs w:val="24"/>
        </w:rPr>
        <w:t xml:space="preserve"> the three-tier pass, </w:t>
      </w:r>
      <w:r w:rsidR="002E0867">
        <w:rPr>
          <w:rFonts w:ascii="Courier New" w:eastAsia="Times New Roman" w:hAnsi="Courier New" w:cs="Courier New"/>
          <w:sz w:val="24"/>
          <w:szCs w:val="24"/>
        </w:rPr>
        <w:lastRenderedPageBreak/>
        <w:t>zone, fail construction and the corresponding thresholds for these categories make it unnecessary to create buffer by raising the passing thresholds as was done in the 2011 Prior Rule.  A</w:t>
      </w:r>
      <w:r w:rsidRPr="0096107B">
        <w:rPr>
          <w:rFonts w:ascii="Courier New" w:eastAsia="Times New Roman" w:hAnsi="Courier New" w:cs="Courier New"/>
          <w:sz w:val="24"/>
          <w:szCs w:val="24"/>
        </w:rPr>
        <w:t>s discussed in the NPRM, setting the failing thresholds at 12 percent and 30 percent lower the probability to close to zero that passing programs will lose eligibility because they are mischaracterized</w:t>
      </w:r>
      <w:r w:rsidR="00A567FE">
        <w:rPr>
          <w:rFonts w:ascii="Courier New" w:eastAsia="Times New Roman" w:hAnsi="Courier New" w:cs="Courier New"/>
          <w:sz w:val="24"/>
          <w:szCs w:val="24"/>
        </w:rPr>
        <w:t>, due to atypical factors</w:t>
      </w:r>
      <w:r w:rsidRPr="0096107B">
        <w:rPr>
          <w:rFonts w:ascii="Courier New" w:eastAsia="Times New Roman" w:hAnsi="Courier New" w:cs="Courier New"/>
          <w:sz w:val="24"/>
          <w:szCs w:val="24"/>
        </w:rPr>
        <w:t xml:space="preserve"> </w:t>
      </w:r>
      <w:r w:rsidR="000F435A">
        <w:rPr>
          <w:rFonts w:ascii="Courier New" w:eastAsia="Times New Roman" w:hAnsi="Courier New" w:cs="Courier New"/>
          <w:sz w:val="24"/>
          <w:szCs w:val="24"/>
        </w:rPr>
        <w:t>associated with</w:t>
      </w:r>
      <w:r w:rsidR="00A567FE">
        <w:rPr>
          <w:rFonts w:ascii="Courier New" w:eastAsia="Times New Roman" w:hAnsi="Courier New" w:cs="Courier New"/>
          <w:sz w:val="24"/>
          <w:szCs w:val="24"/>
        </w:rPr>
        <w:t xml:space="preserve"> a non-representative cohort of students, </w:t>
      </w:r>
      <w:r w:rsidRPr="0096107B">
        <w:rPr>
          <w:rFonts w:ascii="Courier New" w:eastAsia="Times New Roman" w:hAnsi="Courier New" w:cs="Courier New"/>
          <w:sz w:val="24"/>
          <w:szCs w:val="24"/>
        </w:rPr>
        <w:t xml:space="preserve">as failing.  </w:t>
      </w:r>
      <w:r w:rsidR="00A567FE">
        <w:rPr>
          <w:rFonts w:ascii="Courier New" w:eastAsia="Times New Roman" w:hAnsi="Courier New" w:cs="Courier New"/>
          <w:sz w:val="24"/>
          <w:szCs w:val="24"/>
        </w:rPr>
        <w:t>Likewise</w:t>
      </w:r>
      <w:r w:rsidRPr="0096107B">
        <w:rPr>
          <w:rFonts w:ascii="Courier New" w:eastAsia="Times New Roman" w:hAnsi="Courier New" w:cs="Courier New"/>
          <w:sz w:val="24"/>
          <w:szCs w:val="24"/>
        </w:rPr>
        <w:t xml:space="preserve">, creating a buffer between the passing and failing thresholds, where programs in the zone have a longer time to loss of eligibility than those that fail the thresholds, </w:t>
      </w:r>
      <w:r w:rsidR="00A567FE" w:rsidRPr="0096107B">
        <w:rPr>
          <w:rFonts w:ascii="Courier New" w:eastAsia="Times New Roman" w:hAnsi="Courier New" w:cs="Courier New"/>
          <w:sz w:val="24"/>
          <w:szCs w:val="24"/>
        </w:rPr>
        <w:t>lower</w:t>
      </w:r>
      <w:r w:rsidR="00675E00">
        <w:rPr>
          <w:rFonts w:ascii="Courier New" w:eastAsia="Times New Roman" w:hAnsi="Courier New" w:cs="Courier New"/>
          <w:sz w:val="24"/>
          <w:szCs w:val="24"/>
        </w:rPr>
        <w:t>s</w:t>
      </w:r>
      <w:r w:rsidR="00A567FE" w:rsidRPr="0096107B">
        <w:rPr>
          <w:rFonts w:ascii="Courier New" w:eastAsia="Times New Roman" w:hAnsi="Courier New" w:cs="Courier New"/>
          <w:sz w:val="24"/>
          <w:szCs w:val="24"/>
        </w:rPr>
        <w:t xml:space="preserve"> the probability to close to zero that passing programs will lose eligibility because they are mischaracterized as </w:t>
      </w:r>
      <w:r w:rsidR="00A567FE">
        <w:rPr>
          <w:rFonts w:ascii="Courier New" w:eastAsia="Times New Roman" w:hAnsi="Courier New" w:cs="Courier New"/>
          <w:sz w:val="24"/>
          <w:szCs w:val="24"/>
        </w:rPr>
        <w:t>being in the zone as a result of atypical factors</w:t>
      </w:r>
      <w:r w:rsidR="002E0867">
        <w:rPr>
          <w:rFonts w:ascii="Courier New" w:eastAsia="Times New Roman" w:hAnsi="Courier New" w:cs="Courier New"/>
          <w:sz w:val="24"/>
          <w:szCs w:val="24"/>
        </w:rPr>
        <w:t>.</w:t>
      </w:r>
    </w:p>
    <w:p w14:paraId="19646E74" w14:textId="5BC168C0" w:rsidR="0096107B" w:rsidRPr="0096107B" w:rsidRDefault="002E0867"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Further, a four year zone </w:t>
      </w:r>
      <w:r w:rsidR="0096107B" w:rsidRPr="0096107B">
        <w:rPr>
          <w:rFonts w:ascii="Courier New" w:eastAsia="Times New Roman" w:hAnsi="Courier New" w:cs="Courier New"/>
          <w:sz w:val="24"/>
          <w:szCs w:val="24"/>
        </w:rPr>
        <w:t>makes it unlikely that fluctuations in labor market conditions could cause a passing program to become ineligible.  According to the National Bureau of Economic Research, recessions have, on average, lasted 11.1 months since 1945.</w:t>
      </w:r>
      <w:r w:rsidR="0096107B" w:rsidRPr="0096107B">
        <w:rPr>
          <w:rFonts w:ascii="Courier New" w:eastAsia="Times New Roman" w:hAnsi="Courier New" w:cs="Courier New"/>
          <w:color w:val="000000"/>
          <w:sz w:val="24"/>
          <w:szCs w:val="24"/>
          <w:vertAlign w:val="superscript"/>
        </w:rPr>
        <w:footnoteReference w:id="118"/>
      </w:r>
      <w:r w:rsidR="0096107B" w:rsidRPr="0096107B">
        <w:rPr>
          <w:rFonts w:ascii="Courier New" w:eastAsia="Times New Roman" w:hAnsi="Courier New" w:cs="Courier New"/>
          <w:sz w:val="24"/>
          <w:szCs w:val="24"/>
        </w:rPr>
        <w:t xml:space="preserve">  An otherwise passing program is unlikely to fall in the zone for four consecutive years due to an economic downturn or fluctuations within the local labor markets.  </w:t>
      </w:r>
    </w:p>
    <w:p w14:paraId="3CEE2431"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Under the regulations, programs can satisfy the D/E rates measure in one of two ways.  Programs whose graduates have low earnings relative to debt would benefit from the calculation based on total income, and programs whose graduates have higher debt loads that are offset by higher earnings would benefit from the calculation based on discretionary income.  Even for programs where the average annual earnings rate for students who complete the program exceeds 8 percent, as long as the average discretionary income rate is below the 20 percent threshold, the program will be deemed passing. </w:t>
      </w:r>
    </w:p>
    <w:p w14:paraId="60B3BBFD" w14:textId="4FBAE9AE" w:rsidR="00164F43"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adopted a buffer in the 2011 Prior Rule in part to avoid mischaracterization of a program and in part to account for students who completed the program who are working part-time or who are not employed.  As discussed in this section, because the D/E rates measure assesses whether students who complete a GE program will earn enough to manage the debt they incur, that assessment must take into account the outcomes of students who are not working or are not working full time, either by choice or involuntarily, without regard to whether such outcomes are typical.  </w:t>
      </w:r>
      <w:r w:rsidR="001039CF">
        <w:rPr>
          <w:rFonts w:ascii="Courier New" w:eastAsia="Times New Roman" w:hAnsi="Courier New" w:cs="Courier New"/>
          <w:sz w:val="24"/>
          <w:szCs w:val="24"/>
        </w:rPr>
        <w:t>As stated previously, w</w:t>
      </w:r>
      <w:r w:rsidRPr="0096107B">
        <w:rPr>
          <w:rFonts w:ascii="Courier New" w:eastAsia="Times New Roman" w:hAnsi="Courier New" w:cs="Courier New"/>
          <w:sz w:val="24"/>
          <w:szCs w:val="24"/>
        </w:rPr>
        <w:t>here such outcomes are atypical,</w:t>
      </w:r>
      <w:r w:rsidR="00926752" w:rsidRPr="00D140AB" w:rsidDel="001039CF">
        <w:rPr>
          <w:rFonts w:ascii="Courier New" w:eastAsia="Times New Roman" w:hAnsi="Courier New" w:cs="Courier New"/>
          <w:sz w:val="24"/>
          <w:szCs w:val="24"/>
        </w:rPr>
        <w:t xml:space="preserve"> </w:t>
      </w:r>
      <w:r w:rsidR="00926752" w:rsidRPr="00D140AB">
        <w:rPr>
          <w:rFonts w:ascii="Courier New" w:eastAsia="Times New Roman" w:hAnsi="Courier New" w:cs="Courier New"/>
          <w:sz w:val="24"/>
          <w:szCs w:val="24"/>
        </w:rPr>
        <w:t xml:space="preserve">several aspects of the regulations, including </w:t>
      </w:r>
      <w:r w:rsidR="001039CF">
        <w:rPr>
          <w:rFonts w:ascii="Courier New" w:eastAsia="Times New Roman" w:hAnsi="Courier New" w:cs="Courier New"/>
          <w:sz w:val="24"/>
          <w:szCs w:val="24"/>
        </w:rPr>
        <w:t xml:space="preserve">the pass, zone, and fail thresholds, </w:t>
      </w:r>
      <w:r w:rsidR="00926752" w:rsidRPr="00D140AB">
        <w:rPr>
          <w:rFonts w:ascii="Courier New" w:eastAsia="Times New Roman" w:hAnsi="Courier New" w:cs="Courier New"/>
          <w:sz w:val="24"/>
          <w:szCs w:val="24"/>
        </w:rPr>
        <w:t xml:space="preserve">use of mean and median earnings, use of a multi-year cohort period with a minimum n-size, and allowing several years of non-passing results before a </w:t>
      </w:r>
      <w:r w:rsidR="00926752" w:rsidRPr="00D140AB">
        <w:rPr>
          <w:rFonts w:ascii="Courier New" w:eastAsia="Times New Roman" w:hAnsi="Courier New" w:cs="Courier New"/>
          <w:sz w:val="24"/>
          <w:szCs w:val="24"/>
        </w:rPr>
        <w:lastRenderedPageBreak/>
        <w:t xml:space="preserve">program loses eligibility for title IV, HEA program funds </w:t>
      </w:r>
      <w:r w:rsidR="00926752" w:rsidRPr="00D140AB">
        <w:rPr>
          <w:rFonts w:ascii="Courier New" w:hAnsi="Courier New" w:cs="Courier New"/>
          <w:sz w:val="24"/>
          <w:szCs w:val="24"/>
        </w:rPr>
        <w:t xml:space="preserve">reduce the likelihood </w:t>
      </w:r>
      <w:r w:rsidR="00926752">
        <w:rPr>
          <w:rFonts w:ascii="Courier New" w:hAnsi="Courier New" w:cs="Courier New"/>
          <w:sz w:val="24"/>
          <w:szCs w:val="24"/>
        </w:rPr>
        <w:t>to close to zero</w:t>
      </w:r>
      <w:r w:rsidR="00926752" w:rsidRPr="00D140AB">
        <w:rPr>
          <w:rFonts w:ascii="Courier New" w:hAnsi="Courier New" w:cs="Courier New"/>
          <w:sz w:val="24"/>
          <w:szCs w:val="24"/>
        </w:rPr>
        <w:t xml:space="preserve"> that a </w:t>
      </w:r>
      <w:r w:rsidR="00926752">
        <w:rPr>
          <w:rFonts w:ascii="Courier New" w:hAnsi="Courier New" w:cs="Courier New"/>
          <w:sz w:val="24"/>
          <w:szCs w:val="24"/>
        </w:rPr>
        <w:t>typically</w:t>
      </w:r>
      <w:r w:rsidR="00926752" w:rsidRPr="00D140AB">
        <w:rPr>
          <w:rFonts w:ascii="Courier New" w:hAnsi="Courier New" w:cs="Courier New"/>
          <w:sz w:val="24"/>
          <w:szCs w:val="24"/>
        </w:rPr>
        <w:t xml:space="preserve"> </w:t>
      </w:r>
      <w:r w:rsidR="00926752">
        <w:rPr>
          <w:rFonts w:ascii="Courier New" w:hAnsi="Courier New" w:cs="Courier New"/>
          <w:sz w:val="24"/>
          <w:szCs w:val="24"/>
        </w:rPr>
        <w:t xml:space="preserve">passing </w:t>
      </w:r>
      <w:r w:rsidR="00926752" w:rsidRPr="00D140AB">
        <w:rPr>
          <w:rFonts w:ascii="Courier New" w:hAnsi="Courier New" w:cs="Courier New"/>
          <w:sz w:val="24"/>
          <w:szCs w:val="24"/>
        </w:rPr>
        <w:t xml:space="preserve">program will be </w:t>
      </w:r>
      <w:r w:rsidR="001039CF">
        <w:rPr>
          <w:rFonts w:ascii="Courier New" w:hAnsi="Courier New" w:cs="Courier New"/>
          <w:sz w:val="24"/>
          <w:szCs w:val="24"/>
        </w:rPr>
        <w:t xml:space="preserve">made ineligible </w:t>
      </w:r>
      <w:r w:rsidR="00164F43">
        <w:rPr>
          <w:rFonts w:ascii="Courier New" w:hAnsi="Courier New" w:cs="Courier New"/>
          <w:sz w:val="24"/>
          <w:szCs w:val="24"/>
        </w:rPr>
        <w:t xml:space="preserve">by being </w:t>
      </w:r>
      <w:r w:rsidR="00926752" w:rsidRPr="00D140AB">
        <w:rPr>
          <w:rFonts w:ascii="Courier New" w:hAnsi="Courier New" w:cs="Courier New"/>
          <w:sz w:val="24"/>
          <w:szCs w:val="24"/>
        </w:rPr>
        <w:t>mischaracterized</w:t>
      </w:r>
      <w:r w:rsidR="00926752">
        <w:rPr>
          <w:rFonts w:ascii="Courier New" w:hAnsi="Courier New" w:cs="Courier New"/>
          <w:sz w:val="24"/>
          <w:szCs w:val="24"/>
        </w:rPr>
        <w:t xml:space="preserve"> </w:t>
      </w:r>
      <w:r w:rsidR="00926752" w:rsidRPr="00D140AB">
        <w:rPr>
          <w:rFonts w:ascii="Courier New" w:hAnsi="Courier New" w:cs="Courier New"/>
          <w:sz w:val="24"/>
          <w:szCs w:val="24"/>
        </w:rPr>
        <w:t>as failing</w:t>
      </w:r>
      <w:r w:rsidR="00926752">
        <w:rPr>
          <w:rFonts w:ascii="Courier New" w:hAnsi="Courier New" w:cs="Courier New"/>
          <w:sz w:val="24"/>
          <w:szCs w:val="24"/>
        </w:rPr>
        <w:t xml:space="preserve"> or in the zone due to an atypical cohort of students who complete the program such as those identified by the commenter</w:t>
      </w:r>
      <w:r w:rsidR="00926752" w:rsidRPr="00D140AB">
        <w:rPr>
          <w:rFonts w:ascii="Courier New" w:hAnsi="Courier New" w:cs="Courier New"/>
          <w:sz w:val="24"/>
          <w:szCs w:val="24"/>
        </w:rPr>
        <w:t xml:space="preserve">.  </w:t>
      </w:r>
      <w:r w:rsidR="00164F43">
        <w:rPr>
          <w:rFonts w:ascii="Courier New" w:hAnsi="Courier New" w:cs="Courier New"/>
          <w:sz w:val="24"/>
          <w:szCs w:val="24"/>
        </w:rPr>
        <w:t xml:space="preserve">Where it is typical for students to work time or regularly leave the labor force for long periods, institutions should adjust their costs and other features of their programs to ensure that these students can manage their debt.  </w:t>
      </w:r>
      <w:r w:rsidRPr="0096107B">
        <w:rPr>
          <w:rFonts w:ascii="Courier New" w:eastAsia="Times New Roman" w:hAnsi="Courier New" w:cs="Courier New"/>
          <w:sz w:val="24"/>
          <w:szCs w:val="24"/>
        </w:rPr>
        <w:t xml:space="preserve">  </w:t>
      </w:r>
    </w:p>
    <w:p w14:paraId="16EF53A7" w14:textId="46AE2C16"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Accordingly, </w:t>
      </w:r>
      <w:r w:rsidR="00164F43">
        <w:rPr>
          <w:rFonts w:ascii="Courier New" w:eastAsia="Times New Roman" w:hAnsi="Courier New" w:cs="Courier New"/>
          <w:sz w:val="24"/>
          <w:szCs w:val="24"/>
        </w:rPr>
        <w:t xml:space="preserve">for the reasons provided, </w:t>
      </w:r>
      <w:r w:rsidRPr="0096107B">
        <w:rPr>
          <w:rFonts w:ascii="Courier New" w:eastAsia="Times New Roman" w:hAnsi="Courier New" w:cs="Courier New"/>
          <w:sz w:val="24"/>
          <w:szCs w:val="24"/>
        </w:rPr>
        <w:t xml:space="preserve">a buffer is unnecessary.  We revise the passing D/E rates in these regulations because we conclude that the 50 percent buffer in the 2011 Prior Rule </w:t>
      </w:r>
      <w:r w:rsidR="0072056D">
        <w:rPr>
          <w:rFonts w:ascii="Courier New" w:eastAsia="Times New Roman" w:hAnsi="Courier New" w:cs="Courier New"/>
          <w:sz w:val="24"/>
          <w:szCs w:val="24"/>
        </w:rPr>
        <w:t>is unnecessary</w:t>
      </w:r>
      <w:r w:rsidRPr="0096107B">
        <w:rPr>
          <w:rFonts w:ascii="Courier New" w:eastAsia="Times New Roman" w:hAnsi="Courier New" w:cs="Courier New"/>
          <w:sz w:val="24"/>
          <w:szCs w:val="24"/>
        </w:rPr>
        <w:t xml:space="preserve">.  We instead establish a zone to identify programs that exceed the 8 percent and 20 percent thresholds, and use the 12 percent and 30 percent measures as the upper limits.  </w:t>
      </w:r>
      <w:r w:rsidR="0072056D">
        <w:rPr>
          <w:rFonts w:ascii="Courier New" w:eastAsia="Times New Roman" w:hAnsi="Courier New" w:cs="Courier New"/>
          <w:sz w:val="24"/>
          <w:szCs w:val="24"/>
        </w:rPr>
        <w:t xml:space="preserve">This approach accounts for the reasons that a buffer was added in the 2011 Prior Rule, to make accurate and fair assessments of programs, while ensuring that once there is certainty that an accurate and fair assessment is being made, programs with sustained poor outcomes </w:t>
      </w:r>
      <w:r w:rsidR="0076479F">
        <w:rPr>
          <w:rFonts w:ascii="Courier New" w:eastAsia="Times New Roman" w:hAnsi="Courier New" w:cs="Courier New"/>
          <w:sz w:val="24"/>
          <w:szCs w:val="24"/>
        </w:rPr>
        <w:t>are not allowed to remain eligible and harm students.</w:t>
      </w:r>
    </w:p>
    <w:p w14:paraId="7668FE10" w14:textId="223F507C"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We do not agree that alternative thresholds--including annual earnings rates thresholds of 10 percent, 13 percent, and 15 percent, as suggested by commenters--would be more </w:t>
      </w:r>
      <w:r w:rsidRPr="0096107B">
        <w:rPr>
          <w:rFonts w:ascii="Courier New" w:eastAsia="Times New Roman" w:hAnsi="Courier New" w:cs="Courier New"/>
          <w:sz w:val="24"/>
          <w:szCs w:val="24"/>
        </w:rPr>
        <w:lastRenderedPageBreak/>
        <w:t>appropriate for determining eligibility under the title IV, HEA programs.  We recognize that some research points to these as reasonable thresholds.  Likewise, some research may even point to thresholds below 8 percent for the annual earnings rate.</w:t>
      </w:r>
      <w:r w:rsidRPr="0096107B">
        <w:rPr>
          <w:rFonts w:ascii="Courier New" w:eastAsia="Times New Roman" w:hAnsi="Courier New" w:cs="Courier New"/>
          <w:sz w:val="24"/>
          <w:szCs w:val="24"/>
          <w:vertAlign w:val="superscript"/>
        </w:rPr>
        <w:footnoteReference w:id="119"/>
      </w:r>
      <w:r w:rsidRPr="0096107B">
        <w:rPr>
          <w:rFonts w:ascii="Courier New" w:eastAsia="Times New Roman" w:hAnsi="Courier New" w:cs="Courier New"/>
          <w:sz w:val="24"/>
          <w:szCs w:val="24"/>
        </w:rPr>
        <w:t xml:space="preserve">  However, we believe that 8 percent for education-related debt is well within the range of acceptable debt levels identified by researchers and the standard that is generally most supported.</w:t>
      </w:r>
      <w:r w:rsidRPr="0096107B">
        <w:rPr>
          <w:rFonts w:ascii="Courier New" w:eastAsia="Times New Roman" w:hAnsi="Courier New" w:cs="Courier New"/>
          <w:sz w:val="24"/>
          <w:szCs w:val="24"/>
          <w:vertAlign w:val="superscript"/>
        </w:rPr>
        <w:footnoteReference w:id="120"/>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21"/>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22"/>
      </w:r>
      <w:r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vertAlign w:val="superscript"/>
        </w:rPr>
        <w:footnoteReference w:id="123"/>
      </w:r>
      <w:r w:rsidRPr="0096107B">
        <w:rPr>
          <w:rFonts w:ascii="Courier New" w:eastAsia="Times New Roman" w:hAnsi="Courier New" w:cs="Courier New"/>
          <w:sz w:val="24"/>
          <w:szCs w:val="24"/>
        </w:rPr>
        <w:t xml:space="preserve">  Based on the best available evidence, students whose annual earnings rate exceeds 8 percent are substantially more likely to default on their loans or experience serious financial or emotional harm.  </w:t>
      </w:r>
    </w:p>
    <w:p w14:paraId="34E7A832" w14:textId="1656D5DC"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Similarly, we disagree with the commenters that suggested that annual earnings rates be set between 10 and 15 percent because the majority of personal finance experts believe that an acceptable annual debt-to-earnings ratio falls within this range.</w:t>
      </w:r>
      <w:r w:rsidRPr="0096107B">
        <w:rPr>
          <w:rFonts w:ascii="Courier New" w:eastAsia="Times New Roman" w:hAnsi="Courier New" w:cs="Courier New"/>
          <w:sz w:val="24"/>
          <w:szCs w:val="24"/>
          <w:vertAlign w:val="superscript"/>
        </w:rPr>
        <w:footnoteReference w:id="124"/>
      </w:r>
      <w:r w:rsidRPr="0096107B">
        <w:rPr>
          <w:rFonts w:ascii="Courier New" w:eastAsia="Times New Roman" w:hAnsi="Courier New" w:cs="Courier New"/>
          <w:sz w:val="24"/>
          <w:szCs w:val="24"/>
        </w:rPr>
        <w:t xml:space="preserve">  As stated previously, </w:t>
      </w:r>
      <w:r w:rsidR="002B54CB">
        <w:rPr>
          <w:rFonts w:ascii="Courier New" w:eastAsia="Times New Roman" w:hAnsi="Courier New" w:cs="Courier New"/>
          <w:sz w:val="24"/>
          <w:szCs w:val="24"/>
        </w:rPr>
        <w:t xml:space="preserve">in the sources cited by the </w:t>
      </w:r>
      <w:r w:rsidR="002B54CB">
        <w:rPr>
          <w:rFonts w:ascii="Courier New" w:eastAsia="Times New Roman" w:hAnsi="Courier New" w:cs="Courier New"/>
          <w:sz w:val="24"/>
          <w:szCs w:val="24"/>
        </w:rPr>
        <w:lastRenderedPageBreak/>
        <w:t xml:space="preserve">commenters, </w:t>
      </w:r>
      <w:r w:rsidRPr="0096107B">
        <w:rPr>
          <w:rFonts w:ascii="Courier New" w:eastAsia="Times New Roman" w:hAnsi="Courier New" w:cs="Courier New"/>
          <w:sz w:val="24"/>
          <w:szCs w:val="24"/>
        </w:rPr>
        <w:t xml:space="preserve">the personal finance experts often refer to the amount of total debt that individuals can manage, </w:t>
      </w:r>
      <w:r w:rsidR="002B54CB">
        <w:rPr>
          <w:rFonts w:ascii="Courier New" w:eastAsia="Times New Roman" w:hAnsi="Courier New" w:cs="Courier New"/>
          <w:sz w:val="24"/>
          <w:szCs w:val="24"/>
        </w:rPr>
        <w:t xml:space="preserve">whereas the focus of the D/E rates measure, and the basis for the thresholds, </w:t>
      </w:r>
      <w:r w:rsidR="00926977">
        <w:rPr>
          <w:rFonts w:ascii="Courier New" w:eastAsia="Times New Roman" w:hAnsi="Courier New" w:cs="Courier New"/>
          <w:sz w:val="24"/>
          <w:szCs w:val="24"/>
        </w:rPr>
        <w:t xml:space="preserve">is the </w:t>
      </w:r>
      <w:r w:rsidRPr="0096107B">
        <w:rPr>
          <w:rFonts w:ascii="Courier New" w:eastAsia="Times New Roman" w:hAnsi="Courier New" w:cs="Courier New"/>
          <w:sz w:val="24"/>
          <w:szCs w:val="24"/>
        </w:rPr>
        <w:t xml:space="preserve">acceptable level </w:t>
      </w:r>
      <w:r w:rsidR="00926977">
        <w:rPr>
          <w:rFonts w:ascii="Courier New" w:eastAsia="Times New Roman" w:hAnsi="Courier New" w:cs="Courier New"/>
          <w:sz w:val="24"/>
          <w:szCs w:val="24"/>
        </w:rPr>
        <w:t>of debt incurred for enrollment</w:t>
      </w:r>
      <w:r w:rsidRPr="0096107B">
        <w:rPr>
          <w:rFonts w:ascii="Courier New" w:eastAsia="Times New Roman" w:hAnsi="Courier New" w:cs="Courier New"/>
          <w:sz w:val="24"/>
          <w:szCs w:val="24"/>
        </w:rPr>
        <w:t xml:space="preserve"> </w:t>
      </w:r>
      <w:r w:rsidR="00926977">
        <w:rPr>
          <w:rFonts w:ascii="Courier New" w:eastAsia="Times New Roman" w:hAnsi="Courier New" w:cs="Courier New"/>
          <w:sz w:val="24"/>
          <w:szCs w:val="24"/>
        </w:rPr>
        <w:t>in</w:t>
      </w:r>
      <w:r w:rsidRPr="0096107B">
        <w:rPr>
          <w:rFonts w:ascii="Courier New" w:eastAsia="Times New Roman" w:hAnsi="Courier New" w:cs="Courier New"/>
          <w:sz w:val="24"/>
          <w:szCs w:val="24"/>
        </w:rPr>
        <w:t xml:space="preserve"> a GE program.  Moreover, such expert advice does not take into consideration </w:t>
      </w:r>
      <w:r w:rsidR="00926977">
        <w:rPr>
          <w:rFonts w:ascii="Courier New" w:eastAsia="Times New Roman" w:hAnsi="Courier New" w:cs="Courier New"/>
          <w:sz w:val="24"/>
          <w:szCs w:val="24"/>
        </w:rPr>
        <w:t xml:space="preserve">that </w:t>
      </w:r>
      <w:r w:rsidRPr="0096107B">
        <w:rPr>
          <w:rFonts w:ascii="Courier New" w:eastAsia="Times New Roman" w:hAnsi="Courier New" w:cs="Courier New"/>
          <w:sz w:val="24"/>
          <w:szCs w:val="24"/>
        </w:rPr>
        <w:t xml:space="preserve">the discretionary income rates allow some programs with annual income rates above 8 percent to pass, if their students earn enough to manage their debt, based on the best available evidence.   </w:t>
      </w:r>
    </w:p>
    <w:p w14:paraId="362C4DB9" w14:textId="2EA1B261"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We also disagree with the contention made by some commenters that a recent NCES study shows the thresholds to be inappropriately low because a large fraction of graduating undergraduate students have debt-to-earnings ratios above 12 percent, suggesting many non-GE programs in the public and non-profit sector would fail the annual earnings rate if they were subject to the regulations.</w:t>
      </w:r>
      <w:r w:rsidRPr="0096107B">
        <w:rPr>
          <w:rFonts w:ascii="Courier New" w:eastAsia="Times New Roman" w:hAnsi="Courier New" w:cs="Courier New"/>
          <w:sz w:val="24"/>
          <w:szCs w:val="24"/>
          <w:vertAlign w:val="superscript"/>
        </w:rPr>
        <w:footnoteReference w:id="125"/>
      </w:r>
      <w:r w:rsidRPr="0096107B">
        <w:rPr>
          <w:rFonts w:ascii="Courier New" w:eastAsia="Times New Roman" w:hAnsi="Courier New" w:cs="Courier New"/>
          <w:sz w:val="24"/>
          <w:szCs w:val="24"/>
        </w:rPr>
        <w:t xml:space="preserve">  The NCES methodology for calculating student debt-to-earnings ratios is not comparable to the methodology for calculating D/E rates at the program level under</w:t>
      </w:r>
      <w:r w:rsidRPr="0096107B" w:rsidDel="00161B3C">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these regulations.  Specifically, the NCES methodology for calculating each of loan debt, earnings, and the debt-to-earnings ratios results in higher estimates of debt burden than is observed under the D/E rates methodology.  For example:  </w:t>
      </w:r>
      <w:r w:rsidRPr="0096107B">
        <w:rPr>
          <w:rFonts w:ascii="Courier New" w:eastAsia="Times New Roman" w:hAnsi="Courier New" w:cs="Courier New"/>
          <w:sz w:val="24"/>
          <w:szCs w:val="24"/>
        </w:rPr>
        <w:lastRenderedPageBreak/>
        <w:t xml:space="preserve">First, the NCES study does not include students who only receive Pell </w:t>
      </w:r>
      <w:r w:rsidR="00617B3A">
        <w:rPr>
          <w:rFonts w:ascii="Courier New" w:eastAsia="Times New Roman" w:hAnsi="Courier New" w:cs="Courier New"/>
          <w:sz w:val="24"/>
          <w:szCs w:val="24"/>
        </w:rPr>
        <w:t>G</w:t>
      </w:r>
      <w:r w:rsidRPr="0096107B">
        <w:rPr>
          <w:rFonts w:ascii="Courier New" w:eastAsia="Times New Roman" w:hAnsi="Courier New" w:cs="Courier New"/>
          <w:sz w:val="24"/>
          <w:szCs w:val="24"/>
        </w:rPr>
        <w:t>rants, while these students are included in the D/E rates calculations</w:t>
      </w:r>
      <w:r w:rsidRPr="0096107B" w:rsidDel="00C256D5">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as having zero debt, which substantially lowers the median loan debt for each program.  Also, while the NCES study includes all students paying loans for any reason, the D/E rates exclude students who are still enrolled in school, </w:t>
      </w:r>
      <w:r w:rsidR="00617B3A">
        <w:rPr>
          <w:rFonts w:ascii="Courier New" w:eastAsia="Times New Roman" w:hAnsi="Courier New" w:cs="Courier New"/>
          <w:sz w:val="24"/>
          <w:szCs w:val="24"/>
        </w:rPr>
        <w:t xml:space="preserve">are </w:t>
      </w:r>
      <w:r w:rsidRPr="0096107B">
        <w:rPr>
          <w:rFonts w:ascii="Courier New" w:eastAsia="Times New Roman" w:hAnsi="Courier New" w:cs="Courier New"/>
          <w:sz w:val="24"/>
          <w:szCs w:val="24"/>
        </w:rPr>
        <w:t xml:space="preserve">serving in the military, </w:t>
      </w:r>
      <w:r w:rsidR="00617B3A">
        <w:rPr>
          <w:rFonts w:ascii="Courier New" w:eastAsia="Times New Roman" w:hAnsi="Courier New" w:cs="Courier New"/>
          <w:sz w:val="24"/>
          <w:szCs w:val="24"/>
        </w:rPr>
        <w:t xml:space="preserve">have a total and permanent disability, </w:t>
      </w:r>
      <w:r w:rsidRPr="0096107B">
        <w:rPr>
          <w:rFonts w:ascii="Courier New" w:eastAsia="Times New Roman" w:hAnsi="Courier New" w:cs="Courier New"/>
          <w:sz w:val="24"/>
          <w:szCs w:val="24"/>
        </w:rPr>
        <w:t>or</w:t>
      </w:r>
      <w:r w:rsidRPr="0096107B" w:rsidDel="00C256D5">
        <w:rPr>
          <w:rFonts w:ascii="Courier New" w:eastAsia="Times New Roman" w:hAnsi="Courier New" w:cs="Courier New"/>
          <w:sz w:val="24"/>
          <w:szCs w:val="24"/>
        </w:rPr>
        <w:t xml:space="preserve"> are </w:t>
      </w:r>
      <w:r w:rsidRPr="0096107B">
        <w:rPr>
          <w:rFonts w:ascii="Courier New" w:eastAsia="Times New Roman" w:hAnsi="Courier New" w:cs="Courier New"/>
          <w:sz w:val="24"/>
          <w:szCs w:val="24"/>
        </w:rPr>
        <w:t xml:space="preserve">deceased, the overall effect of which is to, again, lower the D/E rates for each program.  Second, </w:t>
      </w:r>
      <w:r w:rsidR="007E2EA8">
        <w:rPr>
          <w:rFonts w:ascii="Courier New" w:eastAsia="Times New Roman" w:hAnsi="Courier New" w:cs="Courier New"/>
          <w:sz w:val="24"/>
          <w:szCs w:val="24"/>
        </w:rPr>
        <w:t xml:space="preserve">the NCES study measures actual amount borrowed, not the amount borrowed </w:t>
      </w:r>
      <w:r w:rsidR="003D132B">
        <w:rPr>
          <w:rFonts w:ascii="Courier New" w:eastAsia="Times New Roman" w:hAnsi="Courier New" w:cs="Courier New"/>
          <w:sz w:val="24"/>
          <w:szCs w:val="24"/>
        </w:rPr>
        <w:t xml:space="preserve">capped at the total of </w:t>
      </w:r>
      <w:r w:rsidR="007E2EA8">
        <w:rPr>
          <w:rFonts w:ascii="Courier New" w:eastAsia="Times New Roman" w:hAnsi="Courier New" w:cs="Courier New"/>
          <w:sz w:val="24"/>
          <w:szCs w:val="24"/>
        </w:rPr>
        <w:t>tuition, fees, books</w:t>
      </w:r>
      <w:r w:rsidR="00617B3A">
        <w:rPr>
          <w:rFonts w:ascii="Courier New" w:eastAsia="Times New Roman" w:hAnsi="Courier New" w:cs="Courier New"/>
          <w:sz w:val="24"/>
          <w:szCs w:val="24"/>
        </w:rPr>
        <w:t>, equipment</w:t>
      </w:r>
      <w:r w:rsidR="007E2EA8">
        <w:rPr>
          <w:rFonts w:ascii="Courier New" w:eastAsia="Times New Roman" w:hAnsi="Courier New" w:cs="Courier New"/>
          <w:sz w:val="24"/>
          <w:szCs w:val="24"/>
        </w:rPr>
        <w:t xml:space="preserve"> and supplies, </w:t>
      </w:r>
      <w:r w:rsidR="007E2EA8" w:rsidDel="003D132B">
        <w:rPr>
          <w:rFonts w:ascii="Courier New" w:eastAsia="Times New Roman" w:hAnsi="Courier New" w:cs="Courier New"/>
          <w:sz w:val="24"/>
          <w:szCs w:val="24"/>
        </w:rPr>
        <w:t>as</w:t>
      </w:r>
      <w:r w:rsidR="003D132B">
        <w:rPr>
          <w:rFonts w:ascii="Courier New" w:eastAsia="Times New Roman" w:hAnsi="Courier New" w:cs="Courier New"/>
          <w:sz w:val="24"/>
          <w:szCs w:val="24"/>
        </w:rPr>
        <w:t xml:space="preserve"> </w:t>
      </w:r>
      <w:r w:rsidR="00617B3A">
        <w:rPr>
          <w:rFonts w:ascii="Courier New" w:eastAsia="Times New Roman" w:hAnsi="Courier New" w:cs="Courier New"/>
          <w:sz w:val="24"/>
          <w:szCs w:val="24"/>
        </w:rPr>
        <w:t>is the case</w:t>
      </w:r>
      <w:r w:rsidR="007E2EA8">
        <w:rPr>
          <w:rFonts w:ascii="Courier New" w:eastAsia="Times New Roman" w:hAnsi="Courier New" w:cs="Courier New"/>
          <w:sz w:val="24"/>
          <w:szCs w:val="24"/>
        </w:rPr>
        <w:t xml:space="preserve">  under these regulations</w:t>
      </w:r>
      <w:r w:rsidR="00191630">
        <w:rPr>
          <w:rFonts w:ascii="Courier New" w:eastAsia="Times New Roman" w:hAnsi="Courier New" w:cs="Courier New"/>
          <w:sz w:val="24"/>
          <w:szCs w:val="24"/>
        </w:rPr>
        <w:t>. A</w:t>
      </w:r>
      <w:r w:rsidR="00F8479C">
        <w:rPr>
          <w:rFonts w:ascii="Courier New" w:eastAsia="Times New Roman" w:hAnsi="Courier New" w:cs="Courier New"/>
          <w:sz w:val="24"/>
          <w:szCs w:val="24"/>
        </w:rPr>
        <w:t xml:space="preserve">s discussed earlier, in every instance in which </w:t>
      </w:r>
      <w:r w:rsidR="00191630">
        <w:rPr>
          <w:rFonts w:ascii="Courier New" w:eastAsia="Times New Roman" w:hAnsi="Courier New" w:cs="Courier New"/>
          <w:sz w:val="24"/>
          <w:szCs w:val="24"/>
        </w:rPr>
        <w:t xml:space="preserve">the </w:t>
      </w:r>
      <w:r w:rsidR="00F8479C">
        <w:rPr>
          <w:rFonts w:ascii="Courier New" w:eastAsia="Times New Roman" w:hAnsi="Courier New" w:cs="Courier New"/>
          <w:sz w:val="24"/>
          <w:szCs w:val="24"/>
        </w:rPr>
        <w:t xml:space="preserve">actual amount borrowed exceeds tuition, fees, books and supplies, the </w:t>
      </w:r>
      <w:r w:rsidR="00BF3A8A">
        <w:rPr>
          <w:rFonts w:ascii="Courier New" w:eastAsia="Times New Roman" w:hAnsi="Courier New" w:cs="Courier New"/>
          <w:sz w:val="24"/>
          <w:szCs w:val="24"/>
        </w:rPr>
        <w:t>D/E</w:t>
      </w:r>
      <w:r w:rsidR="00F8479C">
        <w:rPr>
          <w:rFonts w:ascii="Courier New" w:eastAsia="Times New Roman" w:hAnsi="Courier New" w:cs="Courier New"/>
          <w:sz w:val="24"/>
          <w:szCs w:val="24"/>
        </w:rPr>
        <w:t xml:space="preserve"> </w:t>
      </w:r>
      <w:r w:rsidR="00BF3A8A">
        <w:rPr>
          <w:rFonts w:ascii="Courier New" w:eastAsia="Times New Roman" w:hAnsi="Courier New" w:cs="Courier New"/>
          <w:sz w:val="24"/>
          <w:szCs w:val="24"/>
        </w:rPr>
        <w:t>rates</w:t>
      </w:r>
      <w:r w:rsidR="00F8479C">
        <w:rPr>
          <w:rFonts w:ascii="Courier New" w:eastAsia="Times New Roman" w:hAnsi="Courier New" w:cs="Courier New"/>
          <w:sz w:val="24"/>
          <w:szCs w:val="24"/>
        </w:rPr>
        <w:t xml:space="preserve"> will be</w:t>
      </w:r>
      <w:r w:rsidR="00BF3A8A">
        <w:rPr>
          <w:rFonts w:ascii="Courier New" w:eastAsia="Times New Roman" w:hAnsi="Courier New" w:cs="Courier New"/>
          <w:sz w:val="24"/>
          <w:szCs w:val="24"/>
        </w:rPr>
        <w:t xml:space="preserve"> capped at that </w:t>
      </w:r>
      <w:r w:rsidR="00191630">
        <w:rPr>
          <w:rFonts w:ascii="Courier New" w:eastAsia="Times New Roman" w:hAnsi="Courier New" w:cs="Courier New"/>
          <w:sz w:val="24"/>
          <w:szCs w:val="24"/>
        </w:rPr>
        <w:t>tuition, fees, books</w:t>
      </w:r>
      <w:r w:rsidR="00BF3A8A">
        <w:rPr>
          <w:rFonts w:ascii="Courier New" w:eastAsia="Times New Roman" w:hAnsi="Courier New" w:cs="Courier New"/>
          <w:sz w:val="24"/>
          <w:szCs w:val="24"/>
        </w:rPr>
        <w:t xml:space="preserve"> and </w:t>
      </w:r>
      <w:r w:rsidR="00191630">
        <w:rPr>
          <w:rFonts w:ascii="Courier New" w:eastAsia="Times New Roman" w:hAnsi="Courier New" w:cs="Courier New"/>
          <w:sz w:val="24"/>
          <w:szCs w:val="24"/>
        </w:rPr>
        <w:t xml:space="preserve">supplies – not the actual (larger) loan </w:t>
      </w:r>
      <w:r w:rsidR="00BF3A8A">
        <w:rPr>
          <w:rFonts w:ascii="Courier New" w:eastAsia="Times New Roman" w:hAnsi="Courier New" w:cs="Courier New"/>
          <w:sz w:val="24"/>
          <w:szCs w:val="24"/>
        </w:rPr>
        <w:t>amount</w:t>
      </w:r>
      <w:r w:rsidR="00191630">
        <w:rPr>
          <w:rFonts w:ascii="Courier New" w:eastAsia="Times New Roman" w:hAnsi="Courier New" w:cs="Courier New"/>
          <w:sz w:val="24"/>
          <w:szCs w:val="24"/>
        </w:rPr>
        <w:t>. In every one of those instances,</w:t>
      </w:r>
      <w:r w:rsidR="00BF3A8A">
        <w:rPr>
          <w:rFonts w:ascii="Courier New" w:eastAsia="Times New Roman" w:hAnsi="Courier New" w:cs="Courier New"/>
          <w:sz w:val="24"/>
          <w:szCs w:val="24"/>
        </w:rPr>
        <w:t xml:space="preserve"> the D/E rates</w:t>
      </w:r>
      <w:r w:rsidR="00F8479C">
        <w:rPr>
          <w:rFonts w:ascii="Courier New" w:eastAsia="Times New Roman" w:hAnsi="Courier New" w:cs="Courier New"/>
          <w:sz w:val="24"/>
          <w:szCs w:val="24"/>
        </w:rPr>
        <w:t xml:space="preserve"> </w:t>
      </w:r>
      <w:r w:rsidR="00191630">
        <w:rPr>
          <w:rFonts w:ascii="Courier New" w:eastAsia="Times New Roman" w:hAnsi="Courier New" w:cs="Courier New"/>
          <w:sz w:val="24"/>
          <w:szCs w:val="24"/>
        </w:rPr>
        <w:t xml:space="preserve">calculated under these regulations </w:t>
      </w:r>
      <w:r w:rsidR="00F8479C">
        <w:rPr>
          <w:rFonts w:ascii="Courier New" w:eastAsia="Times New Roman" w:hAnsi="Courier New" w:cs="Courier New"/>
          <w:sz w:val="24"/>
          <w:szCs w:val="24"/>
        </w:rPr>
        <w:t xml:space="preserve">will </w:t>
      </w:r>
      <w:r w:rsidR="00191630">
        <w:rPr>
          <w:rFonts w:ascii="Courier New" w:eastAsia="Times New Roman" w:hAnsi="Courier New" w:cs="Courier New"/>
          <w:sz w:val="24"/>
          <w:szCs w:val="24"/>
        </w:rPr>
        <w:t xml:space="preserve">necessarily </w:t>
      </w:r>
      <w:r w:rsidR="00F8479C">
        <w:rPr>
          <w:rFonts w:ascii="Courier New" w:eastAsia="Times New Roman" w:hAnsi="Courier New" w:cs="Courier New"/>
          <w:sz w:val="24"/>
          <w:szCs w:val="24"/>
        </w:rPr>
        <w:t xml:space="preserve">be lower than the </w:t>
      </w:r>
      <w:r w:rsidR="00191630">
        <w:rPr>
          <w:rFonts w:ascii="Courier New" w:eastAsia="Times New Roman" w:hAnsi="Courier New" w:cs="Courier New"/>
          <w:sz w:val="24"/>
          <w:szCs w:val="24"/>
        </w:rPr>
        <w:t xml:space="preserve">amount of loan </w:t>
      </w:r>
      <w:r w:rsidR="00F8479C">
        <w:rPr>
          <w:rFonts w:ascii="Courier New" w:eastAsia="Times New Roman" w:hAnsi="Courier New" w:cs="Courier New"/>
          <w:sz w:val="24"/>
          <w:szCs w:val="24"/>
        </w:rPr>
        <w:t xml:space="preserve">debt </w:t>
      </w:r>
      <w:r w:rsidR="00191630">
        <w:rPr>
          <w:rFonts w:ascii="Courier New" w:eastAsia="Times New Roman" w:hAnsi="Courier New" w:cs="Courier New"/>
          <w:sz w:val="24"/>
          <w:szCs w:val="24"/>
        </w:rPr>
        <w:t>calculated in conventional studies, such as the</w:t>
      </w:r>
      <w:r w:rsidR="00F8479C">
        <w:rPr>
          <w:rFonts w:ascii="Courier New" w:eastAsia="Times New Roman" w:hAnsi="Courier New" w:cs="Courier New"/>
          <w:sz w:val="24"/>
          <w:szCs w:val="24"/>
        </w:rPr>
        <w:t xml:space="preserve"> NCES study </w:t>
      </w:r>
      <w:r w:rsidR="00191630">
        <w:rPr>
          <w:rFonts w:ascii="Courier New" w:eastAsia="Times New Roman" w:hAnsi="Courier New" w:cs="Courier New"/>
          <w:sz w:val="24"/>
          <w:szCs w:val="24"/>
        </w:rPr>
        <w:t xml:space="preserve">(which includes no indication that the term “debt” had any special, restricted meaning) </w:t>
      </w:r>
      <w:r w:rsidR="00F8479C">
        <w:rPr>
          <w:rFonts w:ascii="Courier New" w:eastAsia="Times New Roman" w:hAnsi="Courier New" w:cs="Courier New"/>
          <w:sz w:val="24"/>
          <w:szCs w:val="24"/>
        </w:rPr>
        <w:t xml:space="preserve">and the literature addressing this issue. </w:t>
      </w:r>
      <w:r w:rsidR="007E2EA8">
        <w:rPr>
          <w:rFonts w:ascii="Courier New" w:eastAsia="Times New Roman" w:hAnsi="Courier New" w:cs="Courier New"/>
          <w:sz w:val="24"/>
          <w:szCs w:val="24"/>
        </w:rPr>
        <w:t xml:space="preserve"> Third</w:t>
      </w:r>
      <w:r w:rsidRPr="0096107B">
        <w:rPr>
          <w:rFonts w:ascii="Courier New" w:eastAsia="Times New Roman" w:hAnsi="Courier New" w:cs="Courier New"/>
          <w:sz w:val="24"/>
          <w:szCs w:val="24"/>
        </w:rPr>
        <w:t xml:space="preserve">, the NCES study measures earnings only one year after completion, but under the D/E rates measure, earnings are measured about three years after completion.  Since earnings tend to increase after completion of </w:t>
      </w:r>
      <w:r w:rsidRPr="0096107B">
        <w:rPr>
          <w:rFonts w:ascii="Courier New" w:eastAsia="Times New Roman" w:hAnsi="Courier New" w:cs="Courier New"/>
          <w:sz w:val="24"/>
          <w:szCs w:val="24"/>
        </w:rPr>
        <w:lastRenderedPageBreak/>
        <w:t xml:space="preserve">postsecondary programs as students gain more experience in the workforce, D/E rates under the regulations will tend to be lower than those reflected in the NCES study.  </w:t>
      </w:r>
      <w:r w:rsidR="007E2EA8">
        <w:rPr>
          <w:rFonts w:ascii="Courier New" w:eastAsia="Times New Roman" w:hAnsi="Courier New" w:cs="Courier New"/>
          <w:sz w:val="24"/>
          <w:szCs w:val="24"/>
        </w:rPr>
        <w:t>F</w:t>
      </w:r>
      <w:r w:rsidR="00601ED3">
        <w:rPr>
          <w:rFonts w:ascii="Courier New" w:eastAsia="Times New Roman" w:hAnsi="Courier New" w:cs="Courier New"/>
          <w:sz w:val="24"/>
          <w:szCs w:val="24"/>
        </w:rPr>
        <w:t>o</w:t>
      </w:r>
      <w:r w:rsidR="007E2EA8">
        <w:rPr>
          <w:rFonts w:ascii="Courier New" w:eastAsia="Times New Roman" w:hAnsi="Courier New" w:cs="Courier New"/>
          <w:sz w:val="24"/>
          <w:szCs w:val="24"/>
        </w:rPr>
        <w:t>urth</w:t>
      </w:r>
      <w:r w:rsidRPr="0096107B">
        <w:rPr>
          <w:rFonts w:ascii="Courier New" w:eastAsia="Times New Roman" w:hAnsi="Courier New" w:cs="Courier New"/>
          <w:sz w:val="24"/>
          <w:szCs w:val="24"/>
        </w:rPr>
        <w:t xml:space="preserve">, the NCES study does not include a discretionary income rate.  We believe some programs with relatively high annual earnings rates will pass the discretionary income rate metric because they have graduates who have higher earnings even though they have large amounts of debt.  </w:t>
      </w:r>
      <w:r w:rsidR="007E2EA8">
        <w:rPr>
          <w:rFonts w:ascii="Courier New" w:eastAsia="Times New Roman" w:hAnsi="Courier New" w:cs="Courier New"/>
          <w:sz w:val="24"/>
          <w:szCs w:val="24"/>
        </w:rPr>
        <w:t>Fifth</w:t>
      </w:r>
      <w:r w:rsidRPr="0096107B">
        <w:rPr>
          <w:rFonts w:ascii="Courier New" w:eastAsia="Times New Roman" w:hAnsi="Courier New" w:cs="Courier New"/>
          <w:sz w:val="24"/>
          <w:szCs w:val="24"/>
        </w:rPr>
        <w:t xml:space="preserve">, under the D/E rates measure, we </w:t>
      </w:r>
      <w:r w:rsidR="0034756B">
        <w:rPr>
          <w:rFonts w:ascii="Courier New" w:eastAsia="Times New Roman" w:hAnsi="Courier New" w:cs="Courier New"/>
          <w:sz w:val="24"/>
          <w:szCs w:val="24"/>
        </w:rPr>
        <w:t>use</w:t>
      </w:r>
      <w:r w:rsidRPr="0096107B">
        <w:rPr>
          <w:rFonts w:ascii="Courier New" w:eastAsia="Times New Roman" w:hAnsi="Courier New" w:cs="Courier New"/>
          <w:sz w:val="24"/>
          <w:szCs w:val="24"/>
        </w:rPr>
        <w:t xml:space="preserve"> the higher of mean and median of earnings and the median of debt, rather than </w:t>
      </w:r>
      <w:r w:rsidR="00E12ED8">
        <w:rPr>
          <w:rFonts w:ascii="Courier New" w:eastAsia="Times New Roman" w:hAnsi="Courier New" w:cs="Courier New"/>
          <w:sz w:val="24"/>
          <w:szCs w:val="24"/>
        </w:rPr>
        <w:t>just</w:t>
      </w:r>
      <w:r w:rsidR="00B60010">
        <w:rPr>
          <w:rFonts w:ascii="Courier New" w:eastAsia="Times New Roman" w:hAnsi="Courier New" w:cs="Courier New"/>
          <w:sz w:val="24"/>
          <w:szCs w:val="24"/>
        </w:rPr>
        <w:t xml:space="preserve"> mean</w:t>
      </w:r>
      <w:r w:rsidR="00FA7D24">
        <w:rPr>
          <w:rFonts w:ascii="Courier New" w:eastAsia="Times New Roman" w:hAnsi="Courier New" w:cs="Courier New"/>
          <w:sz w:val="24"/>
          <w:szCs w:val="24"/>
        </w:rPr>
        <w:t>s</w:t>
      </w:r>
      <w:r w:rsidRPr="0096107B">
        <w:rPr>
          <w:rFonts w:ascii="Courier New" w:eastAsia="Times New Roman" w:hAnsi="Courier New" w:cs="Courier New"/>
          <w:sz w:val="24"/>
          <w:szCs w:val="24"/>
        </w:rPr>
        <w:t>.  We believe this aspect of the regulations will also lead to lower D/E rates than those reflected in the NCES study because it makes the D/E rates measure less sensitive in extreme cases of high debt and low earnings among students who complete a program at each institution.  These differences in methodology reflect policy goals</w:t>
      </w:r>
      <w:r w:rsidR="007B61F2">
        <w:rPr>
          <w:rFonts w:ascii="Courier New" w:eastAsia="Times New Roman" w:hAnsi="Courier New" w:cs="Courier New"/>
          <w:sz w:val="24"/>
          <w:szCs w:val="24"/>
        </w:rPr>
        <w:t xml:space="preserve"> that have been incorporated into the regulations</w:t>
      </w:r>
      <w:r w:rsidRPr="0096107B">
        <w:rPr>
          <w:rFonts w:ascii="Courier New" w:eastAsia="Times New Roman" w:hAnsi="Courier New" w:cs="Courier New"/>
          <w:sz w:val="24"/>
          <w:szCs w:val="24"/>
        </w:rPr>
        <w:t xml:space="preserve">, including goals relating to the accessibility and affordability of GE programs, as well as Department interests in ensuring the equitable application of these regulations to institutions in different sectors and the coordination of these regulations with other Federal </w:t>
      </w:r>
      <w:r w:rsidR="00617B3A">
        <w:rPr>
          <w:rFonts w:ascii="Courier New" w:eastAsia="Times New Roman" w:hAnsi="Courier New" w:cs="Courier New"/>
          <w:sz w:val="24"/>
          <w:szCs w:val="24"/>
        </w:rPr>
        <w:t xml:space="preserve">student </w:t>
      </w:r>
      <w:r w:rsidRPr="0096107B">
        <w:rPr>
          <w:rFonts w:ascii="Courier New" w:eastAsia="Times New Roman" w:hAnsi="Courier New" w:cs="Courier New"/>
          <w:sz w:val="24"/>
          <w:szCs w:val="24"/>
        </w:rPr>
        <w:t xml:space="preserve">aid programs.  As a result, the results of the NCES study do not provide a useful basis for evaluating the D/E rates thresholds.  </w:t>
      </w:r>
    </w:p>
    <w:p w14:paraId="5CAE7797" w14:textId="41E87532"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Similarly, we disagree with comment</w:t>
      </w:r>
      <w:r w:rsidR="007B61F2">
        <w:rPr>
          <w:rFonts w:ascii="Courier New" w:eastAsia="Times New Roman" w:hAnsi="Courier New" w:cs="Courier New"/>
          <w:sz w:val="24"/>
          <w:szCs w:val="24"/>
        </w:rPr>
        <w:t>er</w:t>
      </w:r>
      <w:r w:rsidRPr="0096107B">
        <w:rPr>
          <w:rFonts w:ascii="Courier New" w:eastAsia="Times New Roman" w:hAnsi="Courier New" w:cs="Courier New"/>
          <w:sz w:val="24"/>
          <w:szCs w:val="24"/>
        </w:rPr>
        <w:t>s</w:t>
      </w:r>
      <w:r w:rsidR="007B61F2">
        <w:rPr>
          <w:rFonts w:ascii="Courier New" w:eastAsia="Times New Roman" w:hAnsi="Courier New" w:cs="Courier New"/>
          <w:sz w:val="24"/>
          <w:szCs w:val="24"/>
        </w:rPr>
        <w:t xml:space="preserve"> who argued</w:t>
      </w:r>
      <w:r w:rsidRPr="0096107B">
        <w:rPr>
          <w:rFonts w:ascii="Courier New" w:eastAsia="Times New Roman" w:hAnsi="Courier New" w:cs="Courier New"/>
          <w:sz w:val="24"/>
          <w:szCs w:val="24"/>
        </w:rPr>
        <w:t xml:space="preserve"> that BPS data</w:t>
      </w:r>
      <w:r w:rsidR="007B61F2">
        <w:rPr>
          <w:rFonts w:ascii="Courier New" w:eastAsia="Times New Roman" w:hAnsi="Courier New" w:cs="Courier New"/>
          <w:sz w:val="24"/>
          <w:szCs w:val="24"/>
        </w:rPr>
        <w:t xml:space="preserve"> showing that</w:t>
      </w:r>
      <w:r w:rsidR="007B61F2" w:rsidRPr="0096107B">
        <w:rPr>
          <w:rFonts w:ascii="Courier New" w:eastAsia="Times New Roman" w:hAnsi="Courier New" w:cs="Courier New"/>
          <w:sz w:val="24"/>
          <w:szCs w:val="24"/>
        </w:rPr>
        <w:t xml:space="preserve">, on average, graduating bachelor’s degree </w:t>
      </w:r>
      <w:r w:rsidR="007B61F2" w:rsidRPr="0096107B">
        <w:rPr>
          <w:rFonts w:ascii="Courier New" w:eastAsia="Times New Roman" w:hAnsi="Courier New" w:cs="Courier New"/>
          <w:sz w:val="24"/>
          <w:szCs w:val="24"/>
        </w:rPr>
        <w:lastRenderedPageBreak/>
        <w:t>students have annual earnings rates above 8 percent</w:t>
      </w:r>
      <w:r w:rsidRPr="0096107B">
        <w:rPr>
          <w:rFonts w:ascii="Courier New" w:eastAsia="Times New Roman" w:hAnsi="Courier New" w:cs="Courier New"/>
          <w:sz w:val="24"/>
          <w:szCs w:val="24"/>
        </w:rPr>
        <w:t xml:space="preserve"> indicate the thresholds </w:t>
      </w:r>
      <w:r w:rsidR="007B61F2">
        <w:rPr>
          <w:rFonts w:ascii="Courier New" w:eastAsia="Times New Roman" w:hAnsi="Courier New" w:cs="Courier New"/>
          <w:sz w:val="24"/>
          <w:szCs w:val="24"/>
        </w:rPr>
        <w:t>are</w:t>
      </w:r>
      <w:r w:rsidRPr="0096107B">
        <w:rPr>
          <w:rFonts w:ascii="Courier New" w:eastAsia="Times New Roman" w:hAnsi="Courier New" w:cs="Courier New"/>
          <w:sz w:val="24"/>
          <w:szCs w:val="24"/>
        </w:rPr>
        <w:t xml:space="preserve"> inappropriate.  The data cited by </w:t>
      </w:r>
      <w:r w:rsidR="007B61F2">
        <w:rPr>
          <w:rFonts w:ascii="Courier New" w:eastAsia="Times New Roman" w:hAnsi="Courier New" w:cs="Courier New"/>
          <w:sz w:val="24"/>
          <w:szCs w:val="24"/>
        </w:rPr>
        <w:t xml:space="preserve">the </w:t>
      </w:r>
      <w:r w:rsidRPr="0096107B">
        <w:rPr>
          <w:rFonts w:ascii="Courier New" w:eastAsia="Times New Roman" w:hAnsi="Courier New" w:cs="Courier New"/>
          <w:sz w:val="24"/>
          <w:szCs w:val="24"/>
        </w:rPr>
        <w:t>commenters exclude graduates who graduated with zero debt, which comprise about one-third of students graduating with a bachelor’s degree.</w:t>
      </w:r>
      <w:r w:rsidR="005E171A">
        <w:rPr>
          <w:rStyle w:val="FootnoteReference"/>
          <w:rFonts w:ascii="Courier New" w:eastAsia="Times New Roman" w:hAnsi="Courier New"/>
          <w:sz w:val="24"/>
          <w:szCs w:val="24"/>
        </w:rPr>
        <w:footnoteReference w:id="126"/>
      </w:r>
      <w:r w:rsidRPr="0096107B">
        <w:rPr>
          <w:rFonts w:ascii="Courier New" w:eastAsia="Times New Roman" w:hAnsi="Courier New" w:cs="Courier New"/>
          <w:sz w:val="24"/>
          <w:szCs w:val="24"/>
        </w:rPr>
        <w:t xml:space="preserve"> </w:t>
      </w:r>
      <w:r w:rsidR="00111CA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Also, earnings levels in BPS are reported six years after </w:t>
      </w:r>
      <w:r w:rsidRPr="00111CAB">
        <w:rPr>
          <w:rFonts w:ascii="Courier New" w:eastAsia="Times New Roman" w:hAnsi="Courier New" w:cs="Courier New"/>
          <w:sz w:val="24"/>
          <w:szCs w:val="24"/>
        </w:rPr>
        <w:t>enrollment</w:t>
      </w:r>
      <w:r w:rsidRPr="0096107B">
        <w:rPr>
          <w:rFonts w:ascii="Courier New" w:eastAsia="Times New Roman" w:hAnsi="Courier New" w:cs="Courier New"/>
          <w:sz w:val="24"/>
          <w:szCs w:val="24"/>
        </w:rPr>
        <w:t xml:space="preserve">, while the D/E rates measure earnings about three years after </w:t>
      </w:r>
      <w:r w:rsidRPr="00111CAB">
        <w:rPr>
          <w:rFonts w:ascii="Courier New" w:eastAsia="Times New Roman" w:hAnsi="Courier New" w:cs="Courier New"/>
          <w:sz w:val="24"/>
          <w:szCs w:val="24"/>
        </w:rPr>
        <w:t>completion</w:t>
      </w:r>
      <w:r w:rsidRPr="0096107B">
        <w:rPr>
          <w:rFonts w:ascii="Courier New" w:eastAsia="Times New Roman" w:hAnsi="Courier New" w:cs="Courier New"/>
          <w:sz w:val="24"/>
          <w:szCs w:val="24"/>
        </w:rPr>
        <w:t xml:space="preserve">. </w:t>
      </w:r>
      <w:r w:rsidR="00111CA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Another limitation of BPS survey data is that they only measure income from the student’s primary job, while the D/E rates include all sources of income reported to the Social Security Administration (SSA). </w:t>
      </w:r>
    </w:p>
    <w:p w14:paraId="2C2EBD57"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18227226" w14:textId="4D6B5F3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Commenters said the D/E rates measure lacks a rational basis as an accountability metric.  They contend</w:t>
      </w:r>
      <w:r w:rsidR="00AE2B40">
        <w:rPr>
          <w:rFonts w:ascii="Courier New" w:eastAsia="Times New Roman" w:hAnsi="Courier New" w:cs="Courier New"/>
          <w:sz w:val="24"/>
          <w:szCs w:val="24"/>
        </w:rPr>
        <w:t>ed</w:t>
      </w:r>
      <w:r w:rsidRPr="0096107B">
        <w:rPr>
          <w:rFonts w:ascii="Courier New" w:eastAsia="Times New Roman" w:hAnsi="Courier New" w:cs="Courier New"/>
          <w:sz w:val="24"/>
          <w:szCs w:val="24"/>
        </w:rPr>
        <w:t xml:space="preserve"> that, in adopting the D/E rates measure, the Department places too much weight on the study by Baum and Schwartz and mortgage underwriting standards in identifying thresholds.  Commenters said the Department disregards other studies and data sources showing that most programs would not pass the D/E rates measure if it were applied to all postsecondary programs.  The commenters asserted the Department should be applying a metric </w:t>
      </w:r>
      <w:r w:rsidRPr="0096107B">
        <w:rPr>
          <w:rFonts w:ascii="Courier New" w:eastAsia="Times New Roman" w:hAnsi="Courier New" w:cs="Courier New"/>
          <w:sz w:val="24"/>
          <w:szCs w:val="24"/>
        </w:rPr>
        <w:lastRenderedPageBreak/>
        <w:t xml:space="preserve">supported by other data studies, relying on data from </w:t>
      </w:r>
      <w:r w:rsidRPr="0096107B">
        <w:rPr>
          <w:rFonts w:ascii="Courier New" w:eastAsia="Times New Roman" w:hAnsi="Courier New" w:cs="Courier New"/>
          <w:sz w:val="24"/>
          <w:szCs w:val="24"/>
          <w:lang w:val="en"/>
        </w:rPr>
        <w:t>NPSAS</w:t>
      </w:r>
      <w:r w:rsidRPr="0096107B">
        <w:rPr>
          <w:rFonts w:ascii="Courier New" w:eastAsia="Times New Roman" w:hAnsi="Courier New" w:cs="Courier New"/>
          <w:sz w:val="24"/>
          <w:szCs w:val="24"/>
        </w:rPr>
        <w:t xml:space="preserve">, along with studies conducted by NCES and the American Enterprise Institute, on debt and earnings levels of college graduates.  </w:t>
      </w:r>
    </w:p>
    <w:p w14:paraId="7C81D07A"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Commenters also asserted that the data the Department used to analyze the proposed regulations was biased and weak because it only included a small fraction of all GE programs.  For this reason, they argued the Department should have considered additional data sources that would have provided more accurate information about the impact of the regulations.</w:t>
      </w:r>
    </w:p>
    <w:p w14:paraId="1B27CCC3" w14:textId="5AC90B65" w:rsidR="0096107B" w:rsidRPr="0096107B" w:rsidRDefault="0096107B" w:rsidP="007B61F2">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The Department considered a number of data and research sources and authorities in formulating the D/E rates measure.  In addition to the analysis and recommendation of Baum and Schwartz, we considered research on earnings gains by other scholars, including Cellini and Chaudhary,</w:t>
      </w:r>
      <w:r w:rsidRPr="0096107B">
        <w:rPr>
          <w:rFonts w:ascii="Courier New" w:eastAsia="Times New Roman" w:hAnsi="Courier New" w:cs="Courier New"/>
          <w:sz w:val="24"/>
          <w:szCs w:val="24"/>
          <w:vertAlign w:val="superscript"/>
        </w:rPr>
        <w:footnoteReference w:id="127"/>
      </w:r>
      <w:r w:rsidRPr="0096107B">
        <w:rPr>
          <w:rFonts w:ascii="Courier New" w:eastAsia="Times New Roman" w:hAnsi="Courier New" w:cs="Courier New"/>
          <w:sz w:val="24"/>
          <w:szCs w:val="24"/>
        </w:rPr>
        <w:t xml:space="preserve"> Kane and Rouse,</w:t>
      </w:r>
      <w:r w:rsidRPr="0096107B">
        <w:rPr>
          <w:rFonts w:ascii="Courier New" w:eastAsia="Times New Roman" w:hAnsi="Courier New" w:cs="Courier New"/>
          <w:sz w:val="24"/>
          <w:szCs w:val="24"/>
          <w:vertAlign w:val="superscript"/>
        </w:rPr>
        <w:footnoteReference w:id="128"/>
      </w:r>
      <w:r w:rsidRPr="0096107B">
        <w:rPr>
          <w:rFonts w:ascii="Courier New" w:eastAsia="Times New Roman" w:hAnsi="Courier New" w:cs="Courier New"/>
          <w:sz w:val="24"/>
          <w:szCs w:val="24"/>
        </w:rPr>
        <w:t xml:space="preserve"> Avery and Turner,</w:t>
      </w:r>
      <w:r w:rsidRPr="0096107B">
        <w:rPr>
          <w:rFonts w:ascii="Courier New" w:eastAsia="Times New Roman" w:hAnsi="Courier New" w:cs="Courier New"/>
          <w:sz w:val="24"/>
          <w:szCs w:val="24"/>
          <w:vertAlign w:val="superscript"/>
        </w:rPr>
        <w:footnoteReference w:id="129"/>
      </w:r>
      <w:r w:rsidRPr="0096107B">
        <w:rPr>
          <w:rFonts w:ascii="Courier New" w:eastAsia="Times New Roman" w:hAnsi="Courier New" w:cs="Courier New"/>
          <w:sz w:val="24"/>
          <w:szCs w:val="24"/>
        </w:rPr>
        <w:t xml:space="preserve"> and Deming, Goldin, and Katz.</w:t>
      </w:r>
      <w:r w:rsidRPr="0096107B">
        <w:rPr>
          <w:rFonts w:ascii="Courier New" w:eastAsia="Times New Roman" w:hAnsi="Courier New" w:cs="Courier New"/>
          <w:sz w:val="24"/>
          <w:szCs w:val="24"/>
          <w:vertAlign w:val="superscript"/>
        </w:rPr>
        <w:footnoteReference w:id="130"/>
      </w:r>
      <w:r w:rsidRPr="0096107B">
        <w:rPr>
          <w:rFonts w:ascii="Courier New" w:eastAsia="Times New Roman" w:hAnsi="Courier New" w:cs="Courier New"/>
          <w:sz w:val="24"/>
          <w:szCs w:val="24"/>
        </w:rPr>
        <w:t xml:space="preserve">  We also took into account lending ratios currently set by the FHA and the CFPB, as they estimate sustainable levels of non-housing debt.  As stated previously, we do not believe that the NCES </w:t>
      </w:r>
      <w:r w:rsidR="00AE2B40">
        <w:rPr>
          <w:rFonts w:ascii="Courier New" w:eastAsia="Times New Roman" w:hAnsi="Courier New" w:cs="Courier New"/>
          <w:sz w:val="24"/>
          <w:szCs w:val="24"/>
        </w:rPr>
        <w:t xml:space="preserve">study </w:t>
      </w:r>
      <w:r w:rsidRPr="0096107B">
        <w:rPr>
          <w:rFonts w:ascii="Courier New" w:eastAsia="Times New Roman" w:hAnsi="Courier New" w:cs="Courier New"/>
          <w:sz w:val="24"/>
          <w:szCs w:val="24"/>
        </w:rPr>
        <w:t>and</w:t>
      </w:r>
      <w:r w:rsidR="00AE2B40">
        <w:rPr>
          <w:rFonts w:ascii="Courier New" w:eastAsia="Times New Roman" w:hAnsi="Courier New" w:cs="Courier New"/>
          <w:sz w:val="24"/>
          <w:szCs w:val="24"/>
        </w:rPr>
        <w:t xml:space="preserve"> the</w:t>
      </w:r>
      <w:r w:rsidRPr="0096107B">
        <w:rPr>
          <w:rFonts w:ascii="Courier New" w:eastAsia="Times New Roman" w:hAnsi="Courier New" w:cs="Courier New"/>
          <w:sz w:val="24"/>
          <w:szCs w:val="24"/>
        </w:rPr>
        <w:t xml:space="preserve"> other studies suggested by commenters use a </w:t>
      </w:r>
      <w:r w:rsidRPr="0096107B">
        <w:rPr>
          <w:rFonts w:ascii="Courier New" w:eastAsia="Times New Roman" w:hAnsi="Courier New" w:cs="Courier New"/>
          <w:sz w:val="24"/>
          <w:szCs w:val="24"/>
        </w:rPr>
        <w:lastRenderedPageBreak/>
        <w:t xml:space="preserve">comparable methodology, and further, we do not agree </w:t>
      </w:r>
      <w:r w:rsidR="00AE2B40">
        <w:rPr>
          <w:rFonts w:ascii="Courier New" w:eastAsia="Times New Roman" w:hAnsi="Courier New" w:cs="Courier New"/>
          <w:sz w:val="24"/>
          <w:szCs w:val="24"/>
        </w:rPr>
        <w:t>with</w:t>
      </w:r>
      <w:r w:rsidR="00AE2B40"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the conclusions the commenters draw from these studies.      </w:t>
      </w:r>
    </w:p>
    <w:p w14:paraId="60E712CE" w14:textId="72DA84E1" w:rsidR="0096107B" w:rsidRPr="0096107B" w:rsidRDefault="0096107B" w:rsidP="00DA10B1">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In analyzing the potential impact of the D/E rates measure, we relied primarily on data from </w:t>
      </w:r>
      <w:r w:rsidR="00AA5CD5">
        <w:rPr>
          <w:rFonts w:ascii="Courier New" w:eastAsia="Times New Roman" w:hAnsi="Courier New" w:cs="Courier New"/>
          <w:sz w:val="24"/>
          <w:szCs w:val="24"/>
        </w:rPr>
        <w:t>NSLDS</w:t>
      </w:r>
      <w:r w:rsidRPr="0096107B">
        <w:rPr>
          <w:rFonts w:ascii="Courier New" w:eastAsia="Times New Roman" w:hAnsi="Courier New" w:cs="Courier New"/>
          <w:sz w:val="24"/>
          <w:szCs w:val="24"/>
        </w:rPr>
        <w:t xml:space="preserve"> because it contains a complete record of all students receiving title IV, HEA program funds from each program.  Although we also have access to data from sample surveys, such as BPS and NPSAS, we did not rely on such data because we had access to a full data set of students in GE programs.</w:t>
      </w:r>
      <w:r w:rsidR="00DA10B1">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NPSAS data </w:t>
      </w:r>
      <w:r w:rsidR="00F0739B">
        <w:rPr>
          <w:rFonts w:ascii="Courier New" w:eastAsia="Times New Roman" w:hAnsi="Courier New" w:cs="Courier New"/>
          <w:sz w:val="24"/>
          <w:szCs w:val="24"/>
        </w:rPr>
        <w:t xml:space="preserve">also </w:t>
      </w:r>
      <w:r w:rsidRPr="0096107B">
        <w:rPr>
          <w:rFonts w:ascii="Courier New" w:eastAsia="Times New Roman" w:hAnsi="Courier New" w:cs="Courier New"/>
          <w:sz w:val="24"/>
          <w:szCs w:val="24"/>
        </w:rPr>
        <w:t xml:space="preserve">do not allow for the calculation of D/E rates that are comparable to the D/E rates being evaluated under this regulation.  </w:t>
      </w:r>
      <w:r w:rsidR="00A00260">
        <w:rPr>
          <w:rFonts w:ascii="Courier New" w:eastAsia="Times New Roman" w:hAnsi="Courier New" w:cs="Courier New"/>
          <w:sz w:val="24"/>
          <w:szCs w:val="24"/>
        </w:rPr>
        <w:t xml:space="preserve">Because NCES and NPSAS data focus on studying all undergraduate students rather than just students who attend GE programs, </w:t>
      </w:r>
      <w:r w:rsidRPr="0096107B">
        <w:rPr>
          <w:rFonts w:ascii="Courier New" w:eastAsia="Times New Roman" w:hAnsi="Courier New" w:cs="Courier New"/>
          <w:sz w:val="24"/>
          <w:szCs w:val="24"/>
        </w:rPr>
        <w:t xml:space="preserve">NCES and NPSAS data provide information on a different population of students than those we expect to be evaluated </w:t>
      </w:r>
      <w:r w:rsidR="000641D4">
        <w:rPr>
          <w:rFonts w:ascii="Courier New" w:eastAsia="Times New Roman" w:hAnsi="Courier New" w:cs="Courier New"/>
          <w:sz w:val="24"/>
          <w:szCs w:val="24"/>
        </w:rPr>
        <w:t>under the</w:t>
      </w:r>
      <w:r w:rsidRPr="0096107B">
        <w:rPr>
          <w:rFonts w:ascii="Courier New" w:eastAsia="Times New Roman" w:hAnsi="Courier New" w:cs="Courier New"/>
          <w:sz w:val="24"/>
          <w:szCs w:val="24"/>
        </w:rPr>
        <w:t xml:space="preserve"> D/E rates </w:t>
      </w:r>
      <w:r w:rsidR="000641D4">
        <w:rPr>
          <w:rFonts w:ascii="Courier New" w:eastAsia="Times New Roman" w:hAnsi="Courier New" w:cs="Courier New"/>
          <w:sz w:val="24"/>
          <w:szCs w:val="24"/>
        </w:rPr>
        <w:t>measure</w:t>
      </w:r>
      <w:r w:rsidR="00A00260">
        <w:rPr>
          <w:rFonts w:ascii="Courier New" w:eastAsia="Times New Roman" w:hAnsi="Courier New" w:cs="Courier New"/>
          <w:sz w:val="24"/>
          <w:szCs w:val="24"/>
        </w:rPr>
        <w:t xml:space="preserve">. </w:t>
      </w:r>
      <w:r w:rsidR="00F0739B">
        <w:rPr>
          <w:rFonts w:ascii="Courier New" w:eastAsia="Times New Roman" w:hAnsi="Courier New" w:cs="Courier New"/>
          <w:sz w:val="24"/>
          <w:szCs w:val="24"/>
        </w:rPr>
        <w:t xml:space="preserve"> </w:t>
      </w:r>
      <w:r w:rsidR="00A00260">
        <w:rPr>
          <w:rFonts w:ascii="Courier New" w:eastAsia="Times New Roman" w:hAnsi="Courier New" w:cs="Courier New"/>
          <w:sz w:val="24"/>
          <w:szCs w:val="24"/>
        </w:rPr>
        <w:t>Additionally,</w:t>
      </w:r>
      <w:r w:rsidRPr="0096107B">
        <w:rPr>
          <w:rFonts w:ascii="Courier New" w:eastAsia="Times New Roman" w:hAnsi="Courier New" w:cs="Courier New"/>
          <w:sz w:val="24"/>
          <w:szCs w:val="24"/>
        </w:rPr>
        <w:t xml:space="preserve"> NCES survey data do not provide earnings information about students three to four years after graduation, </w:t>
      </w:r>
      <w:r w:rsidR="000641D4">
        <w:rPr>
          <w:rFonts w:ascii="Courier New" w:eastAsia="Times New Roman" w:hAnsi="Courier New" w:cs="Courier New"/>
          <w:sz w:val="24"/>
          <w:szCs w:val="24"/>
        </w:rPr>
        <w:t xml:space="preserve">which is </w:t>
      </w:r>
      <w:r w:rsidRPr="0096107B">
        <w:rPr>
          <w:rFonts w:ascii="Courier New" w:eastAsia="Times New Roman" w:hAnsi="Courier New" w:cs="Courier New"/>
          <w:sz w:val="24"/>
          <w:szCs w:val="24"/>
        </w:rPr>
        <w:t xml:space="preserve">the timeframe for calculating D/E rates.   </w:t>
      </w:r>
    </w:p>
    <w:p w14:paraId="1BC94AFF" w14:textId="3EB1B735"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w:t>
      </w:r>
      <w:r w:rsidR="000641D4">
        <w:rPr>
          <w:rFonts w:ascii="Courier New" w:eastAsia="Times New Roman" w:hAnsi="Courier New" w:cs="Courier New"/>
          <w:sz w:val="24"/>
          <w:szCs w:val="24"/>
        </w:rPr>
        <w:t>do not agree</w:t>
      </w:r>
      <w:r w:rsidRPr="0096107B">
        <w:rPr>
          <w:rFonts w:ascii="Courier New" w:eastAsia="Times New Roman" w:hAnsi="Courier New" w:cs="Courier New"/>
          <w:sz w:val="24"/>
          <w:szCs w:val="24"/>
        </w:rPr>
        <w:t xml:space="preserve"> that our analyses did not sufficiently </w:t>
      </w:r>
      <w:r w:rsidR="000641D4">
        <w:rPr>
          <w:rFonts w:ascii="Courier New" w:eastAsia="Times New Roman" w:hAnsi="Courier New" w:cs="Courier New"/>
          <w:sz w:val="24"/>
          <w:szCs w:val="24"/>
        </w:rPr>
        <w:t>consider</w:t>
      </w:r>
      <w:r w:rsidRPr="0096107B">
        <w:rPr>
          <w:rFonts w:ascii="Courier New" w:eastAsia="Times New Roman" w:hAnsi="Courier New" w:cs="Courier New"/>
          <w:sz w:val="24"/>
          <w:szCs w:val="24"/>
        </w:rPr>
        <w:t xml:space="preserve"> data presented by the American Enterprise Institute.</w:t>
      </w:r>
      <w:r w:rsidRPr="0096107B">
        <w:rPr>
          <w:rFonts w:ascii="Courier New" w:eastAsia="Times New Roman" w:hAnsi="Courier New" w:cs="Courier New"/>
          <w:sz w:val="24"/>
          <w:szCs w:val="24"/>
          <w:vertAlign w:val="superscript"/>
        </w:rPr>
        <w:footnoteReference w:id="131"/>
      </w:r>
      <w:r w:rsidRPr="0096107B">
        <w:rPr>
          <w:rFonts w:ascii="Courier New" w:eastAsia="Times New Roman" w:hAnsi="Courier New" w:cs="Courier New"/>
          <w:sz w:val="24"/>
          <w:szCs w:val="24"/>
        </w:rPr>
        <w:t xml:space="preserve">  As noted earlier in the summary of comments about the impact of the regulations on for-profit institutions, the</w:t>
      </w:r>
      <w:r w:rsidR="00617B3A">
        <w:rPr>
          <w:rFonts w:ascii="Courier New" w:eastAsia="Times New Roman" w:hAnsi="Courier New" w:cs="Courier New"/>
          <w:sz w:val="24"/>
          <w:szCs w:val="24"/>
        </w:rPr>
        <w:t xml:space="preserve"> American </w:t>
      </w:r>
      <w:r w:rsidR="00617B3A">
        <w:rPr>
          <w:rFonts w:ascii="Courier New" w:eastAsia="Times New Roman" w:hAnsi="Courier New" w:cs="Courier New"/>
          <w:sz w:val="24"/>
          <w:szCs w:val="24"/>
        </w:rPr>
        <w:lastRenderedPageBreak/>
        <w:t>Enterprise Institute</w:t>
      </w:r>
      <w:r w:rsidRPr="0096107B">
        <w:rPr>
          <w:rFonts w:ascii="Courier New" w:eastAsia="Times New Roman" w:hAnsi="Courier New" w:cs="Courier New"/>
          <w:sz w:val="24"/>
          <w:szCs w:val="24"/>
        </w:rPr>
        <w:t xml:space="preserve"> data suggest, based on </w:t>
      </w:r>
      <w:r w:rsidR="00FA2D5E">
        <w:rPr>
          <w:rFonts w:ascii="Courier New" w:eastAsia="Times New Roman" w:hAnsi="Courier New" w:cs="Courier New"/>
          <w:sz w:val="24"/>
          <w:szCs w:val="24"/>
        </w:rPr>
        <w:t>data from the</w:t>
      </w:r>
      <w:r w:rsidRPr="0096107B">
        <w:rPr>
          <w:rFonts w:ascii="Courier New" w:eastAsia="Times New Roman" w:hAnsi="Courier New" w:cs="Courier New"/>
          <w:sz w:val="24"/>
          <w:szCs w:val="24"/>
        </w:rPr>
        <w:t xml:space="preserve"> University of Texas, that a large fraction of programs operated by University of Texas would fail the D/E rates measure.  </w:t>
      </w:r>
      <w:r w:rsidR="000641D4">
        <w:rPr>
          <w:rFonts w:ascii="Courier New" w:eastAsia="Times New Roman" w:hAnsi="Courier New" w:cs="Courier New"/>
          <w:sz w:val="24"/>
          <w:szCs w:val="24"/>
        </w:rPr>
        <w:t>T</w:t>
      </w:r>
      <w:r w:rsidRPr="0096107B">
        <w:rPr>
          <w:rFonts w:ascii="Courier New" w:eastAsia="Times New Roman" w:hAnsi="Courier New" w:cs="Courier New"/>
          <w:sz w:val="24"/>
          <w:szCs w:val="24"/>
        </w:rPr>
        <w:t xml:space="preserve">hese data are </w:t>
      </w:r>
      <w:r w:rsidR="000641D4">
        <w:rPr>
          <w:rFonts w:ascii="Courier New" w:eastAsia="Times New Roman" w:hAnsi="Courier New" w:cs="Courier New"/>
          <w:sz w:val="24"/>
          <w:szCs w:val="24"/>
        </w:rPr>
        <w:t xml:space="preserve">not </w:t>
      </w:r>
      <w:r w:rsidRPr="0096107B">
        <w:rPr>
          <w:rFonts w:ascii="Courier New" w:eastAsia="Times New Roman" w:hAnsi="Courier New" w:cs="Courier New"/>
          <w:sz w:val="24"/>
          <w:szCs w:val="24"/>
        </w:rPr>
        <w:t xml:space="preserve">appropriate for analyzing </w:t>
      </w:r>
      <w:r w:rsidR="000641D4">
        <w:rPr>
          <w:rFonts w:ascii="Courier New" w:eastAsia="Times New Roman" w:hAnsi="Courier New" w:cs="Courier New"/>
          <w:sz w:val="24"/>
          <w:szCs w:val="24"/>
        </w:rPr>
        <w:t>these</w:t>
      </w:r>
      <w:r w:rsidR="000641D4"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regulation</w:t>
      </w:r>
      <w:r w:rsidR="000641D4">
        <w:rPr>
          <w:rFonts w:ascii="Courier New" w:eastAsia="Times New Roman" w:hAnsi="Courier New" w:cs="Courier New"/>
          <w:sz w:val="24"/>
          <w:szCs w:val="24"/>
        </w:rPr>
        <w:t>s</w:t>
      </w:r>
      <w:r w:rsidRPr="0096107B">
        <w:rPr>
          <w:rFonts w:ascii="Courier New" w:eastAsia="Times New Roman" w:hAnsi="Courier New" w:cs="Courier New"/>
          <w:sz w:val="24"/>
          <w:szCs w:val="24"/>
        </w:rPr>
        <w:t>.  First, as with the data used for the NCES report, the University of Texas data do not allow for calculation of D/E rates using a comparable methodology.  Second, the American Enterprise Institute only considered data for a small subset of programs and students</w:t>
      </w:r>
      <w:r w:rsidR="000641D4">
        <w:rPr>
          <w:rFonts w:ascii="Courier New" w:eastAsia="Times New Roman" w:hAnsi="Courier New" w:cs="Courier New"/>
          <w:sz w:val="24"/>
          <w:szCs w:val="24"/>
        </w:rPr>
        <w:t>--</w:t>
      </w:r>
      <w:r w:rsidRPr="0096107B">
        <w:rPr>
          <w:rFonts w:ascii="Courier New" w:eastAsia="Times New Roman" w:hAnsi="Courier New" w:cs="Courier New"/>
          <w:sz w:val="24"/>
          <w:szCs w:val="24"/>
        </w:rPr>
        <w:t>that is, those who attended programs in the University of Texas system.  We believe considering such a small subset of gainful employment programs has limited analytical value, and</w:t>
      </w:r>
      <w:r w:rsidR="00D124DF">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thus, we relied on the data we had available on all gainful employment programs.</w:t>
      </w:r>
    </w:p>
    <w:p w14:paraId="144ECA2B" w14:textId="70373C5C"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We disagree with claims that our analyses are unreliable and biased because we included only a fraction of gainful employment programs.  </w:t>
      </w:r>
      <w:r w:rsidR="00BD0B47">
        <w:rPr>
          <w:rFonts w:ascii="Courier New" w:eastAsia="Times New Roman" w:hAnsi="Courier New" w:cs="Courier New"/>
          <w:sz w:val="24"/>
          <w:szCs w:val="24"/>
        </w:rPr>
        <w:t>Using</w:t>
      </w:r>
      <w:r w:rsidRPr="0096107B">
        <w:rPr>
          <w:rFonts w:ascii="Courier New" w:eastAsia="Times New Roman" w:hAnsi="Courier New" w:cs="Courier New"/>
          <w:sz w:val="24"/>
          <w:szCs w:val="24"/>
        </w:rPr>
        <w:t xml:space="preserve"> our data, we analyze</w:t>
      </w:r>
      <w:r w:rsidR="00BD0B47">
        <w:rPr>
          <w:rFonts w:ascii="Courier New" w:eastAsia="Times New Roman" w:hAnsi="Courier New" w:cs="Courier New"/>
          <w:sz w:val="24"/>
          <w:szCs w:val="24"/>
        </w:rPr>
        <w:t>d</w:t>
      </w:r>
      <w:r w:rsidRPr="0096107B">
        <w:rPr>
          <w:rFonts w:ascii="Courier New" w:eastAsia="Times New Roman" w:hAnsi="Courier New" w:cs="Courier New"/>
          <w:sz w:val="24"/>
          <w:szCs w:val="24"/>
        </w:rPr>
        <w:t xml:space="preserve"> all programs that we estimate would meet the minimum “n-size” requirement to be evaluated under the D/E rates measure--that is, </w:t>
      </w:r>
      <w:r w:rsidR="00BD0B47">
        <w:rPr>
          <w:rFonts w:ascii="Courier New" w:eastAsia="Times New Roman" w:hAnsi="Courier New" w:cs="Courier New"/>
          <w:sz w:val="24"/>
          <w:szCs w:val="24"/>
        </w:rPr>
        <w:t xml:space="preserve">all programs for which </w:t>
      </w:r>
      <w:r w:rsidRPr="0096107B">
        <w:rPr>
          <w:rFonts w:ascii="Courier New" w:eastAsia="Times New Roman" w:hAnsi="Courier New" w:cs="Courier New"/>
          <w:sz w:val="24"/>
          <w:szCs w:val="24"/>
        </w:rPr>
        <w:t xml:space="preserve">30 students completed the program--for the cohort of students we evaluated.  </w:t>
      </w:r>
    </w:p>
    <w:p w14:paraId="2DAE8992"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1BE0777D"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Some commenters recommended raising the D/E rates thresholds to account for longer-term earnings benefits from earned program credentials.  Commenters offered research </w:t>
      </w:r>
      <w:r w:rsidRPr="0096107B">
        <w:rPr>
          <w:rFonts w:ascii="Courier New" w:eastAsia="Times New Roman" w:hAnsi="Courier New" w:cs="Courier New"/>
          <w:sz w:val="24"/>
          <w:szCs w:val="24"/>
        </w:rPr>
        <w:lastRenderedPageBreak/>
        <w:t xml:space="preserve">demonstrating that increased benefits from program completion, including non-pecuniary benefits, may not be immediately apparent and may increase over time in a way that the proposed regulations would not take into account.  </w:t>
      </w:r>
    </w:p>
    <w:p w14:paraId="0D54BAE6" w14:textId="28C5044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While we agree that gross earnings and earnings gains as a result of obtaining additional credentials will increase for program graduates over the course of their lives, and gains for some occupations may be more delayed than others, we do not believe that this merits increasing the D/E rates thresholds for </w:t>
      </w:r>
      <w:r w:rsidR="008C08AC">
        <w:rPr>
          <w:rFonts w:ascii="Courier New" w:eastAsia="Times New Roman" w:hAnsi="Courier New" w:cs="Courier New"/>
          <w:sz w:val="24"/>
          <w:szCs w:val="24"/>
        </w:rPr>
        <w:t xml:space="preserve">the </w:t>
      </w:r>
      <w:r w:rsidRPr="0096107B">
        <w:rPr>
          <w:rFonts w:ascii="Courier New" w:eastAsia="Times New Roman" w:hAnsi="Courier New" w:cs="Courier New"/>
          <w:sz w:val="24"/>
          <w:szCs w:val="24"/>
        </w:rPr>
        <w:t xml:space="preserve">purpose of program accountability.  As stated previously, these regulations </w:t>
      </w:r>
      <w:r w:rsidR="00A72342">
        <w:rPr>
          <w:rFonts w:ascii="Courier New" w:eastAsia="Times New Roman" w:hAnsi="Courier New" w:cs="Courier New"/>
          <w:sz w:val="24"/>
          <w:szCs w:val="24"/>
        </w:rPr>
        <w:t>will help</w:t>
      </w:r>
      <w:r w:rsidRPr="0096107B">
        <w:rPr>
          <w:rFonts w:ascii="Courier New" w:eastAsia="Times New Roman" w:hAnsi="Courier New" w:cs="Courier New"/>
          <w:sz w:val="24"/>
          <w:szCs w:val="24"/>
        </w:rPr>
        <w:t xml:space="preserve"> ensure program graduates have sustainable debt levels both in the early part of their careers and in later years so loan payments are kept manageable and do not interfere with individuals’ ability to repay other debts or result in general over-indebtedness. </w:t>
      </w:r>
    </w:p>
    <w:p w14:paraId="0692BDC9" w14:textId="14C2A5D0"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Further, our analysis indicates that the passing thresholds for the D/E rates measure are set at a level that </w:t>
      </w:r>
      <w:r w:rsidR="00C834E6">
        <w:rPr>
          <w:rFonts w:ascii="Courier New" w:eastAsia="Times New Roman" w:hAnsi="Courier New" w:cs="Courier New"/>
          <w:sz w:val="24"/>
          <w:szCs w:val="24"/>
        </w:rPr>
        <w:t>reflects</w:t>
      </w:r>
      <w:r w:rsidRPr="0096107B">
        <w:rPr>
          <w:rFonts w:ascii="Courier New" w:eastAsia="Times New Roman" w:hAnsi="Courier New" w:cs="Courier New"/>
          <w:sz w:val="24"/>
          <w:szCs w:val="24"/>
        </w:rPr>
        <w:t xml:space="preserve"> repayment outcomes.  The Department’s data indicate the average volume-based repayment rate, measured at about the third year of repayment, of programs in the zone is comparable to those above the failing thresholds, while passing programs, on average, have a substantially higher average repayment rate.  Average cohort default rates, measured within the first three years of repayment, are similar for zone and failing programs and </w:t>
      </w:r>
      <w:r w:rsidRPr="0096107B">
        <w:rPr>
          <w:rFonts w:ascii="Courier New" w:eastAsia="Times New Roman" w:hAnsi="Courier New" w:cs="Courier New"/>
          <w:sz w:val="24"/>
          <w:szCs w:val="24"/>
        </w:rPr>
        <w:lastRenderedPageBreak/>
        <w:t xml:space="preserve">substantially higher than the average default rate of passing programs.  </w:t>
      </w:r>
    </w:p>
    <w:p w14:paraId="46876C49"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54520310" w14:textId="58DE52B5"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A number of commenters suggested that different thresholds for the D/E rates measure should be applied to institution</w:t>
      </w:r>
      <w:r w:rsidR="00AF7D4D">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or program</w:t>
      </w:r>
      <w:r w:rsidR="00AF7D4D">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that serve students with backgrounds that may increase their risk factors for over-indebtedness.  Some commenters suggested that the thresholds be adjusted on a sliding scale based on the number of students served by a program who are eligible for Pell </w:t>
      </w:r>
      <w:r w:rsidR="004831A5">
        <w:rPr>
          <w:rFonts w:ascii="Courier New" w:eastAsia="Times New Roman" w:hAnsi="Courier New" w:cs="Courier New"/>
          <w:sz w:val="24"/>
          <w:szCs w:val="24"/>
        </w:rPr>
        <w:t>G</w:t>
      </w:r>
      <w:r w:rsidRPr="0096107B">
        <w:rPr>
          <w:rFonts w:ascii="Courier New" w:eastAsia="Times New Roman" w:hAnsi="Courier New" w:cs="Courier New"/>
          <w:sz w:val="24"/>
          <w:szCs w:val="24"/>
        </w:rPr>
        <w:t xml:space="preserve">rants. </w:t>
      </w:r>
    </w:p>
    <w:p w14:paraId="694C4EC8" w14:textId="5C501539" w:rsidR="0096107B" w:rsidRPr="0096107B" w:rsidRDefault="0096107B" w:rsidP="0096107B">
      <w:pPr>
        <w:autoSpaceDE w:val="0"/>
        <w:autoSpaceDN w:val="0"/>
        <w:adjustRightInd w:val="0"/>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also suggested that different D/E rates thresholds be applied to programs, such as those in the cosmetology sector, </w:t>
      </w:r>
      <w:r w:rsidR="00AF7D4D">
        <w:rPr>
          <w:rFonts w:ascii="Courier New" w:eastAsia="Times New Roman" w:hAnsi="Courier New" w:cs="Courier New"/>
          <w:sz w:val="24"/>
          <w:szCs w:val="24"/>
        </w:rPr>
        <w:t>that</w:t>
      </w:r>
      <w:r w:rsidRPr="0096107B">
        <w:rPr>
          <w:rFonts w:ascii="Courier New" w:eastAsia="Times New Roman" w:hAnsi="Courier New" w:cs="Courier New"/>
          <w:sz w:val="24"/>
          <w:szCs w:val="24"/>
        </w:rPr>
        <w:t xml:space="preserve"> serve mostly women</w:t>
      </w:r>
      <w:r w:rsidR="00AF7D4D">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who </w:t>
      </w:r>
      <w:r w:rsidR="00AF7D4D">
        <w:rPr>
          <w:rFonts w:ascii="Courier New" w:eastAsia="Times New Roman" w:hAnsi="Courier New" w:cs="Courier New"/>
          <w:sz w:val="24"/>
          <w:szCs w:val="24"/>
        </w:rPr>
        <w:t>the commenter suggested</w:t>
      </w:r>
      <w:r w:rsidRPr="0096107B">
        <w:rPr>
          <w:rFonts w:ascii="Courier New" w:eastAsia="Times New Roman" w:hAnsi="Courier New" w:cs="Courier New"/>
          <w:sz w:val="24"/>
          <w:szCs w:val="24"/>
        </w:rPr>
        <w:t xml:space="preserve"> are more likely to choose part-time employment or to </w:t>
      </w:r>
      <w:r w:rsidR="00AF7D4D">
        <w:rPr>
          <w:rFonts w:ascii="Courier New" w:eastAsia="Times New Roman" w:hAnsi="Courier New" w:cs="Courier New"/>
          <w:sz w:val="24"/>
          <w:szCs w:val="24"/>
        </w:rPr>
        <w:t xml:space="preserve">not </w:t>
      </w:r>
      <w:r w:rsidRPr="0096107B">
        <w:rPr>
          <w:rFonts w:ascii="Courier New" w:eastAsia="Times New Roman" w:hAnsi="Courier New" w:cs="Courier New"/>
          <w:sz w:val="24"/>
          <w:szCs w:val="24"/>
        </w:rPr>
        <w:t>work in order to raise children.  This same commenter suggested that programs serving a high proportion of single parents are unfairly punished by the thresholds for the D/E rates measure because single parents would have an incentive to earn limited incomes in order to continue to qualify for various assistance programs.</w:t>
      </w:r>
    </w:p>
    <w:p w14:paraId="2F7743EC" w14:textId="2DA30CCC"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do not agree that alternative metrics or thresholds should be applied to different types of programs or institutions or to programs serving different types of students, such as minority or low-income students.  As described in </w:t>
      </w:r>
      <w:r w:rsidRPr="0096107B">
        <w:rPr>
          <w:rFonts w:ascii="Courier New" w:eastAsia="Times New Roman" w:hAnsi="Courier New" w:cs="Courier New"/>
          <w:sz w:val="24"/>
          <w:szCs w:val="24"/>
        </w:rPr>
        <w:lastRenderedPageBreak/>
        <w:t xml:space="preserve">greater detail in the </w:t>
      </w:r>
      <w:r w:rsidRPr="0096107B">
        <w:rPr>
          <w:rFonts w:ascii="Courier New" w:eastAsia="Times New Roman" w:hAnsi="Courier New" w:cs="Courier New"/>
          <w:sz w:val="24"/>
          <w:szCs w:val="24"/>
          <w:u w:val="single"/>
        </w:rPr>
        <w:t>Regulatory Impact Analysis</w:t>
      </w:r>
      <w:r w:rsidRPr="0096107B">
        <w:rPr>
          <w:rFonts w:ascii="Courier New" w:eastAsia="Times New Roman" w:hAnsi="Courier New" w:cs="Courier New"/>
          <w:sz w:val="24"/>
          <w:szCs w:val="24"/>
        </w:rPr>
        <w:t xml:space="preserve">, the Department has examined the effects of student demographic characteristics on results under the annual earnings rate measure and does not find evidence to indicate that the composition of a GE program’s students </w:t>
      </w:r>
      <w:r w:rsidR="00AF7D4D">
        <w:rPr>
          <w:rFonts w:ascii="Courier New" w:eastAsia="Times New Roman" w:hAnsi="Courier New" w:cs="Courier New"/>
          <w:sz w:val="24"/>
          <w:szCs w:val="24"/>
        </w:rPr>
        <w:t>is</w:t>
      </w:r>
      <w:r w:rsidR="00AF7D4D"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determinative of outcomes.  While the Department recognizes that the background of students has some impact on outcomes and that some groups may face greater obstacles in the labor market than others, we do not agree that the appropriate response to those obstacles is to set alternative standards based on them.  As discussed previously, we seek to apply the same set of minimum standards across all GE programs, regardless of their sector, location, or the students they serve.  As our analysis shows, the substantial majority of programs will meet these minimum standards, even when comparing programs with higher proportions of students with increased “risk factors.”  The regulations will help ensure that programs only remain eligible for title IV, HEA program funds if they meet these minimum standards that define maximum levels of indebtedness that are acceptable for any student.  We intend for the regulations to allow these successful programs to grow, and for institutions to establish new programs that achieve and build upon these results, so that </w:t>
      </w:r>
      <w:r w:rsidR="00AF7D4D">
        <w:rPr>
          <w:rFonts w:ascii="Courier New" w:eastAsia="Times New Roman" w:hAnsi="Courier New" w:cs="Courier New"/>
          <w:sz w:val="24"/>
          <w:szCs w:val="24"/>
        </w:rPr>
        <w:t>all</w:t>
      </w:r>
      <w:r w:rsidR="00AF7D4D"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student</w:t>
      </w:r>
      <w:r w:rsidR="00AF7D4D">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regardless of background or occupational area, will have options that will lead to positive results.   </w:t>
      </w:r>
    </w:p>
    <w:p w14:paraId="0D75727B"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Changes</w:t>
      </w:r>
      <w:r w:rsidRPr="0096107B">
        <w:rPr>
          <w:rFonts w:ascii="Courier New" w:eastAsia="Times New Roman" w:hAnsi="Courier New" w:cs="Courier New"/>
          <w:sz w:val="24"/>
          <w:szCs w:val="24"/>
        </w:rPr>
        <w:t>:  None.</w:t>
      </w:r>
    </w:p>
    <w:p w14:paraId="6DB57F92" w14:textId="58935D6C"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One commenter suggested that the D/E rates threshold</w:t>
      </w:r>
      <w:r w:rsidR="005C531A">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w:t>
      </w:r>
      <w:r w:rsidR="005C531A">
        <w:rPr>
          <w:rFonts w:ascii="Courier New" w:eastAsia="Times New Roman" w:hAnsi="Courier New" w:cs="Courier New"/>
          <w:sz w:val="24"/>
          <w:szCs w:val="24"/>
        </w:rPr>
        <w:t>are</w:t>
      </w:r>
      <w:r w:rsidRPr="0096107B">
        <w:rPr>
          <w:rFonts w:ascii="Courier New" w:eastAsia="Times New Roman" w:hAnsi="Courier New" w:cs="Courier New"/>
          <w:sz w:val="24"/>
          <w:szCs w:val="24"/>
        </w:rPr>
        <w:t xml:space="preserve"> punitive</w:t>
      </w:r>
      <w:r w:rsidR="005C531A">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w:t>
      </w:r>
      <w:r w:rsidR="005C531A">
        <w:rPr>
          <w:rFonts w:ascii="Courier New" w:eastAsia="Times New Roman" w:hAnsi="Courier New" w:cs="Courier New"/>
          <w:sz w:val="24"/>
          <w:szCs w:val="24"/>
        </w:rPr>
        <w:t>as</w:t>
      </w:r>
      <w:r w:rsidRPr="0096107B">
        <w:rPr>
          <w:rFonts w:ascii="Courier New" w:eastAsia="Times New Roman" w:hAnsi="Courier New" w:cs="Courier New"/>
          <w:sz w:val="24"/>
          <w:szCs w:val="24"/>
        </w:rPr>
        <w:t xml:space="preserve"> more programs would fail under these regulations than would have failed under the 2011 Prior Rule. </w:t>
      </w:r>
    </w:p>
    <w:p w14:paraId="66EBE84B"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While the Department acknowledges that it is possible that more programs would not meet the passing thresholds under these regulations as compared to those in the 2011 Prior Rule, as previously discussed, the Department must ensure an appropriate standard is established to protect students from unmanageable levels of debt.  As stated previously, we believe the D/E rates thresholds in these regulations appropriately define the maximum levels of indebtedness that are acceptable for all students.   </w:t>
      </w:r>
    </w:p>
    <w:p w14:paraId="033B6096"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17F51E15"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One commenter suggested that the Department include the outcomes of students who do not borrow in a program’s D/E rates calculation and suggested that the thresholds be increased to account for this change. </w:t>
      </w:r>
    </w:p>
    <w:p w14:paraId="318FB8F7" w14:textId="06916EA9"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The regulations provide for the consideration of the outcomes of students who have completed a program and have only received Pell </w:t>
      </w:r>
      <w:r w:rsidR="006A7B07">
        <w:rPr>
          <w:rFonts w:ascii="Courier New" w:eastAsia="Times New Roman" w:hAnsi="Courier New" w:cs="Courier New"/>
          <w:sz w:val="24"/>
          <w:szCs w:val="24"/>
        </w:rPr>
        <w:t>G</w:t>
      </w:r>
      <w:r w:rsidRPr="0096107B">
        <w:rPr>
          <w:rFonts w:ascii="Courier New" w:eastAsia="Times New Roman" w:hAnsi="Courier New" w:cs="Courier New"/>
          <w:sz w:val="24"/>
          <w:szCs w:val="24"/>
        </w:rPr>
        <w:t xml:space="preserve">rants and, therefore, have no debt for the D/E rates calculation.  Further, we assess debt as a median when calculating the D/E rates, so that programs in which a majority of the students who have completed the program but do not have </w:t>
      </w:r>
      <w:r w:rsidRPr="0096107B">
        <w:rPr>
          <w:rFonts w:ascii="Courier New" w:eastAsia="Times New Roman" w:hAnsi="Courier New" w:cs="Courier New"/>
          <w:sz w:val="24"/>
          <w:szCs w:val="24"/>
        </w:rPr>
        <w:lastRenderedPageBreak/>
        <w:t xml:space="preserve">any title IV loans would have D/E rates of zero and would pass the D/E rates measure.  </w:t>
      </w:r>
    </w:p>
    <w:p w14:paraId="71B7A216" w14:textId="7E048DEE"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As discussed in “§668.401  Scope and Purpose,” we are not including individuals who did not receive title IV, HEA program funds in the calculation of the D/E rates measure.  We disagree, however, that this warrants adjustments or increases to the D/E rates thresholds.  </w:t>
      </w:r>
      <w:r w:rsidR="005C531A">
        <w:rPr>
          <w:rFonts w:ascii="Courier New" w:eastAsia="Times New Roman" w:hAnsi="Courier New" w:cs="Courier New"/>
          <w:sz w:val="24"/>
          <w:szCs w:val="24"/>
        </w:rPr>
        <w:t>T</w:t>
      </w:r>
      <w:r w:rsidRPr="0096107B">
        <w:rPr>
          <w:rFonts w:ascii="Courier New" w:eastAsia="Times New Roman" w:hAnsi="Courier New" w:cs="Courier New"/>
          <w:sz w:val="24"/>
          <w:szCs w:val="24"/>
        </w:rPr>
        <w:t xml:space="preserve">he expert research, industry practices, and internal analysis that we relied on in </w:t>
      </w:r>
      <w:r w:rsidR="005C531A">
        <w:rPr>
          <w:rFonts w:ascii="Courier New" w:eastAsia="Times New Roman" w:hAnsi="Courier New" w:cs="Courier New"/>
          <w:sz w:val="24"/>
          <w:szCs w:val="24"/>
        </w:rPr>
        <w:t>determining the thresholds</w:t>
      </w:r>
      <w:r w:rsidRPr="0096107B">
        <w:rPr>
          <w:rFonts w:ascii="Courier New" w:eastAsia="Times New Roman" w:hAnsi="Courier New" w:cs="Courier New"/>
          <w:sz w:val="24"/>
          <w:szCs w:val="24"/>
        </w:rPr>
        <w:t xml:space="preserve"> apply to all students.    </w:t>
      </w:r>
    </w:p>
    <w:p w14:paraId="2CD21556"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12895B16"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Zone</w:t>
      </w:r>
    </w:p>
    <w:p w14:paraId="3A782279" w14:textId="68C62A34"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Multiple commenters suggested that the addition of the zone results in unnecessarily complex and burdensome r</w:t>
      </w:r>
      <w:r w:rsidR="005C531A">
        <w:rPr>
          <w:rFonts w:ascii="Courier New" w:eastAsia="Times New Roman" w:hAnsi="Courier New" w:cs="Courier New"/>
          <w:sz w:val="24"/>
          <w:szCs w:val="24"/>
        </w:rPr>
        <w:t>egulations</w:t>
      </w:r>
      <w:r w:rsidRPr="0096107B">
        <w:rPr>
          <w:rFonts w:ascii="Courier New" w:eastAsia="Times New Roman" w:hAnsi="Courier New" w:cs="Courier New"/>
          <w:sz w:val="24"/>
          <w:szCs w:val="24"/>
        </w:rPr>
        <w:t xml:space="preserve"> that will confuse borrowers and institutions.  One commenter suggested that the zone would create undue burden on State agencies and their monitoring responsibilities.  Some commenters expressed concern that the zone yields additional uncertainty for institutions and students regarding the future of a program.  Commenters also argued that the zone should be adjusted for student characteristics.  </w:t>
      </w:r>
    </w:p>
    <w:p w14:paraId="2DCF60BD" w14:textId="0E55BA28"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Some commenters suggested removing the zone and returning to the 2011 Prior Rule thresholds of 12 percent for the earnings rate and 30 percent for the discretionary income rate.  Other commenters suggested that despite the presence of a zone, the </w:t>
      </w:r>
      <w:r w:rsidRPr="0096107B">
        <w:rPr>
          <w:rFonts w:ascii="Courier New" w:eastAsia="Times New Roman" w:hAnsi="Courier New" w:cs="Courier New"/>
          <w:sz w:val="24"/>
          <w:szCs w:val="24"/>
        </w:rPr>
        <w:lastRenderedPageBreak/>
        <w:t xml:space="preserve">regulations do not allow sufficient time for programs to take corrective actions and improve so that they can move from the zone to passing under the D/E rates measure, making the zone tantamount to failure. </w:t>
      </w:r>
      <w:r w:rsidR="005C531A">
        <w:rPr>
          <w:rFonts w:ascii="Courier New" w:eastAsia="Times New Roman" w:hAnsi="Courier New" w:cs="Courier New"/>
          <w:sz w:val="24"/>
          <w:szCs w:val="24"/>
        </w:rPr>
        <w:t xml:space="preserve"> One of these commenters, u</w:t>
      </w:r>
      <w:r w:rsidRPr="0096107B">
        <w:rPr>
          <w:rFonts w:ascii="Courier New" w:eastAsia="Times New Roman" w:hAnsi="Courier New" w:cs="Courier New"/>
          <w:sz w:val="24"/>
          <w:szCs w:val="24"/>
        </w:rPr>
        <w:t>sing the 2012 GE informational D/E rates, calculated the aggregate failure rate, counting the zone as a failure, near 31.0 percent</w:t>
      </w:r>
      <w:r w:rsidR="005C531A">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about a five-fold increase in the number of programs ultimately losing eligibility for </w:t>
      </w:r>
      <w:r w:rsidR="005C531A">
        <w:rPr>
          <w:rFonts w:ascii="Courier New" w:eastAsia="Times New Roman" w:hAnsi="Courier New" w:cs="Courier New"/>
          <w:sz w:val="24"/>
          <w:szCs w:val="24"/>
        </w:rPr>
        <w:t>title IV, HEA program funds</w:t>
      </w:r>
      <w:r w:rsidRPr="0096107B">
        <w:rPr>
          <w:rFonts w:ascii="Courier New" w:eastAsia="Times New Roman" w:hAnsi="Courier New" w:cs="Courier New"/>
          <w:sz w:val="24"/>
          <w:szCs w:val="24"/>
        </w:rPr>
        <w:t xml:space="preserve">, as compared with the 2011 </w:t>
      </w:r>
      <w:r w:rsidR="005C531A">
        <w:rPr>
          <w:rFonts w:ascii="Courier New" w:eastAsia="Times New Roman" w:hAnsi="Courier New" w:cs="Courier New"/>
          <w:sz w:val="24"/>
          <w:szCs w:val="24"/>
        </w:rPr>
        <w:t>Prior</w:t>
      </w:r>
      <w:r w:rsidRPr="0096107B">
        <w:rPr>
          <w:rFonts w:ascii="Courier New" w:eastAsia="Times New Roman" w:hAnsi="Courier New" w:cs="Courier New"/>
          <w:sz w:val="24"/>
          <w:szCs w:val="24"/>
        </w:rPr>
        <w:t xml:space="preserve"> </w:t>
      </w:r>
      <w:r w:rsidR="005C531A">
        <w:rPr>
          <w:rFonts w:ascii="Courier New" w:eastAsia="Times New Roman" w:hAnsi="Courier New" w:cs="Courier New"/>
          <w:sz w:val="24"/>
          <w:szCs w:val="24"/>
        </w:rPr>
        <w:t>R</w:t>
      </w:r>
      <w:r w:rsidRPr="0096107B">
        <w:rPr>
          <w:rFonts w:ascii="Courier New" w:eastAsia="Times New Roman" w:hAnsi="Courier New" w:cs="Courier New"/>
          <w:sz w:val="24"/>
          <w:szCs w:val="24"/>
        </w:rPr>
        <w:t xml:space="preserve">ule.  The commenter also said about 42 percent of programs at for-profit colleges will be failing or in the zone, when weighted by program enrollment, including more than one-third of </w:t>
      </w:r>
      <w:r w:rsidR="005C531A">
        <w:rPr>
          <w:rFonts w:ascii="Courier New" w:eastAsia="Times New Roman" w:hAnsi="Courier New" w:cs="Courier New"/>
          <w:sz w:val="24"/>
          <w:szCs w:val="24"/>
        </w:rPr>
        <w:t>c</w:t>
      </w:r>
      <w:r w:rsidRPr="0096107B">
        <w:rPr>
          <w:rFonts w:ascii="Courier New" w:eastAsia="Times New Roman" w:hAnsi="Courier New" w:cs="Courier New"/>
          <w:sz w:val="24"/>
          <w:szCs w:val="24"/>
        </w:rPr>
        <w:t xml:space="preserve">ertificate programs, three-quarters of </w:t>
      </w:r>
      <w:r w:rsidR="005C531A">
        <w:rPr>
          <w:rFonts w:ascii="Courier New" w:eastAsia="Times New Roman" w:hAnsi="Courier New" w:cs="Courier New"/>
          <w:sz w:val="24"/>
          <w:szCs w:val="24"/>
        </w:rPr>
        <w:t>a</w:t>
      </w:r>
      <w:r w:rsidRPr="0096107B">
        <w:rPr>
          <w:rFonts w:ascii="Courier New" w:eastAsia="Times New Roman" w:hAnsi="Courier New" w:cs="Courier New"/>
          <w:sz w:val="24"/>
          <w:szCs w:val="24"/>
        </w:rPr>
        <w:t xml:space="preserve">ssociate degree programs, one-fifth of </w:t>
      </w:r>
      <w:r w:rsidR="005C531A">
        <w:rPr>
          <w:rFonts w:ascii="Courier New" w:eastAsia="Times New Roman" w:hAnsi="Courier New" w:cs="Courier New"/>
          <w:sz w:val="24"/>
          <w:szCs w:val="24"/>
        </w:rPr>
        <w:t>b</w:t>
      </w:r>
      <w:r w:rsidRPr="0096107B">
        <w:rPr>
          <w:rFonts w:ascii="Courier New" w:eastAsia="Times New Roman" w:hAnsi="Courier New" w:cs="Courier New"/>
          <w:sz w:val="24"/>
          <w:szCs w:val="24"/>
        </w:rPr>
        <w:t>achelor’s degree programs</w:t>
      </w:r>
      <w:r w:rsidR="005C531A">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and one</w:t>
      </w:r>
      <w:r w:rsidR="005C531A">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third of professional degree programs. </w:t>
      </w:r>
      <w:r w:rsidR="005C531A">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The commenter posited that more than 1.1 million students are enrolled in programs that will lose eligibility for </w:t>
      </w:r>
      <w:r w:rsidR="005C531A">
        <w:rPr>
          <w:rFonts w:ascii="Courier New" w:eastAsia="Times New Roman" w:hAnsi="Courier New" w:cs="Courier New"/>
          <w:sz w:val="24"/>
          <w:szCs w:val="24"/>
        </w:rPr>
        <w:t>t</w:t>
      </w:r>
      <w:r w:rsidRPr="0096107B">
        <w:rPr>
          <w:rFonts w:ascii="Courier New" w:eastAsia="Times New Roman" w:hAnsi="Courier New" w:cs="Courier New"/>
          <w:sz w:val="24"/>
          <w:szCs w:val="24"/>
        </w:rPr>
        <w:t>itle IV</w:t>
      </w:r>
      <w:r w:rsidR="005C531A">
        <w:rPr>
          <w:rFonts w:ascii="Courier New" w:eastAsia="Times New Roman" w:hAnsi="Courier New" w:cs="Courier New"/>
          <w:sz w:val="24"/>
          <w:szCs w:val="24"/>
        </w:rPr>
        <w:t>, HEA program funds</w:t>
      </w:r>
      <w:r w:rsidRPr="0096107B">
        <w:rPr>
          <w:rFonts w:ascii="Courier New" w:eastAsia="Times New Roman" w:hAnsi="Courier New" w:cs="Courier New"/>
          <w:sz w:val="24"/>
          <w:szCs w:val="24"/>
        </w:rPr>
        <w:t xml:space="preserve"> under the proposed regulations.</w:t>
      </w:r>
    </w:p>
    <w:p w14:paraId="07BEF1E7" w14:textId="369C6C92" w:rsidR="0096107B" w:rsidRPr="0096107B" w:rsidRDefault="0096107B" w:rsidP="0096107B">
      <w:pPr>
        <w:spacing w:after="0" w:line="480" w:lineRule="auto"/>
        <w:ind w:firstLine="720"/>
        <w:rPr>
          <w:rFonts w:ascii="Courier New" w:eastAsia="Times New Roman" w:hAnsi="Courier New" w:cs="Courier New"/>
          <w:sz w:val="24"/>
          <w:szCs w:val="24"/>
          <w:u w:val="single"/>
        </w:rPr>
      </w:pPr>
      <w:r w:rsidRPr="0096107B">
        <w:rPr>
          <w:rFonts w:ascii="Courier New" w:eastAsia="Times New Roman" w:hAnsi="Courier New" w:cs="Courier New"/>
          <w:sz w:val="24"/>
          <w:szCs w:val="24"/>
        </w:rPr>
        <w:t xml:space="preserve">Other commenters agreed with the Department’s proposal for a zone but argued that the length of time that a program could be in the zone before being determined ineligible is arbitrary.  </w:t>
      </w:r>
      <w:r w:rsidR="00231058">
        <w:rPr>
          <w:rFonts w:ascii="Courier New" w:eastAsia="Times New Roman" w:hAnsi="Courier New" w:cs="Courier New"/>
          <w:sz w:val="24"/>
          <w:szCs w:val="24"/>
        </w:rPr>
        <w:t xml:space="preserve">Some of the commenters said that the length of the zone is </w:t>
      </w:r>
      <w:r w:rsidR="00231058" w:rsidRPr="0096107B">
        <w:rPr>
          <w:rFonts w:ascii="Courier New" w:eastAsia="Times New Roman" w:hAnsi="Courier New" w:cs="Courier New"/>
          <w:sz w:val="24"/>
          <w:szCs w:val="24"/>
        </w:rPr>
        <w:t xml:space="preserve">insufficient to measure programs where there is a longer time after completion before a student is employable, such as </w:t>
      </w:r>
      <w:r w:rsidR="00231058">
        <w:rPr>
          <w:rFonts w:ascii="Courier New" w:eastAsia="Times New Roman" w:hAnsi="Courier New" w:cs="Courier New"/>
          <w:sz w:val="24"/>
          <w:szCs w:val="24"/>
        </w:rPr>
        <w:t xml:space="preserve">with </w:t>
      </w:r>
      <w:r w:rsidR="00231058" w:rsidRPr="0096107B">
        <w:rPr>
          <w:rFonts w:ascii="Courier New" w:eastAsia="Times New Roman" w:hAnsi="Courier New" w:cs="Courier New"/>
          <w:sz w:val="24"/>
          <w:szCs w:val="24"/>
        </w:rPr>
        <w:t>medical programs</w:t>
      </w:r>
      <w:r w:rsidR="00231058">
        <w:rPr>
          <w:rFonts w:ascii="Courier New" w:eastAsia="Times New Roman" w:hAnsi="Courier New" w:cs="Courier New"/>
          <w:sz w:val="24"/>
          <w:szCs w:val="24"/>
        </w:rPr>
        <w:t xml:space="preserve">.  </w:t>
      </w:r>
      <w:r w:rsidR="00246A8A">
        <w:rPr>
          <w:rFonts w:ascii="Courier New" w:eastAsia="Times New Roman" w:hAnsi="Courier New" w:cs="Courier New"/>
          <w:sz w:val="24"/>
          <w:szCs w:val="24"/>
        </w:rPr>
        <w:t xml:space="preserve">Some of the commenters complained that the </w:t>
      </w:r>
      <w:r w:rsidR="00246A8A">
        <w:rPr>
          <w:rFonts w:ascii="Courier New" w:eastAsia="Times New Roman" w:hAnsi="Courier New" w:cs="Courier New"/>
          <w:sz w:val="24"/>
          <w:szCs w:val="24"/>
        </w:rPr>
        <w:lastRenderedPageBreak/>
        <w:t>four-year zone period, when taken together with the transition period</w:t>
      </w:r>
      <w:r w:rsidR="008153F2">
        <w:rPr>
          <w:rFonts w:ascii="Courier New" w:eastAsia="Times New Roman" w:hAnsi="Courier New" w:cs="Courier New"/>
          <w:sz w:val="24"/>
          <w:szCs w:val="24"/>
        </w:rPr>
        <w:t>,</w:t>
      </w:r>
      <w:r w:rsidR="00246A8A">
        <w:rPr>
          <w:rFonts w:ascii="Courier New" w:eastAsia="Times New Roman" w:hAnsi="Courier New" w:cs="Courier New"/>
          <w:sz w:val="24"/>
          <w:szCs w:val="24"/>
        </w:rPr>
        <w:t xml:space="preserve"> is too long, and </w:t>
      </w:r>
      <w:r w:rsidRPr="0096107B">
        <w:rPr>
          <w:rFonts w:ascii="Courier New" w:eastAsia="Times New Roman" w:hAnsi="Courier New" w:cs="Courier New"/>
          <w:sz w:val="24"/>
          <w:szCs w:val="24"/>
        </w:rPr>
        <w:t>would initially allow failing programs to have operated for eight years without relief to students who are enrolled during that time.  Some of these commenters suggested a three-year zone as an alternative.</w:t>
      </w:r>
    </w:p>
    <w:p w14:paraId="4352EA15" w14:textId="77777777" w:rsidR="0096107B" w:rsidRPr="0096107B" w:rsidRDefault="0096107B" w:rsidP="0096107B">
      <w:pPr>
        <w:spacing w:after="0" w:line="480" w:lineRule="auto"/>
        <w:ind w:firstLine="720"/>
        <w:rPr>
          <w:rFonts w:ascii="Courier New" w:eastAsia="Times New Roman" w:hAnsi="Courier New" w:cs="Courier New"/>
          <w:sz w:val="24"/>
          <w:szCs w:val="24"/>
          <w:u w:val="single"/>
        </w:rPr>
      </w:pPr>
      <w:r w:rsidRPr="0096107B">
        <w:rPr>
          <w:rFonts w:ascii="Courier New" w:eastAsia="Times New Roman" w:hAnsi="Courier New" w:cs="Courier New"/>
          <w:sz w:val="24"/>
          <w:szCs w:val="24"/>
        </w:rPr>
        <w:t xml:space="preserve">Some commenters suggested that the Department should provide for a zone only in the first few years after the regulations are implemented and then eliminate the zone.  The commenters stated that this approach would help to remove the worst performing programs relatively quickly and allow poor performers that are closer to passing the D/E rates measure time to improve.  The commenters said that eliminating the zone after a few years would prevent taxpayers from subsidizing low-performing programs that would otherwise be allowed to continue to enroll unlimited numbers of students while in the zone. </w:t>
      </w:r>
    </w:p>
    <w:p w14:paraId="5EEB0630" w14:textId="41B0B204"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Other commenters suggested that the zone is insufficient because it provides minimal protection while potentially confusing students about the riskiness of a program they may be attending or considering for enrollment.  </w:t>
      </w:r>
      <w:r w:rsidR="00231058">
        <w:rPr>
          <w:rFonts w:ascii="Courier New" w:eastAsia="Times New Roman" w:hAnsi="Courier New" w:cs="Courier New"/>
          <w:sz w:val="24"/>
          <w:szCs w:val="24"/>
        </w:rPr>
        <w:t>Some of these commenters stated that the</w:t>
      </w:r>
      <w:r w:rsidR="00231058" w:rsidRPr="0096107B">
        <w:rPr>
          <w:rFonts w:ascii="Courier New" w:eastAsia="Times New Roman" w:hAnsi="Courier New" w:cs="Courier New"/>
          <w:sz w:val="24"/>
          <w:szCs w:val="24"/>
        </w:rPr>
        <w:t xml:space="preserve"> </w:t>
      </w:r>
      <w:r w:rsidR="00231058">
        <w:rPr>
          <w:rFonts w:ascii="Courier New" w:eastAsia="Times New Roman" w:hAnsi="Courier New" w:cs="Courier New"/>
          <w:sz w:val="24"/>
          <w:szCs w:val="24"/>
        </w:rPr>
        <w:t xml:space="preserve">zone </w:t>
      </w:r>
      <w:r w:rsidR="00231058" w:rsidRPr="0096107B">
        <w:rPr>
          <w:rFonts w:ascii="Courier New" w:eastAsia="Times New Roman" w:hAnsi="Courier New" w:cs="Courier New"/>
          <w:sz w:val="24"/>
          <w:szCs w:val="24"/>
        </w:rPr>
        <w:t>provides limited transparency</w:t>
      </w:r>
      <w:r w:rsidR="00231058">
        <w:rPr>
          <w:rFonts w:ascii="Courier New" w:eastAsia="Times New Roman" w:hAnsi="Courier New" w:cs="Courier New"/>
          <w:sz w:val="24"/>
          <w:szCs w:val="24"/>
        </w:rPr>
        <w:t xml:space="preserve">, as </w:t>
      </w:r>
      <w:r w:rsidR="00860A53">
        <w:rPr>
          <w:rFonts w:ascii="Courier New" w:eastAsia="Times New Roman" w:hAnsi="Courier New" w:cs="Courier New"/>
          <w:sz w:val="24"/>
          <w:szCs w:val="24"/>
        </w:rPr>
        <w:t xml:space="preserve">institutions with </w:t>
      </w:r>
      <w:r w:rsidR="00231058" w:rsidRPr="0096107B">
        <w:rPr>
          <w:rFonts w:ascii="Courier New" w:eastAsia="Times New Roman" w:hAnsi="Courier New" w:cs="Courier New"/>
          <w:sz w:val="24"/>
          <w:szCs w:val="24"/>
        </w:rPr>
        <w:t xml:space="preserve">potentially failing programs </w:t>
      </w:r>
      <w:r w:rsidR="00860A53">
        <w:rPr>
          <w:rFonts w:ascii="Courier New" w:eastAsia="Times New Roman" w:hAnsi="Courier New" w:cs="Courier New"/>
          <w:sz w:val="24"/>
          <w:szCs w:val="24"/>
        </w:rPr>
        <w:t xml:space="preserve">are required </w:t>
      </w:r>
      <w:r w:rsidR="00231058" w:rsidRPr="0096107B">
        <w:rPr>
          <w:rFonts w:ascii="Courier New" w:eastAsia="Times New Roman" w:hAnsi="Courier New" w:cs="Courier New"/>
          <w:sz w:val="24"/>
          <w:szCs w:val="24"/>
        </w:rPr>
        <w:t xml:space="preserve">to </w:t>
      </w:r>
      <w:r w:rsidR="00483B6F">
        <w:rPr>
          <w:rFonts w:ascii="Courier New" w:eastAsia="Times New Roman" w:hAnsi="Courier New" w:cs="Courier New"/>
          <w:sz w:val="24"/>
          <w:szCs w:val="24"/>
        </w:rPr>
        <w:t>warn</w:t>
      </w:r>
      <w:r w:rsidR="00231058" w:rsidRPr="0096107B">
        <w:rPr>
          <w:rFonts w:ascii="Courier New" w:eastAsia="Times New Roman" w:hAnsi="Courier New" w:cs="Courier New"/>
          <w:sz w:val="24"/>
          <w:szCs w:val="24"/>
        </w:rPr>
        <w:t xml:space="preserve"> students </w:t>
      </w:r>
      <w:r w:rsidR="00483B6F">
        <w:rPr>
          <w:rFonts w:ascii="Courier New" w:eastAsia="Times New Roman" w:hAnsi="Courier New" w:cs="Courier New"/>
          <w:sz w:val="24"/>
          <w:szCs w:val="24"/>
        </w:rPr>
        <w:t xml:space="preserve">of potential loss of eligibility </w:t>
      </w:r>
      <w:r w:rsidR="00231058" w:rsidRPr="0096107B">
        <w:rPr>
          <w:rFonts w:ascii="Courier New" w:eastAsia="Times New Roman" w:hAnsi="Courier New" w:cs="Courier New"/>
          <w:sz w:val="24"/>
          <w:szCs w:val="24"/>
        </w:rPr>
        <w:t xml:space="preserve">only </w:t>
      </w:r>
      <w:r w:rsidR="00860A53">
        <w:rPr>
          <w:rFonts w:ascii="Courier New" w:eastAsia="Times New Roman" w:hAnsi="Courier New" w:cs="Courier New"/>
          <w:sz w:val="24"/>
          <w:szCs w:val="24"/>
        </w:rPr>
        <w:t xml:space="preserve">in </w:t>
      </w:r>
      <w:r w:rsidR="00231058" w:rsidRPr="0096107B">
        <w:rPr>
          <w:rFonts w:ascii="Courier New" w:eastAsia="Times New Roman" w:hAnsi="Courier New" w:cs="Courier New"/>
          <w:sz w:val="24"/>
          <w:szCs w:val="24"/>
        </w:rPr>
        <w:t>the year before they mi</w:t>
      </w:r>
      <w:r w:rsidR="00231058">
        <w:rPr>
          <w:rFonts w:ascii="Courier New" w:eastAsia="Times New Roman" w:hAnsi="Courier New" w:cs="Courier New"/>
          <w:sz w:val="24"/>
          <w:szCs w:val="24"/>
        </w:rPr>
        <w:t>ght be deemed ineligible.</w:t>
      </w:r>
      <w:r w:rsidR="00231058" w:rsidRPr="0096107B">
        <w:rPr>
          <w:rFonts w:ascii="Courier New" w:eastAsia="Times New Roman" w:hAnsi="Courier New" w:cs="Courier New"/>
          <w:sz w:val="24"/>
          <w:szCs w:val="24"/>
        </w:rPr>
        <w:t xml:space="preserve"> </w:t>
      </w:r>
      <w:r w:rsidR="00231058">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Some commenters suggested the Department eliminate the zone to ensure that </w:t>
      </w:r>
      <w:r w:rsidRPr="0096107B">
        <w:rPr>
          <w:rFonts w:ascii="Courier New" w:eastAsia="Times New Roman" w:hAnsi="Courier New" w:cs="Courier New"/>
          <w:sz w:val="24"/>
          <w:szCs w:val="24"/>
        </w:rPr>
        <w:lastRenderedPageBreak/>
        <w:t xml:space="preserve">students are not attending programs in which students who complete the program have a discretionary income rate above 20 percent, an unacceptable outcome. </w:t>
      </w:r>
    </w:p>
    <w:p w14:paraId="7959421D"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Other commenters proposed that, while a zone may be necessary, the regulations should include a firm upper threshold by which, should a program’s D/E rates exceed the threshold, the program would immediately lose eligibility.  Commenters suggested that there are cases in which outcomes for students are so egregious that programs need to lose eligibility immediately to protect students from additional harm. </w:t>
      </w:r>
    </w:p>
    <w:p w14:paraId="704A5B34"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The Department disagrees that the zone should be eliminated or phased out.  The zone under the D/E rates measure serves several important purposes. </w:t>
      </w:r>
    </w:p>
    <w:p w14:paraId="6F99BFB7" w14:textId="310B757E"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First, </w:t>
      </w:r>
      <w:r w:rsidR="001F648C">
        <w:rPr>
          <w:rFonts w:ascii="Courier New" w:eastAsia="Times New Roman" w:hAnsi="Courier New" w:cs="Courier New"/>
          <w:sz w:val="24"/>
          <w:szCs w:val="24"/>
        </w:rPr>
        <w:t xml:space="preserve">as stated previously, </w:t>
      </w:r>
      <w:r w:rsidRPr="0096107B">
        <w:rPr>
          <w:rFonts w:ascii="Courier New" w:eastAsia="Times New Roman" w:hAnsi="Courier New" w:cs="Courier New"/>
          <w:sz w:val="24"/>
          <w:szCs w:val="24"/>
        </w:rPr>
        <w:t xml:space="preserve">a four-year zone provides a buffer to account for statistical imprecision due to random year-to-year variations, virtually eliminating the possibility that a program would mistakenly be found ineligible on the basis of D/E rates for students who completed the program in any one year.  As discussed in the NPRM, our analysis shows that the chances that an unrepresentative population of students who completed a program could occur in four out of four consecutive years such that a program’s D/E rates exceed the 8 percent and 20 percent thresholds four years in a row when in fact its D/E </w:t>
      </w:r>
      <w:r w:rsidRPr="0096107B">
        <w:rPr>
          <w:rFonts w:ascii="Courier New" w:eastAsia="Times New Roman" w:hAnsi="Courier New" w:cs="Courier New"/>
          <w:sz w:val="24"/>
          <w:szCs w:val="24"/>
        </w:rPr>
        <w:lastRenderedPageBreak/>
        <w:t xml:space="preserve">rates are on average less than 8 percent and 20 percent for a typical year is close to zero percent.       </w:t>
      </w:r>
    </w:p>
    <w:p w14:paraId="785CC9FC" w14:textId="20773416"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As </w:t>
      </w:r>
      <w:r w:rsidR="001F648C">
        <w:rPr>
          <w:rFonts w:ascii="Courier New" w:eastAsia="Times New Roman" w:hAnsi="Courier New" w:cs="Courier New"/>
          <w:sz w:val="24"/>
          <w:szCs w:val="24"/>
        </w:rPr>
        <w:t xml:space="preserve">also </w:t>
      </w:r>
      <w:r w:rsidRPr="0096107B">
        <w:rPr>
          <w:rFonts w:ascii="Courier New" w:eastAsia="Times New Roman" w:hAnsi="Courier New" w:cs="Courier New"/>
          <w:sz w:val="24"/>
          <w:szCs w:val="24"/>
        </w:rPr>
        <w:t xml:space="preserve">stated previously, </w:t>
      </w:r>
      <w:r w:rsidR="007A58F6">
        <w:rPr>
          <w:rFonts w:ascii="Courier New" w:eastAsia="Times New Roman" w:hAnsi="Courier New" w:cs="Courier New"/>
          <w:sz w:val="24"/>
          <w:szCs w:val="24"/>
        </w:rPr>
        <w:t>we</w:t>
      </w:r>
      <w:r w:rsidRPr="0096107B">
        <w:rPr>
          <w:rFonts w:ascii="Courier New" w:eastAsia="Times New Roman" w:hAnsi="Courier New" w:cs="Courier New"/>
          <w:sz w:val="24"/>
          <w:szCs w:val="24"/>
        </w:rPr>
        <w:t xml:space="preserve"> believe that programs with an annual earnings rate above 8 percent and discretionary income rate above 20 percent are producing poor outcomes for students.  A permanent four-year zone holds all of these programs accountable while ensuring that the Department is making an accurate assessment.  In comparison</w:t>
      </w:r>
      <w:r w:rsidRPr="0096107B" w:rsidDel="001F648C">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raising the passing thresholds to 12 percent and 30 percent to create a buffer for accuracy would allow many poorly performing programs to evade accountability.   </w:t>
      </w:r>
    </w:p>
    <w:p w14:paraId="1ABDC827" w14:textId="20620777" w:rsidR="0096107B" w:rsidRPr="0096107B" w:rsidRDefault="007A58F6"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With a shorter</w:t>
      </w:r>
      <w:r w:rsidR="0096107B" w:rsidRPr="0096107B">
        <w:rPr>
          <w:rFonts w:ascii="Courier New" w:eastAsia="Times New Roman" w:hAnsi="Courier New" w:cs="Courier New"/>
          <w:sz w:val="24"/>
          <w:szCs w:val="24"/>
        </w:rPr>
        <w:t xml:space="preserve"> zone </w:t>
      </w:r>
      <w:r>
        <w:rPr>
          <w:rFonts w:ascii="Courier New" w:eastAsia="Times New Roman" w:hAnsi="Courier New" w:cs="Courier New"/>
          <w:sz w:val="24"/>
          <w:szCs w:val="24"/>
        </w:rPr>
        <w:t>period, programs</w:t>
      </w:r>
      <w:r w:rsidR="0096107B" w:rsidRPr="0096107B">
        <w:rPr>
          <w:rFonts w:ascii="Courier New" w:eastAsia="Times New Roman" w:hAnsi="Courier New" w:cs="Courier New"/>
          <w:sz w:val="24"/>
          <w:szCs w:val="24"/>
        </w:rPr>
        <w:t xml:space="preserve"> would </w:t>
      </w:r>
      <w:r>
        <w:rPr>
          <w:rFonts w:ascii="Courier New" w:eastAsia="Times New Roman" w:hAnsi="Courier New" w:cs="Courier New"/>
          <w:sz w:val="24"/>
          <w:szCs w:val="24"/>
        </w:rPr>
        <w:t>be at risk of mischaracterization</w:t>
      </w:r>
      <w:r w:rsidR="0096107B" w:rsidRPr="0096107B">
        <w:rPr>
          <w:rFonts w:ascii="Courier New" w:eastAsia="Times New Roman" w:hAnsi="Courier New" w:cs="Courier New"/>
          <w:sz w:val="24"/>
          <w:szCs w:val="24"/>
        </w:rPr>
        <w:t xml:space="preserve">.  Similarly, </w:t>
      </w:r>
      <w:r>
        <w:rPr>
          <w:rFonts w:ascii="Courier New" w:eastAsia="Times New Roman" w:hAnsi="Courier New" w:cs="Courier New"/>
          <w:sz w:val="24"/>
          <w:szCs w:val="24"/>
        </w:rPr>
        <w:t>i</w:t>
      </w:r>
      <w:r w:rsidR="0096107B" w:rsidRPr="0096107B">
        <w:rPr>
          <w:rFonts w:ascii="Courier New" w:eastAsia="Times New Roman" w:hAnsi="Courier New" w:cs="Courier New"/>
          <w:sz w:val="24"/>
          <w:szCs w:val="24"/>
        </w:rPr>
        <w:t>t is necessary to have a two out of three year time period to ineligibility for failing programs in order to ensure that an accurate assessment is made</w:t>
      </w:r>
      <w:r>
        <w:rPr>
          <w:rFonts w:ascii="Courier New" w:eastAsia="Times New Roman" w:hAnsi="Courier New" w:cs="Courier New"/>
          <w:sz w:val="24"/>
          <w:szCs w:val="24"/>
        </w:rPr>
        <w:t>.  O</w:t>
      </w:r>
      <w:r w:rsidRPr="0096107B">
        <w:rPr>
          <w:rFonts w:ascii="Courier New" w:eastAsia="Times New Roman" w:hAnsi="Courier New" w:cs="Courier New"/>
          <w:sz w:val="24"/>
          <w:szCs w:val="24"/>
        </w:rPr>
        <w:t xml:space="preserve">ur analysis indicates the probability of mischaracterizing </w:t>
      </w:r>
      <w:r>
        <w:rPr>
          <w:rFonts w:ascii="Courier New" w:eastAsia="Times New Roman" w:hAnsi="Courier New" w:cs="Courier New"/>
          <w:sz w:val="24"/>
          <w:szCs w:val="24"/>
        </w:rPr>
        <w:t xml:space="preserve">a </w:t>
      </w:r>
      <w:r w:rsidRPr="0096107B">
        <w:rPr>
          <w:rFonts w:ascii="Courier New" w:eastAsia="Times New Roman" w:hAnsi="Courier New" w:cs="Courier New"/>
          <w:sz w:val="24"/>
          <w:szCs w:val="24"/>
        </w:rPr>
        <w:t>program that is typically in the zone as failing in a single year could be as high as 4.1 percent.  By allowing programs to remain eligible after a single fail</w:t>
      </w:r>
      <w:r w:rsidR="00211CDE">
        <w:rPr>
          <w:rFonts w:ascii="Courier New" w:eastAsia="Times New Roman" w:hAnsi="Courier New" w:cs="Courier New"/>
          <w:sz w:val="24"/>
          <w:szCs w:val="24"/>
        </w:rPr>
        <w:t>ing res</w:t>
      </w:r>
      <w:r w:rsidR="00F0739B">
        <w:rPr>
          <w:rFonts w:ascii="Courier New" w:eastAsia="Times New Roman" w:hAnsi="Courier New" w:cs="Courier New"/>
          <w:sz w:val="24"/>
          <w:szCs w:val="24"/>
        </w:rPr>
        <w:t>ult</w:t>
      </w:r>
      <w:r w:rsidRPr="0096107B">
        <w:rPr>
          <w:rFonts w:ascii="Courier New" w:eastAsia="Times New Roman" w:hAnsi="Courier New" w:cs="Courier New"/>
          <w:sz w:val="24"/>
          <w:szCs w:val="24"/>
        </w:rPr>
        <w:t xml:space="preserve">, we believe we are providing programs near the borderline of the 12 percent threshold a reasonable opportunity to </w:t>
      </w:r>
      <w:r w:rsidR="00E01F1F">
        <w:rPr>
          <w:rFonts w:ascii="Courier New" w:eastAsia="Times New Roman" w:hAnsi="Courier New" w:cs="Courier New"/>
          <w:sz w:val="24"/>
          <w:szCs w:val="24"/>
        </w:rPr>
        <w:t>remain eligible until we confirm that our assessment is accurate</w:t>
      </w:r>
      <w:r w:rsidRPr="0096107B">
        <w:rPr>
          <w:rFonts w:ascii="Courier New" w:eastAsia="Times New Roman" w:hAnsi="Courier New" w:cs="Courier New"/>
          <w:sz w:val="24"/>
          <w:szCs w:val="24"/>
        </w:rPr>
        <w:t>.</w:t>
      </w:r>
      <w:r>
        <w:rPr>
          <w:rFonts w:ascii="Courier New" w:eastAsia="Times New Roman" w:hAnsi="Courier New" w:cs="Courier New"/>
          <w:sz w:val="24"/>
          <w:szCs w:val="24"/>
        </w:rPr>
        <w:t xml:space="preserve">  Accordingly</w:t>
      </w:r>
      <w:r w:rsidRPr="0096107B">
        <w:rPr>
          <w:rFonts w:ascii="Courier New" w:eastAsia="Times New Roman" w:hAnsi="Courier New" w:cs="Courier New"/>
          <w:sz w:val="24"/>
          <w:szCs w:val="24"/>
        </w:rPr>
        <w:t xml:space="preserve">, we do not agree that programs with an annual earnings rate above 12 percent and discretionary income rate above 30 percent should </w:t>
      </w:r>
      <w:r>
        <w:rPr>
          <w:rFonts w:ascii="Courier New" w:eastAsia="Times New Roman" w:hAnsi="Courier New" w:cs="Courier New"/>
          <w:sz w:val="24"/>
          <w:szCs w:val="24"/>
        </w:rPr>
        <w:lastRenderedPageBreak/>
        <w:t>immediately lose eligibility.  W</w:t>
      </w:r>
      <w:r w:rsidR="0096107B" w:rsidRPr="0096107B">
        <w:rPr>
          <w:rFonts w:ascii="Courier New" w:eastAsia="Times New Roman" w:hAnsi="Courier New" w:cs="Courier New"/>
          <w:sz w:val="24"/>
          <w:szCs w:val="24"/>
        </w:rPr>
        <w:t xml:space="preserve">e believe that the program disclosures and warnings mitigate the need to establish any threshold where a one-year outcome would immediately trigger a loss of eligibility. </w:t>
      </w:r>
    </w:p>
    <w:p w14:paraId="7DB44087" w14:textId="19D80D94"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While the zone may lead to at least some additional uncertainty for institutions and students, we believe this concern is outweighed by our interest in ensuring that all poorly performing programs are held accountable.  To provide at least some level of protection to students, as discussed in “§668.410  Consequences of </w:t>
      </w:r>
      <w:r w:rsidR="00B37D57">
        <w:rPr>
          <w:rFonts w:ascii="Courier New" w:eastAsia="Times New Roman" w:hAnsi="Courier New" w:cs="Courier New"/>
          <w:sz w:val="24"/>
          <w:szCs w:val="24"/>
        </w:rPr>
        <w:t xml:space="preserve">the </w:t>
      </w:r>
      <w:r w:rsidRPr="0096107B">
        <w:rPr>
          <w:rFonts w:ascii="Courier New" w:eastAsia="Times New Roman" w:hAnsi="Courier New" w:cs="Courier New"/>
          <w:sz w:val="24"/>
          <w:szCs w:val="24"/>
        </w:rPr>
        <w:t xml:space="preserve">D/E Rates Measure,” an institution will </w:t>
      </w:r>
      <w:r w:rsidR="00C408ED">
        <w:rPr>
          <w:rFonts w:ascii="Courier New" w:eastAsia="Times New Roman" w:hAnsi="Courier New" w:cs="Courier New"/>
          <w:sz w:val="24"/>
          <w:szCs w:val="24"/>
        </w:rPr>
        <w:t xml:space="preserve">also </w:t>
      </w:r>
      <w:r w:rsidRPr="0096107B">
        <w:rPr>
          <w:rFonts w:ascii="Courier New" w:eastAsia="Times New Roman" w:hAnsi="Courier New" w:cs="Courier New"/>
          <w:sz w:val="24"/>
          <w:szCs w:val="24"/>
        </w:rPr>
        <w:t xml:space="preserve">be required to issue warnings to current and prospective students for </w:t>
      </w:r>
      <w:r w:rsidR="00C408ED">
        <w:rPr>
          <w:rFonts w:ascii="Courier New" w:eastAsia="Times New Roman" w:hAnsi="Courier New" w:cs="Courier New"/>
          <w:sz w:val="24"/>
          <w:szCs w:val="24"/>
        </w:rPr>
        <w:t>a</w:t>
      </w:r>
      <w:r w:rsidR="00C408ED"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program in any year </w:t>
      </w:r>
      <w:r w:rsidR="00545560">
        <w:rPr>
          <w:rFonts w:ascii="Courier New" w:eastAsia="Times New Roman" w:hAnsi="Courier New" w:cs="Courier New"/>
          <w:sz w:val="24"/>
          <w:szCs w:val="24"/>
        </w:rPr>
        <w:t xml:space="preserve">in which the program </w:t>
      </w:r>
      <w:r w:rsidR="00545560" w:rsidRPr="001E3A02">
        <w:rPr>
          <w:rFonts w:ascii="Courier New" w:eastAsia="Times New Roman" w:hAnsi="Courier New" w:cs="Courier New"/>
          <w:sz w:val="24"/>
          <w:szCs w:val="24"/>
        </w:rPr>
        <w:t>faces potential ineligibility based upon its next set of final D/E rates</w:t>
      </w:r>
      <w:r w:rsidRPr="0096107B">
        <w:rPr>
          <w:rFonts w:ascii="Courier New" w:eastAsia="Times New Roman" w:hAnsi="Courier New" w:cs="Courier New"/>
          <w:sz w:val="24"/>
          <w:szCs w:val="24"/>
        </w:rPr>
        <w:t xml:space="preserve">.       </w:t>
      </w:r>
    </w:p>
    <w:p w14:paraId="071C7C5F"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Second, the four-year zone helps to ensure that programs with rates that are usually passing or close to meeting the passing threshold are not deemed failing or made ineligible due to economic fluctuations.  As stated previously, recessions have, on average, lasted 11.1 months since 1945.</w:t>
      </w:r>
      <w:r w:rsidRPr="0096107B">
        <w:rPr>
          <w:rFonts w:ascii="Courier New" w:eastAsia="Times New Roman" w:hAnsi="Courier New" w:cs="Courier New"/>
          <w:color w:val="000000"/>
          <w:sz w:val="24"/>
          <w:szCs w:val="24"/>
          <w:vertAlign w:val="superscript"/>
        </w:rPr>
        <w:footnoteReference w:id="132"/>
      </w:r>
      <w:r w:rsidRPr="0096107B">
        <w:rPr>
          <w:rFonts w:ascii="Courier New" w:eastAsia="Times New Roman" w:hAnsi="Courier New" w:cs="Courier New"/>
          <w:sz w:val="24"/>
          <w:szCs w:val="24"/>
        </w:rPr>
        <w:t xml:space="preserve">  It is implausible that a program would fall in the zone for four consecutive years due to an economic downturn or fluctuations within the local labor markets.</w:t>
      </w:r>
    </w:p>
    <w:p w14:paraId="6ADC0FC4" w14:textId="697E3B05"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ab/>
        <w:t xml:space="preserve">Third, a four-year zone, coupled with the transitional D/E rates calculation, described in more detail in “§668.404  Calculating D/E Rates,” will provide institutions with more time to show improvement in their programs after the regulations become effective. </w:t>
      </w:r>
      <w:r w:rsidR="00790163">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Programs </w:t>
      </w:r>
      <w:r w:rsidR="00790163">
        <w:rPr>
          <w:rFonts w:ascii="Courier New" w:eastAsia="Times New Roman" w:hAnsi="Courier New" w:cs="Courier New"/>
          <w:sz w:val="24"/>
          <w:szCs w:val="24"/>
        </w:rPr>
        <w:t>will have</w:t>
      </w:r>
      <w:r w:rsidRPr="0096107B">
        <w:rPr>
          <w:rFonts w:ascii="Courier New" w:eastAsia="Times New Roman" w:hAnsi="Courier New" w:cs="Courier New"/>
          <w:sz w:val="24"/>
          <w:szCs w:val="24"/>
        </w:rPr>
        <w:t xml:space="preserve"> </w:t>
      </w:r>
      <w:r w:rsidR="003E0747">
        <w:rPr>
          <w:rFonts w:ascii="Courier New" w:eastAsia="Times New Roman" w:hAnsi="Courier New" w:cs="Courier New"/>
          <w:sz w:val="24"/>
          <w:szCs w:val="24"/>
        </w:rPr>
        <w:t>several</w:t>
      </w:r>
      <w:r w:rsidR="008153F2"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years after these regulations take effect to improve and achieve passing rates. </w:t>
      </w:r>
      <w:r w:rsidR="00790163">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 xml:space="preserve">During the transition period, an alternative D/E rates calculation will be made so that institutions can benefit from any immediate reductions in cost they make.  As discussed in “§668.404  Calculating D/E Rates,” we have changed the transition period by extending the length to ensure that institutions that make sufficient reductions in tuition and fees </w:t>
      </w:r>
      <w:r w:rsidR="003E0747">
        <w:rPr>
          <w:rFonts w:ascii="Courier New" w:eastAsia="Times New Roman" w:hAnsi="Courier New" w:cs="Courier New"/>
          <w:sz w:val="24"/>
          <w:szCs w:val="24"/>
        </w:rPr>
        <w:t>are able to benefit from such efforts</w:t>
      </w:r>
      <w:r w:rsidRPr="0096107B">
        <w:rPr>
          <w:rFonts w:ascii="Courier New" w:eastAsia="Times New Roman" w:hAnsi="Courier New" w:cs="Courier New"/>
          <w:sz w:val="24"/>
          <w:szCs w:val="24"/>
        </w:rPr>
        <w:t xml:space="preserve">.  Because institutions have the ability to affect the debt that their students accumulate by lowering tuition and fees, we believe it is possible for zone and failing programs to improve as a result of the transitional D/E rates calculation.  Analysis of the zone programs in the 2012 GE informational D/E rates </w:t>
      </w:r>
      <w:r w:rsidR="003E0747">
        <w:rPr>
          <w:rFonts w:ascii="Courier New" w:eastAsia="Times New Roman" w:hAnsi="Courier New" w:cs="Courier New"/>
          <w:sz w:val="24"/>
          <w:szCs w:val="24"/>
        </w:rPr>
        <w:t xml:space="preserve">data set </w:t>
      </w:r>
      <w:r w:rsidRPr="0096107B">
        <w:rPr>
          <w:rFonts w:ascii="Courier New" w:eastAsia="Times New Roman" w:hAnsi="Courier New" w:cs="Courier New"/>
          <w:sz w:val="24"/>
          <w:szCs w:val="24"/>
        </w:rPr>
        <w:t xml:space="preserve">suggests that zone programs would need to reduce their median annual loan payment by roughly 16 percent in order to pass.        </w:t>
      </w:r>
    </w:p>
    <w:p w14:paraId="1755C871"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While we acknowledge that the zone may add some additional level of complexity to the regulations, we believe it is necessary to ensure that programs that lead to poor outcomes are held accountable.  With respect to the commenter who believed </w:t>
      </w:r>
      <w:r w:rsidRPr="0096107B">
        <w:rPr>
          <w:rFonts w:ascii="Courier New" w:eastAsia="Times New Roman" w:hAnsi="Courier New" w:cs="Courier New"/>
          <w:sz w:val="24"/>
          <w:szCs w:val="24"/>
        </w:rPr>
        <w:lastRenderedPageBreak/>
        <w:t>the zone would create additional burden for State regulators, we are unable to identify a reason for why this would be the case.</w:t>
      </w:r>
    </w:p>
    <w:p w14:paraId="50F762CD"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3D9644D0"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Time Period to Ineligibility</w:t>
      </w:r>
    </w:p>
    <w:p w14:paraId="48DAC072"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Some commenters contended that the Department should revise the regulations to provide for a longer time before which a program that is failing the D/E rates measure would be determined ineligible under the title IV, HEA programs.  The commenters stated that the time period should be longer because improvement would be impossible over the two out of three year period proposed.  They argued that the Department should adopt the ineligibility time period from the 2011 Prior Rule, where programs would not be determined ineligible unless they failed the metrics in three out of four years.  </w:t>
      </w:r>
    </w:p>
    <w:p w14:paraId="0B15A9F0"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Other commenters asserted that the two out of three year timeframe is not justified and is designed to deny eligibility to for-profit institutions before they have an opportunity to improve.  A few commenters said the proposed period before ineligibility is particularly short for programs with longer lengths, such as advanced degree programs, because these programs would have even less opportunity to improve than would short-term certificate programs based on the fact that students completing these programs would have started attending the </w:t>
      </w:r>
      <w:r w:rsidRPr="0096107B">
        <w:rPr>
          <w:rFonts w:ascii="Courier New" w:eastAsia="Times New Roman" w:hAnsi="Courier New" w:cs="Courier New"/>
          <w:sz w:val="24"/>
          <w:szCs w:val="24"/>
        </w:rPr>
        <w:lastRenderedPageBreak/>
        <w:t>program in years even further before the implementation of the regulations.</w:t>
      </w:r>
    </w:p>
    <w:p w14:paraId="59250B77"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In contrast, other commenters believed that even two out of three years is too long because allowing these programs to remain eligible for that period of time would harm too many students.  They argued that failing programs already produce unacceptably poor outcomes and that allowing them to continue to operate will lead to more students taking out high amounts of debt with little benefit.  The commenters proposed that failing programs should become immediately ineligible once the regulations are effective should they fail to pass the D/E rates measure.    </w:t>
      </w:r>
    </w:p>
    <w:p w14:paraId="7D35C5AB" w14:textId="6A92C8A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Institutions should already be striving to improve program outcomes for their students, and the outcomes for graduates every year may be influenced by prior changes an institution made to its program.  </w:t>
      </w:r>
      <w:r w:rsidR="00D269F0">
        <w:rPr>
          <w:rFonts w:ascii="Courier New" w:eastAsia="Times New Roman" w:hAnsi="Courier New" w:cs="Courier New"/>
          <w:sz w:val="24"/>
          <w:szCs w:val="24"/>
        </w:rPr>
        <w:t>Based on o</w:t>
      </w:r>
      <w:r w:rsidRPr="0096107B">
        <w:rPr>
          <w:rFonts w:ascii="Courier New" w:eastAsia="Times New Roman" w:hAnsi="Courier New" w:cs="Courier New"/>
          <w:sz w:val="24"/>
          <w:szCs w:val="24"/>
        </w:rPr>
        <w:t>ur analysis</w:t>
      </w:r>
      <w:r w:rsidR="00D269F0">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w:t>
      </w:r>
      <w:r w:rsidR="00D269F0">
        <w:rPr>
          <w:rFonts w:ascii="Courier New" w:eastAsia="Times New Roman" w:hAnsi="Courier New" w:cs="Courier New"/>
          <w:sz w:val="24"/>
          <w:szCs w:val="24"/>
        </w:rPr>
        <w:t>we expect</w:t>
      </w:r>
      <w:r w:rsidRPr="0096107B">
        <w:rPr>
          <w:rFonts w:ascii="Courier New" w:eastAsia="Times New Roman" w:hAnsi="Courier New" w:cs="Courier New"/>
          <w:sz w:val="24"/>
          <w:szCs w:val="24"/>
        </w:rPr>
        <w:t xml:space="preserve"> that </w:t>
      </w:r>
      <w:r w:rsidR="00D269F0">
        <w:rPr>
          <w:rFonts w:ascii="Courier New" w:eastAsia="Times New Roman" w:hAnsi="Courier New" w:cs="Courier New"/>
          <w:sz w:val="24"/>
          <w:szCs w:val="24"/>
        </w:rPr>
        <w:t>74 percent of</w:t>
      </w:r>
      <w:r w:rsidRPr="0096107B">
        <w:rPr>
          <w:rFonts w:ascii="Courier New" w:eastAsia="Times New Roman" w:hAnsi="Courier New" w:cs="Courier New"/>
          <w:sz w:val="24"/>
          <w:szCs w:val="24"/>
        </w:rPr>
        <w:t xml:space="preserve"> programs will pass the D/E rates measure, and </w:t>
      </w:r>
      <w:r w:rsidR="00D269F0">
        <w:rPr>
          <w:rFonts w:ascii="Courier New" w:eastAsia="Times New Roman" w:hAnsi="Courier New" w:cs="Courier New"/>
          <w:sz w:val="24"/>
          <w:szCs w:val="24"/>
        </w:rPr>
        <w:t>91</w:t>
      </w:r>
      <w:r w:rsidRPr="0096107B">
        <w:rPr>
          <w:rFonts w:ascii="Courier New" w:eastAsia="Times New Roman" w:hAnsi="Courier New" w:cs="Courier New"/>
          <w:sz w:val="24"/>
          <w:szCs w:val="24"/>
        </w:rPr>
        <w:t xml:space="preserve"> percent will either pass or be in the zone.  Any program with a discretionary income rate above 30 percent and an annual earnings rate above 12 percent is producing poor outcomes for its students and should, in order to minimize the program’s negative impact on students, be given as limited a period as is necessary to ensure statistical accuracy of program measurement before it loses its eligibility.  Accordingly, we will allow </w:t>
      </w:r>
      <w:r w:rsidRPr="0096107B">
        <w:rPr>
          <w:rFonts w:ascii="Courier New" w:eastAsia="Times New Roman" w:hAnsi="Courier New" w:cs="Courier New"/>
          <w:sz w:val="24"/>
          <w:szCs w:val="24"/>
        </w:rPr>
        <w:lastRenderedPageBreak/>
        <w:t xml:space="preserve">programs to operate until they have failed twice within three years to be certain we are only making ineligible those programs that consistently do not pass the D/E rates measure.  Because, as discussed in the NPRM, the probability that a passing program is determined ineligible due to statistical imprecision is nearly non-existent with a two out of three year period, we believe that this is an appropriate length of time to ineligibility for failing programs and that the longer three out of four year period of the 2011 Prior Rule is unnecessary.  </w:t>
      </w:r>
    </w:p>
    <w:p w14:paraId="12ED317A"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Because of the 2011 Prior Rule and informational rates, institutions have had relevant information for a sufficient amount of time to make improvements.  Further, the transition period will allow institutions to continue to improve their programs even after the regulations take effect.  Even institutions that only begin to make improvements after the regulations take effect, or those that did not have informational rates for programs that were not in existence or are medical or dental programs, will get substantial, if not full, benefit of the transition period.  Institutions that make immediate changes that at minimum move a failing program into the zone will then have additional years of the transition period coupled with the zone to continue to improve.   </w:t>
      </w:r>
    </w:p>
    <w:p w14:paraId="4378D0ED" w14:textId="3E8C028C" w:rsidR="00C940C9" w:rsidRPr="0096107B" w:rsidRDefault="00442565"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lastRenderedPageBreak/>
        <w:t>We</w:t>
      </w:r>
      <w:r w:rsidR="00C940C9">
        <w:rPr>
          <w:rFonts w:ascii="Courier New" w:eastAsia="Times New Roman" w:hAnsi="Courier New" w:cs="Courier New"/>
          <w:sz w:val="24"/>
          <w:szCs w:val="24"/>
        </w:rPr>
        <w:t xml:space="preserve"> are revising §668.403(c)</w:t>
      </w:r>
      <w:r>
        <w:rPr>
          <w:rFonts w:ascii="Courier New" w:eastAsia="Times New Roman" w:hAnsi="Courier New" w:cs="Courier New"/>
          <w:sz w:val="24"/>
          <w:szCs w:val="24"/>
        </w:rPr>
        <w:t>(4)</w:t>
      </w:r>
      <w:r w:rsidR="00C940C9">
        <w:rPr>
          <w:rFonts w:ascii="Courier New" w:eastAsia="Times New Roman" w:hAnsi="Courier New" w:cs="Courier New"/>
          <w:sz w:val="24"/>
          <w:szCs w:val="24"/>
        </w:rPr>
        <w:t xml:space="preserve"> </w:t>
      </w:r>
      <w:r>
        <w:rPr>
          <w:rFonts w:ascii="Courier New" w:eastAsia="Times New Roman" w:hAnsi="Courier New" w:cs="Courier New"/>
          <w:sz w:val="24"/>
          <w:szCs w:val="24"/>
        </w:rPr>
        <w:t>to state more clearly the circumstances in which a program becomes ineligible under the D/E rates measure.</w:t>
      </w:r>
    </w:p>
    <w:p w14:paraId="308FCEA4" w14:textId="6E08DA3B"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xml:space="preserve">:  </w:t>
      </w:r>
      <w:r w:rsidR="00AC71F2">
        <w:rPr>
          <w:rFonts w:ascii="Courier New" w:eastAsia="Times New Roman" w:hAnsi="Courier New" w:cs="Courier New"/>
          <w:sz w:val="24"/>
          <w:szCs w:val="24"/>
        </w:rPr>
        <w:t xml:space="preserve">We </w:t>
      </w:r>
      <w:r w:rsidR="00442565">
        <w:rPr>
          <w:rFonts w:ascii="Courier New" w:eastAsia="Times New Roman" w:hAnsi="Courier New" w:cs="Courier New"/>
          <w:sz w:val="24"/>
          <w:szCs w:val="24"/>
        </w:rPr>
        <w:t>have revised the language in §668.403(c)(4) to</w:t>
      </w:r>
      <w:r w:rsidR="00AC71F2">
        <w:rPr>
          <w:rFonts w:ascii="Courier New" w:eastAsia="Times New Roman" w:hAnsi="Courier New" w:cs="Courier New"/>
          <w:sz w:val="24"/>
          <w:szCs w:val="24"/>
        </w:rPr>
        <w:t xml:space="preserve"> clarify that a GE program </w:t>
      </w:r>
      <w:r w:rsidR="00AC71F2" w:rsidRPr="00280162">
        <w:rPr>
          <w:rFonts w:ascii="Courier New" w:hAnsi="Courier New" w:cs="Courier New"/>
          <w:sz w:val="24"/>
          <w:szCs w:val="24"/>
        </w:rPr>
        <w:t>becomes ineligible if the program</w:t>
      </w:r>
      <w:r w:rsidR="00AC71F2">
        <w:rPr>
          <w:rFonts w:ascii="Courier New" w:hAnsi="Courier New" w:cs="Courier New"/>
          <w:sz w:val="24"/>
          <w:szCs w:val="24"/>
        </w:rPr>
        <w:t xml:space="preserve"> either </w:t>
      </w:r>
      <w:r w:rsidR="00AC71F2">
        <w:rPr>
          <w:rFonts w:ascii="Courier New" w:hAnsi="Courier New" w:cs="Courier New"/>
          <w:color w:val="000000"/>
          <w:sz w:val="24"/>
          <w:szCs w:val="24"/>
        </w:rPr>
        <w:t>i</w:t>
      </w:r>
      <w:r w:rsidR="00AC71F2" w:rsidRPr="00280162">
        <w:rPr>
          <w:rFonts w:ascii="Courier New" w:hAnsi="Courier New" w:cs="Courier New"/>
          <w:color w:val="000000"/>
          <w:sz w:val="24"/>
          <w:szCs w:val="24"/>
        </w:rPr>
        <w:t>s failing</w:t>
      </w:r>
      <w:r w:rsidR="00AC71F2" w:rsidRPr="00280162">
        <w:rPr>
          <w:rFonts w:ascii="Courier New" w:hAnsi="Courier New" w:cs="Courier New"/>
          <w:sz w:val="24"/>
          <w:szCs w:val="24"/>
        </w:rPr>
        <w:t xml:space="preserve"> the D/E rates measure in two out of any three consecutive award years for which the program’s D/E rates are calculated; or</w:t>
      </w:r>
      <w:r w:rsidR="00AC71F2">
        <w:rPr>
          <w:rFonts w:ascii="Courier New" w:hAnsi="Courier New" w:cs="Courier New"/>
          <w:sz w:val="24"/>
          <w:szCs w:val="24"/>
        </w:rPr>
        <w:t xml:space="preserve"> has a combination of zone and failing D/E rates for four consecutive award years </w:t>
      </w:r>
      <w:r w:rsidR="00AC71F2" w:rsidRPr="00280162">
        <w:rPr>
          <w:rFonts w:ascii="Courier New" w:hAnsi="Courier New" w:cs="Courier New"/>
          <w:sz w:val="24"/>
          <w:szCs w:val="24"/>
        </w:rPr>
        <w:t>for which the program’s D/E rates are calculated</w:t>
      </w:r>
      <w:r w:rsidRPr="0096107B" w:rsidDel="00AC71F2">
        <w:rPr>
          <w:rFonts w:ascii="Courier New" w:eastAsia="Times New Roman" w:hAnsi="Courier New" w:cs="Courier New"/>
          <w:sz w:val="24"/>
          <w:szCs w:val="24"/>
        </w:rPr>
        <w:t>.</w:t>
      </w:r>
    </w:p>
    <w:p w14:paraId="17F741B2" w14:textId="77777777" w:rsidR="0096107B" w:rsidRPr="0096107B" w:rsidRDefault="0096107B" w:rsidP="0096107B">
      <w:pPr>
        <w:spacing w:after="0" w:line="480" w:lineRule="auto"/>
        <w:outlineLvl w:val="1"/>
        <w:rPr>
          <w:rFonts w:ascii="Courier New" w:hAnsi="Courier New" w:cs="Courier New"/>
          <w:bCs/>
          <w:sz w:val="24"/>
          <w:szCs w:val="24"/>
          <w:u w:val="single"/>
        </w:rPr>
      </w:pPr>
      <w:r w:rsidRPr="0096107B">
        <w:rPr>
          <w:rFonts w:ascii="Courier New" w:hAnsi="Courier New" w:cs="Courier New"/>
          <w:bCs/>
          <w:sz w:val="24"/>
          <w:szCs w:val="24"/>
          <w:u w:val="single"/>
        </w:rPr>
        <w:t>Other Issues Regarding the D/E Rates Measure</w:t>
      </w:r>
    </w:p>
    <w:p w14:paraId="03A01485"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Some commenters suggested that programs should be required to pass both the annual earnings rate and discretionary income rate metrics in order to pass the D/E rates measure.  These commenters argued that programs should be expected to generate sufficient income for graduates to cover basic living expenses and pay back their student loans.  They expressed concern that many programs pass the annual earnings rate</w:t>
      </w:r>
      <w:r w:rsidRPr="0096107B" w:rsidDel="005E5FA9">
        <w:rPr>
          <w:rFonts w:ascii="Courier New" w:eastAsia="Times New Roman" w:hAnsi="Courier New" w:cs="Courier New"/>
          <w:sz w:val="24"/>
          <w:szCs w:val="24"/>
        </w:rPr>
        <w:t xml:space="preserve"> metric</w:t>
      </w:r>
      <w:r w:rsidRPr="0096107B">
        <w:rPr>
          <w:rFonts w:ascii="Courier New" w:eastAsia="Times New Roman" w:hAnsi="Courier New" w:cs="Courier New"/>
          <w:sz w:val="24"/>
          <w:szCs w:val="24"/>
        </w:rPr>
        <w:t xml:space="preserve"> even though their students have to spend more than their entire discretionary income on debt service.  Similarly, some commenters suggested that the regulations include a minimum earnings level below which a program would automatically fail both the annual earnings rate and discretionary income rate metrics, arguing that there is a baseline income below which any </w:t>
      </w:r>
      <w:r w:rsidRPr="0096107B">
        <w:rPr>
          <w:rFonts w:ascii="Courier New" w:eastAsia="Times New Roman" w:hAnsi="Courier New" w:cs="Courier New"/>
          <w:sz w:val="24"/>
          <w:szCs w:val="24"/>
        </w:rPr>
        <w:lastRenderedPageBreak/>
        <w:t xml:space="preserve">required debt payments would result in unmanageable debt.  Multiple commenters made a related suggestion to base the D/E rates measure only on discretionary income, and eliminate the annual earnings rate, so that programs would be deemed failing if their students have earnings below the poverty line.  </w:t>
      </w:r>
    </w:p>
    <w:p w14:paraId="2F3FF767" w14:textId="3FA8D883"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On the other hand, some commenters argued that the discretionary income rate</w:t>
      </w:r>
      <w:r w:rsidRPr="0096107B" w:rsidDel="005E5FA9">
        <w:rPr>
          <w:rFonts w:ascii="Courier New" w:eastAsia="Times New Roman" w:hAnsi="Courier New" w:cs="Courier New"/>
          <w:sz w:val="24"/>
          <w:szCs w:val="24"/>
        </w:rPr>
        <w:t xml:space="preserve"> </w:t>
      </w:r>
      <w:r w:rsidR="001966E8">
        <w:rPr>
          <w:rFonts w:ascii="Courier New" w:eastAsia="Times New Roman" w:hAnsi="Courier New" w:cs="Courier New"/>
          <w:sz w:val="24"/>
          <w:szCs w:val="24"/>
        </w:rPr>
        <w:t>metric</w:t>
      </w:r>
      <w:r w:rsidR="001966E8" w:rsidRPr="0096107B">
        <w:rPr>
          <w:rFonts w:ascii="Courier New" w:eastAsia="Times New Roman" w:hAnsi="Courier New" w:cs="Courier New"/>
          <w:sz w:val="24"/>
          <w:szCs w:val="24"/>
        </w:rPr>
        <w:t xml:space="preserve"> </w:t>
      </w:r>
      <w:r w:rsidRPr="0096107B">
        <w:rPr>
          <w:rFonts w:ascii="Courier New" w:eastAsia="Times New Roman" w:hAnsi="Courier New" w:cs="Courier New"/>
          <w:sz w:val="24"/>
          <w:szCs w:val="24"/>
        </w:rPr>
        <w:t>is unnecessary because very few programs would be affected by it.</w:t>
      </w:r>
    </w:p>
    <w:p w14:paraId="4402F007" w14:textId="6BB6471B"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The annual earnings rate and the discretionary income rate, which comprise the D/E rates measure, serve distinct and important purposes in the regulations.  The annual earnings rate more accurately assesses programs with graduates that have low earnings but relatively low debt.  The discretionary income rate </w:t>
      </w:r>
      <w:r w:rsidR="00A72342">
        <w:rPr>
          <w:rFonts w:ascii="Courier New" w:eastAsia="Times New Roman" w:hAnsi="Courier New" w:cs="Courier New"/>
          <w:sz w:val="24"/>
          <w:szCs w:val="24"/>
        </w:rPr>
        <w:t>will help</w:t>
      </w:r>
      <w:r w:rsidRPr="0096107B">
        <w:rPr>
          <w:rFonts w:ascii="Courier New" w:eastAsia="Times New Roman" w:hAnsi="Courier New" w:cs="Courier New"/>
          <w:sz w:val="24"/>
          <w:szCs w:val="24"/>
        </w:rPr>
        <w:t xml:space="preserve"> capture programs with students that have higher debt but also relatively higher earnings.</w:t>
      </w:r>
    </w:p>
    <w:p w14:paraId="3FBF0C91"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The annual earnings rate by itself would fail to properly assess many programs that, according to expert recommendations, meet minimum standards for acceptable debt levels.  As a result, the Department disagrees with those commenters who suggested that including the discretionary income rate is of limited value.  Without the discretionary income rate, programs where students have high levels of debt, but earnings adequate to manage that debt, would not pass the D/E rates measure.  While </w:t>
      </w:r>
      <w:r w:rsidRPr="0096107B">
        <w:rPr>
          <w:rFonts w:ascii="Courier New" w:eastAsia="Times New Roman" w:hAnsi="Courier New" w:cs="Courier New"/>
          <w:sz w:val="24"/>
          <w:szCs w:val="24"/>
        </w:rPr>
        <w:lastRenderedPageBreak/>
        <w:t xml:space="preserve">there may be a more limited universe of programs that would pass the D/E rates measure based on the discretionary income rate threshold, the Department believes it is important to maintain this threshold to protect those programs that may be producing good outcomes for students.     </w:t>
      </w:r>
      <w:r w:rsidRPr="0096107B">
        <w:rPr>
          <w:rFonts w:ascii="Courier New" w:eastAsia="Times New Roman" w:hAnsi="Courier New" w:cs="Courier New"/>
          <w:sz w:val="24"/>
          <w:szCs w:val="24"/>
          <w:u w:val="single"/>
        </w:rPr>
        <w:t xml:space="preserve">  </w:t>
      </w:r>
      <w:r w:rsidRPr="0096107B">
        <w:rPr>
          <w:rFonts w:ascii="Courier New" w:eastAsia="Times New Roman" w:hAnsi="Courier New" w:cs="Courier New"/>
          <w:sz w:val="24"/>
          <w:szCs w:val="24"/>
        </w:rPr>
        <w:t xml:space="preserve"> </w:t>
      </w:r>
    </w:p>
    <w:p w14:paraId="1F51F038" w14:textId="016D8B7F"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Requiring programs to pass both the annual earnings rate and discretionary income rate, removing the annual earnings rate altogether, or establishing a minimum earnings threshold for the D/E rates measure would all have the same impact--making ineligible programs that, based on expert analysis, leave students with manageable levels of debt.  In some cases, programs may leave graduates with low earnings, but these students may also have minimal debt that experts have deemed manageable at those earnings levels.  For other programs, students may be faced with high levels of debt, but also be left with significantly higher earnings such that high debt levels are manageable.  In both cases, the discretionary income rate and the annual earnings rate, respectively, ensure programs meet a minimum standard while also being allowed to operate when providing acceptable outcomes for graduates.  </w:t>
      </w:r>
      <w:r w:rsidR="00E91F6D">
        <w:rPr>
          <w:rFonts w:ascii="Courier New" w:eastAsia="Times New Roman" w:hAnsi="Courier New" w:cs="Courier New"/>
          <w:sz w:val="24"/>
          <w:szCs w:val="24"/>
        </w:rPr>
        <w:t>We</w:t>
      </w:r>
      <w:r w:rsidRPr="0096107B">
        <w:rPr>
          <w:rFonts w:ascii="Courier New" w:eastAsia="Times New Roman" w:hAnsi="Courier New" w:cs="Courier New"/>
          <w:sz w:val="24"/>
          <w:szCs w:val="24"/>
        </w:rPr>
        <w:t xml:space="preserve"> provide an analysis </w:t>
      </w:r>
      <w:r w:rsidR="00E91F6D">
        <w:rPr>
          <w:rFonts w:ascii="Courier New" w:eastAsia="Times New Roman" w:hAnsi="Courier New" w:cs="Courier New"/>
          <w:sz w:val="24"/>
          <w:szCs w:val="24"/>
        </w:rPr>
        <w:t xml:space="preserve">in the </w:t>
      </w:r>
      <w:r w:rsidR="00E91F6D">
        <w:rPr>
          <w:rFonts w:ascii="Courier New" w:eastAsia="Times New Roman" w:hAnsi="Courier New" w:cs="Courier New"/>
          <w:sz w:val="24"/>
          <w:szCs w:val="24"/>
          <w:u w:val="single"/>
        </w:rPr>
        <w:t>Regulatory Impact Analysis</w:t>
      </w:r>
      <w:r w:rsidRPr="0096107B">
        <w:rPr>
          <w:rFonts w:ascii="Courier New" w:eastAsia="Times New Roman" w:hAnsi="Courier New" w:cs="Courier New"/>
          <w:sz w:val="24"/>
          <w:szCs w:val="24"/>
        </w:rPr>
        <w:t xml:space="preserve"> of how many programs passed, failed</w:t>
      </w:r>
      <w:r w:rsidR="00E91F6D">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or </w:t>
      </w:r>
      <w:r w:rsidR="00E91F6D">
        <w:rPr>
          <w:rFonts w:ascii="Courier New" w:eastAsia="Times New Roman" w:hAnsi="Courier New" w:cs="Courier New"/>
          <w:sz w:val="24"/>
          <w:szCs w:val="24"/>
        </w:rPr>
        <w:t>were in</w:t>
      </w:r>
      <w:r w:rsidRPr="0096107B">
        <w:rPr>
          <w:rFonts w:ascii="Courier New" w:eastAsia="Times New Roman" w:hAnsi="Courier New" w:cs="Courier New"/>
          <w:sz w:val="24"/>
          <w:szCs w:val="24"/>
        </w:rPr>
        <w:t xml:space="preserve"> the zone under the 2011 GE </w:t>
      </w:r>
      <w:r w:rsidR="00E91F6D">
        <w:rPr>
          <w:rFonts w:ascii="Courier New" w:eastAsia="Times New Roman" w:hAnsi="Courier New" w:cs="Courier New"/>
          <w:sz w:val="24"/>
          <w:szCs w:val="24"/>
        </w:rPr>
        <w:t>i</w:t>
      </w:r>
      <w:r w:rsidRPr="0096107B">
        <w:rPr>
          <w:rFonts w:ascii="Courier New" w:eastAsia="Times New Roman" w:hAnsi="Courier New" w:cs="Courier New"/>
          <w:sz w:val="24"/>
          <w:szCs w:val="24"/>
        </w:rPr>
        <w:t xml:space="preserve">nformational D/E </w:t>
      </w:r>
      <w:r w:rsidR="00E91F6D">
        <w:rPr>
          <w:rFonts w:ascii="Courier New" w:eastAsia="Times New Roman" w:hAnsi="Courier New" w:cs="Courier New"/>
          <w:sz w:val="24"/>
          <w:szCs w:val="24"/>
        </w:rPr>
        <w:t>r</w:t>
      </w:r>
      <w:r w:rsidRPr="0096107B">
        <w:rPr>
          <w:rFonts w:ascii="Courier New" w:eastAsia="Times New Roman" w:hAnsi="Courier New" w:cs="Courier New"/>
          <w:sz w:val="24"/>
          <w:szCs w:val="24"/>
        </w:rPr>
        <w:t xml:space="preserve">ates.      </w:t>
      </w:r>
    </w:p>
    <w:p w14:paraId="25794A25"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391E30F4" w14:textId="2D76EE40"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Comments</w:t>
      </w:r>
      <w:r w:rsidRPr="0096107B">
        <w:rPr>
          <w:rFonts w:ascii="Courier New" w:eastAsia="Times New Roman" w:hAnsi="Courier New" w:cs="Courier New"/>
          <w:sz w:val="24"/>
          <w:szCs w:val="24"/>
        </w:rPr>
        <w:t>:  Many commenters contended that the D/E rates measure is flawed because (1) students’ earnings are affected by economic conditions beyond the control of the institution, such as fluctuations in the national or regional economy</w:t>
      </w:r>
      <w:r w:rsidR="00E91F6D">
        <w:rPr>
          <w:rFonts w:ascii="Courier New" w:eastAsia="Times New Roman" w:hAnsi="Courier New" w:cs="Courier New"/>
          <w:sz w:val="24"/>
          <w:szCs w:val="24"/>
        </w:rPr>
        <w:t>,</w:t>
      </w:r>
      <w:r w:rsidRPr="0096107B">
        <w:rPr>
          <w:rFonts w:ascii="Courier New" w:eastAsia="Times New Roman" w:hAnsi="Courier New" w:cs="Courier New"/>
          <w:sz w:val="24"/>
          <w:szCs w:val="24"/>
        </w:rPr>
        <w:t xml:space="preserve"> and (2) earnings vary by regional or geographic location, particularly between rural and urban areas.  A few commenters believed it would be difficult for institutions to predict local labor market conditions with enough reliability to set tuition and fees sufficiently low to ensure their programs pass the D/E rates measure.</w:t>
      </w:r>
    </w:p>
    <w:p w14:paraId="5648CD5E"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believe that institutions should be responsive to regional labor market needs and should only offer programs if they reasonably expect students to be able to find stable employment within that occupation.  We do not agree that institutions cannot assess their graduates’ employment and earnings prospects in order to price their programs appropriately.  Indeed, it is an institution’s responsibility to conduct the due diligence necessary to evaluate the potential outcomes of students before offering a program.  We do not believe that this is an unreasonable expectation because some accreditors and State agencies already require institutions to demonstrate that there is a labor market need for a program before it is approved.  </w:t>
      </w:r>
    </w:p>
    <w:p w14:paraId="41FB68FD"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However, we agree that a program should not be determined ineligible under the D/E rates measure due to temporary and unanticipated fluctuations in local labor market conditions.  We believe that several components of the accountability framework will help ensure that passing programs do not become ineligible due to such fluctuations.</w:t>
      </w:r>
    </w:p>
    <w:p w14:paraId="64F78394"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The regulations provide for a zone that allows programs to remain eligible for up to four years despite not passing the D/E rates measure in any of those years.  The zone protects passing programs from losing their eligibility for title IV, HEA program funds where their increase in D/E rates was attributable to temporary fluctuations in local labor market conditions.  Most economic downturns are far too short to cause a program that would otherwise be passing to have D/E rates in the zone for four consecutive years due to fluctuations in the local labor market.  As stated previously, recessions have, on average, lasted 11.1 months since 1945--far shorter than the four years in which programs are permitted to remain in the zone.</w:t>
      </w:r>
      <w:r w:rsidRPr="0096107B">
        <w:rPr>
          <w:rFonts w:ascii="Courier New" w:eastAsia="Times New Roman" w:hAnsi="Courier New" w:cs="Courier New"/>
          <w:color w:val="000000"/>
          <w:sz w:val="24"/>
          <w:szCs w:val="24"/>
          <w:vertAlign w:val="superscript"/>
        </w:rPr>
        <w:footnoteReference w:id="133"/>
      </w:r>
      <w:r w:rsidRPr="0096107B">
        <w:rPr>
          <w:rFonts w:ascii="Courier New" w:eastAsia="Times New Roman" w:hAnsi="Courier New" w:cs="Courier New"/>
          <w:sz w:val="24"/>
          <w:szCs w:val="24"/>
        </w:rPr>
        <w:t xml:space="preserve">  </w:t>
      </w:r>
    </w:p>
    <w:p w14:paraId="067FC486"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Sensitivity to temporary economic fluctuations outside of an institution’s control is also reduced by calculating the D/E rates based on two-year and four-year cohorts of students, rather than a single-year cohort, and calculating a program’s </w:t>
      </w:r>
      <w:r w:rsidRPr="0096107B">
        <w:rPr>
          <w:rFonts w:ascii="Courier New" w:eastAsia="Times New Roman" w:hAnsi="Courier New" w:cs="Courier New"/>
          <w:sz w:val="24"/>
          <w:szCs w:val="24"/>
        </w:rPr>
        <w:lastRenderedPageBreak/>
        <w:t>annual earnings as means and medians.  Calculating D/E rates based on students who completed over multiple years reduces the impact of short term fluctuations in the economy that may affect a particular cohort of graduates but not others.  Similarly, means and medians mitigate the effects of economic cycles by measuring central tendency and reducing the influence of students who may have been most impacted by a downturn.</w:t>
      </w:r>
    </w:p>
    <w:p w14:paraId="7BF2D03F"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2D2BF34E"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Some commenters argued that the D/E rates measure is flawed because for some occupations, such as cosmetology, earnings may be depressed because a significant number of program graduates tend to leave but then return to the workforce, sometimes repeatedly, or to work part-time.  According to the commenters, this is particularly the case in occupations in which workers are predominately women, who may leave and return to the workforce for family purposes more frequently than workers in other occupations.  The commenters contended that, for students entering such occupations, earnings will be low, so that the regulations will be biased against programs providing training in these occupations.</w:t>
      </w:r>
    </w:p>
    <w:p w14:paraId="0A21B8E7" w14:textId="70993DBD"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In examining programs generating an unusually large number of graduates without full-time employment, the Department believes it is reasonable to attribute this outcome less to individual student choices than to the performance of the </w:t>
      </w:r>
      <w:r w:rsidRPr="0096107B">
        <w:rPr>
          <w:rFonts w:ascii="Courier New" w:eastAsia="Times New Roman" w:hAnsi="Courier New" w:cs="Courier New"/>
          <w:sz w:val="24"/>
          <w:szCs w:val="24"/>
        </w:rPr>
        <w:lastRenderedPageBreak/>
        <w:t xml:space="preserve">program itself.  </w:t>
      </w:r>
      <w:r w:rsidR="00325B7E">
        <w:rPr>
          <w:rFonts w:ascii="Courier New" w:eastAsia="Times New Roman" w:hAnsi="Courier New" w:cs="Courier New"/>
          <w:sz w:val="24"/>
          <w:szCs w:val="24"/>
        </w:rPr>
        <w:t>T</w:t>
      </w:r>
      <w:r w:rsidRPr="0096107B">
        <w:rPr>
          <w:rFonts w:ascii="Courier New" w:eastAsia="Times New Roman" w:hAnsi="Courier New" w:cs="Courier New"/>
          <w:sz w:val="24"/>
          <w:szCs w:val="24"/>
        </w:rPr>
        <w:t xml:space="preserve">he D/E rates measure </w:t>
      </w:r>
      <w:r w:rsidR="00A72342">
        <w:rPr>
          <w:rFonts w:ascii="Courier New" w:eastAsia="Times New Roman" w:hAnsi="Courier New" w:cs="Courier New"/>
          <w:sz w:val="24"/>
          <w:szCs w:val="24"/>
        </w:rPr>
        <w:t>will</w:t>
      </w:r>
      <w:r w:rsidRPr="0096107B">
        <w:rPr>
          <w:rFonts w:ascii="Courier New" w:eastAsia="Times New Roman" w:hAnsi="Courier New" w:cs="Courier New"/>
          <w:sz w:val="24"/>
          <w:szCs w:val="24"/>
        </w:rPr>
        <w:t xml:space="preserve"> identify programs where the majority of program graduates are carrying debts that exceed levels recommended by experts.  If an institution expects a program to generate large numbers of graduates who are not seeking employment or who are seeking only part-time employment, it should consider reducing debt levels rather than expecting students to bear even higher debt burdens.  Regardless of whether a student works full-time or part-time or intermittently, the student is still burdened in the same way by the loans he or she received in order to attend the program.  </w:t>
      </w:r>
    </w:p>
    <w:p w14:paraId="4ABF26EC"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2244FDA2"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 xml:space="preserve">:  Commenters argued that the D/E rates measure is inequitable across programs in different States because, according to the commenters, some States provide more financial aid grants to students and greater financial support to institutions, requiring students to acquire less debt.  Commenters said the regulations should take State funding into account because, otherwise, programs in States with less funding for higher education would be adversely affected by the D/E rates measure.   </w:t>
      </w:r>
    </w:p>
    <w:p w14:paraId="4BC2F7C8" w14:textId="0B5D4999"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While we recognize that there may be differences in support for higher education among States, such that borrowers’ debt levels may depend on the State in which they reside, those differences are not relevant to address the question of whether </w:t>
      </w:r>
      <w:r w:rsidRPr="0096107B">
        <w:rPr>
          <w:rFonts w:ascii="Courier New" w:eastAsia="Times New Roman" w:hAnsi="Courier New" w:cs="Courier New"/>
          <w:sz w:val="24"/>
          <w:szCs w:val="24"/>
        </w:rPr>
        <w:lastRenderedPageBreak/>
        <w:t>students are overburdened with debt as a result of enrolling in a particular program.  Some States’ investments in higher education may permit students who benefit from that support to borrow less, in which case programs in that State may have an easier time passing the D/E rate</w:t>
      </w:r>
      <w:r w:rsidR="00E91F6D">
        <w:rPr>
          <w:rFonts w:ascii="Courier New" w:eastAsia="Times New Roman" w:hAnsi="Courier New" w:cs="Courier New"/>
          <w:sz w:val="24"/>
          <w:szCs w:val="24"/>
        </w:rPr>
        <w:t>s</w:t>
      </w:r>
      <w:r w:rsidRPr="0096107B">
        <w:rPr>
          <w:rFonts w:ascii="Courier New" w:eastAsia="Times New Roman" w:hAnsi="Courier New" w:cs="Courier New"/>
          <w:sz w:val="24"/>
          <w:szCs w:val="24"/>
        </w:rPr>
        <w:t xml:space="preserve"> measure, but it would not change the need to ensure borrowers are protected from being burdened in other States that do not provide as much support for higher education.  Accordingly, we decline to adjust the D/E rates measure to account for State investment in higher education.    </w:t>
      </w:r>
    </w:p>
    <w:p w14:paraId="11A89BE2"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0C70F9FB"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Comments</w:t>
      </w:r>
      <w:r w:rsidRPr="0096107B">
        <w:rPr>
          <w:rFonts w:ascii="Courier New" w:eastAsia="Times New Roman" w:hAnsi="Courier New" w:cs="Courier New"/>
          <w:sz w:val="24"/>
          <w:szCs w:val="24"/>
        </w:rPr>
        <w:t>:</w:t>
      </w:r>
      <w:r w:rsidRPr="0096107B">
        <w:rPr>
          <w:rFonts w:ascii="Courier New" w:eastAsia="Times New Roman" w:hAnsi="Courier New" w:cs="Courier New"/>
          <w:b/>
          <w:sz w:val="24"/>
          <w:szCs w:val="24"/>
        </w:rPr>
        <w:t xml:space="preserve">  </w:t>
      </w:r>
      <w:r w:rsidRPr="0096107B">
        <w:rPr>
          <w:rFonts w:ascii="Courier New" w:eastAsia="Times New Roman" w:hAnsi="Courier New" w:cs="Courier New"/>
          <w:sz w:val="24"/>
          <w:szCs w:val="24"/>
        </w:rPr>
        <w:t xml:space="preserve">Many commenters did not support the Department's proposal in the NPRM that a program must pass both the D/E rates measure and pCDR measure to remain eligible for title IV, HEA program funds.  The commenters stated that this approach is inconsistent with the position the Department took under the 2011 Prior Rule, under which a program would remain eligible if it passed either the debt-to-earnings ratios or the second debt measure in that regulation, the loan repayment rate.  The commenters contended that the Department did not justify this departure from the 2011 Prior Rule.  They suggested that programs should remain eligible for title IV, HEA program funds if they pass either the D/E rates measure or the pCDR measure.  They asserted that there is a lack of overlap between programs </w:t>
      </w:r>
      <w:r w:rsidRPr="0096107B">
        <w:rPr>
          <w:rFonts w:ascii="Courier New" w:eastAsia="Times New Roman" w:hAnsi="Courier New" w:cs="Courier New"/>
          <w:sz w:val="24"/>
          <w:szCs w:val="24"/>
        </w:rPr>
        <w:lastRenderedPageBreak/>
        <w:t xml:space="preserve">that fail the D/E rates measure and programs that fail the pCDR measure and this indicates that the two metrics set different and conflicting standards. </w:t>
      </w:r>
    </w:p>
    <w:p w14:paraId="6532D398"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We also received a number of comments in support of the Department’s proposal to require that programs pass both the D/E rates and pCDR measures.  A few of these commenters were concerned that the pCDR measure does not adequately protect students, citing concerns about the validity of the metric and its susceptibility to manipulation.  As a result, they argued that programs should be required to pass both measures if pCDR is included in the final regulations.  Some commenters argued that the lack of overlap between the measures supports requiring programs to pass both because it indicates that they assess two distinct and important aspects of program performance.  Other commenters were concerned that allowing programs to remain eligible solely on the basis of passing the D/E rates measure would harm students because the D/E rates measure assesses only the outcomes of students who complete a program and does not hold programs accountable for low completion rates.</w:t>
      </w:r>
    </w:p>
    <w:p w14:paraId="69EC5E02"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Similarly, a few commenters suggested the independent operation of pCDR undermines the validity of the D/E rates measure because there are many programs with high D/E rates but low pCDR rates or where fewer than 30 percent of students default, which, in their view, showed that the D/E rates measure </w:t>
      </w:r>
      <w:r w:rsidRPr="0096107B">
        <w:rPr>
          <w:rFonts w:ascii="Courier New" w:eastAsia="Times New Roman" w:hAnsi="Courier New" w:cs="Courier New"/>
          <w:sz w:val="24"/>
          <w:szCs w:val="24"/>
        </w:rPr>
        <w:lastRenderedPageBreak/>
        <w:t xml:space="preserve">does not provide a reasonable basis for eligibility determinations.  They contended that because such programs would be ineligible under the proposed regulations, the independent operation of the metrics would result in the application of an inconsistent standard.  </w:t>
      </w:r>
    </w:p>
    <w:p w14:paraId="2BDF733B"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Other commenters believed that the pCDR measure by itself is a sufficient measure of whether a program prepares students for gainful employment.  Some of these commenters argued that a cohort default rate measured at the program level, as set forth in the NPRM, with a three-year period before ineligibility and with time limits on deferments and forbearances would sufficiently address concerns about the validity of the metric and its susceptibility to manipulation.  The commenters contended that the three-year cohort default window is longer than any combination of deferments or forbearances, and that using a three-year default rate measure would ensure borrowers are counted as being in default on a loan if they consistently do not make minimum payments during the three-year window.  One commenter said the pCDR measure would protect taxpayers better than the D/E rates measure by ensuring fewer defaults, and, accordingly, this commenter asserted, passing the pCDR measure should be sufficient to remain eligible. </w:t>
      </w:r>
    </w:p>
    <w:p w14:paraId="3654659E"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As discussed elsewhere in this section, we have not included the pCDR measure as an accountability metric in the </w:t>
      </w:r>
      <w:r w:rsidRPr="0096107B">
        <w:rPr>
          <w:rFonts w:ascii="Courier New" w:eastAsia="Times New Roman" w:hAnsi="Courier New" w:cs="Courier New"/>
          <w:sz w:val="24"/>
          <w:szCs w:val="24"/>
        </w:rPr>
        <w:lastRenderedPageBreak/>
        <w:t>final regulations.  The Department will assess program performance using only the D/E rates measure.  Accordingly, we do not address comments regarding whether the measures should operate independently or whether pCDR is a reasonable measure of continuing eligibility for title IV, HEA program funds.</w:t>
      </w:r>
    </w:p>
    <w:p w14:paraId="5ECB274D" w14:textId="579CBE4F"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do not agree that the D/E rates measure by itself is an improper measure of whether a program prepares students for gainful employment simply because some programs have high D/E rates but a low pCDR.  </w:t>
      </w:r>
      <w:r w:rsidR="002576F1">
        <w:rPr>
          <w:rFonts w:ascii="Courier New" w:eastAsia="Times New Roman" w:hAnsi="Courier New" w:cs="Courier New"/>
          <w:sz w:val="24"/>
          <w:szCs w:val="24"/>
        </w:rPr>
        <w:t>T</w:t>
      </w:r>
      <w:r w:rsidRPr="0096107B">
        <w:rPr>
          <w:rFonts w:ascii="Courier New" w:eastAsia="Times New Roman" w:hAnsi="Courier New" w:cs="Courier New"/>
          <w:sz w:val="24"/>
          <w:szCs w:val="24"/>
        </w:rPr>
        <w:t xml:space="preserve">hese results are </w:t>
      </w:r>
      <w:r w:rsidR="002576F1">
        <w:rPr>
          <w:rFonts w:ascii="Courier New" w:eastAsia="Times New Roman" w:hAnsi="Courier New" w:cs="Courier New"/>
          <w:sz w:val="24"/>
          <w:szCs w:val="24"/>
        </w:rPr>
        <w:t xml:space="preserve">not </w:t>
      </w:r>
      <w:r w:rsidRPr="0096107B">
        <w:rPr>
          <w:rFonts w:ascii="Courier New" w:eastAsia="Times New Roman" w:hAnsi="Courier New" w:cs="Courier New"/>
          <w:sz w:val="24"/>
          <w:szCs w:val="24"/>
        </w:rPr>
        <w:t xml:space="preserve">surprising for two reasons.  First, the measures use different approaches to assess the outcomes of overlapping, but disparate groups of students.  The D/E rates measure certain outcomes of students who completed a program, while pCDR measures certain outcomes of both students who do, and do not, complete a program.  Second, the measures assess related, but different aspects of repayment behavior.  While the pCDR measure identifies programs where a large proportion of students have defaulted on their loans, it does not recognize programs where too many borrowers are experiencing extreme difficulty in making payments and reducing loan balances but have not yet defaulted as the D/E rates measure does.           </w:t>
      </w:r>
    </w:p>
    <w:p w14:paraId="32AFAB10" w14:textId="77777777" w:rsidR="0096107B" w:rsidRPr="0096107B" w:rsidRDefault="0096107B" w:rsidP="0096107B">
      <w:pPr>
        <w:spacing w:after="0" w:line="480" w:lineRule="auto"/>
        <w:rPr>
          <w:rFonts w:ascii="Courier New" w:eastAsia="Times New Roman" w:hAnsi="Courier New" w:cs="Courier New"/>
          <w:sz w:val="24"/>
          <w:szCs w:val="24"/>
          <w:u w:val="single"/>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None.</w:t>
      </w:r>
    </w:p>
    <w:p w14:paraId="1842427B"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bCs/>
          <w:sz w:val="24"/>
          <w:szCs w:val="24"/>
          <w:u w:val="single"/>
        </w:rPr>
        <w:t>Comments</w:t>
      </w:r>
      <w:r w:rsidRPr="0096107B">
        <w:rPr>
          <w:rFonts w:ascii="Courier New" w:eastAsia="Times New Roman" w:hAnsi="Courier New" w:cs="Courier New"/>
          <w:bCs/>
          <w:sz w:val="24"/>
          <w:szCs w:val="24"/>
        </w:rPr>
        <w:t xml:space="preserve">:  </w:t>
      </w:r>
      <w:r w:rsidRPr="0096107B">
        <w:rPr>
          <w:rFonts w:ascii="Courier New" w:eastAsia="Times New Roman" w:hAnsi="Courier New" w:cs="Courier New"/>
          <w:sz w:val="24"/>
          <w:szCs w:val="24"/>
        </w:rPr>
        <w:t xml:space="preserve">Some commenters said the D/E rates measure is unfair in its application to medical programs.  One commenter noted that some medical degree programs in the non-profit sector would </w:t>
      </w:r>
      <w:r w:rsidRPr="0096107B">
        <w:rPr>
          <w:rFonts w:ascii="Courier New" w:eastAsia="Times New Roman" w:hAnsi="Courier New" w:cs="Courier New"/>
          <w:sz w:val="24"/>
          <w:szCs w:val="24"/>
        </w:rPr>
        <w:lastRenderedPageBreak/>
        <w:t>not be subject to the regulations, while the same medical programs in the for-profit sector would be.  Another commenter compared the earnings outcomes of medical programs subject to the regulations to those of some social work degree programs operated by non-profit institutions that are not subject to the regulations.  The commenter claimed the regulations are inequitable because D/E rates are generally higher among social workers than those students completing medical certificate programs.</w:t>
      </w:r>
    </w:p>
    <w:p w14:paraId="40FD2EF7" w14:textId="77777777" w:rsidR="0096107B" w:rsidRPr="0096107B" w:rsidRDefault="0096107B" w:rsidP="0096107B">
      <w:pPr>
        <w:spacing w:after="0" w:line="480" w:lineRule="auto"/>
        <w:rPr>
          <w:rFonts w:ascii="Courier New" w:eastAsia="Times New Roman" w:hAnsi="Courier New" w:cs="Courier New"/>
          <w:sz w:val="24"/>
          <w:szCs w:val="24"/>
          <w:u w:val="single"/>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As discussed in “§668.401  Scope and Purpose,” the Department’s regulatory authority in this rulemaking is limited to defining statutory requirements under the HEA that apply only to GE programs.  The Department does not have the authority in this rulemaking to regulate those higher education institutions or programs that do not base their eligibility on the offering of programs that prepare students for gainful employment, even if such institutions or programs would not pass the D/E rates measure.  Further, the regulations establish minimum standards regarding reasonable debt levels in relation to earnings for all GE programs, regardless of how programs that provide training for occupations in different fields, such as social work and medicine, compare to one another.    </w:t>
      </w:r>
      <w:r w:rsidRPr="0096107B">
        <w:rPr>
          <w:rFonts w:ascii="Courier New" w:eastAsia="Times New Roman" w:hAnsi="Courier New" w:cs="Courier New"/>
          <w:sz w:val="24"/>
          <w:szCs w:val="24"/>
          <w:u w:val="single"/>
        </w:rPr>
        <w:t xml:space="preserve">  </w:t>
      </w:r>
    </w:p>
    <w:p w14:paraId="4BFFA21B" w14:textId="77777777" w:rsidR="0096107B" w:rsidRPr="0096107B" w:rsidRDefault="0096107B" w:rsidP="0096107B">
      <w:pPr>
        <w:spacing w:after="0" w:line="480" w:lineRule="auto"/>
        <w:rPr>
          <w:rFonts w:ascii="Courier New" w:eastAsia="Times New Roman" w:hAnsi="Courier New" w:cs="Courier New"/>
          <w:bCs/>
          <w:sz w:val="24"/>
          <w:szCs w:val="24"/>
        </w:rPr>
      </w:pPr>
      <w:r w:rsidRPr="0096107B">
        <w:rPr>
          <w:rFonts w:ascii="Courier New" w:eastAsia="Times New Roman" w:hAnsi="Courier New" w:cs="Courier New"/>
          <w:bCs/>
          <w:sz w:val="24"/>
          <w:szCs w:val="24"/>
          <w:u w:val="single"/>
        </w:rPr>
        <w:t>Changes</w:t>
      </w:r>
      <w:r w:rsidRPr="0096107B">
        <w:rPr>
          <w:rFonts w:ascii="Courier New" w:eastAsia="Times New Roman" w:hAnsi="Courier New" w:cs="Courier New"/>
          <w:bCs/>
          <w:sz w:val="24"/>
          <w:szCs w:val="24"/>
        </w:rPr>
        <w:t>:  None.</w:t>
      </w:r>
    </w:p>
    <w:p w14:paraId="28FAC0A0"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Comments</w:t>
      </w:r>
      <w:r w:rsidRPr="0096107B">
        <w:rPr>
          <w:rFonts w:ascii="Courier New" w:eastAsia="Times New Roman" w:hAnsi="Courier New" w:cs="Courier New"/>
          <w:sz w:val="24"/>
          <w:szCs w:val="24"/>
        </w:rPr>
        <w:t xml:space="preserve">:  We received a number of comments on how the Department should treat GE programs for which D/E rates are calculated in some years but not others.  Some commenters asserted that the Department should not disregard years for which D/E rates are not calculated for a program and instead should treat the program as if it had passed the D/E rates measure for that year.  They argued that any other result would be unfair because a program could be determined ineligible as a result of failing the D/E rates measure in two out of three consecutive years for which rates were calculated, even though those assessments had been made very far apart in time from one another.  </w:t>
      </w:r>
    </w:p>
    <w:p w14:paraId="36BC734C"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One commenter suggested using the most recent five award years regardless of whether D/E rates were calculated during any or all of the years.  Another commenter supported resetting a program’s results under the D/E rates measure after two consecutive years in which D/E rates are not calculated. </w:t>
      </w:r>
    </w:p>
    <w:p w14:paraId="769FF4C9"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We do not believe that it is unfair or invalid to use a program’s D/E rates for non-consecutive years in determining the program’s continuing eligibility for title IV, HEA program funds.  The probability of mischaracterizing a program as failing or in the zone due to an unusual cohort of students or other anomalies does not increase if D/E rates are calculated during non-consecutive years.</w:t>
      </w:r>
    </w:p>
    <w:p w14:paraId="717EBC7A"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lastRenderedPageBreak/>
        <w:t xml:space="preserve">In determining a program’s continuing eligibility, rather than making assumptions about a program’s D/E rates in years where less than 30 students complete the program, we believe it is important to use the best available evidence as to whether a program produces positive student outcomes, which is the program’s most recent actual results.  If the program has in fact improved since a prior result under the D/E rates measure, its improved performance will be apparent once it has enough students who completed the program to be assessed under the D/E rates measure again.   </w:t>
      </w:r>
    </w:p>
    <w:p w14:paraId="26117F18" w14:textId="75582EC0"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agree, however, that the longer the hiatus between years for which rates are calculated, the less compelling the inference becomes that a prior result is reflective of current performance.  Accordingly, we are revising §668.403 to provide that, in making an eligibility determination, we will not consider prior D/E rates after four consecutive years in which D/E rates are not calculated.  A four-year limitation aligns with the general operation of the D/E rates measure which, under the zone, finds outcomes over a four-year period as relevant.  </w:t>
      </w:r>
      <w:r w:rsidR="005C6F85">
        <w:rPr>
          <w:rFonts w:ascii="Courier New" w:eastAsia="Times New Roman" w:hAnsi="Courier New" w:cs="Courier New"/>
          <w:sz w:val="24"/>
          <w:szCs w:val="24"/>
        </w:rPr>
        <w:t xml:space="preserve">We are also clarifying that, </w:t>
      </w:r>
      <w:r w:rsidR="00FB7DD4">
        <w:rPr>
          <w:rFonts w:ascii="Courier New" w:eastAsia="Times New Roman" w:hAnsi="Courier New" w:cs="Courier New"/>
          <w:sz w:val="24"/>
          <w:szCs w:val="24"/>
        </w:rPr>
        <w:t>generally</w:t>
      </w:r>
      <w:r w:rsidR="005C6F85">
        <w:rPr>
          <w:rFonts w:ascii="Courier New" w:eastAsia="Times New Roman" w:hAnsi="Courier New" w:cs="Courier New"/>
          <w:sz w:val="24"/>
          <w:szCs w:val="24"/>
        </w:rPr>
        <w:t xml:space="preserve">, subject to the four-year “reset,” if a program’s D/E rates are not </w:t>
      </w:r>
      <w:r w:rsidR="00257D5F">
        <w:rPr>
          <w:rFonts w:ascii="Courier New" w:eastAsia="Times New Roman" w:hAnsi="Courier New" w:cs="Courier New"/>
          <w:sz w:val="24"/>
          <w:szCs w:val="24"/>
        </w:rPr>
        <w:t xml:space="preserve">issued or </w:t>
      </w:r>
      <w:r w:rsidR="005C6F85">
        <w:rPr>
          <w:rFonts w:ascii="Courier New" w:eastAsia="Times New Roman" w:hAnsi="Courier New" w:cs="Courier New"/>
          <w:sz w:val="24"/>
          <w:szCs w:val="24"/>
        </w:rPr>
        <w:t xml:space="preserve">calculated for an award year, the </w:t>
      </w:r>
      <w:r w:rsidR="00257D5F">
        <w:rPr>
          <w:rFonts w:ascii="Courier New" w:eastAsia="Times New Roman" w:hAnsi="Courier New" w:cs="Courier New"/>
          <w:sz w:val="24"/>
          <w:szCs w:val="24"/>
        </w:rPr>
        <w:t xml:space="preserve">program receives no result under the D/E rates measure for that award year and </w:t>
      </w:r>
      <w:r w:rsidR="005C6F85">
        <w:rPr>
          <w:rFonts w:ascii="Courier New" w:eastAsia="Times New Roman" w:hAnsi="Courier New" w:cs="Courier New"/>
          <w:sz w:val="24"/>
          <w:szCs w:val="24"/>
        </w:rPr>
        <w:t xml:space="preserve">the program’s status under the D/E rates measure is unchanged from the last year for which </w:t>
      </w:r>
      <w:r w:rsidR="005C6F85">
        <w:rPr>
          <w:rFonts w:ascii="Courier New" w:eastAsia="Times New Roman" w:hAnsi="Courier New" w:cs="Courier New"/>
          <w:sz w:val="24"/>
          <w:szCs w:val="24"/>
        </w:rPr>
        <w:lastRenderedPageBreak/>
        <w:t xml:space="preserve">D/E rates were calculated.  </w:t>
      </w:r>
      <w:r w:rsidR="00826686">
        <w:rPr>
          <w:rFonts w:ascii="Courier New" w:eastAsia="Times New Roman" w:hAnsi="Courier New" w:cs="Courier New"/>
          <w:sz w:val="24"/>
          <w:szCs w:val="24"/>
        </w:rPr>
        <w:t>For example</w:t>
      </w:r>
      <w:r w:rsidR="005C6F85">
        <w:rPr>
          <w:rFonts w:ascii="Courier New" w:eastAsia="Times New Roman" w:hAnsi="Courier New" w:cs="Courier New"/>
          <w:sz w:val="24"/>
          <w:szCs w:val="24"/>
        </w:rPr>
        <w:t xml:space="preserve">, </w:t>
      </w:r>
      <w:r w:rsidR="00826686">
        <w:rPr>
          <w:rFonts w:ascii="Courier New" w:eastAsia="Times New Roman" w:hAnsi="Courier New" w:cs="Courier New"/>
          <w:sz w:val="24"/>
          <w:szCs w:val="24"/>
        </w:rPr>
        <w:t>where a program receives its first failing</w:t>
      </w:r>
      <w:r w:rsidR="005C6F85">
        <w:rPr>
          <w:rFonts w:ascii="Courier New" w:eastAsia="Times New Roman" w:hAnsi="Courier New" w:cs="Courier New"/>
          <w:sz w:val="24"/>
          <w:szCs w:val="24"/>
        </w:rPr>
        <w:t xml:space="preserve"> result</w:t>
      </w:r>
      <w:r w:rsidR="00826686">
        <w:rPr>
          <w:rFonts w:ascii="Courier New" w:eastAsia="Times New Roman" w:hAnsi="Courier New" w:cs="Courier New"/>
          <w:sz w:val="24"/>
          <w:szCs w:val="24"/>
        </w:rPr>
        <w:t xml:space="preserve"> and the</w:t>
      </w:r>
      <w:r w:rsidR="005C6F85">
        <w:rPr>
          <w:rFonts w:ascii="Courier New" w:eastAsia="Times New Roman" w:hAnsi="Courier New" w:cs="Courier New"/>
          <w:sz w:val="24"/>
          <w:szCs w:val="24"/>
        </w:rPr>
        <w:t xml:space="preserve"> institution </w:t>
      </w:r>
      <w:r w:rsidR="00FB7DD4">
        <w:rPr>
          <w:rFonts w:ascii="Courier New" w:eastAsia="Times New Roman" w:hAnsi="Courier New" w:cs="Courier New"/>
          <w:sz w:val="24"/>
          <w:szCs w:val="24"/>
        </w:rPr>
        <w:t>is</w:t>
      </w:r>
      <w:r w:rsidR="005C6F85">
        <w:rPr>
          <w:rFonts w:ascii="Courier New" w:eastAsia="Times New Roman" w:hAnsi="Courier New" w:cs="Courier New"/>
          <w:sz w:val="24"/>
          <w:szCs w:val="24"/>
        </w:rPr>
        <w:t xml:space="preserve"> required to give student warnings </w:t>
      </w:r>
      <w:r w:rsidR="00826686">
        <w:rPr>
          <w:rFonts w:ascii="Courier New" w:eastAsia="Times New Roman" w:hAnsi="Courier New" w:cs="Courier New"/>
          <w:sz w:val="24"/>
          <w:szCs w:val="24"/>
        </w:rPr>
        <w:t>as a result</w:t>
      </w:r>
      <w:r w:rsidR="005C6F85">
        <w:rPr>
          <w:rFonts w:ascii="Courier New" w:eastAsia="Times New Roman" w:hAnsi="Courier New" w:cs="Courier New"/>
          <w:sz w:val="24"/>
          <w:szCs w:val="24"/>
        </w:rPr>
        <w:t xml:space="preserve">, </w:t>
      </w:r>
      <w:r w:rsidR="00826686">
        <w:rPr>
          <w:rFonts w:ascii="Courier New" w:eastAsia="Times New Roman" w:hAnsi="Courier New" w:cs="Courier New"/>
          <w:sz w:val="24"/>
          <w:szCs w:val="24"/>
        </w:rPr>
        <w:t xml:space="preserve">the program will still be considered to </w:t>
      </w:r>
      <w:r w:rsidR="00FB342A">
        <w:rPr>
          <w:rFonts w:ascii="Courier New" w:eastAsia="Times New Roman" w:hAnsi="Courier New" w:cs="Courier New"/>
          <w:sz w:val="24"/>
          <w:szCs w:val="24"/>
        </w:rPr>
        <w:t>be a first time failing program and</w:t>
      </w:r>
      <w:r w:rsidR="005C6F85">
        <w:rPr>
          <w:rFonts w:ascii="Courier New" w:eastAsia="Times New Roman" w:hAnsi="Courier New" w:cs="Courier New"/>
          <w:sz w:val="24"/>
          <w:szCs w:val="24"/>
        </w:rPr>
        <w:t xml:space="preserve"> the institution w</w:t>
      </w:r>
      <w:r w:rsidR="00FB7DD4">
        <w:rPr>
          <w:rFonts w:ascii="Courier New" w:eastAsia="Times New Roman" w:hAnsi="Courier New" w:cs="Courier New"/>
          <w:sz w:val="24"/>
          <w:szCs w:val="24"/>
        </w:rPr>
        <w:t>ill</w:t>
      </w:r>
      <w:r w:rsidR="005C6F85">
        <w:rPr>
          <w:rFonts w:ascii="Courier New" w:eastAsia="Times New Roman" w:hAnsi="Courier New" w:cs="Courier New"/>
          <w:sz w:val="24"/>
          <w:szCs w:val="24"/>
        </w:rPr>
        <w:t xml:space="preserve"> </w:t>
      </w:r>
      <w:r w:rsidR="00FB342A">
        <w:rPr>
          <w:rFonts w:ascii="Courier New" w:eastAsia="Times New Roman" w:hAnsi="Courier New" w:cs="Courier New"/>
          <w:sz w:val="24"/>
          <w:szCs w:val="24"/>
        </w:rPr>
        <w:t xml:space="preserve">continue to </w:t>
      </w:r>
      <w:r w:rsidR="005C6F85">
        <w:rPr>
          <w:rFonts w:ascii="Courier New" w:eastAsia="Times New Roman" w:hAnsi="Courier New" w:cs="Courier New"/>
          <w:sz w:val="24"/>
          <w:szCs w:val="24"/>
        </w:rPr>
        <w:t xml:space="preserve">be required to give student warnings in the next award year even </w:t>
      </w:r>
      <w:r w:rsidR="00FB342A">
        <w:rPr>
          <w:rFonts w:ascii="Courier New" w:eastAsia="Times New Roman" w:hAnsi="Courier New" w:cs="Courier New"/>
          <w:sz w:val="24"/>
          <w:szCs w:val="24"/>
        </w:rPr>
        <w:t>if</w:t>
      </w:r>
      <w:r w:rsidR="005C6F85">
        <w:rPr>
          <w:rFonts w:ascii="Courier New" w:eastAsia="Times New Roman" w:hAnsi="Courier New" w:cs="Courier New"/>
          <w:sz w:val="24"/>
          <w:szCs w:val="24"/>
        </w:rPr>
        <w:t xml:space="preserve"> </w:t>
      </w:r>
      <w:r w:rsidR="00FB342A">
        <w:rPr>
          <w:rFonts w:ascii="Courier New" w:eastAsia="Times New Roman" w:hAnsi="Courier New" w:cs="Courier New"/>
          <w:sz w:val="24"/>
          <w:szCs w:val="24"/>
        </w:rPr>
        <w:t>the program’s next</w:t>
      </w:r>
      <w:r w:rsidR="005C6F85">
        <w:rPr>
          <w:rFonts w:ascii="Courier New" w:eastAsia="Times New Roman" w:hAnsi="Courier New" w:cs="Courier New"/>
          <w:sz w:val="24"/>
          <w:szCs w:val="24"/>
        </w:rPr>
        <w:t xml:space="preserve"> D/E rates </w:t>
      </w:r>
      <w:r w:rsidR="000F5427">
        <w:rPr>
          <w:rFonts w:ascii="Courier New" w:eastAsia="Times New Roman" w:hAnsi="Courier New" w:cs="Courier New"/>
          <w:sz w:val="24"/>
          <w:szCs w:val="24"/>
        </w:rPr>
        <w:t>a</w:t>
      </w:r>
      <w:r w:rsidR="005C6F85">
        <w:rPr>
          <w:rFonts w:ascii="Courier New" w:eastAsia="Times New Roman" w:hAnsi="Courier New" w:cs="Courier New"/>
          <w:sz w:val="24"/>
          <w:szCs w:val="24"/>
        </w:rPr>
        <w:t>re not calculated</w:t>
      </w:r>
      <w:r w:rsidR="00257D5F">
        <w:rPr>
          <w:rFonts w:ascii="Courier New" w:eastAsia="Times New Roman" w:hAnsi="Courier New" w:cs="Courier New"/>
          <w:sz w:val="24"/>
          <w:szCs w:val="24"/>
        </w:rPr>
        <w:t xml:space="preserve"> or issued</w:t>
      </w:r>
      <w:r w:rsidR="00FB342A">
        <w:rPr>
          <w:rFonts w:ascii="Courier New" w:eastAsia="Times New Roman" w:hAnsi="Courier New" w:cs="Courier New"/>
          <w:sz w:val="24"/>
          <w:szCs w:val="24"/>
        </w:rPr>
        <w:t xml:space="preserve"> because it did not meet the minimum n-size requirement.  </w:t>
      </w:r>
      <w:r w:rsidR="005C6F85">
        <w:rPr>
          <w:rFonts w:ascii="Courier New" w:eastAsia="Times New Roman" w:hAnsi="Courier New" w:cs="Courier New"/>
          <w:sz w:val="24"/>
          <w:szCs w:val="24"/>
        </w:rPr>
        <w:t xml:space="preserve"> </w:t>
      </w:r>
    </w:p>
    <w:p w14:paraId="08458F6B" w14:textId="1CB778FA"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sidRPr="0096107B">
        <w:rPr>
          <w:rFonts w:ascii="Courier New" w:eastAsia="Times New Roman" w:hAnsi="Courier New" w:cs="Courier New"/>
          <w:sz w:val="24"/>
          <w:szCs w:val="24"/>
        </w:rPr>
        <w:t>:  We have revised §668.403 to add new paragraph (c)(5), which provides that</w:t>
      </w:r>
      <w:r w:rsidR="005C6F85">
        <w:rPr>
          <w:rFonts w:ascii="Courier New" w:eastAsia="Times New Roman" w:hAnsi="Courier New" w:cs="Courier New"/>
          <w:sz w:val="24"/>
          <w:szCs w:val="24"/>
        </w:rPr>
        <w:t xml:space="preserve">, if a program’s D/E rates are not calculated </w:t>
      </w:r>
      <w:r w:rsidR="00257D5F">
        <w:rPr>
          <w:rFonts w:ascii="Courier New" w:eastAsia="Times New Roman" w:hAnsi="Courier New" w:cs="Courier New"/>
          <w:sz w:val="24"/>
          <w:szCs w:val="24"/>
        </w:rPr>
        <w:t xml:space="preserve">or issued </w:t>
      </w:r>
      <w:r w:rsidR="005C6F85">
        <w:rPr>
          <w:rFonts w:ascii="Courier New" w:eastAsia="Times New Roman" w:hAnsi="Courier New" w:cs="Courier New"/>
          <w:sz w:val="24"/>
          <w:szCs w:val="24"/>
        </w:rPr>
        <w:t xml:space="preserve">for an award year, </w:t>
      </w:r>
      <w:r w:rsidR="00257D5F">
        <w:rPr>
          <w:rFonts w:ascii="Courier New" w:eastAsia="Times New Roman" w:hAnsi="Courier New" w:cs="Courier New"/>
          <w:sz w:val="24"/>
          <w:szCs w:val="24"/>
        </w:rPr>
        <w:t>the program receives no result under the D/E rates measure for that award year and</w:t>
      </w:r>
      <w:r w:rsidR="005C6F85">
        <w:rPr>
          <w:rFonts w:ascii="Courier New" w:eastAsia="Times New Roman" w:hAnsi="Courier New" w:cs="Courier New"/>
          <w:sz w:val="24"/>
          <w:szCs w:val="24"/>
        </w:rPr>
        <w:t xml:space="preserve"> the program’s status under the D/E rates measure is unchanged from the last year for which D/E rates were calculated, provided that,</w:t>
      </w:r>
      <w:r w:rsidRPr="0096107B">
        <w:rPr>
          <w:rFonts w:ascii="Courier New" w:eastAsia="Times New Roman" w:hAnsi="Courier New" w:cs="Courier New"/>
          <w:sz w:val="24"/>
          <w:szCs w:val="24"/>
        </w:rPr>
        <w:t xml:space="preserve"> if the Secretary does not calculate D/E rates for the program for four </w:t>
      </w:r>
      <w:r w:rsidR="00257D5F">
        <w:rPr>
          <w:rFonts w:ascii="Courier New" w:eastAsia="Times New Roman" w:hAnsi="Courier New" w:cs="Courier New"/>
          <w:sz w:val="24"/>
          <w:szCs w:val="24"/>
        </w:rPr>
        <w:t xml:space="preserve">or more </w:t>
      </w:r>
      <w:r w:rsidRPr="0096107B">
        <w:rPr>
          <w:rFonts w:ascii="Courier New" w:eastAsia="Times New Roman" w:hAnsi="Courier New" w:cs="Courier New"/>
          <w:sz w:val="24"/>
          <w:szCs w:val="24"/>
        </w:rPr>
        <w:t xml:space="preserve">consecutive award years, the </w:t>
      </w:r>
      <w:r w:rsidR="00257D5F">
        <w:rPr>
          <w:rFonts w:ascii="Courier New" w:eastAsia="Times New Roman" w:hAnsi="Courier New" w:cs="Courier New"/>
          <w:sz w:val="24"/>
          <w:szCs w:val="24"/>
        </w:rPr>
        <w:t xml:space="preserve">Secretary disregards the </w:t>
      </w:r>
      <w:r w:rsidRPr="0096107B">
        <w:rPr>
          <w:rFonts w:ascii="Courier New" w:eastAsia="Times New Roman" w:hAnsi="Courier New" w:cs="Courier New"/>
          <w:sz w:val="24"/>
          <w:szCs w:val="24"/>
        </w:rPr>
        <w:t xml:space="preserve">program’s D/E rates for </w:t>
      </w:r>
      <w:r w:rsidR="00257D5F">
        <w:rPr>
          <w:rFonts w:ascii="Courier New" w:eastAsia="Times New Roman" w:hAnsi="Courier New" w:cs="Courier New"/>
          <w:sz w:val="24"/>
          <w:szCs w:val="24"/>
        </w:rPr>
        <w:t xml:space="preserve">any award </w:t>
      </w:r>
      <w:r w:rsidRPr="0096107B">
        <w:rPr>
          <w:rFonts w:ascii="Courier New" w:eastAsia="Times New Roman" w:hAnsi="Courier New" w:cs="Courier New"/>
          <w:sz w:val="24"/>
          <w:szCs w:val="24"/>
        </w:rPr>
        <w:t xml:space="preserve">year prior to the four </w:t>
      </w:r>
      <w:r w:rsidR="00257D5F">
        <w:rPr>
          <w:rFonts w:ascii="Courier New" w:eastAsia="Times New Roman" w:hAnsi="Courier New" w:cs="Courier New"/>
          <w:sz w:val="24"/>
          <w:szCs w:val="24"/>
        </w:rPr>
        <w:t xml:space="preserve">–year period </w:t>
      </w:r>
      <w:r w:rsidRPr="0096107B">
        <w:rPr>
          <w:rFonts w:ascii="Courier New" w:eastAsia="Times New Roman" w:hAnsi="Courier New" w:cs="Courier New"/>
          <w:sz w:val="24"/>
          <w:szCs w:val="24"/>
        </w:rPr>
        <w:t>in  determin</w:t>
      </w:r>
      <w:r w:rsidR="00257D5F">
        <w:rPr>
          <w:rFonts w:ascii="Courier New" w:eastAsia="Times New Roman" w:hAnsi="Courier New" w:cs="Courier New"/>
          <w:sz w:val="24"/>
          <w:szCs w:val="24"/>
        </w:rPr>
        <w:t>ing</w:t>
      </w:r>
      <w:r w:rsidRPr="0096107B">
        <w:rPr>
          <w:rFonts w:ascii="Courier New" w:eastAsia="Times New Roman" w:hAnsi="Courier New" w:cs="Courier New"/>
          <w:sz w:val="24"/>
          <w:szCs w:val="24"/>
        </w:rPr>
        <w:t xml:space="preserve"> whether the program is eligible for title IV, HEA program funds.</w:t>
      </w:r>
    </w:p>
    <w:p w14:paraId="59F21203" w14:textId="6B35D0A8" w:rsidR="009F0814" w:rsidRPr="0096107B" w:rsidRDefault="009F0814" w:rsidP="0096107B">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t>We have also revised §668.404</w:t>
      </w:r>
      <w:r w:rsidR="000A3202">
        <w:rPr>
          <w:rFonts w:ascii="Courier New" w:eastAsia="Times New Roman" w:hAnsi="Courier New" w:cs="Courier New"/>
          <w:sz w:val="24"/>
          <w:szCs w:val="24"/>
        </w:rPr>
        <w:t>(f) to make a corresponding technical change that the Secretary will not issue draft or final D/E rates for a GE program that does not meet the n-size requirements or for which SSA does not provide earnings data.</w:t>
      </w:r>
    </w:p>
    <w:p w14:paraId="6F9BAB39" w14:textId="77777777"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lastRenderedPageBreak/>
        <w:t>Comments</w:t>
      </w:r>
      <w:r w:rsidRPr="0096107B">
        <w:rPr>
          <w:rFonts w:ascii="Courier New" w:eastAsia="Times New Roman" w:hAnsi="Courier New" w:cs="Courier New"/>
          <w:sz w:val="24"/>
          <w:szCs w:val="24"/>
        </w:rPr>
        <w:t>:  Some commenters recommended that the Department’s accountability framework recognize, or exempt from the regulations in whole or in part, programs with exceptional performance under the accountability metrics.  A few commenters suggested that institutions or programs with low default rates should be exempt from assessment under the D/E rates measure.  Several commenters proposed 15 percent as the appropriate threshold to identify exceptional performance under iCDR, while a few commenters suggested that programs with a pCDR below 30 percent should be exempt from the D/E rates measure.  Similarly, a few commenters suggested exemptions for programs or institutions with low rates of borrowing.  Specifically, commenters said a program should be deemed to be passing the D/E rates measure if the majority of students who complete the program do not have any debt at the time of graduation.</w:t>
      </w:r>
    </w:p>
    <w:p w14:paraId="4204A21E" w14:textId="5858DBB6"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rPr>
        <w:tab/>
        <w:t xml:space="preserve">Other commenters suggested the Department exempt programs with high completion or job placement rates from both the pCDR measure and D/E rates measure.  They said high performance on these alternative metrics would demonstrate that programs are successfully preparing students for gainful employment in a recognized occupation.  Several commenters contended that a program that provides the highest lifetime net benefits to students who complete the program is an exceptional performer. </w:t>
      </w:r>
      <w:r w:rsidR="0052608E">
        <w:rPr>
          <w:rFonts w:ascii="Courier New" w:eastAsia="Times New Roman" w:hAnsi="Courier New" w:cs="Courier New"/>
          <w:sz w:val="24"/>
          <w:szCs w:val="24"/>
        </w:rPr>
        <w:t xml:space="preserve"> The commenters proposed </w:t>
      </w:r>
      <w:r w:rsidR="00D47686">
        <w:rPr>
          <w:rFonts w:ascii="Courier New" w:eastAsia="Times New Roman" w:hAnsi="Courier New" w:cs="Courier New"/>
          <w:sz w:val="24"/>
          <w:szCs w:val="24"/>
        </w:rPr>
        <w:t>that</w:t>
      </w:r>
      <w:r w:rsidR="0052608E">
        <w:rPr>
          <w:rFonts w:ascii="Courier New" w:eastAsia="Times New Roman" w:hAnsi="Courier New" w:cs="Courier New"/>
          <w:sz w:val="24"/>
          <w:szCs w:val="24"/>
        </w:rPr>
        <w:t xml:space="preserve"> this</w:t>
      </w:r>
      <w:r w:rsidRPr="0096107B">
        <w:rPr>
          <w:rFonts w:ascii="Courier New" w:eastAsia="Times New Roman" w:hAnsi="Courier New" w:cs="Courier New"/>
          <w:sz w:val="24"/>
          <w:szCs w:val="24"/>
        </w:rPr>
        <w:t xml:space="preserve"> would be established by </w:t>
      </w:r>
      <w:r w:rsidRPr="0096107B">
        <w:rPr>
          <w:rFonts w:ascii="Courier New" w:eastAsia="Times New Roman" w:hAnsi="Courier New" w:cs="Courier New"/>
          <w:sz w:val="24"/>
          <w:szCs w:val="24"/>
        </w:rPr>
        <w:lastRenderedPageBreak/>
        <w:t>subtracting average costs of program attendance</w:t>
      </w:r>
      <w:r w:rsidR="00D47686">
        <w:rPr>
          <w:rFonts w:ascii="Courier New" w:eastAsia="Times New Roman" w:hAnsi="Courier New" w:cs="Courier New"/>
          <w:sz w:val="24"/>
          <w:szCs w:val="24"/>
        </w:rPr>
        <w:t xml:space="preserve"> from average graduate earnings after </w:t>
      </w:r>
      <w:r w:rsidR="00D47686" w:rsidRPr="0096107B">
        <w:rPr>
          <w:rFonts w:ascii="Courier New" w:eastAsia="Times New Roman" w:hAnsi="Courier New" w:cs="Courier New"/>
          <w:sz w:val="24"/>
          <w:szCs w:val="24"/>
        </w:rPr>
        <w:t>factoring in low-income and subgroup characteristics of graduates</w:t>
      </w:r>
      <w:r w:rsidRPr="0096107B">
        <w:rPr>
          <w:rFonts w:ascii="Courier New" w:eastAsia="Times New Roman" w:hAnsi="Courier New" w:cs="Courier New"/>
          <w:sz w:val="24"/>
          <w:szCs w:val="24"/>
        </w:rPr>
        <w:t xml:space="preserve">. </w:t>
      </w:r>
    </w:p>
    <w:p w14:paraId="1956F175" w14:textId="0B92F10A" w:rsidR="00294BFA" w:rsidRPr="0096107B" w:rsidRDefault="00294BFA" w:rsidP="001C1D6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One commenter recommended the Department apply </w:t>
      </w:r>
      <w:r w:rsidR="00257D5F">
        <w:rPr>
          <w:rFonts w:ascii="Courier New" w:eastAsia="Times New Roman" w:hAnsi="Courier New" w:cs="Courier New"/>
          <w:sz w:val="24"/>
          <w:szCs w:val="24"/>
        </w:rPr>
        <w:t xml:space="preserve">a </w:t>
      </w:r>
      <w:r>
        <w:rPr>
          <w:rFonts w:ascii="Courier New" w:eastAsia="Times New Roman" w:hAnsi="Courier New" w:cs="Courier New"/>
          <w:sz w:val="24"/>
          <w:szCs w:val="24"/>
        </w:rPr>
        <w:t xml:space="preserve">higher annual earnings rates </w:t>
      </w:r>
      <w:r w:rsidR="001C1D64">
        <w:rPr>
          <w:rFonts w:ascii="Courier New" w:eastAsia="Times New Roman" w:hAnsi="Courier New" w:cs="Courier New"/>
          <w:sz w:val="24"/>
          <w:szCs w:val="24"/>
        </w:rPr>
        <w:t>pass</w:t>
      </w:r>
      <w:r w:rsidR="00257D5F">
        <w:rPr>
          <w:rFonts w:ascii="Courier New" w:eastAsia="Times New Roman" w:hAnsi="Courier New" w:cs="Courier New"/>
          <w:sz w:val="24"/>
          <w:szCs w:val="24"/>
        </w:rPr>
        <w:t>ing</w:t>
      </w:r>
      <w:r w:rsidR="001C1D64">
        <w:rPr>
          <w:rFonts w:ascii="Courier New" w:eastAsia="Times New Roman" w:hAnsi="Courier New" w:cs="Courier New"/>
          <w:sz w:val="24"/>
          <w:szCs w:val="24"/>
        </w:rPr>
        <w:t xml:space="preserve"> threshold </w:t>
      </w:r>
      <w:r w:rsidR="00257D5F">
        <w:rPr>
          <w:rFonts w:ascii="Courier New" w:eastAsia="Times New Roman" w:hAnsi="Courier New" w:cs="Courier New"/>
          <w:sz w:val="24"/>
          <w:szCs w:val="24"/>
        </w:rPr>
        <w:t>of</w:t>
      </w:r>
      <w:r w:rsidR="001C1D64">
        <w:rPr>
          <w:rFonts w:ascii="Courier New" w:eastAsia="Times New Roman" w:hAnsi="Courier New" w:cs="Courier New"/>
          <w:sz w:val="24"/>
          <w:szCs w:val="24"/>
        </w:rPr>
        <w:t xml:space="preserve"> 13 percent </w:t>
      </w:r>
      <w:r>
        <w:rPr>
          <w:rFonts w:ascii="Courier New" w:eastAsia="Times New Roman" w:hAnsi="Courier New" w:cs="Courier New"/>
          <w:sz w:val="24"/>
          <w:szCs w:val="24"/>
        </w:rPr>
        <w:t>for program</w:t>
      </w:r>
      <w:r w:rsidR="001C1D64">
        <w:rPr>
          <w:rFonts w:ascii="Courier New" w:eastAsia="Times New Roman" w:hAnsi="Courier New" w:cs="Courier New"/>
          <w:sz w:val="24"/>
          <w:szCs w:val="24"/>
        </w:rPr>
        <w:t>s</w:t>
      </w:r>
      <w:r>
        <w:rPr>
          <w:rFonts w:ascii="Courier New" w:eastAsia="Times New Roman" w:hAnsi="Courier New" w:cs="Courier New"/>
          <w:sz w:val="24"/>
          <w:szCs w:val="24"/>
        </w:rPr>
        <w:t xml:space="preserve"> operated by for-profit institutions that adopt programs similar to trial enrollment periods, which </w:t>
      </w:r>
      <w:r w:rsidR="00257D5F">
        <w:rPr>
          <w:rFonts w:ascii="Courier New" w:eastAsia="Times New Roman" w:hAnsi="Courier New" w:cs="Courier New"/>
          <w:sz w:val="24"/>
          <w:szCs w:val="24"/>
        </w:rPr>
        <w:t xml:space="preserve">would </w:t>
      </w:r>
      <w:r>
        <w:rPr>
          <w:rFonts w:ascii="Courier New" w:eastAsia="Times New Roman" w:hAnsi="Courier New" w:cs="Courier New"/>
          <w:sz w:val="24"/>
          <w:szCs w:val="24"/>
        </w:rPr>
        <w:t>allow students to tryout a program for short period of time with the option of withdrawing from the progr</w:t>
      </w:r>
      <w:r w:rsidR="00462994">
        <w:rPr>
          <w:rFonts w:ascii="Courier New" w:eastAsia="Times New Roman" w:hAnsi="Courier New" w:cs="Courier New"/>
          <w:sz w:val="24"/>
          <w:szCs w:val="24"/>
        </w:rPr>
        <w:t>am without paying any tuition or</w:t>
      </w:r>
      <w:r>
        <w:rPr>
          <w:rFonts w:ascii="Courier New" w:eastAsia="Times New Roman" w:hAnsi="Courier New" w:cs="Courier New"/>
          <w:sz w:val="24"/>
          <w:szCs w:val="24"/>
        </w:rPr>
        <w:t xml:space="preserve"> fees.  The commenter</w:t>
      </w:r>
      <w:r w:rsidR="001C1D64">
        <w:rPr>
          <w:rFonts w:ascii="Courier New" w:eastAsia="Times New Roman" w:hAnsi="Courier New" w:cs="Courier New"/>
          <w:sz w:val="24"/>
          <w:szCs w:val="24"/>
        </w:rPr>
        <w:t xml:space="preserve"> also suggested </w:t>
      </w:r>
      <w:r w:rsidR="001C1D64" w:rsidRPr="001C1D64">
        <w:rPr>
          <w:rFonts w:ascii="Courier New" w:eastAsia="Times New Roman" w:hAnsi="Courier New" w:cs="Courier New"/>
          <w:sz w:val="24"/>
          <w:szCs w:val="24"/>
        </w:rPr>
        <w:t xml:space="preserve">the Department should </w:t>
      </w:r>
      <w:r w:rsidR="00257D5F">
        <w:rPr>
          <w:rFonts w:ascii="Courier New" w:eastAsia="Times New Roman" w:hAnsi="Courier New" w:cs="Courier New"/>
          <w:sz w:val="24"/>
          <w:szCs w:val="24"/>
        </w:rPr>
        <w:t>provide that</w:t>
      </w:r>
      <w:r w:rsidR="001C1D64" w:rsidRPr="001C1D64">
        <w:rPr>
          <w:rFonts w:ascii="Courier New" w:eastAsia="Times New Roman" w:hAnsi="Courier New" w:cs="Courier New"/>
          <w:sz w:val="24"/>
          <w:szCs w:val="24"/>
        </w:rPr>
        <w:t xml:space="preserve"> </w:t>
      </w:r>
      <w:r w:rsidR="00257D5F">
        <w:rPr>
          <w:rFonts w:ascii="Courier New" w:eastAsia="Times New Roman" w:hAnsi="Courier New" w:cs="Courier New"/>
          <w:sz w:val="24"/>
          <w:szCs w:val="24"/>
        </w:rPr>
        <w:t>institutions</w:t>
      </w:r>
      <w:r w:rsidR="001C1D64" w:rsidRPr="001C1D64">
        <w:rPr>
          <w:rFonts w:ascii="Courier New" w:eastAsia="Times New Roman" w:hAnsi="Courier New" w:cs="Courier New"/>
          <w:sz w:val="24"/>
          <w:szCs w:val="24"/>
        </w:rPr>
        <w:t xml:space="preserve"> that implement trial</w:t>
      </w:r>
      <w:r w:rsidR="00257D5F">
        <w:rPr>
          <w:rFonts w:ascii="Courier New" w:eastAsia="Times New Roman" w:hAnsi="Courier New" w:cs="Courier New"/>
          <w:sz w:val="24"/>
          <w:szCs w:val="24"/>
        </w:rPr>
        <w:t xml:space="preserve"> </w:t>
      </w:r>
      <w:r w:rsidR="001C1D64" w:rsidRPr="001C1D64">
        <w:rPr>
          <w:rFonts w:ascii="Courier New" w:eastAsia="Times New Roman" w:hAnsi="Courier New" w:cs="Courier New"/>
          <w:sz w:val="24"/>
          <w:szCs w:val="24"/>
        </w:rPr>
        <w:t xml:space="preserve">enrollment periods </w:t>
      </w:r>
      <w:r w:rsidR="00257D5F">
        <w:rPr>
          <w:rFonts w:ascii="Courier New" w:eastAsia="Times New Roman" w:hAnsi="Courier New" w:cs="Courier New"/>
          <w:sz w:val="24"/>
          <w:szCs w:val="24"/>
        </w:rPr>
        <w:t xml:space="preserve">are eligible under the title IV, HEA programs </w:t>
      </w:r>
      <w:r w:rsidR="001C1D64" w:rsidRPr="001C1D64">
        <w:rPr>
          <w:rFonts w:ascii="Courier New" w:eastAsia="Times New Roman" w:hAnsi="Courier New" w:cs="Courier New"/>
          <w:sz w:val="24"/>
          <w:szCs w:val="24"/>
        </w:rPr>
        <w:t xml:space="preserve">if </w:t>
      </w:r>
      <w:r w:rsidR="001C1D64">
        <w:rPr>
          <w:rFonts w:ascii="Courier New" w:eastAsia="Times New Roman" w:hAnsi="Courier New" w:cs="Courier New"/>
          <w:sz w:val="24"/>
          <w:szCs w:val="24"/>
        </w:rPr>
        <w:t xml:space="preserve">their programs satisfy the pCDR </w:t>
      </w:r>
      <w:r w:rsidR="001C1D64" w:rsidRPr="001C1D64">
        <w:rPr>
          <w:rFonts w:ascii="Courier New" w:eastAsia="Times New Roman" w:hAnsi="Courier New" w:cs="Courier New"/>
          <w:sz w:val="24"/>
          <w:szCs w:val="24"/>
        </w:rPr>
        <w:t xml:space="preserve">requirements alone, as the 2011 </w:t>
      </w:r>
      <w:r w:rsidR="00257D5F">
        <w:rPr>
          <w:rFonts w:ascii="Courier New" w:eastAsia="Times New Roman" w:hAnsi="Courier New" w:cs="Courier New"/>
          <w:sz w:val="24"/>
          <w:szCs w:val="24"/>
        </w:rPr>
        <w:t>Prior R</w:t>
      </w:r>
      <w:r w:rsidR="001C1D64" w:rsidRPr="001C1D64">
        <w:rPr>
          <w:rFonts w:ascii="Courier New" w:eastAsia="Times New Roman" w:hAnsi="Courier New" w:cs="Courier New"/>
          <w:sz w:val="24"/>
          <w:szCs w:val="24"/>
        </w:rPr>
        <w:t>ule provided</w:t>
      </w:r>
      <w:r w:rsidR="00257D5F">
        <w:rPr>
          <w:rFonts w:ascii="Courier New" w:eastAsia="Times New Roman" w:hAnsi="Courier New" w:cs="Courier New"/>
          <w:sz w:val="24"/>
          <w:szCs w:val="24"/>
        </w:rPr>
        <w:t xml:space="preserve"> with respect to repayment rate</w:t>
      </w:r>
      <w:r w:rsidR="001C1D64" w:rsidRPr="001C1D64">
        <w:rPr>
          <w:rFonts w:ascii="Courier New" w:eastAsia="Times New Roman" w:hAnsi="Courier New" w:cs="Courier New"/>
          <w:sz w:val="24"/>
          <w:szCs w:val="24"/>
        </w:rPr>
        <w:t>.</w:t>
      </w:r>
    </w:p>
    <w:p w14:paraId="46CC2ED7" w14:textId="35867232"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Discussion</w:t>
      </w:r>
      <w:r w:rsidRPr="0096107B">
        <w:rPr>
          <w:rFonts w:ascii="Courier New" w:eastAsia="Times New Roman" w:hAnsi="Courier New" w:cs="Courier New"/>
          <w:sz w:val="24"/>
          <w:szCs w:val="24"/>
        </w:rPr>
        <w:t xml:space="preserve">:  We appreciate the suggestions for recognizing GE programs that exhibit exceptional performance.  There are exemplary programs at institutions across all sectors, including at for-profit institutions and community colleges.  We also believe that it is important to identify these programs to recognize their achievements and so that they can be emulated.   </w:t>
      </w:r>
    </w:p>
    <w:p w14:paraId="222DD50F"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However, we disagree with the commenters who suggested that programs or entire institutions should be exempted from some or all parts of the regulations as a reward for exceptional performance.  The Department must apply the same requirements to </w:t>
      </w:r>
      <w:r w:rsidRPr="0096107B">
        <w:rPr>
          <w:rFonts w:ascii="Courier New" w:eastAsia="Times New Roman" w:hAnsi="Courier New" w:cs="Courier New"/>
          <w:sz w:val="24"/>
          <w:szCs w:val="24"/>
        </w:rPr>
        <w:lastRenderedPageBreak/>
        <w:t xml:space="preserve">all programs under these regulations and assess all programs equally.  Accordingly, we decline to adopt the commenters’ suggestions.  </w:t>
      </w:r>
    </w:p>
    <w:p w14:paraId="51220A3B" w14:textId="1354E7D2" w:rsidR="001C1D64" w:rsidRPr="0096107B" w:rsidRDefault="001C1D64" w:rsidP="0096107B">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We </w:t>
      </w:r>
      <w:r w:rsidR="00F94456">
        <w:rPr>
          <w:rFonts w:ascii="Courier New" w:eastAsia="Times New Roman" w:hAnsi="Courier New" w:cs="Courier New"/>
          <w:sz w:val="24"/>
          <w:szCs w:val="24"/>
        </w:rPr>
        <w:t>also</w:t>
      </w:r>
      <w:r>
        <w:rPr>
          <w:rFonts w:ascii="Courier New" w:eastAsia="Times New Roman" w:hAnsi="Courier New" w:cs="Courier New"/>
          <w:sz w:val="24"/>
          <w:szCs w:val="24"/>
        </w:rPr>
        <w:t xml:space="preserve"> disagree with </w:t>
      </w:r>
      <w:r w:rsidR="00257D5F">
        <w:rPr>
          <w:rFonts w:ascii="Courier New" w:eastAsia="Times New Roman" w:hAnsi="Courier New" w:cs="Courier New"/>
          <w:sz w:val="24"/>
          <w:szCs w:val="24"/>
        </w:rPr>
        <w:t xml:space="preserve">the </w:t>
      </w:r>
      <w:r>
        <w:rPr>
          <w:rFonts w:ascii="Courier New" w:eastAsia="Times New Roman" w:hAnsi="Courier New" w:cs="Courier New"/>
          <w:sz w:val="24"/>
          <w:szCs w:val="24"/>
        </w:rPr>
        <w:t xml:space="preserve">commenter who recommended we apply an annual earnings rate threshold of 13 percent for programs operated by </w:t>
      </w:r>
      <w:r w:rsidR="00257D5F">
        <w:rPr>
          <w:rFonts w:ascii="Courier New" w:eastAsia="Times New Roman" w:hAnsi="Courier New" w:cs="Courier New"/>
          <w:sz w:val="24"/>
          <w:szCs w:val="24"/>
        </w:rPr>
        <w:t xml:space="preserve">for-profit </w:t>
      </w:r>
      <w:r>
        <w:rPr>
          <w:rFonts w:ascii="Courier New" w:eastAsia="Times New Roman" w:hAnsi="Courier New" w:cs="Courier New"/>
          <w:sz w:val="24"/>
          <w:szCs w:val="24"/>
        </w:rPr>
        <w:t>institutions that offer tuition</w:t>
      </w:r>
      <w:r w:rsidR="00257D5F">
        <w:rPr>
          <w:rFonts w:ascii="Courier New" w:eastAsia="Times New Roman" w:hAnsi="Courier New" w:cs="Courier New"/>
          <w:sz w:val="24"/>
          <w:szCs w:val="24"/>
        </w:rPr>
        <w:t>-</w:t>
      </w:r>
      <w:r>
        <w:rPr>
          <w:rFonts w:ascii="Courier New" w:eastAsia="Times New Roman" w:hAnsi="Courier New" w:cs="Courier New"/>
          <w:sz w:val="24"/>
          <w:szCs w:val="24"/>
        </w:rPr>
        <w:t xml:space="preserve"> and fee</w:t>
      </w:r>
      <w:r w:rsidR="00257D5F">
        <w:rPr>
          <w:rFonts w:ascii="Courier New" w:eastAsia="Times New Roman" w:hAnsi="Courier New" w:cs="Courier New"/>
          <w:sz w:val="24"/>
          <w:szCs w:val="24"/>
        </w:rPr>
        <w:t>-</w:t>
      </w:r>
      <w:r>
        <w:rPr>
          <w:rFonts w:ascii="Courier New" w:eastAsia="Times New Roman" w:hAnsi="Courier New" w:cs="Courier New"/>
          <w:sz w:val="24"/>
          <w:szCs w:val="24"/>
        </w:rPr>
        <w:t xml:space="preserve">free enrollment trial periods. </w:t>
      </w:r>
      <w:r w:rsidR="00257D5F">
        <w:rPr>
          <w:rFonts w:ascii="Courier New" w:eastAsia="Times New Roman" w:hAnsi="Courier New" w:cs="Courier New"/>
          <w:sz w:val="24"/>
          <w:szCs w:val="24"/>
        </w:rPr>
        <w:t xml:space="preserve"> </w:t>
      </w:r>
      <w:r>
        <w:rPr>
          <w:rFonts w:ascii="Courier New" w:eastAsia="Times New Roman" w:hAnsi="Courier New" w:cs="Courier New"/>
          <w:sz w:val="24"/>
          <w:szCs w:val="24"/>
        </w:rPr>
        <w:t>The</w:t>
      </w:r>
      <w:r w:rsidR="00EB06AE">
        <w:rPr>
          <w:rFonts w:ascii="Courier New" w:eastAsia="Times New Roman" w:hAnsi="Courier New" w:cs="Courier New"/>
          <w:sz w:val="24"/>
          <w:szCs w:val="24"/>
        </w:rPr>
        <w:t xml:space="preserve"> calculation of the</w:t>
      </w:r>
      <w:r>
        <w:rPr>
          <w:rFonts w:ascii="Courier New" w:eastAsia="Times New Roman" w:hAnsi="Courier New" w:cs="Courier New"/>
          <w:sz w:val="24"/>
          <w:szCs w:val="24"/>
        </w:rPr>
        <w:t xml:space="preserve"> D/E rates measures do</w:t>
      </w:r>
      <w:r w:rsidR="00E0155A">
        <w:rPr>
          <w:rFonts w:ascii="Courier New" w:eastAsia="Times New Roman" w:hAnsi="Courier New" w:cs="Courier New"/>
          <w:sz w:val="24"/>
          <w:szCs w:val="24"/>
        </w:rPr>
        <w:t xml:space="preserve">es not </w:t>
      </w:r>
      <w:r w:rsidR="00EB06AE">
        <w:rPr>
          <w:rFonts w:ascii="Courier New" w:eastAsia="Times New Roman" w:hAnsi="Courier New" w:cs="Courier New"/>
          <w:sz w:val="24"/>
          <w:szCs w:val="24"/>
        </w:rPr>
        <w:t>evaluate</w:t>
      </w:r>
      <w:r>
        <w:rPr>
          <w:rFonts w:ascii="Courier New" w:eastAsia="Times New Roman" w:hAnsi="Courier New" w:cs="Courier New"/>
          <w:sz w:val="24"/>
          <w:szCs w:val="24"/>
        </w:rPr>
        <w:t xml:space="preserve"> students who withdraw before completing</w:t>
      </w:r>
      <w:r w:rsidR="00257D5F">
        <w:rPr>
          <w:rFonts w:ascii="Courier New" w:eastAsia="Times New Roman" w:hAnsi="Courier New" w:cs="Courier New"/>
          <w:sz w:val="24"/>
          <w:szCs w:val="24"/>
        </w:rPr>
        <w:t xml:space="preserve"> a program</w:t>
      </w:r>
      <w:r>
        <w:rPr>
          <w:rFonts w:ascii="Courier New" w:eastAsia="Times New Roman" w:hAnsi="Courier New" w:cs="Courier New"/>
          <w:sz w:val="24"/>
          <w:szCs w:val="24"/>
        </w:rPr>
        <w:t xml:space="preserve">, and we accordingly, do not believe an enrollment trial period is pertinent to the thresholds for the D/E rate measures. </w:t>
      </w:r>
      <w:r w:rsidR="00257D5F">
        <w:rPr>
          <w:rFonts w:ascii="Courier New" w:eastAsia="Times New Roman" w:hAnsi="Courier New" w:cs="Courier New"/>
          <w:sz w:val="24"/>
          <w:szCs w:val="24"/>
        </w:rPr>
        <w:t xml:space="preserve"> </w:t>
      </w:r>
      <w:r w:rsidR="004923D7">
        <w:rPr>
          <w:rFonts w:ascii="Courier New" w:eastAsia="Times New Roman" w:hAnsi="Courier New" w:cs="Courier New"/>
          <w:sz w:val="24"/>
          <w:szCs w:val="24"/>
        </w:rPr>
        <w:t xml:space="preserve">Institutions may, of course, offer </w:t>
      </w:r>
      <w:r>
        <w:rPr>
          <w:rFonts w:ascii="Courier New" w:eastAsia="Times New Roman" w:hAnsi="Courier New" w:cs="Courier New"/>
          <w:sz w:val="24"/>
          <w:szCs w:val="24"/>
        </w:rPr>
        <w:t xml:space="preserve">enrollment trial periods </w:t>
      </w:r>
      <w:r w:rsidR="004923D7">
        <w:rPr>
          <w:rFonts w:ascii="Courier New" w:eastAsia="Times New Roman" w:hAnsi="Courier New" w:cs="Courier New"/>
          <w:sz w:val="24"/>
          <w:szCs w:val="24"/>
        </w:rPr>
        <w:t xml:space="preserve">for their programs </w:t>
      </w:r>
      <w:r w:rsidR="00F94456">
        <w:rPr>
          <w:rFonts w:ascii="Courier New" w:eastAsia="Times New Roman" w:hAnsi="Courier New" w:cs="Courier New"/>
          <w:sz w:val="24"/>
          <w:szCs w:val="24"/>
        </w:rPr>
        <w:t>and we encourage them to do so</w:t>
      </w:r>
      <w:r>
        <w:rPr>
          <w:rFonts w:ascii="Courier New" w:eastAsia="Times New Roman" w:hAnsi="Courier New" w:cs="Courier New"/>
          <w:sz w:val="24"/>
          <w:szCs w:val="24"/>
        </w:rPr>
        <w:t xml:space="preserve">. </w:t>
      </w:r>
    </w:p>
    <w:p w14:paraId="535369F4" w14:textId="77777777" w:rsidR="0096107B" w:rsidRPr="0096107B" w:rsidRDefault="0096107B" w:rsidP="0096107B">
      <w:pPr>
        <w:spacing w:after="0" w:line="480" w:lineRule="auto"/>
        <w:ind w:firstLine="720"/>
        <w:rPr>
          <w:rFonts w:ascii="Courier New" w:eastAsia="Times New Roman" w:hAnsi="Courier New" w:cs="Courier New"/>
          <w:sz w:val="24"/>
          <w:szCs w:val="24"/>
        </w:rPr>
      </w:pPr>
      <w:r w:rsidRPr="0096107B">
        <w:rPr>
          <w:rFonts w:ascii="Courier New" w:eastAsia="Times New Roman" w:hAnsi="Courier New" w:cs="Courier New"/>
          <w:sz w:val="24"/>
          <w:szCs w:val="24"/>
        </w:rPr>
        <w:t xml:space="preserve">We will continue to consider ways to recognize exceptional programs.  In the meantime, we expect that the disclosure requirements of the regulations will help students identify programs with exceptional performance.  We also expect that the disclosures will allow institutions to identify these programs for the purpose of adopting successful practices that lead to exceptional results for students.  Finally, we note that programs that are performing at an exceptional level will pass the D/E rates measure and this will be reflected in their disclosures and promotional materials.      </w:t>
      </w:r>
    </w:p>
    <w:p w14:paraId="39CA13B9" w14:textId="2DA26E78" w:rsidR="0096107B" w:rsidRPr="0096107B" w:rsidRDefault="0096107B" w:rsidP="0096107B">
      <w:pPr>
        <w:spacing w:after="0" w:line="480" w:lineRule="auto"/>
        <w:rPr>
          <w:rFonts w:ascii="Courier New" w:eastAsia="Times New Roman" w:hAnsi="Courier New" w:cs="Courier New"/>
          <w:sz w:val="24"/>
          <w:szCs w:val="24"/>
        </w:rPr>
      </w:pPr>
      <w:r w:rsidRPr="0096107B">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694B7DCD" w14:textId="77777777" w:rsidR="00E144CA" w:rsidRPr="00D140AB" w:rsidRDefault="00E144CA" w:rsidP="00E144CA">
      <w:pPr>
        <w:pStyle w:val="Heading1"/>
      </w:pPr>
      <w:r w:rsidRPr="00D140AB">
        <w:lastRenderedPageBreak/>
        <w:t>§668.404  Calculating D/E Rates</w:t>
      </w:r>
    </w:p>
    <w:p w14:paraId="1025FE03" w14:textId="77777777" w:rsidR="00E144CA" w:rsidRPr="00527902" w:rsidRDefault="00E144CA" w:rsidP="00E144CA">
      <w:pPr>
        <w:pStyle w:val="Heading2"/>
        <w:ind w:left="0"/>
      </w:pPr>
      <w:r w:rsidRPr="00527902">
        <w:t xml:space="preserve">Including </w:t>
      </w:r>
      <w:r w:rsidRPr="00527902" w:rsidDel="0070134D">
        <w:t xml:space="preserve">Students Who Do Not Complete the </w:t>
      </w:r>
      <w:r>
        <w:t>Program</w:t>
      </w:r>
      <w:r w:rsidRPr="00527902">
        <w:t xml:space="preserve"> in the D/E Rates Measure</w:t>
      </w:r>
    </w:p>
    <w:p w14:paraId="1C8E7915" w14:textId="77777777" w:rsidR="00E144CA" w:rsidRPr="00D140AB" w:rsidRDefault="00E144CA" w:rsidP="00E144CA">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u w:val="single"/>
        </w:rPr>
        <w:t>Comments</w:t>
      </w:r>
      <w:r w:rsidRPr="00D140AB">
        <w:rPr>
          <w:rFonts w:ascii="Courier New" w:eastAsia="SimSun" w:hAnsi="Courier New" w:cs="Courier New"/>
          <w:bCs/>
          <w:sz w:val="24"/>
          <w:szCs w:val="24"/>
        </w:rPr>
        <w:t>:  We received a number of comments responding to the Department’s question about whether we should include students who do not complete a GE program</w:t>
      </w:r>
      <w:r w:rsidRPr="00D140AB" w:rsidDel="00A93686">
        <w:rPr>
          <w:rFonts w:ascii="Courier New" w:eastAsia="SimSun" w:hAnsi="Courier New" w:cs="Courier New"/>
          <w:bCs/>
          <w:sz w:val="24"/>
          <w:szCs w:val="24"/>
        </w:rPr>
        <w:t xml:space="preserve"> </w:t>
      </w:r>
      <w:r w:rsidRPr="00D140AB">
        <w:rPr>
          <w:rFonts w:ascii="Courier New" w:eastAsia="SimSun" w:hAnsi="Courier New" w:cs="Courier New"/>
          <w:bCs/>
          <w:sz w:val="24"/>
          <w:szCs w:val="24"/>
        </w:rPr>
        <w:t xml:space="preserve">in calculating D/E rates.  </w:t>
      </w:r>
    </w:p>
    <w:p w14:paraId="20C7D2C1" w14:textId="77777777" w:rsidR="00E144CA" w:rsidRPr="00D140AB" w:rsidRDefault="00E144CA" w:rsidP="00E144CA">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rPr>
        <w:tab/>
        <w:t>Several commenters urged the Department to hold institutions accountable fo</w:t>
      </w:r>
      <w:r>
        <w:rPr>
          <w:rFonts w:ascii="Courier New" w:eastAsia="SimSun" w:hAnsi="Courier New" w:cs="Courier New"/>
          <w:bCs/>
          <w:sz w:val="24"/>
          <w:szCs w:val="24"/>
        </w:rPr>
        <w:t xml:space="preserve">r students who do not complete </w:t>
      </w:r>
      <w:r w:rsidRPr="00D140AB">
        <w:rPr>
          <w:rFonts w:ascii="Courier New" w:eastAsia="SimSun" w:hAnsi="Courier New" w:cs="Courier New"/>
          <w:bCs/>
          <w:sz w:val="24"/>
          <w:szCs w:val="24"/>
        </w:rPr>
        <w:t>GE programs, arguing that these students often accumulate large amounts of debt, even in short periods of time,</w:t>
      </w:r>
      <w:r>
        <w:rPr>
          <w:rFonts w:ascii="Courier New" w:eastAsia="SimSun" w:hAnsi="Courier New" w:cs="Courier New"/>
          <w:bCs/>
          <w:sz w:val="24"/>
          <w:szCs w:val="24"/>
        </w:rPr>
        <w:t xml:space="preserve"> </w:t>
      </w:r>
      <w:r w:rsidRPr="00D140AB">
        <w:rPr>
          <w:rFonts w:ascii="Courier New" w:eastAsia="SimSun" w:hAnsi="Courier New" w:cs="Courier New"/>
          <w:bCs/>
          <w:sz w:val="24"/>
          <w:szCs w:val="24"/>
        </w:rPr>
        <w:t xml:space="preserve">that they struggle to repay.  Some commenters believed students who do not complete a program should be included in the D/E rates calculations to avoid allowing poor-quality programs to remain eligible for title IV, HEA program funds. </w:t>
      </w:r>
      <w:r w:rsidRPr="00D140AB" w:rsidDel="00330B05">
        <w:rPr>
          <w:rFonts w:ascii="Courier New" w:eastAsia="SimSun" w:hAnsi="Courier New" w:cs="Courier New"/>
          <w:bCs/>
          <w:sz w:val="24"/>
          <w:szCs w:val="24"/>
        </w:rPr>
        <w:t xml:space="preserve"> </w:t>
      </w:r>
      <w:r>
        <w:rPr>
          <w:rFonts w:ascii="Courier New" w:eastAsia="SimSun" w:hAnsi="Courier New" w:cs="Courier New"/>
          <w:bCs/>
          <w:sz w:val="24"/>
          <w:szCs w:val="24"/>
        </w:rPr>
        <w:t xml:space="preserve">Other commenters argued </w:t>
      </w:r>
      <w:r w:rsidRPr="00D140AB">
        <w:rPr>
          <w:rFonts w:ascii="Courier New" w:eastAsia="SimSun" w:hAnsi="Courier New" w:cs="Courier New"/>
          <w:bCs/>
          <w:sz w:val="24"/>
          <w:szCs w:val="24"/>
        </w:rPr>
        <w:t>it would be inappropriate to include the debt and earnings of students who do not complete because the earnings of those students and their ability to repay their loans do not reflect the quality of the program</w:t>
      </w:r>
      <w:r>
        <w:rPr>
          <w:rFonts w:ascii="Courier New" w:eastAsia="SimSun" w:hAnsi="Courier New" w:cs="Courier New"/>
          <w:bCs/>
          <w:sz w:val="24"/>
          <w:szCs w:val="24"/>
        </w:rPr>
        <w:t xml:space="preserve"> they attended</w:t>
      </w:r>
      <w:r w:rsidRPr="00D140AB">
        <w:rPr>
          <w:rFonts w:ascii="Courier New" w:eastAsia="SimSun" w:hAnsi="Courier New" w:cs="Courier New"/>
          <w:bCs/>
          <w:sz w:val="24"/>
          <w:szCs w:val="24"/>
        </w:rPr>
        <w:t>.</w:t>
      </w:r>
      <w:r>
        <w:rPr>
          <w:rFonts w:ascii="Courier New" w:eastAsia="SimSun" w:hAnsi="Courier New" w:cs="Courier New"/>
          <w:bCs/>
          <w:sz w:val="24"/>
          <w:szCs w:val="24"/>
        </w:rPr>
        <w:t xml:space="preserve">  These </w:t>
      </w:r>
      <w:r w:rsidRPr="00D140AB">
        <w:rPr>
          <w:rFonts w:ascii="Courier New" w:eastAsia="SimSun" w:hAnsi="Courier New" w:cs="Courier New"/>
          <w:bCs/>
          <w:sz w:val="24"/>
          <w:szCs w:val="24"/>
        </w:rPr>
        <w:t xml:space="preserve">commenters believed that if students do not complete a GE program, they cannot benefit from the training the program offers.  The commenters reasoned that students who do not complete a program are much less likely to qualify for the types of jobs for which the program provides training, and far more likely to obtain employment in completely different fields. </w:t>
      </w:r>
      <w:r>
        <w:rPr>
          <w:rFonts w:ascii="Courier New" w:eastAsia="SimSun" w:hAnsi="Courier New" w:cs="Courier New"/>
          <w:bCs/>
          <w:sz w:val="24"/>
          <w:szCs w:val="24"/>
        </w:rPr>
        <w:t xml:space="preserve"> One</w:t>
      </w:r>
      <w:r w:rsidRPr="00D140AB">
        <w:rPr>
          <w:rFonts w:ascii="Courier New" w:eastAsia="SimSun" w:hAnsi="Courier New" w:cs="Courier New"/>
          <w:bCs/>
          <w:sz w:val="24"/>
          <w:szCs w:val="24"/>
        </w:rPr>
        <w:t xml:space="preserve"> </w:t>
      </w:r>
      <w:r w:rsidRPr="00D140AB">
        <w:rPr>
          <w:rFonts w:ascii="Courier New" w:eastAsia="SimSun" w:hAnsi="Courier New" w:cs="Courier New"/>
          <w:bCs/>
          <w:sz w:val="24"/>
          <w:szCs w:val="24"/>
        </w:rPr>
        <w:lastRenderedPageBreak/>
        <w:t xml:space="preserve">commenter </w:t>
      </w:r>
      <w:r>
        <w:rPr>
          <w:rFonts w:ascii="Courier New" w:eastAsia="SimSun" w:hAnsi="Courier New" w:cs="Courier New"/>
          <w:bCs/>
          <w:sz w:val="24"/>
          <w:szCs w:val="24"/>
        </w:rPr>
        <w:t xml:space="preserve">that favored excluding students who do not complete a program </w:t>
      </w:r>
      <w:r w:rsidRPr="00D140AB">
        <w:rPr>
          <w:rFonts w:ascii="Courier New" w:eastAsia="SimSun" w:hAnsi="Courier New" w:cs="Courier New"/>
          <w:bCs/>
          <w:sz w:val="24"/>
          <w:szCs w:val="24"/>
        </w:rPr>
        <w:t xml:space="preserve">stated that the reasons a student drops out of a program are correlated with socioeconomic factors (e.g., the student is a single parent, is unprepared for college work, or is a first-generation college student) that are also correlated with low earnings.  </w:t>
      </w:r>
      <w:r>
        <w:rPr>
          <w:rFonts w:ascii="Courier New" w:eastAsia="SimSun" w:hAnsi="Courier New" w:cs="Courier New"/>
          <w:bCs/>
          <w:sz w:val="24"/>
          <w:szCs w:val="24"/>
        </w:rPr>
        <w:t>T</w:t>
      </w:r>
      <w:r w:rsidRPr="00D140AB">
        <w:rPr>
          <w:rFonts w:ascii="Courier New" w:eastAsia="SimSun" w:hAnsi="Courier New" w:cs="Courier New"/>
          <w:bCs/>
          <w:sz w:val="24"/>
          <w:szCs w:val="24"/>
        </w:rPr>
        <w:t xml:space="preserve">he commenter cited a study conducted by Charles River Associates, commissioned by APSCU, showing that, of the students who do not complete a program, 50 percent drop out within the first </w:t>
      </w:r>
      <w:r>
        <w:rPr>
          <w:rFonts w:ascii="Courier New" w:eastAsia="SimSun" w:hAnsi="Courier New" w:cs="Courier New"/>
          <w:bCs/>
          <w:sz w:val="24"/>
          <w:szCs w:val="24"/>
        </w:rPr>
        <w:t>six</w:t>
      </w:r>
      <w:r w:rsidRPr="00D140AB">
        <w:rPr>
          <w:rFonts w:ascii="Courier New" w:eastAsia="SimSun" w:hAnsi="Courier New" w:cs="Courier New"/>
          <w:bCs/>
          <w:sz w:val="24"/>
          <w:szCs w:val="24"/>
        </w:rPr>
        <w:t xml:space="preserve"> months of enrolling in the program and 75 percent drop out within the first year.  The commenter asserted that the debt these students accumulate is relatively low, and, accordingly, churn is not necessarily a negative outcome and institutions should not be discouraged from allowing non-traditional students to explore different options.  </w:t>
      </w:r>
    </w:p>
    <w:p w14:paraId="2CECEB77" w14:textId="77777777" w:rsidR="00E144CA" w:rsidRPr="00D140AB" w:rsidRDefault="00E144CA" w:rsidP="00E144CA">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rPr>
        <w:t xml:space="preserve">    </w:t>
      </w:r>
      <w:r w:rsidRPr="00D140AB" w:rsidDel="00330B05">
        <w:rPr>
          <w:rFonts w:ascii="Courier New" w:eastAsia="SimSun" w:hAnsi="Courier New" w:cs="Courier New"/>
          <w:bCs/>
          <w:sz w:val="24"/>
          <w:szCs w:val="24"/>
        </w:rPr>
        <w:t xml:space="preserve"> </w:t>
      </w:r>
      <w:r>
        <w:rPr>
          <w:rFonts w:ascii="Courier New" w:eastAsia="SimSun" w:hAnsi="Courier New" w:cs="Courier New"/>
          <w:bCs/>
          <w:sz w:val="24"/>
          <w:szCs w:val="24"/>
        </w:rPr>
        <w:t>Some</w:t>
      </w:r>
      <w:r w:rsidRPr="00D140AB">
        <w:rPr>
          <w:rFonts w:ascii="Courier New" w:eastAsia="SimSun" w:hAnsi="Courier New" w:cs="Courier New"/>
          <w:bCs/>
          <w:sz w:val="24"/>
          <w:szCs w:val="24"/>
        </w:rPr>
        <w:t xml:space="preserve"> commenters, however, did not support including </w:t>
      </w:r>
      <w:r>
        <w:rPr>
          <w:rFonts w:ascii="Courier New" w:eastAsia="SimSun" w:hAnsi="Courier New" w:cs="Courier New"/>
          <w:bCs/>
          <w:sz w:val="24"/>
          <w:szCs w:val="24"/>
        </w:rPr>
        <w:t>students who do not complete a program because</w:t>
      </w:r>
      <w:r w:rsidRPr="00D140AB">
        <w:rPr>
          <w:rFonts w:ascii="Courier New" w:eastAsia="SimSun" w:hAnsi="Courier New" w:cs="Courier New"/>
          <w:bCs/>
          <w:sz w:val="24"/>
          <w:szCs w:val="24"/>
        </w:rPr>
        <w:t xml:space="preserve"> programs with high drop-out rates may have low D/E rates </w:t>
      </w:r>
      <w:r>
        <w:rPr>
          <w:rFonts w:ascii="Courier New" w:eastAsia="SimSun" w:hAnsi="Courier New" w:cs="Courier New"/>
          <w:bCs/>
          <w:sz w:val="24"/>
          <w:szCs w:val="24"/>
        </w:rPr>
        <w:t>as</w:t>
      </w:r>
      <w:r w:rsidRPr="00D140AB">
        <w:rPr>
          <w:rFonts w:ascii="Courier New" w:eastAsia="SimSun" w:hAnsi="Courier New" w:cs="Courier New"/>
          <w:bCs/>
          <w:sz w:val="24"/>
          <w:szCs w:val="24"/>
        </w:rPr>
        <w:t xml:space="preserve"> many students would not remain enrolled long enough to accumulate large amounts of debt.  </w:t>
      </w:r>
    </w:p>
    <w:p w14:paraId="1811F44C" w14:textId="77777777" w:rsidR="00E144CA" w:rsidRPr="00D140AB" w:rsidRDefault="00E144CA" w:rsidP="00E144CA">
      <w:pPr>
        <w:spacing w:after="0" w:line="480" w:lineRule="auto"/>
        <w:rPr>
          <w:rFonts w:ascii="Courier New" w:eastAsia="SimSun" w:hAnsi="Courier New" w:cs="Courier New"/>
          <w:sz w:val="24"/>
          <w:szCs w:val="24"/>
        </w:rPr>
      </w:pPr>
      <w:r w:rsidRPr="00D140AB">
        <w:rPr>
          <w:rFonts w:ascii="Courier New" w:eastAsia="SimSun" w:hAnsi="Courier New" w:cs="Courier New"/>
          <w:bCs/>
          <w:sz w:val="24"/>
          <w:szCs w:val="24"/>
          <w:u w:val="single"/>
        </w:rPr>
        <w:t>Discussion</w:t>
      </w:r>
      <w:r w:rsidRPr="00D140AB">
        <w:rPr>
          <w:rFonts w:ascii="Courier New" w:eastAsia="SimSun" w:hAnsi="Courier New" w:cs="Courier New"/>
          <w:bCs/>
          <w:sz w:val="24"/>
          <w:szCs w:val="24"/>
        </w:rPr>
        <w:t>:</w:t>
      </w:r>
      <w:r w:rsidRPr="00D140AB">
        <w:rPr>
          <w:rFonts w:ascii="Courier New" w:hAnsi="Courier New" w:cs="Courier New"/>
          <w:sz w:val="24"/>
          <w:szCs w:val="24"/>
        </w:rPr>
        <w:t xml:space="preserve">  As discussed in “§668.403  Gainful Employment Program Framework,” </w:t>
      </w:r>
      <w:r w:rsidRPr="00D140AB">
        <w:rPr>
          <w:rFonts w:ascii="Courier New" w:eastAsia="SimSun" w:hAnsi="Courier New" w:cs="Courier New"/>
          <w:sz w:val="24"/>
          <w:szCs w:val="24"/>
        </w:rPr>
        <w:t xml:space="preserve">we agree it is important to hold institutions accountable for the outcomes of students who do not complete a GE program.  However, we do not believe that the D/E rates measure is an appropriate metric for this purpose for some </w:t>
      </w:r>
      <w:r w:rsidRPr="00D140AB">
        <w:rPr>
          <w:rFonts w:ascii="Courier New" w:eastAsia="SimSun" w:hAnsi="Courier New" w:cs="Courier New"/>
          <w:sz w:val="24"/>
          <w:szCs w:val="24"/>
        </w:rPr>
        <w:lastRenderedPageBreak/>
        <w:t xml:space="preserve">of the reasons noted by the commenters.  In addition, we agree that including students who do not complete a program in the D/E rates measure could have the perverse effect of improving the D/E rates of some of those programs because students who drop out early may accrue relatively lower amounts of debt than students who complete the program. </w:t>
      </w:r>
    </w:p>
    <w:p w14:paraId="03D5C6B4" w14:textId="77777777" w:rsidR="00E144CA" w:rsidRPr="00D140AB" w:rsidRDefault="00E144CA" w:rsidP="00E144CA">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u w:val="single"/>
        </w:rPr>
        <w:t>Changes</w:t>
      </w:r>
      <w:r w:rsidRPr="00D140AB">
        <w:rPr>
          <w:rFonts w:ascii="Courier New" w:eastAsia="SimSun" w:hAnsi="Courier New" w:cs="Courier New"/>
          <w:bCs/>
          <w:sz w:val="24"/>
          <w:szCs w:val="24"/>
        </w:rPr>
        <w:t>:  None.</w:t>
      </w:r>
    </w:p>
    <w:p w14:paraId="3B34989E" w14:textId="77777777" w:rsidR="00E144CA" w:rsidRPr="00D140AB" w:rsidRDefault="00E144CA" w:rsidP="00E144CA">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u w:val="single"/>
        </w:rPr>
        <w:t>Comments</w:t>
      </w:r>
      <w:r w:rsidRPr="00D140AB">
        <w:rPr>
          <w:rFonts w:ascii="Courier New" w:eastAsia="SimSun" w:hAnsi="Courier New" w:cs="Courier New"/>
          <w:bCs/>
          <w:sz w:val="24"/>
          <w:szCs w:val="24"/>
        </w:rPr>
        <w:t>:  One commenter recommended that the Department determine which students to include in the calculation of</w:t>
      </w:r>
      <w:r w:rsidRPr="00D140AB" w:rsidDel="009F10FC">
        <w:rPr>
          <w:rFonts w:ascii="Courier New" w:eastAsia="SimSun" w:hAnsi="Courier New" w:cs="Courier New"/>
          <w:bCs/>
          <w:sz w:val="24"/>
          <w:szCs w:val="24"/>
        </w:rPr>
        <w:t xml:space="preserve"> </w:t>
      </w:r>
      <w:r w:rsidRPr="00D140AB">
        <w:rPr>
          <w:rFonts w:ascii="Courier New" w:eastAsia="SimSun" w:hAnsi="Courier New" w:cs="Courier New"/>
          <w:bCs/>
          <w:sz w:val="24"/>
          <w:szCs w:val="24"/>
        </w:rPr>
        <w:t>D/E rates</w:t>
      </w:r>
      <w:r w:rsidRPr="00D140AB" w:rsidDel="00AC05D8">
        <w:rPr>
          <w:rFonts w:ascii="Courier New" w:eastAsia="SimSun" w:hAnsi="Courier New" w:cs="Courier New"/>
          <w:bCs/>
          <w:sz w:val="24"/>
          <w:szCs w:val="24"/>
        </w:rPr>
        <w:t xml:space="preserve"> </w:t>
      </w:r>
      <w:r w:rsidRPr="00D140AB">
        <w:rPr>
          <w:rFonts w:ascii="Courier New" w:eastAsia="SimSun" w:hAnsi="Courier New" w:cs="Courier New"/>
          <w:bCs/>
          <w:sz w:val="24"/>
          <w:szCs w:val="24"/>
        </w:rPr>
        <w:t xml:space="preserve">based on the amount of debt that a student accumulates, rather than only on whether or not a student completed the program.  The commenter agreed with others that an institution should not be held accountable in situations where students incur a minimal amount of debt before dropping out of a GE program, acknowledging that students who do not complete a program will likely have lower earnings than those who complete the program.  However, the commenter argued that, at the same time, institutions should be accountable for students who accumulate a significant amount of debt to attend a GE program but ultimately do not complete that program.  The commenter believed that, at a certain point, if a student has accrued high levels of debt for attending a program, then the program should have prepared the student for gainful employment in that field to some extent.  As an example, the commenter offered that all </w:t>
      </w:r>
      <w:r w:rsidRPr="00D140AB">
        <w:rPr>
          <w:rFonts w:ascii="Courier New" w:eastAsia="SimSun" w:hAnsi="Courier New" w:cs="Courier New"/>
          <w:bCs/>
          <w:sz w:val="24"/>
          <w:szCs w:val="24"/>
        </w:rPr>
        <w:lastRenderedPageBreak/>
        <w:t>students who borrow more than $15,000 should be included in the calculation of</w:t>
      </w:r>
      <w:r w:rsidRPr="00D140AB" w:rsidDel="009F10FC">
        <w:rPr>
          <w:rFonts w:ascii="Courier New" w:eastAsia="SimSun" w:hAnsi="Courier New" w:cs="Courier New"/>
          <w:bCs/>
          <w:sz w:val="24"/>
          <w:szCs w:val="24"/>
        </w:rPr>
        <w:t xml:space="preserve"> </w:t>
      </w:r>
      <w:r w:rsidRPr="00D140AB">
        <w:rPr>
          <w:rFonts w:ascii="Courier New" w:eastAsia="SimSun" w:hAnsi="Courier New" w:cs="Courier New"/>
          <w:bCs/>
          <w:sz w:val="24"/>
          <w:szCs w:val="24"/>
        </w:rPr>
        <w:t xml:space="preserve">D/E rates. </w:t>
      </w:r>
    </w:p>
    <w:p w14:paraId="6BCFCC33" w14:textId="77777777" w:rsidR="00E144CA" w:rsidRDefault="00E144CA" w:rsidP="00E50678">
      <w:pPr>
        <w:spacing w:after="0" w:line="480" w:lineRule="auto"/>
        <w:rPr>
          <w:rFonts w:ascii="Courier New" w:eastAsia="SimSun" w:hAnsi="Courier New" w:cs="Courier New"/>
          <w:bCs/>
          <w:sz w:val="24"/>
          <w:szCs w:val="24"/>
        </w:rPr>
      </w:pPr>
      <w:r w:rsidRPr="00D140AB">
        <w:rPr>
          <w:rFonts w:ascii="Courier New" w:eastAsia="SimSun" w:hAnsi="Courier New" w:cs="Courier New"/>
          <w:bCs/>
          <w:sz w:val="24"/>
          <w:szCs w:val="24"/>
          <w:u w:val="single"/>
        </w:rPr>
        <w:t>Discussion</w:t>
      </w:r>
      <w:r w:rsidRPr="00D140AB">
        <w:rPr>
          <w:rFonts w:ascii="Courier New" w:eastAsia="SimSun" w:hAnsi="Courier New" w:cs="Courier New"/>
          <w:bCs/>
          <w:sz w:val="24"/>
          <w:szCs w:val="24"/>
        </w:rPr>
        <w:t xml:space="preserve">:  </w:t>
      </w:r>
      <w:r>
        <w:rPr>
          <w:rFonts w:ascii="Courier New" w:eastAsia="SimSun" w:hAnsi="Courier New" w:cs="Courier New"/>
          <w:bCs/>
          <w:sz w:val="24"/>
          <w:szCs w:val="24"/>
        </w:rPr>
        <w:t>The Department appreciates</w:t>
      </w:r>
      <w:r w:rsidRPr="00D140AB">
        <w:rPr>
          <w:rFonts w:ascii="Courier New" w:eastAsia="SimSun" w:hAnsi="Courier New" w:cs="Courier New"/>
          <w:bCs/>
          <w:sz w:val="24"/>
          <w:szCs w:val="24"/>
        </w:rPr>
        <w:t xml:space="preserve"> </w:t>
      </w:r>
      <w:r>
        <w:rPr>
          <w:rFonts w:ascii="Courier New" w:eastAsia="SimSun" w:hAnsi="Courier New" w:cs="Courier New"/>
          <w:bCs/>
          <w:sz w:val="24"/>
          <w:szCs w:val="24"/>
        </w:rPr>
        <w:t>but cannot adopt this</w:t>
      </w:r>
      <w:r w:rsidRPr="00D140AB">
        <w:rPr>
          <w:rFonts w:ascii="Courier New" w:eastAsia="SimSun" w:hAnsi="Courier New" w:cs="Courier New"/>
          <w:bCs/>
          <w:sz w:val="24"/>
          <w:szCs w:val="24"/>
        </w:rPr>
        <w:t xml:space="preserve"> suggestion</w:t>
      </w:r>
      <w:r>
        <w:rPr>
          <w:rFonts w:ascii="Courier New" w:eastAsia="SimSun" w:hAnsi="Courier New" w:cs="Courier New"/>
          <w:bCs/>
          <w:sz w:val="24"/>
          <w:szCs w:val="24"/>
        </w:rPr>
        <w:t>.</w:t>
      </w:r>
      <w:r w:rsidRPr="00D140AB">
        <w:rPr>
          <w:rFonts w:ascii="Courier New" w:eastAsia="SimSun" w:hAnsi="Courier New" w:cs="Courier New"/>
          <w:bCs/>
          <w:sz w:val="24"/>
          <w:szCs w:val="24"/>
        </w:rPr>
        <w:t xml:space="preserve">  First, we lack sufficient data and evidence to set a threshold for the amount of debt that </w:t>
      </w:r>
      <w:r>
        <w:rPr>
          <w:rFonts w:ascii="Courier New" w:eastAsia="SimSun" w:hAnsi="Courier New" w:cs="Courier New"/>
          <w:bCs/>
          <w:sz w:val="24"/>
          <w:szCs w:val="24"/>
        </w:rPr>
        <w:t xml:space="preserve">would be considered </w:t>
      </w:r>
      <w:r w:rsidRPr="00D140AB">
        <w:rPr>
          <w:rFonts w:ascii="Courier New" w:eastAsia="SimSun" w:hAnsi="Courier New" w:cs="Courier New"/>
          <w:bCs/>
          <w:sz w:val="24"/>
          <w:szCs w:val="24"/>
        </w:rPr>
        <w:t>sufficient</w:t>
      </w:r>
      <w:r>
        <w:rPr>
          <w:rFonts w:ascii="Courier New" w:eastAsia="SimSun" w:hAnsi="Courier New" w:cs="Courier New"/>
          <w:bCs/>
          <w:sz w:val="24"/>
          <w:szCs w:val="24"/>
        </w:rPr>
        <w:t>ly excessive</w:t>
      </w:r>
      <w:r w:rsidRPr="00D140AB">
        <w:rPr>
          <w:rFonts w:ascii="Courier New" w:eastAsia="SimSun" w:hAnsi="Courier New" w:cs="Courier New"/>
          <w:bCs/>
          <w:sz w:val="24"/>
          <w:szCs w:val="24"/>
        </w:rPr>
        <w:t xml:space="preserve"> to </w:t>
      </w:r>
      <w:r>
        <w:rPr>
          <w:rFonts w:ascii="Courier New" w:eastAsia="SimSun" w:hAnsi="Courier New" w:cs="Courier New"/>
          <w:bCs/>
          <w:sz w:val="24"/>
          <w:szCs w:val="24"/>
        </w:rPr>
        <w:t xml:space="preserve">warrant including a student </w:t>
      </w:r>
      <w:r w:rsidRPr="00D140AB">
        <w:rPr>
          <w:rFonts w:ascii="Courier New" w:eastAsia="SimSun" w:hAnsi="Courier New" w:cs="Courier New"/>
          <w:bCs/>
          <w:sz w:val="24"/>
          <w:szCs w:val="24"/>
        </w:rPr>
        <w:t xml:space="preserve">in the calculation.  </w:t>
      </w:r>
      <w:r>
        <w:rPr>
          <w:rFonts w:ascii="Courier New" w:eastAsia="SimSun" w:hAnsi="Courier New" w:cs="Courier New"/>
          <w:bCs/>
          <w:sz w:val="24"/>
          <w:szCs w:val="24"/>
        </w:rPr>
        <w:t>Second, as previously discussed, we do not believe it is appropriate to include in the D/E rates measure students who did not complete a GE program.  Finally, the notion that including in the D/E rates measure only those students with significant or high levels of debt would not account for the students who incur less debt but are having difficulty repaying their loans because of low earnings.</w:t>
      </w:r>
    </w:p>
    <w:p w14:paraId="1DD9A276" w14:textId="77777777" w:rsidR="00E144CA" w:rsidRPr="00D140AB" w:rsidRDefault="00E144CA" w:rsidP="00E144CA">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bCs/>
          <w:sz w:val="24"/>
          <w:szCs w:val="24"/>
          <w:u w:val="single"/>
        </w:rPr>
        <w:t>Changes</w:t>
      </w:r>
      <w:r w:rsidRPr="00D140AB">
        <w:rPr>
          <w:rFonts w:ascii="Courier New" w:eastAsia="SimSun" w:hAnsi="Courier New" w:cs="Courier New"/>
          <w:bCs/>
          <w:sz w:val="24"/>
          <w:szCs w:val="24"/>
        </w:rPr>
        <w:t>:  None.</w:t>
      </w:r>
    </w:p>
    <w:p w14:paraId="413A4BEE" w14:textId="77777777" w:rsidR="00E144CA" w:rsidRPr="00D140AB" w:rsidRDefault="00E144CA" w:rsidP="00E144CA">
      <w:pPr>
        <w:pStyle w:val="Heading2"/>
        <w:ind w:left="0"/>
      </w:pPr>
      <w:r w:rsidRPr="00D140AB">
        <w:t>Two-Year Cohort Period</w:t>
      </w:r>
    </w:p>
    <w:p w14:paraId="747FB2BD" w14:textId="77777777" w:rsidR="00E144CA" w:rsidRPr="00D140AB" w:rsidRDefault="00E144CA" w:rsidP="00E144CA">
      <w:pPr>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u w:val="single"/>
        </w:rPr>
        <w:t>Introduction</w:t>
      </w:r>
      <w:r w:rsidRPr="00D140AB">
        <w:rPr>
          <w:rFonts w:ascii="Courier New" w:hAnsi="Courier New" w:cs="Courier New"/>
          <w:color w:val="000000"/>
          <w:sz w:val="24"/>
          <w:szCs w:val="24"/>
        </w:rPr>
        <w:t xml:space="preserve">:  We received a number of comments on the two-year cohort period that the Department </w:t>
      </w:r>
      <w:r>
        <w:rPr>
          <w:rFonts w:ascii="Courier New" w:hAnsi="Courier New" w:cs="Courier New"/>
          <w:color w:val="000000"/>
          <w:sz w:val="24"/>
          <w:szCs w:val="24"/>
        </w:rPr>
        <w:t>uses</w:t>
      </w:r>
      <w:r w:rsidRPr="00D140AB">
        <w:rPr>
          <w:rFonts w:ascii="Courier New" w:hAnsi="Courier New" w:cs="Courier New"/>
          <w:color w:val="000000"/>
          <w:sz w:val="24"/>
          <w:szCs w:val="24"/>
        </w:rPr>
        <w:t xml:space="preserve"> in calculating the D/E rates.  To aid readers in their review of the comment summaries and our responses, we provide the following context.  </w:t>
      </w:r>
    </w:p>
    <w:p w14:paraId="61F8EF39" w14:textId="77777777" w:rsidR="00E144CA" w:rsidRPr="00D140AB" w:rsidRDefault="00E144CA" w:rsidP="00E144CA">
      <w:pPr>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rPr>
        <w:t xml:space="preserve">     Under the regulations, the two-year cohort period covers the two consecutive award years that are the third and fourth award years prior to the award year for which the D/E rates are calculated or, for programs whose students are required to complete a medical or dental internship or residency, the sixth </w:t>
      </w:r>
      <w:r w:rsidRPr="00D140AB">
        <w:rPr>
          <w:rFonts w:ascii="Courier New" w:hAnsi="Courier New" w:cs="Courier New"/>
          <w:color w:val="000000"/>
          <w:sz w:val="24"/>
          <w:szCs w:val="24"/>
        </w:rPr>
        <w:lastRenderedPageBreak/>
        <w:t>and seventh award years prior to the award year for which D/E rates are calculated.  The Department will calculate the D/E rates for a GE program by determining the annual loan payment for the students who completed the program during the two-year cohort period and obtain from SSA the mean and median aggregate earnings of that group of students for the most recently available calendar year.  Because the earnings data we obtain from SSA are for a calendar year, and because students included in the two-year cohort period may complete a program at any time during the cohort period, the length of time that a particular student could potentially be employed before the year for which we obtain earnings data from SSA varies from 18 to 42 months.  Counting the year for which we obtain earnings data (earnings year) would extend this period of employment</w:t>
      </w:r>
      <w:r w:rsidRPr="00D140AB" w:rsidDel="009F10FC">
        <w:rPr>
          <w:rFonts w:ascii="Courier New" w:hAnsi="Courier New" w:cs="Courier New"/>
          <w:color w:val="000000"/>
          <w:sz w:val="24"/>
          <w:szCs w:val="24"/>
        </w:rPr>
        <w:t xml:space="preserve"> </w:t>
      </w:r>
      <w:r w:rsidRPr="00D140AB">
        <w:rPr>
          <w:rFonts w:ascii="Courier New" w:hAnsi="Courier New" w:cs="Courier New"/>
          <w:color w:val="000000"/>
          <w:sz w:val="24"/>
          <w:szCs w:val="24"/>
        </w:rPr>
        <w:t>to 30 to 54 months.  For example, for</w:t>
      </w:r>
      <w:r w:rsidRPr="00D140AB" w:rsidDel="009F10FC">
        <w:rPr>
          <w:rFonts w:ascii="Courier New" w:hAnsi="Courier New" w:cs="Courier New"/>
          <w:color w:val="000000"/>
          <w:sz w:val="24"/>
          <w:szCs w:val="24"/>
        </w:rPr>
        <w:t xml:space="preserve"> </w:t>
      </w:r>
      <w:r w:rsidRPr="00D140AB">
        <w:rPr>
          <w:rFonts w:ascii="Courier New" w:hAnsi="Courier New" w:cs="Courier New"/>
          <w:color w:val="000000"/>
          <w:sz w:val="24"/>
          <w:szCs w:val="24"/>
        </w:rPr>
        <w:t xml:space="preserve">D/E rates calculated for the 2015 award year (July 1, 2014 to June 30, 2015), the two-year cohort period is award years 2011 (July 1, 2010 to June 30, 2011) and 2012 (July 1, 2011 to June 30, 2012).  </w:t>
      </w:r>
      <w:r>
        <w:rPr>
          <w:rFonts w:ascii="Courier New" w:hAnsi="Courier New" w:cs="Courier New"/>
          <w:color w:val="000000"/>
          <w:sz w:val="24"/>
          <w:szCs w:val="24"/>
        </w:rPr>
        <w:t>W</w:t>
      </w:r>
      <w:r w:rsidRPr="00D140AB">
        <w:rPr>
          <w:rFonts w:ascii="Courier New" w:hAnsi="Courier New" w:cs="Courier New"/>
          <w:color w:val="000000"/>
          <w:sz w:val="24"/>
          <w:szCs w:val="24"/>
        </w:rPr>
        <w:t xml:space="preserve">e will obtain </w:t>
      </w:r>
      <w:r>
        <w:rPr>
          <w:rFonts w:ascii="Courier New" w:hAnsi="Courier New" w:cs="Courier New"/>
          <w:color w:val="000000"/>
          <w:sz w:val="24"/>
          <w:szCs w:val="24"/>
        </w:rPr>
        <w:t xml:space="preserve">the annual </w:t>
      </w:r>
      <w:r w:rsidRPr="00D140AB">
        <w:rPr>
          <w:rFonts w:ascii="Courier New" w:hAnsi="Courier New" w:cs="Courier New"/>
          <w:color w:val="000000"/>
          <w:sz w:val="24"/>
          <w:szCs w:val="24"/>
        </w:rPr>
        <w:t xml:space="preserve">earnings </w:t>
      </w:r>
      <w:r>
        <w:rPr>
          <w:rFonts w:ascii="Courier New" w:hAnsi="Courier New" w:cs="Courier New"/>
          <w:color w:val="000000"/>
          <w:sz w:val="24"/>
          <w:szCs w:val="24"/>
        </w:rPr>
        <w:t xml:space="preserve">of students who completed the program during this two-year cohort period </w:t>
      </w:r>
      <w:r w:rsidRPr="00D140AB">
        <w:rPr>
          <w:rFonts w:ascii="Courier New" w:hAnsi="Courier New" w:cs="Courier New"/>
          <w:color w:val="000000"/>
          <w:sz w:val="24"/>
          <w:szCs w:val="24"/>
        </w:rPr>
        <w:t xml:space="preserve">from SSA for the 2014 calendar year.  So, a student who completes </w:t>
      </w:r>
      <w:r>
        <w:rPr>
          <w:rFonts w:ascii="Courier New" w:hAnsi="Courier New" w:cs="Courier New"/>
          <w:color w:val="000000"/>
          <w:sz w:val="24"/>
          <w:szCs w:val="24"/>
        </w:rPr>
        <w:t>the program</w:t>
      </w:r>
      <w:r w:rsidRPr="00D140AB">
        <w:rPr>
          <w:rFonts w:ascii="Courier New" w:hAnsi="Courier New" w:cs="Courier New"/>
          <w:color w:val="000000"/>
          <w:sz w:val="24"/>
          <w:szCs w:val="24"/>
        </w:rPr>
        <w:t xml:space="preserve"> </w:t>
      </w:r>
      <w:r>
        <w:rPr>
          <w:rFonts w:ascii="Courier New" w:hAnsi="Courier New" w:cs="Courier New"/>
          <w:color w:val="000000"/>
          <w:sz w:val="24"/>
          <w:szCs w:val="24"/>
        </w:rPr>
        <w:t xml:space="preserve">at the very beginning of the two-year cohort period, </w:t>
      </w:r>
      <w:r w:rsidRPr="00D140AB">
        <w:rPr>
          <w:rFonts w:ascii="Courier New" w:hAnsi="Courier New" w:cs="Courier New"/>
          <w:color w:val="000000"/>
          <w:sz w:val="24"/>
          <w:szCs w:val="24"/>
        </w:rPr>
        <w:t xml:space="preserve">on July 1, 2010, and is employed immediately after completion could be employed for up to 42 months--from July 2010 through December 2013--before the year </w:t>
      </w:r>
      <w:r w:rsidRPr="00D140AB">
        <w:rPr>
          <w:rFonts w:ascii="Courier New" w:hAnsi="Courier New" w:cs="Courier New"/>
          <w:color w:val="000000"/>
          <w:sz w:val="24"/>
          <w:szCs w:val="24"/>
        </w:rPr>
        <w:lastRenderedPageBreak/>
        <w:t xml:space="preserve">for which earnings are used to calculate the D/E rates, and up to 54 months if the earnings year itself is included.  </w:t>
      </w:r>
      <w:r>
        <w:rPr>
          <w:rFonts w:ascii="Courier New" w:hAnsi="Courier New" w:cs="Courier New"/>
          <w:color w:val="000000"/>
          <w:sz w:val="24"/>
          <w:szCs w:val="24"/>
        </w:rPr>
        <w:t>A</w:t>
      </w:r>
      <w:r w:rsidRPr="00D140AB">
        <w:rPr>
          <w:rFonts w:ascii="Courier New" w:hAnsi="Courier New" w:cs="Courier New"/>
          <w:color w:val="000000"/>
          <w:sz w:val="24"/>
          <w:szCs w:val="24"/>
        </w:rPr>
        <w:t xml:space="preserve"> student who completes </w:t>
      </w:r>
      <w:r>
        <w:rPr>
          <w:rFonts w:ascii="Courier New" w:hAnsi="Courier New" w:cs="Courier New"/>
          <w:color w:val="000000"/>
          <w:sz w:val="24"/>
          <w:szCs w:val="24"/>
        </w:rPr>
        <w:t>the program</w:t>
      </w:r>
      <w:r w:rsidRPr="00D140AB">
        <w:rPr>
          <w:rFonts w:ascii="Courier New" w:hAnsi="Courier New" w:cs="Courier New"/>
          <w:color w:val="000000"/>
          <w:sz w:val="24"/>
          <w:szCs w:val="24"/>
        </w:rPr>
        <w:t xml:space="preserve"> </w:t>
      </w:r>
      <w:r>
        <w:rPr>
          <w:rFonts w:ascii="Courier New" w:hAnsi="Courier New" w:cs="Courier New"/>
          <w:color w:val="000000"/>
          <w:sz w:val="24"/>
          <w:szCs w:val="24"/>
        </w:rPr>
        <w:t xml:space="preserve">at the very end of the two-year cohort period, </w:t>
      </w:r>
      <w:r w:rsidRPr="00D140AB">
        <w:rPr>
          <w:rFonts w:ascii="Courier New" w:hAnsi="Courier New" w:cs="Courier New"/>
          <w:color w:val="000000"/>
          <w:sz w:val="24"/>
          <w:szCs w:val="24"/>
        </w:rPr>
        <w:t>on June 30, 2012</w:t>
      </w:r>
      <w:r>
        <w:rPr>
          <w:rFonts w:ascii="Courier New" w:hAnsi="Courier New" w:cs="Courier New"/>
          <w:color w:val="000000"/>
          <w:sz w:val="24"/>
          <w:szCs w:val="24"/>
        </w:rPr>
        <w:t xml:space="preserve">, </w:t>
      </w:r>
      <w:r w:rsidRPr="00D140AB">
        <w:rPr>
          <w:rFonts w:ascii="Courier New" w:hAnsi="Courier New" w:cs="Courier New"/>
          <w:color w:val="000000"/>
          <w:sz w:val="24"/>
          <w:szCs w:val="24"/>
        </w:rPr>
        <w:t xml:space="preserve">and is employed immediately after </w:t>
      </w:r>
      <w:r>
        <w:rPr>
          <w:rFonts w:ascii="Courier New" w:hAnsi="Courier New" w:cs="Courier New"/>
          <w:color w:val="000000"/>
          <w:sz w:val="24"/>
          <w:szCs w:val="24"/>
        </w:rPr>
        <w:t>completing the program</w:t>
      </w:r>
      <w:r w:rsidRPr="00D140AB">
        <w:rPr>
          <w:rFonts w:ascii="Courier New" w:hAnsi="Courier New" w:cs="Courier New"/>
          <w:color w:val="000000"/>
          <w:sz w:val="24"/>
          <w:szCs w:val="24"/>
        </w:rPr>
        <w:t xml:space="preserve"> could be employed for up to 18 months--July 1, 2012 through December 2013--before the year for which earnings data are obtained, and up to 30 months if t</w:t>
      </w:r>
      <w:r>
        <w:rPr>
          <w:rFonts w:ascii="Courier New" w:hAnsi="Courier New" w:cs="Courier New"/>
          <w:color w:val="000000"/>
          <w:sz w:val="24"/>
          <w:szCs w:val="24"/>
        </w:rPr>
        <w:t>he</w:t>
      </w:r>
      <w:r w:rsidRPr="00D140AB">
        <w:rPr>
          <w:rFonts w:ascii="Courier New" w:hAnsi="Courier New" w:cs="Courier New"/>
          <w:color w:val="000000"/>
          <w:sz w:val="24"/>
          <w:szCs w:val="24"/>
        </w:rPr>
        <w:t xml:space="preserve"> earnings year itself is included.  </w:t>
      </w:r>
      <w:r>
        <w:rPr>
          <w:rFonts w:ascii="Courier New" w:hAnsi="Courier New" w:cs="Courier New"/>
          <w:color w:val="000000"/>
          <w:sz w:val="24"/>
          <w:szCs w:val="24"/>
        </w:rPr>
        <w:t>Accordingly</w:t>
      </w:r>
      <w:r w:rsidRPr="00D140AB">
        <w:rPr>
          <w:rFonts w:ascii="Courier New" w:hAnsi="Courier New" w:cs="Courier New"/>
          <w:color w:val="000000"/>
          <w:sz w:val="24"/>
          <w:szCs w:val="24"/>
        </w:rPr>
        <w:t xml:space="preserve">, although </w:t>
      </w:r>
      <w:r>
        <w:rPr>
          <w:rFonts w:ascii="Courier New" w:hAnsi="Courier New" w:cs="Courier New"/>
          <w:color w:val="000000"/>
          <w:sz w:val="24"/>
          <w:szCs w:val="24"/>
        </w:rPr>
        <w:t>in the NPRM we, and</w:t>
      </w:r>
      <w:r w:rsidRPr="00D140AB">
        <w:rPr>
          <w:rFonts w:ascii="Courier New" w:hAnsi="Courier New" w:cs="Courier New"/>
          <w:color w:val="000000"/>
          <w:sz w:val="24"/>
          <w:szCs w:val="24"/>
        </w:rPr>
        <w:t xml:space="preserve"> many of the commenters</w:t>
      </w:r>
      <w:r>
        <w:rPr>
          <w:rFonts w:ascii="Courier New" w:hAnsi="Courier New" w:cs="Courier New"/>
          <w:color w:val="000000"/>
          <w:sz w:val="24"/>
          <w:szCs w:val="24"/>
        </w:rPr>
        <w:t>, referred to</w:t>
      </w:r>
      <w:r w:rsidRPr="00D140AB">
        <w:rPr>
          <w:rFonts w:ascii="Courier New" w:hAnsi="Courier New" w:cs="Courier New"/>
          <w:color w:val="000000"/>
          <w:sz w:val="24"/>
          <w:szCs w:val="24"/>
        </w:rPr>
        <w:t xml:space="preserve"> a three-year employment period, there is a range of possible employment periods for students who complete a program in a two-year cohort period.</w:t>
      </w:r>
    </w:p>
    <w:p w14:paraId="25FE5392" w14:textId="77777777" w:rsidR="00E144CA" w:rsidRPr="00D140AB" w:rsidRDefault="00E144CA" w:rsidP="00E144CA">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Several commenters requested that the Department clarify which year is the “most currently available” year for SSA earnings data in §668.404(c).</w:t>
      </w:r>
    </w:p>
    <w:p w14:paraId="28D8D72A" w14:textId="77777777" w:rsidR="00E144CA" w:rsidRDefault="00E144CA" w:rsidP="00E144CA">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xml:space="preserve">:  The following chart provides the earnings calendar year that corresponds to each award year for which D/E rates will be calculated. </w:t>
      </w:r>
    </w:p>
    <w:p w14:paraId="21C338E8" w14:textId="77777777" w:rsidR="00E144CA" w:rsidRDefault="00E144CA" w:rsidP="00E144CA">
      <w:pPr>
        <w:rPr>
          <w:rFonts w:ascii="Courier New" w:eastAsia="Times New Roman" w:hAnsi="Courier New" w:cs="Courier New"/>
          <w:sz w:val="24"/>
          <w:szCs w:val="24"/>
        </w:rPr>
      </w:pPr>
      <w:r>
        <w:rPr>
          <w:rFonts w:ascii="Courier New" w:eastAsia="Times New Roman" w:hAnsi="Courier New" w:cs="Courier New"/>
          <w:sz w:val="24"/>
          <w:szCs w:val="24"/>
        </w:rPr>
        <w:br w:type="page"/>
      </w:r>
    </w:p>
    <w:tbl>
      <w:tblPr>
        <w:tblW w:w="8680" w:type="dxa"/>
        <w:tblInd w:w="93" w:type="dxa"/>
        <w:tblLook w:val="04A0" w:firstRow="1" w:lastRow="0" w:firstColumn="1" w:lastColumn="0" w:noHBand="0" w:noVBand="1"/>
      </w:tblPr>
      <w:tblGrid>
        <w:gridCol w:w="1369"/>
        <w:gridCol w:w="2003"/>
        <w:gridCol w:w="1327"/>
        <w:gridCol w:w="1327"/>
        <w:gridCol w:w="1327"/>
        <w:gridCol w:w="1327"/>
      </w:tblGrid>
      <w:tr w:rsidR="00E144CA" w:rsidRPr="00C6473E" w14:paraId="14C5FF8F" w14:textId="77777777" w:rsidTr="00FD30B0">
        <w:trPr>
          <w:cantSplit/>
          <w:trHeight w:val="1482"/>
          <w:tblHeader/>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39FFF" w14:textId="77777777" w:rsidR="00E144CA" w:rsidRPr="00C91EDA" w:rsidRDefault="00E144CA" w:rsidP="001168B5">
            <w:pPr>
              <w:rPr>
                <w:rFonts w:ascii="Courier New" w:eastAsia="Times New Roman" w:hAnsi="Courier New" w:cs="Courier New"/>
                <w:sz w:val="20"/>
                <w:szCs w:val="20"/>
              </w:rPr>
            </w:pPr>
            <w:bookmarkStart w:id="1" w:name="RANGE!A3:F24"/>
            <w:r w:rsidRPr="00C91EDA">
              <w:rPr>
                <w:rFonts w:ascii="Courier New" w:eastAsia="Times New Roman" w:hAnsi="Courier New" w:cs="Courier New"/>
                <w:sz w:val="20"/>
                <w:szCs w:val="20"/>
              </w:rPr>
              <w:lastRenderedPageBreak/>
              <w:t> </w:t>
            </w:r>
            <w:bookmarkEnd w:id="1"/>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4D0DF09F"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Award year for which the D/E Rates are calculated</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2AD4EEB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2014-2015</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45D5912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2015-2016</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2D2D8BD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2016-2017</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475B4DD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2017-2018</w:t>
            </w:r>
          </w:p>
        </w:tc>
      </w:tr>
      <w:tr w:rsidR="00E144CA" w:rsidRPr="00C6473E" w14:paraId="55411505" w14:textId="77777777" w:rsidTr="00FD30B0">
        <w:trPr>
          <w:cantSplit/>
          <w:trHeight w:val="162"/>
          <w:tblHeader/>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0AE9CB3F"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2003" w:type="dxa"/>
            <w:tcBorders>
              <w:top w:val="nil"/>
              <w:left w:val="nil"/>
              <w:bottom w:val="single" w:sz="4" w:space="0" w:color="auto"/>
              <w:right w:val="single" w:sz="4" w:space="0" w:color="auto"/>
            </w:tcBorders>
            <w:shd w:val="clear" w:color="auto" w:fill="auto"/>
            <w:vAlign w:val="center"/>
            <w:hideMark/>
          </w:tcPr>
          <w:p w14:paraId="4626EF80"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5EBEE38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5C2ABC2E"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6E821543"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0F76A26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6F87186D" w14:textId="77777777" w:rsidTr="00FD30B0">
        <w:trPr>
          <w:cantSplit/>
          <w:trHeight w:val="499"/>
          <w:tblHeader/>
        </w:trPr>
        <w:tc>
          <w:tcPr>
            <w:tcW w:w="1369" w:type="dxa"/>
            <w:vMerge w:val="restart"/>
            <w:tcBorders>
              <w:top w:val="nil"/>
              <w:left w:val="single" w:sz="4" w:space="0" w:color="auto"/>
              <w:bottom w:val="nil"/>
              <w:right w:val="single" w:sz="4" w:space="0" w:color="auto"/>
            </w:tcBorders>
            <w:shd w:val="clear" w:color="auto" w:fill="auto"/>
            <w:vAlign w:val="center"/>
            <w:hideMark/>
          </w:tcPr>
          <w:p w14:paraId="3CD04539" w14:textId="77777777" w:rsidR="00E144CA" w:rsidRPr="00C91EDA" w:rsidRDefault="00E144CA" w:rsidP="001168B5">
            <w:pPr>
              <w:spacing w:after="0" w:line="240" w:lineRule="auto"/>
              <w:jc w:val="center"/>
              <w:rPr>
                <w:rFonts w:ascii="Courier New" w:eastAsia="Times New Roman" w:hAnsi="Courier New" w:cs="Courier New"/>
                <w:b/>
                <w:bCs/>
                <w:sz w:val="20"/>
                <w:szCs w:val="20"/>
              </w:rPr>
            </w:pPr>
            <w:r w:rsidRPr="00C91EDA">
              <w:rPr>
                <w:rFonts w:ascii="Courier New" w:eastAsia="Times New Roman" w:hAnsi="Courier New" w:cs="Courier New"/>
                <w:b/>
                <w:bCs/>
                <w:sz w:val="20"/>
                <w:szCs w:val="20"/>
              </w:rPr>
              <w:t>Medical and Dental Programs</w:t>
            </w:r>
          </w:p>
        </w:tc>
        <w:tc>
          <w:tcPr>
            <w:tcW w:w="2003" w:type="dxa"/>
            <w:vMerge w:val="restart"/>
            <w:tcBorders>
              <w:top w:val="nil"/>
              <w:left w:val="single" w:sz="4" w:space="0" w:color="auto"/>
              <w:bottom w:val="single" w:sz="4" w:space="0" w:color="auto"/>
              <w:right w:val="single" w:sz="4" w:space="0" w:color="auto"/>
            </w:tcBorders>
            <w:shd w:val="clear" w:color="auto" w:fill="auto"/>
            <w:vAlign w:val="center"/>
            <w:hideMark/>
          </w:tcPr>
          <w:p w14:paraId="1CFC5E78"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xml:space="preserve">Two-Year Cohort Period </w:t>
            </w:r>
          </w:p>
        </w:tc>
        <w:tc>
          <w:tcPr>
            <w:tcW w:w="1327" w:type="dxa"/>
            <w:tcBorders>
              <w:top w:val="nil"/>
              <w:left w:val="nil"/>
              <w:bottom w:val="single" w:sz="4" w:space="0" w:color="auto"/>
              <w:right w:val="single" w:sz="4" w:space="0" w:color="auto"/>
            </w:tcBorders>
            <w:shd w:val="clear" w:color="auto" w:fill="auto"/>
            <w:noWrap/>
            <w:vAlign w:val="center"/>
            <w:hideMark/>
          </w:tcPr>
          <w:p w14:paraId="18C0F55E"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2007-2008</w:t>
            </w:r>
          </w:p>
        </w:tc>
        <w:tc>
          <w:tcPr>
            <w:tcW w:w="1327" w:type="dxa"/>
            <w:tcBorders>
              <w:top w:val="nil"/>
              <w:left w:val="nil"/>
              <w:bottom w:val="single" w:sz="4" w:space="0" w:color="auto"/>
              <w:right w:val="single" w:sz="4" w:space="0" w:color="auto"/>
            </w:tcBorders>
            <w:shd w:val="clear" w:color="auto" w:fill="auto"/>
            <w:noWrap/>
            <w:vAlign w:val="center"/>
            <w:hideMark/>
          </w:tcPr>
          <w:p w14:paraId="3D91CD79"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2008-2009</w:t>
            </w:r>
          </w:p>
        </w:tc>
        <w:tc>
          <w:tcPr>
            <w:tcW w:w="1327" w:type="dxa"/>
            <w:tcBorders>
              <w:top w:val="nil"/>
              <w:left w:val="nil"/>
              <w:bottom w:val="single" w:sz="4" w:space="0" w:color="auto"/>
              <w:right w:val="single" w:sz="4" w:space="0" w:color="auto"/>
            </w:tcBorders>
            <w:shd w:val="clear" w:color="auto" w:fill="auto"/>
            <w:noWrap/>
            <w:vAlign w:val="center"/>
            <w:hideMark/>
          </w:tcPr>
          <w:p w14:paraId="1D8468E3"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c>
          <w:tcPr>
            <w:tcW w:w="1327" w:type="dxa"/>
            <w:tcBorders>
              <w:top w:val="nil"/>
              <w:left w:val="nil"/>
              <w:bottom w:val="single" w:sz="4" w:space="0" w:color="auto"/>
              <w:right w:val="single" w:sz="4" w:space="0" w:color="auto"/>
            </w:tcBorders>
            <w:shd w:val="clear" w:color="auto" w:fill="auto"/>
            <w:noWrap/>
            <w:vAlign w:val="center"/>
            <w:hideMark/>
          </w:tcPr>
          <w:p w14:paraId="7BB87C5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r>
      <w:tr w:rsidR="00E144CA" w:rsidRPr="00C6473E" w14:paraId="3FF43FE9" w14:textId="77777777" w:rsidTr="00FD30B0">
        <w:trPr>
          <w:cantSplit/>
          <w:trHeight w:val="600"/>
          <w:tblHeader/>
        </w:trPr>
        <w:tc>
          <w:tcPr>
            <w:tcW w:w="1369" w:type="dxa"/>
            <w:vMerge/>
            <w:tcBorders>
              <w:top w:val="nil"/>
              <w:left w:val="single" w:sz="4" w:space="0" w:color="auto"/>
              <w:bottom w:val="nil"/>
              <w:right w:val="single" w:sz="4" w:space="0" w:color="auto"/>
            </w:tcBorders>
            <w:vAlign w:val="center"/>
            <w:hideMark/>
          </w:tcPr>
          <w:p w14:paraId="2CC1137F"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0615B965"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center"/>
            <w:hideMark/>
          </w:tcPr>
          <w:p w14:paraId="0A760B65"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2008-2009</w:t>
            </w:r>
          </w:p>
        </w:tc>
        <w:tc>
          <w:tcPr>
            <w:tcW w:w="1327" w:type="dxa"/>
            <w:tcBorders>
              <w:top w:val="nil"/>
              <w:left w:val="nil"/>
              <w:bottom w:val="single" w:sz="4" w:space="0" w:color="auto"/>
              <w:right w:val="single" w:sz="4" w:space="0" w:color="auto"/>
            </w:tcBorders>
            <w:shd w:val="clear" w:color="auto" w:fill="auto"/>
            <w:noWrap/>
            <w:vAlign w:val="center"/>
            <w:hideMark/>
          </w:tcPr>
          <w:p w14:paraId="6D9FE1E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c>
          <w:tcPr>
            <w:tcW w:w="1327" w:type="dxa"/>
            <w:tcBorders>
              <w:top w:val="nil"/>
              <w:left w:val="nil"/>
              <w:bottom w:val="single" w:sz="4" w:space="0" w:color="auto"/>
              <w:right w:val="single" w:sz="4" w:space="0" w:color="auto"/>
            </w:tcBorders>
            <w:shd w:val="clear" w:color="auto" w:fill="auto"/>
            <w:noWrap/>
            <w:vAlign w:val="center"/>
            <w:hideMark/>
          </w:tcPr>
          <w:p w14:paraId="29AA4E4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c>
          <w:tcPr>
            <w:tcW w:w="1327" w:type="dxa"/>
            <w:tcBorders>
              <w:top w:val="nil"/>
              <w:left w:val="nil"/>
              <w:bottom w:val="single" w:sz="4" w:space="0" w:color="auto"/>
              <w:right w:val="single" w:sz="4" w:space="0" w:color="auto"/>
            </w:tcBorders>
            <w:shd w:val="clear" w:color="auto" w:fill="auto"/>
            <w:noWrap/>
            <w:vAlign w:val="center"/>
            <w:hideMark/>
          </w:tcPr>
          <w:p w14:paraId="058AFC0D"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r>
      <w:tr w:rsidR="00E144CA" w:rsidRPr="00C6473E" w14:paraId="3DBA592B" w14:textId="77777777" w:rsidTr="00FD30B0">
        <w:trPr>
          <w:cantSplit/>
          <w:trHeight w:val="162"/>
          <w:tblHeader/>
        </w:trPr>
        <w:tc>
          <w:tcPr>
            <w:tcW w:w="1369" w:type="dxa"/>
            <w:vMerge/>
            <w:tcBorders>
              <w:top w:val="nil"/>
              <w:left w:val="single" w:sz="4" w:space="0" w:color="auto"/>
              <w:bottom w:val="nil"/>
              <w:right w:val="single" w:sz="4" w:space="0" w:color="auto"/>
            </w:tcBorders>
            <w:vAlign w:val="center"/>
            <w:hideMark/>
          </w:tcPr>
          <w:p w14:paraId="1844A889"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tcBorders>
              <w:top w:val="nil"/>
              <w:left w:val="nil"/>
              <w:bottom w:val="single" w:sz="4" w:space="0" w:color="auto"/>
              <w:right w:val="single" w:sz="4" w:space="0" w:color="auto"/>
            </w:tcBorders>
            <w:shd w:val="clear" w:color="auto" w:fill="auto"/>
            <w:vAlign w:val="center"/>
            <w:hideMark/>
          </w:tcPr>
          <w:p w14:paraId="1D024FE9"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7CC063B3"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7BBDC3D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3A0FB64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07CF7B5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5D74AFAB" w14:textId="77777777" w:rsidTr="00FD30B0">
        <w:trPr>
          <w:cantSplit/>
          <w:trHeight w:val="300"/>
          <w:tblHeader/>
        </w:trPr>
        <w:tc>
          <w:tcPr>
            <w:tcW w:w="1369" w:type="dxa"/>
            <w:vMerge/>
            <w:tcBorders>
              <w:top w:val="nil"/>
              <w:left w:val="single" w:sz="4" w:space="0" w:color="auto"/>
              <w:bottom w:val="nil"/>
              <w:right w:val="single" w:sz="4" w:space="0" w:color="auto"/>
            </w:tcBorders>
            <w:vAlign w:val="center"/>
            <w:hideMark/>
          </w:tcPr>
          <w:p w14:paraId="30FBADCC"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val="restart"/>
            <w:tcBorders>
              <w:top w:val="nil"/>
              <w:left w:val="single" w:sz="4" w:space="0" w:color="auto"/>
              <w:bottom w:val="single" w:sz="4" w:space="0" w:color="auto"/>
              <w:right w:val="single" w:sz="4" w:space="0" w:color="auto"/>
            </w:tcBorders>
            <w:shd w:val="clear" w:color="auto" w:fill="auto"/>
            <w:vAlign w:val="center"/>
            <w:hideMark/>
          </w:tcPr>
          <w:p w14:paraId="42474985"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xml:space="preserve">Four-Year Cohort Period </w:t>
            </w:r>
          </w:p>
        </w:tc>
        <w:tc>
          <w:tcPr>
            <w:tcW w:w="2654" w:type="dxa"/>
            <w:gridSpan w:val="2"/>
            <w:vMerge w:val="restart"/>
            <w:tcBorders>
              <w:top w:val="single" w:sz="4" w:space="0" w:color="auto"/>
              <w:left w:val="single" w:sz="4" w:space="0" w:color="auto"/>
              <w:bottom w:val="single" w:sz="4" w:space="0" w:color="000000"/>
              <w:right w:val="single" w:sz="4" w:space="0" w:color="000000"/>
            </w:tcBorders>
            <w:shd w:val="thinDiagCross" w:color="000000" w:fill="auto"/>
            <w:noWrap/>
            <w:vAlign w:val="center"/>
            <w:hideMark/>
          </w:tcPr>
          <w:p w14:paraId="43DC480F"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74C551F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2007-2008</w:t>
            </w:r>
          </w:p>
        </w:tc>
        <w:tc>
          <w:tcPr>
            <w:tcW w:w="1327" w:type="dxa"/>
            <w:tcBorders>
              <w:top w:val="nil"/>
              <w:left w:val="nil"/>
              <w:bottom w:val="single" w:sz="4" w:space="0" w:color="auto"/>
              <w:right w:val="single" w:sz="4" w:space="0" w:color="auto"/>
            </w:tcBorders>
            <w:shd w:val="clear" w:color="auto" w:fill="auto"/>
            <w:noWrap/>
            <w:vAlign w:val="center"/>
            <w:hideMark/>
          </w:tcPr>
          <w:p w14:paraId="50E788B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2008-2009</w:t>
            </w:r>
          </w:p>
        </w:tc>
      </w:tr>
      <w:tr w:rsidR="00E144CA" w:rsidRPr="00C6473E" w14:paraId="29EA3109" w14:textId="77777777" w:rsidTr="00FD30B0">
        <w:trPr>
          <w:cantSplit/>
          <w:trHeight w:val="315"/>
          <w:tblHeader/>
        </w:trPr>
        <w:tc>
          <w:tcPr>
            <w:tcW w:w="1369" w:type="dxa"/>
            <w:vMerge/>
            <w:tcBorders>
              <w:top w:val="nil"/>
              <w:left w:val="single" w:sz="4" w:space="0" w:color="auto"/>
              <w:bottom w:val="nil"/>
              <w:right w:val="single" w:sz="4" w:space="0" w:color="auto"/>
            </w:tcBorders>
            <w:vAlign w:val="center"/>
            <w:hideMark/>
          </w:tcPr>
          <w:p w14:paraId="60840F22"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4545674A"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2654" w:type="dxa"/>
            <w:gridSpan w:val="2"/>
            <w:vMerge/>
            <w:tcBorders>
              <w:top w:val="single" w:sz="4" w:space="0" w:color="auto"/>
              <w:left w:val="single" w:sz="4" w:space="0" w:color="auto"/>
              <w:bottom w:val="single" w:sz="4" w:space="0" w:color="000000"/>
              <w:right w:val="single" w:sz="4" w:space="0" w:color="000000"/>
            </w:tcBorders>
            <w:vAlign w:val="center"/>
            <w:hideMark/>
          </w:tcPr>
          <w:p w14:paraId="129856DB"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14:paraId="7948C248"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2008-2009</w:t>
            </w:r>
          </w:p>
        </w:tc>
        <w:tc>
          <w:tcPr>
            <w:tcW w:w="1327" w:type="dxa"/>
            <w:tcBorders>
              <w:top w:val="nil"/>
              <w:left w:val="nil"/>
              <w:bottom w:val="single" w:sz="4" w:space="0" w:color="auto"/>
              <w:right w:val="single" w:sz="4" w:space="0" w:color="auto"/>
            </w:tcBorders>
            <w:shd w:val="clear" w:color="auto" w:fill="auto"/>
            <w:noWrap/>
            <w:vAlign w:val="bottom"/>
            <w:hideMark/>
          </w:tcPr>
          <w:p w14:paraId="7752433B"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r>
      <w:tr w:rsidR="00E144CA" w:rsidRPr="00C6473E" w14:paraId="53434E03" w14:textId="77777777" w:rsidTr="00FD30B0">
        <w:trPr>
          <w:cantSplit/>
          <w:trHeight w:val="315"/>
          <w:tblHeader/>
        </w:trPr>
        <w:tc>
          <w:tcPr>
            <w:tcW w:w="1369" w:type="dxa"/>
            <w:vMerge/>
            <w:tcBorders>
              <w:top w:val="nil"/>
              <w:left w:val="single" w:sz="4" w:space="0" w:color="auto"/>
              <w:bottom w:val="nil"/>
              <w:right w:val="single" w:sz="4" w:space="0" w:color="auto"/>
            </w:tcBorders>
            <w:vAlign w:val="center"/>
            <w:hideMark/>
          </w:tcPr>
          <w:p w14:paraId="1867F0D3"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668E9E39"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2654" w:type="dxa"/>
            <w:gridSpan w:val="2"/>
            <w:vMerge/>
            <w:tcBorders>
              <w:top w:val="single" w:sz="4" w:space="0" w:color="auto"/>
              <w:left w:val="single" w:sz="4" w:space="0" w:color="auto"/>
              <w:bottom w:val="single" w:sz="4" w:space="0" w:color="000000"/>
              <w:right w:val="single" w:sz="4" w:space="0" w:color="000000"/>
            </w:tcBorders>
            <w:vAlign w:val="center"/>
            <w:hideMark/>
          </w:tcPr>
          <w:p w14:paraId="0858ED2B"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14:paraId="568F32C8"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c>
          <w:tcPr>
            <w:tcW w:w="1327" w:type="dxa"/>
            <w:tcBorders>
              <w:top w:val="nil"/>
              <w:left w:val="nil"/>
              <w:bottom w:val="single" w:sz="4" w:space="0" w:color="auto"/>
              <w:right w:val="single" w:sz="4" w:space="0" w:color="auto"/>
            </w:tcBorders>
            <w:shd w:val="clear" w:color="auto" w:fill="auto"/>
            <w:noWrap/>
            <w:vAlign w:val="bottom"/>
            <w:hideMark/>
          </w:tcPr>
          <w:p w14:paraId="4E9C0A48"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r>
      <w:tr w:rsidR="00E144CA" w:rsidRPr="00C6473E" w14:paraId="796B5EAC" w14:textId="77777777" w:rsidTr="00FD30B0">
        <w:trPr>
          <w:cantSplit/>
          <w:trHeight w:val="402"/>
          <w:tblHeader/>
        </w:trPr>
        <w:tc>
          <w:tcPr>
            <w:tcW w:w="1369" w:type="dxa"/>
            <w:vMerge/>
            <w:tcBorders>
              <w:top w:val="nil"/>
              <w:left w:val="single" w:sz="4" w:space="0" w:color="auto"/>
              <w:bottom w:val="nil"/>
              <w:right w:val="single" w:sz="4" w:space="0" w:color="auto"/>
            </w:tcBorders>
            <w:vAlign w:val="center"/>
            <w:hideMark/>
          </w:tcPr>
          <w:p w14:paraId="5814AB78"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2C030764"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2654" w:type="dxa"/>
            <w:gridSpan w:val="2"/>
            <w:vMerge/>
            <w:tcBorders>
              <w:top w:val="single" w:sz="4" w:space="0" w:color="auto"/>
              <w:left w:val="single" w:sz="4" w:space="0" w:color="auto"/>
              <w:bottom w:val="single" w:sz="4" w:space="0" w:color="000000"/>
              <w:right w:val="single" w:sz="4" w:space="0" w:color="000000"/>
            </w:tcBorders>
            <w:vAlign w:val="center"/>
            <w:hideMark/>
          </w:tcPr>
          <w:p w14:paraId="0B3F5748"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bottom"/>
            <w:hideMark/>
          </w:tcPr>
          <w:p w14:paraId="1804115E"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c>
          <w:tcPr>
            <w:tcW w:w="1327" w:type="dxa"/>
            <w:tcBorders>
              <w:top w:val="nil"/>
              <w:left w:val="nil"/>
              <w:bottom w:val="single" w:sz="4" w:space="0" w:color="auto"/>
              <w:right w:val="single" w:sz="4" w:space="0" w:color="auto"/>
            </w:tcBorders>
            <w:shd w:val="clear" w:color="auto" w:fill="auto"/>
            <w:noWrap/>
            <w:vAlign w:val="bottom"/>
            <w:hideMark/>
          </w:tcPr>
          <w:p w14:paraId="6F1AFD1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r>
      <w:tr w:rsidR="00E144CA" w:rsidRPr="00C6473E" w14:paraId="29EAF50D" w14:textId="77777777" w:rsidTr="00FD30B0">
        <w:trPr>
          <w:cantSplit/>
          <w:trHeight w:val="162"/>
          <w:tblHeader/>
        </w:trPr>
        <w:tc>
          <w:tcPr>
            <w:tcW w:w="1369" w:type="dxa"/>
            <w:vMerge/>
            <w:tcBorders>
              <w:top w:val="nil"/>
              <w:left w:val="single" w:sz="4" w:space="0" w:color="auto"/>
              <w:bottom w:val="nil"/>
              <w:right w:val="single" w:sz="4" w:space="0" w:color="auto"/>
            </w:tcBorders>
            <w:vAlign w:val="center"/>
            <w:hideMark/>
          </w:tcPr>
          <w:p w14:paraId="271BE319"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tcBorders>
              <w:top w:val="nil"/>
              <w:left w:val="nil"/>
              <w:bottom w:val="nil"/>
              <w:right w:val="single" w:sz="4" w:space="0" w:color="auto"/>
            </w:tcBorders>
            <w:shd w:val="clear" w:color="auto" w:fill="auto"/>
            <w:vAlign w:val="center"/>
            <w:hideMark/>
          </w:tcPr>
          <w:p w14:paraId="73E3FE3C"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nil"/>
            </w:tcBorders>
            <w:shd w:val="clear" w:color="auto" w:fill="auto"/>
            <w:noWrap/>
            <w:vAlign w:val="bottom"/>
            <w:hideMark/>
          </w:tcPr>
          <w:p w14:paraId="0C9D40EE" w14:textId="77777777" w:rsidR="00E144CA" w:rsidRPr="00C91EDA" w:rsidRDefault="00E144CA" w:rsidP="001168B5">
            <w:pPr>
              <w:spacing w:after="0" w:line="240" w:lineRule="auto"/>
              <w:jc w:val="center"/>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1327" w:type="dxa"/>
            <w:tcBorders>
              <w:top w:val="nil"/>
              <w:left w:val="nil"/>
              <w:bottom w:val="single" w:sz="4" w:space="0" w:color="auto"/>
              <w:right w:val="nil"/>
            </w:tcBorders>
            <w:shd w:val="clear" w:color="auto" w:fill="auto"/>
            <w:noWrap/>
            <w:vAlign w:val="bottom"/>
            <w:hideMark/>
          </w:tcPr>
          <w:p w14:paraId="07D0AB21" w14:textId="77777777" w:rsidR="00E144CA" w:rsidRPr="00C91EDA" w:rsidRDefault="00E144CA" w:rsidP="001168B5">
            <w:pPr>
              <w:spacing w:after="0" w:line="240" w:lineRule="auto"/>
              <w:jc w:val="center"/>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1327" w:type="dxa"/>
            <w:tcBorders>
              <w:top w:val="nil"/>
              <w:left w:val="nil"/>
              <w:bottom w:val="single" w:sz="4" w:space="0" w:color="auto"/>
              <w:right w:val="nil"/>
            </w:tcBorders>
            <w:shd w:val="clear" w:color="auto" w:fill="auto"/>
            <w:noWrap/>
            <w:vAlign w:val="bottom"/>
            <w:hideMark/>
          </w:tcPr>
          <w:p w14:paraId="6B41BB18"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bottom"/>
            <w:hideMark/>
          </w:tcPr>
          <w:p w14:paraId="53B38B1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2BFBC048" w14:textId="77777777" w:rsidTr="00FD30B0">
        <w:trPr>
          <w:cantSplit/>
          <w:trHeight w:val="162"/>
          <w:tblHeader/>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35C7C073" w14:textId="77777777" w:rsidR="00E144CA" w:rsidRPr="00C91EDA" w:rsidRDefault="00E144CA" w:rsidP="001168B5">
            <w:pPr>
              <w:spacing w:after="0" w:line="240" w:lineRule="auto"/>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2003" w:type="dxa"/>
            <w:tcBorders>
              <w:top w:val="nil"/>
              <w:left w:val="nil"/>
              <w:bottom w:val="single" w:sz="4" w:space="0" w:color="auto"/>
              <w:right w:val="single" w:sz="4" w:space="0" w:color="auto"/>
            </w:tcBorders>
            <w:shd w:val="clear" w:color="auto" w:fill="auto"/>
            <w:vAlign w:val="center"/>
            <w:hideMark/>
          </w:tcPr>
          <w:p w14:paraId="4B2ED59E" w14:textId="77777777" w:rsidR="00E144CA" w:rsidRPr="00C91EDA" w:rsidRDefault="00E144CA" w:rsidP="001168B5">
            <w:pPr>
              <w:spacing w:after="0" w:line="240" w:lineRule="auto"/>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1327" w:type="dxa"/>
            <w:tcBorders>
              <w:top w:val="nil"/>
              <w:left w:val="nil"/>
              <w:bottom w:val="single" w:sz="4" w:space="0" w:color="auto"/>
              <w:right w:val="nil"/>
            </w:tcBorders>
            <w:shd w:val="clear" w:color="auto" w:fill="auto"/>
            <w:vAlign w:val="center"/>
            <w:hideMark/>
          </w:tcPr>
          <w:p w14:paraId="5EC5E012"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vAlign w:val="center"/>
            <w:hideMark/>
          </w:tcPr>
          <w:p w14:paraId="6831EBED"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vAlign w:val="center"/>
            <w:hideMark/>
          </w:tcPr>
          <w:p w14:paraId="5E34D7A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vAlign w:val="center"/>
            <w:hideMark/>
          </w:tcPr>
          <w:p w14:paraId="2C4346B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41E13B96" w14:textId="77777777" w:rsidTr="00FD30B0">
        <w:trPr>
          <w:cantSplit/>
          <w:trHeight w:val="559"/>
          <w:tblHeader/>
        </w:trPr>
        <w:tc>
          <w:tcPr>
            <w:tcW w:w="1369" w:type="dxa"/>
            <w:vMerge w:val="restart"/>
            <w:tcBorders>
              <w:top w:val="nil"/>
              <w:left w:val="single" w:sz="4" w:space="0" w:color="auto"/>
              <w:bottom w:val="nil"/>
              <w:right w:val="single" w:sz="4" w:space="0" w:color="auto"/>
            </w:tcBorders>
            <w:shd w:val="clear" w:color="auto" w:fill="auto"/>
            <w:vAlign w:val="center"/>
            <w:hideMark/>
          </w:tcPr>
          <w:p w14:paraId="740C44AC" w14:textId="77777777" w:rsidR="00E144CA" w:rsidRPr="00C91EDA" w:rsidRDefault="00E144CA" w:rsidP="001168B5">
            <w:pPr>
              <w:spacing w:after="0" w:line="240" w:lineRule="auto"/>
              <w:jc w:val="center"/>
              <w:rPr>
                <w:rFonts w:ascii="Courier New" w:eastAsia="Times New Roman" w:hAnsi="Courier New" w:cs="Courier New"/>
                <w:b/>
                <w:bCs/>
                <w:sz w:val="20"/>
                <w:szCs w:val="20"/>
              </w:rPr>
            </w:pPr>
            <w:r w:rsidRPr="00C91EDA">
              <w:rPr>
                <w:rFonts w:ascii="Courier New" w:eastAsia="Times New Roman" w:hAnsi="Courier New" w:cs="Courier New"/>
                <w:b/>
                <w:bCs/>
                <w:sz w:val="20"/>
                <w:szCs w:val="20"/>
              </w:rPr>
              <w:t>All Other GE Programs</w:t>
            </w:r>
          </w:p>
        </w:tc>
        <w:tc>
          <w:tcPr>
            <w:tcW w:w="2003" w:type="dxa"/>
            <w:vMerge w:val="restart"/>
            <w:tcBorders>
              <w:top w:val="nil"/>
              <w:left w:val="single" w:sz="4" w:space="0" w:color="auto"/>
              <w:bottom w:val="single" w:sz="4" w:space="0" w:color="auto"/>
              <w:right w:val="single" w:sz="4" w:space="0" w:color="auto"/>
            </w:tcBorders>
            <w:shd w:val="clear" w:color="auto" w:fill="auto"/>
            <w:vAlign w:val="center"/>
            <w:hideMark/>
          </w:tcPr>
          <w:p w14:paraId="15B3755F"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Two-Year Cohort Period</w:t>
            </w:r>
            <w:r w:rsidRPr="00C91EDA">
              <w:rPr>
                <w:rFonts w:ascii="Courier New" w:eastAsia="Times New Roman" w:hAnsi="Courier New" w:cs="Courier New"/>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20AA6CCB"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xml:space="preserve">2010-2011 </w:t>
            </w:r>
          </w:p>
        </w:tc>
        <w:tc>
          <w:tcPr>
            <w:tcW w:w="1327" w:type="dxa"/>
            <w:tcBorders>
              <w:top w:val="nil"/>
              <w:left w:val="nil"/>
              <w:bottom w:val="single" w:sz="4" w:space="0" w:color="auto"/>
              <w:right w:val="single" w:sz="4" w:space="0" w:color="auto"/>
            </w:tcBorders>
            <w:shd w:val="clear" w:color="auto" w:fill="auto"/>
            <w:noWrap/>
            <w:vAlign w:val="center"/>
            <w:hideMark/>
          </w:tcPr>
          <w:p w14:paraId="451C72D3"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c>
          <w:tcPr>
            <w:tcW w:w="1327" w:type="dxa"/>
            <w:tcBorders>
              <w:top w:val="nil"/>
              <w:left w:val="nil"/>
              <w:bottom w:val="single" w:sz="4" w:space="0" w:color="auto"/>
              <w:right w:val="single" w:sz="4" w:space="0" w:color="auto"/>
            </w:tcBorders>
            <w:shd w:val="clear" w:color="auto" w:fill="auto"/>
            <w:noWrap/>
            <w:vAlign w:val="center"/>
            <w:hideMark/>
          </w:tcPr>
          <w:p w14:paraId="6F6DE2A3"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2012-2013</w:t>
            </w:r>
          </w:p>
        </w:tc>
        <w:tc>
          <w:tcPr>
            <w:tcW w:w="1327" w:type="dxa"/>
            <w:tcBorders>
              <w:top w:val="nil"/>
              <w:left w:val="nil"/>
              <w:bottom w:val="single" w:sz="4" w:space="0" w:color="auto"/>
              <w:right w:val="single" w:sz="4" w:space="0" w:color="auto"/>
            </w:tcBorders>
            <w:shd w:val="clear" w:color="auto" w:fill="auto"/>
            <w:noWrap/>
            <w:vAlign w:val="center"/>
            <w:hideMark/>
          </w:tcPr>
          <w:p w14:paraId="659C8D2F"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2013-2014</w:t>
            </w:r>
          </w:p>
        </w:tc>
      </w:tr>
      <w:tr w:rsidR="00E144CA" w:rsidRPr="00C6473E" w14:paraId="4B832C85" w14:textId="77777777" w:rsidTr="00FD30B0">
        <w:trPr>
          <w:cantSplit/>
          <w:trHeight w:val="780"/>
          <w:tblHeader/>
        </w:trPr>
        <w:tc>
          <w:tcPr>
            <w:tcW w:w="1369" w:type="dxa"/>
            <w:vMerge/>
            <w:tcBorders>
              <w:top w:val="nil"/>
              <w:left w:val="single" w:sz="4" w:space="0" w:color="auto"/>
              <w:bottom w:val="nil"/>
              <w:right w:val="single" w:sz="4" w:space="0" w:color="auto"/>
            </w:tcBorders>
            <w:vAlign w:val="center"/>
            <w:hideMark/>
          </w:tcPr>
          <w:p w14:paraId="78B7B877"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3B2C984E"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center"/>
            <w:hideMark/>
          </w:tcPr>
          <w:p w14:paraId="38DBB18B"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c>
          <w:tcPr>
            <w:tcW w:w="1327" w:type="dxa"/>
            <w:tcBorders>
              <w:top w:val="nil"/>
              <w:left w:val="nil"/>
              <w:bottom w:val="single" w:sz="4" w:space="0" w:color="auto"/>
              <w:right w:val="single" w:sz="4" w:space="0" w:color="auto"/>
            </w:tcBorders>
            <w:shd w:val="clear" w:color="auto" w:fill="auto"/>
            <w:noWrap/>
            <w:vAlign w:val="center"/>
            <w:hideMark/>
          </w:tcPr>
          <w:p w14:paraId="5F36E6BA"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2012-2013</w:t>
            </w:r>
          </w:p>
        </w:tc>
        <w:tc>
          <w:tcPr>
            <w:tcW w:w="1327" w:type="dxa"/>
            <w:tcBorders>
              <w:top w:val="nil"/>
              <w:left w:val="nil"/>
              <w:bottom w:val="single" w:sz="4" w:space="0" w:color="auto"/>
              <w:right w:val="single" w:sz="4" w:space="0" w:color="auto"/>
            </w:tcBorders>
            <w:shd w:val="clear" w:color="auto" w:fill="auto"/>
            <w:noWrap/>
            <w:vAlign w:val="center"/>
            <w:hideMark/>
          </w:tcPr>
          <w:p w14:paraId="583E677A"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2013-2014</w:t>
            </w:r>
          </w:p>
        </w:tc>
        <w:tc>
          <w:tcPr>
            <w:tcW w:w="1327" w:type="dxa"/>
            <w:tcBorders>
              <w:top w:val="nil"/>
              <w:left w:val="nil"/>
              <w:bottom w:val="single" w:sz="4" w:space="0" w:color="auto"/>
              <w:right w:val="single" w:sz="4" w:space="0" w:color="auto"/>
            </w:tcBorders>
            <w:shd w:val="clear" w:color="auto" w:fill="auto"/>
            <w:noWrap/>
            <w:vAlign w:val="center"/>
            <w:hideMark/>
          </w:tcPr>
          <w:p w14:paraId="6D14A176"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2014-2015</w:t>
            </w:r>
          </w:p>
        </w:tc>
      </w:tr>
      <w:tr w:rsidR="00E144CA" w:rsidRPr="00C6473E" w14:paraId="118C9E97" w14:textId="77777777" w:rsidTr="00FD30B0">
        <w:trPr>
          <w:cantSplit/>
          <w:trHeight w:val="162"/>
          <w:tblHeader/>
        </w:trPr>
        <w:tc>
          <w:tcPr>
            <w:tcW w:w="1369" w:type="dxa"/>
            <w:vMerge/>
            <w:tcBorders>
              <w:top w:val="nil"/>
              <w:left w:val="single" w:sz="4" w:space="0" w:color="auto"/>
              <w:bottom w:val="nil"/>
              <w:right w:val="single" w:sz="4" w:space="0" w:color="auto"/>
            </w:tcBorders>
            <w:vAlign w:val="center"/>
            <w:hideMark/>
          </w:tcPr>
          <w:p w14:paraId="024FBF84"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tcBorders>
              <w:top w:val="nil"/>
              <w:left w:val="nil"/>
              <w:bottom w:val="single" w:sz="4" w:space="0" w:color="auto"/>
              <w:right w:val="nil"/>
            </w:tcBorders>
            <w:shd w:val="clear" w:color="auto" w:fill="auto"/>
            <w:vAlign w:val="center"/>
            <w:hideMark/>
          </w:tcPr>
          <w:p w14:paraId="4872CC39"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7711730F"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7377FACF"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5CDDDAD9"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46219637" w14:textId="77777777" w:rsidR="00E144CA" w:rsidRPr="00C91EDA" w:rsidRDefault="00E144CA" w:rsidP="001168B5">
            <w:pPr>
              <w:spacing w:after="0" w:line="240" w:lineRule="auto"/>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05DE4DA4" w14:textId="77777777" w:rsidTr="00FD30B0">
        <w:trPr>
          <w:cantSplit/>
          <w:trHeight w:val="315"/>
          <w:tblHeader/>
        </w:trPr>
        <w:tc>
          <w:tcPr>
            <w:tcW w:w="1369" w:type="dxa"/>
            <w:vMerge/>
            <w:tcBorders>
              <w:top w:val="nil"/>
              <w:left w:val="single" w:sz="4" w:space="0" w:color="auto"/>
              <w:bottom w:val="nil"/>
              <w:right w:val="single" w:sz="4" w:space="0" w:color="auto"/>
            </w:tcBorders>
            <w:vAlign w:val="center"/>
            <w:hideMark/>
          </w:tcPr>
          <w:p w14:paraId="5AACBBD4"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val="restart"/>
            <w:tcBorders>
              <w:top w:val="nil"/>
              <w:left w:val="single" w:sz="4" w:space="0" w:color="auto"/>
              <w:bottom w:val="single" w:sz="4" w:space="0" w:color="auto"/>
              <w:right w:val="single" w:sz="4" w:space="0" w:color="auto"/>
            </w:tcBorders>
            <w:shd w:val="clear" w:color="auto" w:fill="auto"/>
            <w:vAlign w:val="center"/>
            <w:hideMark/>
          </w:tcPr>
          <w:p w14:paraId="2FAE9DF7"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Four-Year Cohort Period</w:t>
            </w:r>
          </w:p>
        </w:tc>
        <w:tc>
          <w:tcPr>
            <w:tcW w:w="1327" w:type="dxa"/>
            <w:tcBorders>
              <w:top w:val="nil"/>
              <w:left w:val="nil"/>
              <w:bottom w:val="single" w:sz="4" w:space="0" w:color="auto"/>
              <w:right w:val="single" w:sz="4" w:space="0" w:color="auto"/>
            </w:tcBorders>
            <w:shd w:val="clear" w:color="auto" w:fill="auto"/>
            <w:noWrap/>
            <w:vAlign w:val="center"/>
            <w:hideMark/>
          </w:tcPr>
          <w:p w14:paraId="58EEE06D"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2008-2009</w:t>
            </w:r>
          </w:p>
        </w:tc>
        <w:tc>
          <w:tcPr>
            <w:tcW w:w="1327" w:type="dxa"/>
            <w:tcBorders>
              <w:top w:val="nil"/>
              <w:left w:val="nil"/>
              <w:bottom w:val="single" w:sz="4" w:space="0" w:color="auto"/>
              <w:right w:val="single" w:sz="4" w:space="0" w:color="auto"/>
            </w:tcBorders>
            <w:shd w:val="clear" w:color="auto" w:fill="auto"/>
            <w:noWrap/>
            <w:vAlign w:val="center"/>
            <w:hideMark/>
          </w:tcPr>
          <w:p w14:paraId="5F248B5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c>
          <w:tcPr>
            <w:tcW w:w="1327" w:type="dxa"/>
            <w:tcBorders>
              <w:top w:val="nil"/>
              <w:left w:val="nil"/>
              <w:bottom w:val="single" w:sz="4" w:space="0" w:color="auto"/>
              <w:right w:val="single" w:sz="4" w:space="0" w:color="auto"/>
            </w:tcBorders>
            <w:shd w:val="clear" w:color="auto" w:fill="auto"/>
            <w:noWrap/>
            <w:vAlign w:val="center"/>
            <w:hideMark/>
          </w:tcPr>
          <w:p w14:paraId="1801747A"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c>
          <w:tcPr>
            <w:tcW w:w="1327" w:type="dxa"/>
            <w:tcBorders>
              <w:top w:val="nil"/>
              <w:left w:val="nil"/>
              <w:bottom w:val="single" w:sz="4" w:space="0" w:color="auto"/>
              <w:right w:val="single" w:sz="4" w:space="0" w:color="auto"/>
            </w:tcBorders>
            <w:shd w:val="clear" w:color="auto" w:fill="auto"/>
            <w:noWrap/>
            <w:vAlign w:val="center"/>
            <w:hideMark/>
          </w:tcPr>
          <w:p w14:paraId="0ADE1BD4"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r>
      <w:tr w:rsidR="00E144CA" w:rsidRPr="00C6473E" w14:paraId="538A9A32" w14:textId="77777777" w:rsidTr="00FD30B0">
        <w:trPr>
          <w:cantSplit/>
          <w:trHeight w:val="315"/>
          <w:tblHeader/>
        </w:trPr>
        <w:tc>
          <w:tcPr>
            <w:tcW w:w="1369" w:type="dxa"/>
            <w:vMerge/>
            <w:tcBorders>
              <w:top w:val="nil"/>
              <w:left w:val="single" w:sz="4" w:space="0" w:color="auto"/>
              <w:bottom w:val="nil"/>
              <w:right w:val="single" w:sz="4" w:space="0" w:color="auto"/>
            </w:tcBorders>
            <w:vAlign w:val="center"/>
            <w:hideMark/>
          </w:tcPr>
          <w:p w14:paraId="3C5533D7"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2BB29FD7"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center"/>
            <w:hideMark/>
          </w:tcPr>
          <w:p w14:paraId="7EAAC1A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2009-2010</w:t>
            </w:r>
          </w:p>
        </w:tc>
        <w:tc>
          <w:tcPr>
            <w:tcW w:w="1327" w:type="dxa"/>
            <w:tcBorders>
              <w:top w:val="nil"/>
              <w:left w:val="nil"/>
              <w:bottom w:val="single" w:sz="4" w:space="0" w:color="auto"/>
              <w:right w:val="single" w:sz="4" w:space="0" w:color="auto"/>
            </w:tcBorders>
            <w:shd w:val="clear" w:color="auto" w:fill="auto"/>
            <w:noWrap/>
            <w:vAlign w:val="center"/>
            <w:hideMark/>
          </w:tcPr>
          <w:p w14:paraId="77D55AD2"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c>
          <w:tcPr>
            <w:tcW w:w="1327" w:type="dxa"/>
            <w:tcBorders>
              <w:top w:val="nil"/>
              <w:left w:val="nil"/>
              <w:bottom w:val="single" w:sz="4" w:space="0" w:color="auto"/>
              <w:right w:val="single" w:sz="4" w:space="0" w:color="auto"/>
            </w:tcBorders>
            <w:shd w:val="clear" w:color="auto" w:fill="auto"/>
            <w:noWrap/>
            <w:vAlign w:val="center"/>
            <w:hideMark/>
          </w:tcPr>
          <w:p w14:paraId="4F0A1B0E"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c>
          <w:tcPr>
            <w:tcW w:w="1327" w:type="dxa"/>
            <w:tcBorders>
              <w:top w:val="nil"/>
              <w:left w:val="nil"/>
              <w:bottom w:val="single" w:sz="4" w:space="0" w:color="auto"/>
              <w:right w:val="single" w:sz="4" w:space="0" w:color="auto"/>
            </w:tcBorders>
            <w:shd w:val="clear" w:color="auto" w:fill="auto"/>
            <w:noWrap/>
            <w:vAlign w:val="center"/>
            <w:hideMark/>
          </w:tcPr>
          <w:p w14:paraId="51BCD029"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2012-2013</w:t>
            </w:r>
          </w:p>
        </w:tc>
      </w:tr>
      <w:tr w:rsidR="00E144CA" w:rsidRPr="00C6473E" w14:paraId="4CB84036" w14:textId="77777777" w:rsidTr="00FD30B0">
        <w:trPr>
          <w:cantSplit/>
          <w:trHeight w:val="315"/>
          <w:tblHeader/>
        </w:trPr>
        <w:tc>
          <w:tcPr>
            <w:tcW w:w="1369" w:type="dxa"/>
            <w:vMerge/>
            <w:tcBorders>
              <w:top w:val="nil"/>
              <w:left w:val="single" w:sz="4" w:space="0" w:color="auto"/>
              <w:bottom w:val="nil"/>
              <w:right w:val="single" w:sz="4" w:space="0" w:color="auto"/>
            </w:tcBorders>
            <w:vAlign w:val="center"/>
            <w:hideMark/>
          </w:tcPr>
          <w:p w14:paraId="074A6030"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4B58B3C1"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center"/>
            <w:hideMark/>
          </w:tcPr>
          <w:p w14:paraId="24F4D44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2010-2011</w:t>
            </w:r>
          </w:p>
        </w:tc>
        <w:tc>
          <w:tcPr>
            <w:tcW w:w="1327" w:type="dxa"/>
            <w:tcBorders>
              <w:top w:val="nil"/>
              <w:left w:val="nil"/>
              <w:bottom w:val="single" w:sz="4" w:space="0" w:color="auto"/>
              <w:right w:val="single" w:sz="4" w:space="0" w:color="auto"/>
            </w:tcBorders>
            <w:shd w:val="clear" w:color="auto" w:fill="auto"/>
            <w:noWrap/>
            <w:vAlign w:val="center"/>
            <w:hideMark/>
          </w:tcPr>
          <w:p w14:paraId="5F8131A3"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c>
          <w:tcPr>
            <w:tcW w:w="1327" w:type="dxa"/>
            <w:tcBorders>
              <w:top w:val="nil"/>
              <w:left w:val="nil"/>
              <w:bottom w:val="single" w:sz="4" w:space="0" w:color="auto"/>
              <w:right w:val="single" w:sz="4" w:space="0" w:color="auto"/>
            </w:tcBorders>
            <w:shd w:val="clear" w:color="auto" w:fill="auto"/>
            <w:noWrap/>
            <w:vAlign w:val="center"/>
            <w:hideMark/>
          </w:tcPr>
          <w:p w14:paraId="7A5A25B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2012-2013</w:t>
            </w:r>
          </w:p>
        </w:tc>
        <w:tc>
          <w:tcPr>
            <w:tcW w:w="1327" w:type="dxa"/>
            <w:tcBorders>
              <w:top w:val="nil"/>
              <w:left w:val="nil"/>
              <w:bottom w:val="single" w:sz="4" w:space="0" w:color="auto"/>
              <w:right w:val="single" w:sz="4" w:space="0" w:color="auto"/>
            </w:tcBorders>
            <w:shd w:val="clear" w:color="auto" w:fill="auto"/>
            <w:noWrap/>
            <w:vAlign w:val="center"/>
            <w:hideMark/>
          </w:tcPr>
          <w:p w14:paraId="6F66903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2013-2014</w:t>
            </w:r>
          </w:p>
        </w:tc>
      </w:tr>
      <w:tr w:rsidR="00E144CA" w:rsidRPr="00C6473E" w14:paraId="0CF109B6" w14:textId="77777777" w:rsidTr="00FD30B0">
        <w:trPr>
          <w:cantSplit/>
          <w:trHeight w:val="342"/>
          <w:tblHeader/>
        </w:trPr>
        <w:tc>
          <w:tcPr>
            <w:tcW w:w="1369" w:type="dxa"/>
            <w:vMerge/>
            <w:tcBorders>
              <w:top w:val="nil"/>
              <w:left w:val="single" w:sz="4" w:space="0" w:color="auto"/>
              <w:bottom w:val="nil"/>
              <w:right w:val="single" w:sz="4" w:space="0" w:color="auto"/>
            </w:tcBorders>
            <w:vAlign w:val="center"/>
            <w:hideMark/>
          </w:tcPr>
          <w:p w14:paraId="53843F8B"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vMerge/>
            <w:tcBorders>
              <w:top w:val="nil"/>
              <w:left w:val="single" w:sz="4" w:space="0" w:color="auto"/>
              <w:bottom w:val="single" w:sz="4" w:space="0" w:color="auto"/>
              <w:right w:val="single" w:sz="4" w:space="0" w:color="auto"/>
            </w:tcBorders>
            <w:vAlign w:val="center"/>
            <w:hideMark/>
          </w:tcPr>
          <w:p w14:paraId="13868EDE" w14:textId="77777777" w:rsidR="00E144CA" w:rsidRPr="00C91EDA" w:rsidRDefault="00E144CA" w:rsidP="001168B5">
            <w:pPr>
              <w:spacing w:after="0" w:line="240" w:lineRule="auto"/>
              <w:rPr>
                <w:rFonts w:ascii="Courier New" w:eastAsia="Times New Roman" w:hAnsi="Courier New" w:cs="Courier New"/>
                <w:b/>
                <w:bCs/>
                <w:color w:val="000000"/>
                <w:sz w:val="20"/>
                <w:szCs w:val="20"/>
              </w:rPr>
            </w:pPr>
          </w:p>
        </w:tc>
        <w:tc>
          <w:tcPr>
            <w:tcW w:w="1327" w:type="dxa"/>
            <w:tcBorders>
              <w:top w:val="nil"/>
              <w:left w:val="nil"/>
              <w:bottom w:val="single" w:sz="4" w:space="0" w:color="auto"/>
              <w:right w:val="single" w:sz="4" w:space="0" w:color="auto"/>
            </w:tcBorders>
            <w:shd w:val="clear" w:color="auto" w:fill="auto"/>
            <w:noWrap/>
            <w:vAlign w:val="center"/>
            <w:hideMark/>
          </w:tcPr>
          <w:p w14:paraId="2C23862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2011-2012</w:t>
            </w:r>
          </w:p>
        </w:tc>
        <w:tc>
          <w:tcPr>
            <w:tcW w:w="1327" w:type="dxa"/>
            <w:tcBorders>
              <w:top w:val="nil"/>
              <w:left w:val="nil"/>
              <w:bottom w:val="single" w:sz="4" w:space="0" w:color="auto"/>
              <w:right w:val="single" w:sz="4" w:space="0" w:color="auto"/>
            </w:tcBorders>
            <w:shd w:val="clear" w:color="auto" w:fill="auto"/>
            <w:noWrap/>
            <w:vAlign w:val="center"/>
            <w:hideMark/>
          </w:tcPr>
          <w:p w14:paraId="69DF810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2012-2013</w:t>
            </w:r>
          </w:p>
        </w:tc>
        <w:tc>
          <w:tcPr>
            <w:tcW w:w="1327" w:type="dxa"/>
            <w:tcBorders>
              <w:top w:val="nil"/>
              <w:left w:val="nil"/>
              <w:bottom w:val="single" w:sz="4" w:space="0" w:color="auto"/>
              <w:right w:val="single" w:sz="4" w:space="0" w:color="auto"/>
            </w:tcBorders>
            <w:shd w:val="clear" w:color="auto" w:fill="auto"/>
            <w:noWrap/>
            <w:vAlign w:val="center"/>
            <w:hideMark/>
          </w:tcPr>
          <w:p w14:paraId="3E64EB97"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2013-2014</w:t>
            </w:r>
          </w:p>
        </w:tc>
        <w:tc>
          <w:tcPr>
            <w:tcW w:w="1327" w:type="dxa"/>
            <w:tcBorders>
              <w:top w:val="nil"/>
              <w:left w:val="nil"/>
              <w:bottom w:val="single" w:sz="4" w:space="0" w:color="auto"/>
              <w:right w:val="single" w:sz="4" w:space="0" w:color="auto"/>
            </w:tcBorders>
            <w:shd w:val="clear" w:color="auto" w:fill="auto"/>
            <w:noWrap/>
            <w:vAlign w:val="center"/>
            <w:hideMark/>
          </w:tcPr>
          <w:p w14:paraId="40AECCBB"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2014-2015</w:t>
            </w:r>
          </w:p>
        </w:tc>
      </w:tr>
      <w:tr w:rsidR="00E144CA" w:rsidRPr="00C6473E" w14:paraId="69CA9258" w14:textId="77777777" w:rsidTr="00FD30B0">
        <w:trPr>
          <w:cantSplit/>
          <w:trHeight w:val="162"/>
          <w:tblHeader/>
        </w:trPr>
        <w:tc>
          <w:tcPr>
            <w:tcW w:w="1369" w:type="dxa"/>
            <w:vMerge/>
            <w:tcBorders>
              <w:top w:val="nil"/>
              <w:left w:val="single" w:sz="4" w:space="0" w:color="auto"/>
              <w:bottom w:val="nil"/>
              <w:right w:val="single" w:sz="4" w:space="0" w:color="auto"/>
            </w:tcBorders>
            <w:vAlign w:val="center"/>
            <w:hideMark/>
          </w:tcPr>
          <w:p w14:paraId="160E548D" w14:textId="77777777" w:rsidR="00E144CA" w:rsidRPr="00C91EDA" w:rsidRDefault="00E144CA" w:rsidP="001168B5">
            <w:pPr>
              <w:spacing w:after="0" w:line="240" w:lineRule="auto"/>
              <w:rPr>
                <w:rFonts w:ascii="Courier New" w:eastAsia="Times New Roman" w:hAnsi="Courier New" w:cs="Courier New"/>
                <w:b/>
                <w:bCs/>
                <w:sz w:val="20"/>
                <w:szCs w:val="20"/>
              </w:rPr>
            </w:pPr>
          </w:p>
        </w:tc>
        <w:tc>
          <w:tcPr>
            <w:tcW w:w="2003" w:type="dxa"/>
            <w:tcBorders>
              <w:top w:val="nil"/>
              <w:left w:val="nil"/>
              <w:bottom w:val="single" w:sz="4" w:space="0" w:color="auto"/>
              <w:right w:val="nil"/>
            </w:tcBorders>
            <w:shd w:val="clear" w:color="auto" w:fill="auto"/>
            <w:vAlign w:val="center"/>
            <w:hideMark/>
          </w:tcPr>
          <w:p w14:paraId="3ECE5900"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0D391C2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62FAFFFA"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nil"/>
            </w:tcBorders>
            <w:shd w:val="clear" w:color="auto" w:fill="auto"/>
            <w:noWrap/>
            <w:vAlign w:val="center"/>
            <w:hideMark/>
          </w:tcPr>
          <w:p w14:paraId="523B0FE8"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3EDE1B5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58D39935" w14:textId="77777777" w:rsidTr="00FD30B0">
        <w:trPr>
          <w:cantSplit/>
          <w:trHeight w:val="70"/>
          <w:tblHeader/>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1B5D2259" w14:textId="77777777" w:rsidR="00E144CA" w:rsidRPr="00C91EDA" w:rsidRDefault="00E144CA" w:rsidP="001168B5">
            <w:pPr>
              <w:spacing w:after="0" w:line="240" w:lineRule="auto"/>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2003" w:type="dxa"/>
            <w:tcBorders>
              <w:top w:val="nil"/>
              <w:left w:val="nil"/>
              <w:right w:val="single" w:sz="4" w:space="0" w:color="auto"/>
            </w:tcBorders>
            <w:shd w:val="clear" w:color="auto" w:fill="auto"/>
            <w:vAlign w:val="center"/>
            <w:hideMark/>
          </w:tcPr>
          <w:p w14:paraId="5EFB64C8" w14:textId="77777777" w:rsidR="00E144CA" w:rsidRPr="00C91EDA" w:rsidRDefault="00E144CA" w:rsidP="001168B5">
            <w:pPr>
              <w:spacing w:after="0" w:line="240" w:lineRule="auto"/>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1327" w:type="dxa"/>
            <w:tcBorders>
              <w:top w:val="nil"/>
              <w:left w:val="nil"/>
              <w:right w:val="single" w:sz="4" w:space="0" w:color="auto"/>
            </w:tcBorders>
            <w:shd w:val="clear" w:color="auto" w:fill="auto"/>
            <w:vAlign w:val="center"/>
            <w:hideMark/>
          </w:tcPr>
          <w:p w14:paraId="6D562C30"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right w:val="single" w:sz="4" w:space="0" w:color="auto"/>
            </w:tcBorders>
            <w:shd w:val="clear" w:color="auto" w:fill="auto"/>
            <w:vAlign w:val="center"/>
            <w:hideMark/>
          </w:tcPr>
          <w:p w14:paraId="1DEA1DFB"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right w:val="single" w:sz="4" w:space="0" w:color="auto"/>
            </w:tcBorders>
            <w:shd w:val="clear" w:color="auto" w:fill="auto"/>
            <w:vAlign w:val="center"/>
            <w:hideMark/>
          </w:tcPr>
          <w:p w14:paraId="398CF96E"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c>
          <w:tcPr>
            <w:tcW w:w="1327" w:type="dxa"/>
            <w:tcBorders>
              <w:top w:val="nil"/>
              <w:left w:val="nil"/>
              <w:right w:val="single" w:sz="4" w:space="0" w:color="auto"/>
            </w:tcBorders>
            <w:shd w:val="clear" w:color="auto" w:fill="auto"/>
            <w:vAlign w:val="center"/>
            <w:hideMark/>
          </w:tcPr>
          <w:p w14:paraId="7049C33B"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 </w:t>
            </w:r>
          </w:p>
        </w:tc>
      </w:tr>
      <w:tr w:rsidR="00E144CA" w:rsidRPr="00C6473E" w14:paraId="02435DEE" w14:textId="77777777" w:rsidTr="00FD30B0">
        <w:trPr>
          <w:cantSplit/>
          <w:trHeight w:val="1242"/>
          <w:tblHeader/>
        </w:trPr>
        <w:tc>
          <w:tcPr>
            <w:tcW w:w="136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A959F3" w14:textId="77777777" w:rsidR="00E144CA" w:rsidRPr="00C91EDA" w:rsidRDefault="00E144CA" w:rsidP="001168B5">
            <w:pPr>
              <w:spacing w:after="0" w:line="240" w:lineRule="auto"/>
              <w:rPr>
                <w:rFonts w:ascii="Courier New" w:eastAsia="Times New Roman" w:hAnsi="Courier New" w:cs="Courier New"/>
                <w:sz w:val="20"/>
                <w:szCs w:val="20"/>
              </w:rPr>
            </w:pPr>
            <w:r w:rsidRPr="00C91EDA">
              <w:rPr>
                <w:rFonts w:ascii="Courier New" w:eastAsia="Times New Roman" w:hAnsi="Courier New" w:cs="Courier New"/>
                <w:sz w:val="20"/>
                <w:szCs w:val="20"/>
              </w:rPr>
              <w:t> </w:t>
            </w:r>
          </w:p>
        </w:tc>
        <w:tc>
          <w:tcPr>
            <w:tcW w:w="2003" w:type="dxa"/>
            <w:tcBorders>
              <w:top w:val="nil"/>
              <w:left w:val="nil"/>
              <w:bottom w:val="single" w:sz="4" w:space="0" w:color="auto"/>
              <w:right w:val="single" w:sz="4" w:space="0" w:color="auto"/>
            </w:tcBorders>
            <w:shd w:val="clear" w:color="auto" w:fill="auto"/>
            <w:vAlign w:val="center"/>
            <w:hideMark/>
          </w:tcPr>
          <w:p w14:paraId="23EC94FF" w14:textId="77777777" w:rsidR="00E144CA" w:rsidRPr="00C91EDA" w:rsidRDefault="00E144CA" w:rsidP="001168B5">
            <w:pPr>
              <w:spacing w:after="0" w:line="240" w:lineRule="auto"/>
              <w:jc w:val="center"/>
              <w:rPr>
                <w:rFonts w:ascii="Courier New" w:eastAsia="Times New Roman" w:hAnsi="Courier New" w:cs="Courier New"/>
                <w:b/>
                <w:bCs/>
                <w:color w:val="000000"/>
                <w:sz w:val="20"/>
                <w:szCs w:val="20"/>
              </w:rPr>
            </w:pPr>
            <w:r w:rsidRPr="00C91EDA">
              <w:rPr>
                <w:rFonts w:ascii="Courier New" w:eastAsia="Times New Roman" w:hAnsi="Courier New" w:cs="Courier New"/>
                <w:b/>
                <w:bCs/>
                <w:color w:val="000000"/>
                <w:sz w:val="20"/>
                <w:szCs w:val="20"/>
              </w:rPr>
              <w:t>SSA Earnings Year (Jan. 1-Dec. 31)</w:t>
            </w:r>
          </w:p>
        </w:tc>
        <w:tc>
          <w:tcPr>
            <w:tcW w:w="1327" w:type="dxa"/>
            <w:tcBorders>
              <w:top w:val="nil"/>
              <w:left w:val="nil"/>
              <w:bottom w:val="single" w:sz="4" w:space="0" w:color="auto"/>
              <w:right w:val="single" w:sz="4" w:space="0" w:color="auto"/>
            </w:tcBorders>
            <w:shd w:val="clear" w:color="auto" w:fill="auto"/>
            <w:noWrap/>
            <w:vAlign w:val="center"/>
            <w:hideMark/>
          </w:tcPr>
          <w:p w14:paraId="461CCCAF"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2014</w:t>
            </w:r>
          </w:p>
        </w:tc>
        <w:tc>
          <w:tcPr>
            <w:tcW w:w="1327" w:type="dxa"/>
            <w:tcBorders>
              <w:top w:val="nil"/>
              <w:left w:val="nil"/>
              <w:bottom w:val="single" w:sz="4" w:space="0" w:color="auto"/>
              <w:right w:val="single" w:sz="4" w:space="0" w:color="auto"/>
            </w:tcBorders>
            <w:shd w:val="clear" w:color="auto" w:fill="auto"/>
            <w:noWrap/>
            <w:vAlign w:val="center"/>
            <w:hideMark/>
          </w:tcPr>
          <w:p w14:paraId="59E52B71"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2015</w:t>
            </w:r>
          </w:p>
        </w:tc>
        <w:tc>
          <w:tcPr>
            <w:tcW w:w="1327" w:type="dxa"/>
            <w:tcBorders>
              <w:top w:val="nil"/>
              <w:left w:val="nil"/>
              <w:bottom w:val="single" w:sz="4" w:space="0" w:color="auto"/>
              <w:right w:val="single" w:sz="4" w:space="0" w:color="auto"/>
            </w:tcBorders>
            <w:shd w:val="clear" w:color="auto" w:fill="auto"/>
            <w:noWrap/>
            <w:vAlign w:val="center"/>
            <w:hideMark/>
          </w:tcPr>
          <w:p w14:paraId="47C06E09"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2016</w:t>
            </w:r>
          </w:p>
        </w:tc>
        <w:tc>
          <w:tcPr>
            <w:tcW w:w="1327" w:type="dxa"/>
            <w:tcBorders>
              <w:top w:val="nil"/>
              <w:left w:val="nil"/>
              <w:bottom w:val="single" w:sz="4" w:space="0" w:color="auto"/>
              <w:right w:val="single" w:sz="4" w:space="0" w:color="auto"/>
            </w:tcBorders>
            <w:shd w:val="clear" w:color="auto" w:fill="auto"/>
            <w:noWrap/>
            <w:vAlign w:val="center"/>
            <w:hideMark/>
          </w:tcPr>
          <w:p w14:paraId="3C4A1CE5"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2017</w:t>
            </w:r>
          </w:p>
        </w:tc>
      </w:tr>
      <w:tr w:rsidR="00E144CA" w:rsidRPr="00C6473E" w14:paraId="09D63446" w14:textId="77777777" w:rsidTr="00FD30B0">
        <w:trPr>
          <w:cantSplit/>
          <w:trHeight w:val="2640"/>
          <w:tblHeader/>
        </w:trPr>
        <w:tc>
          <w:tcPr>
            <w:tcW w:w="1369" w:type="dxa"/>
            <w:vMerge/>
            <w:tcBorders>
              <w:top w:val="nil"/>
              <w:left w:val="single" w:sz="4" w:space="0" w:color="auto"/>
              <w:bottom w:val="single" w:sz="4" w:space="0" w:color="auto"/>
              <w:right w:val="single" w:sz="4" w:space="0" w:color="auto"/>
            </w:tcBorders>
            <w:vAlign w:val="center"/>
            <w:hideMark/>
          </w:tcPr>
          <w:p w14:paraId="6D7713AD" w14:textId="77777777" w:rsidR="00E144CA" w:rsidRPr="00C91EDA" w:rsidRDefault="00E144CA" w:rsidP="001168B5">
            <w:pPr>
              <w:spacing w:after="0" w:line="240" w:lineRule="auto"/>
              <w:rPr>
                <w:rFonts w:ascii="Courier New" w:eastAsia="Times New Roman" w:hAnsi="Courier New" w:cs="Courier New"/>
                <w:sz w:val="20"/>
                <w:szCs w:val="20"/>
              </w:rPr>
            </w:pP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0C3AD81A" w14:textId="77777777" w:rsidR="00E144CA" w:rsidRPr="00C91EDA" w:rsidRDefault="00E144CA" w:rsidP="001168B5">
            <w:pPr>
              <w:spacing w:after="0" w:line="240" w:lineRule="auto"/>
              <w:jc w:val="center"/>
              <w:rPr>
                <w:rFonts w:ascii="Courier New" w:eastAsia="Times New Roman" w:hAnsi="Courier New" w:cs="Courier New"/>
                <w:bCs/>
                <w:color w:val="000000"/>
                <w:sz w:val="20"/>
                <w:szCs w:val="20"/>
              </w:rPr>
            </w:pPr>
            <w:r w:rsidRPr="00C91EDA">
              <w:rPr>
                <w:rFonts w:ascii="Courier New" w:eastAsia="Times New Roman" w:hAnsi="Courier New" w:cs="Courier New"/>
                <w:bCs/>
                <w:color w:val="000000"/>
                <w:sz w:val="20"/>
                <w:szCs w:val="20"/>
              </w:rPr>
              <w:t>Department Receives Mean and Median Earnings from SSA (anticipated dates)</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4881186A"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Feb. 2016</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1B92727A"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Feb. 2017</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5C3E6F3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Feb. 2018</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623E447C" w14:textId="77777777" w:rsidR="00E144CA" w:rsidRPr="00C91EDA" w:rsidRDefault="00E144CA" w:rsidP="001168B5">
            <w:pPr>
              <w:spacing w:after="0" w:line="240" w:lineRule="auto"/>
              <w:jc w:val="center"/>
              <w:rPr>
                <w:rFonts w:ascii="Courier New" w:eastAsia="Times New Roman" w:hAnsi="Courier New" w:cs="Courier New"/>
                <w:color w:val="000000"/>
                <w:sz w:val="20"/>
                <w:szCs w:val="20"/>
              </w:rPr>
            </w:pPr>
            <w:r w:rsidRPr="00C91EDA">
              <w:rPr>
                <w:rFonts w:ascii="Courier New" w:eastAsia="Times New Roman" w:hAnsi="Courier New" w:cs="Courier New"/>
                <w:color w:val="000000"/>
                <w:sz w:val="20"/>
                <w:szCs w:val="20"/>
              </w:rPr>
              <w:t>Feb. 2019</w:t>
            </w:r>
          </w:p>
        </w:tc>
      </w:tr>
    </w:tbl>
    <w:p w14:paraId="79A01221" w14:textId="77777777" w:rsidR="00E144CA" w:rsidRDefault="00E144CA" w:rsidP="00E144CA">
      <w:pPr>
        <w:spacing w:after="0" w:line="480" w:lineRule="auto"/>
        <w:ind w:left="720"/>
        <w:rPr>
          <w:rFonts w:ascii="Courier New" w:eastAsia="Times New Roman" w:hAnsi="Courier New" w:cs="Courier New"/>
          <w:sz w:val="24"/>
          <w:szCs w:val="24"/>
          <w:u w:val="single"/>
        </w:rPr>
      </w:pPr>
    </w:p>
    <w:p w14:paraId="0CE47EBE" w14:textId="77777777" w:rsidR="00E144CA" w:rsidRPr="00D140AB" w:rsidRDefault="00E144CA" w:rsidP="00E144CA">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lastRenderedPageBreak/>
        <w:t>Changes</w:t>
      </w:r>
      <w:r w:rsidRPr="00D140AB">
        <w:rPr>
          <w:rFonts w:ascii="Courier New" w:eastAsia="Times New Roman" w:hAnsi="Courier New" w:cs="Courier New"/>
          <w:sz w:val="24"/>
          <w:szCs w:val="24"/>
        </w:rPr>
        <w:t>:  None.</w:t>
      </w:r>
    </w:p>
    <w:p w14:paraId="34DEF127" w14:textId="77777777" w:rsidR="00E144CA" w:rsidRPr="00D140AB" w:rsidRDefault="00E144CA" w:rsidP="00E144CA">
      <w:pPr>
        <w:spacing w:after="0" w:line="480" w:lineRule="auto"/>
        <w:rPr>
          <w:rFonts w:ascii="Courier New" w:hAnsi="Courier New" w:cs="Courier New"/>
          <w:color w:val="000000"/>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Commenters raised various concerns </w:t>
      </w:r>
      <w:r w:rsidRPr="00D140AB">
        <w:rPr>
          <w:rFonts w:ascii="Courier New" w:hAnsi="Courier New" w:cs="Courier New"/>
          <w:color w:val="000000"/>
          <w:sz w:val="24"/>
          <w:szCs w:val="24"/>
        </w:rPr>
        <w:t xml:space="preserve">regarding the definition of the “two-year cohort period.”  </w:t>
      </w:r>
    </w:p>
    <w:p w14:paraId="67D62C7F" w14:textId="77777777" w:rsidR="00E144CA" w:rsidRPr="00D140AB" w:rsidRDefault="00E144CA" w:rsidP="00E144CA">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Some commenters believed that evaluating earnings after three years is arbitrary, will lead to underestimating how much borrowing is reasonable for education, and will not adequately account for the long-term benefits of completing a program.  These commenters asserted that many students experience substantial increases in earnings later in their careers as they gain experience or various licensures, and that using earnings after only three years would therefore understate the value of the program.  Similarly, some commenters asserted that many individuals experience significant income fluctuations in the initial years of their careers. </w:t>
      </w:r>
    </w:p>
    <w:p w14:paraId="1E760158" w14:textId="22D2E34A" w:rsidR="00E144CA" w:rsidRPr="00D140AB" w:rsidRDefault="00E144CA" w:rsidP="00E144CA">
      <w:pPr>
        <w:spacing w:after="0" w:line="480" w:lineRule="auto"/>
        <w:rPr>
          <w:rFonts w:ascii="Courier New" w:eastAsia="SimSun" w:hAnsi="Courier New" w:cs="Courier New"/>
          <w:sz w:val="24"/>
          <w:szCs w:val="24"/>
          <w:u w:val="single"/>
        </w:rPr>
      </w:pPr>
      <w:r>
        <w:rPr>
          <w:rFonts w:ascii="Courier New" w:eastAsia="SimSun" w:hAnsi="Courier New" w:cs="Courier New"/>
          <w:sz w:val="24"/>
          <w:szCs w:val="24"/>
        </w:rPr>
        <w:t xml:space="preserve">     Some</w:t>
      </w:r>
      <w:r w:rsidRPr="00D140AB">
        <w:rPr>
          <w:rFonts w:ascii="Courier New" w:eastAsia="SimSun" w:hAnsi="Courier New" w:cs="Courier New"/>
          <w:sz w:val="24"/>
          <w:szCs w:val="24"/>
        </w:rPr>
        <w:t xml:space="preserve"> commenters expressed concern that evaluating programs using graduates’ earnings three years after graduation will cause institutions to stop offering programs with strong long-term salary growth potential but with low starting salaries.  Along these lines, other commenters believed that this approach</w:t>
      </w:r>
      <w:r w:rsidRPr="00D140AB" w:rsidDel="00C2158D">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will lead institutions to offer a disproportionate number of programs in higher-paying fields like business and information technology rather than programs in less lucrative fields like teaching and nursing.  To address these concerns, several commenters recommended modifying the proposed regulations to </w:t>
      </w:r>
      <w:r w:rsidRPr="00D140AB">
        <w:rPr>
          <w:rFonts w:ascii="Courier New" w:eastAsia="SimSun" w:hAnsi="Courier New" w:cs="Courier New"/>
          <w:sz w:val="24"/>
          <w:szCs w:val="24"/>
        </w:rPr>
        <w:lastRenderedPageBreak/>
        <w:t xml:space="preserve">evaluate programs based on graduates’ earnings at a later time in their careers.  The commenters suggested different points in time that would be appropriate, varying from three to </w:t>
      </w:r>
      <w:r>
        <w:rPr>
          <w:rFonts w:ascii="Courier New" w:eastAsia="SimSun" w:hAnsi="Courier New" w:cs="Courier New"/>
          <w:sz w:val="24"/>
          <w:szCs w:val="24"/>
        </w:rPr>
        <w:t>10</w:t>
      </w:r>
      <w:r w:rsidRPr="00D140AB">
        <w:rPr>
          <w:rFonts w:ascii="Courier New" w:eastAsia="SimSun" w:hAnsi="Courier New" w:cs="Courier New"/>
          <w:sz w:val="24"/>
          <w:szCs w:val="24"/>
        </w:rPr>
        <w:t xml:space="preserve"> years after completion.  Other commenters recommended using a rolling average of graduates’ earnings over several years, rather than a snapshot at three years.</w:t>
      </w:r>
      <w:r w:rsidRPr="00D140AB">
        <w:rPr>
          <w:rFonts w:ascii="Courier New" w:eastAsia="SimSun" w:hAnsi="Courier New" w:cs="Courier New"/>
          <w:sz w:val="24"/>
          <w:szCs w:val="24"/>
          <w:u w:val="single"/>
        </w:rPr>
        <w:t xml:space="preserve"> </w:t>
      </w:r>
    </w:p>
    <w:p w14:paraId="301E5474" w14:textId="0F6660AF" w:rsidR="00E144CA" w:rsidRPr="00D140AB" w:rsidRDefault="00E144CA" w:rsidP="00E144CA">
      <w:pPr>
        <w:spacing w:after="0" w:line="480" w:lineRule="auto"/>
        <w:rPr>
          <w:rFonts w:ascii="Courier New" w:hAnsi="Courier New" w:cs="Courier New"/>
          <w:color w:val="000000"/>
          <w:sz w:val="24"/>
          <w:szCs w:val="24"/>
        </w:rPr>
      </w:pPr>
      <w:r>
        <w:rPr>
          <w:rFonts w:ascii="Courier New" w:eastAsia="SimSun" w:hAnsi="Courier New" w:cs="Courier New"/>
          <w:sz w:val="24"/>
          <w:szCs w:val="24"/>
        </w:rPr>
        <w:t xml:space="preserve">     Some</w:t>
      </w:r>
      <w:r w:rsidRPr="00D140AB">
        <w:rPr>
          <w:rFonts w:ascii="Courier New" w:eastAsia="SimSun" w:hAnsi="Courier New" w:cs="Courier New"/>
          <w:sz w:val="24"/>
          <w:szCs w:val="24"/>
        </w:rPr>
        <w:t xml:space="preserve"> commenters </w:t>
      </w:r>
      <w:r>
        <w:rPr>
          <w:rFonts w:ascii="Courier New" w:eastAsia="SimSun" w:hAnsi="Courier New" w:cs="Courier New"/>
          <w:sz w:val="24"/>
          <w:szCs w:val="24"/>
        </w:rPr>
        <w:t>asserted</w:t>
      </w:r>
      <w:r w:rsidRPr="00D140AB">
        <w:rPr>
          <w:rFonts w:ascii="Courier New" w:hAnsi="Courier New" w:cs="Courier New"/>
          <w:color w:val="000000"/>
          <w:sz w:val="24"/>
          <w:szCs w:val="24"/>
        </w:rPr>
        <w:t xml:space="preserve"> that, in some cases, the Department will be obtaining earnings data for graduates who were employed for just 18 months.  They suggested that students’ ultimate earnings, particularly for professional school graduates, would be better reflected by allowing for a longer period after graduation or after the completion of residency training or fellowships for medical or dental school graduates before D/E rates are calculated. </w:t>
      </w:r>
    </w:p>
    <w:p w14:paraId="169AA48F" w14:textId="77777777" w:rsidR="00E144CA" w:rsidRPr="00D140AB" w:rsidRDefault="00E144CA" w:rsidP="00E144CA">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t>
      </w:r>
      <w:r w:rsidRPr="00D140AB">
        <w:rPr>
          <w:rFonts w:ascii="Courier New" w:eastAsia="SimSun" w:hAnsi="Courier New" w:cs="Courier New"/>
          <w:sz w:val="24"/>
          <w:szCs w:val="24"/>
          <w:lang w:eastAsia="zh-CN"/>
        </w:rPr>
        <w:t xml:space="preserve">We believe that measuring earnings for the employment range covered by the two-year cohort period strikes the appropriate balance between providing ample time for students to become employed and increase earnings past entry level and yet not letting so much time pass that the D/E rates are no longer reflective of the current or recent performance of the program.  </w:t>
      </w:r>
    </w:p>
    <w:p w14:paraId="45A7C130" w14:textId="7E5E1198" w:rsidR="00E144CA" w:rsidRPr="00D140AB" w:rsidRDefault="00E144CA"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The D/E rates measure primarily assesses whether the loan debt incurred by students actually “pay[s] dividends in terms of benefits accruing from the </w:t>
      </w:r>
      <w:r w:rsidRPr="00D140AB">
        <w:rPr>
          <w:rFonts w:ascii="Courier New" w:eastAsia="HiddenHorzOCR" w:hAnsi="Courier New" w:cs="Courier New"/>
          <w:sz w:val="24"/>
          <w:szCs w:val="24"/>
          <w:lang w:eastAsia="zh-CN"/>
        </w:rPr>
        <w:t>training stu</w:t>
      </w:r>
      <w:r w:rsidRPr="00D140AB">
        <w:rPr>
          <w:rFonts w:ascii="Courier New" w:eastAsia="SimSun" w:hAnsi="Courier New" w:cs="Courier New"/>
          <w:sz w:val="24"/>
          <w:szCs w:val="24"/>
          <w:lang w:eastAsia="zh-CN"/>
        </w:rPr>
        <w:t xml:space="preserve">dents received,” and </w:t>
      </w:r>
      <w:r w:rsidRPr="00D140AB">
        <w:rPr>
          <w:rFonts w:ascii="Courier New" w:eastAsia="SimSun" w:hAnsi="Courier New" w:cs="Courier New"/>
          <w:sz w:val="24"/>
          <w:szCs w:val="24"/>
          <w:lang w:eastAsia="zh-CN"/>
        </w:rPr>
        <w:lastRenderedPageBreak/>
        <w:t>whether such training has indeed equipped students to earn enough to repay their loans such that they are not unduly burdened.  H.R. Rep. No. 89-308, at 4 (19</w:t>
      </w:r>
      <w:r w:rsidR="0054173F">
        <w:rPr>
          <w:rFonts w:ascii="Courier New" w:eastAsia="SimSun" w:hAnsi="Courier New" w:cs="Courier New"/>
          <w:sz w:val="24"/>
          <w:szCs w:val="24"/>
          <w:lang w:eastAsia="zh-CN"/>
        </w:rPr>
        <w:t>65</w:t>
      </w:r>
      <w:r w:rsidRPr="00D140AB">
        <w:rPr>
          <w:rFonts w:ascii="Courier New" w:eastAsia="SimSun" w:hAnsi="Courier New" w:cs="Courier New"/>
          <w:sz w:val="24"/>
          <w:szCs w:val="24"/>
          <w:lang w:eastAsia="zh-CN"/>
        </w:rPr>
        <w:t xml:space="preserve">); S. Rep. No. 89-758, at 7 (1965).  As discussed in “§668.403  Gainful Employment Program Framework,” high D/E rates indicate </w:t>
      </w:r>
      <w:r>
        <w:rPr>
          <w:rFonts w:ascii="Courier New" w:eastAsia="SimSun" w:hAnsi="Courier New" w:cs="Courier New"/>
          <w:sz w:val="24"/>
          <w:szCs w:val="24"/>
          <w:lang w:eastAsia="zh-CN"/>
        </w:rPr>
        <w:t xml:space="preserve">that the earnings of a program’s graduates are insufficient to allow them to manage their debt.  </w:t>
      </w:r>
      <w:r w:rsidRPr="00D140AB">
        <w:rPr>
          <w:rFonts w:ascii="Courier New" w:eastAsia="SimSun" w:hAnsi="Courier New" w:cs="Courier New"/>
          <w:sz w:val="24"/>
          <w:szCs w:val="24"/>
        </w:rPr>
        <w:t>The longer the Department waits to assess the ability of a cohort of students to repay</w:t>
      </w:r>
      <w:r w:rsidR="000E6297">
        <w:rPr>
          <w:rFonts w:ascii="Courier New" w:eastAsia="SimSun" w:hAnsi="Courier New" w:cs="Courier New"/>
          <w:sz w:val="24"/>
          <w:szCs w:val="24"/>
        </w:rPr>
        <w:t xml:space="preserve"> their loans, the less relevant</w:t>
      </w:r>
      <w:r w:rsidRPr="00D140AB">
        <w:rPr>
          <w:rFonts w:ascii="Courier New" w:eastAsia="SimSun" w:hAnsi="Courier New" w:cs="Courier New"/>
          <w:sz w:val="24"/>
          <w:szCs w:val="24"/>
        </w:rPr>
        <w:t xml:space="preserve"> that assessment becomes for prospective students, and the more likely </w:t>
      </w:r>
      <w:r>
        <w:rPr>
          <w:rFonts w:ascii="Courier New" w:eastAsia="SimSun" w:hAnsi="Courier New" w:cs="Courier New"/>
          <w:sz w:val="24"/>
          <w:szCs w:val="24"/>
        </w:rPr>
        <w:t>it is</w:t>
      </w:r>
      <w:r w:rsidRPr="00D140AB">
        <w:rPr>
          <w:rFonts w:ascii="Courier New" w:eastAsia="SimSun" w:hAnsi="Courier New" w:cs="Courier New"/>
          <w:sz w:val="24"/>
          <w:szCs w:val="24"/>
        </w:rPr>
        <w:t xml:space="preserve"> that new students will attend a program that </w:t>
      </w:r>
      <w:r>
        <w:rPr>
          <w:rFonts w:ascii="Courier New" w:eastAsia="SimSun" w:hAnsi="Courier New" w:cs="Courier New"/>
          <w:sz w:val="24"/>
          <w:szCs w:val="24"/>
        </w:rPr>
        <w:t>is later determined to be ineffective at preparing students for</w:t>
      </w:r>
      <w:r w:rsidRPr="00D140AB">
        <w:rPr>
          <w:rFonts w:ascii="Courier New" w:eastAsia="SimSun" w:hAnsi="Courier New" w:cs="Courier New"/>
          <w:sz w:val="24"/>
          <w:szCs w:val="24"/>
        </w:rPr>
        <w:t xml:space="preserve"> gainful employment. </w:t>
      </w: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Assessing the outcomes of less recent </w:t>
      </w:r>
      <w:r>
        <w:rPr>
          <w:rFonts w:ascii="Courier New" w:eastAsia="SimSun" w:hAnsi="Courier New" w:cs="Courier New"/>
          <w:sz w:val="24"/>
          <w:szCs w:val="24"/>
        </w:rPr>
        <w:t>graduates</w:t>
      </w:r>
      <w:r w:rsidRPr="00D140AB">
        <w:rPr>
          <w:rFonts w:ascii="Courier New" w:eastAsia="SimSun" w:hAnsi="Courier New" w:cs="Courier New"/>
          <w:sz w:val="24"/>
          <w:szCs w:val="24"/>
        </w:rPr>
        <w:t xml:space="preserve"> would also make it more difficult for institutions to improve student and program outcomes under the D/E rates measure as it would take many years before subsequently enrolled students who complete the program would be included in the D/E rates calculation.  </w:t>
      </w:r>
    </w:p>
    <w:p w14:paraId="4FAB33F7" w14:textId="6F7F690C" w:rsidR="00E144CA" w:rsidRPr="00D140AB" w:rsidRDefault="000E6297" w:rsidP="000E629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There is no evidence that relying on earnings during the employment range used in the regulations would actually create the disincentives or result in the harms that commenters suggest.  Specifically, many programs training future nurses, teachers, and other modest-earning professions, as characterized by the commenters, would successfully pass the D/E rates measure.  For example, of the 497 licensed practical/vocational </w:t>
      </w:r>
      <w:r w:rsidR="00E144CA" w:rsidRPr="00D140AB">
        <w:rPr>
          <w:rFonts w:ascii="Courier New" w:eastAsia="SimSun" w:hAnsi="Courier New" w:cs="Courier New"/>
          <w:sz w:val="24"/>
          <w:szCs w:val="24"/>
        </w:rPr>
        <w:lastRenderedPageBreak/>
        <w:t>nurse training programs in the 2012 GE informational D/E rates</w:t>
      </w:r>
      <w:r w:rsidR="00E144CA">
        <w:rPr>
          <w:rFonts w:ascii="Courier New" w:eastAsia="SimSun" w:hAnsi="Courier New" w:cs="Courier New"/>
          <w:sz w:val="24"/>
          <w:szCs w:val="24"/>
        </w:rPr>
        <w:t xml:space="preserve"> data set</w:t>
      </w:r>
      <w:r w:rsidR="00E144CA" w:rsidRPr="00D140AB">
        <w:rPr>
          <w:rFonts w:ascii="Courier New" w:eastAsia="SimSun" w:hAnsi="Courier New" w:cs="Courier New"/>
          <w:sz w:val="24"/>
          <w:szCs w:val="24"/>
        </w:rPr>
        <w:t xml:space="preserve">, 493 (99 percent) passed, 4 (1 percent) fell in the zone, and none of the programs failed.  In addition, of the 113 programs categorized as </w:t>
      </w:r>
      <w:r w:rsidR="00E144CA">
        <w:rPr>
          <w:rFonts w:ascii="Courier New" w:eastAsia="SimSun" w:hAnsi="Courier New" w:cs="Courier New"/>
          <w:sz w:val="24"/>
          <w:szCs w:val="24"/>
        </w:rPr>
        <w:t>e</w:t>
      </w:r>
      <w:r w:rsidR="00E144CA" w:rsidRPr="00D140AB">
        <w:rPr>
          <w:rFonts w:ascii="Courier New" w:eastAsia="SimSun" w:hAnsi="Courier New" w:cs="Courier New"/>
          <w:sz w:val="24"/>
          <w:szCs w:val="24"/>
        </w:rPr>
        <w:t>ducation programs by the two-digit CIP code</w:t>
      </w:r>
      <w:r w:rsidR="00E144CA">
        <w:rPr>
          <w:rFonts w:ascii="Courier New" w:eastAsia="SimSun" w:hAnsi="Courier New" w:cs="Courier New"/>
          <w:sz w:val="24"/>
          <w:szCs w:val="24"/>
        </w:rPr>
        <w:t>,</w:t>
      </w:r>
      <w:r w:rsidR="00E144CA" w:rsidRPr="00D140AB">
        <w:rPr>
          <w:rStyle w:val="FootnoteReference"/>
          <w:rFonts w:ascii="Courier New" w:eastAsia="SimSun" w:hAnsi="Courier New" w:cs="Courier New"/>
          <w:sz w:val="24"/>
          <w:szCs w:val="24"/>
        </w:rPr>
        <w:footnoteReference w:id="134"/>
      </w:r>
      <w:r w:rsidR="00E144CA" w:rsidRPr="00D140AB">
        <w:rPr>
          <w:rFonts w:ascii="Courier New" w:eastAsia="SimSun" w:hAnsi="Courier New" w:cs="Courier New"/>
          <w:sz w:val="24"/>
          <w:szCs w:val="24"/>
        </w:rPr>
        <w:t xml:space="preserve"> 109 (96 percent) passed, 3 (3 percent) were in the zone, and only 1 (1 percent) failed.  This suggests that programs preparing students for “less lucrative” occupations or occupations with delayed economic benefits are not problematic as a class--many programs in these categories succeed in ensuring that </w:t>
      </w:r>
      <w:r w:rsidR="00E144CA">
        <w:rPr>
          <w:rFonts w:ascii="Courier New" w:eastAsia="SimSun" w:hAnsi="Courier New" w:cs="Courier New"/>
          <w:sz w:val="24"/>
          <w:szCs w:val="24"/>
        </w:rPr>
        <w:t>the debt of their students is</w:t>
      </w:r>
      <w:r w:rsidR="00E144CA" w:rsidRPr="00D140AB">
        <w:rPr>
          <w:rFonts w:ascii="Courier New" w:eastAsia="SimSun" w:hAnsi="Courier New" w:cs="Courier New"/>
          <w:sz w:val="24"/>
          <w:szCs w:val="24"/>
        </w:rPr>
        <w:t xml:space="preserve"> proportional to earnings.  </w:t>
      </w:r>
      <w:r w:rsidR="00E144CA" w:rsidRPr="00D140AB">
        <w:rPr>
          <w:rFonts w:ascii="Courier New" w:eastAsia="SimSun" w:hAnsi="Courier New" w:cs="Courier New"/>
          <w:sz w:val="24"/>
          <w:szCs w:val="24"/>
          <w:lang w:eastAsia="zh-CN"/>
        </w:rPr>
        <w:t xml:space="preserve"> </w:t>
      </w:r>
    </w:p>
    <w:p w14:paraId="75F56949"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62D51E90" w14:textId="77777777" w:rsidR="00E144CA" w:rsidRPr="00D140AB" w:rsidRDefault="00E144CA" w:rsidP="000E6297">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Some commenters believed that using both two-year and four-year cohort periods would be confusing</w:t>
      </w:r>
      <w:r>
        <w:rPr>
          <w:rFonts w:ascii="Courier New" w:hAnsi="Courier New" w:cs="Courier New"/>
          <w:sz w:val="24"/>
          <w:szCs w:val="24"/>
        </w:rPr>
        <w:t xml:space="preserve">, </w:t>
      </w:r>
      <w:r w:rsidRPr="00D140AB">
        <w:rPr>
          <w:rFonts w:ascii="Courier New" w:hAnsi="Courier New" w:cs="Courier New"/>
          <w:sz w:val="24"/>
          <w:szCs w:val="24"/>
        </w:rPr>
        <w:t xml:space="preserve">make </w:t>
      </w:r>
      <w:r>
        <w:rPr>
          <w:rFonts w:ascii="Courier New" w:hAnsi="Courier New" w:cs="Courier New"/>
          <w:sz w:val="24"/>
          <w:szCs w:val="24"/>
        </w:rPr>
        <w:t xml:space="preserve">it difficult to </w:t>
      </w:r>
      <w:r w:rsidRPr="00D140AB">
        <w:rPr>
          <w:rFonts w:ascii="Courier New" w:hAnsi="Courier New" w:cs="Courier New"/>
          <w:sz w:val="24"/>
          <w:szCs w:val="24"/>
        </w:rPr>
        <w:t>compar</w:t>
      </w:r>
      <w:r>
        <w:rPr>
          <w:rFonts w:ascii="Courier New" w:hAnsi="Courier New" w:cs="Courier New"/>
          <w:sz w:val="24"/>
          <w:szCs w:val="24"/>
        </w:rPr>
        <w:t xml:space="preserve">e programs, and result in </w:t>
      </w:r>
      <w:r w:rsidRPr="00D140AB">
        <w:rPr>
          <w:rFonts w:ascii="Courier New" w:hAnsi="Courier New" w:cs="Courier New"/>
          <w:sz w:val="24"/>
          <w:szCs w:val="24"/>
        </w:rPr>
        <w:t>misleading</w:t>
      </w:r>
      <w:r>
        <w:rPr>
          <w:rFonts w:ascii="Courier New" w:hAnsi="Courier New" w:cs="Courier New"/>
          <w:sz w:val="24"/>
          <w:szCs w:val="24"/>
        </w:rPr>
        <w:t xml:space="preserve"> comparisons</w:t>
      </w:r>
      <w:r w:rsidRPr="00D140AB">
        <w:rPr>
          <w:rFonts w:ascii="Courier New" w:hAnsi="Courier New" w:cs="Courier New"/>
          <w:sz w:val="24"/>
          <w:szCs w:val="24"/>
        </w:rPr>
        <w:t xml:space="preserve">.  The commenters reasoned that because economic conditions may vary markedly from year to year, including earnings of graduates who are employed for an additional two years under a four-year cohort period would inflate the earnings used in calculating the D/E rates.  Consequently, the commenters suggested that the Department use only a two-year cohort period.  In cases where </w:t>
      </w:r>
      <w:r w:rsidRPr="00D140AB">
        <w:rPr>
          <w:rFonts w:ascii="Courier New" w:hAnsi="Courier New" w:cs="Courier New"/>
          <w:sz w:val="24"/>
          <w:szCs w:val="24"/>
        </w:rPr>
        <w:lastRenderedPageBreak/>
        <w:t xml:space="preserve">fewer than 30 students complete a program during the two-year cohort period, the commenters suggested that the Department treat the program as passing the D/E rates measure.  </w:t>
      </w:r>
    </w:p>
    <w:p w14:paraId="25025CB2" w14:textId="05EDE07B" w:rsidR="00E144CA" w:rsidRPr="00D140AB" w:rsidRDefault="000E6297" w:rsidP="000E6297">
      <w:pPr>
        <w:spacing w:after="0" w:line="480" w:lineRule="auto"/>
        <w:rPr>
          <w:rFonts w:ascii="Courier New" w:hAnsi="Courier New" w:cs="Courier New"/>
          <w:sz w:val="24"/>
          <w:szCs w:val="24"/>
        </w:rPr>
      </w:pPr>
      <w:r>
        <w:rPr>
          <w:rFonts w:ascii="Courier New" w:hAnsi="Courier New" w:cs="Courier New"/>
          <w:sz w:val="24"/>
          <w:szCs w:val="24"/>
        </w:rPr>
        <w:t xml:space="preserve">     </w:t>
      </w:r>
      <w:r w:rsidR="00E144CA" w:rsidRPr="00D140AB">
        <w:rPr>
          <w:rFonts w:ascii="Courier New" w:hAnsi="Courier New" w:cs="Courier New"/>
          <w:sz w:val="24"/>
          <w:szCs w:val="24"/>
        </w:rPr>
        <w:t>Some commenters argued that the Department did not provide any data showing the effect of the four-year cohort period on GE programs or otherwise adequately justify the use of a four-year cohort period.  These commenters suggested removing the four-year cohort period provisions until the Department completes a more thorough assessment.</w:t>
      </w:r>
    </w:p>
    <w:p w14:paraId="66AADF18" w14:textId="4150E0B7" w:rsidR="00E144CA" w:rsidRPr="00D140AB" w:rsidRDefault="000E6297" w:rsidP="000E6297">
      <w:pPr>
        <w:spacing w:after="0" w:line="480" w:lineRule="auto"/>
        <w:rPr>
          <w:rFonts w:ascii="Courier New" w:hAnsi="Courier New" w:cs="Courier New"/>
          <w:color w:val="000000"/>
          <w:sz w:val="24"/>
          <w:szCs w:val="24"/>
          <w:u w:val="single"/>
        </w:rPr>
      </w:pPr>
      <w:r>
        <w:rPr>
          <w:rFonts w:ascii="Courier New" w:hAnsi="Courier New" w:cs="Courier New"/>
          <w:sz w:val="24"/>
          <w:szCs w:val="24"/>
        </w:rPr>
        <w:t xml:space="preserve">     </w:t>
      </w:r>
      <w:r w:rsidR="00E144CA" w:rsidRPr="00D140AB">
        <w:rPr>
          <w:rFonts w:ascii="Courier New" w:hAnsi="Courier New" w:cs="Courier New"/>
          <w:sz w:val="24"/>
          <w:szCs w:val="24"/>
        </w:rPr>
        <w:t>Some commenters believed that the proposed regulations did not adequately specify when and how the Department intends to use the two-year cohort period and four-year cohort period, specifically taking issue with what they believed was the repetitious use of the reference to “the cohort period.”  The commenters opined that the Department should specify when the two-year cohort period and four-year cohort period are used, in the same manner in which proposed §668.502(a)(1) of subpart R describes how the Department would determine the cohort for the pCDR measure.  Similarly, the commenters were concerned that institutions would be confused by the language used in proposed §668.404(f)(1) to describe the circumstances under which the Department would not calculate D/E rates if fewer than 30 students completed the program.</w:t>
      </w:r>
    </w:p>
    <w:p w14:paraId="443D9208"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Discussion</w:t>
      </w:r>
      <w:r w:rsidRPr="00D140AB">
        <w:rPr>
          <w:rFonts w:ascii="Courier New" w:eastAsia="SimSun" w:hAnsi="Courier New" w:cs="Courier New"/>
          <w:sz w:val="24"/>
          <w:szCs w:val="24"/>
        </w:rPr>
        <w:t>:</w:t>
      </w:r>
      <w:r w:rsidRPr="00D140AB" w:rsidDel="0005086A">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 We agree that using the four-year cohort period may add some complexity, but believe that this concern is outweighed by the benefits of evaluating more programs under the D/E rates measure</w:t>
      </w:r>
      <w:r>
        <w:rPr>
          <w:rFonts w:ascii="Courier New" w:eastAsia="SimSun" w:hAnsi="Courier New" w:cs="Courier New"/>
          <w:sz w:val="24"/>
          <w:szCs w:val="24"/>
        </w:rPr>
        <w:t xml:space="preserve"> as some programs that do not meet the minimum n-size of 30 students who complete the program over the two-year cohort period would do so when the four-year cohort period is applied</w:t>
      </w:r>
      <w:r w:rsidRPr="00D140AB">
        <w:rPr>
          <w:rFonts w:ascii="Courier New" w:eastAsia="SimSun" w:hAnsi="Courier New" w:cs="Courier New"/>
          <w:sz w:val="24"/>
          <w:szCs w:val="24"/>
        </w:rPr>
        <w:t xml:space="preserve">.  </w:t>
      </w:r>
    </w:p>
    <w:p w14:paraId="09180F7B" w14:textId="7CBB17BC"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With respect to the commenters who argued that the Department did not adequately justify using a four-year cohort period, we disagree.  In the NPRM, the Department acknowledged that one of the limitations of using an n-size of 30 as opposed to an n-size of 10 is that use of a larger n-size results in significantly fewer GE programs being evaluated.  We estimated that, </w:t>
      </w:r>
      <w:r w:rsidR="00E144CA">
        <w:rPr>
          <w:rFonts w:ascii="Courier New" w:eastAsia="SimSun" w:hAnsi="Courier New" w:cs="Courier New"/>
          <w:sz w:val="24"/>
          <w:szCs w:val="24"/>
        </w:rPr>
        <w:t>at</w:t>
      </w:r>
      <w:r w:rsidR="00E144CA" w:rsidRPr="00D140AB">
        <w:rPr>
          <w:rFonts w:ascii="Courier New" w:eastAsia="SimSun" w:hAnsi="Courier New" w:cs="Courier New"/>
          <w:sz w:val="24"/>
          <w:szCs w:val="24"/>
        </w:rPr>
        <w:t xml:space="preserve"> an n-size of 30, </w:t>
      </w:r>
      <w:r w:rsidR="00E144CA">
        <w:rPr>
          <w:rFonts w:ascii="Courier New" w:eastAsia="SimSun" w:hAnsi="Courier New" w:cs="Courier New"/>
          <w:sz w:val="24"/>
          <w:szCs w:val="24"/>
        </w:rPr>
        <w:t xml:space="preserve">the programs that will be evaluated under the D/E rates measure account for </w:t>
      </w:r>
      <w:r w:rsidR="00E144CA" w:rsidRPr="00D140AB">
        <w:rPr>
          <w:rFonts w:ascii="Courier New" w:eastAsia="SimSun" w:hAnsi="Courier New" w:cs="Courier New"/>
          <w:sz w:val="24"/>
          <w:szCs w:val="24"/>
        </w:rPr>
        <w:t xml:space="preserve">60 percent of the enrollment </w:t>
      </w:r>
      <w:r w:rsidR="00E144CA" w:rsidRPr="0073067F">
        <w:rPr>
          <w:rFonts w:ascii="Courier New" w:eastAsia="SimSun" w:hAnsi="Courier New" w:cs="Courier New"/>
          <w:sz w:val="24"/>
          <w:szCs w:val="24"/>
        </w:rPr>
        <w:t xml:space="preserve">of students receiving title IV, HEA program </w:t>
      </w:r>
      <w:r w:rsidR="00E144CA">
        <w:rPr>
          <w:rFonts w:ascii="Courier New" w:eastAsia="SimSun" w:hAnsi="Courier New" w:cs="Courier New"/>
          <w:sz w:val="24"/>
          <w:szCs w:val="24"/>
        </w:rPr>
        <w:t>funds</w:t>
      </w:r>
      <w:r w:rsidR="00E144CA" w:rsidRPr="0073067F">
        <w:rPr>
          <w:rFonts w:ascii="Courier New" w:eastAsia="SimSun" w:hAnsi="Courier New" w:cs="Courier New"/>
          <w:sz w:val="24"/>
          <w:szCs w:val="24"/>
        </w:rPr>
        <w:t xml:space="preserve"> in GE</w:t>
      </w:r>
      <w:r w:rsidR="00E144CA" w:rsidRPr="00D140AB">
        <w:rPr>
          <w:rFonts w:ascii="Courier New" w:eastAsia="SimSun" w:hAnsi="Courier New" w:cs="Courier New"/>
          <w:sz w:val="24"/>
          <w:szCs w:val="24"/>
        </w:rPr>
        <w:t xml:space="preserve"> programs.  Using the four-year cohort period will help to </w:t>
      </w:r>
      <w:r w:rsidR="00E144CA">
        <w:rPr>
          <w:rFonts w:ascii="Courier New" w:eastAsia="SimSun" w:hAnsi="Courier New" w:cs="Courier New"/>
          <w:sz w:val="24"/>
          <w:szCs w:val="24"/>
        </w:rPr>
        <w:t xml:space="preserve">increase the number of students in programs that are accountable under the D/E rates measure.  </w:t>
      </w:r>
    </w:p>
    <w:p w14:paraId="7B169B9A" w14:textId="77E1F40B"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In response to comments regarding how the Department intends to use the two- and four-year cohort periods, we note that the preamble discussion in the NPRM under the heading “Section 668.404  Calculating D/E rates,” 79 FR 16448-16449, contains a thorough explanation.  In short, the calculations for both D/E rates would be based on the debt and earnings outcomes </w:t>
      </w:r>
      <w:r w:rsidR="00E144CA" w:rsidRPr="00D140AB">
        <w:rPr>
          <w:rFonts w:ascii="Courier New" w:eastAsia="SimSun" w:hAnsi="Courier New" w:cs="Courier New"/>
          <w:sz w:val="24"/>
          <w:szCs w:val="24"/>
        </w:rPr>
        <w:lastRenderedPageBreak/>
        <w:t>of students who completed a program during a</w:t>
      </w:r>
      <w:r w:rsidR="00E144CA" w:rsidRPr="00D140AB" w:rsidDel="009F3E65">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cohort period.  As with the 2011 Prior Rule, for D/E rates to be calculated for a program, a minimum of 30 students would need to have completed the program, after applying </w:t>
      </w:r>
      <w:r w:rsidR="00E144CA" w:rsidRPr="00D140AB" w:rsidDel="006D4A9A">
        <w:rPr>
          <w:rFonts w:ascii="Courier New" w:eastAsia="SimSun" w:hAnsi="Courier New" w:cs="Courier New"/>
          <w:sz w:val="24"/>
          <w:szCs w:val="24"/>
        </w:rPr>
        <w:t xml:space="preserve">the </w:t>
      </w:r>
      <w:r w:rsidR="00E144CA" w:rsidRPr="00D140AB">
        <w:rPr>
          <w:rFonts w:ascii="Courier New" w:eastAsia="SimSun" w:hAnsi="Courier New" w:cs="Courier New"/>
          <w:sz w:val="24"/>
          <w:szCs w:val="24"/>
        </w:rPr>
        <w:t>exclusions</w:t>
      </w:r>
      <w:r w:rsidR="00E144CA">
        <w:rPr>
          <w:rFonts w:ascii="Courier New" w:eastAsia="SimSun" w:hAnsi="Courier New" w:cs="Courier New"/>
          <w:sz w:val="24"/>
          <w:szCs w:val="24"/>
        </w:rPr>
        <w:t xml:space="preserve"> in §668.404(e)</w:t>
      </w:r>
      <w:r w:rsidR="00E144CA" w:rsidRPr="00D140AB">
        <w:rPr>
          <w:rFonts w:ascii="Courier New" w:eastAsia="SimSun" w:hAnsi="Courier New" w:cs="Courier New"/>
          <w:sz w:val="24"/>
          <w:szCs w:val="24"/>
        </w:rPr>
        <w:t>, during the  cohort period.  If 30 or more students completed the program during the third and fourth award years prior to the award year for which D/E rates are calculated, then the cohort period would be that “two-year” cohort period.  If at least 30 students did not complete the program during the two-year cohort period, then the</w:t>
      </w:r>
      <w:r w:rsidR="00E144CA" w:rsidRPr="00D140AB" w:rsidDel="009F3E65">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cohort period would be expanded to include the previous two years, the fifth and sixth award years prior to the award year for which the D/E rates are being calculated, and rates would be calculated if 30 or more students completed the program during that “four-year cohort period</w:t>
      </w:r>
      <w:r w:rsidR="00E144CA">
        <w:rPr>
          <w:rFonts w:ascii="Courier New" w:eastAsia="SimSun" w:hAnsi="Courier New" w:cs="Courier New"/>
          <w:sz w:val="24"/>
          <w:szCs w:val="24"/>
        </w:rPr>
        <w:t>.</w:t>
      </w:r>
      <w:r w:rsidR="00E144CA" w:rsidRPr="00D140AB">
        <w:rPr>
          <w:rFonts w:ascii="Courier New" w:eastAsia="SimSun" w:hAnsi="Courier New" w:cs="Courier New"/>
          <w:sz w:val="24"/>
          <w:szCs w:val="24"/>
        </w:rPr>
        <w:t>”  If</w:t>
      </w:r>
      <w:r w:rsidR="00E144CA">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30 or more students did not complete the program over the two-year cohort period or the four-year cohort period, then D/E rates would not be calculated for the program. </w:t>
      </w:r>
    </w:p>
    <w:p w14:paraId="2D5C4C72" w14:textId="49D3F568"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The two- and four-year cohort periods as described would apply to all programs except for medical and dental programs whose students are required to complete an internship or residency after completion of the program.  For medical and dental programs, the two-year cohort period would be the sixth and seventh award years prior to the award year for which D/E rates are calculated.  The four-year cohort period </w:t>
      </w:r>
      <w:r w:rsidR="00E144CA">
        <w:rPr>
          <w:rFonts w:ascii="Courier New" w:eastAsia="SimSun" w:hAnsi="Courier New" w:cs="Courier New"/>
          <w:sz w:val="24"/>
          <w:szCs w:val="24"/>
        </w:rPr>
        <w:t xml:space="preserve">for these </w:t>
      </w:r>
      <w:r w:rsidR="00E144CA">
        <w:rPr>
          <w:rFonts w:ascii="Courier New" w:eastAsia="SimSun" w:hAnsi="Courier New" w:cs="Courier New"/>
          <w:sz w:val="24"/>
          <w:szCs w:val="24"/>
        </w:rPr>
        <w:lastRenderedPageBreak/>
        <w:t xml:space="preserve">programs </w:t>
      </w:r>
      <w:r w:rsidR="00E144CA" w:rsidRPr="00D140AB">
        <w:rPr>
          <w:rFonts w:ascii="Courier New" w:eastAsia="SimSun" w:hAnsi="Courier New" w:cs="Courier New"/>
          <w:sz w:val="24"/>
          <w:szCs w:val="24"/>
        </w:rPr>
        <w:t>would be the sixth, seventh, eighth, and ninth award years prior to the award year for which D/E rates are calculated.</w:t>
      </w:r>
    </w:p>
    <w:p w14:paraId="48ED81A9" w14:textId="53E260E5" w:rsidR="00E144CA" w:rsidRPr="00D140AB" w:rsidRDefault="00E144CA" w:rsidP="000E629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w:t>
      </w:r>
      <w:r w:rsidR="005132BB" w:rsidRPr="005132BB">
        <w:rPr>
          <w:rFonts w:ascii="Courier New" w:hAnsi="Courier New" w:cs="Courier New"/>
          <w:sz w:val="24"/>
          <w:szCs w:val="24"/>
        </w:rPr>
        <w:t xml:space="preserve"> </w:t>
      </w:r>
      <w:r w:rsidR="005132BB">
        <w:rPr>
          <w:rFonts w:ascii="Courier New" w:hAnsi="Courier New" w:cs="Courier New"/>
          <w:sz w:val="24"/>
          <w:szCs w:val="24"/>
        </w:rPr>
        <w:t>We have revised the definition of “cohort period” in §668.402 to clarify that we use the two-year cohort period when the number of students completing the program is 30 or more.  We use the four-year</w:t>
      </w:r>
      <w:r w:rsidR="005132BB" w:rsidRPr="003016D4">
        <w:rPr>
          <w:rFonts w:ascii="Courier New" w:hAnsi="Courier New" w:cs="Courier New"/>
          <w:sz w:val="24"/>
          <w:szCs w:val="24"/>
        </w:rPr>
        <w:t xml:space="preserve"> </w:t>
      </w:r>
      <w:r w:rsidR="005132BB">
        <w:rPr>
          <w:rFonts w:ascii="Courier New" w:hAnsi="Courier New" w:cs="Courier New"/>
          <w:sz w:val="24"/>
          <w:szCs w:val="24"/>
        </w:rPr>
        <w:t>cohort period when the number of students completing the program in the two-year cohort period is less than 30 and when the number of students completing the program in the four-year cohort period is 30 or more.</w:t>
      </w:r>
      <w:r w:rsidRPr="00D140AB">
        <w:rPr>
          <w:rFonts w:ascii="Courier New" w:eastAsia="SimSun" w:hAnsi="Courier New" w:cs="Courier New"/>
          <w:sz w:val="24"/>
          <w:szCs w:val="24"/>
        </w:rPr>
        <w:t xml:space="preserve"> </w:t>
      </w:r>
    </w:p>
    <w:p w14:paraId="5A941ED6" w14:textId="77777777" w:rsidR="00E144CA" w:rsidRPr="00D140AB" w:rsidRDefault="00E144CA" w:rsidP="000E6297">
      <w:pPr>
        <w:spacing w:after="0" w:line="480" w:lineRule="auto"/>
        <w:contextualSpacing/>
        <w:rPr>
          <w:rFonts w:ascii="Courier New"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w:t>
      </w:r>
      <w:r w:rsidRPr="00D140AB">
        <w:rPr>
          <w:rFonts w:ascii="Courier New" w:hAnsi="Courier New" w:cs="Courier New"/>
          <w:sz w:val="24"/>
          <w:szCs w:val="24"/>
        </w:rPr>
        <w:t>Another commenter suggested that the Department replace the term “cohort period” with the term “GE cohort period” to avoid confusion with the iCDR regulations.</w:t>
      </w:r>
    </w:p>
    <w:p w14:paraId="7F6FEDE7" w14:textId="77777777" w:rsidR="00E144CA" w:rsidRPr="00D140AB" w:rsidRDefault="00E144CA" w:rsidP="000E629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xml:space="preserve">:  We appreciate the commenter’s concern but we do not believe that the regulations are confusing with respect to the term “cohort period.”  While “cohort” is a defined term under the iCDR regulations, those regulations do not use the term “cohort period.”  The term “cohort period” appears only in these regulations.  </w:t>
      </w:r>
    </w:p>
    <w:p w14:paraId="0406A1EB"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0D7E7689"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One commenter raised concerns about calculating D/E rates for graduates of veterinary or medical school using earnings after only three years following completion of the program.  Using the example of a student graduating during the </w:t>
      </w:r>
      <w:r w:rsidRPr="00D140AB">
        <w:rPr>
          <w:rFonts w:ascii="Courier New" w:eastAsia="SimSun" w:hAnsi="Courier New" w:cs="Courier New"/>
          <w:sz w:val="24"/>
          <w:szCs w:val="24"/>
        </w:rPr>
        <w:lastRenderedPageBreak/>
        <w:t>2011-2012 award year from a veterinary program</w:t>
      </w:r>
      <w:r>
        <w:rPr>
          <w:rFonts w:ascii="Courier New" w:eastAsia="SimSun" w:hAnsi="Courier New" w:cs="Courier New"/>
          <w:sz w:val="24"/>
          <w:szCs w:val="24"/>
        </w:rPr>
        <w:t>, whose earnings</w:t>
      </w:r>
      <w:r w:rsidRPr="00D140AB">
        <w:rPr>
          <w:rFonts w:ascii="Courier New" w:eastAsia="SimSun" w:hAnsi="Courier New" w:cs="Courier New"/>
          <w:sz w:val="24"/>
          <w:szCs w:val="24"/>
        </w:rPr>
        <w:t xml:space="preserve"> the commenter believed would be measured based upon SSA earnings data for </w:t>
      </w:r>
      <w:r>
        <w:rPr>
          <w:rFonts w:ascii="Courier New" w:eastAsia="SimSun" w:hAnsi="Courier New" w:cs="Courier New"/>
          <w:sz w:val="24"/>
          <w:szCs w:val="24"/>
        </w:rPr>
        <w:t xml:space="preserve">calendar year </w:t>
      </w:r>
      <w:r w:rsidRPr="00D140AB">
        <w:rPr>
          <w:rFonts w:ascii="Courier New" w:eastAsia="SimSun" w:hAnsi="Courier New" w:cs="Courier New"/>
          <w:sz w:val="24"/>
          <w:szCs w:val="24"/>
        </w:rPr>
        <w:t xml:space="preserve">2014, the commenter asserted that the D/E rates would not be an accurate reflection of the student’s ability to earn an income or be gainfully employed.    </w:t>
      </w:r>
    </w:p>
    <w:p w14:paraId="47962828" w14:textId="2EAC0FFA" w:rsidR="00E144CA" w:rsidRPr="00D140AB" w:rsidRDefault="00E144CA" w:rsidP="000E6297">
      <w:pPr>
        <w:autoSpaceDE w:val="0"/>
        <w:autoSpaceDN w:val="0"/>
        <w:adjustRightInd w:val="0"/>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We believe that the commenter may have misunderstood the D/E rates calculation for graduates of medical and dental programs whose students are required to complete a period of internship or residency.  The regulations do, in fact, consider the resulting delay between when such students complete their respective programs and when they may begin professional practice.  For medical and dental programs, the two-year cohort period would be the sixth and seventh award years prior to the award year for which D/E rates are calculated.  The four-year cohort period would be the sixth, seventh, eighth, and ninth award years prior to the award year for which D/E rates are calculated.  In the example given by the commenter, SSA earnings for the 2014 calendar year would be used in the D/E rates calculations for the 2014-2015 award year.  The</w:t>
      </w:r>
      <w:r w:rsidRPr="00D140AB" w:rsidDel="009F3E65">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two-year cohort period for a medical program would be 2007-2008 and 2008-2009. </w:t>
      </w:r>
    </w:p>
    <w:p w14:paraId="668F5DD2" w14:textId="77777777" w:rsidR="00E144CA" w:rsidRPr="00D140AB" w:rsidRDefault="00E144CA" w:rsidP="000E6297">
      <w:pPr>
        <w:autoSpaceDE w:val="0"/>
        <w:autoSpaceDN w:val="0"/>
        <w:adjustRightInd w:val="0"/>
        <w:spacing w:after="0" w:line="480" w:lineRule="auto"/>
        <w:rPr>
          <w:rFonts w:ascii="Courier New" w:hAnsi="Courier New" w:cs="Courier New"/>
          <w:sz w:val="24"/>
          <w:szCs w:val="24"/>
        </w:rPr>
      </w:pPr>
      <w:r w:rsidRPr="00D140AB">
        <w:rPr>
          <w:rFonts w:ascii="Courier New" w:eastAsia="SimSun" w:hAnsi="Courier New" w:cs="Courier New"/>
          <w:sz w:val="24"/>
          <w:szCs w:val="24"/>
          <w:lang w:eastAsia="zh-CN"/>
        </w:rPr>
        <w:tab/>
        <w:t xml:space="preserve">Veterinarians, on the other hand, do not have a required internship or residency.  They can begin practice immediately following graduation from veterinary school.  </w:t>
      </w:r>
      <w:r>
        <w:rPr>
          <w:rFonts w:ascii="Courier New" w:eastAsia="SimSun" w:hAnsi="Courier New" w:cs="Courier New"/>
          <w:sz w:val="24"/>
          <w:szCs w:val="24"/>
          <w:lang w:eastAsia="zh-CN"/>
        </w:rPr>
        <w:t xml:space="preserve">As with other types of training programs that do not require an internship or </w:t>
      </w:r>
      <w:r>
        <w:rPr>
          <w:rFonts w:ascii="Courier New" w:eastAsia="SimSun" w:hAnsi="Courier New" w:cs="Courier New"/>
          <w:sz w:val="24"/>
          <w:szCs w:val="24"/>
          <w:lang w:eastAsia="zh-CN"/>
        </w:rPr>
        <w:lastRenderedPageBreak/>
        <w:t>residency after program completion, w</w:t>
      </w:r>
      <w:r w:rsidRPr="00D140AB">
        <w:rPr>
          <w:rFonts w:ascii="Courier New" w:eastAsia="SimSun" w:hAnsi="Courier New" w:cs="Courier New"/>
          <w:sz w:val="24"/>
          <w:szCs w:val="24"/>
          <w:lang w:eastAsia="zh-CN"/>
        </w:rPr>
        <w:t xml:space="preserve">e believe </w:t>
      </w:r>
      <w:r>
        <w:rPr>
          <w:rFonts w:ascii="Courier New" w:eastAsia="SimSun" w:hAnsi="Courier New" w:cs="Courier New"/>
          <w:sz w:val="24"/>
          <w:szCs w:val="24"/>
          <w:lang w:eastAsia="zh-CN"/>
        </w:rPr>
        <w:t xml:space="preserve">that graduates of veterinary programs will have sufficient time after completion of their program to become employed and increase earnings beyond an entry level in order for the program they attended to be accurately assessed under the D/E rates measure.  </w:t>
      </w:r>
      <w:r w:rsidRPr="00D140AB">
        <w:rPr>
          <w:rFonts w:ascii="Courier New" w:eastAsia="SimSun" w:hAnsi="Courier New" w:cs="Courier New"/>
          <w:sz w:val="24"/>
          <w:szCs w:val="24"/>
          <w:lang w:eastAsia="zh-CN"/>
        </w:rPr>
        <w:t xml:space="preserve"> </w:t>
      </w:r>
    </w:p>
    <w:p w14:paraId="250F3295"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53144A2E"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One commenter said that since there has been no informational rate data provided for medical school programs, institutions with these types of programs would be at a greater disadvantage under accountability metrics that determine a program’s continuing eligibility for title IV, HEA program funds based on historical program performance.</w:t>
      </w:r>
    </w:p>
    <w:p w14:paraId="4C6EAE90" w14:textId="3D5D8D44" w:rsidR="00E144CA" w:rsidRPr="00D140AB" w:rsidRDefault="00E144CA" w:rsidP="000E629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The Department did not provide informational rate data for medical school programs</w:t>
      </w:r>
      <w:r>
        <w:rPr>
          <w:rFonts w:ascii="Courier New" w:eastAsia="SimSun" w:hAnsi="Courier New" w:cs="Courier New"/>
          <w:sz w:val="24"/>
          <w:szCs w:val="24"/>
          <w:lang w:eastAsia="zh-CN"/>
        </w:rPr>
        <w:t xml:space="preserve"> because we do not have such data.</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However, </w:t>
      </w:r>
      <w:r w:rsidR="000C0899">
        <w:rPr>
          <w:rFonts w:ascii="Courier New" w:eastAsia="SimSun" w:hAnsi="Courier New" w:cs="Courier New"/>
          <w:sz w:val="24"/>
          <w:szCs w:val="24"/>
        </w:rPr>
        <w:t>an</w:t>
      </w:r>
      <w:r w:rsidRPr="00D140AB">
        <w:rPr>
          <w:rFonts w:ascii="Courier New" w:eastAsia="SimSun" w:hAnsi="Courier New" w:cs="Courier New"/>
          <w:sz w:val="24"/>
          <w:szCs w:val="24"/>
        </w:rPr>
        <w:t xml:space="preserve"> institution </w:t>
      </w:r>
      <w:r>
        <w:rPr>
          <w:rFonts w:ascii="Courier New" w:eastAsia="SimSun" w:hAnsi="Courier New" w:cs="Courier New"/>
          <w:sz w:val="24"/>
          <w:szCs w:val="24"/>
        </w:rPr>
        <w:t>can reasonably be expected to k</w:t>
      </w:r>
      <w:r w:rsidRPr="00D140AB">
        <w:rPr>
          <w:rFonts w:ascii="Courier New" w:eastAsia="SimSun" w:hAnsi="Courier New" w:cs="Courier New"/>
          <w:sz w:val="24"/>
          <w:szCs w:val="24"/>
        </w:rPr>
        <w:t xml:space="preserve">now about </w:t>
      </w:r>
      <w:r>
        <w:rPr>
          <w:rFonts w:ascii="Courier New" w:eastAsia="SimSun" w:hAnsi="Courier New" w:cs="Courier New"/>
          <w:sz w:val="24"/>
          <w:szCs w:val="24"/>
        </w:rPr>
        <w:t xml:space="preserve">the borrowing patterns of its students, </w:t>
      </w:r>
      <w:r w:rsidRPr="00D140AB">
        <w:rPr>
          <w:rFonts w:ascii="Courier New" w:eastAsia="SimSun" w:hAnsi="Courier New" w:cs="Courier New"/>
          <w:sz w:val="24"/>
          <w:szCs w:val="24"/>
        </w:rPr>
        <w:t xml:space="preserve">because the institution’s financial aid office </w:t>
      </w:r>
      <w:r>
        <w:rPr>
          <w:rFonts w:ascii="Courier New" w:eastAsia="SimSun" w:hAnsi="Courier New" w:cs="Courier New"/>
          <w:sz w:val="24"/>
          <w:szCs w:val="24"/>
        </w:rPr>
        <w:t xml:space="preserve">typically </w:t>
      </w:r>
      <w:r w:rsidRPr="00D140AB">
        <w:rPr>
          <w:rFonts w:ascii="Courier New" w:eastAsia="SimSun" w:hAnsi="Courier New" w:cs="Courier New"/>
          <w:sz w:val="24"/>
          <w:szCs w:val="24"/>
        </w:rPr>
        <w:t xml:space="preserve">“packages” </w:t>
      </w:r>
      <w:r>
        <w:rPr>
          <w:rFonts w:ascii="Courier New" w:eastAsia="SimSun" w:hAnsi="Courier New" w:cs="Courier New"/>
          <w:sz w:val="24"/>
          <w:szCs w:val="24"/>
        </w:rPr>
        <w:t xml:space="preserve">financial aid, including </w:t>
      </w:r>
      <w:r w:rsidRPr="00D140AB">
        <w:rPr>
          <w:rFonts w:ascii="Courier New" w:eastAsia="SimSun" w:hAnsi="Courier New" w:cs="Courier New"/>
          <w:sz w:val="24"/>
          <w:szCs w:val="24"/>
        </w:rPr>
        <w:t>loans</w:t>
      </w:r>
      <w:r>
        <w:rPr>
          <w:rFonts w:ascii="Courier New" w:eastAsia="SimSun" w:hAnsi="Courier New" w:cs="Courier New"/>
          <w:sz w:val="24"/>
          <w:szCs w:val="24"/>
        </w:rPr>
        <w:t>,</w:t>
      </w:r>
      <w:r w:rsidRPr="00D140AB">
        <w:rPr>
          <w:rFonts w:ascii="Courier New" w:eastAsia="SimSun" w:hAnsi="Courier New" w:cs="Courier New"/>
          <w:sz w:val="24"/>
          <w:szCs w:val="24"/>
        </w:rPr>
        <w:t xml:space="preserve"> in arranging financial aid for students</w:t>
      </w:r>
      <w:r>
        <w:rPr>
          <w:rFonts w:ascii="Courier New" w:eastAsia="SimSun" w:hAnsi="Courier New" w:cs="Courier New"/>
          <w:sz w:val="24"/>
          <w:szCs w:val="24"/>
        </w:rPr>
        <w:t>.</w:t>
      </w:r>
      <w:r w:rsidRPr="00D140AB">
        <w:rPr>
          <w:rFonts w:ascii="Courier New" w:eastAsia="SimSun" w:hAnsi="Courier New" w:cs="Courier New"/>
          <w:sz w:val="24"/>
          <w:szCs w:val="24"/>
        </w:rPr>
        <w:t xml:space="preserve">  </w:t>
      </w:r>
      <w:r>
        <w:rPr>
          <w:rFonts w:ascii="Courier New" w:eastAsia="SimSun" w:hAnsi="Courier New" w:cs="Courier New"/>
          <w:sz w:val="24"/>
          <w:szCs w:val="24"/>
        </w:rPr>
        <w:t>A</w:t>
      </w:r>
      <w:r w:rsidRPr="00D140AB">
        <w:rPr>
          <w:rFonts w:ascii="Courier New" w:eastAsia="SimSun" w:hAnsi="Courier New" w:cs="Courier New"/>
          <w:sz w:val="24"/>
          <w:szCs w:val="24"/>
          <w:lang w:eastAsia="zh-CN"/>
        </w:rPr>
        <w:t xml:space="preserve">ll institutions should also be conducting the necessary local labor market research, including engaging with potential employers, to determine the typical earnings for the occupations for which </w:t>
      </w:r>
      <w:r>
        <w:rPr>
          <w:rFonts w:ascii="Courier New" w:eastAsia="SimSun" w:hAnsi="Courier New" w:cs="Courier New"/>
          <w:sz w:val="24"/>
          <w:szCs w:val="24"/>
          <w:lang w:eastAsia="zh-CN"/>
        </w:rPr>
        <w:t>their</w:t>
      </w:r>
      <w:r w:rsidRPr="00D140AB">
        <w:rPr>
          <w:rFonts w:ascii="Courier New" w:eastAsia="SimSun" w:hAnsi="Courier New" w:cs="Courier New"/>
          <w:sz w:val="24"/>
          <w:szCs w:val="24"/>
          <w:lang w:eastAsia="zh-CN"/>
        </w:rPr>
        <w:t xml:space="preserve"> program</w:t>
      </w:r>
      <w:r>
        <w:rPr>
          <w:rFonts w:ascii="Courier New" w:eastAsia="SimSun" w:hAnsi="Courier New" w:cs="Courier New"/>
          <w:sz w:val="24"/>
          <w:szCs w:val="24"/>
          <w:lang w:eastAsia="zh-CN"/>
        </w:rPr>
        <w:t>s</w:t>
      </w:r>
      <w:r w:rsidRPr="00D140AB">
        <w:rPr>
          <w:rFonts w:ascii="Courier New" w:eastAsia="SimSun" w:hAnsi="Courier New" w:cs="Courier New"/>
          <w:sz w:val="24"/>
          <w:szCs w:val="24"/>
          <w:lang w:eastAsia="zh-CN"/>
        </w:rPr>
        <w:t xml:space="preserve"> provide training.  Institutions may use this information to estimate their </w:t>
      </w:r>
      <w:r>
        <w:rPr>
          <w:rFonts w:ascii="Courier New" w:eastAsia="SimSun" w:hAnsi="Courier New" w:cs="Courier New"/>
          <w:sz w:val="24"/>
          <w:szCs w:val="24"/>
          <w:lang w:eastAsia="zh-CN"/>
        </w:rPr>
        <w:t>results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under</w:t>
      </w:r>
      <w:r w:rsidRPr="00D140AB">
        <w:rPr>
          <w:rFonts w:ascii="Courier New" w:eastAsia="SimSun" w:hAnsi="Courier New" w:cs="Courier New"/>
          <w:sz w:val="24"/>
          <w:szCs w:val="24"/>
          <w:lang w:eastAsia="zh-CN"/>
        </w:rPr>
        <w:t xml:space="preserve"> the D/E rates measure.  Additionally, we believe that the </w:t>
      </w:r>
      <w:r w:rsidRPr="00D140AB">
        <w:rPr>
          <w:rFonts w:ascii="Courier New" w:eastAsia="SimSun" w:hAnsi="Courier New" w:cs="Courier New"/>
          <w:sz w:val="24"/>
          <w:szCs w:val="24"/>
          <w:lang w:eastAsia="zh-CN"/>
        </w:rPr>
        <w:lastRenderedPageBreak/>
        <w:t>“zone” provisions described under “§668.403  Gainful Employment Program Framework</w:t>
      </w:r>
      <w:r>
        <w:rPr>
          <w:rFonts w:ascii="Courier New" w:eastAsia="SimSun" w:hAnsi="Courier New" w:cs="Courier New"/>
          <w:sz w:val="24"/>
          <w:szCs w:val="24"/>
          <w:lang w:eastAsia="zh-CN"/>
        </w:rPr>
        <w:t>,</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together with</w:t>
      </w:r>
      <w:r w:rsidRPr="00D140AB">
        <w:rPr>
          <w:rFonts w:ascii="Courier New" w:eastAsia="SimSun" w:hAnsi="Courier New" w:cs="Courier New"/>
          <w:sz w:val="24"/>
          <w:szCs w:val="24"/>
          <w:lang w:eastAsia="zh-CN"/>
        </w:rPr>
        <w:t xml:space="preserve"> the transition </w:t>
      </w:r>
      <w:r>
        <w:rPr>
          <w:rFonts w:ascii="Courier New" w:eastAsia="SimSun" w:hAnsi="Courier New" w:cs="Courier New"/>
          <w:sz w:val="24"/>
          <w:szCs w:val="24"/>
          <w:lang w:eastAsia="zh-CN"/>
        </w:rPr>
        <w:t>period</w:t>
      </w:r>
      <w:r w:rsidRPr="00D140AB">
        <w:rPr>
          <w:rFonts w:ascii="Courier New" w:eastAsia="SimSun" w:hAnsi="Courier New" w:cs="Courier New"/>
          <w:sz w:val="24"/>
          <w:szCs w:val="24"/>
          <w:lang w:eastAsia="zh-CN"/>
        </w:rPr>
        <w:t xml:space="preserve"> in §668.404(g) described later in this section</w:t>
      </w:r>
      <w:r>
        <w:rPr>
          <w:rFonts w:ascii="Courier New" w:eastAsia="SimSun" w:hAnsi="Courier New" w:cs="Courier New"/>
          <w:sz w:val="24"/>
          <w:szCs w:val="24"/>
          <w:lang w:eastAsia="zh-CN"/>
        </w:rPr>
        <w:t>,</w:t>
      </w:r>
      <w:r w:rsidRPr="00D140AB">
        <w:rPr>
          <w:rFonts w:ascii="Courier New" w:eastAsia="SimSun" w:hAnsi="Courier New" w:cs="Courier New"/>
          <w:sz w:val="24"/>
          <w:szCs w:val="24"/>
          <w:lang w:eastAsia="zh-CN"/>
        </w:rPr>
        <w:t xml:space="preserve"> will provide programs with an adequate opportunity to make adjustments and improvements to their programs as needed.</w:t>
      </w:r>
    </w:p>
    <w:p w14:paraId="4D2B9AB6"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1CDB0E23" w14:textId="77777777" w:rsidR="00E144CA" w:rsidRPr="00D140AB" w:rsidRDefault="00E144CA" w:rsidP="000E6297">
      <w:pPr>
        <w:pStyle w:val="Heading2"/>
        <w:ind w:left="0"/>
      </w:pPr>
      <w:r w:rsidRPr="00D140AB">
        <w:t>Use of Mean and Median Earnings</w:t>
      </w:r>
    </w:p>
    <w:p w14:paraId="1ABA1C46"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Some commenters supported the proposal in §668.404(c)(2) to use the higher of the mean or median annual earnings to calculate the D/E rates, arguing that using the higher of the two would better reflect the earnings of students who complete program</w:t>
      </w:r>
      <w:r>
        <w:rPr>
          <w:rFonts w:ascii="Courier New" w:eastAsia="Times New Roman" w:hAnsi="Courier New" w:cs="Courier New"/>
          <w:sz w:val="24"/>
          <w:szCs w:val="24"/>
        </w:rPr>
        <w:t>s</w:t>
      </w:r>
      <w:r w:rsidRPr="00D140AB">
        <w:rPr>
          <w:rFonts w:ascii="Courier New" w:eastAsia="Times New Roman" w:hAnsi="Courier New" w:cs="Courier New"/>
          <w:sz w:val="24"/>
          <w:szCs w:val="24"/>
        </w:rPr>
        <w:t xml:space="preserve"> and would therefore be fairer to institutions than using only the mean or only the median.  </w:t>
      </w:r>
      <w:r w:rsidRPr="00D140AB">
        <w:rPr>
          <w:rFonts w:ascii="Courier New" w:eastAsia="Times New Roman" w:hAnsi="Courier New" w:cs="Courier New"/>
          <w:sz w:val="24"/>
          <w:szCs w:val="24"/>
        </w:rPr>
        <w:tab/>
      </w:r>
    </w:p>
    <w:p w14:paraId="70DB6ED0" w14:textId="637A77E3" w:rsidR="00E144CA" w:rsidRPr="00D140AB" w:rsidRDefault="000E6297" w:rsidP="000E6297">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E144CA" w:rsidRPr="00D140AB">
        <w:rPr>
          <w:rFonts w:ascii="Courier New" w:eastAsia="Times New Roman" w:hAnsi="Courier New" w:cs="Courier New"/>
          <w:sz w:val="24"/>
          <w:szCs w:val="24"/>
        </w:rPr>
        <w:t>Other commenters recommended using either the mean or the median earnings to calculate D/E rates, rather than the higher of the two.  These commenters believed that the proposed approach would make it difficult for consumers, schools, researchers, policymakers, and others to understand the D/E rates.  The commenters also said that the informational rates released by the Department in 2010, which</w:t>
      </w:r>
      <w:r w:rsidR="00E144CA" w:rsidRPr="00D140AB" w:rsidDel="00C24924">
        <w:rPr>
          <w:rFonts w:ascii="Courier New" w:eastAsia="Times New Roman" w:hAnsi="Courier New" w:cs="Courier New"/>
          <w:sz w:val="24"/>
          <w:szCs w:val="24"/>
        </w:rPr>
        <w:t xml:space="preserve"> were </w:t>
      </w:r>
      <w:r w:rsidR="00E144CA" w:rsidRPr="00D140AB">
        <w:rPr>
          <w:rFonts w:ascii="Courier New" w:eastAsia="Times New Roman" w:hAnsi="Courier New" w:cs="Courier New"/>
          <w:sz w:val="24"/>
          <w:szCs w:val="24"/>
        </w:rPr>
        <w:t xml:space="preserve">calculated using the higher of the mean or median earnings, were confusing.  The commenters expressed further concern that, in addition to causing confusion, the use of either the mean or the median annual earnings would undermine the public’s ability to compare </w:t>
      </w:r>
      <w:r w:rsidR="00E144CA" w:rsidRPr="00D140AB">
        <w:rPr>
          <w:rFonts w:ascii="Courier New" w:eastAsia="Times New Roman" w:hAnsi="Courier New" w:cs="Courier New"/>
          <w:sz w:val="24"/>
          <w:szCs w:val="24"/>
        </w:rPr>
        <w:lastRenderedPageBreak/>
        <w:t xml:space="preserve">D/E rates across GE programs.  </w:t>
      </w:r>
      <w:r w:rsidR="00E144CA">
        <w:rPr>
          <w:rFonts w:ascii="Courier New" w:eastAsia="Times New Roman" w:hAnsi="Courier New" w:cs="Courier New"/>
          <w:sz w:val="24"/>
          <w:szCs w:val="24"/>
        </w:rPr>
        <w:t>T</w:t>
      </w:r>
      <w:r w:rsidR="00E144CA" w:rsidRPr="00D140AB">
        <w:rPr>
          <w:rFonts w:ascii="Courier New" w:eastAsia="Times New Roman" w:hAnsi="Courier New" w:cs="Courier New"/>
          <w:sz w:val="24"/>
          <w:szCs w:val="24"/>
        </w:rPr>
        <w:t xml:space="preserve">hese commenters did not believe that the Department presented a reasoned basis for using the higher of the mean or median earnings and argued that the Department’s proposed approach would weaken the D/E rates measure. </w:t>
      </w:r>
    </w:p>
    <w:p w14:paraId="2D37030C" w14:textId="6C5628E3" w:rsidR="00E144CA" w:rsidRPr="00D140AB" w:rsidRDefault="000E6297" w:rsidP="000E6297">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E144CA" w:rsidRPr="00D140AB">
        <w:rPr>
          <w:rFonts w:ascii="Courier New" w:eastAsia="Times New Roman" w:hAnsi="Courier New" w:cs="Courier New"/>
          <w:sz w:val="24"/>
          <w:szCs w:val="24"/>
        </w:rPr>
        <w:t xml:space="preserve">Some commenters believed that the Department should use the mean in all cases, but they did not elaborate on their reasons for that approach.  Other commenters recommended using the median in all cases because they believed that it would be inconsistent to use median loan debt in the numerator of the D/E rates but the mean earnings in the denominator.  They also </w:t>
      </w:r>
      <w:r w:rsidR="00E144CA">
        <w:rPr>
          <w:rFonts w:ascii="Courier New" w:eastAsia="Times New Roman" w:hAnsi="Courier New" w:cs="Courier New"/>
          <w:sz w:val="24"/>
          <w:szCs w:val="24"/>
        </w:rPr>
        <w:t>argued</w:t>
      </w:r>
      <w:r w:rsidR="00E144CA" w:rsidRPr="00D140AB">
        <w:rPr>
          <w:rFonts w:ascii="Courier New" w:eastAsia="Times New Roman" w:hAnsi="Courier New" w:cs="Courier New"/>
          <w:sz w:val="24"/>
          <w:szCs w:val="24"/>
        </w:rPr>
        <w:t xml:space="preserve"> that using the median would guarantee that the earnings data reflect the outcomes of at least 50 percent of the students who complete a program and that the earnings of one outlier student would not skew the calculation. </w:t>
      </w:r>
    </w:p>
    <w:p w14:paraId="327CA2FA" w14:textId="77777777" w:rsidR="00E144CA" w:rsidRPr="00D140AB" w:rsidRDefault="00E144CA" w:rsidP="000E6297">
      <w:pPr>
        <w:spacing w:after="0" w:line="480" w:lineRule="auto"/>
        <w:rPr>
          <w:rFonts w:ascii="Courier New"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xml:space="preserve">:  </w:t>
      </w:r>
      <w:r w:rsidRPr="00D140AB">
        <w:rPr>
          <w:rFonts w:ascii="Courier New" w:hAnsi="Courier New" w:cs="Courier New"/>
          <w:sz w:val="24"/>
          <w:szCs w:val="24"/>
        </w:rPr>
        <w:t xml:space="preserve">We agree with commenters that it is important that consumers and other stakeholders receive clear, useful information about program outcomes.  By using the higher of the mean or median earnings, the regulations strike a balance between providing stakeholders information that is easy to use and comprehend and ensuring an accurate assessment of program performance.  </w:t>
      </w:r>
    </w:p>
    <w:p w14:paraId="72850C76" w14:textId="406B7C1C" w:rsidR="00E144CA" w:rsidRPr="00D140AB" w:rsidRDefault="000E6297" w:rsidP="000E6297">
      <w:pPr>
        <w:spacing w:after="0" w:line="480" w:lineRule="auto"/>
        <w:rPr>
          <w:rFonts w:ascii="Courier New" w:hAnsi="Courier New" w:cs="Courier New"/>
          <w:sz w:val="24"/>
          <w:szCs w:val="24"/>
        </w:rPr>
      </w:pPr>
      <w:r>
        <w:rPr>
          <w:rFonts w:ascii="Courier New" w:hAnsi="Courier New" w:cs="Courier New"/>
          <w:sz w:val="24"/>
          <w:szCs w:val="24"/>
        </w:rPr>
        <w:lastRenderedPageBreak/>
        <w:t xml:space="preserve">     </w:t>
      </w:r>
      <w:r w:rsidR="00E144CA">
        <w:rPr>
          <w:rFonts w:ascii="Courier New" w:hAnsi="Courier New" w:cs="Courier New"/>
          <w:sz w:val="24"/>
          <w:szCs w:val="24"/>
        </w:rPr>
        <w:t>Because</w:t>
      </w:r>
      <w:r w:rsidR="00E144CA" w:rsidRPr="00D140AB">
        <w:rPr>
          <w:rFonts w:ascii="Courier New" w:hAnsi="Courier New" w:cs="Courier New"/>
          <w:sz w:val="24"/>
          <w:szCs w:val="24"/>
        </w:rPr>
        <w:t xml:space="preserve"> using the mean or median earnings may affect a particular program, we use the higher of the mean or median earnings to account for the following circumstances:</w:t>
      </w:r>
    </w:p>
    <w:p w14:paraId="753BFB2F" w14:textId="77777777" w:rsidR="00E144CA" w:rsidRPr="00D140AB" w:rsidRDefault="00E144CA" w:rsidP="00E144CA">
      <w:pPr>
        <w:pStyle w:val="ListParagraph"/>
        <w:numPr>
          <w:ilvl w:val="0"/>
          <w:numId w:val="5"/>
        </w:numPr>
        <w:spacing w:after="0" w:line="480" w:lineRule="auto"/>
        <w:ind w:left="720" w:firstLine="0"/>
        <w:rPr>
          <w:rFonts w:ascii="Courier New" w:hAnsi="Courier New" w:cs="Courier New"/>
          <w:sz w:val="24"/>
          <w:szCs w:val="24"/>
        </w:rPr>
      </w:pPr>
      <w:r w:rsidRPr="00D140AB">
        <w:rPr>
          <w:rFonts w:ascii="Courier New" w:hAnsi="Courier New" w:cs="Courier New"/>
          <w:sz w:val="24"/>
          <w:szCs w:val="24"/>
        </w:rPr>
        <w:t xml:space="preserve">In cases where mean earnings are greater than median earnings, we use the mean because the median may be sensitive to zero earnings.  For example, if the majority of the students on the list submitted to SSA have zero earnings, the program would fail the D/E rates measure even if most of the remaining students had relatively high earnings.  In other words, when the median is less than the mean, there may be a large number of students with zero earnings.  So, we use the mean earnings to diminish the sensitivity of the D/E rates to zero earnings and better reflect the central tendency in earnings for programs where many students have extremely low and extremely high earnings.  </w:t>
      </w:r>
    </w:p>
    <w:p w14:paraId="19201EB5" w14:textId="77777777" w:rsidR="00E144CA" w:rsidRPr="00D140AB" w:rsidRDefault="00E144CA" w:rsidP="00E144CA">
      <w:pPr>
        <w:pStyle w:val="ListParagraph"/>
        <w:numPr>
          <w:ilvl w:val="0"/>
          <w:numId w:val="5"/>
        </w:numPr>
        <w:spacing w:after="0" w:line="480" w:lineRule="auto"/>
        <w:ind w:left="720" w:firstLine="0"/>
        <w:rPr>
          <w:rFonts w:ascii="Courier New" w:hAnsi="Courier New" w:cs="Courier New"/>
          <w:sz w:val="24"/>
          <w:szCs w:val="24"/>
        </w:rPr>
      </w:pPr>
      <w:r w:rsidRPr="00D140AB">
        <w:rPr>
          <w:rFonts w:ascii="Courier New" w:hAnsi="Courier New" w:cs="Courier New"/>
          <w:sz w:val="24"/>
          <w:szCs w:val="24"/>
        </w:rPr>
        <w:t xml:space="preserve">In cases where median earnings are greater than mean earnings, we use the median because it is likely that there are more students who completed a program with relatively high earnings than with relatively low earnings.  For these cases, we believe that median earnings are a more representative estimate of central tendency than mean earnings.  Relatively high median earnings indicate higher employment rates, and by using the median when it is higher </w:t>
      </w:r>
      <w:r w:rsidRPr="00D140AB">
        <w:rPr>
          <w:rFonts w:ascii="Courier New" w:hAnsi="Courier New" w:cs="Courier New"/>
          <w:sz w:val="24"/>
          <w:szCs w:val="24"/>
        </w:rPr>
        <w:lastRenderedPageBreak/>
        <w:t>than the mean, we reward programs where a high fraction of students who complete a program obtain employment.</w:t>
      </w:r>
    </w:p>
    <w:p w14:paraId="0046B723" w14:textId="77777777" w:rsidR="00E144CA" w:rsidRPr="00D140AB" w:rsidRDefault="00E144CA" w:rsidP="000E6297">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33EC61BA"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xml:space="preserve">:  A few commenters suggested that, if the Department calculates the D/E rates using the higher of mean and median earnings, the Department should publish both the mean and median earnings data for each GE program and indicate which figure was used in the D/E rates calculation.  These commenters argued that disclosing this information would mitigate some of the concerns about difficulties comparing and conducting analyses across programs. </w:t>
      </w:r>
    </w:p>
    <w:p w14:paraId="0E6DF644" w14:textId="48C20F48" w:rsidR="00E144CA" w:rsidRPr="00D140AB" w:rsidRDefault="00E144CA" w:rsidP="000E6297">
      <w:pPr>
        <w:spacing w:after="0" w:line="480" w:lineRule="auto"/>
        <w:rPr>
          <w:rFonts w:ascii="Courier New"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xml:space="preserve">:  </w:t>
      </w:r>
      <w:r w:rsidR="00735036">
        <w:rPr>
          <w:rFonts w:ascii="Courier New" w:eastAsia="Times New Roman" w:hAnsi="Courier New" w:cs="Courier New"/>
          <w:sz w:val="24"/>
          <w:szCs w:val="24"/>
        </w:rPr>
        <w:t xml:space="preserve">As an administrative matter, </w:t>
      </w:r>
      <w:r w:rsidR="00735036">
        <w:rPr>
          <w:rFonts w:ascii="Courier New" w:hAnsi="Courier New" w:cs="Courier New"/>
          <w:sz w:val="24"/>
          <w:szCs w:val="24"/>
        </w:rPr>
        <w:t>w</w:t>
      </w:r>
      <w:r w:rsidRPr="00D140AB">
        <w:rPr>
          <w:rFonts w:ascii="Courier New" w:hAnsi="Courier New" w:cs="Courier New"/>
          <w:sz w:val="24"/>
          <w:szCs w:val="24"/>
        </w:rPr>
        <w:t xml:space="preserve">e agree to post the mean and median earnings for all GE programs on </w:t>
      </w:r>
      <w:r>
        <w:rPr>
          <w:rFonts w:ascii="Courier New" w:hAnsi="Courier New" w:cs="Courier New"/>
          <w:sz w:val="24"/>
          <w:szCs w:val="24"/>
        </w:rPr>
        <w:t>the Department’s</w:t>
      </w:r>
      <w:r w:rsidRPr="00D140AB">
        <w:rPr>
          <w:rFonts w:ascii="Courier New" w:hAnsi="Courier New" w:cs="Courier New"/>
          <w:sz w:val="24"/>
          <w:szCs w:val="24"/>
        </w:rPr>
        <w:t xml:space="preserve"> </w:t>
      </w:r>
      <w:r>
        <w:rPr>
          <w:rFonts w:ascii="Courier New" w:hAnsi="Courier New" w:cs="Courier New"/>
          <w:sz w:val="24"/>
          <w:szCs w:val="24"/>
        </w:rPr>
        <w:t>W</w:t>
      </w:r>
      <w:r w:rsidRPr="00D140AB">
        <w:rPr>
          <w:rFonts w:ascii="Courier New" w:hAnsi="Courier New" w:cs="Courier New"/>
          <w:sz w:val="24"/>
          <w:szCs w:val="24"/>
        </w:rPr>
        <w:t>eb site, and we will identify whether the mean or the median earnings were used to calculate the D/E rates for any particular program.</w:t>
      </w:r>
    </w:p>
    <w:p w14:paraId="2B8D3A76"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Changes</w:t>
      </w:r>
      <w:r w:rsidRPr="00D140AB">
        <w:rPr>
          <w:rFonts w:ascii="Courier New" w:eastAsia="Times New Roman" w:hAnsi="Courier New" w:cs="Courier New"/>
          <w:sz w:val="24"/>
          <w:szCs w:val="24"/>
        </w:rPr>
        <w:t>:  None.</w:t>
      </w:r>
    </w:p>
    <w:p w14:paraId="64089DB4" w14:textId="77777777" w:rsidR="00E144CA" w:rsidRPr="00592F3F" w:rsidRDefault="00E144CA" w:rsidP="000E6297">
      <w:pPr>
        <w:spacing w:after="0" w:line="480" w:lineRule="auto"/>
        <w:rPr>
          <w:rFonts w:ascii="Courier New" w:eastAsia="Times New Roman" w:hAnsi="Courier New"/>
          <w:sz w:val="24"/>
        </w:rPr>
      </w:pPr>
      <w:r w:rsidRPr="00D140AB">
        <w:rPr>
          <w:rFonts w:ascii="Courier New" w:eastAsia="Times New Roman" w:hAnsi="Courier New" w:cs="Courier New"/>
          <w:sz w:val="24"/>
          <w:szCs w:val="24"/>
          <w:u w:val="single"/>
        </w:rPr>
        <w:t>Comments</w:t>
      </w:r>
      <w:r w:rsidRPr="00592F3F">
        <w:rPr>
          <w:rFonts w:ascii="Courier New" w:eastAsia="Times New Roman" w:hAnsi="Courier New"/>
          <w:sz w:val="24"/>
        </w:rPr>
        <w:t>:  A commenter suggested that</w:t>
      </w:r>
      <w:r>
        <w:rPr>
          <w:rFonts w:ascii="Courier New" w:eastAsia="Times New Roman" w:hAnsi="Courier New" w:cs="Courier New"/>
          <w:sz w:val="24"/>
          <w:szCs w:val="24"/>
        </w:rPr>
        <w:t>, in calculating the D/E rates, we use</w:t>
      </w:r>
      <w:r w:rsidRPr="00592F3F">
        <w:rPr>
          <w:rFonts w:ascii="Courier New" w:eastAsia="Times New Roman" w:hAnsi="Courier New"/>
          <w:sz w:val="24"/>
        </w:rPr>
        <w:t xml:space="preserve"> the earnings of the student’s household, and not just the earnings of the student.</w:t>
      </w:r>
    </w:p>
    <w:p w14:paraId="3996DE41" w14:textId="77777777" w:rsidR="00E144CA" w:rsidRPr="0011458F" w:rsidRDefault="00E144CA" w:rsidP="000E6297">
      <w:pPr>
        <w:spacing w:after="0" w:line="480" w:lineRule="auto"/>
        <w:rPr>
          <w:rFonts w:ascii="Courier New" w:eastAsia="Times New Roman" w:hAnsi="Courier New"/>
          <w:sz w:val="24"/>
        </w:rPr>
      </w:pPr>
      <w:r w:rsidRPr="00D140AB">
        <w:rPr>
          <w:rFonts w:ascii="Courier New" w:eastAsia="Times New Roman" w:hAnsi="Courier New" w:cs="Courier New"/>
          <w:sz w:val="24"/>
          <w:szCs w:val="24"/>
          <w:u w:val="single"/>
        </w:rPr>
        <w:t>Discussion</w:t>
      </w:r>
      <w:r w:rsidRPr="00592F3F">
        <w:rPr>
          <w:rFonts w:ascii="Courier New" w:eastAsia="Times New Roman" w:hAnsi="Courier New"/>
          <w:sz w:val="24"/>
        </w:rPr>
        <w:t xml:space="preserve">:  We do not believe it would be appropriate to use household earnings in the calculation of D/E rates.  The earnings of other members </w:t>
      </w:r>
      <w:r>
        <w:rPr>
          <w:rFonts w:ascii="Courier New" w:eastAsia="Times New Roman" w:hAnsi="Courier New" w:cs="Courier New"/>
          <w:sz w:val="24"/>
          <w:szCs w:val="24"/>
        </w:rPr>
        <w:t>of</w:t>
      </w:r>
      <w:r w:rsidRPr="00592F3F">
        <w:rPr>
          <w:rFonts w:ascii="Courier New" w:eastAsia="Times New Roman" w:hAnsi="Courier New"/>
          <w:sz w:val="24"/>
        </w:rPr>
        <w:t xml:space="preserve"> the household have no relation to </w:t>
      </w:r>
      <w:r w:rsidRPr="00592F3F">
        <w:rPr>
          <w:rFonts w:ascii="Courier New" w:eastAsia="Times New Roman" w:hAnsi="Courier New"/>
          <w:sz w:val="24"/>
        </w:rPr>
        <w:lastRenderedPageBreak/>
        <w:t xml:space="preserve">the assessment of the effectiveness of the program in which the student was enrolled.  </w:t>
      </w:r>
    </w:p>
    <w:p w14:paraId="6BD9319C" w14:textId="77777777" w:rsidR="00E144CA" w:rsidRPr="0011458F" w:rsidRDefault="00E144CA" w:rsidP="000E6297">
      <w:pPr>
        <w:spacing w:after="0" w:line="480" w:lineRule="auto"/>
        <w:rPr>
          <w:rFonts w:ascii="Courier New" w:eastAsia="Times New Roman" w:hAnsi="Courier New"/>
          <w:sz w:val="24"/>
        </w:rPr>
      </w:pPr>
      <w:r w:rsidRPr="00592F3F">
        <w:rPr>
          <w:rFonts w:ascii="Courier New" w:eastAsia="Times New Roman" w:hAnsi="Courier New"/>
          <w:sz w:val="24"/>
          <w:u w:val="single"/>
        </w:rPr>
        <w:t>Changes</w:t>
      </w:r>
      <w:r w:rsidRPr="0011458F">
        <w:rPr>
          <w:rFonts w:ascii="Courier New" w:eastAsia="Times New Roman" w:hAnsi="Courier New"/>
          <w:sz w:val="24"/>
        </w:rPr>
        <w:t xml:space="preserve">: </w:t>
      </w:r>
      <w:r>
        <w:rPr>
          <w:rFonts w:ascii="Courier New" w:eastAsia="Times New Roman" w:hAnsi="Courier New"/>
          <w:sz w:val="24"/>
        </w:rPr>
        <w:t xml:space="preserve"> </w:t>
      </w:r>
      <w:r w:rsidRPr="0011458F">
        <w:rPr>
          <w:rFonts w:ascii="Courier New" w:eastAsia="Times New Roman" w:hAnsi="Courier New"/>
          <w:sz w:val="24"/>
        </w:rPr>
        <w:t xml:space="preserve">None. </w:t>
      </w:r>
    </w:p>
    <w:p w14:paraId="06513140" w14:textId="7D256C85"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One commenter recommended using the earnings of the top 10 percent of earners in the cohort in the denominator of the D/E rates calculations, rather than the higher of the mean or median earnings of all students who completed the program in the</w:t>
      </w:r>
      <w:r w:rsidRPr="00D140AB" w:rsidDel="009F3E65">
        <w:rPr>
          <w:rFonts w:ascii="Courier New" w:eastAsia="Times New Roman" w:hAnsi="Courier New" w:cs="Courier New"/>
          <w:sz w:val="24"/>
          <w:szCs w:val="24"/>
        </w:rPr>
        <w:t xml:space="preserve"> </w:t>
      </w:r>
      <w:r w:rsidRPr="00D140AB">
        <w:rPr>
          <w:rFonts w:ascii="Courier New" w:eastAsia="Times New Roman" w:hAnsi="Courier New" w:cs="Courier New"/>
          <w:sz w:val="24"/>
          <w:szCs w:val="24"/>
        </w:rPr>
        <w:t xml:space="preserve">cohort period (other than those excluded under §668.404(e)).  The commenter believed that using the top 10 percent of earners would best represent the earnings potential of students who complete the program and would mitigate the effects of students who opt to leave the workforce, work other than full-time, work in a different field, or are not top performers at work. </w:t>
      </w:r>
    </w:p>
    <w:p w14:paraId="73DB1639"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The regulations seek to measure program-level performance,</w:t>
      </w:r>
      <w:r w:rsidRPr="00D140AB" w:rsidDel="008A3201">
        <w:rPr>
          <w:rFonts w:ascii="Courier New" w:eastAsia="Times New Roman" w:hAnsi="Courier New" w:cs="Courier New"/>
          <w:sz w:val="24"/>
          <w:szCs w:val="24"/>
        </w:rPr>
        <w:t xml:space="preserve"> </w:t>
      </w:r>
      <w:r w:rsidRPr="00D140AB">
        <w:rPr>
          <w:rFonts w:ascii="Courier New" w:eastAsia="Times New Roman" w:hAnsi="Courier New" w:cs="Courier New"/>
          <w:sz w:val="24"/>
          <w:szCs w:val="24"/>
        </w:rPr>
        <w:t xml:space="preserve">which we believe is best accomplished by including the outcomes of all students who completed a program.  An assessment of just the top 10 percent of earners may provide information on how those particular students are faring, but would say little about actual overall program performance.  For example, if the other 90 percent of students were unable to secure employment, then reviewing the outcomes of just the top 10 percent would result in a substantially inaccurate assessment.  Further, as discussed in this section and in “§668.403  Gainful Employment Program Framework,” we believe </w:t>
      </w:r>
      <w:r w:rsidRPr="00D140AB">
        <w:rPr>
          <w:rFonts w:ascii="Courier New" w:eastAsia="Times New Roman" w:hAnsi="Courier New" w:cs="Courier New"/>
          <w:sz w:val="24"/>
          <w:szCs w:val="24"/>
        </w:rPr>
        <w:lastRenderedPageBreak/>
        <w:t xml:space="preserve">several aspects of the regulations, including use of mean and median earnings, use of a multi-year cohort period with a minimum n-size, and allowing several years of non-passing results before a program loses eligibility for title IV, HEA program funds </w:t>
      </w:r>
      <w:r w:rsidRPr="00D140AB">
        <w:rPr>
          <w:rFonts w:ascii="Courier New" w:hAnsi="Courier New" w:cs="Courier New"/>
          <w:sz w:val="24"/>
          <w:szCs w:val="24"/>
        </w:rPr>
        <w:t xml:space="preserve">reduce the likelihood </w:t>
      </w:r>
      <w:r>
        <w:rPr>
          <w:rFonts w:ascii="Courier New" w:hAnsi="Courier New" w:cs="Courier New"/>
          <w:sz w:val="24"/>
          <w:szCs w:val="24"/>
        </w:rPr>
        <w:t>to close to zero</w:t>
      </w:r>
      <w:r w:rsidRPr="00D140AB">
        <w:rPr>
          <w:rFonts w:ascii="Courier New" w:hAnsi="Courier New" w:cs="Courier New"/>
          <w:sz w:val="24"/>
          <w:szCs w:val="24"/>
        </w:rPr>
        <w:t xml:space="preserve"> that a </w:t>
      </w:r>
      <w:r>
        <w:rPr>
          <w:rFonts w:ascii="Courier New" w:hAnsi="Courier New" w:cs="Courier New"/>
          <w:sz w:val="24"/>
          <w:szCs w:val="24"/>
        </w:rPr>
        <w:t>typically</w:t>
      </w:r>
      <w:r w:rsidRPr="00D140AB">
        <w:rPr>
          <w:rFonts w:ascii="Courier New" w:hAnsi="Courier New" w:cs="Courier New"/>
          <w:sz w:val="24"/>
          <w:szCs w:val="24"/>
        </w:rPr>
        <w:t xml:space="preserve"> </w:t>
      </w:r>
      <w:r>
        <w:rPr>
          <w:rFonts w:ascii="Courier New" w:hAnsi="Courier New" w:cs="Courier New"/>
          <w:sz w:val="24"/>
          <w:szCs w:val="24"/>
        </w:rPr>
        <w:t xml:space="preserve">passing </w:t>
      </w:r>
      <w:r w:rsidRPr="00D140AB">
        <w:rPr>
          <w:rFonts w:ascii="Courier New" w:hAnsi="Courier New" w:cs="Courier New"/>
          <w:sz w:val="24"/>
          <w:szCs w:val="24"/>
        </w:rPr>
        <w:t>program will be mischaracterized</w:t>
      </w:r>
      <w:r>
        <w:rPr>
          <w:rFonts w:ascii="Courier New" w:hAnsi="Courier New" w:cs="Courier New"/>
          <w:sz w:val="24"/>
          <w:szCs w:val="24"/>
        </w:rPr>
        <w:t xml:space="preserve"> </w:t>
      </w:r>
      <w:r w:rsidRPr="00D140AB">
        <w:rPr>
          <w:rFonts w:ascii="Courier New" w:hAnsi="Courier New" w:cs="Courier New"/>
          <w:sz w:val="24"/>
          <w:szCs w:val="24"/>
        </w:rPr>
        <w:t xml:space="preserve"> as failing</w:t>
      </w:r>
      <w:r>
        <w:rPr>
          <w:rFonts w:ascii="Courier New" w:hAnsi="Courier New" w:cs="Courier New"/>
          <w:sz w:val="24"/>
          <w:szCs w:val="24"/>
        </w:rPr>
        <w:t xml:space="preserve"> or in the zone due to an atypical cohort of students who complete the program such as those identified by the commenter</w:t>
      </w:r>
      <w:r w:rsidRPr="00D140AB">
        <w:rPr>
          <w:rFonts w:ascii="Courier New" w:hAnsi="Courier New" w:cs="Courier New"/>
          <w:sz w:val="24"/>
          <w:szCs w:val="24"/>
        </w:rPr>
        <w:t xml:space="preserve">.  </w:t>
      </w:r>
    </w:p>
    <w:p w14:paraId="36F08ED4"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Changes</w:t>
      </w:r>
      <w:r w:rsidRPr="00D140AB">
        <w:rPr>
          <w:rFonts w:ascii="Courier New" w:eastAsia="Times New Roman" w:hAnsi="Courier New" w:cs="Courier New"/>
          <w:sz w:val="24"/>
          <w:szCs w:val="24"/>
        </w:rPr>
        <w:t>:  None.</w:t>
      </w:r>
    </w:p>
    <w:p w14:paraId="74A401CA"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xml:space="preserve">:  One commenter argued that the Department should consider policies that would help students succeed in the recovering labor market, rather than examine average graduate earnings. </w:t>
      </w:r>
    </w:p>
    <w:p w14:paraId="52E5A2F5"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xml:space="preserve">:  We agree with the commenter that policies should be designed to help students succeed in the job market.  These regulations are intended to accomplish this very objective, at least partly by measuring student earnings outcomes.  As a result of the disclosure requirements, which will include earnings information, </w:t>
      </w:r>
      <w:r>
        <w:rPr>
          <w:rFonts w:ascii="Courier New" w:eastAsia="Times New Roman" w:hAnsi="Courier New" w:cs="Courier New"/>
          <w:sz w:val="24"/>
          <w:szCs w:val="24"/>
        </w:rPr>
        <w:t xml:space="preserve">students and </w:t>
      </w:r>
      <w:r w:rsidRPr="00D140AB">
        <w:rPr>
          <w:rFonts w:ascii="Courier New" w:eastAsia="Times New Roman" w:hAnsi="Courier New" w:cs="Courier New"/>
          <w:sz w:val="24"/>
          <w:szCs w:val="24"/>
        </w:rPr>
        <w:t>prospective students will have access to more and better information about GE programs so that they can choose a program more likely to lead to successful employment outcomes.  The minimum certification requirements will ensure that all GE programs provide students who complete program</w:t>
      </w:r>
      <w:r>
        <w:rPr>
          <w:rFonts w:ascii="Courier New" w:eastAsia="Times New Roman" w:hAnsi="Courier New" w:cs="Courier New"/>
          <w:sz w:val="24"/>
          <w:szCs w:val="24"/>
        </w:rPr>
        <w:t>s</w:t>
      </w:r>
      <w:r w:rsidRPr="00D140AB">
        <w:rPr>
          <w:rFonts w:ascii="Courier New" w:eastAsia="Times New Roman" w:hAnsi="Courier New" w:cs="Courier New"/>
          <w:sz w:val="24"/>
          <w:szCs w:val="24"/>
        </w:rPr>
        <w:t xml:space="preserve"> with the basic academic qualifications necessary for </w:t>
      </w:r>
      <w:r w:rsidRPr="00D140AB">
        <w:rPr>
          <w:rFonts w:ascii="Courier New" w:eastAsia="Times New Roman" w:hAnsi="Courier New" w:cs="Courier New"/>
          <w:sz w:val="24"/>
          <w:szCs w:val="24"/>
        </w:rPr>
        <w:lastRenderedPageBreak/>
        <w:t>obtaining employment in the</w:t>
      </w:r>
      <w:r>
        <w:rPr>
          <w:rFonts w:ascii="Courier New" w:eastAsia="Times New Roman" w:hAnsi="Courier New" w:cs="Courier New"/>
          <w:sz w:val="24"/>
          <w:szCs w:val="24"/>
        </w:rPr>
        <w:t>ir</w:t>
      </w:r>
      <w:r w:rsidRPr="00D140AB">
        <w:rPr>
          <w:rFonts w:ascii="Courier New" w:eastAsia="Times New Roman" w:hAnsi="Courier New" w:cs="Courier New"/>
          <w:sz w:val="24"/>
          <w:szCs w:val="24"/>
        </w:rPr>
        <w:t xml:space="preserve"> field of training.  And, because programs will be held accountable for the outcomes of their students under the D/E rates measure, which requires an assessment of earnings, we expect that, over time, institutions will offer more high-quality programs in fields where students can secure employment at wages that allow them to repay their debt.     </w:t>
      </w:r>
    </w:p>
    <w:p w14:paraId="4EA98584" w14:textId="77777777" w:rsidR="00E144CA" w:rsidRPr="00D140AB" w:rsidRDefault="00E144CA" w:rsidP="000E6297">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Changes</w:t>
      </w:r>
      <w:r w:rsidRPr="00D140AB">
        <w:rPr>
          <w:rFonts w:ascii="Courier New" w:eastAsia="Times New Roman" w:hAnsi="Courier New" w:cs="Courier New"/>
          <w:sz w:val="24"/>
          <w:szCs w:val="24"/>
        </w:rPr>
        <w:t>:  None.</w:t>
      </w:r>
    </w:p>
    <w:p w14:paraId="58740419" w14:textId="77777777" w:rsidR="00E144CA" w:rsidRPr="00D140AB" w:rsidRDefault="00E144CA" w:rsidP="000E6297">
      <w:pPr>
        <w:pStyle w:val="Heading2"/>
        <w:ind w:left="0"/>
      </w:pPr>
      <w:r w:rsidRPr="00D140AB">
        <w:t>Poverty Guideline</w:t>
      </w:r>
    </w:p>
    <w:p w14:paraId="75CE298A" w14:textId="77777777" w:rsidR="00E144CA" w:rsidRPr="00D140AB" w:rsidRDefault="00E144CA" w:rsidP="000E6297">
      <w:pPr>
        <w:autoSpaceDE w:val="0"/>
        <w:autoSpaceDN w:val="0"/>
        <w:adjustRightInd w:val="0"/>
        <w:spacing w:after="0" w:line="480" w:lineRule="auto"/>
        <w:rPr>
          <w:rFonts w:ascii="Courier New" w:eastAsia="SimSun" w:hAnsi="Courier New" w:cs="Courier New"/>
          <w:color w:val="000000"/>
          <w:sz w:val="24"/>
          <w:szCs w:val="24"/>
        </w:rPr>
      </w:pPr>
      <w:r w:rsidRPr="00D140AB">
        <w:rPr>
          <w:rFonts w:ascii="Courier New" w:eastAsia="SimSun" w:hAnsi="Courier New" w:cs="Courier New"/>
          <w:color w:val="000000"/>
          <w:sz w:val="24"/>
          <w:szCs w:val="24"/>
          <w:u w:val="single"/>
        </w:rPr>
        <w:t>Comments</w:t>
      </w:r>
      <w:r w:rsidRPr="00D140AB">
        <w:rPr>
          <w:rFonts w:ascii="Courier New" w:eastAsia="SimSun" w:hAnsi="Courier New" w:cs="Courier New"/>
          <w:color w:val="000000"/>
          <w:sz w:val="24"/>
          <w:szCs w:val="24"/>
        </w:rPr>
        <w:t xml:space="preserve">:  Some commenters noted that in calculating the discretionary income rate under the proposed regulations, the Department would use the most currently available annual earnings and the most currently available Poverty Guideline, but those items would correspond to different years.  The commenters provided an example where the most currently available annual earnings year might be the 2014 tax year, but the Poverty Guideline used to calculate the rate could be for the 2015 year.  According to the commenter, this discrepancy could negatively affect a program’s discretionary income rate because the benefit of obtaining the education would not be observed if historical earnings are used.  The commenters suggested that, to the extent possible, the Department should use the Poverty Guideline for the same year that the Department obtains SSA earnings data.  </w:t>
      </w:r>
    </w:p>
    <w:p w14:paraId="011C9A02"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Discussion</w:t>
      </w:r>
      <w:r w:rsidRPr="00D140AB">
        <w:rPr>
          <w:rFonts w:ascii="Courier New" w:eastAsia="SimSun" w:hAnsi="Courier New" w:cs="Courier New"/>
          <w:sz w:val="24"/>
          <w:szCs w:val="24"/>
        </w:rPr>
        <w:t>:  Under the discretionary income rate, a portion of annual earnings, the amount equal to 150 percent of the Poverty Guideline for a family size of one, i</w:t>
      </w:r>
      <w:r>
        <w:rPr>
          <w:rFonts w:ascii="Courier New" w:eastAsia="SimSun" w:hAnsi="Courier New" w:cs="Courier New"/>
          <w:sz w:val="24"/>
          <w:szCs w:val="24"/>
        </w:rPr>
        <w:t>s considered to be</w:t>
      </w:r>
      <w:r w:rsidRPr="00D140AB">
        <w:rPr>
          <w:rFonts w:ascii="Courier New" w:eastAsia="SimSun" w:hAnsi="Courier New" w:cs="Courier New"/>
          <w:sz w:val="24"/>
          <w:szCs w:val="24"/>
        </w:rPr>
        <w:t xml:space="preserve"> protected or reserved to enable students to meet basic living costs.  </w:t>
      </w:r>
      <w:r>
        <w:rPr>
          <w:rFonts w:ascii="Courier New" w:eastAsia="SimSun" w:hAnsi="Courier New" w:cs="Courier New"/>
          <w:sz w:val="24"/>
          <w:szCs w:val="24"/>
        </w:rPr>
        <w:t>Only t</w:t>
      </w:r>
      <w:r w:rsidRPr="00D140AB">
        <w:rPr>
          <w:rFonts w:ascii="Courier New" w:eastAsia="SimSun" w:hAnsi="Courier New" w:cs="Courier New"/>
          <w:sz w:val="24"/>
          <w:szCs w:val="24"/>
        </w:rPr>
        <w:t xml:space="preserve">he remaining amount of annual earnings </w:t>
      </w:r>
      <w:r>
        <w:rPr>
          <w:rFonts w:ascii="Courier New" w:eastAsia="SimSun" w:hAnsi="Courier New" w:cs="Courier New"/>
          <w:sz w:val="24"/>
          <w:szCs w:val="24"/>
        </w:rPr>
        <w:t>is</w:t>
      </w:r>
      <w:r w:rsidRPr="00D140AB">
        <w:rPr>
          <w:rFonts w:ascii="Courier New" w:eastAsia="SimSun" w:hAnsi="Courier New" w:cs="Courier New"/>
          <w:sz w:val="24"/>
          <w:szCs w:val="24"/>
        </w:rPr>
        <w:t xml:space="preserve"> </w:t>
      </w:r>
      <w:r>
        <w:rPr>
          <w:rFonts w:ascii="Courier New" w:eastAsia="SimSun" w:hAnsi="Courier New" w:cs="Courier New"/>
          <w:sz w:val="24"/>
          <w:szCs w:val="24"/>
        </w:rPr>
        <w:t xml:space="preserve">considered to be </w:t>
      </w:r>
      <w:r w:rsidRPr="00D140AB">
        <w:rPr>
          <w:rFonts w:ascii="Courier New" w:eastAsia="SimSun" w:hAnsi="Courier New" w:cs="Courier New"/>
          <w:sz w:val="24"/>
          <w:szCs w:val="24"/>
        </w:rPr>
        <w:t xml:space="preserve">available to make loan payments.  </w:t>
      </w:r>
    </w:p>
    <w:p w14:paraId="414CF067" w14:textId="76850A85"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As explained by the Department of Health and Human Services (HHS)</w:t>
      </w:r>
      <w:r w:rsidR="00E144CA" w:rsidRPr="00D140AB" w:rsidDel="007F327B">
        <w:rPr>
          <w:rFonts w:ascii="Courier New" w:eastAsia="SimSun" w:hAnsi="Courier New" w:cs="Courier New"/>
          <w:sz w:val="24"/>
          <w:szCs w:val="24"/>
        </w:rPr>
        <w:t>,</w:t>
      </w:r>
      <w:r w:rsidR="00E144CA" w:rsidRPr="00D140AB">
        <w:rPr>
          <w:rFonts w:ascii="Courier New" w:eastAsia="SimSun" w:hAnsi="Courier New" w:cs="Courier New"/>
          <w:sz w:val="24"/>
          <w:szCs w:val="24"/>
        </w:rPr>
        <w:t xml:space="preserve"> the Poverty Guidelines issued at the beginning of a calendar year reflect price changes for the most recently completed calendar year.</w:t>
      </w:r>
      <w:r w:rsidR="00E144CA" w:rsidRPr="00D140AB">
        <w:rPr>
          <w:rStyle w:val="FootnoteReference"/>
          <w:rFonts w:ascii="Courier New" w:eastAsia="SimSun" w:hAnsi="Courier New" w:cs="Courier New"/>
          <w:sz w:val="24"/>
          <w:szCs w:val="24"/>
        </w:rPr>
        <w:footnoteReference w:id="135"/>
      </w:r>
      <w:r w:rsidR="00E144CA" w:rsidRPr="00D140AB">
        <w:rPr>
          <w:rFonts w:ascii="Courier New" w:eastAsia="SimSun" w:hAnsi="Courier New" w:cs="Courier New"/>
          <w:sz w:val="24"/>
          <w:szCs w:val="24"/>
        </w:rPr>
        <w:t xml:space="preserve">  In the example provided by HHS, the Poverty Guidelines issued in January 2014 take into account the price changes that occurred during the entire 2013 calendar year.  Because the HHS process typically results in higher Poverty Guidelines from year to year, we agree with the commenters that the Poverty Guideline used to calculate the discretionary income rate should correspond with the year for which we obtain earnings data from SSA.  Otherwise, earnings would be over-protected.  For example, as shown </w:t>
      </w:r>
      <w:r w:rsidR="00E144CA">
        <w:rPr>
          <w:rFonts w:ascii="Courier New" w:eastAsia="SimSun" w:hAnsi="Courier New" w:cs="Courier New"/>
          <w:sz w:val="24"/>
          <w:szCs w:val="24"/>
        </w:rPr>
        <w:t>i</w:t>
      </w:r>
      <w:r w:rsidR="00E144CA" w:rsidRPr="00D140AB">
        <w:rPr>
          <w:rFonts w:ascii="Courier New" w:eastAsia="SimSun" w:hAnsi="Courier New" w:cs="Courier New"/>
          <w:sz w:val="24"/>
          <w:szCs w:val="24"/>
        </w:rPr>
        <w:t>n the chart under “</w:t>
      </w:r>
      <w:r w:rsidR="00E144CA" w:rsidRPr="00D140AB">
        <w:rPr>
          <w:rFonts w:ascii="Courier New" w:hAnsi="Courier New" w:cs="Courier New"/>
          <w:sz w:val="24"/>
          <w:szCs w:val="24"/>
        </w:rPr>
        <w:t xml:space="preserve">Two-Year Cohort Period,” </w:t>
      </w:r>
      <w:r w:rsidR="00E144CA" w:rsidRPr="00D140AB">
        <w:rPr>
          <w:rFonts w:ascii="Courier New" w:eastAsia="SimSun" w:hAnsi="Courier New" w:cs="Courier New"/>
          <w:sz w:val="24"/>
          <w:szCs w:val="24"/>
        </w:rPr>
        <w:t xml:space="preserve">we will not obtain earnings data from SSA for the 2014 calendar year until early 2016.  So, under the proposed regulations we would have calculated the discretionary income rate using 2014 calendar year earnings and </w:t>
      </w:r>
      <w:r w:rsidR="00E144CA" w:rsidRPr="00D140AB">
        <w:rPr>
          <w:rFonts w:ascii="Courier New" w:eastAsia="SimSun" w:hAnsi="Courier New" w:cs="Courier New"/>
          <w:sz w:val="24"/>
          <w:szCs w:val="24"/>
        </w:rPr>
        <w:lastRenderedPageBreak/>
        <w:t xml:space="preserve">the Poverty Guideline published by HHS in 2016, which would reflect price changes in 2015.  </w:t>
      </w:r>
      <w:r w:rsidR="00E144CA">
        <w:rPr>
          <w:rFonts w:ascii="Courier New" w:eastAsia="SimSun" w:hAnsi="Courier New" w:cs="Courier New"/>
          <w:sz w:val="24"/>
          <w:szCs w:val="24"/>
        </w:rPr>
        <w:t>I</w:t>
      </w:r>
      <w:r w:rsidR="00E144CA" w:rsidRPr="00D140AB">
        <w:rPr>
          <w:rFonts w:ascii="Courier New" w:eastAsia="SimSun" w:hAnsi="Courier New" w:cs="Courier New"/>
          <w:sz w:val="24"/>
          <w:szCs w:val="24"/>
        </w:rPr>
        <w:t xml:space="preserve">t would be more appropriate to use the Poverty Guideline that reflects the price changes during the calendar year for which we obtained earnings, 2014, which would be the Poverty Guideline published in 2015 by HHS.    </w:t>
      </w:r>
    </w:p>
    <w:p w14:paraId="3FAF89AB" w14:textId="77777777" w:rsidR="00E144CA" w:rsidRPr="00D140AB" w:rsidRDefault="00E144CA" w:rsidP="000E629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We have revised §668.404(a)(1) to specify that in calculating the discretionary income rate, the Department will use </w:t>
      </w:r>
      <w:r w:rsidRPr="00D140AB">
        <w:rPr>
          <w:rFonts w:ascii="Courier New" w:eastAsia="SimSun" w:hAnsi="Courier New" w:cs="Courier New"/>
          <w:sz w:val="24"/>
          <w:szCs w:val="24"/>
          <w:lang w:eastAsia="zh-CN"/>
        </w:rPr>
        <w:t xml:space="preserve">the Poverty Guideline for the calendar year </w:t>
      </w:r>
      <w:r>
        <w:rPr>
          <w:rFonts w:ascii="Courier New" w:eastAsia="SimSun" w:hAnsi="Courier New" w:cs="Courier New"/>
          <w:sz w:val="24"/>
          <w:szCs w:val="24"/>
          <w:lang w:eastAsia="zh-CN"/>
        </w:rPr>
        <w:t xml:space="preserve">immediately following </w:t>
      </w:r>
      <w:r w:rsidRPr="00D140AB">
        <w:rPr>
          <w:rFonts w:ascii="Courier New" w:eastAsia="SimSun" w:hAnsi="Courier New" w:cs="Courier New"/>
          <w:sz w:val="24"/>
          <w:szCs w:val="24"/>
          <w:lang w:eastAsia="zh-CN"/>
        </w:rPr>
        <w:t xml:space="preserve">the calendar year for which the Department obtains earnings data from SSA. </w:t>
      </w:r>
    </w:p>
    <w:p w14:paraId="4C4139CA"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One commenter stated that </w:t>
      </w:r>
      <w:r>
        <w:rPr>
          <w:rFonts w:ascii="Courier New" w:eastAsia="SimSun" w:hAnsi="Courier New" w:cs="Courier New"/>
          <w:sz w:val="24"/>
          <w:szCs w:val="24"/>
        </w:rPr>
        <w:t xml:space="preserve">according to </w:t>
      </w:r>
      <w:r w:rsidRPr="00D140AB">
        <w:rPr>
          <w:rFonts w:ascii="Courier New" w:eastAsia="SimSun" w:hAnsi="Courier New" w:cs="Courier New"/>
          <w:sz w:val="24"/>
          <w:szCs w:val="24"/>
        </w:rPr>
        <w:t>2011-2012 NPSAS data, of students attending for-profit institutions, 50 percent have dependent children and 30 percent have at least two dependent children.  In view of this information, the commenter concluded that because the discretionary income rate is calculated based on an assumed family size of one, student debt burden is understated.</w:t>
      </w:r>
    </w:p>
    <w:p w14:paraId="7D52DDF6" w14:textId="68F1940A"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Similarly, other commenters suggested that the Department use the Poverty Guideline for families.  The commenters believed that institutions should be sensitive to students with dependents who are seeking to improve their credentials and earnings by enrolling in GE programs and that using the appropriate Poverty Guideline would provide that incentive to institutions.</w:t>
      </w:r>
    </w:p>
    <w:p w14:paraId="6F1A0F90"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Discussion</w:t>
      </w:r>
      <w:r w:rsidRPr="00D140AB">
        <w:rPr>
          <w:rFonts w:ascii="Courier New" w:eastAsia="SimSun" w:hAnsi="Courier New" w:cs="Courier New"/>
          <w:sz w:val="24"/>
          <w:szCs w:val="24"/>
        </w:rPr>
        <w:t>:  Although we agree that applying the Poverty Guideline based on actual family size would result in a more precise assessment of loan burden, it would be difficult and highly burdensome, if not impossible, to adopt this approach.  There is no apparent way for either institutions or the Department to collect information about the family size of students after they complete a program.  At or before the time students enroll in a GE program</w:t>
      </w:r>
      <w:r>
        <w:rPr>
          <w:rFonts w:ascii="Courier New" w:eastAsia="SimSun" w:hAnsi="Courier New" w:cs="Courier New"/>
          <w:sz w:val="24"/>
          <w:szCs w:val="24"/>
        </w:rPr>
        <w:t>,</w:t>
      </w:r>
      <w:r w:rsidRPr="00D140AB">
        <w:rPr>
          <w:rFonts w:ascii="Courier New" w:eastAsia="SimSun" w:hAnsi="Courier New" w:cs="Courier New"/>
          <w:sz w:val="24"/>
          <w:szCs w:val="24"/>
        </w:rPr>
        <w:t xml:space="preserve"> they may have reported the number of dependents on the FAFSA, but that information may change between the time students complete</w:t>
      </w:r>
      <w:r>
        <w:rPr>
          <w:rFonts w:ascii="Courier New" w:eastAsia="SimSun" w:hAnsi="Courier New" w:cs="Courier New"/>
          <w:sz w:val="24"/>
          <w:szCs w:val="24"/>
        </w:rPr>
        <w:t>d</w:t>
      </w:r>
      <w:r w:rsidRPr="00D140AB">
        <w:rPr>
          <w:rFonts w:ascii="Courier New" w:eastAsia="SimSun" w:hAnsi="Courier New" w:cs="Courier New"/>
          <w:sz w:val="24"/>
          <w:szCs w:val="24"/>
        </w:rPr>
        <w:t xml:space="preserve"> </w:t>
      </w:r>
      <w:r w:rsidRPr="00D140AB" w:rsidDel="004601BB">
        <w:rPr>
          <w:rFonts w:ascii="Courier New" w:eastAsia="SimSun" w:hAnsi="Courier New" w:cs="Courier New"/>
          <w:sz w:val="24"/>
          <w:szCs w:val="24"/>
        </w:rPr>
        <w:t xml:space="preserve">the program </w:t>
      </w:r>
      <w:r w:rsidRPr="00D140AB">
        <w:rPr>
          <w:rFonts w:ascii="Courier New" w:eastAsia="SimSun" w:hAnsi="Courier New" w:cs="Courier New"/>
          <w:sz w:val="24"/>
          <w:szCs w:val="24"/>
        </w:rPr>
        <w:t xml:space="preserve">and when the Department calculates the D/E rates.  Even if we were able to collect accurate information, applying a different Poverty Guideline for each student who completed a program, or otherwise accounting for differences in family size, would not only complicate the calculation but result in D/E rates that may not be comparable as there would be different assumptions for discretionary income for different programs.  The rate for a program with an average family size of </w:t>
      </w:r>
      <w:r>
        <w:rPr>
          <w:rFonts w:ascii="Courier New" w:eastAsia="SimSun" w:hAnsi="Courier New" w:cs="Courier New"/>
          <w:sz w:val="24"/>
          <w:szCs w:val="24"/>
        </w:rPr>
        <w:t>two</w:t>
      </w:r>
      <w:r w:rsidRPr="00D140AB">
        <w:rPr>
          <w:rFonts w:ascii="Courier New" w:eastAsia="SimSun" w:hAnsi="Courier New" w:cs="Courier New"/>
          <w:sz w:val="24"/>
          <w:szCs w:val="24"/>
        </w:rPr>
        <w:t xml:space="preserve"> would be different than the rate for the same program with an average family size of </w:t>
      </w:r>
      <w:r>
        <w:rPr>
          <w:rFonts w:ascii="Courier New" w:eastAsia="SimSun" w:hAnsi="Courier New" w:cs="Courier New"/>
          <w:sz w:val="24"/>
          <w:szCs w:val="24"/>
        </w:rPr>
        <w:t>four</w:t>
      </w:r>
      <w:r w:rsidRPr="00D140AB">
        <w:rPr>
          <w:rFonts w:ascii="Courier New" w:eastAsia="SimSun" w:hAnsi="Courier New" w:cs="Courier New"/>
          <w:sz w:val="24"/>
          <w:szCs w:val="24"/>
        </w:rPr>
        <w:t xml:space="preserve">, creating situations where the Department would not be uniformly assessing the performance of programs and making it difficult for students </w:t>
      </w:r>
      <w:r>
        <w:rPr>
          <w:rFonts w:ascii="Courier New" w:eastAsia="SimSun" w:hAnsi="Courier New" w:cs="Courier New"/>
          <w:sz w:val="24"/>
          <w:szCs w:val="24"/>
        </w:rPr>
        <w:t xml:space="preserve">and prospective students </w:t>
      </w:r>
      <w:r w:rsidRPr="00D140AB">
        <w:rPr>
          <w:rFonts w:ascii="Courier New" w:eastAsia="SimSun" w:hAnsi="Courier New" w:cs="Courier New"/>
          <w:sz w:val="24"/>
          <w:szCs w:val="24"/>
        </w:rPr>
        <w:t xml:space="preserve">to compare programs.  </w:t>
      </w:r>
    </w:p>
    <w:p w14:paraId="55D4086A" w14:textId="77777777" w:rsidR="00E144CA" w:rsidRPr="00D140AB" w:rsidRDefault="00E144CA" w:rsidP="000E629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Changes</w:t>
      </w:r>
      <w:r w:rsidRPr="00D140AB">
        <w:rPr>
          <w:rFonts w:ascii="Courier New" w:eastAsia="SimSun" w:hAnsi="Courier New" w:cs="Courier New"/>
          <w:sz w:val="24"/>
          <w:szCs w:val="24"/>
          <w:lang w:eastAsia="zh-CN"/>
        </w:rPr>
        <w:t>:  None.</w:t>
      </w:r>
    </w:p>
    <w:p w14:paraId="4253A326" w14:textId="77777777" w:rsidR="00E144CA" w:rsidRPr="00D140AB" w:rsidRDefault="00E144CA" w:rsidP="000E6297">
      <w:pPr>
        <w:pStyle w:val="Heading2"/>
        <w:ind w:left="0"/>
        <w:rPr>
          <w:lang w:eastAsia="zh-CN"/>
        </w:rPr>
      </w:pPr>
      <w:r w:rsidRPr="00D140AB">
        <w:rPr>
          <w:lang w:eastAsia="zh-CN"/>
        </w:rPr>
        <w:lastRenderedPageBreak/>
        <w:t>Loan Debt</w:t>
      </w:r>
    </w:p>
    <w:p w14:paraId="1DA6BE13"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Several commenters were critical of the Department’s proposal to calculate a program’s loan debt only as a median.  The commenters recommended that we apply the lower of the mean or median loan debt to the D/E rates calculation.  Some of these commenters argued that using the median loan debt would create distorted assessments of debt burden for programs that have a small number of students </w:t>
      </w:r>
      <w:r>
        <w:rPr>
          <w:rFonts w:ascii="Courier New" w:eastAsia="SimSun" w:hAnsi="Courier New" w:cs="Courier New"/>
          <w:sz w:val="24"/>
          <w:szCs w:val="24"/>
        </w:rPr>
        <w:t xml:space="preserve">who </w:t>
      </w:r>
      <w:r w:rsidRPr="00D140AB">
        <w:rPr>
          <w:rFonts w:ascii="Courier New" w:eastAsia="SimSun" w:hAnsi="Courier New" w:cs="Courier New"/>
          <w:sz w:val="24"/>
          <w:szCs w:val="24"/>
        </w:rPr>
        <w:t>complet</w:t>
      </w:r>
      <w:r>
        <w:rPr>
          <w:rFonts w:ascii="Courier New" w:eastAsia="SimSun" w:hAnsi="Courier New" w:cs="Courier New"/>
          <w:sz w:val="24"/>
          <w:szCs w:val="24"/>
        </w:rPr>
        <w:t>ed</w:t>
      </w:r>
      <w:r w:rsidRPr="00D140AB">
        <w:rPr>
          <w:rFonts w:ascii="Courier New" w:eastAsia="SimSun" w:hAnsi="Courier New" w:cs="Courier New"/>
          <w:sz w:val="24"/>
          <w:szCs w:val="24"/>
        </w:rPr>
        <w:t xml:space="preserve">. </w:t>
      </w:r>
    </w:p>
    <w:p w14:paraId="20D6AD81" w14:textId="16C92A10" w:rsidR="00E144CA" w:rsidRPr="00D140AB" w:rsidRDefault="000E6297" w:rsidP="000E629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 number of commenters stated that using median loan debt would unfairly benefit low-cost programs offered by community colleges because the regulations cap loan debt at the lesser of the student’s tuition and fees and books, supplies, and equipment or the amount of debt the students incurred for enrollment in the program.  </w:t>
      </w:r>
      <w:r w:rsidR="00E144CA">
        <w:rPr>
          <w:rFonts w:ascii="Courier New" w:eastAsia="SimSun" w:hAnsi="Courier New" w:cs="Courier New"/>
          <w:sz w:val="24"/>
          <w:szCs w:val="24"/>
        </w:rPr>
        <w:t xml:space="preserve">Other </w:t>
      </w:r>
      <w:r w:rsidR="00E144CA" w:rsidRPr="00D140AB">
        <w:rPr>
          <w:rFonts w:ascii="Courier New" w:eastAsia="SimSun" w:hAnsi="Courier New" w:cs="Courier New"/>
          <w:sz w:val="24"/>
          <w:szCs w:val="24"/>
        </w:rPr>
        <w:t>commenter</w:t>
      </w:r>
      <w:r w:rsidR="00E144CA">
        <w:rPr>
          <w:rFonts w:ascii="Courier New" w:eastAsia="SimSun" w:hAnsi="Courier New" w:cs="Courier New"/>
          <w:sz w:val="24"/>
          <w:szCs w:val="24"/>
        </w:rPr>
        <w:t>s</w:t>
      </w:r>
      <w:r w:rsidR="00E144CA" w:rsidRPr="00D140AB">
        <w:rPr>
          <w:rFonts w:ascii="Courier New" w:eastAsia="SimSun" w:hAnsi="Courier New" w:cs="Courier New"/>
          <w:sz w:val="24"/>
          <w:szCs w:val="24"/>
        </w:rPr>
        <w:t xml:space="preserve"> suggested that instead of using the lesser of</w:t>
      </w:r>
      <w:r w:rsidR="00E144CA" w:rsidRPr="001B15E1">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these amounts to calculate the median loan debt, the Department should use the total amount of loan funds that a student used to pay direct charges</w:t>
      </w:r>
      <w:r w:rsidR="00E144CA">
        <w:rPr>
          <w:rFonts w:ascii="Courier New" w:eastAsia="SimSun" w:hAnsi="Courier New" w:cs="Courier New"/>
          <w:sz w:val="24"/>
          <w:szCs w:val="24"/>
        </w:rPr>
        <w:t xml:space="preserve"> after taking into account any grants or scholarships the student received to pay for these charges.  The commenters argued that if the D/E rates measure is designed to hold institutions accountable for how much they assess students for direct charges, the amount assessed should be the amount of direct costs net of institutional aid</w:t>
      </w:r>
      <w:r w:rsidR="00E144CA" w:rsidRPr="00D140AB">
        <w:rPr>
          <w:rFonts w:ascii="Courier New" w:eastAsia="SimSun" w:hAnsi="Courier New" w:cs="Courier New"/>
          <w:sz w:val="24"/>
          <w:szCs w:val="24"/>
        </w:rPr>
        <w:t xml:space="preserve">. </w:t>
      </w:r>
      <w:r w:rsidR="00E144CA">
        <w:rPr>
          <w:rFonts w:ascii="Courier New" w:eastAsia="SimSun" w:hAnsi="Courier New" w:cs="Courier New"/>
          <w:sz w:val="24"/>
          <w:szCs w:val="24"/>
        </w:rPr>
        <w:t xml:space="preserve"> Otherwise, the student’s actual costs for direct charges would be overstated. </w:t>
      </w:r>
    </w:p>
    <w:p w14:paraId="66CAF618" w14:textId="77777777" w:rsidR="00E144CA" w:rsidRPr="00D140AB" w:rsidRDefault="00E144CA" w:rsidP="000E629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lastRenderedPageBreak/>
        <w:tab/>
        <w:t xml:space="preserve">Some commenters asserted that because independent students may be able to borrow larger amounts than dependent students, a program for which the majority of students who completed the program were independent students would tend to have a higher median loan debt.  For this reason, the commenters opined that institutions might be inclined to discourage independent students from enrolling or avoid enrolling other students that are more likely to borrow. </w:t>
      </w:r>
    </w:p>
    <w:p w14:paraId="134FD475" w14:textId="7DE7DB9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elected to use the median loan debt because a median, as a measure of central tendency of a set of values, </w:t>
      </w:r>
      <w:r w:rsidR="006B3276" w:rsidRPr="00DA1353">
        <w:rPr>
          <w:rFonts w:ascii="Courier New" w:eastAsia="SimSun" w:hAnsi="Courier New"/>
          <w:sz w:val="24"/>
        </w:rPr>
        <w:t>is less affected by</w:t>
      </w:r>
      <w:r w:rsidRPr="00DA1353">
        <w:rPr>
          <w:rFonts w:ascii="Courier New" w:eastAsia="SimSun" w:hAnsi="Courier New"/>
          <w:sz w:val="24"/>
        </w:rPr>
        <w:t xml:space="preserve"> outliers than a</w:t>
      </w:r>
      <w:r w:rsidRPr="00D140AB">
        <w:rPr>
          <w:rFonts w:ascii="Courier New" w:eastAsia="SimSun" w:hAnsi="Courier New" w:cs="Courier New"/>
          <w:sz w:val="24"/>
          <w:szCs w:val="24"/>
        </w:rPr>
        <w:t xml:space="preserve"> mean.  Means are generally more sensitive to extremely high and low values compared to values that do not fall on either extreme, </w:t>
      </w:r>
      <w:r w:rsidRPr="00DA1353">
        <w:rPr>
          <w:rFonts w:ascii="Courier New" w:eastAsia="SimSun" w:hAnsi="Courier New"/>
          <w:sz w:val="24"/>
        </w:rPr>
        <w:t xml:space="preserve">while medians are more sensitive to the values near the 50th percentile of </w:t>
      </w:r>
      <w:r w:rsidRPr="00DA1353" w:rsidDel="0065265F">
        <w:rPr>
          <w:rFonts w:ascii="Courier New" w:eastAsia="SimSun" w:hAnsi="Courier New"/>
          <w:sz w:val="24"/>
        </w:rPr>
        <w:t xml:space="preserve">a </w:t>
      </w:r>
      <w:r w:rsidR="0065265F" w:rsidRPr="00DA1353">
        <w:rPr>
          <w:rFonts w:ascii="Courier New" w:eastAsia="SimSun" w:hAnsi="Courier New"/>
          <w:sz w:val="24"/>
        </w:rPr>
        <w:t>population</w:t>
      </w:r>
      <w:r w:rsidR="00CD182A" w:rsidRPr="00DA1353">
        <w:rPr>
          <w:rFonts w:ascii="Courier New" w:eastAsia="SimSun" w:hAnsi="Courier New"/>
          <w:sz w:val="24"/>
        </w:rPr>
        <w:t xml:space="preserve"> being sampled</w:t>
      </w:r>
      <w:r w:rsidRPr="00D140AB">
        <w:rPr>
          <w:rFonts w:ascii="Courier New" w:eastAsia="SimSun" w:hAnsi="Courier New" w:cs="Courier New"/>
          <w:sz w:val="24"/>
          <w:szCs w:val="24"/>
        </w:rPr>
        <w:t>.</w:t>
      </w:r>
      <w:r w:rsidR="0065265F" w:rsidRPr="0096107B">
        <w:rPr>
          <w:rFonts w:ascii="Courier New" w:eastAsia="Times New Roman" w:hAnsi="Courier New" w:cs="Courier New"/>
          <w:sz w:val="24"/>
          <w:szCs w:val="24"/>
          <w:vertAlign w:val="superscript"/>
        </w:rPr>
        <w:footnoteReference w:id="136"/>
      </w:r>
      <w:r w:rsidRPr="00D140AB">
        <w:rPr>
          <w:rFonts w:ascii="Courier New" w:eastAsia="SimSun" w:hAnsi="Courier New" w:cs="Courier New"/>
          <w:sz w:val="24"/>
          <w:szCs w:val="24"/>
        </w:rPr>
        <w:t xml:space="preserve">  We also elected to use median loan debt, as opposed to the mean, to </w:t>
      </w:r>
      <w:r>
        <w:rPr>
          <w:rFonts w:ascii="Courier New" w:eastAsia="SimSun" w:hAnsi="Courier New" w:cs="Courier New"/>
          <w:sz w:val="24"/>
          <w:szCs w:val="24"/>
        </w:rPr>
        <w:t xml:space="preserve">reward programs that keep costs sufficiently low such that the majority of students do not have to borrow.  </w:t>
      </w:r>
      <w:r w:rsidRPr="00D140AB">
        <w:rPr>
          <w:rFonts w:ascii="Courier New" w:eastAsia="SimSun" w:hAnsi="Courier New" w:cs="Courier New"/>
          <w:sz w:val="24"/>
          <w:szCs w:val="24"/>
        </w:rPr>
        <w:t xml:space="preserve">For example, if a majority of students in </w:t>
      </w:r>
      <w:r>
        <w:rPr>
          <w:rFonts w:ascii="Courier New" w:eastAsia="SimSun" w:hAnsi="Courier New" w:cs="Courier New"/>
          <w:sz w:val="24"/>
          <w:szCs w:val="24"/>
        </w:rPr>
        <w:t xml:space="preserve">a program </w:t>
      </w:r>
      <w:r w:rsidRPr="00D140AB">
        <w:rPr>
          <w:rFonts w:ascii="Courier New" w:eastAsia="SimSun" w:hAnsi="Courier New" w:cs="Courier New"/>
          <w:sz w:val="24"/>
          <w:szCs w:val="24"/>
        </w:rPr>
        <w:t xml:space="preserve">only receive Pell </w:t>
      </w:r>
      <w:r w:rsidR="006A7B07">
        <w:rPr>
          <w:rFonts w:ascii="Courier New" w:eastAsia="SimSun" w:hAnsi="Courier New" w:cs="Courier New"/>
          <w:sz w:val="24"/>
          <w:szCs w:val="24"/>
        </w:rPr>
        <w:t>G</w:t>
      </w:r>
      <w:r w:rsidRPr="00D140AB">
        <w:rPr>
          <w:rFonts w:ascii="Courier New" w:eastAsia="SimSun" w:hAnsi="Courier New" w:cs="Courier New"/>
          <w:sz w:val="24"/>
          <w:szCs w:val="24"/>
        </w:rPr>
        <w:t xml:space="preserve">rants and do not borrow, the median loan debt will be zero for </w:t>
      </w:r>
      <w:r>
        <w:rPr>
          <w:rFonts w:ascii="Courier New" w:eastAsia="SimSun" w:hAnsi="Courier New" w:cs="Courier New"/>
          <w:sz w:val="24"/>
          <w:szCs w:val="24"/>
        </w:rPr>
        <w:t xml:space="preserve">that </w:t>
      </w:r>
      <w:r w:rsidRPr="00D140AB">
        <w:rPr>
          <w:rFonts w:ascii="Courier New" w:eastAsia="SimSun" w:hAnsi="Courier New" w:cs="Courier New"/>
          <w:sz w:val="24"/>
          <w:szCs w:val="24"/>
        </w:rPr>
        <w:t xml:space="preserve">program. </w:t>
      </w:r>
      <w:r>
        <w:rPr>
          <w:rFonts w:ascii="Courier New" w:eastAsia="SimSun" w:hAnsi="Courier New" w:cs="Courier New"/>
          <w:sz w:val="24"/>
          <w:szCs w:val="24"/>
        </w:rPr>
        <w:t xml:space="preserve"> Taking into consideration the same logic, we elected to use the mean for earnings because, </w:t>
      </w:r>
      <w:r>
        <w:rPr>
          <w:rFonts w:ascii="Courier New" w:eastAsia="SimSun" w:hAnsi="Courier New" w:cs="Courier New"/>
          <w:sz w:val="24"/>
          <w:szCs w:val="24"/>
        </w:rPr>
        <w:lastRenderedPageBreak/>
        <w:t>although the mean is more sensitive to extreme values, it is also less sensitive to zero earnings values.  For example, if a majority of students in a program earn zero dollars, the median would be zero, but the mean may still be a substantially greater number than zero if some students have high levels of earnings.  We believe it is appropriate to credit such programs for the minority of students who have high earnings and that such a calculation more accurately reflects the central tendency in the earnings of the students who completed the program.</w:t>
      </w:r>
      <w:r w:rsidRPr="00D140AB">
        <w:rPr>
          <w:rFonts w:ascii="Courier New" w:eastAsia="SimSun" w:hAnsi="Courier New" w:cs="Courier New"/>
          <w:sz w:val="24"/>
          <w:szCs w:val="24"/>
        </w:rPr>
        <w:t xml:space="preserve">    </w:t>
      </w:r>
    </w:p>
    <w:p w14:paraId="789648E5" w14:textId="7BB2DAEA"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With regard to programs with a small number of students completing the program, </w:t>
      </w:r>
      <w:r w:rsidR="00E144CA">
        <w:rPr>
          <w:rFonts w:ascii="Courier New" w:eastAsia="SimSun" w:hAnsi="Courier New" w:cs="Courier New"/>
          <w:sz w:val="24"/>
          <w:szCs w:val="24"/>
        </w:rPr>
        <w:t xml:space="preserve">as discussed in this section, </w:t>
      </w:r>
      <w:r w:rsidR="00E144CA" w:rsidRPr="00D140AB">
        <w:rPr>
          <w:rFonts w:ascii="Courier New" w:eastAsia="SimSun" w:hAnsi="Courier New" w:cs="Courier New"/>
          <w:sz w:val="24"/>
          <w:szCs w:val="24"/>
        </w:rPr>
        <w:t>we mitigate the potential for distorted outcomes by requiring a minimum n-size of 30 students who completed the program in the</w:t>
      </w:r>
      <w:r w:rsidR="00E144CA" w:rsidRPr="00D140AB" w:rsidDel="009F3E65">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cohort period for D/E rates to be calculated.     </w:t>
      </w:r>
    </w:p>
    <w:p w14:paraId="38776277" w14:textId="2C5AE2A2" w:rsidR="00E144CA" w:rsidRPr="00D140AB" w:rsidRDefault="00173B87" w:rsidP="00173B87">
      <w:pPr>
        <w:autoSpaceDE w:val="0"/>
        <w:autoSpaceDN w:val="0"/>
        <w:adjustRightInd w:val="0"/>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We do not agree with the comment that programs offered by community colleges would benefit more from the capping of a student’s loan amount to tuition and fees, and books, equipment, and supplies, because many students at community colleges do not borrow or borrow amounts less than the total amount of tuition and fees and books, equipment, and supplies.  For these students, the loan cap would not be applied in determining a program’s median loan debt.  </w:t>
      </w:r>
    </w:p>
    <w:p w14:paraId="57095103" w14:textId="77777777" w:rsidR="00E144CA" w:rsidRPr="00D140AB" w:rsidRDefault="00E144CA"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With regard to the suggestion that median loan debt should be based on the total amount of loans used to pay direct </w:t>
      </w:r>
      <w:r w:rsidRPr="00D140AB">
        <w:rPr>
          <w:rFonts w:ascii="Courier New" w:eastAsia="SimSun" w:hAnsi="Courier New" w:cs="Courier New"/>
          <w:sz w:val="24"/>
          <w:szCs w:val="24"/>
        </w:rPr>
        <w:lastRenderedPageBreak/>
        <w:t>charges, the commenter is referring to situa</w:t>
      </w:r>
      <w:r>
        <w:rPr>
          <w:rFonts w:ascii="Courier New" w:eastAsia="SimSun" w:hAnsi="Courier New" w:cs="Courier New"/>
          <w:sz w:val="24"/>
          <w:szCs w:val="24"/>
        </w:rPr>
        <w:t>tions where grant or scholarship funds</w:t>
      </w:r>
      <w:r w:rsidRPr="00D140AB">
        <w:rPr>
          <w:rFonts w:ascii="Courier New" w:eastAsia="SimSun" w:hAnsi="Courier New" w:cs="Courier New"/>
          <w:sz w:val="24"/>
          <w:szCs w:val="24"/>
        </w:rPr>
        <w:t xml:space="preserve"> are used ahead of loan funds to pay for direct costs.  In these situations</w:t>
      </w:r>
      <w:r>
        <w:rPr>
          <w:rFonts w:ascii="Courier New" w:eastAsia="SimSun" w:hAnsi="Courier New" w:cs="Courier New"/>
          <w:sz w:val="24"/>
          <w:szCs w:val="24"/>
        </w:rPr>
        <w:t xml:space="preserve"> the grants and scholarships may be designated to pay direct costs so</w:t>
      </w:r>
      <w:r w:rsidRPr="00D140AB">
        <w:rPr>
          <w:rFonts w:ascii="Courier New" w:eastAsia="SimSun" w:hAnsi="Courier New" w:cs="Courier New"/>
          <w:sz w:val="24"/>
          <w:szCs w:val="24"/>
        </w:rPr>
        <w:t xml:space="preserve"> the amount of loan </w:t>
      </w:r>
      <w:r>
        <w:rPr>
          <w:rFonts w:ascii="Courier New" w:eastAsia="SimSun" w:hAnsi="Courier New" w:cs="Courier New"/>
          <w:sz w:val="24"/>
          <w:szCs w:val="24"/>
        </w:rPr>
        <w:t xml:space="preserve">debt </w:t>
      </w:r>
      <w:r w:rsidRPr="00D140AB">
        <w:rPr>
          <w:rFonts w:ascii="Courier New" w:eastAsia="SimSun" w:hAnsi="Courier New" w:cs="Courier New"/>
          <w:sz w:val="24"/>
          <w:szCs w:val="24"/>
        </w:rPr>
        <w:t xml:space="preserve">would be no more than the </w:t>
      </w:r>
      <w:r>
        <w:rPr>
          <w:rFonts w:ascii="Courier New" w:eastAsia="SimSun" w:hAnsi="Courier New" w:cs="Courier New"/>
          <w:sz w:val="24"/>
          <w:szCs w:val="24"/>
        </w:rPr>
        <w:t xml:space="preserve">amount of </w:t>
      </w:r>
      <w:r w:rsidRPr="00D140AB">
        <w:rPr>
          <w:rFonts w:ascii="Courier New" w:eastAsia="SimSun" w:hAnsi="Courier New" w:cs="Courier New"/>
          <w:sz w:val="24"/>
          <w:szCs w:val="24"/>
        </w:rPr>
        <w:t xml:space="preserve">direct costs </w:t>
      </w:r>
      <w:r>
        <w:rPr>
          <w:rFonts w:ascii="Courier New" w:eastAsia="SimSun" w:hAnsi="Courier New" w:cs="Courier New"/>
          <w:sz w:val="24"/>
          <w:szCs w:val="24"/>
        </w:rPr>
        <w:t xml:space="preserve">that were not paid by </w:t>
      </w:r>
      <w:r w:rsidRPr="00D140AB">
        <w:rPr>
          <w:rFonts w:ascii="Courier New" w:eastAsia="SimSun" w:hAnsi="Courier New" w:cs="Courier New"/>
          <w:sz w:val="24"/>
          <w:szCs w:val="24"/>
        </w:rPr>
        <w:t xml:space="preserve">the </w:t>
      </w:r>
      <w:r>
        <w:rPr>
          <w:rFonts w:ascii="Courier New" w:eastAsia="SimSun" w:hAnsi="Courier New" w:cs="Courier New"/>
          <w:sz w:val="24"/>
          <w:szCs w:val="24"/>
        </w:rPr>
        <w:t>grant</w:t>
      </w:r>
      <w:r w:rsidRPr="00D140AB">
        <w:rPr>
          <w:rFonts w:ascii="Courier New" w:eastAsia="SimSun" w:hAnsi="Courier New" w:cs="Courier New"/>
          <w:sz w:val="24"/>
          <w:szCs w:val="24"/>
        </w:rPr>
        <w:t xml:space="preserve"> </w:t>
      </w:r>
      <w:r>
        <w:rPr>
          <w:rFonts w:ascii="Courier New" w:eastAsia="SimSun" w:hAnsi="Courier New" w:cs="Courier New"/>
          <w:sz w:val="24"/>
          <w:szCs w:val="24"/>
        </w:rPr>
        <w:t xml:space="preserve">and scholarships funds.  </w:t>
      </w:r>
      <w:r w:rsidRPr="00D140AB">
        <w:rPr>
          <w:rFonts w:ascii="Courier New" w:eastAsia="SimSun" w:hAnsi="Courier New" w:cs="Courier New"/>
          <w:sz w:val="24"/>
          <w:szCs w:val="24"/>
        </w:rPr>
        <w:t xml:space="preserve">Whereas the suggestion would reduce the amount of the loan debt used to calculate the D/E rates by effectively replacing loan funds with grant </w:t>
      </w:r>
      <w:r>
        <w:rPr>
          <w:rFonts w:ascii="Courier New" w:eastAsia="SimSun" w:hAnsi="Courier New" w:cs="Courier New"/>
          <w:sz w:val="24"/>
          <w:szCs w:val="24"/>
        </w:rPr>
        <w:t>or scholarship</w:t>
      </w:r>
      <w:r w:rsidRPr="00D140AB">
        <w:rPr>
          <w:rFonts w:ascii="Courier New" w:eastAsia="SimSun" w:hAnsi="Courier New" w:cs="Courier New"/>
          <w:sz w:val="24"/>
          <w:szCs w:val="24"/>
        </w:rPr>
        <w:t xml:space="preserve"> funds, we believe doing so is contrary to the intent of these regulations to evaluate whether students are able to service </w:t>
      </w:r>
      <w:r>
        <w:rPr>
          <w:rFonts w:ascii="Courier New" w:eastAsia="SimSun" w:hAnsi="Courier New" w:cs="Courier New"/>
          <w:sz w:val="24"/>
          <w:szCs w:val="24"/>
        </w:rPr>
        <w:t>the amount of loan debt for the amount up to the direct charges assessed by the institution.</w:t>
      </w:r>
      <w:r w:rsidRPr="00D140AB">
        <w:rPr>
          <w:rFonts w:ascii="Courier New" w:eastAsia="SimSun" w:hAnsi="Courier New" w:cs="Courier New"/>
          <w:sz w:val="24"/>
          <w:szCs w:val="24"/>
        </w:rPr>
        <w:t xml:space="preserve">  </w:t>
      </w:r>
    </w:p>
    <w:p w14:paraId="1B75BB81" w14:textId="1B114812" w:rsidR="00E144CA" w:rsidRPr="00D140AB" w:rsidRDefault="00173B87" w:rsidP="00173B87">
      <w:pPr>
        <w:autoSpaceDE w:val="0"/>
        <w:autoSpaceDN w:val="0"/>
        <w:adjustRightInd w:val="0"/>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In response to the concerns that an institution might alter its admissions policies based on a student’s dependency status or need to borrow, we note that because the loan cap limits the amount of debt on a student-by-student basis to the total amount of direct charges (tuition and fees, and books, supplies, and equipment), the principal factor influencing a program’s median loan debt</w:t>
      </w:r>
      <w:r w:rsidR="00E144CA" w:rsidRPr="00D140AB" w:rsidDel="001F1111">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may be tied more to the amount of the direct charges than to the amount that individual students borrow.  In addition, as discussed in the </w:t>
      </w:r>
      <w:r w:rsidR="00E91F6D">
        <w:rPr>
          <w:rFonts w:ascii="Courier New" w:eastAsia="SimSun" w:hAnsi="Courier New" w:cs="Courier New"/>
          <w:sz w:val="24"/>
          <w:szCs w:val="24"/>
          <w:u w:val="single"/>
        </w:rPr>
        <w:t>Regulatory Impact Analysis</w:t>
      </w:r>
      <w:r w:rsidR="00E144CA" w:rsidRPr="00D140AB">
        <w:rPr>
          <w:rFonts w:ascii="Courier New" w:eastAsia="SimSun" w:hAnsi="Courier New" w:cs="Courier New"/>
          <w:sz w:val="24"/>
          <w:szCs w:val="24"/>
        </w:rPr>
        <w:t xml:space="preserve">, our analysis shows that dependency status or socioeconomic background are not determinative of results and so we do not believe the regulations create this incentive.  </w:t>
      </w:r>
    </w:p>
    <w:p w14:paraId="0EA70E6C" w14:textId="77777777" w:rsidR="00E144CA" w:rsidRPr="00D140AB" w:rsidRDefault="00E144CA" w:rsidP="00173B87">
      <w:pPr>
        <w:autoSpaceDE w:val="0"/>
        <w:autoSpaceDN w:val="0"/>
        <w:adjustRightInd w:val="0"/>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Changes</w:t>
      </w:r>
      <w:r w:rsidRPr="00D140AB">
        <w:rPr>
          <w:rFonts w:ascii="Courier New" w:eastAsia="SimSun" w:hAnsi="Courier New" w:cs="Courier New"/>
          <w:sz w:val="24"/>
          <w:szCs w:val="24"/>
        </w:rPr>
        <w:t>:  None.</w:t>
      </w:r>
    </w:p>
    <w:p w14:paraId="39E0EE72" w14:textId="77777777" w:rsidR="00E144CA" w:rsidRPr="00D140AB" w:rsidRDefault="00E144CA" w:rsidP="00173B87">
      <w:pPr>
        <w:autoSpaceDE w:val="0"/>
        <w:autoSpaceDN w:val="0"/>
        <w:adjustRightInd w:val="0"/>
        <w:spacing w:after="0" w:line="480" w:lineRule="auto"/>
        <w:rPr>
          <w:rFonts w:ascii="Courier New" w:hAnsi="Courier New" w:cs="Courier New"/>
          <w:color w:val="000000"/>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A few commenters asked the Department to clarify how it will calculate a program’s </w:t>
      </w:r>
      <w:r w:rsidRPr="00D140AB">
        <w:rPr>
          <w:rFonts w:ascii="Courier New" w:hAnsi="Courier New" w:cs="Courier New"/>
          <w:color w:val="000000"/>
          <w:sz w:val="24"/>
          <w:szCs w:val="24"/>
        </w:rPr>
        <w:t>median loan debt.  They</w:t>
      </w:r>
      <w:r w:rsidRPr="00D140AB" w:rsidDel="001C5970">
        <w:rPr>
          <w:rFonts w:ascii="Courier New" w:hAnsi="Courier New" w:cs="Courier New"/>
          <w:color w:val="000000"/>
          <w:sz w:val="24"/>
          <w:szCs w:val="24"/>
        </w:rPr>
        <w:t xml:space="preserve"> </w:t>
      </w:r>
      <w:r w:rsidRPr="00D140AB">
        <w:rPr>
          <w:rFonts w:ascii="Courier New" w:hAnsi="Courier New" w:cs="Courier New"/>
          <w:color w:val="000000"/>
          <w:sz w:val="24"/>
          <w:szCs w:val="24"/>
        </w:rPr>
        <w:t>argued that the proposed methodology could be interpreted in two ways, each likely yielding a different result.  Under one reading, the Department would determine student by student the lesser of the loan debt and the total program costs assessed to that student, and then calculate the median of all of those amounts.  Under another reading, the Department would determine the median amount of all students’ loan debts and the median amount of all students’ total program costs and use the lesser amount.</w:t>
      </w:r>
    </w:p>
    <w:p w14:paraId="05286183" w14:textId="77777777" w:rsidR="00E144CA" w:rsidRPr="00D140AB" w:rsidRDefault="00E144CA" w:rsidP="00173B87">
      <w:pPr>
        <w:spacing w:after="0" w:line="480" w:lineRule="auto"/>
        <w:rPr>
          <w:rFonts w:ascii="Courier New" w:hAnsi="Courier New" w:cs="Courier New"/>
          <w:sz w:val="24"/>
          <w:szCs w:val="24"/>
        </w:rPr>
      </w:pPr>
      <w:r w:rsidRPr="00D140AB">
        <w:rPr>
          <w:rFonts w:ascii="Courier New" w:hAnsi="Courier New" w:cs="Courier New"/>
          <w:color w:val="000000"/>
          <w:sz w:val="24"/>
          <w:szCs w:val="24"/>
          <w:u w:val="single"/>
        </w:rPr>
        <w:t>Discussion</w:t>
      </w:r>
      <w:r w:rsidRPr="00D140AB">
        <w:rPr>
          <w:rFonts w:ascii="Courier New" w:hAnsi="Courier New" w:cs="Courier New"/>
          <w:color w:val="000000"/>
          <w:sz w:val="24"/>
          <w:szCs w:val="24"/>
        </w:rPr>
        <w:t>:  The commenters’ first reading is correct.  We will</w:t>
      </w:r>
      <w:r w:rsidRPr="00D140AB">
        <w:rPr>
          <w:rFonts w:ascii="Courier New" w:hAnsi="Courier New" w:cs="Courier New"/>
          <w:sz w:val="24"/>
          <w:szCs w:val="24"/>
        </w:rPr>
        <w:t xml:space="preserve"> determine</w:t>
      </w:r>
      <w:r>
        <w:rPr>
          <w:rFonts w:ascii="Courier New" w:hAnsi="Courier New" w:cs="Courier New"/>
          <w:sz w:val="24"/>
          <w:szCs w:val="24"/>
        </w:rPr>
        <w:t xml:space="preserve"> individually</w:t>
      </w:r>
      <w:r w:rsidRPr="00D140AB">
        <w:rPr>
          <w:rFonts w:ascii="Courier New" w:hAnsi="Courier New" w:cs="Courier New"/>
          <w:sz w:val="24"/>
          <w:szCs w:val="24"/>
        </w:rPr>
        <w:t xml:space="preserve">, for each student who completes a program, the </w:t>
      </w:r>
      <w:r>
        <w:rPr>
          <w:rFonts w:ascii="Courier New" w:hAnsi="Courier New" w:cs="Courier New"/>
          <w:sz w:val="24"/>
          <w:szCs w:val="24"/>
        </w:rPr>
        <w:t xml:space="preserve">lesser of the </w:t>
      </w:r>
      <w:r w:rsidRPr="00D140AB">
        <w:rPr>
          <w:rFonts w:ascii="Courier New" w:hAnsi="Courier New" w:cs="Courier New"/>
          <w:sz w:val="24"/>
          <w:szCs w:val="24"/>
        </w:rPr>
        <w:t xml:space="preserve">total amount of </w:t>
      </w:r>
      <w:r>
        <w:rPr>
          <w:rFonts w:ascii="Courier New" w:hAnsi="Courier New" w:cs="Courier New"/>
          <w:sz w:val="24"/>
          <w:szCs w:val="24"/>
        </w:rPr>
        <w:t>a</w:t>
      </w:r>
      <w:r w:rsidRPr="00D140AB">
        <w:rPr>
          <w:rFonts w:ascii="Courier New" w:hAnsi="Courier New" w:cs="Courier New"/>
          <w:sz w:val="24"/>
          <w:szCs w:val="24"/>
        </w:rPr>
        <w:t xml:space="preserve"> student’s loan debt and the total costs assessed that student for tuition and fees and books, supplies</w:t>
      </w:r>
      <w:r>
        <w:rPr>
          <w:rFonts w:ascii="Courier New" w:hAnsi="Courier New" w:cs="Courier New"/>
          <w:sz w:val="24"/>
          <w:szCs w:val="24"/>
        </w:rPr>
        <w:t>,</w:t>
      </w:r>
      <w:r w:rsidRPr="00D140AB">
        <w:rPr>
          <w:rFonts w:ascii="Courier New" w:hAnsi="Courier New" w:cs="Courier New"/>
          <w:sz w:val="24"/>
          <w:szCs w:val="24"/>
        </w:rPr>
        <w:t xml:space="preserve"> and equipment, and use </w:t>
      </w:r>
      <w:r>
        <w:rPr>
          <w:rFonts w:ascii="Courier New" w:hAnsi="Courier New" w:cs="Courier New"/>
          <w:sz w:val="24"/>
          <w:szCs w:val="24"/>
        </w:rPr>
        <w:t xml:space="preserve">whichever of these amounts is </w:t>
      </w:r>
      <w:r w:rsidRPr="00D140AB">
        <w:rPr>
          <w:rFonts w:ascii="Courier New" w:hAnsi="Courier New" w:cs="Courier New"/>
          <w:sz w:val="24"/>
          <w:szCs w:val="24"/>
        </w:rPr>
        <w:t>lower to calculate the median loan debt for the program.</w:t>
      </w:r>
    </w:p>
    <w:p w14:paraId="793186C0" w14:textId="490150E1"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We have revised §668.404(b)(1) to more clearly describe how the Department will calculate the median loan debt for a program.</w:t>
      </w:r>
      <w:r w:rsidR="00C0062E">
        <w:rPr>
          <w:rFonts w:ascii="Courier New" w:eastAsia="SimSun" w:hAnsi="Courier New" w:cs="Courier New"/>
          <w:sz w:val="24"/>
          <w:szCs w:val="24"/>
        </w:rPr>
        <w:t xml:space="preserve">  We have also revised §668.404(d)(2) to clarify</w:t>
      </w:r>
      <w:r w:rsidR="003E370C">
        <w:rPr>
          <w:rFonts w:ascii="Courier New" w:eastAsia="SimSun" w:hAnsi="Courier New" w:cs="Courier New"/>
          <w:sz w:val="24"/>
          <w:szCs w:val="24"/>
        </w:rPr>
        <w:t xml:space="preserve"> that for the purpose of</w:t>
      </w:r>
      <w:r w:rsidR="00C0062E">
        <w:rPr>
          <w:rFonts w:ascii="Courier New" w:eastAsia="SimSun" w:hAnsi="Courier New" w:cs="Courier New"/>
          <w:sz w:val="24"/>
          <w:szCs w:val="24"/>
        </w:rPr>
        <w:t xml:space="preserve"> determining the lesser amount </w:t>
      </w:r>
      <w:r w:rsidR="00582FA5">
        <w:rPr>
          <w:rFonts w:ascii="Courier New" w:eastAsia="SimSun" w:hAnsi="Courier New" w:cs="Courier New"/>
          <w:sz w:val="24"/>
          <w:szCs w:val="24"/>
        </w:rPr>
        <w:t xml:space="preserve">of </w:t>
      </w:r>
      <w:r w:rsidR="00C0062E">
        <w:rPr>
          <w:rFonts w:ascii="Courier New" w:eastAsia="SimSun" w:hAnsi="Courier New" w:cs="Courier New"/>
          <w:sz w:val="24"/>
          <w:szCs w:val="24"/>
        </w:rPr>
        <w:t xml:space="preserve">loan debt or </w:t>
      </w:r>
      <w:r w:rsidR="003E370C">
        <w:rPr>
          <w:rFonts w:ascii="Courier New" w:eastAsia="SimSun" w:hAnsi="Courier New" w:cs="Courier New"/>
          <w:sz w:val="24"/>
          <w:szCs w:val="24"/>
        </w:rPr>
        <w:t xml:space="preserve">the costs of </w:t>
      </w:r>
      <w:r w:rsidR="00C0062E">
        <w:rPr>
          <w:rFonts w:ascii="Courier New" w:eastAsia="SimSun" w:hAnsi="Courier New" w:cs="Courier New"/>
          <w:sz w:val="24"/>
          <w:szCs w:val="24"/>
        </w:rPr>
        <w:t>tuition and fees</w:t>
      </w:r>
      <w:r w:rsidR="001D5DF7">
        <w:rPr>
          <w:rFonts w:ascii="Courier New" w:eastAsia="SimSun" w:hAnsi="Courier New" w:cs="Courier New"/>
          <w:sz w:val="24"/>
          <w:szCs w:val="24"/>
        </w:rPr>
        <w:t xml:space="preserve"> and</w:t>
      </w:r>
      <w:r w:rsidR="00C0062E">
        <w:rPr>
          <w:rFonts w:ascii="Courier New" w:eastAsia="SimSun" w:hAnsi="Courier New" w:cs="Courier New"/>
          <w:sz w:val="24"/>
          <w:szCs w:val="24"/>
        </w:rPr>
        <w:t xml:space="preserve"> books, suppli</w:t>
      </w:r>
      <w:r w:rsidR="003E370C">
        <w:rPr>
          <w:rFonts w:ascii="Courier New" w:eastAsia="SimSun" w:hAnsi="Courier New" w:cs="Courier New"/>
          <w:sz w:val="24"/>
          <w:szCs w:val="24"/>
        </w:rPr>
        <w:t>es</w:t>
      </w:r>
      <w:r w:rsidR="001D5DF7">
        <w:rPr>
          <w:rFonts w:ascii="Courier New" w:eastAsia="SimSun" w:hAnsi="Courier New" w:cs="Courier New"/>
          <w:sz w:val="24"/>
          <w:szCs w:val="24"/>
        </w:rPr>
        <w:t>,</w:t>
      </w:r>
      <w:r w:rsidR="003E370C">
        <w:rPr>
          <w:rFonts w:ascii="Courier New" w:eastAsia="SimSun" w:hAnsi="Courier New" w:cs="Courier New"/>
          <w:sz w:val="24"/>
          <w:szCs w:val="24"/>
        </w:rPr>
        <w:t xml:space="preserve"> and equipm</w:t>
      </w:r>
      <w:r w:rsidR="00C0062E">
        <w:rPr>
          <w:rFonts w:ascii="Courier New" w:eastAsia="SimSun" w:hAnsi="Courier New" w:cs="Courier New"/>
          <w:sz w:val="24"/>
          <w:szCs w:val="24"/>
        </w:rPr>
        <w:t xml:space="preserve">ent, we attribute </w:t>
      </w:r>
      <w:r w:rsidR="003E370C">
        <w:rPr>
          <w:rFonts w:ascii="Courier New" w:eastAsia="SimSun" w:hAnsi="Courier New" w:cs="Courier New"/>
          <w:sz w:val="24"/>
          <w:szCs w:val="24"/>
        </w:rPr>
        <w:t>these</w:t>
      </w:r>
      <w:r w:rsidR="00C0062E">
        <w:rPr>
          <w:rFonts w:ascii="Courier New" w:eastAsia="SimSun" w:hAnsi="Courier New" w:cs="Courier New"/>
          <w:sz w:val="24"/>
          <w:szCs w:val="24"/>
        </w:rPr>
        <w:t xml:space="preserve"> costs</w:t>
      </w:r>
      <w:r w:rsidR="003E370C">
        <w:rPr>
          <w:rFonts w:ascii="Courier New" w:eastAsia="SimSun" w:hAnsi="Courier New" w:cs="Courier New"/>
          <w:sz w:val="24"/>
          <w:szCs w:val="24"/>
        </w:rPr>
        <w:t xml:space="preserve"> to a GE program </w:t>
      </w:r>
      <w:r w:rsidR="00C0062E">
        <w:rPr>
          <w:rFonts w:ascii="Courier New" w:eastAsia="SimSun" w:hAnsi="Courier New" w:cs="Courier New"/>
          <w:sz w:val="24"/>
          <w:szCs w:val="24"/>
        </w:rPr>
        <w:t xml:space="preserve">in the same </w:t>
      </w:r>
      <w:r w:rsidR="00C0062E">
        <w:rPr>
          <w:rFonts w:ascii="Courier New" w:eastAsia="SimSun" w:hAnsi="Courier New" w:cs="Courier New"/>
          <w:sz w:val="24"/>
          <w:szCs w:val="24"/>
        </w:rPr>
        <w:lastRenderedPageBreak/>
        <w:t xml:space="preserve">way </w:t>
      </w:r>
      <w:r w:rsidR="00143350">
        <w:rPr>
          <w:rFonts w:ascii="Courier New" w:eastAsia="SimSun" w:hAnsi="Courier New" w:cs="Courier New"/>
          <w:sz w:val="24"/>
          <w:szCs w:val="24"/>
        </w:rPr>
        <w:t xml:space="preserve">we </w:t>
      </w:r>
      <w:r w:rsidR="00C0062E">
        <w:rPr>
          <w:rFonts w:ascii="Courier New" w:eastAsia="SimSun" w:hAnsi="Courier New" w:cs="Courier New"/>
          <w:sz w:val="24"/>
          <w:szCs w:val="24"/>
        </w:rPr>
        <w:t xml:space="preserve">attribute the loan debt a student </w:t>
      </w:r>
      <w:r w:rsidR="003E370C">
        <w:rPr>
          <w:rFonts w:ascii="Courier New" w:eastAsia="SimSun" w:hAnsi="Courier New" w:cs="Courier New"/>
          <w:sz w:val="24"/>
          <w:szCs w:val="24"/>
        </w:rPr>
        <w:t>incurs</w:t>
      </w:r>
      <w:r w:rsidR="00C0062E">
        <w:rPr>
          <w:rFonts w:ascii="Courier New" w:eastAsia="SimSun" w:hAnsi="Courier New" w:cs="Courier New"/>
          <w:sz w:val="24"/>
          <w:szCs w:val="24"/>
        </w:rPr>
        <w:t xml:space="preserve"> for attendance in other GE programs.  </w:t>
      </w:r>
    </w:p>
    <w:p w14:paraId="7C0B5B5F"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One commenter stated that loan debt incurred by a medical school graduate increases because interest accrues while the student is in a residency period and that this additional debt would affect D/E rates.</w:t>
      </w:r>
    </w:p>
    <w:p w14:paraId="5ABD53CE" w14:textId="43A0A31B"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In determining a student’s loan debt, the Department uses the total amount of loans the student borrowed for enrollment in a GE program</w:t>
      </w:r>
      <w:r w:rsidR="00AF6BA0">
        <w:rPr>
          <w:rFonts w:ascii="Courier New" w:eastAsia="SimSun" w:hAnsi="Courier New" w:cs="Courier New"/>
          <w:sz w:val="24"/>
          <w:szCs w:val="24"/>
        </w:rPr>
        <w:t>, net of any cancellations or adjustments made on those loans</w:t>
      </w:r>
      <w:r w:rsidRPr="00D140AB">
        <w:rPr>
          <w:rFonts w:ascii="Courier New" w:eastAsia="SimSun" w:hAnsi="Courier New" w:cs="Courier New"/>
          <w:sz w:val="24"/>
          <w:szCs w:val="24"/>
        </w:rPr>
        <w:t xml:space="preserve">.  Any interest that accrues on those loans or that is subsequently capitalized is not considered loan debt for the purpose of calculating a program’s D/E rates. </w:t>
      </w:r>
    </w:p>
    <w:p w14:paraId="2C44EF43" w14:textId="66931C1F"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w:t>
      </w:r>
      <w:r w:rsidRPr="00D140AB" w:rsidDel="001D5DF7">
        <w:rPr>
          <w:rFonts w:ascii="Courier New" w:eastAsia="SimSun" w:hAnsi="Courier New" w:cs="Courier New"/>
          <w:sz w:val="24"/>
          <w:szCs w:val="24"/>
        </w:rPr>
        <w:t xml:space="preserve"> </w:t>
      </w:r>
      <w:r w:rsidR="00AF6BA0">
        <w:rPr>
          <w:rFonts w:ascii="Courier New" w:eastAsia="SimSun" w:hAnsi="Courier New" w:cs="Courier New"/>
          <w:sz w:val="24"/>
          <w:szCs w:val="24"/>
        </w:rPr>
        <w:t xml:space="preserve">We have revised §668.404(d)(1)(i) to clarify that the </w:t>
      </w:r>
      <w:r w:rsidR="00AF342A">
        <w:rPr>
          <w:rFonts w:ascii="Courier New" w:eastAsia="SimSun" w:hAnsi="Courier New" w:cs="Courier New"/>
          <w:sz w:val="24"/>
          <w:szCs w:val="24"/>
        </w:rPr>
        <w:t xml:space="preserve">total </w:t>
      </w:r>
      <w:r w:rsidR="00AF6BA0">
        <w:rPr>
          <w:rFonts w:ascii="Courier New" w:eastAsia="SimSun" w:hAnsi="Courier New" w:cs="Courier New"/>
          <w:sz w:val="24"/>
          <w:szCs w:val="24"/>
        </w:rPr>
        <w:t>amount borrowed by a student for e</w:t>
      </w:r>
      <w:r w:rsidR="00AF342A">
        <w:rPr>
          <w:rFonts w:ascii="Courier New" w:eastAsia="SimSun" w:hAnsi="Courier New" w:cs="Courier New"/>
          <w:sz w:val="24"/>
          <w:szCs w:val="24"/>
        </w:rPr>
        <w:t xml:space="preserve">nrollment in a GE program is the </w:t>
      </w:r>
      <w:r w:rsidR="00D828E4">
        <w:rPr>
          <w:rFonts w:ascii="Courier New" w:eastAsia="SimSun" w:hAnsi="Courier New" w:cs="Courier New"/>
          <w:sz w:val="24"/>
          <w:szCs w:val="24"/>
        </w:rPr>
        <w:t xml:space="preserve">total </w:t>
      </w:r>
      <w:r w:rsidR="00AF342A">
        <w:rPr>
          <w:rFonts w:ascii="Courier New" w:eastAsia="SimSun" w:hAnsi="Courier New" w:cs="Courier New"/>
          <w:sz w:val="24"/>
          <w:szCs w:val="24"/>
        </w:rPr>
        <w:t>amount</w:t>
      </w:r>
      <w:r w:rsidR="00AF6BA0">
        <w:rPr>
          <w:rFonts w:ascii="Courier New" w:eastAsia="SimSun" w:hAnsi="Courier New" w:cs="Courier New"/>
          <w:sz w:val="24"/>
          <w:szCs w:val="24"/>
        </w:rPr>
        <w:t xml:space="preserve"> disbursed less any </w:t>
      </w:r>
      <w:r w:rsidR="00AF342A">
        <w:rPr>
          <w:rFonts w:ascii="Courier New" w:eastAsia="SimSun" w:hAnsi="Courier New" w:cs="Courier New"/>
          <w:sz w:val="24"/>
          <w:szCs w:val="24"/>
        </w:rPr>
        <w:t xml:space="preserve">cancellations </w:t>
      </w:r>
      <w:r w:rsidR="008749FA">
        <w:rPr>
          <w:rFonts w:ascii="Courier New" w:eastAsia="SimSun" w:hAnsi="Courier New" w:cs="Courier New"/>
          <w:sz w:val="24"/>
          <w:szCs w:val="24"/>
        </w:rPr>
        <w:t xml:space="preserve">or </w:t>
      </w:r>
      <w:r w:rsidR="00AF342A">
        <w:rPr>
          <w:rFonts w:ascii="Courier New" w:eastAsia="SimSun" w:hAnsi="Courier New" w:cs="Courier New"/>
          <w:sz w:val="24"/>
          <w:szCs w:val="24"/>
        </w:rPr>
        <w:t>adjustments.</w:t>
      </w:r>
    </w:p>
    <w:p w14:paraId="6B9BA69E"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Some commenters recommended that the Department clarify the timing and conditions under which the Department would remove loan debts for students for whom SSA does not have earnings information.</w:t>
      </w:r>
    </w:p>
    <w:p w14:paraId="4D53EDF7" w14:textId="4975F581"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As explained more fully in “§668.405  Issuing and Challenging D/E Rates,” at the time that SSA provides the Department with the mean and median earnings of the students who </w:t>
      </w:r>
      <w:r w:rsidRPr="00D140AB">
        <w:rPr>
          <w:rFonts w:ascii="Courier New" w:eastAsia="SimSun" w:hAnsi="Courier New" w:cs="Courier New"/>
          <w:sz w:val="24"/>
          <w:szCs w:val="24"/>
        </w:rPr>
        <w:lastRenderedPageBreak/>
        <w:t>completed a program, SSA will also provide a count of the number of students for whom SSA could not find a match in its records</w:t>
      </w:r>
      <w:r>
        <w:rPr>
          <w:rFonts w:ascii="Courier New" w:eastAsia="SimSun" w:hAnsi="Courier New" w:cs="Courier New"/>
          <w:sz w:val="24"/>
          <w:szCs w:val="24"/>
        </w:rPr>
        <w:t>, or who died</w:t>
      </w:r>
      <w:r w:rsidRPr="00D140AB">
        <w:rPr>
          <w:rFonts w:ascii="Courier New" w:eastAsia="SimSun" w:hAnsi="Courier New" w:cs="Courier New"/>
          <w:sz w:val="24"/>
          <w:szCs w:val="24"/>
        </w:rPr>
        <w:t xml:space="preserve">.  Before calculating the program’s median loan debt, we will remove the number of highest loan debts equal to the number of students SSA did not match. </w:t>
      </w:r>
      <w:r w:rsidR="00582FA5">
        <w:rPr>
          <w:rFonts w:ascii="Courier New" w:eastAsia="SimSun" w:hAnsi="Courier New" w:cs="Courier New"/>
          <w:sz w:val="24"/>
          <w:szCs w:val="24"/>
        </w:rPr>
        <w:t xml:space="preserve"> </w:t>
      </w:r>
      <w:r w:rsidR="00B45E8F" w:rsidRPr="00B45E8F">
        <w:rPr>
          <w:rFonts w:ascii="Courier New" w:eastAsia="SimSun" w:hAnsi="Courier New" w:cs="Courier New"/>
          <w:sz w:val="24"/>
          <w:szCs w:val="24"/>
        </w:rPr>
        <w:t xml:space="preserve">Since we do not have information on each </w:t>
      </w:r>
      <w:r w:rsidR="005C31E1">
        <w:rPr>
          <w:rFonts w:ascii="Courier New" w:eastAsia="SimSun" w:hAnsi="Courier New" w:cs="Courier New"/>
          <w:sz w:val="24"/>
          <w:szCs w:val="24"/>
        </w:rPr>
        <w:t>individual</w:t>
      </w:r>
      <w:r w:rsidR="00B45E8F" w:rsidRPr="00B45E8F">
        <w:rPr>
          <w:rFonts w:ascii="Courier New" w:eastAsia="SimSun" w:hAnsi="Courier New" w:cs="Courier New"/>
          <w:sz w:val="24"/>
          <w:szCs w:val="24"/>
        </w:rPr>
        <w:t xml:space="preserve"> student </w:t>
      </w:r>
      <w:r w:rsidR="00582FA5">
        <w:rPr>
          <w:rFonts w:ascii="Courier New" w:eastAsia="SimSun" w:hAnsi="Courier New" w:cs="Courier New"/>
          <w:sz w:val="24"/>
          <w:szCs w:val="24"/>
        </w:rPr>
        <w:t xml:space="preserve">who </w:t>
      </w:r>
      <w:r w:rsidR="00B45E8F" w:rsidRPr="00B45E8F">
        <w:rPr>
          <w:rFonts w:ascii="Courier New" w:eastAsia="SimSun" w:hAnsi="Courier New" w:cs="Courier New"/>
          <w:sz w:val="24"/>
          <w:szCs w:val="24"/>
        </w:rPr>
        <w:t>w</w:t>
      </w:r>
      <w:r w:rsidR="006B5F3D">
        <w:rPr>
          <w:rFonts w:ascii="Courier New" w:eastAsia="SimSun" w:hAnsi="Courier New" w:cs="Courier New"/>
          <w:sz w:val="24"/>
          <w:szCs w:val="24"/>
        </w:rPr>
        <w:t>as</w:t>
      </w:r>
      <w:r w:rsidR="00B45E8F" w:rsidRPr="00B45E8F">
        <w:rPr>
          <w:rFonts w:ascii="Courier New" w:eastAsia="SimSun" w:hAnsi="Courier New" w:cs="Courier New"/>
          <w:sz w:val="24"/>
          <w:szCs w:val="24"/>
        </w:rPr>
        <w:t xml:space="preserve"> not matched with SSA data, we remove the highest loan debts to provide a conservative estimate of median </w:t>
      </w:r>
      <w:r w:rsidR="00582FA5">
        <w:rPr>
          <w:rFonts w:ascii="Courier New" w:eastAsia="SimSun" w:hAnsi="Courier New" w:cs="Courier New"/>
          <w:sz w:val="24"/>
          <w:szCs w:val="24"/>
        </w:rPr>
        <w:t>l</w:t>
      </w:r>
      <w:r w:rsidR="00016247">
        <w:rPr>
          <w:rFonts w:ascii="Courier New" w:eastAsia="SimSun" w:hAnsi="Courier New" w:cs="Courier New"/>
          <w:sz w:val="24"/>
          <w:szCs w:val="24"/>
        </w:rPr>
        <w:t>oa</w:t>
      </w:r>
      <w:r w:rsidR="00582FA5">
        <w:rPr>
          <w:rFonts w:ascii="Courier New" w:eastAsia="SimSun" w:hAnsi="Courier New" w:cs="Courier New"/>
          <w:sz w:val="24"/>
          <w:szCs w:val="24"/>
        </w:rPr>
        <w:t xml:space="preserve">n </w:t>
      </w:r>
      <w:r w:rsidR="00B45E8F" w:rsidRPr="00B45E8F">
        <w:rPr>
          <w:rFonts w:ascii="Courier New" w:eastAsia="SimSun" w:hAnsi="Courier New" w:cs="Courier New"/>
          <w:sz w:val="24"/>
          <w:szCs w:val="24"/>
        </w:rPr>
        <w:t>debt that ensures we do not overestimate the amount of debt borrowed by students who were successfully matched with SSA data.</w:t>
      </w:r>
    </w:p>
    <w:p w14:paraId="27DCEC3B"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None. </w:t>
      </w:r>
    </w:p>
    <w:p w14:paraId="615F628E"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Several commenters stated that the proposed regulations do not clearly show how debt is attributed in situations where students are enrolled in multiple GE programs simultaneously at the same or different credential levels.</w:t>
      </w:r>
    </w:p>
    <w:p w14:paraId="2354DA99"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Under §668.411(a), an institution is required to report a student’s enrollment in each GE program even when the student was enrolled in more than one program, either at different times, at the same time, or for overlapping periods.  The institution reports information about each enrollment (dates, tuition and fees, books, supplies, and equipment, amounts of private student loans and institutional financing, etc.) separately for each program.  The Department uses the reported enrollment dates to attribute a student’s loan amounts </w:t>
      </w:r>
      <w:r w:rsidRPr="00D140AB">
        <w:rPr>
          <w:rFonts w:ascii="Courier New" w:eastAsia="SimSun" w:hAnsi="Courier New" w:cs="Courier New"/>
          <w:sz w:val="24"/>
          <w:szCs w:val="24"/>
        </w:rPr>
        <w:lastRenderedPageBreak/>
        <w:t>to the relevant GE program.  In instances where a student was enrolled in more than one GE program during a loan period, we attribute a portion of the loan to each program in proportion to the number of days the student was enrolled in each program.</w:t>
      </w:r>
    </w:p>
    <w:p w14:paraId="0952E079" w14:textId="04CD27A6"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In attributing loans, we exclude those loans, or portions of loans, that were made for a student’s enrollment in a non-GE program (e.g., a degree program at a public or not-for-profit institution).  In instances where a loan was made for a period that included enrollment in both a GE program and in a non-GE program, the loan will be attributed to the GE program under the assumption that the student would have taken out the loan if the student was enrolled only in the GE program.  </w:t>
      </w:r>
    </w:p>
    <w:p w14:paraId="4B7A40F9"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2C1B6115"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Some commenters stated that many students enter for-profit schools after accumulating loan debt from traditional colleges, and that the added debt may severely affect the students’ ability to repay their loans. </w:t>
      </w:r>
    </w:p>
    <w:p w14:paraId="31682731" w14:textId="3E9CFDA0"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We agree that increasing amounts of debt, regardless of where that debt was incurred, will affect a student’s ability to repay his or her loans.  However, the D/E rates are calculated based only on the amount a student borrowed for enrollment in GE program</w:t>
      </w:r>
      <w:r w:rsidR="00BC2017">
        <w:rPr>
          <w:rFonts w:ascii="Courier New" w:eastAsia="SimSun" w:hAnsi="Courier New" w:cs="Courier New"/>
          <w:sz w:val="24"/>
          <w:szCs w:val="24"/>
        </w:rPr>
        <w:t>s</w:t>
      </w:r>
      <w:r w:rsidRPr="00D140AB">
        <w:rPr>
          <w:rFonts w:ascii="Courier New" w:eastAsia="SimSun" w:hAnsi="Courier New" w:cs="Courier New"/>
          <w:sz w:val="24"/>
          <w:szCs w:val="24"/>
        </w:rPr>
        <w:t xml:space="preserve"> at the institution, and are not based on any debt accumulated at other institutions the student previously attended, except where the student incurred debt to </w:t>
      </w:r>
      <w:r w:rsidRPr="00D140AB">
        <w:rPr>
          <w:rFonts w:ascii="Courier New" w:eastAsia="SimSun" w:hAnsi="Courier New" w:cs="Courier New"/>
          <w:sz w:val="24"/>
          <w:szCs w:val="24"/>
        </w:rPr>
        <w:lastRenderedPageBreak/>
        <w:t>attend a program offered by a commonly</w:t>
      </w: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owned or controlled institution, and where disregarding the common ownership or control would allow manipulation of </w:t>
      </w:r>
      <w:r>
        <w:rPr>
          <w:rFonts w:ascii="Courier New" w:eastAsia="SimSun" w:hAnsi="Courier New" w:cs="Courier New"/>
          <w:sz w:val="24"/>
          <w:szCs w:val="24"/>
        </w:rPr>
        <w:t xml:space="preserve">D/E </w:t>
      </w:r>
      <w:r w:rsidRPr="00D140AB">
        <w:rPr>
          <w:rFonts w:ascii="Courier New" w:eastAsia="SimSun" w:hAnsi="Courier New" w:cs="Courier New"/>
          <w:sz w:val="24"/>
          <w:szCs w:val="24"/>
        </w:rPr>
        <w:t xml:space="preserve">rates, as provided under §668.404(d)(3).  </w:t>
      </w:r>
    </w:p>
    <w:p w14:paraId="03B43E00"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4BB2625"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One commenter suggested that the Department revise §668.404(d)(1)(iii) to clarify that the amount of any obligation that a student owes the institution is the amount outstanding at the time the student completes the program.  The commenter provided the following language:  “The amount outstanding, as of the date the student completes the program, on any credit extended by or on behalf of the institution for enrollment in the GE program that the student is obligated to repay after program completion, even if that obligation is excluded from the definition of a ‘private education loan,’ in 34 CFR §601.2.”</w:t>
      </w:r>
    </w:p>
    <w:p w14:paraId="0AB3305D"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ab/>
        <w:t xml:space="preserve">Other commenters opined that total loan debt should not include any funds a student owes to an institution unless those funds are owed pursuant to an executed promissory note.  </w:t>
      </w:r>
    </w:p>
    <w:p w14:paraId="175307E0" w14:textId="3E2079CB"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believe that any amount owed to the institution resulting from the student’s attendance in the GE program should be included, regardless of whether it is evidenced by a promissory note or other agreement because the amount owed is the same as any other debt the student is responsible to repay.  For this reason, we clarify that, in addition to an obligation </w:t>
      </w:r>
      <w:r w:rsidRPr="00D140AB">
        <w:rPr>
          <w:rFonts w:ascii="Courier New" w:eastAsia="SimSun" w:hAnsi="Courier New" w:cs="Courier New"/>
          <w:sz w:val="24"/>
          <w:szCs w:val="24"/>
        </w:rPr>
        <w:lastRenderedPageBreak/>
        <w:t xml:space="preserve">stemming from extending credit, an obligation includes any debts or unpaid charges owed to the institution.  In addition, we adopt the commenter’s suggestion to specify that the amount included in determining the student’s loan debt is the amount </w:t>
      </w:r>
      <w:r w:rsidR="00B51EB7">
        <w:rPr>
          <w:rFonts w:ascii="Courier New" w:eastAsia="SimSun" w:hAnsi="Courier New" w:cs="Courier New"/>
          <w:sz w:val="24"/>
          <w:szCs w:val="24"/>
        </w:rPr>
        <w:t xml:space="preserve">of credit extended (not from private education loans) by or on behalf of the institution, including any unpaid charges, that are </w:t>
      </w:r>
      <w:r w:rsidRPr="00D140AB">
        <w:rPr>
          <w:rFonts w:ascii="Courier New" w:eastAsia="SimSun" w:hAnsi="Courier New" w:cs="Courier New"/>
          <w:sz w:val="24"/>
          <w:szCs w:val="24"/>
        </w:rPr>
        <w:t>outstanding at the time the student completed the program.</w:t>
      </w:r>
    </w:p>
    <w:p w14:paraId="6761D6AB" w14:textId="3E9E85A5"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We have revised the regulations to clarify</w:t>
      </w:r>
      <w:r>
        <w:rPr>
          <w:rFonts w:ascii="Courier New" w:eastAsia="SimSun" w:hAnsi="Courier New" w:cs="Courier New"/>
          <w:sz w:val="24"/>
          <w:szCs w:val="24"/>
        </w:rPr>
        <w:t>, in §668.404(d)(1)(iii),</w:t>
      </w:r>
      <w:r w:rsidRPr="00D140AB">
        <w:rPr>
          <w:rFonts w:ascii="Courier New" w:eastAsia="SimSun" w:hAnsi="Courier New" w:cs="Courier New"/>
          <w:sz w:val="24"/>
          <w:szCs w:val="24"/>
        </w:rPr>
        <w:t xml:space="preserve"> that </w:t>
      </w:r>
      <w:r>
        <w:rPr>
          <w:rFonts w:ascii="Courier New" w:eastAsia="SimSun" w:hAnsi="Courier New" w:cs="Courier New"/>
          <w:sz w:val="24"/>
          <w:szCs w:val="24"/>
        </w:rPr>
        <w:t xml:space="preserve">loan </w:t>
      </w:r>
      <w:r w:rsidRPr="00B04F01">
        <w:rPr>
          <w:rFonts w:ascii="Courier New" w:eastAsia="SimSun" w:hAnsi="Courier New" w:cs="Courier New"/>
          <w:sz w:val="24"/>
          <w:szCs w:val="24"/>
        </w:rPr>
        <w:t>debt</w:t>
      </w:r>
      <w:r>
        <w:rPr>
          <w:rFonts w:ascii="Courier New" w:eastAsia="SimSun" w:hAnsi="Courier New" w:cs="Courier New"/>
          <w:sz w:val="24"/>
          <w:szCs w:val="24"/>
        </w:rPr>
        <w:t xml:space="preserve"> includes </w:t>
      </w:r>
      <w:r w:rsidRPr="00D140AB">
        <w:rPr>
          <w:rFonts w:ascii="Courier New" w:eastAsia="SimSun" w:hAnsi="Courier New" w:cs="Courier New"/>
          <w:sz w:val="24"/>
          <w:szCs w:val="24"/>
        </w:rPr>
        <w:t>any credit</w:t>
      </w:r>
      <w:r>
        <w:rPr>
          <w:rFonts w:ascii="Courier New" w:eastAsia="SimSun" w:hAnsi="Courier New" w:cs="Courier New"/>
          <w:sz w:val="24"/>
          <w:szCs w:val="24"/>
        </w:rPr>
        <w:t xml:space="preserve">, including for unpaid charges, </w:t>
      </w:r>
      <w:r w:rsidRPr="00D140AB">
        <w:rPr>
          <w:rFonts w:ascii="Courier New" w:eastAsia="SimSun" w:hAnsi="Courier New" w:cs="Courier New"/>
          <w:sz w:val="24"/>
          <w:szCs w:val="24"/>
        </w:rPr>
        <w:t xml:space="preserve">extended </w:t>
      </w:r>
      <w:r w:rsidR="00CF7D07">
        <w:rPr>
          <w:rFonts w:ascii="Courier New" w:eastAsia="SimSun" w:hAnsi="Courier New" w:cs="Courier New"/>
          <w:sz w:val="24"/>
          <w:szCs w:val="24"/>
        </w:rPr>
        <w:t xml:space="preserve">(other than private education loans) </w:t>
      </w:r>
      <w:r w:rsidRPr="00D140AB">
        <w:rPr>
          <w:rFonts w:ascii="Courier New" w:eastAsia="SimSun" w:hAnsi="Courier New" w:cs="Courier New"/>
          <w:sz w:val="24"/>
          <w:szCs w:val="24"/>
        </w:rPr>
        <w:t xml:space="preserve">by or on behalf of </w:t>
      </w:r>
      <w:r>
        <w:rPr>
          <w:rFonts w:ascii="Courier New" w:eastAsia="SimSun" w:hAnsi="Courier New" w:cs="Courier New"/>
          <w:sz w:val="24"/>
          <w:szCs w:val="24"/>
        </w:rPr>
        <w:t>an</w:t>
      </w:r>
      <w:r w:rsidRPr="00D140AB">
        <w:rPr>
          <w:rFonts w:ascii="Courier New" w:eastAsia="SimSun" w:hAnsi="Courier New" w:cs="Courier New"/>
          <w:sz w:val="24"/>
          <w:szCs w:val="24"/>
        </w:rPr>
        <w:t xml:space="preserve"> institution</w:t>
      </w:r>
      <w:r>
        <w:rPr>
          <w:rFonts w:ascii="Courier New" w:eastAsia="SimSun" w:hAnsi="Courier New" w:cs="Courier New"/>
          <w:sz w:val="24"/>
          <w:szCs w:val="24"/>
        </w:rPr>
        <w:t xml:space="preserve">, that is owed to the institution for any GE program attended at the institution, and that the amount of this institutional credit includes only those amounts that are </w:t>
      </w:r>
      <w:r w:rsidRPr="00D140AB">
        <w:rPr>
          <w:rFonts w:ascii="Courier New" w:eastAsia="SimSun" w:hAnsi="Courier New" w:cs="Courier New"/>
          <w:sz w:val="24"/>
          <w:szCs w:val="24"/>
        </w:rPr>
        <w:t xml:space="preserve">outstanding </w:t>
      </w:r>
      <w:r>
        <w:rPr>
          <w:rFonts w:ascii="Courier New" w:eastAsia="SimSun" w:hAnsi="Courier New" w:cs="Courier New"/>
          <w:sz w:val="24"/>
          <w:szCs w:val="24"/>
        </w:rPr>
        <w:t>at</w:t>
      </w:r>
      <w:r w:rsidRPr="00D140AB">
        <w:rPr>
          <w:rFonts w:ascii="Courier New" w:eastAsia="SimSun" w:hAnsi="Courier New" w:cs="Courier New"/>
          <w:sz w:val="24"/>
          <w:szCs w:val="24"/>
        </w:rPr>
        <w:t xml:space="preserve"> the time the student completed the program.</w:t>
      </w:r>
    </w:p>
    <w:p w14:paraId="2F75441A"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One commenter asked the Department to clarify if institutional debt would include amounts owed to the institution resulting from the institution’s return of unearned title IV aid under the </w:t>
      </w:r>
      <w:r>
        <w:rPr>
          <w:rFonts w:ascii="Courier New" w:eastAsia="SimSun" w:hAnsi="Courier New" w:cs="Courier New"/>
          <w:sz w:val="24"/>
          <w:szCs w:val="24"/>
        </w:rPr>
        <w:t>r</w:t>
      </w:r>
      <w:r w:rsidRPr="00D140AB">
        <w:rPr>
          <w:rFonts w:ascii="Courier New" w:eastAsia="SimSun" w:hAnsi="Courier New" w:cs="Courier New"/>
          <w:sz w:val="24"/>
          <w:szCs w:val="24"/>
        </w:rPr>
        <w:t xml:space="preserve">eturn to </w:t>
      </w:r>
      <w:r>
        <w:rPr>
          <w:rFonts w:ascii="Courier New" w:eastAsia="SimSun" w:hAnsi="Courier New" w:cs="Courier New"/>
          <w:sz w:val="24"/>
          <w:szCs w:val="24"/>
        </w:rPr>
        <w:t>t</w:t>
      </w:r>
      <w:r w:rsidRPr="00D140AB">
        <w:rPr>
          <w:rFonts w:ascii="Courier New" w:eastAsia="SimSun" w:hAnsi="Courier New" w:cs="Courier New"/>
          <w:sz w:val="24"/>
          <w:szCs w:val="24"/>
        </w:rPr>
        <w:t>itle IV aid regulations.</w:t>
      </w:r>
    </w:p>
    <w:p w14:paraId="40C25517"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t>
      </w:r>
      <w:r>
        <w:rPr>
          <w:rFonts w:ascii="Courier New" w:eastAsia="SimSun" w:hAnsi="Courier New" w:cs="Courier New"/>
          <w:sz w:val="24"/>
          <w:szCs w:val="24"/>
        </w:rPr>
        <w:t xml:space="preserve">The situation described by the commenter results where a student enrolls at an institution, the student withdraws at a point where the institution returns the unearned portion of the student’s title IV, HEA program funds and the student is required to pay the institution at least a portion of the </w:t>
      </w:r>
      <w:r>
        <w:rPr>
          <w:rFonts w:ascii="Courier New" w:eastAsia="SimSun" w:hAnsi="Courier New" w:cs="Courier New"/>
          <w:sz w:val="24"/>
          <w:szCs w:val="24"/>
        </w:rPr>
        <w:lastRenderedPageBreak/>
        <w:t xml:space="preserve">charges that would have been paid by those unearned funds, and the student subsequently completes a GE program at the same institution before paying those charges from the prior enrollment.  </w:t>
      </w:r>
      <w:r w:rsidRPr="00D140AB">
        <w:rPr>
          <w:rFonts w:ascii="Courier New" w:eastAsia="SimSun" w:hAnsi="Courier New" w:cs="Courier New"/>
          <w:sz w:val="24"/>
          <w:szCs w:val="24"/>
        </w:rPr>
        <w:t xml:space="preserve">We confirm that </w:t>
      </w:r>
      <w:r>
        <w:rPr>
          <w:rFonts w:ascii="Courier New" w:eastAsia="SimSun" w:hAnsi="Courier New" w:cs="Courier New"/>
          <w:sz w:val="24"/>
          <w:szCs w:val="24"/>
        </w:rPr>
        <w:t xml:space="preserve">the </w:t>
      </w:r>
      <w:r w:rsidRPr="00D140AB">
        <w:rPr>
          <w:rFonts w:ascii="Courier New" w:eastAsia="SimSun" w:hAnsi="Courier New" w:cs="Courier New"/>
          <w:sz w:val="24"/>
          <w:szCs w:val="24"/>
        </w:rPr>
        <w:t xml:space="preserve">institutional debt </w:t>
      </w:r>
      <w:r>
        <w:rPr>
          <w:rFonts w:ascii="Courier New" w:eastAsia="SimSun" w:hAnsi="Courier New" w:cs="Courier New"/>
          <w:sz w:val="24"/>
          <w:szCs w:val="24"/>
        </w:rPr>
        <w:t>for the program the student completes</w:t>
      </w:r>
      <w:r w:rsidRPr="00D140AB">
        <w:rPr>
          <w:rFonts w:ascii="Courier New" w:eastAsia="SimSun" w:hAnsi="Courier New" w:cs="Courier New"/>
          <w:sz w:val="24"/>
          <w:szCs w:val="24"/>
        </w:rPr>
        <w:t xml:space="preserve"> includes </w:t>
      </w:r>
      <w:r>
        <w:rPr>
          <w:rFonts w:ascii="Courier New" w:eastAsia="SimSun" w:hAnsi="Courier New" w:cs="Courier New"/>
          <w:sz w:val="24"/>
          <w:szCs w:val="24"/>
        </w:rPr>
        <w:t>the student debt from the prior enrollment at the institution.  We do not believe this series of events will happen often, and it is unlikely that it would significantly change the median loan debt calculated for a program.</w:t>
      </w:r>
    </w:p>
    <w:p w14:paraId="7A471D4E"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153C4442"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Some commenters opined that the regulations do not provide for an accurate assessment of debt burden because, in addition to title IV loans and private loans, students use other financing options, such as credit cards and home equity loans, to cover educational expenses.  They argued that the Department should not ignore these other forms of credit because doing so would understate the debt burden of students.  </w:t>
      </w:r>
    </w:p>
    <w:p w14:paraId="44134276"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While we agree that there may be instances where counting debt incurred through various financing options may provide a better assessment of total debt, the information needed to include that debt in calculating the D/E rates is generally not available and may not be useable if the debt is not tied directly to a student.  For example, an institution would not typically know or inquire whether a student or the </w:t>
      </w:r>
      <w:r w:rsidRPr="00D140AB">
        <w:rPr>
          <w:rFonts w:ascii="Courier New" w:eastAsia="SimSun" w:hAnsi="Courier New" w:cs="Courier New"/>
          <w:sz w:val="24"/>
          <w:szCs w:val="24"/>
        </w:rPr>
        <w:lastRenderedPageBreak/>
        <w:t xml:space="preserve">student’s family obtained an equity loan or used a portion of that loan to pay for educational expenses.  For a credit card, even when an institution knows that it was used to pay for educational expenses, the institution does not typically know or inquire whether the amount charged on the credit card was paid in full shortly thereafter or created a longer-term obligation similar to a student loan.  </w:t>
      </w:r>
    </w:p>
    <w:p w14:paraId="31E98255"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6639CC12"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Some commenters argued that the Department did not clarify how an institution might “reasonably be aware of” a student who has a private student loan and that, as a result, some borrowing will go unreported, perhaps intentionally.  One of the commenters noted that Federal law does not currently require an institution to certify that a borrower has demonstrated need to receive a private student loan.  As noted in a 2012 study conducted by the CFPB and the Department, according to the commenter, private student lenders have directly originated loans to students, sometimes without the school’s knowledge.  The commenters encouraged the Department to clarify the phrase “reasonably aware” to reduce the likelihood that institutions will engage in tactics to arrange credit from private lenders for students in an attempt to circumvent the requirements of the regulations. </w:t>
      </w:r>
    </w:p>
    <w:p w14:paraId="5256BC88" w14:textId="77777777" w:rsidR="00E144CA" w:rsidRPr="00D140AB" w:rsidRDefault="00E144CA"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lastRenderedPageBreak/>
        <w:tab/>
        <w:t xml:space="preserve">Similarly, other commenters argued that the “reasonably aware” provision gives too much discretion to institutions to report private loans.  The commenters stated that private loans are an expensive form of financing that is used by students attending for-profit institutions at twice the rate as students attending non-profit institutions and that, in some cases, for-profit institutions use private loans to evade the </w:t>
      </w:r>
      <w:r w:rsidRPr="00D140AB">
        <w:rPr>
          <w:rFonts w:ascii="Courier New" w:hAnsi="Courier New" w:cs="Courier New"/>
          <w:sz w:val="24"/>
          <w:szCs w:val="24"/>
        </w:rPr>
        <w:t>90/10 provisions in section 487(a)(24) of the HEA</w:t>
      </w:r>
      <w:r>
        <w:rPr>
          <w:rFonts w:ascii="Courier New" w:eastAsia="SimSun" w:hAnsi="Courier New" w:cs="Courier New"/>
          <w:sz w:val="24"/>
          <w:szCs w:val="24"/>
        </w:rPr>
        <w:t xml:space="preserve">.  For these reasons, the commenters suggested that the Department require institutions to affirmatively assess whether their students have private loans. </w:t>
      </w:r>
    </w:p>
    <w:p w14:paraId="648BA01F"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The HEOA requires private education lenders to obtain a private loan certification form from every borrower of such a loan before the lender may disburse the private education</w:t>
      </w: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loan.  Under 34 CFR 601.11(d), an institution is required to provide the self-certification form and the information needed to complete the form upon an enrolled or admitted student applicant’s request.  An institution must provide the private loan self-certification form to the borrower even if the institution already certifies the loan directly to the private education lender as part of an existing process.  An institution must also provide the self-certification form to a private education loan borrower if the institution itself is the creditor.  Once the private loan self-certification form and the </w:t>
      </w:r>
      <w:r w:rsidRPr="00D140AB">
        <w:rPr>
          <w:rFonts w:ascii="Courier New" w:eastAsia="SimSun" w:hAnsi="Courier New" w:cs="Courier New"/>
          <w:sz w:val="24"/>
          <w:szCs w:val="24"/>
        </w:rPr>
        <w:lastRenderedPageBreak/>
        <w:t>information needed to complete the form are disseminated by the institution, there is no requirement that the institution track the status of the borrower’s private education loan.</w:t>
      </w:r>
    </w:p>
    <w:p w14:paraId="5B8AA29F"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ab/>
        <w:t xml:space="preserve">The Federal Reserve Board, in 12 CFR 226.48, built some flexibility into the process of obtaining the self-certification form for a private education lender.  The private education lender may receive the form directly from the consumer, the private education lender may receive the form through the institution of higher education, or the lender may provide the form, and the information the consumer will require to complete the form, directly to the borrower.  However, in all cases the information needed to complete the form, whether obtained by the borrower or by the private education lender, must come directly from the institution.  </w:t>
      </w:r>
    </w:p>
    <w:p w14:paraId="708D9409"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ab/>
        <w:t xml:space="preserve">Thus, even though an institution is not required to track the status of its student borrowers’ private education loans, the institution will know about all the private education loans a student borrower receives, with the exception of direct-to-consumer private education loans, because </w:t>
      </w:r>
      <w:r>
        <w:rPr>
          <w:rFonts w:ascii="Courier New" w:eastAsia="SimSun" w:hAnsi="Courier New" w:cs="Courier New"/>
          <w:sz w:val="24"/>
          <w:szCs w:val="24"/>
        </w:rPr>
        <w:t xml:space="preserve">as previously , </w:t>
      </w:r>
      <w:r w:rsidRPr="00D140AB">
        <w:rPr>
          <w:rFonts w:ascii="Courier New" w:eastAsia="SimSun" w:hAnsi="Courier New" w:cs="Courier New"/>
          <w:sz w:val="24"/>
          <w:szCs w:val="24"/>
        </w:rPr>
        <w:t>the institution’s financial aid office “packages” most private education loans in arranging financial aid for students</w:t>
      </w:r>
      <w:r>
        <w:rPr>
          <w:rFonts w:ascii="Courier New" w:eastAsia="SimSun" w:hAnsi="Courier New" w:cs="Courier New"/>
          <w:sz w:val="24"/>
          <w:szCs w:val="24"/>
        </w:rPr>
        <w:t>.</w:t>
      </w:r>
      <w:r w:rsidRPr="00D140AB">
        <w:rPr>
          <w:rFonts w:ascii="Courier New" w:eastAsia="SimSun" w:hAnsi="Courier New" w:cs="Courier New"/>
          <w:sz w:val="24"/>
          <w:szCs w:val="24"/>
        </w:rPr>
        <w:t xml:space="preserve">  We consider the institution to be reasonably aware at the very least of private education loans that its own offices have arranged or helped facilitate, including by providing the </w:t>
      </w:r>
      <w:r w:rsidRPr="00D140AB">
        <w:rPr>
          <w:rFonts w:ascii="Courier New" w:eastAsia="SimSun" w:hAnsi="Courier New" w:cs="Courier New"/>
          <w:sz w:val="24"/>
          <w:szCs w:val="24"/>
        </w:rPr>
        <w:lastRenderedPageBreak/>
        <w:t>certification form.  The institution must report these loans.  Direct-to-consumer private education loans are disbursed directly to the borrower, not to the school.  An institution is not involved in a certification process for this type of loan.</w:t>
      </w:r>
      <w:r>
        <w:rPr>
          <w:rFonts w:ascii="Courier New" w:eastAsia="SimSun" w:hAnsi="Courier New" w:cs="Courier New"/>
          <w:sz w:val="24"/>
          <w:szCs w:val="24"/>
        </w:rPr>
        <w:t xml:space="preserve">  Nothing prevents an institution from asking students whether they obtained direct-to-consumer private loans, and we encourage institutions to do so.  However, we are not persuaded that requiring institutions to affirmatively assess whether students obtain direct-to-consumer private education loans through additional inquiry, as suggested by some commenters, will be helpful or result in reporting of additional loans that would materially impact the median loan debt of a program.</w:t>
      </w:r>
    </w:p>
    <w:p w14:paraId="02751B27"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None. </w:t>
      </w:r>
    </w:p>
    <w:p w14:paraId="619F60A3"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A few commenters argued that loan debt should include all loans held by each student, not just loans attributed to the relevant program.  The commenters</w:t>
      </w:r>
      <w:r w:rsidRPr="00D140AB" w:rsidDel="0018641C">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suggested that by including debt previously received for attendance at prior institutions, the metric would better take into account previous educational and job experience, factors not currently reflected in the D/E rates measure.  </w:t>
      </w:r>
    </w:p>
    <w:p w14:paraId="3A4B3345" w14:textId="77777777" w:rsidR="00E144CA"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The Department is adopting the D/E rates measure as </w:t>
      </w:r>
      <w:r>
        <w:rPr>
          <w:rFonts w:ascii="Courier New" w:eastAsia="SimSun" w:hAnsi="Courier New" w:cs="Courier New"/>
          <w:sz w:val="24"/>
          <w:szCs w:val="24"/>
        </w:rPr>
        <w:t>an</w:t>
      </w:r>
      <w:r w:rsidRPr="00D140AB">
        <w:rPr>
          <w:rFonts w:ascii="Courier New" w:eastAsia="SimSun" w:hAnsi="Courier New" w:cs="Courier New"/>
          <w:sz w:val="24"/>
          <w:szCs w:val="24"/>
        </w:rPr>
        <w:t xml:space="preserve"> accountability metric because we believe that comparing debt incurred </w:t>
      </w:r>
      <w:r>
        <w:rPr>
          <w:rFonts w:ascii="Courier New" w:eastAsia="SimSun" w:hAnsi="Courier New" w:cs="Courier New"/>
          <w:sz w:val="24"/>
          <w:szCs w:val="24"/>
        </w:rPr>
        <w:t xml:space="preserve">for completing </w:t>
      </w:r>
      <w:r w:rsidRPr="00D140AB">
        <w:rPr>
          <w:rFonts w:ascii="Courier New" w:eastAsia="SimSun" w:hAnsi="Courier New" w:cs="Courier New"/>
          <w:sz w:val="24"/>
          <w:szCs w:val="24"/>
        </w:rPr>
        <w:t xml:space="preserve">a GE program with earnings achieved after that training provides the most appropriate indication of </w:t>
      </w:r>
      <w:r w:rsidRPr="00D140AB">
        <w:rPr>
          <w:rFonts w:ascii="Courier New" w:eastAsia="SimSun" w:hAnsi="Courier New" w:cs="Courier New"/>
          <w:sz w:val="24"/>
          <w:szCs w:val="24"/>
        </w:rPr>
        <w:lastRenderedPageBreak/>
        <w:t>whether students  can manage the debt they incurred</w:t>
      </w:r>
      <w:r>
        <w:rPr>
          <w:rFonts w:ascii="Courier New" w:eastAsia="SimSun" w:hAnsi="Courier New" w:cs="Courier New"/>
          <w:sz w:val="24"/>
          <w:szCs w:val="24"/>
        </w:rPr>
        <w:t>.</w:t>
      </w:r>
      <w:r w:rsidRPr="00D140AB">
        <w:rPr>
          <w:rFonts w:ascii="Courier New" w:eastAsia="SimSun" w:hAnsi="Courier New" w:cs="Courier New"/>
          <w:sz w:val="24"/>
          <w:szCs w:val="24"/>
        </w:rPr>
        <w:t xml:space="preserve"> </w:t>
      </w:r>
      <w:r>
        <w:rPr>
          <w:rFonts w:ascii="Courier New" w:eastAsia="SimSun" w:hAnsi="Courier New" w:cs="Courier New"/>
          <w:sz w:val="24"/>
          <w:szCs w:val="24"/>
        </w:rPr>
        <w:t xml:space="preserve"> We attribute loan debt to the highest credentialed program completed by a student for two reasons: earnings most likely stem from the highest credentialed program and some or all of the coursework from a lower credentialed program may apply to the higher credential program.  For these reasons, in cases where a student completes a lower credential program but previously enrolled in a higher credentialed program, we do not believe it is appropriate to include the loan debt from the higher credentialed program.</w:t>
      </w:r>
    </w:p>
    <w:p w14:paraId="71FAB7AE"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A657157" w14:textId="77777777" w:rsidR="00E144CA" w:rsidRPr="00D140AB" w:rsidRDefault="00E144CA" w:rsidP="00173B87">
      <w:pPr>
        <w:spacing w:after="0" w:line="480" w:lineRule="auto"/>
        <w:rPr>
          <w:rFonts w:ascii="Courier New" w:eastAsia="SimSun" w:hAnsi="Courier New" w:cs="Courier New"/>
          <w:sz w:val="24"/>
          <w:szCs w:val="24"/>
          <w:u w:val="single"/>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One commenter noted that the reference in §668.404(b)(1)(ii) to the reporting requirements relating to tuition and fees and books, equipment, and supplies is incorrect.</w:t>
      </w:r>
    </w:p>
    <w:p w14:paraId="60B9FC6E" w14:textId="77777777" w:rsidR="00E144CA" w:rsidRPr="00D140AB" w:rsidRDefault="00E144CA" w:rsidP="00173B87">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 commenter is correct.</w:t>
      </w:r>
    </w:p>
    <w:p w14:paraId="5A160264" w14:textId="3B33D35F" w:rsidR="00E144CA" w:rsidRPr="00D140AB" w:rsidRDefault="00E144CA" w:rsidP="00173B87">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We have </w:t>
      </w:r>
      <w:r w:rsidR="00642FDA">
        <w:rPr>
          <w:rFonts w:ascii="Courier New" w:hAnsi="Courier New" w:cs="Courier New"/>
          <w:sz w:val="24"/>
          <w:szCs w:val="24"/>
        </w:rPr>
        <w:t>relocated and corrected th</w:t>
      </w:r>
      <w:r w:rsidR="00016247">
        <w:rPr>
          <w:rFonts w:ascii="Courier New" w:hAnsi="Courier New" w:cs="Courier New"/>
          <w:sz w:val="24"/>
          <w:szCs w:val="24"/>
        </w:rPr>
        <w:t>e</w:t>
      </w:r>
      <w:r w:rsidR="00642FDA">
        <w:rPr>
          <w:rFonts w:ascii="Courier New" w:hAnsi="Courier New" w:cs="Courier New"/>
          <w:sz w:val="24"/>
          <w:szCs w:val="24"/>
        </w:rPr>
        <w:t xml:space="preserve"> reference in </w:t>
      </w:r>
      <w:r w:rsidRPr="00D140AB">
        <w:rPr>
          <w:rFonts w:ascii="Courier New" w:eastAsia="SimSun" w:hAnsi="Courier New" w:cs="Courier New"/>
          <w:sz w:val="24"/>
          <w:szCs w:val="24"/>
        </w:rPr>
        <w:t>§668.404(b)(</w:t>
      </w:r>
      <w:r w:rsidR="00642FDA">
        <w:rPr>
          <w:rFonts w:ascii="Courier New" w:eastAsia="SimSun" w:hAnsi="Courier New" w:cs="Courier New"/>
          <w:sz w:val="24"/>
          <w:szCs w:val="24"/>
        </w:rPr>
        <w:t>2</w:t>
      </w:r>
      <w:r w:rsidRPr="00D140AB">
        <w:rPr>
          <w:rFonts w:ascii="Courier New" w:eastAsia="SimSun" w:hAnsi="Courier New" w:cs="Courier New"/>
          <w:sz w:val="24"/>
          <w:szCs w:val="24"/>
        </w:rPr>
        <w:t xml:space="preserve">) to </w:t>
      </w:r>
      <w:r w:rsidR="00642FDA">
        <w:rPr>
          <w:rFonts w:ascii="Courier New" w:eastAsia="SimSun" w:hAnsi="Courier New" w:cs="Courier New"/>
          <w:sz w:val="24"/>
          <w:szCs w:val="24"/>
        </w:rPr>
        <w:t xml:space="preserve"> the tuition and fees and books, equipment, and supplies</w:t>
      </w:r>
      <w:r w:rsidRPr="00D140AB" w:rsidDel="00642FDA">
        <w:rPr>
          <w:rFonts w:ascii="Courier New" w:eastAsia="SimSun" w:hAnsi="Courier New" w:cs="Courier New"/>
          <w:sz w:val="24"/>
          <w:szCs w:val="24"/>
        </w:rPr>
        <w:t xml:space="preserve"> </w:t>
      </w:r>
      <w:r w:rsidR="00016247">
        <w:rPr>
          <w:rFonts w:ascii="Courier New" w:eastAsia="SimSun" w:hAnsi="Courier New" w:cs="Courier New"/>
          <w:sz w:val="24"/>
          <w:szCs w:val="24"/>
        </w:rPr>
        <w:t xml:space="preserve">reported under </w:t>
      </w:r>
      <w:r w:rsidR="00642FDA">
        <w:rPr>
          <w:rFonts w:ascii="Courier New" w:eastAsia="SimSun" w:hAnsi="Courier New" w:cs="Courier New"/>
          <w:sz w:val="24"/>
          <w:szCs w:val="24"/>
        </w:rPr>
        <w:t>§668.411(a)(2)(iv) and (v).</w:t>
      </w:r>
    </w:p>
    <w:p w14:paraId="1966AEE4" w14:textId="77777777" w:rsidR="00E144CA" w:rsidRPr="00D140AB" w:rsidRDefault="00E144CA" w:rsidP="00173B87">
      <w:pPr>
        <w:pStyle w:val="Heading2"/>
        <w:ind w:left="0"/>
      </w:pPr>
      <w:r w:rsidRPr="00D140AB">
        <w:t>Tuition and Fees</w:t>
      </w:r>
    </w:p>
    <w:p w14:paraId="13501E46"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A number of commenters agreed with the Department’s proposal to cap the loan debt for a student at the amount assessed for tuition and fees but disagreed with the proposal in §668.404(b)(1)(i) and (ii) to include books, supplies, and </w:t>
      </w:r>
      <w:r w:rsidRPr="00D140AB">
        <w:rPr>
          <w:rFonts w:ascii="Courier New" w:eastAsia="SimSun" w:hAnsi="Courier New" w:cs="Courier New"/>
          <w:sz w:val="24"/>
          <w:szCs w:val="24"/>
        </w:rPr>
        <w:lastRenderedPageBreak/>
        <w:t xml:space="preserve">equipment as part of the cap.  Some of the commenters stated that institutions include the costs of books, </w:t>
      </w:r>
      <w:r>
        <w:rPr>
          <w:rFonts w:ascii="Courier New" w:eastAsia="SimSun" w:hAnsi="Courier New" w:cs="Courier New"/>
          <w:sz w:val="24"/>
          <w:szCs w:val="24"/>
        </w:rPr>
        <w:t>“</w:t>
      </w:r>
      <w:r w:rsidRPr="00D140AB">
        <w:rPr>
          <w:rFonts w:ascii="Courier New" w:eastAsia="SimSun" w:hAnsi="Courier New" w:cs="Courier New"/>
          <w:sz w:val="24"/>
          <w:szCs w:val="24"/>
        </w:rPr>
        <w:t>kits,</w:t>
      </w:r>
      <w:r>
        <w:rPr>
          <w:rFonts w:ascii="Courier New" w:eastAsia="SimSun" w:hAnsi="Courier New" w:cs="Courier New"/>
          <w:sz w:val="24"/>
          <w:szCs w:val="24"/>
        </w:rPr>
        <w:t>”</w:t>
      </w:r>
      <w:r w:rsidRPr="00D140AB">
        <w:rPr>
          <w:rFonts w:ascii="Courier New" w:eastAsia="SimSun" w:hAnsi="Courier New" w:cs="Courier New"/>
          <w:sz w:val="24"/>
          <w:szCs w:val="24"/>
        </w:rPr>
        <w:t xml:space="preserve"> and supplies as part of the tuition for many programs as a way to limit student out-of-pocket costs and, accordingly, did not believe they should be held accountable for those costs.  A few of these commenters suggested that the Department exclude from the cap the costs of books, supplies, and equipment if an institution can show that it reduced the price of these items to the student through direct purchasing.  Other commenters believed that since students may purchase the supplies they want, but not necessarily need, and because the prices for books, supplies, and equipment may vary greatly, the loan cap should include only tuition and fees.  </w:t>
      </w:r>
    </w:p>
    <w:p w14:paraId="03A614D0" w14:textId="4D76C0E1"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Some commenters supported the proposed tuition and fees and books, equipment, and supplies cap, opining that because the title IV, HEA programs permit students to borrow in excess of direct educational costs, calculating the loan debt without a cap would unfairly hold institutions accountable for portions of debt unrelated to the direct cost of the borrower’s program.  The commenters reasoned that inasmuch as institutions are not permitted to limit borrowing (other than on a case-by-case basis), it would be unfair to allow decisions by students to borrow above the cost of the program to affect a program’s eligibility.  Some of these commenters requested that the </w:t>
      </w:r>
      <w:r w:rsidR="00E144CA" w:rsidRPr="00D140AB">
        <w:rPr>
          <w:rFonts w:ascii="Courier New" w:eastAsia="SimSun" w:hAnsi="Courier New" w:cs="Courier New"/>
          <w:sz w:val="24"/>
          <w:szCs w:val="24"/>
        </w:rPr>
        <w:lastRenderedPageBreak/>
        <w:t xml:space="preserve">Department give institutions more tools or the authority to reduce over-borrowing if they are to be held accountable for debt above tuition and fees.  </w:t>
      </w:r>
    </w:p>
    <w:p w14:paraId="15791794" w14:textId="5FD24CB5"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On the other hand, some commenters objected to the cap</w:t>
      </w:r>
      <w:r w:rsidR="00E144CA">
        <w:rPr>
          <w:rFonts w:ascii="Courier New" w:eastAsia="SimSun" w:hAnsi="Courier New" w:cs="Courier New"/>
          <w:sz w:val="24"/>
          <w:szCs w:val="24"/>
        </w:rPr>
        <w:t>.  They</w:t>
      </w:r>
      <w:r w:rsidR="00E144CA" w:rsidRPr="00D140AB">
        <w:rPr>
          <w:rFonts w:ascii="Courier New" w:eastAsia="SimSun" w:hAnsi="Courier New" w:cs="Courier New"/>
          <w:sz w:val="24"/>
          <w:szCs w:val="24"/>
        </w:rPr>
        <w:t xml:space="preserve"> asserted that limiting loan debt would invalidate the D/E rates as an accountability metric because a portion of </w:t>
      </w:r>
      <w:r w:rsidR="00E144CA">
        <w:rPr>
          <w:rFonts w:ascii="Courier New" w:eastAsia="SimSun" w:hAnsi="Courier New" w:cs="Courier New"/>
          <w:sz w:val="24"/>
          <w:szCs w:val="24"/>
        </w:rPr>
        <w:t>a</w:t>
      </w:r>
      <w:r w:rsidR="00E144CA" w:rsidRPr="00D140AB">
        <w:rPr>
          <w:rFonts w:ascii="Courier New" w:eastAsia="SimSun" w:hAnsi="Courier New" w:cs="Courier New"/>
          <w:sz w:val="24"/>
          <w:szCs w:val="24"/>
        </w:rPr>
        <w:t xml:space="preserve"> student’s debt (debt incurred for living expenses and other indirect costs) would not be considered.</w:t>
      </w:r>
    </w:p>
    <w:p w14:paraId="618A3C17" w14:textId="21D594D9"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 few commenters disagreed with the Department’s position that tuition, fees, books, supplies, and equipment are the only costs over which an institution exercises direct control.  These commenters argued that an institution has control over the cost of attendance elements that enable students to borrow for indirect expenses such as room and board.  </w:t>
      </w:r>
    </w:p>
    <w:p w14:paraId="0F302875" w14:textId="19BBFB30"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Other commenters opined that costs for books, supplies, and equipment are largely determined by students and that, even for students in the same program, costs may vary depending on whether students purchase new or used materials, rent materials, or borrow the materials.  Given this variability, the commenters noted that it could be difficult for an institution to establish an appropriate amount for these items in a student’s cost of attendance budget, and were concerned that less reputable institutions may misreport data for books, supplies, and equipment to lower the amount at which the Department would cap </w:t>
      </w:r>
      <w:r w:rsidR="00E144CA" w:rsidRPr="00D140AB">
        <w:rPr>
          <w:rFonts w:ascii="Courier New" w:eastAsia="SimSun" w:hAnsi="Courier New" w:cs="Courier New"/>
          <w:sz w:val="24"/>
          <w:szCs w:val="24"/>
        </w:rPr>
        <w:lastRenderedPageBreak/>
        <w:t>loan debt for a program.  The commenters concluded that including books, supplies, and equipment in the loan cap may hurt institutions that truthfully report information to the Department.</w:t>
      </w:r>
    </w:p>
    <w:p w14:paraId="458CCBC6" w14:textId="77777777" w:rsidR="00E144CA" w:rsidRPr="00D140AB" w:rsidRDefault="00E144CA" w:rsidP="00173B87">
      <w:pPr>
        <w:spacing w:after="0" w:line="480" w:lineRule="auto"/>
        <w:rPr>
          <w:rFonts w:ascii="Courier New" w:hAnsi="Courier New" w:cs="Courier New"/>
          <w:color w:val="000000"/>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believe that an institution has control over the costs of books, supplies, and equipment, either by including those costs in the amount it charges for tuition and fees, as noted by some of the commenters, or through a process where a student purchases those items from the institution.  To account for instances where the student purchases, rents, or otherwise obtains books, supplies, and equipment from an entity other than the institution, §668.411(a)(2)(v) requires the institution to report the total amount of the allowances for those items that were used in the student’s title IV Cost of Attendance (COA).  As explained more fully in volume 3, chapter 2 of the FSA Handbook, </w:t>
      </w:r>
      <w:r w:rsidRPr="00D140AB">
        <w:rPr>
          <w:rFonts w:ascii="Courier New" w:hAnsi="Courier New" w:cs="Courier New"/>
          <w:color w:val="000000"/>
          <w:sz w:val="24"/>
          <w:szCs w:val="24"/>
        </w:rPr>
        <w:t>section 472 of the HEA specifies the items or types of costs, like the costs for books and supplies, that are included in the COA, but the institution is responsible for determining the appropriate and reasonable amounts of those items.</w:t>
      </w:r>
      <w:r w:rsidRPr="00D140AB">
        <w:rPr>
          <w:rStyle w:val="FootnoteReference"/>
          <w:rFonts w:ascii="Courier New" w:eastAsia="SimSun" w:hAnsi="Courier New" w:cs="Courier New"/>
          <w:sz w:val="24"/>
          <w:szCs w:val="24"/>
        </w:rPr>
        <w:footnoteReference w:id="137"/>
      </w:r>
      <w:r w:rsidRPr="00D140AB">
        <w:rPr>
          <w:rFonts w:ascii="Courier New" w:hAnsi="Courier New" w:cs="Courier New"/>
          <w:color w:val="000000"/>
          <w:sz w:val="24"/>
          <w:szCs w:val="24"/>
        </w:rPr>
        <w:t xml:space="preserve">  The COA is a longstanding statutory provision with which institutions have had to comply, so we do not agree that it would be difficult for institutions to establish reasonable </w:t>
      </w:r>
      <w:r w:rsidRPr="00D140AB">
        <w:rPr>
          <w:rFonts w:ascii="Courier New" w:hAnsi="Courier New" w:cs="Courier New"/>
          <w:color w:val="000000"/>
          <w:sz w:val="24"/>
          <w:szCs w:val="24"/>
        </w:rPr>
        <w:lastRenderedPageBreak/>
        <w:t>allowances for COA items.  In any event, to comply with the reporting requirements, an institution simply reports the total amount of the COA allowances for books, supplies, and equipment or the amount of charges assessed the student for obtaining or purchasing these items from the institution, whichever amount is higher.  Under this approach, it does not matter where a student purchased books or supplies or how much they paid, or whether he or she needed or wanted the supplies.  The institution controls the COA allowances and controls the cost of these items.</w:t>
      </w:r>
    </w:p>
    <w:p w14:paraId="45723868" w14:textId="5BA0164F" w:rsidR="00E144CA" w:rsidRPr="00D140AB" w:rsidRDefault="00173B87" w:rsidP="00173B87">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E144CA" w:rsidRPr="00D140AB">
        <w:rPr>
          <w:rFonts w:ascii="Courier New" w:hAnsi="Courier New" w:cs="Courier New"/>
          <w:color w:val="000000"/>
          <w:sz w:val="24"/>
          <w:szCs w:val="24"/>
        </w:rPr>
        <w:t xml:space="preserve">Although we encourage institutions to reduce the costs of books and supplies, those actions have no bearing on the central premise of capping loan debt--that an institution is accountable under these regulations for the amount of debt a student incurs to pay for direct costs that the institution controls.  In this regard, we limit the direct costs for items under the cap to those that are the most ubiquitous--books, supplies, and equipment.  As noted in the comments, room and board is a COA item that could be included in the cap, but many GE program students enroll in distance education </w:t>
      </w:r>
      <w:r w:rsidR="00E144CA">
        <w:rPr>
          <w:rFonts w:ascii="Courier New" w:hAnsi="Courier New" w:cs="Courier New"/>
          <w:color w:val="000000"/>
          <w:sz w:val="24"/>
          <w:szCs w:val="24"/>
        </w:rPr>
        <w:t xml:space="preserve">or online programs </w:t>
      </w:r>
      <w:r w:rsidR="00E144CA" w:rsidRPr="00D140AB">
        <w:rPr>
          <w:rFonts w:ascii="Courier New" w:hAnsi="Courier New" w:cs="Courier New"/>
          <w:color w:val="000000"/>
          <w:sz w:val="24"/>
          <w:szCs w:val="24"/>
        </w:rPr>
        <w:t>or attend programs at institutions that do not have or offer campus housing or meal plans.</w:t>
      </w:r>
    </w:p>
    <w:p w14:paraId="49EAC094" w14:textId="2784C58B" w:rsidR="00E144CA" w:rsidRPr="00D140AB" w:rsidRDefault="00173B87" w:rsidP="00173B87">
      <w:pPr>
        <w:spacing w:after="0" w:line="480" w:lineRule="auto"/>
        <w:rPr>
          <w:rFonts w:ascii="Courier New" w:eastAsia="SimSun" w:hAnsi="Courier New" w:cs="Courier New"/>
          <w:sz w:val="24"/>
          <w:szCs w:val="24"/>
        </w:rPr>
      </w:pPr>
      <w:r>
        <w:rPr>
          <w:rFonts w:ascii="Courier New" w:hAnsi="Courier New" w:cs="Courier New"/>
          <w:sz w:val="24"/>
          <w:szCs w:val="24"/>
        </w:rPr>
        <w:t xml:space="preserve">     </w:t>
      </w:r>
      <w:r w:rsidR="00E144CA" w:rsidRPr="00D140AB">
        <w:rPr>
          <w:rFonts w:ascii="Courier New" w:hAnsi="Courier New" w:cs="Courier New"/>
          <w:sz w:val="24"/>
          <w:szCs w:val="24"/>
        </w:rPr>
        <w:t>Although we</w:t>
      </w:r>
      <w:r w:rsidR="00E144CA" w:rsidRPr="00D140AB" w:rsidDel="008D08D3">
        <w:rPr>
          <w:rFonts w:ascii="Courier New" w:hAnsi="Courier New" w:cs="Courier New"/>
          <w:sz w:val="24"/>
          <w:szCs w:val="24"/>
        </w:rPr>
        <w:t xml:space="preserve"> </w:t>
      </w:r>
      <w:r w:rsidR="00E144CA" w:rsidRPr="00D140AB">
        <w:rPr>
          <w:rFonts w:ascii="Courier New" w:hAnsi="Courier New" w:cs="Courier New"/>
          <w:sz w:val="24"/>
          <w:szCs w:val="24"/>
        </w:rPr>
        <w:t xml:space="preserve">agree that it would be appropriate for research and consumer purposes to recognize </w:t>
      </w:r>
      <w:r w:rsidR="00E144CA">
        <w:rPr>
          <w:rFonts w:ascii="Courier New" w:hAnsi="Courier New" w:cs="Courier New"/>
          <w:sz w:val="24"/>
          <w:szCs w:val="24"/>
        </w:rPr>
        <w:t>all educational</w:t>
      </w:r>
      <w:r w:rsidR="00E144CA" w:rsidRPr="00D140AB">
        <w:rPr>
          <w:rFonts w:ascii="Courier New" w:hAnsi="Courier New" w:cs="Courier New"/>
          <w:sz w:val="24"/>
          <w:szCs w:val="24"/>
        </w:rPr>
        <w:t xml:space="preserve"> loan debt incurred by students attending GE programs, we disagree </w:t>
      </w:r>
      <w:r w:rsidR="00E144CA" w:rsidRPr="00D140AB">
        <w:rPr>
          <w:rFonts w:ascii="Courier New" w:hAnsi="Courier New" w:cs="Courier New"/>
          <w:color w:val="000000"/>
          <w:sz w:val="24"/>
          <w:szCs w:val="24"/>
        </w:rPr>
        <w:t xml:space="preserve">with the </w:t>
      </w:r>
      <w:r w:rsidR="00E144CA" w:rsidRPr="00D140AB">
        <w:rPr>
          <w:rFonts w:ascii="Courier New" w:hAnsi="Courier New" w:cs="Courier New"/>
          <w:color w:val="000000"/>
          <w:sz w:val="24"/>
          <w:szCs w:val="24"/>
        </w:rPr>
        <w:lastRenderedPageBreak/>
        <w:t xml:space="preserve">comment that limiting loan debt under the cap would invalidate the D/E rates measure.  </w:t>
      </w:r>
      <w:r w:rsidR="00E144CA" w:rsidRPr="00D140AB">
        <w:rPr>
          <w:rFonts w:ascii="Courier New" w:hAnsi="Courier New" w:cs="Courier New"/>
          <w:sz w:val="24"/>
          <w:szCs w:val="24"/>
        </w:rPr>
        <w:t xml:space="preserve">In the context of an eligibility requirement related to program performance, we believe it is appropriate to hold an institution accountable for only those program charges over which it has control, and could exercise that control to comply with the thresholds under the D/E rates measure.  </w:t>
      </w:r>
      <w:r w:rsidR="00E144CA" w:rsidRPr="00D140AB">
        <w:rPr>
          <w:rFonts w:ascii="Courier New" w:hAnsi="Courier New" w:cs="Courier New"/>
          <w:color w:val="000000"/>
          <w:sz w:val="24"/>
          <w:szCs w:val="24"/>
        </w:rPr>
        <w:t>However,</w:t>
      </w:r>
      <w:r w:rsidR="00E144CA">
        <w:rPr>
          <w:rFonts w:ascii="Courier New" w:hAnsi="Courier New" w:cs="Courier New"/>
          <w:color w:val="000000"/>
          <w:sz w:val="24"/>
          <w:szCs w:val="24"/>
        </w:rPr>
        <w:t xml:space="preserve"> </w:t>
      </w:r>
      <w:r w:rsidR="00E144CA" w:rsidRPr="00D140AB">
        <w:rPr>
          <w:rFonts w:ascii="Courier New" w:eastAsia="SimSun" w:hAnsi="Courier New" w:cs="Courier New"/>
          <w:sz w:val="24"/>
          <w:szCs w:val="24"/>
        </w:rPr>
        <w:t xml:space="preserve">students and prospective students should have a complete picture of program outcomes, including information about the total amount of loan debt incurred by a typical student who completed the program.  Accordingly, the median loan debt for a program that is disclosed under §668.412 is not limited to the amount assessed for tuition and fees and books, equipment, and supplies. </w:t>
      </w:r>
    </w:p>
    <w:p w14:paraId="4DEABC97" w14:textId="2B9B2E1A" w:rsidR="00E144CA" w:rsidRPr="00D140AB" w:rsidRDefault="00173B87" w:rsidP="00173B87">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With respect to the comment that the Department should give institutions more flexibility to control student borrowing, we do not have the authority to change rules regarding loan limits because these provisions are statutory.  </w:t>
      </w:r>
      <w:r w:rsidR="00E144CA" w:rsidRPr="00495D63">
        <w:rPr>
          <w:rFonts w:ascii="Courier New" w:eastAsia="SimSun" w:hAnsi="Courier New" w:cs="Courier New"/>
          <w:sz w:val="24"/>
          <w:szCs w:val="24"/>
          <w:u w:val="single"/>
        </w:rPr>
        <w:t>See</w:t>
      </w:r>
      <w:r w:rsidR="00E144CA" w:rsidRPr="00D140AB">
        <w:rPr>
          <w:rFonts w:ascii="Courier New" w:eastAsia="SimSun" w:hAnsi="Courier New" w:cs="Courier New"/>
          <w:sz w:val="24"/>
          <w:szCs w:val="24"/>
        </w:rPr>
        <w:t xml:space="preserve"> section 454(a)(1)(C) of the HEA, 20 U.S.C. 1087d(a)(1)(C).   </w:t>
      </w:r>
    </w:p>
    <w:p w14:paraId="4151C9FE" w14:textId="77777777" w:rsidR="00E144CA" w:rsidRPr="00D140AB" w:rsidRDefault="00E144CA" w:rsidP="00173B87">
      <w:pPr>
        <w:spacing w:after="0" w:line="480" w:lineRule="auto"/>
        <w:rPr>
          <w:rFonts w:ascii="Courier New" w:eastAsia="Times New Roman" w:hAnsi="Courier New" w:cs="Courier New"/>
          <w:bCs/>
          <w:sz w:val="24"/>
          <w:szCs w:val="24"/>
        </w:rPr>
      </w:pPr>
      <w:r w:rsidRPr="00D140AB">
        <w:rPr>
          <w:rFonts w:ascii="Courier New" w:eastAsia="SimSun" w:hAnsi="Courier New" w:cs="Courier New"/>
          <w:sz w:val="24"/>
          <w:szCs w:val="24"/>
        </w:rPr>
        <w:t xml:space="preserve">     Finally, we do not believe that including books, supplies, and equipment in the loan cap would encourage an institution to misreport the COA allowances for these items to the Department.  </w:t>
      </w:r>
      <w:r w:rsidRPr="00D140AB">
        <w:rPr>
          <w:rFonts w:ascii="Courier New" w:eastAsia="Times New Roman" w:hAnsi="Courier New" w:cs="Courier New"/>
          <w:bCs/>
          <w:sz w:val="24"/>
          <w:szCs w:val="24"/>
        </w:rPr>
        <w:t xml:space="preserve">We note that institutions that submit reports to the Department are subject to penalty under Federal criminal law for making a </w:t>
      </w:r>
      <w:r w:rsidRPr="00D140AB">
        <w:rPr>
          <w:rFonts w:ascii="Courier New" w:eastAsia="Times New Roman" w:hAnsi="Courier New" w:cs="Courier New"/>
          <w:bCs/>
          <w:sz w:val="24"/>
          <w:szCs w:val="24"/>
        </w:rPr>
        <w:lastRenderedPageBreak/>
        <w:t xml:space="preserve">false statement in such a report.  </w:t>
      </w:r>
      <w:r w:rsidRPr="00D140AB">
        <w:rPr>
          <w:rFonts w:ascii="Courier New" w:eastAsia="Times New Roman" w:hAnsi="Courier New" w:cs="Courier New"/>
          <w:bCs/>
          <w:sz w:val="24"/>
          <w:szCs w:val="24"/>
          <w:u w:val="single"/>
        </w:rPr>
        <w:t>See</w:t>
      </w:r>
      <w:r w:rsidRPr="00495D63">
        <w:rPr>
          <w:rFonts w:ascii="Courier New" w:eastAsia="Times New Roman" w:hAnsi="Courier New" w:cs="Courier New"/>
          <w:bCs/>
          <w:sz w:val="24"/>
          <w:szCs w:val="24"/>
        </w:rPr>
        <w:t xml:space="preserve">, </w:t>
      </w:r>
      <w:r w:rsidRPr="00D140AB">
        <w:rPr>
          <w:rFonts w:ascii="Courier New" w:eastAsia="Times New Roman" w:hAnsi="Courier New" w:cs="Courier New"/>
          <w:bCs/>
          <w:sz w:val="24"/>
          <w:szCs w:val="24"/>
          <w:u w:val="single"/>
        </w:rPr>
        <w:t>e.g.</w:t>
      </w:r>
      <w:r w:rsidRPr="00D140AB">
        <w:rPr>
          <w:rFonts w:ascii="Courier New" w:eastAsia="Times New Roman" w:hAnsi="Courier New" w:cs="Courier New"/>
          <w:bCs/>
          <w:sz w:val="24"/>
          <w:szCs w:val="24"/>
        </w:rPr>
        <w:t xml:space="preserve">, 18 U.S.C. 1001, 20 U.S.C. 1097(a).  </w:t>
      </w:r>
    </w:p>
    <w:p w14:paraId="79BEE6A4"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2BA32BD3"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Some commenters were concerned that capping loan debt may inappropriately benefit GE programs with low reported direct costs.  For example, a GE program may appear to have better D/E rates if an institution keeps tuition and fees low by shifting costs, and loan debt related to those costs, to housing or indirect costs that are not included in calculating the D/E rates.  Consequently, the commenters believed it was unfair for some GE programs to benefit from a cap because these programs could have the same total loan debt as GE programs where the cap would not apply.  The commenters concluded that lower direct costs are not necessarily indicative of lower debt and may actually serve to hide the true balance of the loan debt, an outcome that would lead the public</w:t>
      </w:r>
      <w:r>
        <w:rPr>
          <w:rFonts w:ascii="Courier New" w:eastAsia="SimSun" w:hAnsi="Courier New" w:cs="Courier New"/>
          <w:sz w:val="24"/>
          <w:szCs w:val="24"/>
        </w:rPr>
        <w:t>, students,</w:t>
      </w:r>
      <w:r w:rsidRPr="00D140AB">
        <w:rPr>
          <w:rFonts w:ascii="Courier New" w:eastAsia="SimSun" w:hAnsi="Courier New" w:cs="Courier New"/>
          <w:sz w:val="24"/>
          <w:szCs w:val="24"/>
        </w:rPr>
        <w:t xml:space="preserve"> and prospective students to draw erroneous conclusions about a program’s D/E rates. </w:t>
      </w:r>
    </w:p>
    <w:p w14:paraId="2DD4F613"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do not agree there is a material risk that an institution would shift costs in the manner described by the commenters to take advantage of the cap, but we will know about any changes in program costs through the reporting under these regulations and may require an institution to explain and document those changes.  </w:t>
      </w:r>
    </w:p>
    <w:p w14:paraId="5DF10820" w14:textId="77777777" w:rsidR="00E144CA" w:rsidRPr="00D140AB" w:rsidRDefault="00E144CA" w:rsidP="00173B87">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Changes</w:t>
      </w:r>
      <w:r w:rsidRPr="00D140AB">
        <w:rPr>
          <w:rFonts w:ascii="Courier New" w:eastAsia="SimSun" w:hAnsi="Courier New" w:cs="Courier New"/>
          <w:sz w:val="24"/>
          <w:szCs w:val="24"/>
        </w:rPr>
        <w:t>:  None.</w:t>
      </w:r>
    </w:p>
    <w:p w14:paraId="02D18992" w14:textId="77777777" w:rsidR="00E144CA" w:rsidRPr="00F51838" w:rsidRDefault="00E144CA" w:rsidP="00173B87">
      <w:pPr>
        <w:spacing w:after="0" w:line="480" w:lineRule="auto"/>
        <w:rPr>
          <w:rFonts w:ascii="Courier New" w:hAnsi="Courier New"/>
          <w:sz w:val="24"/>
          <w:szCs w:val="24"/>
        </w:rPr>
      </w:pPr>
      <w:r w:rsidRPr="00F51838">
        <w:rPr>
          <w:rFonts w:ascii="Courier New" w:hAnsi="Courier New"/>
          <w:sz w:val="24"/>
          <w:szCs w:val="24"/>
          <w:u w:val="single"/>
        </w:rPr>
        <w:t>Comments</w:t>
      </w:r>
      <w:r w:rsidRPr="00F51838">
        <w:rPr>
          <w:rFonts w:ascii="Courier New" w:hAnsi="Courier New"/>
          <w:sz w:val="24"/>
          <w:szCs w:val="24"/>
        </w:rPr>
        <w:t xml:space="preserve">:  A commenter stated that foreign veterinary schools do not control the amount of tuition assessed for the clinical year of instruction.  The commenter noted that under 34 CFR 600.56(b)(2)(i), students of foreign veterinary schools that are neither public or non-profit must complete their clinical training at veterinary schools in the United States.  For the fourth or clinical year of study, the U.S. veterinary school, which is not subject to the GE regulations, charges the foreign school an amount for tuition that is typically the out-of-state tuition rate.  In </w:t>
      </w:r>
      <w:r>
        <w:rPr>
          <w:rFonts w:ascii="Courier New" w:hAnsi="Courier New"/>
          <w:sz w:val="24"/>
          <w:szCs w:val="24"/>
        </w:rPr>
        <w:t>the</w:t>
      </w:r>
      <w:r w:rsidRPr="00F51838">
        <w:rPr>
          <w:rFonts w:ascii="Courier New" w:hAnsi="Courier New"/>
          <w:sz w:val="24"/>
          <w:szCs w:val="24"/>
        </w:rPr>
        <w:t xml:space="preserve"> case cited by the commenter, approximately 77 percent of the tuition amount the foreign veterinary school assess</w:t>
      </w:r>
      <w:r>
        <w:rPr>
          <w:rFonts w:ascii="Courier New" w:hAnsi="Courier New"/>
          <w:sz w:val="24"/>
          <w:szCs w:val="24"/>
        </w:rPr>
        <w:t>es</w:t>
      </w:r>
      <w:r w:rsidRPr="00F51838">
        <w:rPr>
          <w:rFonts w:ascii="Courier New" w:hAnsi="Courier New"/>
          <w:sz w:val="24"/>
          <w:szCs w:val="24"/>
        </w:rPr>
        <w:t xml:space="preserve"> its students is paid to the U.S school.  Because foreign veterinary schools have no control over the tuition charged by U.S. schools that its students are required to attend, the commenter suggests that the Department allow foreign veterinary schools to exclude from total direct costs the portion of tuition that is charged by U.S schools. </w:t>
      </w:r>
    </w:p>
    <w:p w14:paraId="3B9766A1" w14:textId="6BC77D9C" w:rsidR="00E144CA" w:rsidRDefault="00E144CA" w:rsidP="00173B87">
      <w:pPr>
        <w:spacing w:after="0" w:line="480" w:lineRule="auto"/>
        <w:rPr>
          <w:rFonts w:ascii="Courier New" w:hAnsi="Courier New"/>
          <w:sz w:val="24"/>
          <w:szCs w:val="24"/>
        </w:rPr>
      </w:pPr>
      <w:r w:rsidRPr="00F51838">
        <w:rPr>
          <w:rFonts w:ascii="Courier New" w:hAnsi="Courier New"/>
          <w:sz w:val="24"/>
          <w:szCs w:val="24"/>
          <w:u w:val="single"/>
        </w:rPr>
        <w:t>Discussion</w:t>
      </w:r>
      <w:r>
        <w:rPr>
          <w:rFonts w:ascii="Courier New" w:hAnsi="Courier New"/>
          <w:sz w:val="24"/>
          <w:szCs w:val="24"/>
        </w:rPr>
        <w:t>:  We do not agree that it would be appropriate to ignore loan debt that students incur for completing coursework provided by other institutions.  For foreign veterinary schools and home institutions that enter into written arrangements under 34 CFR 668.5 to provide education and training, the veterinary school</w:t>
      </w:r>
      <w:r w:rsidR="00B45E8F">
        <w:rPr>
          <w:rFonts w:ascii="Courier New" w:hAnsi="Courier New"/>
          <w:sz w:val="24"/>
          <w:szCs w:val="24"/>
        </w:rPr>
        <w:t>,</w:t>
      </w:r>
      <w:r>
        <w:rPr>
          <w:rFonts w:ascii="Courier New" w:hAnsi="Courier New"/>
          <w:sz w:val="24"/>
          <w:szCs w:val="24"/>
        </w:rPr>
        <w:t xml:space="preserve"> or the </w:t>
      </w:r>
      <w:r w:rsidR="00014F80">
        <w:rPr>
          <w:rFonts w:ascii="Courier New" w:hAnsi="Courier New"/>
          <w:sz w:val="24"/>
          <w:szCs w:val="24"/>
        </w:rPr>
        <w:t xml:space="preserve">home </w:t>
      </w:r>
      <w:r>
        <w:rPr>
          <w:rFonts w:ascii="Courier New" w:hAnsi="Courier New"/>
          <w:sz w:val="24"/>
          <w:szCs w:val="24"/>
        </w:rPr>
        <w:t xml:space="preserve">institution considers that coursework in </w:t>
      </w:r>
      <w:r>
        <w:rPr>
          <w:rFonts w:ascii="Courier New" w:hAnsi="Courier New"/>
          <w:sz w:val="24"/>
          <w:szCs w:val="24"/>
        </w:rPr>
        <w:lastRenderedPageBreak/>
        <w:t>determining whether to confer degrees or credentials to those students in the same way as if they provided the coursework themselves and the students are responsible for the debt accumulated for that coursework.  Furthermore, in arranging for other institutions to provide coursework, the veterinary school or the home institution may be able to negotiate the cost of that coursework, but at the very least accepts those costs.  For these reasons, we view the veterinary school or home institution as the party responsible for the loan debt students incur for completing coursework at other institutions.</w:t>
      </w:r>
    </w:p>
    <w:p w14:paraId="3A48F7FF" w14:textId="77777777" w:rsidR="00E144CA" w:rsidRPr="00F51838" w:rsidRDefault="00E144CA" w:rsidP="00173B87">
      <w:pPr>
        <w:spacing w:after="0" w:line="480" w:lineRule="auto"/>
        <w:rPr>
          <w:rFonts w:ascii="Courier New" w:hAnsi="Courier New"/>
          <w:sz w:val="24"/>
          <w:szCs w:val="24"/>
        </w:rPr>
      </w:pPr>
      <w:r w:rsidRPr="00F51838">
        <w:rPr>
          <w:rFonts w:ascii="Courier New" w:hAnsi="Courier New"/>
          <w:sz w:val="24"/>
          <w:szCs w:val="24"/>
          <w:u w:val="single"/>
        </w:rPr>
        <w:t>Changes</w:t>
      </w:r>
      <w:r>
        <w:rPr>
          <w:rFonts w:ascii="Courier New" w:hAnsi="Courier New"/>
          <w:sz w:val="24"/>
          <w:szCs w:val="24"/>
        </w:rPr>
        <w:t>:</w:t>
      </w:r>
      <w:r w:rsidRPr="00F51838">
        <w:rPr>
          <w:rFonts w:ascii="Courier New" w:hAnsi="Courier New"/>
          <w:sz w:val="24"/>
          <w:szCs w:val="24"/>
        </w:rPr>
        <w:t xml:space="preserve">  None</w:t>
      </w:r>
      <w:r>
        <w:rPr>
          <w:rFonts w:ascii="Courier New" w:hAnsi="Courier New"/>
          <w:sz w:val="24"/>
          <w:szCs w:val="24"/>
        </w:rPr>
        <w:t>.</w:t>
      </w:r>
    </w:p>
    <w:p w14:paraId="1C5EC363" w14:textId="77777777" w:rsidR="00E144CA" w:rsidRPr="00D140AB" w:rsidRDefault="00E144CA" w:rsidP="00173B87">
      <w:pPr>
        <w:pStyle w:val="Heading2"/>
        <w:ind w:left="0"/>
      </w:pPr>
      <w:r w:rsidRPr="00D140AB">
        <w:t>Amortization</w:t>
      </w:r>
    </w:p>
    <w:p w14:paraId="7A7A66F5" w14:textId="77777777" w:rsidR="00E144CA" w:rsidRPr="00D140AB" w:rsidRDefault="00E144CA" w:rsidP="00173B8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w:t>
      </w:r>
      <w:r w:rsidRPr="00D140AB">
        <w:rPr>
          <w:rFonts w:ascii="Courier New" w:eastAsia="SimSun" w:hAnsi="Courier New" w:cs="Courier New"/>
          <w:sz w:val="24"/>
          <w:szCs w:val="24"/>
          <w:lang w:eastAsia="zh-CN"/>
        </w:rPr>
        <w:t xml:space="preserve">  Several commenters supported the Department’s proposal to amortize the median loan debt of students completing a GE program over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15</w:t>
      </w:r>
      <w:r w:rsidRPr="00D140AB">
        <w:rPr>
          <w:rFonts w:ascii="Courier New" w:eastAsia="SimSun" w:hAnsi="Courier New" w:cs="Courier New"/>
          <w:sz w:val="24"/>
          <w:szCs w:val="24"/>
          <w:lang w:eastAsia="zh-CN"/>
        </w:rPr>
        <w:t xml:space="preserve">, or </w:t>
      </w:r>
      <w:r>
        <w:rPr>
          <w:rFonts w:ascii="Courier New" w:eastAsia="SimSun" w:hAnsi="Courier New" w:cs="Courier New"/>
          <w:sz w:val="24"/>
          <w:szCs w:val="24"/>
          <w:lang w:eastAsia="zh-CN"/>
        </w:rPr>
        <w:t>20</w:t>
      </w:r>
      <w:r w:rsidRPr="00D140AB">
        <w:rPr>
          <w:rFonts w:ascii="Courier New" w:eastAsia="SimSun" w:hAnsi="Courier New" w:cs="Courier New"/>
          <w:sz w:val="24"/>
          <w:szCs w:val="24"/>
          <w:lang w:eastAsia="zh-CN"/>
        </w:rPr>
        <w:t xml:space="preserve"> years based on the credential level of the program, as opposed to a fixed amortization period of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 years for all programs.  These commenters believed that this amortization schedule more fairly accounts for longer and higher credentialed programs where students take out greater amounts of debt, better reflects actual student repayment patterns, and appropriately mirrors available loan repayment plans. </w:t>
      </w:r>
    </w:p>
    <w:p w14:paraId="44CCB579" w14:textId="7B4475A8" w:rsidR="00E144CA"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Some commenters supported the proposed amortization schedule based on credential level but suggested longer </w:t>
      </w:r>
      <w:r w:rsidR="00E144CA" w:rsidRPr="00D140AB">
        <w:rPr>
          <w:rFonts w:ascii="Courier New" w:eastAsia="SimSun" w:hAnsi="Courier New" w:cs="Courier New"/>
          <w:sz w:val="24"/>
          <w:szCs w:val="24"/>
          <w:lang w:eastAsia="zh-CN"/>
        </w:rPr>
        <w:lastRenderedPageBreak/>
        <w:t xml:space="preserve">amortization periods than those proposed.  For instance, some commenters recommended increasing the minimum amortization period from </w:t>
      </w:r>
      <w:r w:rsidR="00E144CA">
        <w:rPr>
          <w:rFonts w:ascii="Courier New" w:eastAsia="SimSun" w:hAnsi="Courier New" w:cs="Courier New"/>
          <w:sz w:val="24"/>
          <w:szCs w:val="24"/>
          <w:lang w:eastAsia="zh-CN"/>
        </w:rPr>
        <w:t>10</w:t>
      </w:r>
      <w:r w:rsidR="00E144CA" w:rsidRPr="00D140AB">
        <w:rPr>
          <w:rFonts w:ascii="Courier New" w:eastAsia="SimSun" w:hAnsi="Courier New" w:cs="Courier New"/>
          <w:sz w:val="24"/>
          <w:szCs w:val="24"/>
          <w:lang w:eastAsia="zh-CN"/>
        </w:rPr>
        <w:t xml:space="preserve"> years to </w:t>
      </w:r>
      <w:r w:rsidR="00E144CA">
        <w:rPr>
          <w:rFonts w:ascii="Courier New" w:eastAsia="SimSun" w:hAnsi="Courier New" w:cs="Courier New"/>
          <w:sz w:val="24"/>
          <w:szCs w:val="24"/>
          <w:lang w:eastAsia="zh-CN"/>
        </w:rPr>
        <w:t>15</w:t>
      </w:r>
      <w:r w:rsidR="00E144CA" w:rsidRPr="00D140AB">
        <w:rPr>
          <w:rFonts w:ascii="Courier New" w:eastAsia="SimSun" w:hAnsi="Courier New" w:cs="Courier New"/>
          <w:sz w:val="24"/>
          <w:szCs w:val="24"/>
          <w:lang w:eastAsia="zh-CN"/>
        </w:rPr>
        <w:t xml:space="preserve"> or </w:t>
      </w:r>
      <w:r w:rsidR="00E144CA">
        <w:rPr>
          <w:rFonts w:ascii="Courier New" w:eastAsia="SimSun" w:hAnsi="Courier New" w:cs="Courier New"/>
          <w:sz w:val="24"/>
          <w:szCs w:val="24"/>
          <w:lang w:eastAsia="zh-CN"/>
        </w:rPr>
        <w:t>20</w:t>
      </w:r>
      <w:r w:rsidR="00E144CA" w:rsidRPr="00D140AB">
        <w:rPr>
          <w:rFonts w:ascii="Courier New" w:eastAsia="SimSun" w:hAnsi="Courier New" w:cs="Courier New"/>
          <w:sz w:val="24"/>
          <w:szCs w:val="24"/>
          <w:lang w:eastAsia="zh-CN"/>
        </w:rPr>
        <w:t xml:space="preserve"> years. </w:t>
      </w:r>
    </w:p>
    <w:p w14:paraId="7C5AAF28" w14:textId="0C62A28C" w:rsidR="00E144CA"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C73D1C">
        <w:rPr>
          <w:rFonts w:ascii="Courier New" w:eastAsia="SimSun" w:hAnsi="Courier New" w:cs="Courier New"/>
          <w:sz w:val="24"/>
          <w:szCs w:val="24"/>
          <w:lang w:eastAsia="zh-CN"/>
        </w:rPr>
        <w:t xml:space="preserve">One commenter suggested </w:t>
      </w:r>
      <w:r w:rsidR="00E144CA">
        <w:rPr>
          <w:rFonts w:ascii="Courier New" w:eastAsia="SimSun" w:hAnsi="Courier New" w:cs="Courier New"/>
          <w:sz w:val="24"/>
          <w:szCs w:val="24"/>
          <w:lang w:eastAsia="zh-CN"/>
        </w:rPr>
        <w:t>that we extend</w:t>
      </w:r>
      <w:r w:rsidR="00E144CA" w:rsidRPr="00C73D1C">
        <w:rPr>
          <w:rFonts w:ascii="Courier New" w:eastAsia="SimSun" w:hAnsi="Courier New" w:cs="Courier New"/>
          <w:sz w:val="24"/>
          <w:szCs w:val="24"/>
          <w:lang w:eastAsia="zh-CN"/>
        </w:rPr>
        <w:t xml:space="preserve"> the amortization </w:t>
      </w:r>
      <w:r w:rsidR="00E144CA">
        <w:rPr>
          <w:rFonts w:ascii="Courier New" w:eastAsia="SimSun" w:hAnsi="Courier New" w:cs="Courier New"/>
          <w:sz w:val="24"/>
          <w:szCs w:val="24"/>
          <w:lang w:eastAsia="zh-CN"/>
        </w:rPr>
        <w:t>period</w:t>
      </w:r>
      <w:r w:rsidR="00E144CA" w:rsidRPr="00C73D1C">
        <w:rPr>
          <w:rFonts w:ascii="Courier New" w:eastAsia="SimSun" w:hAnsi="Courier New" w:cs="Courier New"/>
          <w:sz w:val="24"/>
          <w:szCs w:val="24"/>
          <w:lang w:eastAsia="zh-CN"/>
        </w:rPr>
        <w:t xml:space="preserve"> from 10 years to 20 years</w:t>
      </w:r>
      <w:r w:rsidR="00E144CA">
        <w:rPr>
          <w:rFonts w:ascii="Courier New" w:eastAsia="SimSun" w:hAnsi="Courier New" w:cs="Courier New"/>
          <w:sz w:val="24"/>
          <w:szCs w:val="24"/>
          <w:lang w:eastAsia="zh-CN"/>
        </w:rPr>
        <w:t xml:space="preserve"> because the commenter believed a </w:t>
      </w:r>
      <w:r w:rsidR="00E144CA" w:rsidRPr="00C73D1C">
        <w:rPr>
          <w:rFonts w:ascii="Courier New" w:eastAsia="SimSun" w:hAnsi="Courier New" w:cs="Courier New"/>
          <w:sz w:val="24"/>
          <w:szCs w:val="24"/>
          <w:lang w:eastAsia="zh-CN"/>
        </w:rPr>
        <w:t>20</w:t>
      </w:r>
      <w:r w:rsidR="00E144CA" w:rsidRPr="00C73D1C">
        <w:rPr>
          <w:rFonts w:ascii="Cambria Math" w:eastAsia="SimSun" w:hAnsi="Cambria Math" w:cs="Cambria Math"/>
          <w:sz w:val="24"/>
          <w:szCs w:val="24"/>
          <w:lang w:eastAsia="zh-CN"/>
        </w:rPr>
        <w:t>‐</w:t>
      </w:r>
      <w:r w:rsidR="00E144CA" w:rsidRPr="00C73D1C">
        <w:rPr>
          <w:rFonts w:ascii="Courier New" w:eastAsia="SimSun" w:hAnsi="Courier New" w:cs="Courier New"/>
          <w:sz w:val="24"/>
          <w:szCs w:val="24"/>
          <w:lang w:eastAsia="zh-CN"/>
        </w:rPr>
        <w:t xml:space="preserve">year amortization </w:t>
      </w:r>
      <w:r w:rsidR="00E144CA">
        <w:rPr>
          <w:rFonts w:ascii="Courier New" w:eastAsia="SimSun" w:hAnsi="Courier New" w:cs="Courier New"/>
          <w:sz w:val="24"/>
          <w:szCs w:val="24"/>
          <w:lang w:eastAsia="zh-CN"/>
        </w:rPr>
        <w:t>schedule</w:t>
      </w:r>
      <w:r w:rsidR="00E144CA" w:rsidRPr="00C73D1C">
        <w:rPr>
          <w:rFonts w:ascii="Courier New" w:eastAsia="SimSun" w:hAnsi="Courier New" w:cs="Courier New"/>
          <w:sz w:val="24"/>
          <w:szCs w:val="24"/>
          <w:lang w:eastAsia="zh-CN"/>
        </w:rPr>
        <w:t xml:space="preserve"> </w:t>
      </w:r>
      <w:r w:rsidR="00E144CA">
        <w:rPr>
          <w:rFonts w:ascii="Courier New" w:eastAsia="SimSun" w:hAnsi="Courier New" w:cs="Courier New"/>
          <w:sz w:val="24"/>
          <w:szCs w:val="24"/>
          <w:lang w:eastAsia="zh-CN"/>
        </w:rPr>
        <w:t>would more accurately reflect</w:t>
      </w:r>
      <w:r w:rsidR="00E144CA" w:rsidRPr="00C73D1C">
        <w:rPr>
          <w:rFonts w:ascii="Courier New" w:eastAsia="SimSun" w:hAnsi="Courier New" w:cs="Courier New"/>
          <w:sz w:val="24"/>
          <w:szCs w:val="24"/>
          <w:lang w:eastAsia="zh-CN"/>
        </w:rPr>
        <w:t xml:space="preserve"> the actual time until full repayment for most borrowers</w:t>
      </w:r>
      <w:r w:rsidR="00E144CA">
        <w:rPr>
          <w:rFonts w:ascii="Courier New" w:eastAsia="SimSun" w:hAnsi="Courier New" w:cs="Courier New"/>
          <w:sz w:val="24"/>
          <w:szCs w:val="24"/>
          <w:lang w:eastAsia="zh-CN"/>
        </w:rPr>
        <w:t>.  The commenter cited to the Department’s analysis in the NPRM that showed that</w:t>
      </w:r>
      <w:r w:rsidR="00E144CA" w:rsidRPr="00C73D1C">
        <w:rPr>
          <w:rFonts w:ascii="Courier New" w:eastAsia="SimSun" w:hAnsi="Courier New" w:cs="Courier New"/>
          <w:sz w:val="24"/>
          <w:szCs w:val="24"/>
          <w:lang w:eastAsia="zh-CN"/>
        </w:rPr>
        <w:t xml:space="preserve"> within 10 years of entering repayment, about 58 percent of undergraduates at two</w:t>
      </w:r>
      <w:r w:rsidR="00E144CA" w:rsidRPr="00C73D1C">
        <w:rPr>
          <w:rFonts w:ascii="Cambria Math" w:eastAsia="SimSun" w:hAnsi="Cambria Math" w:cs="Cambria Math"/>
          <w:sz w:val="24"/>
          <w:szCs w:val="24"/>
          <w:lang w:eastAsia="zh-CN"/>
        </w:rPr>
        <w:t>‐</w:t>
      </w:r>
      <w:r w:rsidR="00E144CA" w:rsidRPr="00C73D1C">
        <w:rPr>
          <w:rFonts w:ascii="Courier New" w:eastAsia="SimSun" w:hAnsi="Courier New" w:cs="Courier New"/>
          <w:sz w:val="24"/>
          <w:szCs w:val="24"/>
          <w:lang w:eastAsia="zh-CN"/>
        </w:rPr>
        <w:t>year institutions, 54 percent of undergraduates at four</w:t>
      </w:r>
      <w:r w:rsidR="00E144CA" w:rsidRPr="00C73D1C">
        <w:rPr>
          <w:rFonts w:ascii="Cambria Math" w:eastAsia="SimSun" w:hAnsi="Cambria Math" w:cs="Cambria Math"/>
          <w:sz w:val="24"/>
          <w:szCs w:val="24"/>
          <w:lang w:eastAsia="zh-CN"/>
        </w:rPr>
        <w:t>‐</w:t>
      </w:r>
      <w:r w:rsidR="00E144CA" w:rsidRPr="00C73D1C">
        <w:rPr>
          <w:rFonts w:ascii="Courier New" w:eastAsia="SimSun" w:hAnsi="Courier New" w:cs="Courier New"/>
          <w:sz w:val="24"/>
          <w:szCs w:val="24"/>
          <w:lang w:eastAsia="zh-CN"/>
        </w:rPr>
        <w:t>year institutions, and 47 percent of graduate students had fully repaid their loans</w:t>
      </w:r>
      <w:r w:rsidR="00E144CA">
        <w:rPr>
          <w:rFonts w:ascii="Courier New" w:eastAsia="SimSun" w:hAnsi="Courier New" w:cs="Courier New"/>
          <w:sz w:val="24"/>
          <w:szCs w:val="24"/>
          <w:lang w:eastAsia="zh-CN"/>
        </w:rPr>
        <w:t>;</w:t>
      </w:r>
      <w:r w:rsidR="00E144CA" w:rsidRPr="00C73D1C">
        <w:rPr>
          <w:rFonts w:ascii="Courier New" w:eastAsia="SimSun" w:hAnsi="Courier New" w:cs="Courier New"/>
          <w:sz w:val="24"/>
          <w:szCs w:val="24"/>
          <w:lang w:eastAsia="zh-CN"/>
        </w:rPr>
        <w:t xml:space="preserve"> </w:t>
      </w:r>
      <w:r w:rsidR="00E144CA">
        <w:rPr>
          <w:rFonts w:ascii="Courier New" w:eastAsia="SimSun" w:hAnsi="Courier New" w:cs="Courier New"/>
          <w:sz w:val="24"/>
          <w:szCs w:val="24"/>
          <w:lang w:eastAsia="zh-CN"/>
        </w:rPr>
        <w:t>w</w:t>
      </w:r>
      <w:r w:rsidR="00E144CA" w:rsidRPr="00C73D1C">
        <w:rPr>
          <w:rFonts w:ascii="Courier New" w:eastAsia="SimSun" w:hAnsi="Courier New" w:cs="Courier New"/>
          <w:sz w:val="24"/>
          <w:szCs w:val="24"/>
          <w:lang w:eastAsia="zh-CN"/>
        </w:rPr>
        <w:t>ithin 15 years of entering repayment, about 74 percent of undergraduates at two</w:t>
      </w:r>
      <w:r w:rsidR="00E144CA" w:rsidRPr="00C73D1C">
        <w:rPr>
          <w:rFonts w:ascii="Cambria Math" w:eastAsia="SimSun" w:hAnsi="Cambria Math" w:cs="Cambria Math"/>
          <w:sz w:val="24"/>
          <w:szCs w:val="24"/>
          <w:lang w:eastAsia="zh-CN"/>
        </w:rPr>
        <w:t>‐</w:t>
      </w:r>
      <w:r w:rsidR="00E144CA" w:rsidRPr="00C73D1C">
        <w:rPr>
          <w:rFonts w:ascii="Courier New" w:eastAsia="SimSun" w:hAnsi="Courier New" w:cs="Courier New"/>
          <w:sz w:val="24"/>
          <w:szCs w:val="24"/>
          <w:lang w:eastAsia="zh-CN"/>
        </w:rPr>
        <w:t>year institutions, 76 percent of undergraduates at four</w:t>
      </w:r>
      <w:r w:rsidR="00E144CA" w:rsidRPr="00C73D1C">
        <w:rPr>
          <w:rFonts w:ascii="Cambria Math" w:eastAsia="SimSun" w:hAnsi="Cambria Math" w:cs="Cambria Math"/>
          <w:sz w:val="24"/>
          <w:szCs w:val="24"/>
          <w:lang w:eastAsia="zh-CN"/>
        </w:rPr>
        <w:t>‐</w:t>
      </w:r>
      <w:r w:rsidR="00E144CA" w:rsidRPr="00C73D1C">
        <w:rPr>
          <w:rFonts w:ascii="Courier New" w:eastAsia="SimSun" w:hAnsi="Courier New" w:cs="Courier New"/>
          <w:sz w:val="24"/>
          <w:szCs w:val="24"/>
          <w:lang w:eastAsia="zh-CN"/>
        </w:rPr>
        <w:t>year institutions, and 72 percent of graduate students had fully repaid their loans</w:t>
      </w:r>
      <w:r w:rsidR="00E144CA">
        <w:rPr>
          <w:rFonts w:ascii="Courier New" w:eastAsia="SimSun" w:hAnsi="Courier New" w:cs="Courier New"/>
          <w:sz w:val="24"/>
          <w:szCs w:val="24"/>
          <w:lang w:eastAsia="zh-CN"/>
        </w:rPr>
        <w:t>;</w:t>
      </w:r>
      <w:r w:rsidR="00E144CA" w:rsidRPr="00C73D1C">
        <w:rPr>
          <w:rFonts w:ascii="Courier New" w:eastAsia="SimSun" w:hAnsi="Courier New" w:cs="Courier New"/>
          <w:sz w:val="24"/>
          <w:szCs w:val="24"/>
          <w:lang w:eastAsia="zh-CN"/>
        </w:rPr>
        <w:t xml:space="preserve"> </w:t>
      </w:r>
      <w:r w:rsidR="00E144CA">
        <w:rPr>
          <w:rFonts w:ascii="Courier New" w:eastAsia="SimSun" w:hAnsi="Courier New" w:cs="Courier New"/>
          <w:sz w:val="24"/>
          <w:szCs w:val="24"/>
          <w:lang w:eastAsia="zh-CN"/>
        </w:rPr>
        <w:t xml:space="preserve">and within 20 years of entering repayment, </w:t>
      </w:r>
      <w:r w:rsidR="00E144CA" w:rsidRPr="00C73D1C">
        <w:rPr>
          <w:rFonts w:ascii="Courier New" w:eastAsia="SimSun" w:hAnsi="Courier New" w:cs="Courier New"/>
          <w:sz w:val="24"/>
          <w:szCs w:val="24"/>
          <w:lang w:eastAsia="zh-CN"/>
        </w:rPr>
        <w:t xml:space="preserve">between 81 and 83 percent of students, depending on the cohort year, </w:t>
      </w:r>
      <w:r w:rsidR="00E144CA">
        <w:rPr>
          <w:rFonts w:ascii="Courier New" w:eastAsia="SimSun" w:hAnsi="Courier New" w:cs="Courier New"/>
          <w:sz w:val="24"/>
          <w:szCs w:val="24"/>
          <w:lang w:eastAsia="zh-CN"/>
        </w:rPr>
        <w:t xml:space="preserve">fully </w:t>
      </w:r>
      <w:r w:rsidR="00E144CA" w:rsidRPr="00C73D1C">
        <w:rPr>
          <w:rFonts w:ascii="Courier New" w:eastAsia="SimSun" w:hAnsi="Courier New" w:cs="Courier New"/>
          <w:sz w:val="24"/>
          <w:szCs w:val="24"/>
          <w:lang w:eastAsia="zh-CN"/>
        </w:rPr>
        <w:t>repaid their loans.  The</w:t>
      </w:r>
      <w:r w:rsidR="00E144CA">
        <w:rPr>
          <w:rFonts w:ascii="Courier New" w:eastAsia="SimSun" w:hAnsi="Courier New" w:cs="Courier New"/>
          <w:sz w:val="24"/>
          <w:szCs w:val="24"/>
          <w:lang w:eastAsia="zh-CN"/>
        </w:rPr>
        <w:t xml:space="preserve"> commenter</w:t>
      </w:r>
      <w:r w:rsidR="00E144CA" w:rsidRPr="00C73D1C">
        <w:rPr>
          <w:rFonts w:ascii="Courier New" w:eastAsia="SimSun" w:hAnsi="Courier New" w:cs="Courier New"/>
          <w:sz w:val="24"/>
          <w:szCs w:val="24"/>
          <w:lang w:eastAsia="zh-CN"/>
        </w:rPr>
        <w:t xml:space="preserve"> also </w:t>
      </w:r>
      <w:r w:rsidR="00E144CA">
        <w:rPr>
          <w:rFonts w:ascii="Courier New" w:eastAsia="SimSun" w:hAnsi="Courier New" w:cs="Courier New"/>
          <w:sz w:val="24"/>
          <w:szCs w:val="24"/>
          <w:lang w:eastAsia="zh-CN"/>
        </w:rPr>
        <w:t>contended that</w:t>
      </w:r>
      <w:r w:rsidR="00E144CA" w:rsidRPr="00C73D1C">
        <w:rPr>
          <w:rFonts w:ascii="Courier New" w:eastAsia="SimSun" w:hAnsi="Courier New" w:cs="Courier New"/>
          <w:sz w:val="24"/>
          <w:szCs w:val="24"/>
          <w:lang w:eastAsia="zh-CN"/>
        </w:rPr>
        <w:t xml:space="preserve"> far more </w:t>
      </w:r>
      <w:r w:rsidR="00E144CA">
        <w:rPr>
          <w:rFonts w:ascii="Courier New" w:eastAsia="SimSun" w:hAnsi="Courier New" w:cs="Courier New"/>
          <w:sz w:val="24"/>
          <w:szCs w:val="24"/>
          <w:lang w:eastAsia="zh-CN"/>
        </w:rPr>
        <w:t>b</w:t>
      </w:r>
      <w:r w:rsidR="00E144CA" w:rsidRPr="00C73D1C">
        <w:rPr>
          <w:rFonts w:ascii="Courier New" w:eastAsia="SimSun" w:hAnsi="Courier New" w:cs="Courier New"/>
          <w:sz w:val="24"/>
          <w:szCs w:val="24"/>
          <w:lang w:eastAsia="zh-CN"/>
        </w:rPr>
        <w:t xml:space="preserve">achelor’s </w:t>
      </w:r>
      <w:r w:rsidR="00E144CA">
        <w:rPr>
          <w:rFonts w:ascii="Courier New" w:eastAsia="SimSun" w:hAnsi="Courier New" w:cs="Courier New"/>
          <w:sz w:val="24"/>
          <w:szCs w:val="24"/>
          <w:lang w:eastAsia="zh-CN"/>
        </w:rPr>
        <w:t xml:space="preserve">degree </w:t>
      </w:r>
      <w:r w:rsidR="00E144CA" w:rsidRPr="00C73D1C">
        <w:rPr>
          <w:rFonts w:ascii="Courier New" w:eastAsia="SimSun" w:hAnsi="Courier New" w:cs="Courier New"/>
          <w:sz w:val="24"/>
          <w:szCs w:val="24"/>
          <w:lang w:eastAsia="zh-CN"/>
        </w:rPr>
        <w:t xml:space="preserve">programs would pass </w:t>
      </w:r>
      <w:r w:rsidR="00E144CA">
        <w:rPr>
          <w:rFonts w:ascii="Courier New" w:eastAsia="SimSun" w:hAnsi="Courier New" w:cs="Courier New"/>
          <w:sz w:val="24"/>
          <w:szCs w:val="24"/>
          <w:lang w:eastAsia="zh-CN"/>
        </w:rPr>
        <w:t xml:space="preserve">the </w:t>
      </w:r>
      <w:r w:rsidR="00E144CA" w:rsidRPr="00C73D1C">
        <w:rPr>
          <w:rFonts w:ascii="Courier New" w:eastAsia="SimSun" w:hAnsi="Courier New" w:cs="Courier New"/>
          <w:sz w:val="24"/>
          <w:szCs w:val="24"/>
          <w:lang w:eastAsia="zh-CN"/>
        </w:rPr>
        <w:t xml:space="preserve">D/E </w:t>
      </w:r>
      <w:r w:rsidR="00E144CA">
        <w:rPr>
          <w:rFonts w:ascii="Courier New" w:eastAsia="SimSun" w:hAnsi="Courier New" w:cs="Courier New"/>
          <w:sz w:val="24"/>
          <w:szCs w:val="24"/>
          <w:lang w:eastAsia="zh-CN"/>
        </w:rPr>
        <w:t xml:space="preserve">rates measure </w:t>
      </w:r>
      <w:r w:rsidR="00E144CA" w:rsidRPr="00C73D1C">
        <w:rPr>
          <w:rFonts w:ascii="Courier New" w:eastAsia="SimSun" w:hAnsi="Courier New" w:cs="Courier New"/>
          <w:sz w:val="24"/>
          <w:szCs w:val="24"/>
          <w:lang w:eastAsia="zh-CN"/>
        </w:rPr>
        <w:t xml:space="preserve">if </w:t>
      </w:r>
      <w:r w:rsidR="00E144CA">
        <w:rPr>
          <w:rFonts w:ascii="Courier New" w:eastAsia="SimSun" w:hAnsi="Courier New" w:cs="Courier New"/>
          <w:sz w:val="24"/>
          <w:szCs w:val="24"/>
          <w:lang w:eastAsia="zh-CN"/>
        </w:rPr>
        <w:t xml:space="preserve">we adopted </w:t>
      </w:r>
      <w:r w:rsidR="00E144CA" w:rsidRPr="00C73D1C">
        <w:rPr>
          <w:rFonts w:ascii="Courier New" w:eastAsia="SimSun" w:hAnsi="Courier New" w:cs="Courier New"/>
          <w:sz w:val="24"/>
          <w:szCs w:val="24"/>
          <w:lang w:eastAsia="zh-CN"/>
        </w:rPr>
        <w:t>a 20</w:t>
      </w:r>
      <w:r w:rsidR="00E144CA">
        <w:rPr>
          <w:rFonts w:ascii="Courier New" w:eastAsia="SimSun" w:hAnsi="Courier New" w:cs="Courier New"/>
          <w:sz w:val="24"/>
          <w:szCs w:val="24"/>
          <w:lang w:eastAsia="zh-CN"/>
        </w:rPr>
        <w:t>-</w:t>
      </w:r>
      <w:r w:rsidR="00E144CA" w:rsidRPr="00C73D1C">
        <w:rPr>
          <w:rFonts w:ascii="Courier New" w:eastAsia="SimSun" w:hAnsi="Courier New" w:cs="Courier New"/>
          <w:sz w:val="24"/>
          <w:szCs w:val="24"/>
          <w:lang w:eastAsia="zh-CN"/>
        </w:rPr>
        <w:t xml:space="preserve">year amortization </w:t>
      </w:r>
      <w:r w:rsidR="00E144CA">
        <w:rPr>
          <w:rFonts w:ascii="Courier New" w:eastAsia="SimSun" w:hAnsi="Courier New" w:cs="Courier New"/>
          <w:sz w:val="24"/>
          <w:szCs w:val="24"/>
          <w:lang w:eastAsia="zh-CN"/>
        </w:rPr>
        <w:t>period</w:t>
      </w:r>
      <w:r w:rsidR="00E144CA" w:rsidRPr="00C73D1C">
        <w:rPr>
          <w:rFonts w:ascii="Courier New" w:eastAsia="SimSun" w:hAnsi="Courier New" w:cs="Courier New"/>
          <w:sz w:val="24"/>
          <w:szCs w:val="24"/>
          <w:lang w:eastAsia="zh-CN"/>
        </w:rPr>
        <w:t>.</w:t>
      </w:r>
      <w:r w:rsidR="00E144CA" w:rsidRPr="00D140AB">
        <w:rPr>
          <w:rFonts w:ascii="Courier New" w:eastAsia="SimSun" w:hAnsi="Courier New" w:cs="Courier New"/>
          <w:sz w:val="24"/>
          <w:szCs w:val="24"/>
          <w:lang w:eastAsia="zh-CN"/>
        </w:rPr>
        <w:t xml:space="preserve"> </w:t>
      </w:r>
    </w:p>
    <w:p w14:paraId="3DFE8752" w14:textId="3F0299B8"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Other commenters agreed with using </w:t>
      </w:r>
      <w:r w:rsidR="00E144CA">
        <w:rPr>
          <w:rFonts w:ascii="Courier New" w:eastAsia="SimSun" w:hAnsi="Courier New" w:cs="Courier New"/>
          <w:sz w:val="24"/>
          <w:szCs w:val="24"/>
          <w:lang w:eastAsia="zh-CN"/>
        </w:rPr>
        <w:t>10</w:t>
      </w:r>
      <w:r w:rsidR="00E144CA" w:rsidRPr="00D140AB">
        <w:rPr>
          <w:rFonts w:ascii="Courier New" w:eastAsia="SimSun" w:hAnsi="Courier New" w:cs="Courier New"/>
          <w:sz w:val="24"/>
          <w:szCs w:val="24"/>
          <w:lang w:eastAsia="zh-CN"/>
        </w:rPr>
        <w:t xml:space="preserve"> years for certificate or diploma programs, but argued for extending the amortization period to </w:t>
      </w:r>
      <w:r w:rsidR="00E144CA">
        <w:rPr>
          <w:rFonts w:ascii="Courier New" w:eastAsia="SimSun" w:hAnsi="Courier New" w:cs="Courier New"/>
          <w:sz w:val="24"/>
          <w:szCs w:val="24"/>
          <w:lang w:eastAsia="zh-CN"/>
        </w:rPr>
        <w:t>25</w:t>
      </w:r>
      <w:r w:rsidR="00E144CA" w:rsidRPr="00D140AB">
        <w:rPr>
          <w:rFonts w:ascii="Courier New" w:eastAsia="SimSun" w:hAnsi="Courier New" w:cs="Courier New"/>
          <w:sz w:val="24"/>
          <w:szCs w:val="24"/>
          <w:lang w:eastAsia="zh-CN"/>
        </w:rPr>
        <w:t xml:space="preserve"> years for graduate, doctoral, and first </w:t>
      </w:r>
      <w:r w:rsidR="00E144CA" w:rsidRPr="00D140AB">
        <w:rPr>
          <w:rFonts w:ascii="Courier New" w:eastAsia="SimSun" w:hAnsi="Courier New" w:cs="Courier New"/>
          <w:sz w:val="24"/>
          <w:szCs w:val="24"/>
          <w:lang w:eastAsia="zh-CN"/>
        </w:rPr>
        <w:lastRenderedPageBreak/>
        <w:t xml:space="preserve">professional degree programs.  They asserted that students in graduate-level programs would likely have higher levels of debt that might take longer to repay.  Some commenters were particularly concerned that some programs in high-debt, high-earnings fields would not be able to pass the D/E rates measure absent a longer amortization period.  One commenter expressed concern that, even with a 20-year amortization period, medical programs, including those preparing doctors for military service and service in areas that have critical shortages of primary care physicians, would fail to pass the annual earnings rate despite successfully preparing their graduates for medical practice. </w:t>
      </w:r>
    </w:p>
    <w:p w14:paraId="689A1CF1" w14:textId="77777777" w:rsidR="00E144CA" w:rsidRDefault="00E144CA" w:rsidP="00173B87">
      <w:pPr>
        <w:spacing w:after="0" w:line="480" w:lineRule="auto"/>
        <w:rPr>
          <w:rFonts w:ascii="Courier New" w:eastAsia="SimSun" w:hAnsi="Courier New"/>
          <w:sz w:val="24"/>
          <w:lang w:eastAsia="zh-CN"/>
        </w:rPr>
      </w:pPr>
      <w:r>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Other commenters advocated using a single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-year amortization period regardless of the credential level.  These commenters argued that a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-year amortization period would best reflect borrower behavior, observing that most borrowers repay their loans under a standard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-year repayment plan.  The commenters referred to the Department’s analysis in the NPRM, which they believed showed that 54 percent of borrowers who entered repayment between 1993 and 2002 had repaid their loans within </w:t>
      </w:r>
      <w:r>
        <w:rPr>
          <w:rFonts w:ascii="Courier New" w:eastAsia="SimSun" w:hAnsi="Courier New" w:cs="Courier New"/>
          <w:sz w:val="24"/>
          <w:szCs w:val="24"/>
          <w:lang w:eastAsia="zh-CN"/>
        </w:rPr>
        <w:t>10</w:t>
      </w:r>
      <w:r w:rsidRPr="00D140AB">
        <w:rPr>
          <w:rFonts w:ascii="Courier New" w:eastAsia="SimSun" w:hAnsi="Courier New" w:cs="Courier New"/>
          <w:sz w:val="24"/>
          <w:szCs w:val="24"/>
          <w:lang w:eastAsia="zh-CN"/>
        </w:rPr>
        <w:t xml:space="preserve"> years, and about 65 percent had repaid their loans within </w:t>
      </w:r>
      <w:r>
        <w:rPr>
          <w:rFonts w:ascii="Courier New" w:eastAsia="SimSun" w:hAnsi="Courier New" w:cs="Courier New"/>
          <w:sz w:val="24"/>
          <w:szCs w:val="24"/>
          <w:lang w:eastAsia="zh-CN"/>
        </w:rPr>
        <w:t>12</w:t>
      </w:r>
      <w:r w:rsidRPr="00D140AB">
        <w:rPr>
          <w:rFonts w:ascii="Courier New" w:eastAsia="SimSun" w:hAnsi="Courier New" w:cs="Courier New"/>
          <w:sz w:val="24"/>
          <w:szCs w:val="24"/>
          <w:lang w:eastAsia="zh-CN"/>
        </w:rPr>
        <w:t xml:space="preserve"> years, despite economic downturns during that period.  In view of this analysis, the commenters believed that the proposed 15- and 20-year amortization periods are too long and </w:t>
      </w:r>
      <w:r w:rsidRPr="00D140AB">
        <w:rPr>
          <w:rFonts w:ascii="Courier New" w:eastAsia="SimSun" w:hAnsi="Courier New" w:cs="Courier New"/>
          <w:sz w:val="24"/>
          <w:szCs w:val="24"/>
          <w:lang w:eastAsia="zh-CN"/>
        </w:rPr>
        <w:lastRenderedPageBreak/>
        <w:t>would allow excessive interest charges.  These commenters also argued that longer repayment plans, like the income-based repayment plan, are intended to help struggling borrowers with unmanageable debts and should not become the expectation or standard for students repaying their loans.  They asserted that the income-driven repayment plans result in considerably extending the repayment period, add interest cost to the borrower, and allow cancellation of amounts not paid at potential cost to taxpayers, the Government, and the borrower.</w:t>
      </w:r>
    </w:p>
    <w:p w14:paraId="7B5546AD" w14:textId="77777777" w:rsidR="00E144CA" w:rsidRPr="00D140AB" w:rsidRDefault="00E144CA" w:rsidP="00173B8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Under these regulations, the Department determines the annual loan payment for a program, in part, by applying one of three different amortization periods based on the credential level of the program.  As noted by some of the commenters, the amortization periods account for the typical outcome that borrowers who enroll in higher-credentialed programs (e.g., bachelor’s and graduate degree programs) are likely to have more loan debt than borrowers who enroll in lower-credentialed programs and, as a result, are more likely to take longer to repay their loans.</w:t>
      </w:r>
    </w:p>
    <w:p w14:paraId="11856817" w14:textId="61CFFEE9"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Based on our analysis of data on the repayment behavior of borrowers across all sectors who entered repayment between 1980 and 2011 that was provided in the NPRM, we continue to believe that </w:t>
      </w:r>
      <w:r w:rsidR="00E144CA">
        <w:rPr>
          <w:rFonts w:ascii="Courier New" w:eastAsia="SimSun" w:hAnsi="Courier New" w:cs="Courier New"/>
          <w:sz w:val="24"/>
          <w:szCs w:val="24"/>
          <w:lang w:eastAsia="zh-CN"/>
        </w:rPr>
        <w:t>10</w:t>
      </w:r>
      <w:r w:rsidR="00E144CA" w:rsidRPr="00D140AB">
        <w:rPr>
          <w:rFonts w:ascii="Courier New" w:eastAsia="SimSun" w:hAnsi="Courier New" w:cs="Courier New"/>
          <w:sz w:val="24"/>
          <w:szCs w:val="24"/>
          <w:lang w:eastAsia="zh-CN"/>
        </w:rPr>
        <w:t xml:space="preserve"> years for diploma, certificate, and associate degree programs, </w:t>
      </w:r>
      <w:r w:rsidR="00E144CA">
        <w:rPr>
          <w:rFonts w:ascii="Courier New" w:eastAsia="SimSun" w:hAnsi="Courier New" w:cs="Courier New"/>
          <w:sz w:val="24"/>
          <w:szCs w:val="24"/>
          <w:lang w:eastAsia="zh-CN"/>
        </w:rPr>
        <w:t>15</w:t>
      </w:r>
      <w:r w:rsidR="00E144CA" w:rsidRPr="00D140AB">
        <w:rPr>
          <w:rFonts w:ascii="Courier New" w:eastAsia="SimSun" w:hAnsi="Courier New" w:cs="Courier New"/>
          <w:sz w:val="24"/>
          <w:szCs w:val="24"/>
          <w:lang w:eastAsia="zh-CN"/>
        </w:rPr>
        <w:t xml:space="preserve"> years for bachelor’s and master’s degree programs, </w:t>
      </w:r>
      <w:r w:rsidR="00E144CA" w:rsidRPr="00D140AB">
        <w:rPr>
          <w:rFonts w:ascii="Courier New" w:eastAsia="SimSun" w:hAnsi="Courier New" w:cs="Courier New"/>
          <w:sz w:val="24"/>
          <w:szCs w:val="24"/>
          <w:lang w:eastAsia="zh-CN"/>
        </w:rPr>
        <w:lastRenderedPageBreak/>
        <w:t xml:space="preserve">and </w:t>
      </w:r>
      <w:r w:rsidR="00E144CA">
        <w:rPr>
          <w:rFonts w:ascii="Courier New" w:eastAsia="SimSun" w:hAnsi="Courier New" w:cs="Courier New"/>
          <w:sz w:val="24"/>
          <w:szCs w:val="24"/>
          <w:lang w:eastAsia="zh-CN"/>
        </w:rPr>
        <w:t>20</w:t>
      </w:r>
      <w:r w:rsidR="00E144CA" w:rsidRPr="00D140AB">
        <w:rPr>
          <w:rFonts w:ascii="Courier New" w:eastAsia="SimSun" w:hAnsi="Courier New" w:cs="Courier New"/>
          <w:sz w:val="24"/>
          <w:szCs w:val="24"/>
          <w:lang w:eastAsia="zh-CN"/>
        </w:rPr>
        <w:t xml:space="preserve"> years for doctoral and first professional degree programs are appropriate amortization periods.  We restate the relevant portions of our analysis here.  </w:t>
      </w:r>
    </w:p>
    <w:p w14:paraId="45F6FCF7" w14:textId="03730D09"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Of borrowers across all sectors who entered repayment between 1993 and 2002, we found that within 10 years of entering repayment, the majority of undergraduate borrowers, about 58 percent of borrowers from two-year institutions and 54 percent of undergraduate borrowers from four-year institutions, had fully repaid their loans.  In comparison, less than a majority of graduate student borrowers had fully repaid their loans within </w:t>
      </w:r>
      <w:r w:rsidR="00E144CA">
        <w:rPr>
          <w:rFonts w:ascii="Courier New" w:eastAsia="SimSun" w:hAnsi="Courier New" w:cs="Courier New"/>
          <w:sz w:val="24"/>
          <w:szCs w:val="24"/>
          <w:lang w:eastAsia="zh-CN"/>
        </w:rPr>
        <w:t>10</w:t>
      </w:r>
      <w:r w:rsidR="00E144CA" w:rsidRPr="00D140AB">
        <w:rPr>
          <w:rFonts w:ascii="Courier New" w:eastAsia="SimSun" w:hAnsi="Courier New" w:cs="Courier New"/>
          <w:sz w:val="24"/>
          <w:szCs w:val="24"/>
          <w:lang w:eastAsia="zh-CN"/>
        </w:rPr>
        <w:t xml:space="preserve"> years.  Within 15 years of entering repayment, a majority of all borrowers regardless of credential level had fully repaid their loans:  about 74 percent of borrowers from two-year institutions, 76 percent of undergraduate borrowers from four-year institutions, and 72 percent of graduate student borrowers.</w:t>
      </w:r>
      <w:r w:rsidR="00E144CA" w:rsidRPr="00D140AB">
        <w:rPr>
          <w:rFonts w:ascii="Courier New" w:eastAsia="SimSun" w:hAnsi="Courier New" w:cs="Courier New"/>
          <w:sz w:val="24"/>
          <w:szCs w:val="24"/>
          <w:vertAlign w:val="superscript"/>
          <w:lang w:eastAsia="zh-CN"/>
        </w:rPr>
        <w:footnoteReference w:id="138"/>
      </w:r>
      <w:r w:rsidR="00E144CA" w:rsidRPr="00D140AB">
        <w:rPr>
          <w:rFonts w:ascii="Courier New" w:eastAsia="SimSun" w:hAnsi="Courier New" w:cs="Courier New"/>
          <w:sz w:val="24"/>
          <w:szCs w:val="24"/>
          <w:lang w:eastAsia="zh-CN"/>
        </w:rPr>
        <w:t xml:space="preserve"> </w:t>
      </w:r>
    </w:p>
    <w:p w14:paraId="2F537BEE" w14:textId="6FC7C452"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For more recent cohorts, the majority of borrowers from two-year institutions continue to fully repay their loans within 10 years.  For example, of undergraduate borrowers from two-year institutions who entered repayment in 2002, 55 percent had fully repaid their loans by 2012.  We believe this confirms that a 10-</w:t>
      </w:r>
      <w:r w:rsidR="00E144CA" w:rsidRPr="00D140AB">
        <w:rPr>
          <w:rFonts w:ascii="Courier New" w:eastAsia="SimSun" w:hAnsi="Courier New" w:cs="Courier New"/>
          <w:sz w:val="24"/>
          <w:szCs w:val="24"/>
          <w:lang w:eastAsia="zh-CN"/>
        </w:rPr>
        <w:lastRenderedPageBreak/>
        <w:t xml:space="preserve">year amortization period is appropriate for diploma, certificate, and associate degree programs.  </w:t>
      </w:r>
    </w:p>
    <w:p w14:paraId="30C61807" w14:textId="5DC36484"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In contrast, recent cohorts of undergraduate borrowers from four-year institutions and graduate student borrowers are repaying their loans at slower rates than similar cohorts.  Of borrowers who entered repayment in 2002, only 44 percent of undergraduate borrowers from four-year institutions</w:t>
      </w:r>
      <w:r w:rsidR="00E144CA" w:rsidRPr="00D140AB" w:rsidDel="009F62E9">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and only 31 percent of graduate student borrowers had fully repaid their loans within 10 years.  Even at this slower rate of repayment, </w:t>
      </w:r>
      <w:r w:rsidR="00E144CA">
        <w:rPr>
          <w:rFonts w:ascii="Courier New" w:eastAsia="SimSun" w:hAnsi="Courier New" w:cs="Courier New"/>
          <w:sz w:val="24"/>
          <w:szCs w:val="24"/>
          <w:lang w:eastAsia="zh-CN"/>
        </w:rPr>
        <w:t xml:space="preserve">given that 44 percent of </w:t>
      </w:r>
      <w:r w:rsidR="00E144CA" w:rsidRPr="00D140AB">
        <w:rPr>
          <w:rFonts w:ascii="Courier New" w:eastAsia="SimSun" w:hAnsi="Courier New" w:cs="Courier New"/>
          <w:sz w:val="24"/>
          <w:szCs w:val="24"/>
          <w:lang w:eastAsia="zh-CN"/>
        </w:rPr>
        <w:t xml:space="preserve">undergraduate borrowers at four-year institutions </w:t>
      </w:r>
      <w:r w:rsidR="00E144CA">
        <w:rPr>
          <w:rFonts w:ascii="Courier New" w:eastAsia="SimSun" w:hAnsi="Courier New" w:cs="Courier New"/>
          <w:sz w:val="24"/>
          <w:szCs w:val="24"/>
          <w:lang w:eastAsia="zh-CN"/>
        </w:rPr>
        <w:t xml:space="preserve">fully repaid within 10 years, </w:t>
      </w:r>
      <w:r w:rsidR="00E144CA" w:rsidRPr="00D140AB">
        <w:rPr>
          <w:rFonts w:ascii="Courier New" w:eastAsia="SimSun" w:hAnsi="Courier New" w:cs="Courier New"/>
          <w:sz w:val="24"/>
          <w:szCs w:val="24"/>
          <w:lang w:eastAsia="zh-CN"/>
        </w:rPr>
        <w:t xml:space="preserve">we believe it is </w:t>
      </w:r>
      <w:r w:rsidR="00E144CA">
        <w:rPr>
          <w:rFonts w:ascii="Courier New" w:eastAsia="SimSun" w:hAnsi="Courier New" w:cs="Courier New"/>
          <w:sz w:val="24"/>
          <w:szCs w:val="24"/>
          <w:lang w:eastAsia="zh-CN"/>
        </w:rPr>
        <w:t>reasonable to assume that</w:t>
      </w:r>
      <w:r w:rsidR="00E144CA" w:rsidRPr="00D140AB">
        <w:rPr>
          <w:rFonts w:ascii="Courier New" w:eastAsia="SimSun" w:hAnsi="Courier New" w:cs="Courier New"/>
          <w:sz w:val="24"/>
          <w:szCs w:val="24"/>
          <w:lang w:eastAsia="zh-CN"/>
        </w:rPr>
        <w:t xml:space="preserve"> the majority</w:t>
      </w:r>
      <w:r w:rsidR="00E144CA">
        <w:rPr>
          <w:rFonts w:ascii="Courier New" w:eastAsia="SimSun" w:hAnsi="Courier New" w:cs="Courier New"/>
          <w:sz w:val="24"/>
          <w:szCs w:val="24"/>
          <w:lang w:eastAsia="zh-CN"/>
        </w:rPr>
        <w:t>, or more than 50 percent, of borrowers</w:t>
      </w:r>
      <w:r w:rsidR="00E144CA" w:rsidRPr="00D140AB">
        <w:rPr>
          <w:rFonts w:ascii="Courier New" w:eastAsia="SimSun" w:hAnsi="Courier New" w:cs="Courier New"/>
          <w:sz w:val="24"/>
          <w:szCs w:val="24"/>
          <w:lang w:eastAsia="zh-CN"/>
        </w:rPr>
        <w:t xml:space="preserve"> from this cohort will reach full repayment by the 15-year mark.  Accordingly, </w:t>
      </w:r>
      <w:r w:rsidR="00E144CA">
        <w:rPr>
          <w:rFonts w:ascii="Courier New" w:eastAsia="SimSun" w:hAnsi="Courier New" w:cs="Courier New"/>
          <w:sz w:val="24"/>
          <w:szCs w:val="24"/>
          <w:lang w:eastAsia="zh-CN"/>
        </w:rPr>
        <w:t>w</w:t>
      </w:r>
      <w:r w:rsidR="00E144CA" w:rsidRPr="00D140AB">
        <w:rPr>
          <w:rFonts w:ascii="Courier New" w:eastAsia="SimSun" w:hAnsi="Courier New" w:cs="Courier New"/>
          <w:sz w:val="24"/>
          <w:szCs w:val="24"/>
          <w:lang w:eastAsia="zh-CN"/>
        </w:rPr>
        <w:t xml:space="preserve">e believe that a 15-year amortization period is appropriate for bachelor’s degree programs and additionally master’s degree programs where students are likely to have less debt than longer graduate programs.  Given the significantly slower repayment behavior of recent graduate student borrowers and the number of increased extended repayment periods available to borrowers, however, we do not expect the majority of these borrowers to fully repay their loans within 15 years as graduate student borrowers have in the past.  But even at this slower rate of repayment, we believe it is likely that the majority of graduate student </w:t>
      </w:r>
      <w:r w:rsidR="00E144CA" w:rsidRPr="00D140AB">
        <w:rPr>
          <w:rFonts w:ascii="Courier New" w:eastAsia="SimSun" w:hAnsi="Courier New" w:cs="Courier New"/>
          <w:sz w:val="24"/>
          <w:szCs w:val="24"/>
          <w:lang w:eastAsia="zh-CN"/>
        </w:rPr>
        <w:lastRenderedPageBreak/>
        <w:t xml:space="preserve">borrowers from this cohort will complete their repayment within 20 years.  As a result, we see no reason to apply an amortization period longer than 20 years to doctoral and first professional degree programs.  </w:t>
      </w:r>
    </w:p>
    <w:p w14:paraId="3A9491B8" w14:textId="2BF3F6FE"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We agree with the commenters who argued that the Department has made income-driven repayment plans available to borrowers who have a partial financial hardship only to assist them in managing their debt--and that programs should ideally lead to outcomes for students that enable them to manage their debt over the shortest period possible.  As we noted in the preamble to the 2011 Prior Rule, an educational program generating large numbers of borrowers in financial distress raises troubling questions about the affordability of those debts.  Moreover, the income-driven repayment plans offered by the Department do not provide for a set repayment schedule, as payment amounts are determined as a percentage of income.  Accordingly, we have not relied on these plans for determining the amortization schedule used in calculating a program’s annual loan payment for the purpose of the D/E rates measure.  </w:t>
      </w:r>
      <w:r w:rsidR="00E144CA" w:rsidRPr="00D140AB">
        <w:rPr>
          <w:rFonts w:ascii="Courier New" w:eastAsia="SimSun" w:hAnsi="Courier New" w:cs="Courier New"/>
          <w:b/>
          <w:sz w:val="24"/>
          <w:szCs w:val="24"/>
          <w:lang w:eastAsia="zh-CN"/>
        </w:rPr>
        <w:t xml:space="preserve"> </w:t>
      </w:r>
      <w:r w:rsidR="00E144CA" w:rsidRPr="00D140AB">
        <w:rPr>
          <w:rFonts w:ascii="Courier New" w:eastAsia="SimSun" w:hAnsi="Courier New" w:cs="Courier New"/>
          <w:sz w:val="24"/>
          <w:szCs w:val="24"/>
          <w:lang w:eastAsia="zh-CN"/>
        </w:rPr>
        <w:t xml:space="preserve"> </w:t>
      </w:r>
    </w:p>
    <w:p w14:paraId="70A71D20" w14:textId="77777777" w:rsidR="00E144CA" w:rsidRDefault="00E144CA"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u w:val="single"/>
          <w:lang w:eastAsia="zh-CN"/>
        </w:rPr>
        <w:t>C</w:t>
      </w:r>
      <w:r w:rsidRPr="00D140AB">
        <w:rPr>
          <w:rFonts w:ascii="Courier New" w:eastAsia="SimSun" w:hAnsi="Courier New" w:cs="Courier New"/>
          <w:sz w:val="24"/>
          <w:szCs w:val="24"/>
          <w:u w:val="single"/>
          <w:lang w:eastAsia="zh-CN"/>
        </w:rPr>
        <w:t>hanges</w:t>
      </w:r>
      <w:r w:rsidRPr="00D140AB">
        <w:rPr>
          <w:rFonts w:ascii="Courier New" w:eastAsia="SimSun" w:hAnsi="Courier New" w:cs="Courier New"/>
          <w:sz w:val="24"/>
          <w:szCs w:val="24"/>
          <w:lang w:eastAsia="zh-CN"/>
        </w:rPr>
        <w:t>:  None.</w:t>
      </w:r>
    </w:p>
    <w:p w14:paraId="56155A4C" w14:textId="77777777" w:rsidR="00E144CA" w:rsidRPr="00495D63" w:rsidRDefault="00E144CA" w:rsidP="00173B87">
      <w:pPr>
        <w:spacing w:after="0" w:line="480" w:lineRule="auto"/>
        <w:rPr>
          <w:rFonts w:ascii="Courier New" w:eastAsia="SimSun" w:hAnsi="Courier New" w:cs="Courier New"/>
          <w:sz w:val="24"/>
          <w:szCs w:val="24"/>
          <w:lang w:eastAsia="zh-CN"/>
        </w:rPr>
      </w:pPr>
      <w:r w:rsidRPr="00495D63">
        <w:rPr>
          <w:rFonts w:ascii="Courier New" w:eastAsia="SimSun" w:hAnsi="Courier New" w:cs="Courier New"/>
          <w:sz w:val="24"/>
          <w:szCs w:val="24"/>
          <w:u w:val="single"/>
          <w:lang w:eastAsia="zh-CN"/>
        </w:rPr>
        <w:t>Comments</w:t>
      </w:r>
      <w:r>
        <w:rPr>
          <w:rFonts w:ascii="Courier New" w:eastAsia="SimSun" w:hAnsi="Courier New" w:cs="Courier New"/>
          <w:sz w:val="24"/>
          <w:szCs w:val="24"/>
          <w:lang w:eastAsia="zh-CN"/>
        </w:rPr>
        <w:t xml:space="preserve">:  </w:t>
      </w:r>
      <w:r w:rsidRPr="00495D63">
        <w:rPr>
          <w:rFonts w:ascii="Courier New" w:eastAsia="SimSun" w:hAnsi="Courier New" w:cs="Courier New"/>
          <w:sz w:val="24"/>
          <w:szCs w:val="24"/>
          <w:lang w:eastAsia="zh-CN"/>
        </w:rPr>
        <w:t>One commenter suggested that instead of amortizing the median loan debt over specified timeframes, we should use the average of the actual annual loan amounts of the cohort that is evaluated.  The commenter argued that by providing income-</w:t>
      </w:r>
      <w:r w:rsidRPr="00495D63">
        <w:rPr>
          <w:rFonts w:ascii="Courier New" w:eastAsia="SimSun" w:hAnsi="Courier New" w:cs="Courier New"/>
          <w:sz w:val="24"/>
          <w:szCs w:val="24"/>
          <w:lang w:eastAsia="zh-CN"/>
        </w:rPr>
        <w:lastRenderedPageBreak/>
        <w:t>driven repayment plans, the Department acknowledges that recent graduates may not be paid well but need a way to repay their loans.  As these graduates gain work experience, their earnings will increase.  The commenter suggested that using the actual average of the cohort would allow for programs that provide training for occupations that require experience before earnings growth and motivate institutions to work with graduates who would be better off in an income-driven repayment plan than defaulting on their loans.</w:t>
      </w:r>
    </w:p>
    <w:p w14:paraId="0C35F140" w14:textId="77777777" w:rsidR="00E144CA" w:rsidRPr="00D140AB" w:rsidRDefault="00E144CA" w:rsidP="00173B87">
      <w:pPr>
        <w:spacing w:after="0" w:line="480" w:lineRule="auto"/>
        <w:rPr>
          <w:rFonts w:ascii="Courier New" w:eastAsia="SimSun" w:hAnsi="Courier New" w:cs="Courier New"/>
          <w:sz w:val="24"/>
          <w:szCs w:val="24"/>
          <w:lang w:eastAsia="zh-CN"/>
        </w:rPr>
      </w:pPr>
      <w:r w:rsidRPr="00495D63">
        <w:rPr>
          <w:rFonts w:ascii="Courier New" w:eastAsia="SimSun" w:hAnsi="Courier New" w:cs="Courier New"/>
          <w:sz w:val="24"/>
          <w:szCs w:val="24"/>
          <w:u w:val="single"/>
          <w:lang w:eastAsia="zh-CN"/>
        </w:rPr>
        <w:t>Discussion</w:t>
      </w:r>
      <w:r>
        <w:rPr>
          <w:rFonts w:ascii="Courier New" w:eastAsia="SimSun" w:hAnsi="Courier New" w:cs="Courier New"/>
          <w:sz w:val="24"/>
          <w:szCs w:val="24"/>
          <w:lang w:eastAsia="zh-CN"/>
        </w:rPr>
        <w:t>:  We cannot adopt this suggestion</w:t>
      </w:r>
      <w:r w:rsidRPr="0097734D">
        <w:rPr>
          <w:rFonts w:ascii="Courier New" w:eastAsia="SimSun" w:hAnsi="Courier New"/>
          <w:sz w:val="24"/>
          <w:lang w:eastAsia="zh-CN"/>
        </w:rPr>
        <w:t xml:space="preserve"> </w:t>
      </w:r>
      <w:r>
        <w:rPr>
          <w:rFonts w:ascii="Courier New" w:eastAsia="SimSun" w:hAnsi="Courier New"/>
          <w:sz w:val="24"/>
          <w:lang w:eastAsia="zh-CN"/>
        </w:rPr>
        <w:t xml:space="preserve">because </w:t>
      </w:r>
      <w:r w:rsidRPr="0097734D">
        <w:rPr>
          <w:rFonts w:ascii="Courier New" w:eastAsia="SimSun" w:hAnsi="Courier New"/>
          <w:sz w:val="24"/>
          <w:lang w:eastAsia="zh-CN"/>
        </w:rPr>
        <w:t>we do not have all the data needed to determine th</w:t>
      </w:r>
      <w:r>
        <w:rPr>
          <w:rFonts w:ascii="Courier New" w:eastAsia="SimSun" w:hAnsi="Courier New"/>
          <w:sz w:val="24"/>
          <w:lang w:eastAsia="zh-CN"/>
        </w:rPr>
        <w:t>e actual annual</w:t>
      </w:r>
      <w:r w:rsidRPr="0097734D">
        <w:rPr>
          <w:rFonts w:ascii="Courier New" w:eastAsia="SimSun" w:hAnsi="Courier New"/>
          <w:sz w:val="24"/>
          <w:lang w:eastAsia="zh-CN"/>
        </w:rPr>
        <w:t xml:space="preserve"> loan amounts, particularly for students who received FFEL and Perkins Loans.  But even if we had the data, adopting this suggestion would have the perverse effect of overstating the performance of a program where, absent adequate employment, many students who completed the program have to rely on the debt relief provided by income-driven repayment plans</w:t>
      </w:r>
      <w:r>
        <w:rPr>
          <w:rFonts w:ascii="Courier New" w:eastAsia="SimSun" w:hAnsi="Courier New" w:cs="Courier New"/>
          <w:sz w:val="24"/>
          <w:szCs w:val="24"/>
          <w:lang w:eastAsia="zh-CN"/>
        </w:rPr>
        <w:t>--</w:t>
      </w:r>
      <w:r w:rsidRPr="0097734D">
        <w:rPr>
          <w:rFonts w:ascii="Courier New" w:eastAsia="SimSun" w:hAnsi="Courier New" w:cs="Courier New"/>
          <w:sz w:val="24"/>
          <w:szCs w:val="24"/>
          <w:lang w:eastAsia="zh-CN"/>
        </w:rPr>
        <w:t>an outcome that belies</w:t>
      </w:r>
      <w:r w:rsidRPr="0097734D">
        <w:rPr>
          <w:rFonts w:ascii="Courier New" w:eastAsia="SimSun" w:hAnsi="Courier New"/>
          <w:sz w:val="24"/>
          <w:lang w:eastAsia="zh-CN"/>
        </w:rPr>
        <w:t xml:space="preserve"> the </w:t>
      </w:r>
      <w:r w:rsidRPr="0097734D">
        <w:rPr>
          <w:rFonts w:ascii="Courier New" w:eastAsia="SimSun" w:hAnsi="Courier New" w:cs="Courier New"/>
          <w:sz w:val="24"/>
          <w:szCs w:val="24"/>
          <w:lang w:eastAsia="zh-CN"/>
        </w:rPr>
        <w:t>purpose of these regulations.</w:t>
      </w:r>
    </w:p>
    <w:p w14:paraId="0C74DD59" w14:textId="77777777" w:rsidR="00E144CA" w:rsidRPr="00D140AB" w:rsidRDefault="00E144CA"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u w:val="single"/>
          <w:lang w:eastAsia="zh-CN"/>
        </w:rPr>
        <w:t>Changes</w:t>
      </w:r>
      <w:r w:rsidRPr="00495D63">
        <w:rPr>
          <w:rFonts w:ascii="Courier New" w:eastAsia="SimSun" w:hAnsi="Courier New" w:cs="Courier New"/>
          <w:sz w:val="24"/>
          <w:szCs w:val="24"/>
          <w:lang w:eastAsia="zh-CN"/>
        </w:rPr>
        <w:t>:  None.</w:t>
      </w:r>
    </w:p>
    <w:p w14:paraId="7A5C628A" w14:textId="77777777" w:rsidR="00E144CA" w:rsidRPr="00D140AB" w:rsidRDefault="00E144CA" w:rsidP="00173B87">
      <w:pPr>
        <w:pStyle w:val="Heading2"/>
        <w:ind w:left="0"/>
        <w:rPr>
          <w:lang w:eastAsia="zh-CN"/>
        </w:rPr>
      </w:pPr>
      <w:r w:rsidRPr="00D140AB">
        <w:rPr>
          <w:lang w:eastAsia="zh-CN"/>
        </w:rPr>
        <w:t>Interest Rate</w:t>
      </w:r>
    </w:p>
    <w:p w14:paraId="453D45B6" w14:textId="400C587E" w:rsidR="00E144CA" w:rsidRPr="00D140AB" w:rsidRDefault="00E144CA" w:rsidP="00173B87">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w:t>
      </w:r>
      <w:r w:rsidRPr="00D140AB">
        <w:rPr>
          <w:rFonts w:ascii="Courier New" w:eastAsia="SimSun" w:hAnsi="Courier New" w:cs="Courier New"/>
          <w:sz w:val="24"/>
          <w:szCs w:val="24"/>
          <w:lang w:eastAsia="zh-CN"/>
        </w:rPr>
        <w:t xml:space="preserve">  Several commenters opposed the Department’s proposal to apply an interest rate that is the average of the annual interest rate on Federal Direct Unsubsidized Loans over the six-year period prior to the end of the cohort period.  Some </w:t>
      </w:r>
      <w:r w:rsidRPr="00D140AB">
        <w:rPr>
          <w:rFonts w:ascii="Courier New" w:eastAsia="SimSun" w:hAnsi="Courier New" w:cs="Courier New"/>
          <w:sz w:val="24"/>
          <w:szCs w:val="24"/>
          <w:lang w:eastAsia="zh-CN"/>
        </w:rPr>
        <w:lastRenderedPageBreak/>
        <w:t>commenters asserted that a six-year average rate would inappropriately place greater emphasis on the predictability of the rate than on capturing the actual rate</w:t>
      </w:r>
      <w:r>
        <w:rPr>
          <w:rFonts w:ascii="Courier New" w:eastAsia="SimSun" w:hAnsi="Courier New" w:cs="Courier New"/>
          <w:sz w:val="24"/>
          <w:szCs w:val="24"/>
          <w:lang w:eastAsia="zh-CN"/>
        </w:rPr>
        <w:t>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on </w:t>
      </w:r>
      <w:r w:rsidRPr="00D140AB">
        <w:rPr>
          <w:rFonts w:ascii="Courier New" w:eastAsia="SimSun" w:hAnsi="Courier New" w:cs="Courier New"/>
          <w:sz w:val="24"/>
          <w:szCs w:val="24"/>
          <w:lang w:eastAsia="zh-CN"/>
        </w:rPr>
        <w:t>borrowers</w:t>
      </w:r>
      <w:r>
        <w:rPr>
          <w:rFonts w:ascii="Courier New" w:eastAsia="SimSun" w:hAnsi="Courier New" w:cs="Courier New"/>
          <w:sz w:val="24"/>
          <w:szCs w:val="24"/>
          <w:lang w:eastAsia="zh-CN"/>
        </w:rPr>
        <w:t>’</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loans</w:t>
      </w:r>
      <w:r w:rsidRPr="00D140AB">
        <w:rPr>
          <w:rFonts w:ascii="Courier New" w:eastAsia="SimSun" w:hAnsi="Courier New" w:cs="Courier New"/>
          <w:sz w:val="24"/>
          <w:szCs w:val="24"/>
          <w:lang w:eastAsia="zh-CN"/>
        </w:rPr>
        <w:t xml:space="preserve">.  They argued that, particularly in the case of shorter programs, the six-year average interest rate might bear little resemblance to the actual interest rate that students received on their loans.  </w:t>
      </w:r>
      <w:r>
        <w:rPr>
          <w:rFonts w:ascii="Courier New" w:eastAsia="SimSun" w:hAnsi="Courier New" w:cs="Courier New"/>
          <w:sz w:val="24"/>
          <w:szCs w:val="24"/>
          <w:lang w:eastAsia="zh-CN"/>
        </w:rPr>
        <w:t>One commenter stated that the average rate could obscure periods of high interest rates during which borrowers would still have to make loan payments.  Referring to qualified mortgage rules that instruct lenders to assess an individual’s ability to repay using the highest interest rate a loan could reach in a five-year period, the commenter recommended that we likewise calculate the annual loan payment based on the highest interest rate during the six-year period.</w:t>
      </w:r>
    </w:p>
    <w:p w14:paraId="5AA84170" w14:textId="1B604DA4" w:rsidR="00E144CA" w:rsidRPr="00D140AB" w:rsidRDefault="00173B87" w:rsidP="00173B87">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Many commenters urged the Department to use an interest rate closer to the actual interest rate </w:t>
      </w:r>
      <w:r w:rsidR="00E144CA">
        <w:rPr>
          <w:rFonts w:ascii="Courier New" w:eastAsia="SimSun" w:hAnsi="Courier New" w:cs="Courier New"/>
          <w:sz w:val="24"/>
          <w:szCs w:val="24"/>
          <w:lang w:eastAsia="zh-CN"/>
        </w:rPr>
        <w:t>on borrowers’ loans</w:t>
      </w:r>
      <w:r w:rsidR="00E144CA" w:rsidRPr="00D140AB">
        <w:rPr>
          <w:rFonts w:ascii="Courier New" w:eastAsia="SimSun" w:hAnsi="Courier New" w:cs="Courier New"/>
          <w:sz w:val="24"/>
          <w:szCs w:val="24"/>
          <w:lang w:eastAsia="zh-CN"/>
        </w:rPr>
        <w:t xml:space="preserve">.  Specifically, commenters recommended calculating each student’s weighted average interest rate at the time of disbursement so that the interest rate applied for each program would be a weighted average of each student’s actual interest rate.  However, acknowledging the potential burden and complexity of this approach, some commenters alternatively suggested varying the time period for determining the average interest rate by the length of the program.  Although they suggested different means </w:t>
      </w:r>
      <w:r w:rsidR="00E144CA" w:rsidRPr="00D140AB">
        <w:rPr>
          <w:rFonts w:ascii="Courier New" w:eastAsia="SimSun" w:hAnsi="Courier New" w:cs="Courier New"/>
          <w:sz w:val="24"/>
          <w:szCs w:val="24"/>
          <w:lang w:eastAsia="zh-CN"/>
        </w:rPr>
        <w:lastRenderedPageBreak/>
        <w:t xml:space="preserve">of implementing this approach (e.g., averaging the interest rate for the years in which the students in the cohort period received loans, or using the interest rates associated with the median length of time it took for students to complete the program), the commenters argued that determining an average interest rate based on the length of a program would provide more accurate calculations than using a six-year average interest rate for all GE programs.  In particular, they believed that this approach would avoid situations in which a six-year average interest rate would be applied to a one-year certificate program, potentially applying an interest rate that would not reflect students’ repayment plans. </w:t>
      </w:r>
    </w:p>
    <w:p w14:paraId="03E35C3A" w14:textId="77777777"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lang w:eastAsia="zh-CN"/>
        </w:rPr>
        <w:t xml:space="preserve">     Some commenters suggested modifying proposed §668.404(b)(2)(ii) to add a separate interest rate for private education loans.  These commenters argued that applying the average interest rate on Federal Direct Unsubsidized Loans to an amount that includes private loans would likely understate the amount of debt that a student incurred.  They suggested that the Department could determine an appropriate interest rate to apply to private education loans by obtaining documentation of the actual interest rate for institutional loans and, for private education loans</w:t>
      </w:r>
      <w:r>
        <w:rPr>
          <w:rFonts w:ascii="Courier New" w:eastAsia="SimSun" w:hAnsi="Courier New" w:cs="Courier New"/>
          <w:sz w:val="24"/>
          <w:szCs w:val="24"/>
          <w:lang w:eastAsia="zh-CN"/>
        </w:rPr>
        <w:t>,</w:t>
      </w:r>
      <w:r w:rsidRPr="00D140AB">
        <w:rPr>
          <w:rFonts w:ascii="Courier New" w:eastAsia="SimSun" w:hAnsi="Courier New" w:cs="Courier New"/>
          <w:sz w:val="24"/>
          <w:szCs w:val="24"/>
          <w:lang w:eastAsia="zh-CN"/>
        </w:rPr>
        <w:t xml:space="preserve"> surveying private student loan rates and using a rate based on that survey. </w:t>
      </w:r>
    </w:p>
    <w:p w14:paraId="4455DE2F" w14:textId="6A04B852" w:rsidR="00E144CA"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lang w:eastAsia="zh-CN"/>
        </w:rPr>
        <w:lastRenderedPageBreak/>
        <w:t xml:space="preserve">     One commenter supported the Department’s proposal to use the average interest rate on Federal Direct Unsubsidized Loans during the six-year period prior to the end of the cohort period but suggested that the Department use the lower of the average or the current rate of interest on those loans.  The commenter asserted that this approach would ensure that institutions are not penalized for economic factors they cannot control.</w:t>
      </w:r>
    </w:p>
    <w:p w14:paraId="2D3984FF" w14:textId="426D229B" w:rsidR="00E144CA" w:rsidRPr="00D140AB" w:rsidDel="00190C95" w:rsidRDefault="00327DF4" w:rsidP="00327DF4">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144CA">
        <w:rPr>
          <w:rFonts w:ascii="Courier New" w:eastAsia="SimSun" w:hAnsi="Courier New" w:cs="Courier New"/>
          <w:sz w:val="24"/>
          <w:szCs w:val="24"/>
          <w:lang w:eastAsia="zh-CN"/>
        </w:rPr>
        <w:t>Finally, one commenter offered that Federal student loan interest rates, a significant predictor and influencer of borrowing costs, are now pegged to market rates and, as a result, exposed to rate fluctuations.  Accordingly, different cohorts of students amassing similar levels of debt will likely see vastly different costs associated with their student loans depending upon when those loans were originated.  This, the commenter suggests, will affect default rates and debt-to-earnings measurements, even if program quality and outcomes remain constant.</w:t>
      </w:r>
    </w:p>
    <w:p w14:paraId="12AFEEE6" w14:textId="65D1F9E7"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We generally agree with the commenters that the interest rate used to calculate the annual loan payment should</w:t>
      </w:r>
      <w:r w:rsidR="00E50678">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reflect </w:t>
      </w:r>
      <w:r w:rsidR="00EE36D7">
        <w:rPr>
          <w:rFonts w:ascii="Courier New" w:eastAsia="SimSun" w:hAnsi="Courier New" w:cs="Courier New"/>
          <w:sz w:val="24"/>
          <w:szCs w:val="24"/>
          <w:lang w:eastAsia="zh-CN"/>
        </w:rPr>
        <w:t>as closely as possible</w:t>
      </w:r>
      <w:r w:rsidRPr="00D140AB">
        <w:rPr>
          <w:rFonts w:ascii="Courier New" w:eastAsia="SimSun" w:hAnsi="Courier New" w:cs="Courier New"/>
          <w:sz w:val="24"/>
          <w:szCs w:val="24"/>
          <w:lang w:eastAsia="zh-CN"/>
        </w:rPr>
        <w:t xml:space="preserve"> the interest rates on the loans </w:t>
      </w:r>
      <w:r w:rsidR="00EE36D7">
        <w:rPr>
          <w:rFonts w:ascii="Courier New" w:eastAsia="SimSun" w:hAnsi="Courier New" w:cs="Courier New"/>
          <w:sz w:val="24"/>
          <w:szCs w:val="24"/>
          <w:lang w:eastAsia="zh-CN"/>
        </w:rPr>
        <w:t>most commonly</w:t>
      </w:r>
      <w:r w:rsidRPr="00D140AB">
        <w:rPr>
          <w:rFonts w:ascii="Courier New" w:eastAsia="SimSun" w:hAnsi="Courier New" w:cs="Courier New"/>
          <w:sz w:val="24"/>
          <w:szCs w:val="24"/>
          <w:lang w:eastAsia="zh-CN"/>
        </w:rPr>
        <w:t xml:space="preserve"> obtained</w:t>
      </w:r>
      <w:r w:rsidR="00EE36D7">
        <w:rPr>
          <w:rFonts w:ascii="Courier New" w:eastAsia="SimSun" w:hAnsi="Courier New" w:cs="Courier New"/>
          <w:sz w:val="24"/>
          <w:szCs w:val="24"/>
          <w:lang w:eastAsia="zh-CN"/>
        </w:rPr>
        <w:t xml:space="preserve"> by students</w:t>
      </w:r>
      <w:r w:rsidRPr="00D140AB">
        <w:rPr>
          <w:rFonts w:ascii="Courier New" w:eastAsia="SimSun" w:hAnsi="Courier New" w:cs="Courier New"/>
          <w:sz w:val="24"/>
          <w:szCs w:val="24"/>
          <w:lang w:eastAsia="zh-CN"/>
        </w:rPr>
        <w:t>.  In particular, we agree that using the average interest rate over a six-year period for programs of all lengths might not accurately reflect the annual loan payment</w:t>
      </w:r>
      <w:r>
        <w:rPr>
          <w:rFonts w:ascii="Courier New" w:eastAsia="SimSun" w:hAnsi="Courier New" w:cs="Courier New"/>
          <w:sz w:val="24"/>
          <w:szCs w:val="24"/>
          <w:lang w:eastAsia="zh-CN"/>
        </w:rPr>
        <w:t xml:space="preserve"> of students</w:t>
      </w:r>
      <w:r w:rsidRPr="00D140AB">
        <w:rPr>
          <w:rFonts w:ascii="Courier New" w:eastAsia="SimSun" w:hAnsi="Courier New" w:cs="Courier New"/>
          <w:sz w:val="24"/>
          <w:szCs w:val="24"/>
          <w:lang w:eastAsia="zh-CN"/>
        </w:rPr>
        <w:t xml:space="preserve"> in shorter programs.  However, we </w:t>
      </w:r>
      <w:r w:rsidRPr="00D140AB">
        <w:rPr>
          <w:rFonts w:ascii="Courier New" w:eastAsia="SimSun" w:hAnsi="Courier New" w:cs="Courier New"/>
          <w:sz w:val="24"/>
          <w:szCs w:val="24"/>
          <w:lang w:eastAsia="zh-CN"/>
        </w:rPr>
        <w:lastRenderedPageBreak/>
        <w:t xml:space="preserve">cannot adopt the suggestion made by some commenters to use the weighted average of the interest rates on loans at the time they were made or disbursed because we do not have the relevant information for every loan.  However, we are revising §668.404(b)(2)(ii) to account for program length and the interest rate applicable to undergraduate and graduate programs.  Specifically, for programs that are typically two years or </w:t>
      </w:r>
      <w:r>
        <w:rPr>
          <w:rFonts w:ascii="Courier New" w:eastAsia="SimSun" w:hAnsi="Courier New" w:cs="Courier New"/>
          <w:sz w:val="24"/>
          <w:szCs w:val="24"/>
          <w:lang w:eastAsia="zh-CN"/>
        </w:rPr>
        <w:t>less</w:t>
      </w:r>
      <w:r w:rsidRPr="00D140AB">
        <w:rPr>
          <w:rFonts w:ascii="Courier New" w:eastAsia="SimSun" w:hAnsi="Courier New" w:cs="Courier New"/>
          <w:sz w:val="24"/>
          <w:szCs w:val="24"/>
          <w:lang w:eastAsia="zh-CN"/>
        </w:rPr>
        <w:t xml:space="preserve"> in length we will use the average interest rate over a shorter three-year “look-back” period, and use the longer six-year “look-back” period for programs over two years in length.  In calculating the average interest rate for a graduate program, we will use the statutory interest rate </w:t>
      </w:r>
      <w:r>
        <w:rPr>
          <w:rFonts w:ascii="Courier New" w:eastAsia="SimSun" w:hAnsi="Courier New" w:cs="Courier New"/>
          <w:sz w:val="24"/>
          <w:szCs w:val="24"/>
          <w:lang w:eastAsia="zh-CN"/>
        </w:rPr>
        <w:t xml:space="preserve">on Federal Direct Unsubsidized loans </w:t>
      </w:r>
      <w:r w:rsidRPr="00D140AB">
        <w:rPr>
          <w:rFonts w:ascii="Courier New" w:eastAsia="SimSun" w:hAnsi="Courier New" w:cs="Courier New"/>
          <w:sz w:val="24"/>
          <w:szCs w:val="24"/>
          <w:lang w:eastAsia="zh-CN"/>
        </w:rPr>
        <w:t xml:space="preserve">applicable to graduate programs.  Similarly, we will use the undergraduate interest rate </w:t>
      </w:r>
      <w:r>
        <w:rPr>
          <w:rFonts w:ascii="Courier New" w:eastAsia="SimSun" w:hAnsi="Courier New" w:cs="Courier New"/>
          <w:sz w:val="24"/>
          <w:szCs w:val="24"/>
          <w:lang w:eastAsia="zh-CN"/>
        </w:rPr>
        <w:t xml:space="preserve">on Federal Direct Unsubsidized loans </w:t>
      </w:r>
      <w:r w:rsidRPr="00D140AB">
        <w:rPr>
          <w:rFonts w:ascii="Courier New" w:eastAsia="SimSun" w:hAnsi="Courier New" w:cs="Courier New"/>
          <w:sz w:val="24"/>
          <w:szCs w:val="24"/>
          <w:lang w:eastAsia="zh-CN"/>
        </w:rPr>
        <w:t xml:space="preserve">for undergraduate programs.  For example, for an 18-month certificate program, we will use the average of the rates for undergraduate loans that were in effect during the three-year period prior to the end of the cohort period.    </w:t>
      </w:r>
    </w:p>
    <w:p w14:paraId="026CB33E" w14:textId="77777777"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lang w:eastAsia="zh-CN"/>
        </w:rPr>
        <w:t xml:space="preserve">     Finally, we do not see a need to establish separate interest rates for private education loans.  The Department does not collect, and does not have ready access to, data on private loan interest rates.  The Department could calculate a private loan interest rate only if a party with knowledge of the rate on a loan were to report that data.  The institution may be well </w:t>
      </w:r>
      <w:r w:rsidRPr="00D140AB">
        <w:rPr>
          <w:rFonts w:ascii="Courier New" w:eastAsia="SimSun" w:hAnsi="Courier New" w:cs="Courier New"/>
          <w:sz w:val="24"/>
          <w:szCs w:val="24"/>
          <w:lang w:eastAsia="zh-CN"/>
        </w:rPr>
        <w:lastRenderedPageBreak/>
        <w:t>aware that a student received a private education loan, but would not be likely to know the interest rate on that loan, and could not therefore be expected to provide that data to the Department.  The Department could not readily calculate a rate from other sources because lenders offer private loans at differing rates depending on the creditworthiness of the applicant (and often the cosigner).</w:t>
      </w:r>
      <w:r w:rsidRPr="00D140AB">
        <w:rPr>
          <w:rStyle w:val="FootnoteReference"/>
          <w:rFonts w:ascii="Courier New" w:eastAsia="SimSun" w:hAnsi="Courier New" w:cs="Courier New"/>
          <w:sz w:val="24"/>
          <w:szCs w:val="24"/>
          <w:lang w:eastAsia="zh-CN"/>
        </w:rPr>
        <w:footnoteReference w:id="139"/>
      </w:r>
      <w:r w:rsidRPr="00D140AB">
        <w:rPr>
          <w:rFonts w:ascii="Courier New" w:eastAsia="SimSun" w:hAnsi="Courier New" w:cs="Courier New"/>
          <w:sz w:val="24"/>
          <w:szCs w:val="24"/>
          <w:lang w:eastAsia="zh-CN"/>
        </w:rPr>
        <w:t xml:space="preserve">  Although some lenders offer private loans for which interest rates are comparable to those on Federal Direct Loans, more commonly private loan interest rates are higher than rates on Federal loans; lenders often set rates based on LIBOR, but use differing margins to set those rates.</w:t>
      </w:r>
      <w:r w:rsidRPr="00D140AB">
        <w:rPr>
          <w:rStyle w:val="FootnoteReference"/>
          <w:rFonts w:ascii="Courier New" w:eastAsia="SimSun" w:hAnsi="Courier New" w:cs="Courier New"/>
          <w:sz w:val="24"/>
          <w:szCs w:val="24"/>
          <w:lang w:eastAsia="zh-CN"/>
        </w:rPr>
        <w:footnoteReference w:id="140"/>
      </w:r>
      <w:r w:rsidRPr="00D140AB">
        <w:rPr>
          <w:rFonts w:ascii="Courier New" w:eastAsia="SimSun" w:hAnsi="Courier New" w:cs="Courier New"/>
          <w:sz w:val="24"/>
          <w:szCs w:val="24"/>
          <w:lang w:eastAsia="zh-CN"/>
        </w:rPr>
        <w:t xml:space="preserve">  Thus, we could not determine from available data the terms of private loans obtained by a cohort of borrowers who enrolled in a particular GE program.  </w:t>
      </w:r>
    </w:p>
    <w:p w14:paraId="1F250227" w14:textId="790BA097" w:rsidR="00E144CA" w:rsidRDefault="00E144CA" w:rsidP="00E50678">
      <w:pPr>
        <w:pStyle w:val="NormalWeb"/>
        <w:spacing w:before="0" w:beforeAutospacing="0" w:after="0" w:afterAutospacing="0" w:line="480" w:lineRule="auto"/>
        <w:rPr>
          <w:rFonts w:ascii="Courier New" w:hAnsi="Courier New" w:cs="Courier New"/>
          <w:color w:val="000000"/>
          <w:shd w:val="clear" w:color="auto" w:fill="FFFFFF"/>
        </w:rPr>
      </w:pPr>
      <w:r>
        <w:rPr>
          <w:rFonts w:ascii="Courier New" w:eastAsia="SimSun" w:hAnsi="Courier New"/>
          <w:lang w:eastAsia="zh-CN"/>
        </w:rPr>
        <w:t xml:space="preserve">     The CFPB rule to which the commenter refers does not appear to be relevant to the issue of the interest rate that should be used to calculate loan debt.  The CFPB rule defines a “qualified mortgage” that is presumed to meet the ability to repay requirements as one </w:t>
      </w:r>
      <w:r w:rsidR="00DB7405" w:rsidRPr="00DB7405">
        <w:rPr>
          <w:rFonts w:ascii="Courier New" w:eastAsia="SimSun" w:hAnsi="Courier New" w:cs="Courier New"/>
          <w:lang w:eastAsia="zh-CN"/>
        </w:rPr>
        <w:t>“f</w:t>
      </w:r>
      <w:r w:rsidR="00DB7405" w:rsidRPr="00DB7405">
        <w:rPr>
          <w:rFonts w:ascii="Courier New" w:hAnsi="Courier New" w:cs="Courier New"/>
          <w:color w:val="101820"/>
        </w:rPr>
        <w:t>or which the</w:t>
      </w:r>
      <w:r w:rsidR="00DB7405">
        <w:rPr>
          <w:rFonts w:ascii="Courier New" w:hAnsi="Courier New" w:cs="Courier New"/>
          <w:color w:val="101820"/>
        </w:rPr>
        <w:t xml:space="preserve"> ‘</w:t>
      </w:r>
      <w:hyperlink r:id="rId15" w:anchor="1026-2-a-17" w:history="1">
        <w:r w:rsidR="00DB7405" w:rsidRPr="00DB7405">
          <w:rPr>
            <w:rStyle w:val="Hyperlink"/>
            <w:rFonts w:ascii="Courier New" w:eastAsia="MS Gothic" w:hAnsi="Courier New" w:cs="Courier New"/>
            <w:color w:val="101820"/>
            <w:bdr w:val="none" w:sz="0" w:space="0" w:color="auto" w:frame="1"/>
          </w:rPr>
          <w:t>creditor</w:t>
        </w:r>
      </w:hyperlink>
      <w:r w:rsidR="00DB7405">
        <w:rPr>
          <w:rFonts w:ascii="Courier New" w:hAnsi="Courier New" w:cs="Courier New"/>
          <w:color w:val="101820"/>
        </w:rPr>
        <w:t xml:space="preserve">’ </w:t>
      </w:r>
      <w:r w:rsidR="00DB7405" w:rsidRPr="00DB7405">
        <w:rPr>
          <w:rFonts w:ascii="Courier New" w:hAnsi="Courier New" w:cs="Courier New"/>
          <w:color w:val="101820"/>
        </w:rPr>
        <w:t xml:space="preserve">underwrites the </w:t>
      </w:r>
      <w:r w:rsidR="00DB7405" w:rsidRPr="00DB7405">
        <w:rPr>
          <w:rFonts w:ascii="Courier New" w:hAnsi="Courier New" w:cs="Courier New"/>
          <w:color w:val="101820"/>
        </w:rPr>
        <w:lastRenderedPageBreak/>
        <w:t>loan, taking into account the monthly payment for</w:t>
      </w:r>
      <w:r w:rsidR="00DB7405" w:rsidRPr="00DB7405">
        <w:rPr>
          <w:rStyle w:val="apple-converted-space"/>
          <w:rFonts w:ascii="Courier New" w:eastAsia="SimSun" w:hAnsi="Courier New" w:cs="Courier New"/>
          <w:color w:val="101820"/>
        </w:rPr>
        <w:t> </w:t>
      </w:r>
      <w:hyperlink r:id="rId16" w:anchor="1026-43-b-8" w:history="1">
        <w:r w:rsidR="00DB7405" w:rsidRPr="00DB7405">
          <w:rPr>
            <w:rStyle w:val="Hyperlink"/>
            <w:rFonts w:ascii="Courier New" w:eastAsia="MS Gothic" w:hAnsi="Courier New" w:cs="Courier New"/>
            <w:color w:val="101820"/>
            <w:bdr w:val="none" w:sz="0" w:space="0" w:color="auto" w:frame="1"/>
          </w:rPr>
          <w:t>mortgage-related obligations</w:t>
        </w:r>
      </w:hyperlink>
      <w:r w:rsidR="00DB7405" w:rsidRPr="00DB7405">
        <w:rPr>
          <w:rFonts w:ascii="Courier New" w:hAnsi="Courier New" w:cs="Courier New"/>
          <w:color w:val="101820"/>
        </w:rPr>
        <w:t xml:space="preserve">, using: </w:t>
      </w:r>
      <w:r w:rsidRPr="00DB7405">
        <w:rPr>
          <w:rFonts w:ascii="Courier New" w:eastAsia="SimSun" w:hAnsi="Courier New"/>
          <w:lang w:eastAsia="zh-CN"/>
        </w:rPr>
        <w:t xml:space="preserve"> t</w:t>
      </w:r>
      <w:r w:rsidRPr="00EC4449">
        <w:rPr>
          <w:rFonts w:ascii="Courier New" w:hAnsi="Courier New" w:cs="Courier New"/>
          <w:color w:val="000000"/>
          <w:shd w:val="clear" w:color="auto" w:fill="FFFFFF"/>
        </w:rPr>
        <w:t>he maximum interest rate that may apply during the first five years after the date on which the first regular periodic payment will be due.”  12 CFR 1026.43(e)(2)(iv).  Interest rates during the repayment period on title IV, HEA loans (FFELP and Direct Loans) made on or after July 1, 2006 have been fixed, rather than variable, and therefore the interest rate on a FFELP or Direct Loan made since 2006 remains fixed during the entire repayment term of t</w:t>
      </w:r>
      <w:r>
        <w:rPr>
          <w:rFonts w:ascii="Courier New" w:hAnsi="Courier New" w:cs="Courier New"/>
          <w:color w:val="000000"/>
          <w:shd w:val="clear" w:color="auto" w:fill="FFFFFF"/>
        </w:rPr>
        <w:t xml:space="preserve">he loan.  </w:t>
      </w:r>
      <w:r w:rsidRPr="00EC4449">
        <w:rPr>
          <w:rFonts w:ascii="Courier New" w:hAnsi="Courier New" w:cs="Courier New"/>
          <w:color w:val="000000"/>
          <w:shd w:val="clear" w:color="auto" w:fill="FFFFFF"/>
        </w:rPr>
        <w:t xml:space="preserve">20 U.S.C. 1077A(i); </w:t>
      </w:r>
      <w:r>
        <w:rPr>
          <w:rFonts w:ascii="Courier New" w:hAnsi="Courier New" w:cs="Courier New"/>
          <w:color w:val="000000"/>
          <w:shd w:val="clear" w:color="auto" w:fill="FFFFFF"/>
        </w:rPr>
        <w:t xml:space="preserve">1087e(b)(7). </w:t>
      </w:r>
      <w:r w:rsidRPr="00EC4449">
        <w:rPr>
          <w:rFonts w:ascii="Courier New" w:hAnsi="Courier New" w:cs="Courier New"/>
          <w:color w:val="000000"/>
          <w:shd w:val="clear" w:color="auto" w:fill="FFFFFF"/>
        </w:rPr>
        <w:t xml:space="preserve"> Because these rates do not change, we see no </w:t>
      </w:r>
      <w:r w:rsidR="00791FB7">
        <w:rPr>
          <w:rFonts w:ascii="Courier New" w:hAnsi="Courier New" w:cs="Courier New"/>
          <w:color w:val="000000"/>
          <w:shd w:val="clear" w:color="auto" w:fill="FFFFFF"/>
        </w:rPr>
        <w:t>need</w:t>
      </w:r>
      <w:r w:rsidRPr="00EC4449">
        <w:rPr>
          <w:rFonts w:ascii="Courier New" w:hAnsi="Courier New" w:cs="Courier New"/>
          <w:color w:val="000000"/>
          <w:shd w:val="clear" w:color="auto" w:fill="FFFFFF"/>
        </w:rPr>
        <w:t xml:space="preserve"> to adopt a rule that would cap interest rates for calculation of loan debt at a rate that would vary during the first five years of the repayment period.  </w:t>
      </w:r>
    </w:p>
    <w:p w14:paraId="69D06796" w14:textId="45CBA71E" w:rsidR="00E144CA" w:rsidRPr="00D140AB" w:rsidRDefault="00E144CA" w:rsidP="00E50678">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We have revised §668.404(b)(2) to provide that the Secretary will calculate the annual loan payment for a program using the average of the </w:t>
      </w:r>
      <w:r w:rsidR="004E3CE4">
        <w:rPr>
          <w:rFonts w:ascii="Courier New" w:eastAsia="SimSun" w:hAnsi="Courier New" w:cs="Courier New"/>
          <w:sz w:val="24"/>
          <w:szCs w:val="24"/>
        </w:rPr>
        <w:t xml:space="preserve">annual </w:t>
      </w:r>
      <w:r w:rsidRPr="00D140AB">
        <w:rPr>
          <w:rFonts w:ascii="Courier New" w:eastAsia="SimSun" w:hAnsi="Courier New" w:cs="Courier New"/>
          <w:sz w:val="24"/>
          <w:szCs w:val="24"/>
        </w:rPr>
        <w:t xml:space="preserve">statutory interest rates </w:t>
      </w:r>
      <w:r w:rsidR="00791FB7">
        <w:rPr>
          <w:rFonts w:ascii="Courier New" w:eastAsia="SimSun" w:hAnsi="Courier New" w:cs="Courier New"/>
          <w:sz w:val="24"/>
          <w:szCs w:val="24"/>
        </w:rPr>
        <w:t xml:space="preserve">on </w:t>
      </w:r>
      <w:r w:rsidR="004E3CE4">
        <w:rPr>
          <w:rFonts w:ascii="Courier New" w:eastAsia="SimSun" w:hAnsi="Courier New" w:cs="Courier New"/>
          <w:sz w:val="24"/>
          <w:szCs w:val="24"/>
        </w:rPr>
        <w:t>Federal Direct U</w:t>
      </w:r>
      <w:r w:rsidR="00791FB7">
        <w:rPr>
          <w:rFonts w:ascii="Courier New" w:eastAsia="SimSun" w:hAnsi="Courier New" w:cs="Courier New"/>
          <w:sz w:val="24"/>
          <w:szCs w:val="24"/>
        </w:rPr>
        <w:t xml:space="preserve">nsubsidized </w:t>
      </w:r>
      <w:r w:rsidR="004E3CE4">
        <w:rPr>
          <w:rFonts w:ascii="Courier New" w:eastAsia="SimSun" w:hAnsi="Courier New" w:cs="Courier New"/>
          <w:sz w:val="24"/>
          <w:szCs w:val="24"/>
        </w:rPr>
        <w:t>L</w:t>
      </w:r>
      <w:r w:rsidR="00791FB7">
        <w:rPr>
          <w:rFonts w:ascii="Courier New" w:eastAsia="SimSun" w:hAnsi="Courier New" w:cs="Courier New"/>
          <w:sz w:val="24"/>
          <w:szCs w:val="24"/>
        </w:rPr>
        <w:t xml:space="preserve">oans </w:t>
      </w:r>
      <w:r w:rsidRPr="00D140AB">
        <w:rPr>
          <w:rFonts w:ascii="Courier New" w:eastAsia="SimSun" w:hAnsi="Courier New" w:cs="Courier New"/>
          <w:sz w:val="24"/>
          <w:szCs w:val="24"/>
        </w:rPr>
        <w:t xml:space="preserve">that apply to </w:t>
      </w:r>
      <w:r w:rsidR="00791FB7">
        <w:rPr>
          <w:rFonts w:ascii="Courier New" w:eastAsia="SimSun" w:hAnsi="Courier New" w:cs="Courier New"/>
          <w:sz w:val="24"/>
          <w:szCs w:val="24"/>
        </w:rPr>
        <w:t>loans for</w:t>
      </w:r>
      <w:r w:rsidRPr="00D140AB">
        <w:rPr>
          <w:rFonts w:ascii="Courier New" w:eastAsia="SimSun" w:hAnsi="Courier New" w:cs="Courier New"/>
          <w:sz w:val="24"/>
          <w:szCs w:val="24"/>
        </w:rPr>
        <w:t xml:space="preserve"> undergraduate and graduate programs and that were in effect during a three- or six-year period prior to the end of the cohort period.   </w:t>
      </w:r>
    </w:p>
    <w:p w14:paraId="7B22D907" w14:textId="77777777" w:rsidR="00E144CA" w:rsidRPr="00D140AB" w:rsidRDefault="00E144CA" w:rsidP="00327DF4">
      <w:pPr>
        <w:pStyle w:val="CommentText"/>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One commenter expressed concern that independent, nonprofit, and for-profit institutions that do not charge interest as part of a student’s payment plan, either during the time the student is attending the institution or later after the </w:t>
      </w:r>
      <w:r w:rsidRPr="00D140AB">
        <w:rPr>
          <w:rFonts w:ascii="Courier New" w:hAnsi="Courier New" w:cs="Courier New"/>
          <w:sz w:val="24"/>
          <w:szCs w:val="24"/>
        </w:rPr>
        <w:lastRenderedPageBreak/>
        <w:t xml:space="preserve">student completes the program, would be discouraged from continuing this practice because the debt burden used to calculate the D/E rates would be overestimated.  The commenter suggested that the Department either allow institutions to separate debt on interest-bearing accounts from debt on non-interest bearing accounts so the total loan debt and annual payment amounts are more accurate, or provide that institutions may appeal the loan debt calculation. </w:t>
      </w:r>
    </w:p>
    <w:p w14:paraId="02ECE532"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The Department has crafted the D/E rates measure to assess programs based on the actual outcomes of students to the extent feasible.  However, the Department has balanced this interest against the need </w:t>
      </w:r>
      <w:r>
        <w:rPr>
          <w:rFonts w:ascii="Courier New" w:eastAsia="SimSun" w:hAnsi="Courier New" w:cs="Courier New"/>
          <w:sz w:val="24"/>
          <w:szCs w:val="24"/>
        </w:rPr>
        <w:t>for</w:t>
      </w:r>
      <w:r w:rsidRPr="00D140AB">
        <w:rPr>
          <w:rFonts w:ascii="Courier New" w:eastAsia="SimSun" w:hAnsi="Courier New" w:cs="Courier New"/>
          <w:sz w:val="24"/>
          <w:szCs w:val="24"/>
        </w:rPr>
        <w:t xml:space="preserve"> uniform</w:t>
      </w:r>
      <w:r>
        <w:rPr>
          <w:rFonts w:ascii="Courier New" w:eastAsia="SimSun" w:hAnsi="Courier New" w:cs="Courier New"/>
          <w:sz w:val="24"/>
          <w:szCs w:val="24"/>
        </w:rPr>
        <w:t>ity and consistency</w:t>
      </w:r>
      <w:r w:rsidRPr="00D140AB">
        <w:rPr>
          <w:rFonts w:ascii="Courier New" w:eastAsia="SimSun" w:hAnsi="Courier New" w:cs="Courier New"/>
          <w:sz w:val="24"/>
          <w:szCs w:val="24"/>
        </w:rPr>
        <w:t xml:space="preserve"> </w:t>
      </w:r>
      <w:r>
        <w:rPr>
          <w:rFonts w:ascii="Courier New" w:eastAsia="SimSun" w:hAnsi="Courier New" w:cs="Courier New"/>
          <w:sz w:val="24"/>
          <w:szCs w:val="24"/>
        </w:rPr>
        <w:t>to</w:t>
      </w:r>
      <w:r w:rsidRPr="00D140AB">
        <w:rPr>
          <w:rFonts w:ascii="Courier New" w:eastAsia="SimSun" w:hAnsi="Courier New" w:cs="Courier New"/>
          <w:sz w:val="24"/>
          <w:szCs w:val="24"/>
        </w:rPr>
        <w:t xml:space="preserve"> minimize</w:t>
      </w:r>
      <w:r>
        <w:rPr>
          <w:rFonts w:ascii="Courier New" w:eastAsia="SimSun" w:hAnsi="Courier New" w:cs="Courier New"/>
          <w:sz w:val="24"/>
          <w:szCs w:val="24"/>
        </w:rPr>
        <w:t xml:space="preserve"> confusion and</w:t>
      </w:r>
      <w:r w:rsidRPr="00D140AB">
        <w:rPr>
          <w:rFonts w:ascii="Courier New" w:eastAsia="SimSun" w:hAnsi="Courier New" w:cs="Courier New"/>
          <w:sz w:val="24"/>
          <w:szCs w:val="24"/>
        </w:rPr>
        <w:t xml:space="preserve"> administrative burden.  As there is no evidence that interest-free loans are a common practice</w:t>
      </w:r>
      <w:r>
        <w:rPr>
          <w:rFonts w:ascii="Courier New" w:eastAsia="SimSun" w:hAnsi="Courier New" w:cs="Courier New"/>
          <w:sz w:val="24"/>
          <w:szCs w:val="24"/>
        </w:rPr>
        <w:t>,</w:t>
      </w:r>
      <w:r w:rsidRPr="00D140AB">
        <w:rPr>
          <w:rFonts w:ascii="Courier New" w:eastAsia="SimSun" w:hAnsi="Courier New" w:cs="Courier New"/>
          <w:sz w:val="24"/>
          <w:szCs w:val="24"/>
        </w:rPr>
        <w:t xml:space="preserve"> we do not believe the interest rate provisions </w:t>
      </w:r>
      <w:r>
        <w:rPr>
          <w:rFonts w:ascii="Courier New" w:eastAsia="SimSun" w:hAnsi="Courier New" w:cs="Courier New"/>
          <w:sz w:val="24"/>
          <w:szCs w:val="24"/>
        </w:rPr>
        <w:t xml:space="preserve">of the regulations </w:t>
      </w:r>
      <w:r w:rsidRPr="00D140AB">
        <w:rPr>
          <w:rFonts w:ascii="Courier New" w:eastAsia="SimSun" w:hAnsi="Courier New" w:cs="Courier New"/>
          <w:sz w:val="24"/>
          <w:szCs w:val="24"/>
        </w:rPr>
        <w:t xml:space="preserve">will significantly misstate debt burden </w:t>
      </w:r>
      <w:r>
        <w:rPr>
          <w:rFonts w:ascii="Courier New" w:eastAsia="SimSun" w:hAnsi="Courier New" w:cs="Courier New"/>
          <w:sz w:val="24"/>
          <w:szCs w:val="24"/>
        </w:rPr>
        <w:t xml:space="preserve">if </w:t>
      </w:r>
      <w:r w:rsidRPr="00D140AB">
        <w:rPr>
          <w:rFonts w:ascii="Courier New" w:eastAsia="SimSun" w:hAnsi="Courier New" w:cs="Courier New"/>
          <w:sz w:val="24"/>
          <w:szCs w:val="24"/>
        </w:rPr>
        <w:t xml:space="preserve">they do not specifically recognize interest-free institutional payment plans.  Given the low chance of a materially unrepresentative result, simplicity and uniformity outweigh the commenter’s concerns.  </w:t>
      </w:r>
    </w:p>
    <w:p w14:paraId="5521682F"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7DA6B5AE" w14:textId="77777777"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Comments</w:t>
      </w:r>
      <w:r w:rsidRPr="00D140AB">
        <w:rPr>
          <w:rFonts w:ascii="Courier New" w:eastAsia="SimSun" w:hAnsi="Courier New" w:cs="Courier New"/>
          <w:sz w:val="24"/>
          <w:szCs w:val="24"/>
          <w:lang w:eastAsia="zh-CN"/>
        </w:rPr>
        <w:t xml:space="preserve">:  Some commenters disagreed with the Department’s proposal to apply the interest rate on Federal Direct Unsubsidized Loans, arguing that this approach would not account for whether students were undergraduate or graduate students, or </w:t>
      </w:r>
      <w:r w:rsidRPr="00D140AB">
        <w:rPr>
          <w:rFonts w:ascii="Courier New" w:eastAsia="SimSun" w:hAnsi="Courier New" w:cs="Courier New"/>
          <w:sz w:val="24"/>
          <w:szCs w:val="24"/>
          <w:lang w:eastAsia="zh-CN"/>
        </w:rPr>
        <w:lastRenderedPageBreak/>
        <w:t xml:space="preserve">for the percentage of students who received Subsidized Loans instead of Unsubsidized Loans.  Some commenters also asserted that using the Unsubsidized Loan rate would artificially increase the annual loan payment amount used to calculate the D/E rates for a program.  </w:t>
      </w:r>
    </w:p>
    <w:p w14:paraId="7F94C68C" w14:textId="7EF1A098"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xml:space="preserve">:  We </w:t>
      </w:r>
      <w:r>
        <w:rPr>
          <w:rFonts w:ascii="Courier New" w:eastAsia="SimSun" w:hAnsi="Courier New" w:cs="Courier New"/>
          <w:sz w:val="24"/>
          <w:szCs w:val="24"/>
          <w:lang w:eastAsia="zh-CN"/>
        </w:rPr>
        <w:t xml:space="preserve">will use the interest rate on </w:t>
      </w:r>
      <w:r w:rsidRPr="00D140AB">
        <w:rPr>
          <w:rFonts w:ascii="Courier New" w:eastAsia="SimSun" w:hAnsi="Courier New" w:cs="Courier New"/>
          <w:sz w:val="24"/>
          <w:szCs w:val="24"/>
          <w:lang w:eastAsia="zh-CN"/>
        </w:rPr>
        <w:t>Federal Direct Unsubsidized Loan</w:t>
      </w:r>
      <w:r>
        <w:rPr>
          <w:rFonts w:ascii="Courier New" w:eastAsia="SimSun" w:hAnsi="Courier New" w:cs="Courier New"/>
          <w:sz w:val="24"/>
          <w:szCs w:val="24"/>
          <w:lang w:eastAsia="zh-CN"/>
        </w:rPr>
        <w:t>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to calculate the annual debt payment for the D/E rates measure </w:t>
      </w:r>
      <w:r w:rsidR="00066ED6">
        <w:rPr>
          <w:rFonts w:ascii="Courier New" w:eastAsia="SimSun" w:hAnsi="Courier New" w:cs="Courier New"/>
          <w:sz w:val="24"/>
          <w:szCs w:val="24"/>
          <w:lang w:eastAsia="zh-CN"/>
        </w:rPr>
        <w:t>for several reasons</w:t>
      </w:r>
      <w:r w:rsidR="00104C39">
        <w:rPr>
          <w:rFonts w:ascii="Courier New" w:eastAsia="SimSun" w:hAnsi="Courier New" w:cs="Courier New"/>
          <w:sz w:val="24"/>
          <w:szCs w:val="24"/>
          <w:lang w:eastAsia="zh-CN"/>
        </w:rPr>
        <w:t>. First,</w:t>
      </w:r>
      <w:r>
        <w:rPr>
          <w:rFonts w:ascii="Courier New" w:eastAsia="SimSun" w:hAnsi="Courier New" w:cs="Courier New"/>
          <w:sz w:val="24"/>
          <w:szCs w:val="24"/>
          <w:lang w:eastAsia="zh-CN"/>
        </w:rPr>
        <w:t xml:space="preserve"> the majority of students in GE programs who borrow take out Unsubsidized Loans.</w:t>
      </w:r>
      <w:r w:rsidRPr="00D140AB">
        <w:rPr>
          <w:rFonts w:ascii="Courier New" w:eastAsia="SimSun" w:hAnsi="Courier New" w:cs="Courier New"/>
          <w:sz w:val="24"/>
          <w:szCs w:val="24"/>
          <w:lang w:eastAsia="zh-CN"/>
        </w:rPr>
        <w:t xml:space="preserve"> </w:t>
      </w:r>
      <w:r w:rsidR="00F94253">
        <w:rPr>
          <w:rFonts w:ascii="Courier New" w:eastAsia="SimSun" w:hAnsi="Courier New" w:cs="Courier New"/>
          <w:sz w:val="24"/>
          <w:szCs w:val="24"/>
          <w:lang w:eastAsia="zh-CN"/>
        </w:rPr>
        <w:t xml:space="preserve"> </w:t>
      </w:r>
      <w:r w:rsidR="00104C39">
        <w:rPr>
          <w:rFonts w:ascii="Courier New" w:eastAsia="SimSun" w:hAnsi="Courier New" w:cs="Courier New"/>
          <w:sz w:val="24"/>
          <w:szCs w:val="24"/>
          <w:lang w:eastAsia="zh-CN"/>
        </w:rPr>
        <w:t xml:space="preserve">Second, </w:t>
      </w:r>
      <w:r w:rsidR="00066ED6">
        <w:rPr>
          <w:rFonts w:ascii="Courier New" w:eastAsia="SimSun" w:hAnsi="Courier New" w:cs="Courier New"/>
          <w:sz w:val="24"/>
          <w:szCs w:val="24"/>
          <w:lang w:eastAsia="zh-CN"/>
        </w:rPr>
        <w:t xml:space="preserve">the rate is one that will be used to calculate </w:t>
      </w:r>
      <w:r w:rsidR="00011609">
        <w:rPr>
          <w:rFonts w:ascii="Courier New" w:eastAsia="SimSun" w:hAnsi="Courier New" w:cs="Courier New"/>
          <w:sz w:val="24"/>
          <w:szCs w:val="24"/>
          <w:lang w:eastAsia="zh-CN"/>
        </w:rPr>
        <w:t xml:space="preserve">debt service on </w:t>
      </w:r>
      <w:r w:rsidR="00066ED6">
        <w:rPr>
          <w:rFonts w:ascii="Courier New" w:eastAsia="SimSun" w:hAnsi="Courier New" w:cs="Courier New"/>
          <w:sz w:val="24"/>
          <w:szCs w:val="24"/>
          <w:lang w:eastAsia="zh-CN"/>
        </w:rPr>
        <w:t xml:space="preserve">private education loans received by GE students, </w:t>
      </w:r>
      <w:r w:rsidR="002E7971">
        <w:rPr>
          <w:rFonts w:ascii="Courier New" w:eastAsia="SimSun" w:hAnsi="Courier New" w:cs="Courier New"/>
          <w:sz w:val="24"/>
          <w:szCs w:val="24"/>
          <w:lang w:eastAsia="zh-CN"/>
        </w:rPr>
        <w:t xml:space="preserve">the most favorable of which </w:t>
      </w:r>
      <w:r w:rsidR="00080E77">
        <w:rPr>
          <w:rFonts w:ascii="Courier New" w:eastAsia="SimSun" w:hAnsi="Courier New" w:cs="Courier New"/>
          <w:sz w:val="24"/>
          <w:szCs w:val="24"/>
          <w:lang w:eastAsia="zh-CN"/>
        </w:rPr>
        <w:t xml:space="preserve">are made at </w:t>
      </w:r>
      <w:r w:rsidR="002E7971">
        <w:rPr>
          <w:rFonts w:ascii="Courier New" w:eastAsia="SimSun" w:hAnsi="Courier New" w:cs="Courier New"/>
          <w:sz w:val="24"/>
          <w:szCs w:val="24"/>
          <w:lang w:eastAsia="zh-CN"/>
        </w:rPr>
        <w:t>rates</w:t>
      </w:r>
      <w:r w:rsidR="00011609">
        <w:rPr>
          <w:rFonts w:ascii="Courier New" w:eastAsia="SimSun" w:hAnsi="Courier New" w:cs="Courier New"/>
          <w:sz w:val="24"/>
          <w:szCs w:val="24"/>
          <w:lang w:eastAsia="zh-CN"/>
        </w:rPr>
        <w:t xml:space="preserve">, available to </w:t>
      </w:r>
      <w:r w:rsidR="00080E77">
        <w:rPr>
          <w:rFonts w:ascii="Courier New" w:eastAsia="SimSun" w:hAnsi="Courier New" w:cs="Courier New"/>
          <w:sz w:val="24"/>
          <w:szCs w:val="24"/>
          <w:lang w:eastAsia="zh-CN"/>
        </w:rPr>
        <w:t xml:space="preserve">only </w:t>
      </w:r>
      <w:r w:rsidR="00011609">
        <w:rPr>
          <w:rFonts w:ascii="Courier New" w:eastAsia="SimSun" w:hAnsi="Courier New" w:cs="Courier New"/>
          <w:sz w:val="24"/>
          <w:szCs w:val="24"/>
          <w:lang w:eastAsia="zh-CN"/>
        </w:rPr>
        <w:t>a small group of borrowers,</w:t>
      </w:r>
      <w:r w:rsidR="002E7971">
        <w:rPr>
          <w:rFonts w:ascii="Courier New" w:eastAsia="SimSun" w:hAnsi="Courier New" w:cs="Courier New"/>
          <w:sz w:val="24"/>
          <w:szCs w:val="24"/>
          <w:lang w:eastAsia="zh-CN"/>
        </w:rPr>
        <w:t xml:space="preserve"> </w:t>
      </w:r>
      <w:r w:rsidR="00080E77">
        <w:rPr>
          <w:rFonts w:ascii="Courier New" w:eastAsia="SimSun" w:hAnsi="Courier New" w:cs="Courier New"/>
          <w:sz w:val="24"/>
          <w:szCs w:val="24"/>
          <w:lang w:eastAsia="zh-CN"/>
        </w:rPr>
        <w:t xml:space="preserve">that </w:t>
      </w:r>
      <w:r w:rsidR="00FE6D55">
        <w:rPr>
          <w:rFonts w:ascii="Courier New" w:eastAsia="SimSun" w:hAnsi="Courier New" w:cs="Courier New"/>
          <w:sz w:val="24"/>
          <w:szCs w:val="24"/>
          <w:lang w:eastAsia="zh-CN"/>
        </w:rPr>
        <w:t>are</w:t>
      </w:r>
      <w:r w:rsidR="002E7971">
        <w:rPr>
          <w:rFonts w:ascii="Courier New" w:eastAsia="SimSun" w:hAnsi="Courier New" w:cs="Courier New"/>
          <w:sz w:val="24"/>
          <w:szCs w:val="24"/>
          <w:lang w:eastAsia="zh-CN"/>
        </w:rPr>
        <w:t xml:space="preserve"> comparable to the rate on Direct Plus loans</w:t>
      </w:r>
      <w:r w:rsidR="00011609">
        <w:rPr>
          <w:rFonts w:ascii="Courier New" w:eastAsia="SimSun" w:hAnsi="Courier New" w:cs="Courier New"/>
          <w:sz w:val="24"/>
          <w:szCs w:val="24"/>
          <w:lang w:eastAsia="zh-CN"/>
        </w:rPr>
        <w:t xml:space="preserve"> (</w:t>
      </w:r>
      <w:r w:rsidR="002E7971">
        <w:rPr>
          <w:rFonts w:ascii="Courier New" w:eastAsia="SimSun" w:hAnsi="Courier New" w:cs="Courier New"/>
          <w:sz w:val="24"/>
          <w:szCs w:val="24"/>
          <w:lang w:eastAsia="zh-CN"/>
        </w:rPr>
        <w:t xml:space="preserve">currently </w:t>
      </w:r>
      <w:r w:rsidR="00011609">
        <w:rPr>
          <w:rFonts w:ascii="Courier New" w:eastAsia="SimSun" w:hAnsi="Courier New" w:cs="Courier New"/>
          <w:sz w:val="24"/>
          <w:szCs w:val="24"/>
          <w:lang w:eastAsia="zh-CN"/>
        </w:rPr>
        <w:t>7.21 percent)</w:t>
      </w:r>
      <w:r w:rsidR="00104C39">
        <w:rPr>
          <w:rFonts w:ascii="Courier New" w:eastAsia="SimSun" w:hAnsi="Courier New" w:cs="Courier New"/>
          <w:sz w:val="24"/>
          <w:szCs w:val="24"/>
          <w:lang w:eastAsia="zh-CN"/>
        </w:rPr>
        <w:t>.</w:t>
      </w:r>
      <w:r w:rsidR="00104C39">
        <w:rPr>
          <w:rStyle w:val="FootnoteReference"/>
          <w:rFonts w:ascii="Courier New" w:eastAsia="SimSun" w:hAnsi="Courier New"/>
          <w:sz w:val="24"/>
          <w:szCs w:val="24"/>
          <w:lang w:eastAsia="zh-CN"/>
        </w:rPr>
        <w:footnoteReference w:id="141"/>
      </w:r>
      <w:r w:rsidR="00104C39">
        <w:rPr>
          <w:rFonts w:ascii="Courier New" w:eastAsia="SimSun" w:hAnsi="Courier New" w:cs="Courier New"/>
          <w:sz w:val="24"/>
          <w:szCs w:val="24"/>
          <w:lang w:eastAsia="zh-CN"/>
        </w:rPr>
        <w:t xml:space="preserve">  Third, t</w:t>
      </w:r>
      <w:r w:rsidR="00011609">
        <w:rPr>
          <w:rFonts w:ascii="Courier New" w:eastAsia="SimSun" w:hAnsi="Courier New" w:cs="Courier New"/>
          <w:sz w:val="24"/>
          <w:szCs w:val="24"/>
          <w:lang w:eastAsia="zh-CN"/>
        </w:rPr>
        <w:t xml:space="preserve">he rate </w:t>
      </w:r>
      <w:r w:rsidR="00080E77">
        <w:rPr>
          <w:rFonts w:ascii="Courier New" w:eastAsia="SimSun" w:hAnsi="Courier New" w:cs="Courier New"/>
          <w:sz w:val="24"/>
          <w:szCs w:val="24"/>
          <w:lang w:eastAsia="zh-CN"/>
        </w:rPr>
        <w:t xml:space="preserve">we choose </w:t>
      </w:r>
      <w:r w:rsidR="00011609">
        <w:rPr>
          <w:rFonts w:ascii="Courier New" w:eastAsia="SimSun" w:hAnsi="Courier New" w:cs="Courier New"/>
          <w:sz w:val="24"/>
          <w:szCs w:val="24"/>
          <w:lang w:eastAsia="zh-CN"/>
        </w:rPr>
        <w:t>will be used to calculate debt service not on the entire loan, but, in every instance in which the loan amount is “capped” at tuition</w:t>
      </w:r>
      <w:r w:rsidR="00F94253">
        <w:rPr>
          <w:rFonts w:ascii="Courier New" w:eastAsia="SimSun" w:hAnsi="Courier New" w:cs="Courier New"/>
          <w:sz w:val="24"/>
          <w:szCs w:val="24"/>
          <w:lang w:eastAsia="zh-CN"/>
        </w:rPr>
        <w:t xml:space="preserve"> </w:t>
      </w:r>
      <w:r w:rsidR="00011609">
        <w:rPr>
          <w:rFonts w:ascii="Courier New" w:eastAsia="SimSun" w:hAnsi="Courier New" w:cs="Courier New"/>
          <w:sz w:val="24"/>
          <w:szCs w:val="24"/>
          <w:lang w:eastAsia="zh-CN"/>
        </w:rPr>
        <w:t>fees, books</w:t>
      </w:r>
      <w:r w:rsidR="00F94253">
        <w:rPr>
          <w:rFonts w:ascii="Courier New" w:eastAsia="SimSun" w:hAnsi="Courier New" w:cs="Courier New"/>
          <w:sz w:val="24"/>
          <w:szCs w:val="24"/>
          <w:lang w:eastAsia="zh-CN"/>
        </w:rPr>
        <w:t>, equipment,</w:t>
      </w:r>
      <w:r w:rsidR="00011609">
        <w:rPr>
          <w:rFonts w:ascii="Courier New" w:eastAsia="SimSun" w:hAnsi="Courier New" w:cs="Courier New"/>
          <w:sz w:val="24"/>
          <w:szCs w:val="24"/>
          <w:lang w:eastAsia="zh-CN"/>
        </w:rPr>
        <w:t xml:space="preserve"> and supplies, on a lesser amount</w:t>
      </w:r>
      <w:r w:rsidR="00FE6D55">
        <w:rPr>
          <w:rFonts w:ascii="Courier New" w:eastAsia="SimSun" w:hAnsi="Courier New" w:cs="Courier New"/>
          <w:sz w:val="24"/>
          <w:szCs w:val="24"/>
          <w:lang w:eastAsia="zh-CN"/>
        </w:rPr>
        <w:t xml:space="preserve">.  This tends </w:t>
      </w:r>
      <w:r w:rsidR="00011609">
        <w:rPr>
          <w:rFonts w:ascii="Courier New" w:eastAsia="SimSun" w:hAnsi="Courier New" w:cs="Courier New"/>
          <w:sz w:val="24"/>
          <w:szCs w:val="24"/>
          <w:lang w:eastAsia="zh-CN"/>
        </w:rPr>
        <w:t xml:space="preserve">to offset </w:t>
      </w:r>
      <w:r w:rsidR="00FE6D55">
        <w:rPr>
          <w:rFonts w:ascii="Courier New" w:eastAsia="SimSun" w:hAnsi="Courier New" w:cs="Courier New"/>
          <w:sz w:val="24"/>
          <w:szCs w:val="24"/>
          <w:lang w:eastAsia="zh-CN"/>
        </w:rPr>
        <w:t>the results of a</w:t>
      </w:r>
      <w:r w:rsidR="00011609">
        <w:rPr>
          <w:rFonts w:ascii="Courier New" w:eastAsia="SimSun" w:hAnsi="Courier New" w:cs="Courier New"/>
          <w:sz w:val="24"/>
          <w:szCs w:val="24"/>
          <w:lang w:eastAsia="zh-CN"/>
        </w:rPr>
        <w:t xml:space="preserve"> mismatch between the Unsubsidized Loan rate and </w:t>
      </w:r>
      <w:r w:rsidR="00FE6D55">
        <w:rPr>
          <w:rFonts w:ascii="Courier New" w:eastAsia="SimSun" w:hAnsi="Courier New" w:cs="Courier New"/>
          <w:sz w:val="24"/>
          <w:szCs w:val="24"/>
          <w:lang w:eastAsia="zh-CN"/>
        </w:rPr>
        <w:t xml:space="preserve">a lower </w:t>
      </w:r>
      <w:r w:rsidR="00011609">
        <w:rPr>
          <w:rFonts w:ascii="Courier New" w:eastAsia="SimSun" w:hAnsi="Courier New" w:cs="Courier New"/>
          <w:sz w:val="24"/>
          <w:szCs w:val="24"/>
          <w:lang w:eastAsia="zh-CN"/>
        </w:rPr>
        <w:t>applicable loan rate.</w:t>
      </w:r>
    </w:p>
    <w:p w14:paraId="0991F042" w14:textId="77777777" w:rsidR="00E144CA" w:rsidRPr="00D140AB" w:rsidRDefault="00E144CA" w:rsidP="00327DF4">
      <w:pPr>
        <w:spacing w:after="0" w:line="480" w:lineRule="auto"/>
        <w:rPr>
          <w:rFonts w:ascii="Courier New" w:eastAsia="SimSun" w:hAnsi="Courier New" w:cs="Courier New"/>
          <w:sz w:val="24"/>
          <w:szCs w:val="24"/>
          <w:u w:val="single"/>
          <w:lang w:eastAsia="zh-CN"/>
        </w:rPr>
      </w:pPr>
      <w:r w:rsidRPr="00D140AB">
        <w:rPr>
          <w:rFonts w:ascii="Courier New" w:eastAsia="SimSun" w:hAnsi="Courier New" w:cs="Courier New"/>
          <w:sz w:val="24"/>
          <w:szCs w:val="24"/>
          <w:u w:val="single"/>
          <w:lang w:eastAsia="zh-CN"/>
        </w:rPr>
        <w:t>Changes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None.</w:t>
      </w:r>
    </w:p>
    <w:p w14:paraId="3EBAD025" w14:textId="77777777" w:rsidR="00E144CA" w:rsidRPr="00D140AB" w:rsidRDefault="00E144CA" w:rsidP="00327DF4">
      <w:pPr>
        <w:pStyle w:val="Heading2"/>
        <w:ind w:left="0"/>
        <w:rPr>
          <w:rFonts w:eastAsia="Times New Roman"/>
        </w:rPr>
      </w:pPr>
      <w:r w:rsidRPr="00D140AB">
        <w:t>Bureau of Labor Statistics (BLS) Data</w:t>
      </w:r>
    </w:p>
    <w:p w14:paraId="1FCFEFD0"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Comments</w:t>
      </w:r>
      <w:r w:rsidRPr="00D140AB">
        <w:rPr>
          <w:rFonts w:ascii="Courier New" w:eastAsia="SimSun" w:hAnsi="Courier New" w:cs="Courier New"/>
          <w:sz w:val="24"/>
          <w:szCs w:val="24"/>
        </w:rPr>
        <w:t>:  A number of commenters urged the Department to base the annual earnings component of the D/E rates on annualized earnings data from BLS, rather than on actual student earnings information from SSA.  These commenters were concerned that the lack of access to SSA individual earnings data would hinder an institution’s ability to manage the performance of its programs under the D/E rates measure, and therefore advocated for using a publically available source of earnings data, such as BLS.</w:t>
      </w:r>
    </w:p>
    <w:p w14:paraId="072FC646" w14:textId="6FD56D3F" w:rsidR="00E144CA" w:rsidRPr="00D140AB" w:rsidRDefault="00327DF4" w:rsidP="00327DF4">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Other commenters who suggested using BLS data asserted that BLS data are more objective than income data from SSA because of the way that BLS aggregates and normalizes income information to smooth out anomalies. </w:t>
      </w:r>
    </w:p>
    <w:p w14:paraId="4ED61863"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As we stated in the NPRM, we believe that there are significant difficulties with the use of BLS data as the basis for calculating annual earnings.  First, as a national earnings </w:t>
      </w:r>
      <w:r>
        <w:rPr>
          <w:rFonts w:ascii="Courier New" w:eastAsia="SimSun" w:hAnsi="Courier New" w:cs="Courier New"/>
          <w:sz w:val="24"/>
          <w:szCs w:val="24"/>
        </w:rPr>
        <w:t>data set</w:t>
      </w:r>
      <w:r w:rsidRPr="00D140AB">
        <w:rPr>
          <w:rFonts w:ascii="Courier New" w:eastAsia="SimSun" w:hAnsi="Courier New" w:cs="Courier New"/>
          <w:sz w:val="24"/>
          <w:szCs w:val="24"/>
        </w:rPr>
        <w:t xml:space="preserve"> that aggregates earnings information, BLS earnings data do not distinguish between graduates of excellent and low-performing programs offering similar credentials. </w:t>
      </w:r>
    </w:p>
    <w:p w14:paraId="06726735" w14:textId="49C98933" w:rsidR="00E144CA" w:rsidRPr="00D140AB" w:rsidRDefault="00327DF4" w:rsidP="00327DF4">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Second, BLS earnings data do not relate directly to a program.  Rather, the data relate to a Standard Occupational Classification (SOC) code or a family of SOC codes </w:t>
      </w:r>
      <w:r w:rsidR="00E144CA" w:rsidRPr="00DA1353">
        <w:rPr>
          <w:rFonts w:ascii="Courier New" w:eastAsia="SimSun" w:hAnsi="Courier New"/>
          <w:sz w:val="24"/>
        </w:rPr>
        <w:t xml:space="preserve">based </w:t>
      </w:r>
      <w:r w:rsidR="00E144CA" w:rsidRPr="00DA1353" w:rsidDel="00B730B6">
        <w:rPr>
          <w:rFonts w:ascii="Courier New" w:eastAsia="SimSun" w:hAnsi="Courier New"/>
          <w:sz w:val="24"/>
        </w:rPr>
        <w:t>on the</w:t>
      </w:r>
      <w:r w:rsidR="00B730B6" w:rsidRPr="00DA1353">
        <w:rPr>
          <w:rFonts w:ascii="Courier New" w:eastAsia="SimSun" w:hAnsi="Courier New"/>
          <w:sz w:val="24"/>
        </w:rPr>
        <w:t xml:space="preserve"> work performed and, in some cases, on the skills, education, or training needed to perform the work at a competent level</w:t>
      </w:r>
      <w:r w:rsidR="00E144CA" w:rsidRPr="00D140AB">
        <w:rPr>
          <w:rFonts w:ascii="Courier New" w:eastAsia="SimSun" w:hAnsi="Courier New" w:cs="Courier New"/>
          <w:sz w:val="24"/>
          <w:szCs w:val="24"/>
        </w:rPr>
        <w:t xml:space="preserve">.  An institution may identify </w:t>
      </w:r>
      <w:r w:rsidR="002C1104" w:rsidRPr="00DA1353">
        <w:rPr>
          <w:rFonts w:ascii="Courier New" w:eastAsia="SimSun" w:hAnsi="Courier New"/>
          <w:sz w:val="24"/>
        </w:rPr>
        <w:t>related</w:t>
      </w:r>
      <w:r w:rsidR="002C1104" w:rsidRPr="00D140AB">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SOC codes by using the BLS CIP-</w:t>
      </w:r>
      <w:r w:rsidR="00E144CA" w:rsidRPr="00D140AB">
        <w:rPr>
          <w:rFonts w:ascii="Courier New" w:eastAsia="SimSun" w:hAnsi="Courier New" w:cs="Courier New"/>
          <w:sz w:val="24"/>
          <w:szCs w:val="24"/>
        </w:rPr>
        <w:lastRenderedPageBreak/>
        <w:t xml:space="preserve">to-SOC crosswalk that lists the various SOC codes associated with a program, or the institution may identify through its placement or employment records the SOC codes for which students who complete a program find employment.  </w:t>
      </w:r>
    </w:p>
    <w:p w14:paraId="6DEE1C8A"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In either case, the BLS data may not reflect the academic content of the program, particularly for degree programs.  Assuming the SOC codes can be properly identified, the institution could then attempt to associate the SOC codes to BLS earnings data.  However, BLS provides earnings data at various percentiles (10, 25, 50, 75, and 90), and the percentile earnings do not relate in any way to the educational level or experience of the persons employed in the SOC code.  </w:t>
      </w:r>
    </w:p>
    <w:p w14:paraId="62C9D47D" w14:textId="77777777" w:rsidR="00E144CA"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Accordingly, it would be difficult for an institution to determine the appropriate earnings for a program’s students, particularly for students who complete programs with the same CIP code but at different credential levels.  For example, BLS data would not show a difference in earnings in the SOC codes associated with a certificate program and an associate degree program with the same CIP code.  </w:t>
      </w:r>
    </w:p>
    <w:p w14:paraId="73E9B113" w14:textId="77C7202B" w:rsidR="00E144CA" w:rsidRPr="00D140AB" w:rsidRDefault="00327DF4" w:rsidP="00327DF4">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Moreover, because BLS percentiles simply reflect the distribution of earnings of individuals employed in a SOC code, selecting the appropriate percentile is somewhat arbitrary.  For example, the 10th percentile does not reflect entry-level earnings any more than the 50th percentile reflects earnings of </w:t>
      </w:r>
      <w:r w:rsidR="00E144CA" w:rsidRPr="00D140AB">
        <w:rPr>
          <w:rFonts w:ascii="Courier New" w:eastAsia="SimSun" w:hAnsi="Courier New" w:cs="Courier New"/>
          <w:sz w:val="24"/>
          <w:szCs w:val="24"/>
        </w:rPr>
        <w:lastRenderedPageBreak/>
        <w:t xml:space="preserve">persons employed for 10 years.  Even if the institution could reasonably associate the earnings for each SOC code to a program, the earnings vary, sometimes significantly, between the associated SOC codes, so the earnings would need to be averaged or somehow weighted to derive an amount that could be used in the denominator for the D/E rates.  </w:t>
      </w:r>
    </w:p>
    <w:p w14:paraId="673B14CB"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Finally, and perhaps most significantly, BLS earnings do not directly show the earnings of those students who complete a particular program at a particular institution.  Making precisely such an assessment is essential to the GE outcome evaluation.  Instead, BLS earnings reflect the earnings of workers in a particular occupation, without any relationship to what educational institutions those workers attended.  While it is reasonable to use proxy earnings for research or consumer information purposes, we believe a direct measure of program performance must be used in determining whether a program remains eligible for title IV, HEA program funds.  The aggregate earnings data we obtain from SSA will reflect the actual earnings of students who completed </w:t>
      </w:r>
      <w:r>
        <w:rPr>
          <w:rFonts w:ascii="Courier New" w:eastAsia="SimSun" w:hAnsi="Courier New" w:cs="Courier New"/>
          <w:sz w:val="24"/>
          <w:szCs w:val="24"/>
        </w:rPr>
        <w:t>a</w:t>
      </w:r>
      <w:r w:rsidRPr="00D140AB">
        <w:rPr>
          <w:rFonts w:ascii="Courier New" w:eastAsia="SimSun" w:hAnsi="Courier New" w:cs="Courier New"/>
          <w:sz w:val="24"/>
          <w:szCs w:val="24"/>
        </w:rPr>
        <w:t xml:space="preserve"> program without the ambiguity and complexity inherent in using BLS data for a purpose outside of its intended scope.</w:t>
      </w:r>
    </w:p>
    <w:p w14:paraId="6099A95A"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Recognizing these shortcomings, in the 2011 Prior Rule, the Department permitted the use of BLS data as a source of earnings information only for challenges to debt-to-earnings ratios </w:t>
      </w:r>
      <w:r w:rsidRPr="00D140AB">
        <w:rPr>
          <w:rFonts w:ascii="Courier New" w:eastAsia="SimSun" w:hAnsi="Courier New" w:cs="Courier New"/>
          <w:sz w:val="24"/>
          <w:szCs w:val="24"/>
        </w:rPr>
        <w:lastRenderedPageBreak/>
        <w:t>calculated in the first three years of the Department’s implementation of §668.7(g).  This was done to address the concerns of institutions that they would be receiving earnings information for the first time on students who had already completed program</w:t>
      </w:r>
      <w:r>
        <w:rPr>
          <w:rFonts w:ascii="Courier New" w:eastAsia="SimSun" w:hAnsi="Courier New" w:cs="Courier New"/>
          <w:sz w:val="24"/>
          <w:szCs w:val="24"/>
        </w:rPr>
        <w:t>s</w:t>
      </w:r>
      <w:r w:rsidRPr="00D140AB">
        <w:rPr>
          <w:rFonts w:ascii="Courier New" w:eastAsia="SimSun" w:hAnsi="Courier New" w:cs="Courier New"/>
          <w:sz w:val="24"/>
          <w:szCs w:val="24"/>
        </w:rPr>
        <w:t>.  In order to confirm the accuracy of the data used in a BLS-based alternate earnings calculation, §668.7(g) of the 2011 Prior Rule also required an institution to submit, at the Department’s request, extensive documentation, including employment and placement records.</w:t>
      </w:r>
    </w:p>
    <w:p w14:paraId="0202DA55"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We believe that the reasons for previously permitting the use of BLS data for a limited period of time, despite its shortcomings, no longer apply.  Most institutions have now had experience with SSA earnings data</w:t>
      </w:r>
      <w:r>
        <w:rPr>
          <w:rFonts w:ascii="Courier New" w:eastAsia="SimSun" w:hAnsi="Courier New" w:cs="Courier New"/>
          <w:sz w:val="24"/>
          <w:szCs w:val="24"/>
        </w:rPr>
        <w:t>,</w:t>
      </w:r>
      <w:r w:rsidRPr="00D140AB">
        <w:rPr>
          <w:rFonts w:ascii="Courier New" w:eastAsia="SimSun" w:hAnsi="Courier New" w:cs="Courier New"/>
          <w:sz w:val="24"/>
          <w:szCs w:val="24"/>
        </w:rPr>
        <w:t xml:space="preserve"> through the 2011 GE informational rates</w:t>
      </w:r>
      <w:r>
        <w:rPr>
          <w:rFonts w:ascii="Courier New" w:eastAsia="SimSun" w:hAnsi="Courier New" w:cs="Courier New"/>
          <w:sz w:val="24"/>
          <w:szCs w:val="24"/>
        </w:rPr>
        <w:t xml:space="preserve"> and 2012 GE informational rates</w:t>
      </w:r>
      <w:r w:rsidRPr="00D140AB">
        <w:rPr>
          <w:rFonts w:ascii="Courier New" w:eastAsia="SimSun" w:hAnsi="Courier New" w:cs="Courier New"/>
          <w:sz w:val="24"/>
          <w:szCs w:val="24"/>
        </w:rPr>
        <w:t xml:space="preserve">; thus, for many programs, institutions are no longer in the situation where they would be receiving earnings data for the first time under the regulations.    </w:t>
      </w:r>
    </w:p>
    <w:p w14:paraId="427EB34A"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11B0F182" w14:textId="77777777" w:rsidR="00E144CA" w:rsidRPr="00D140AB" w:rsidRDefault="00E144CA" w:rsidP="00327DF4">
      <w:pPr>
        <w:pStyle w:val="Heading2"/>
        <w:ind w:left="0"/>
      </w:pPr>
      <w:r w:rsidRPr="00D140AB">
        <w:t>Debt Roll</w:t>
      </w:r>
      <w:r>
        <w:t>-</w:t>
      </w:r>
      <w:r w:rsidRPr="00D140AB">
        <w:t>Up</w:t>
      </w:r>
    </w:p>
    <w:p w14:paraId="4C2DC79E" w14:textId="77777777" w:rsidR="00E144CA" w:rsidRPr="00D140AB" w:rsidRDefault="00E144CA" w:rsidP="00327DF4">
      <w:pPr>
        <w:pStyle w:val="Heading2"/>
        <w:ind w:left="0"/>
      </w:pPr>
      <w:r w:rsidRPr="00D140AB">
        <w:t>Undergraduate and Graduate Programs</w:t>
      </w:r>
    </w:p>
    <w:p w14:paraId="134FC581"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Some commenters supported proposed §668.404(d)(2), under which the Department would attribute all undergraduate loan debt to the highest undergraduate credential that a student completed, and all graduate loan debt to the highest graduate </w:t>
      </w:r>
      <w:r w:rsidRPr="00D140AB">
        <w:rPr>
          <w:rFonts w:ascii="Courier New" w:hAnsi="Courier New" w:cs="Courier New"/>
          <w:sz w:val="24"/>
          <w:szCs w:val="24"/>
        </w:rPr>
        <w:lastRenderedPageBreak/>
        <w:t xml:space="preserve">credential that a student completed, when calculating the D/E rates for a program.  They believed that this would address concerns raised by the 2011 Prior Rule that an institution’s graduate programs would be disadvantaged if a student pursued a graduate degree after completing an undergraduate program at the same institution. </w:t>
      </w:r>
      <w:r>
        <w:rPr>
          <w:rFonts w:ascii="Courier New" w:hAnsi="Courier New" w:cs="Courier New"/>
          <w:sz w:val="24"/>
          <w:szCs w:val="24"/>
        </w:rPr>
        <w:t xml:space="preserve"> </w:t>
      </w:r>
      <w:r w:rsidRPr="00D140AB">
        <w:rPr>
          <w:rFonts w:ascii="Courier New" w:hAnsi="Courier New" w:cs="Courier New"/>
          <w:sz w:val="24"/>
          <w:szCs w:val="24"/>
        </w:rPr>
        <w:t xml:space="preserve">They explained that, under the 2011 Prior Rule, all of a student’s loan debt for an undergraduate program would have been attributed to the graduate program, which could have put the graduate program at </w:t>
      </w:r>
      <w:r>
        <w:rPr>
          <w:rFonts w:ascii="Courier New" w:hAnsi="Courier New" w:cs="Courier New"/>
          <w:sz w:val="24"/>
          <w:szCs w:val="24"/>
        </w:rPr>
        <w:t>a disadvantage</w:t>
      </w:r>
      <w:r w:rsidRPr="00D140AB">
        <w:rPr>
          <w:rFonts w:ascii="Courier New" w:hAnsi="Courier New" w:cs="Courier New"/>
          <w:sz w:val="24"/>
          <w:szCs w:val="24"/>
        </w:rPr>
        <w:t xml:space="preserve"> and, as a result, might have deterred institutions from encouraging students to pursue further study.  Although supportive of the Department’s proposal, one commenter suggested that the Department should go further by distinguishing between loan debt incurred for master’s and doctoral programs.  The commenter argued that it is difficult to justify attributing debt from a shorter master’s program to a longer doctoral program and that institutions would be deterred from encouraging students to pursue doctoral-level study.</w:t>
      </w:r>
    </w:p>
    <w:p w14:paraId="765895D0"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Another commenter believed that loan amounts should be attributed to a higher credentialed program only if the student was enrolled in a program in the same field.  The commenter questioned the Department’s authority to use debt from two unrelated programs and attribute it to only one of them.  The commenter opined that in some cases, students might enroll in </w:t>
      </w:r>
      <w:r w:rsidRPr="00D140AB">
        <w:rPr>
          <w:rFonts w:ascii="Courier New" w:hAnsi="Courier New" w:cs="Courier New"/>
          <w:sz w:val="24"/>
          <w:szCs w:val="24"/>
        </w:rPr>
        <w:lastRenderedPageBreak/>
        <w:t xml:space="preserve">one institution to earn an associate degree in a particular field, and then subsequently enroll in a higher credentialed program in a different field and may have to take additional coursework to fulfill the requirements of the second degree program.  The commenter was concerned that the outcomes for these students would skew the D/E rates calculation for the higher credentialed program, resulting in inaccurate information for the public about the cost of completing the program.    </w:t>
      </w:r>
    </w:p>
    <w:p w14:paraId="3F78565B"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Other commenters disagreed with the Department’s proposal to attribute a student’s loan debt to the highest credential subsequently completed by the student.  These commenters believed that this approach would inflate and double-count loan debt of students who pursue multiple degrees at institutions because an institution would report and disclose debt at a lower credential level and then report the combined debt at a higher credential level.  They were also concerned that attributing loan debt incurred for multiple programs to just the highest credentialed program would be confusing and misleading for prospective students and the public and would discourage students from enrolling in higher credentialed programs.  The commenters recommended that the Department attribute loan debt and costs to each completed program separately instead of combining them.   </w:t>
      </w:r>
    </w:p>
    <w:p w14:paraId="0695BC66"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lastRenderedPageBreak/>
        <w:t>Discussion</w:t>
      </w:r>
      <w:r w:rsidRPr="00D140AB">
        <w:rPr>
          <w:rFonts w:ascii="Courier New" w:hAnsi="Courier New" w:cs="Courier New"/>
          <w:sz w:val="24"/>
          <w:szCs w:val="24"/>
        </w:rPr>
        <w:t>:  Although we appreciate the general support for our proposal to disaggregate the loan debt attributed to the highest credential completed at the undergraduate and graduate levels, we are not persuaded that further disaggregating loan debt between masters and doctoral-level programs is needed or warranted.  As noted by some of the commenters, our proposal was intended to level the playing field between institutions that offer only graduate-level programs and institutions that offer both undergraduate and graduate programs.  Without this distinction, the loan debt for students completing a program at a graduate</w:t>
      </w:r>
      <w:r>
        <w:rPr>
          <w:rFonts w:ascii="Courier New" w:hAnsi="Courier New" w:cs="Courier New"/>
          <w:sz w:val="24"/>
          <w:szCs w:val="24"/>
        </w:rPr>
        <w:t xml:space="preserve"> program</w:t>
      </w:r>
      <w:r w:rsidRPr="00D140AB">
        <w:rPr>
          <w:rFonts w:ascii="Courier New" w:hAnsi="Courier New" w:cs="Courier New"/>
          <w:sz w:val="24"/>
          <w:szCs w:val="24"/>
        </w:rPr>
        <w:t>-only institution would be less than the loan debt for students who completed their undergraduate and graduate programs at the same institution because the student’s undergraduate loan debt would be attributed to the graduate-level program</w:t>
      </w:r>
      <w:r>
        <w:rPr>
          <w:rFonts w:ascii="Courier New" w:hAnsi="Courier New" w:cs="Courier New"/>
          <w:sz w:val="24"/>
          <w:szCs w:val="24"/>
        </w:rPr>
        <w:t xml:space="preserve"> in the latter scenario</w:t>
      </w:r>
      <w:r w:rsidRPr="00D140AB">
        <w:rPr>
          <w:rFonts w:ascii="Courier New" w:hAnsi="Courier New" w:cs="Courier New"/>
          <w:sz w:val="24"/>
          <w:szCs w:val="24"/>
        </w:rPr>
        <w:t xml:space="preserve">.  </w:t>
      </w:r>
    </w:p>
    <w:p w14:paraId="396958A4"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Although we acknowledge that one student may take a different path than another student in achieving his or her educational objectives and that some coursework completed for a program may not be needed for, or transfer to, a higher-level program, we believe that the loan debt associated with all the coursework is part and parcel of the student’s experience at the institution in completing the higher-level program.  Moreover, since the student’s earnings most likely stem from the highest credentialed program completed, we believe our approach will </w:t>
      </w:r>
      <w:r w:rsidRPr="00D140AB">
        <w:rPr>
          <w:rFonts w:ascii="Courier New" w:hAnsi="Courier New" w:cs="Courier New"/>
          <w:sz w:val="24"/>
          <w:szCs w:val="24"/>
        </w:rPr>
        <w:lastRenderedPageBreak/>
        <w:t>result in D/E rates that more closely tie the debt incurred by student</w:t>
      </w:r>
      <w:r>
        <w:rPr>
          <w:rFonts w:ascii="Courier New" w:hAnsi="Courier New" w:cs="Courier New"/>
          <w:sz w:val="24"/>
          <w:szCs w:val="24"/>
        </w:rPr>
        <w:t>s</w:t>
      </w:r>
      <w:r w:rsidRPr="00D140AB">
        <w:rPr>
          <w:rFonts w:ascii="Courier New" w:hAnsi="Courier New" w:cs="Courier New"/>
          <w:sz w:val="24"/>
          <w:szCs w:val="24"/>
        </w:rPr>
        <w:t xml:space="preserve"> </w:t>
      </w:r>
      <w:r>
        <w:rPr>
          <w:rFonts w:ascii="Courier New" w:hAnsi="Courier New" w:cs="Courier New"/>
          <w:sz w:val="24"/>
          <w:szCs w:val="24"/>
        </w:rPr>
        <w:t xml:space="preserve">for their training </w:t>
      </w:r>
      <w:r w:rsidRPr="00D140AB">
        <w:rPr>
          <w:rFonts w:ascii="Courier New" w:hAnsi="Courier New" w:cs="Courier New"/>
          <w:sz w:val="24"/>
          <w:szCs w:val="24"/>
        </w:rPr>
        <w:t xml:space="preserve">to </w:t>
      </w:r>
      <w:r>
        <w:rPr>
          <w:rFonts w:ascii="Courier New" w:hAnsi="Courier New" w:cs="Courier New"/>
          <w:sz w:val="24"/>
          <w:szCs w:val="24"/>
        </w:rPr>
        <w:t xml:space="preserve">the </w:t>
      </w:r>
      <w:r w:rsidRPr="00D140AB">
        <w:rPr>
          <w:rFonts w:ascii="Courier New" w:hAnsi="Courier New" w:cs="Courier New"/>
          <w:sz w:val="24"/>
          <w:szCs w:val="24"/>
        </w:rPr>
        <w:t>earnings</w:t>
      </w:r>
      <w:r>
        <w:rPr>
          <w:rFonts w:ascii="Courier New" w:hAnsi="Courier New" w:cs="Courier New"/>
          <w:sz w:val="24"/>
          <w:szCs w:val="24"/>
        </w:rPr>
        <w:t xml:space="preserve"> that result from that training</w:t>
      </w:r>
      <w:r w:rsidRPr="00D140AB">
        <w:rPr>
          <w:rFonts w:ascii="Courier New" w:hAnsi="Courier New" w:cs="Courier New"/>
          <w:sz w:val="24"/>
          <w:szCs w:val="24"/>
        </w:rPr>
        <w:t>.</w:t>
      </w:r>
    </w:p>
    <w:p w14:paraId="197A5F47"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We note that the commenters’ description of how loan debt would be reported for students enrolled in a lower credentialed program who subsequently enroll in a higher credentialed program at the same institution is not entirely accurate.  Though it is correct that loan debt from the lower credentialed program will be attributed to the completed higher credentialed program, the loan debt associated with that higher program prior to the amounts being “rolled-up” does not, as is suggested by the commenter, include loan debt from the lower credentialed program. </w:t>
      </w:r>
    </w:p>
    <w:p w14:paraId="06A5D627"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231541DA"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One commenter asserted that students frequently withdraw from a higher credentialed program and subsequently complete a lower credentialed program at the same institution and was concerned that proposed §668.404(d)(2) would not adequately account for the total debt that a student has accumulated for both programs and must repay.  Specifically, the commenter believed that a student’s loan debt from a higher credentialed program that the student did not complete would not be included in the D/E rates calculation for either that program or in the calculation for the lower credentialed program that </w:t>
      </w:r>
      <w:r w:rsidRPr="00D140AB">
        <w:rPr>
          <w:rFonts w:ascii="Courier New" w:hAnsi="Courier New" w:cs="Courier New"/>
          <w:sz w:val="24"/>
          <w:szCs w:val="24"/>
        </w:rPr>
        <w:lastRenderedPageBreak/>
        <w:t>the student completed.  The commenter recommended that institutions be required to report the total debt that a student incurs while continuously enrolled, as well as the debt incurred in each program</w:t>
      </w:r>
      <w:r>
        <w:rPr>
          <w:rFonts w:ascii="Courier New" w:hAnsi="Courier New" w:cs="Courier New"/>
          <w:sz w:val="24"/>
          <w:szCs w:val="24"/>
        </w:rPr>
        <w:t>,</w:t>
      </w:r>
      <w:r w:rsidRPr="00D140AB">
        <w:rPr>
          <w:rFonts w:ascii="Courier New" w:hAnsi="Courier New" w:cs="Courier New"/>
          <w:sz w:val="24"/>
          <w:szCs w:val="24"/>
        </w:rPr>
        <w:t xml:space="preserve"> for a more accurate picture of how much debt students have accumulated and their ability to repay their loans.  The commenter also argued that this approach would provide an incentive for institutions to monitor students who are not meeting the academic requirements for a higher credentialed program and to counsel them on alternatives such as completing a lower credentialed program before they have taken on too much debt.</w:t>
      </w:r>
    </w:p>
    <w:p w14:paraId="018C1E11"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 commenter is correct that the loan debt incurred for a higher credentialed program from which the student withdrew will not be attributed to a lower credentialed program that the student subsequently completed at the same institution.  While we appreciate the commenter’s concerns, as we noted previously in this section, th</w:t>
      </w:r>
      <w:r>
        <w:rPr>
          <w:rFonts w:ascii="Courier New" w:hAnsi="Courier New" w:cs="Courier New"/>
          <w:sz w:val="24"/>
          <w:szCs w:val="24"/>
        </w:rPr>
        <w:t>e loan debt associated with</w:t>
      </w:r>
      <w:r w:rsidRPr="00D140AB">
        <w:rPr>
          <w:rFonts w:ascii="Courier New" w:hAnsi="Courier New" w:cs="Courier New"/>
          <w:sz w:val="24"/>
          <w:szCs w:val="24"/>
        </w:rPr>
        <w:t xml:space="preserve"> the student’s </w:t>
      </w:r>
      <w:r>
        <w:rPr>
          <w:rFonts w:ascii="Courier New" w:hAnsi="Courier New" w:cs="Courier New"/>
          <w:sz w:val="24"/>
          <w:szCs w:val="24"/>
        </w:rPr>
        <w:t>prior coursework</w:t>
      </w:r>
      <w:r w:rsidRPr="00D140AB">
        <w:rPr>
          <w:rFonts w:ascii="Courier New" w:hAnsi="Courier New" w:cs="Courier New"/>
          <w:sz w:val="24"/>
          <w:szCs w:val="24"/>
        </w:rPr>
        <w:t xml:space="preserve"> at the institution </w:t>
      </w:r>
      <w:r>
        <w:rPr>
          <w:rFonts w:ascii="Courier New" w:hAnsi="Courier New" w:cs="Courier New"/>
          <w:sz w:val="24"/>
          <w:szCs w:val="24"/>
        </w:rPr>
        <w:t>is only counted if the student completes a higher-credentialed program</w:t>
      </w:r>
      <w:r w:rsidRPr="00D140AB">
        <w:rPr>
          <w:rFonts w:ascii="Courier New" w:hAnsi="Courier New" w:cs="Courier New"/>
          <w:sz w:val="24"/>
          <w:szCs w:val="24"/>
        </w:rPr>
        <w:t xml:space="preserve"> because earnings most likely stem from that program.  In this case, the only program completed is the lower credentialed program so only loan debt associated with that program is included in the D/E rates measure. </w:t>
      </w:r>
    </w:p>
    <w:p w14:paraId="776A2BCB"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3F1EFEBD" w14:textId="77777777" w:rsidR="00E144CA" w:rsidRPr="00D140AB" w:rsidRDefault="00E144CA" w:rsidP="00327DF4">
      <w:pPr>
        <w:spacing w:after="0" w:line="480" w:lineRule="auto"/>
        <w:rPr>
          <w:rFonts w:ascii="Courier New" w:hAnsi="Courier New" w:cs="Courier New"/>
          <w:b/>
          <w:sz w:val="24"/>
          <w:szCs w:val="24"/>
        </w:rPr>
      </w:pPr>
      <w:r w:rsidRPr="00D140AB">
        <w:rPr>
          <w:rFonts w:ascii="Courier New" w:hAnsi="Courier New" w:cs="Courier New"/>
          <w:sz w:val="24"/>
          <w:szCs w:val="24"/>
          <w:u w:val="single"/>
        </w:rPr>
        <w:lastRenderedPageBreak/>
        <w:t>Comments</w:t>
      </w:r>
      <w:r w:rsidRPr="00D140AB">
        <w:rPr>
          <w:rFonts w:ascii="Courier New" w:hAnsi="Courier New" w:cs="Courier New"/>
          <w:sz w:val="24"/>
          <w:szCs w:val="24"/>
        </w:rPr>
        <w:t>:  One commenter requested that the Department clarify how loan debt incurred by a student for enrollment in</w:t>
      </w:r>
      <w:r>
        <w:rPr>
          <w:rFonts w:ascii="Courier New" w:hAnsi="Courier New" w:cs="Courier New"/>
          <w:sz w:val="24"/>
          <w:szCs w:val="24"/>
        </w:rPr>
        <w:t xml:space="preserve"> a</w:t>
      </w:r>
      <w:r w:rsidRPr="00D140AB">
        <w:rPr>
          <w:rFonts w:ascii="Courier New" w:hAnsi="Courier New" w:cs="Courier New"/>
          <w:sz w:val="24"/>
          <w:szCs w:val="24"/>
        </w:rPr>
        <w:t xml:space="preserve"> post-baccalaureate GE program, graduate certificate GE program, and graduate degree GE program would be attributed under proposed §668.404(d)(2)(ii) and (iii) and asked whether both of these provisions were needed.  </w:t>
      </w:r>
      <w:r w:rsidRPr="00D140AB">
        <w:rPr>
          <w:rFonts w:ascii="Courier New" w:hAnsi="Courier New" w:cs="Courier New"/>
          <w:b/>
          <w:sz w:val="24"/>
          <w:szCs w:val="24"/>
        </w:rPr>
        <w:t xml:space="preserve"> </w:t>
      </w:r>
    </w:p>
    <w:p w14:paraId="231F5E92"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Pr>
          <w:rFonts w:ascii="Courier New" w:hAnsi="Courier New" w:cs="Courier New"/>
          <w:sz w:val="24"/>
          <w:szCs w:val="24"/>
        </w:rPr>
        <w:t xml:space="preserve">:  </w:t>
      </w:r>
      <w:r w:rsidRPr="00D140AB">
        <w:rPr>
          <w:rFonts w:ascii="Courier New" w:hAnsi="Courier New" w:cs="Courier New"/>
          <w:sz w:val="24"/>
          <w:szCs w:val="24"/>
        </w:rPr>
        <w:t>First, we note that loan debt incurred for enrollment in a post-baccalaureate program would be attributed to the highest credentialed undergraduate GE program subsequently completed by the student at the institution, rather than to the highest graduate GE program.  This treatment is consistent with the definition of “credential level” in §668.402, which specifies that a post-baccalaureate certificate is an undergraduate program.  Second, we agree with the commenter that the provisions in §668.404(d)(2)(ii) and (iii) are redundant.</w:t>
      </w:r>
      <w:r w:rsidRPr="00D140AB" w:rsidDel="00230BAD">
        <w:rPr>
          <w:rFonts w:ascii="Courier New" w:hAnsi="Courier New" w:cs="Courier New"/>
          <w:sz w:val="24"/>
          <w:szCs w:val="24"/>
        </w:rPr>
        <w:t xml:space="preserve"> </w:t>
      </w:r>
    </w:p>
    <w:p w14:paraId="057BCC94"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removed §668.404(d)(2)(iii).</w:t>
      </w:r>
    </w:p>
    <w:p w14:paraId="7963EC74" w14:textId="77777777" w:rsidR="00E144CA" w:rsidRPr="00D140AB" w:rsidRDefault="00E144CA" w:rsidP="00327DF4">
      <w:pPr>
        <w:pStyle w:val="Heading2"/>
        <w:ind w:left="0"/>
      </w:pPr>
      <w:r w:rsidRPr="00D140AB">
        <w:t>Common Ownership/Control</w:t>
      </w:r>
    </w:p>
    <w:p w14:paraId="0973222B"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Some commenters warned that including loan debt incurred by a student for enrollment in programs at institutions under common ownership or control only at the Department’s discretion under prop</w:t>
      </w:r>
      <w:r>
        <w:rPr>
          <w:rFonts w:ascii="Courier New" w:hAnsi="Courier New" w:cs="Courier New"/>
          <w:sz w:val="24"/>
          <w:szCs w:val="24"/>
        </w:rPr>
        <w:t>osed §668.404(d)(3)</w:t>
      </w:r>
      <w:r w:rsidRPr="00D140AB">
        <w:rPr>
          <w:rFonts w:ascii="Courier New" w:hAnsi="Courier New" w:cs="Courier New"/>
          <w:sz w:val="24"/>
          <w:szCs w:val="24"/>
        </w:rPr>
        <w:t xml:space="preserve"> created a loophole.  They believed that bad actors would exploit this loophole to manipulate the D/E rates for their programs by setting up </w:t>
      </w:r>
      <w:r w:rsidRPr="00D140AB">
        <w:rPr>
          <w:rFonts w:ascii="Courier New" w:hAnsi="Courier New" w:cs="Courier New"/>
          <w:sz w:val="24"/>
          <w:szCs w:val="24"/>
        </w:rPr>
        <w:lastRenderedPageBreak/>
        <w:t xml:space="preserve">affiliated institutions and encouraging students to transfer from one to the other.  They were concerned that the Department would be unable or unwilling to apply loan debt incurred at an affiliated institution without specific criteria as to what would trigger a decision to include loan debt incurred at an affiliated institution in the D/E rates calculation for a particular program.  To address this risk, these commenters recommended that the Department always include in a program’s D/E rates calculation loan debt that a student incurred for enrollment in a program of the same credential level and CIP code at another institution under common ownership or control, as proposed in the NPRM for gainful employment published in 2010.  Short of this recommendation, they </w:t>
      </w:r>
      <w:r>
        <w:rPr>
          <w:rFonts w:ascii="Courier New" w:hAnsi="Courier New" w:cs="Courier New"/>
          <w:sz w:val="24"/>
          <w:szCs w:val="24"/>
        </w:rPr>
        <w:t>suggested</w:t>
      </w:r>
      <w:r w:rsidRPr="00D140AB">
        <w:rPr>
          <w:rFonts w:ascii="Courier New" w:hAnsi="Courier New" w:cs="Courier New"/>
          <w:sz w:val="24"/>
          <w:szCs w:val="24"/>
        </w:rPr>
        <w:t xml:space="preserve"> that, at a minimum, the Department clarify the circumstances in which the Department would exercise its discretion in proposed §668.404(d)(3) to attribute loan debt from other institutions under common ownership or control.</w:t>
      </w:r>
    </w:p>
    <w:p w14:paraId="20F28132"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Other commenters acknowledged the Department’s concern that some bad actors might try to manipulate the D/E rates calculations for their GE programs by encouraging students to transfer to affiliated institutions, but they did not believe that the Department should always attribute loan debt incurred at another institution under common ownership or control to the D/E rates calculation for the program.  They suggested that </w:t>
      </w:r>
      <w:r w:rsidRPr="00D140AB">
        <w:rPr>
          <w:rFonts w:ascii="Courier New" w:hAnsi="Courier New" w:cs="Courier New"/>
          <w:sz w:val="24"/>
          <w:szCs w:val="24"/>
        </w:rPr>
        <w:lastRenderedPageBreak/>
        <w:t xml:space="preserve">institutions should not be held responsible for a student’s individual choice to move to an affiliated institution to pursue a more advanced degree simply because the institutions share a corporate ownership structure.  They recommended that the Department specify that it would only attribute debt incurred at an institution under common ownership or control if the two institutions do not have separate accreditation or admission standards. </w:t>
      </w:r>
    </w:p>
    <w:p w14:paraId="12533023"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One commenter similarly requested clarification about the circumstances in which the Department would include loan debt incurred at another institution, but also suggested that the provision allowing the Department to include loan debt incurred at an institution under common ownership or control was unnecessary, given the proposed changes in §668.404(d)(2).  They believed that requiring institutions to attribute loan debt to the highest credential</w:t>
      </w:r>
      <w:r>
        <w:rPr>
          <w:rFonts w:ascii="Courier New" w:hAnsi="Courier New" w:cs="Courier New"/>
          <w:sz w:val="24"/>
          <w:szCs w:val="24"/>
        </w:rPr>
        <w:t>ed program</w:t>
      </w:r>
      <w:r w:rsidRPr="00D140AB">
        <w:rPr>
          <w:rFonts w:ascii="Courier New" w:hAnsi="Courier New" w:cs="Courier New"/>
          <w:sz w:val="24"/>
          <w:szCs w:val="24"/>
        </w:rPr>
        <w:t xml:space="preserve"> completed by the student provides adequate information on the outcomes of students at each institution.  </w:t>
      </w:r>
    </w:p>
    <w:p w14:paraId="1C6A6172"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Some commenters argued that the Department should never include loan debt that a student incurred at another institution, even if the institutions are under common ownership and control.  One of these commenters argued that this provision would unfairly target for-profit institutions, noting that some public institutions, while not owned by the same corporate </w:t>
      </w:r>
      <w:r w:rsidRPr="00D140AB">
        <w:rPr>
          <w:rFonts w:ascii="Courier New" w:hAnsi="Courier New" w:cs="Courier New"/>
          <w:sz w:val="24"/>
          <w:szCs w:val="24"/>
        </w:rPr>
        <w:lastRenderedPageBreak/>
        <w:t>entity, are coordinated through a single State coordinating board or system tasked with developing system-wide policies.  The commenter believed that the Department had not provided sufficient justification for treating proprietary institutions under common ownership or control differently from State systems with, in their view, parallel governance structures.  Further, the commenter noted that institutions under common ownership or control might have different institutional missions and academic programs, and that it would therefore not be fair to attribute loan debt incurred for a program at one institution to a program at another.</w:t>
      </w:r>
    </w:p>
    <w:p w14:paraId="382904C4"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Other commenters believed that it would be unfair to combine loan debt from institutions under common ownership or control, arguing that it could skew a program’s D/E rates.  They were concerned that, in cases in which two students complete the same credential at the same institution, and one student goes on to complete a higher credential at an affiliated institution but the other completes a similar program at an unaffiliated institution, the D/E rates for the programs would not provide prospective students with a clear picture of the debt former students incurred to attend.  </w:t>
      </w:r>
    </w:p>
    <w:p w14:paraId="18A8AF71"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acknowledge the concerns of commenters who urged the Department to always include loan debt incurred at an affiliated institution in the D/E rates calculation for a </w:t>
      </w:r>
      <w:r w:rsidRPr="00D140AB">
        <w:rPr>
          <w:rFonts w:ascii="Courier New" w:hAnsi="Courier New" w:cs="Courier New"/>
          <w:sz w:val="24"/>
          <w:szCs w:val="24"/>
        </w:rPr>
        <w:lastRenderedPageBreak/>
        <w:t>particular program.  We clarified in the NPRM that because this provision is included to ensure that institutions do not manipulate their D/E rates, it should only be applied in cases where there is evidence of such behavior.  In such cases, the Secretary has the discretion to make adjustments.  We believe this authority is adequate both to deter the type of abuse warned of by the commenters and act on instances of such abuse where necessary.</w:t>
      </w:r>
    </w:p>
    <w:p w14:paraId="1A5F4C88"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We remind those commenters who suggested that the Department should never include loan debt incurred at another institution, even if the institutions are under common control, that</w:t>
      </w:r>
      <w:r>
        <w:rPr>
          <w:rFonts w:ascii="Courier New" w:hAnsi="Courier New" w:cs="Courier New"/>
          <w:sz w:val="24"/>
          <w:szCs w:val="24"/>
        </w:rPr>
        <w:t>, except for loan debt associated with education and training provided by another institution under a written arrangement between institutions as discussed in “Tuition and Fees” in this section,</w:t>
      </w:r>
      <w:r w:rsidRPr="00D140AB">
        <w:rPr>
          <w:rFonts w:ascii="Courier New" w:hAnsi="Courier New" w:cs="Courier New"/>
          <w:sz w:val="24"/>
          <w:szCs w:val="24"/>
        </w:rPr>
        <w:t xml:space="preserve"> we generally would not include loan debt from other institutions students previously attended, including institutions under common ownership or control.  </w:t>
      </w:r>
    </w:p>
    <w:p w14:paraId="5507C603" w14:textId="522DAF83"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rPr>
        <w:t xml:space="preserve">     We </w:t>
      </w:r>
      <w:r>
        <w:rPr>
          <w:rFonts w:ascii="Courier New" w:hAnsi="Courier New" w:cs="Courier New"/>
          <w:sz w:val="24"/>
          <w:szCs w:val="24"/>
        </w:rPr>
        <w:t>do not agree</w:t>
      </w:r>
      <w:r w:rsidRPr="00D140AB">
        <w:rPr>
          <w:rFonts w:ascii="Courier New" w:hAnsi="Courier New" w:cs="Courier New"/>
          <w:sz w:val="24"/>
          <w:szCs w:val="24"/>
        </w:rPr>
        <w:t xml:space="preserve"> that this provision unfairly targets for-profit institutions subject to common ownership or control by not treating public institutions operating under the aegis of a State board or system in the same way.  First, in the normal course of calculating D/E rates, programs at both types of institutions will be treated the same</w:t>
      </w:r>
      <w:r>
        <w:rPr>
          <w:rFonts w:ascii="Courier New" w:hAnsi="Courier New" w:cs="Courier New"/>
          <w:sz w:val="24"/>
          <w:szCs w:val="24"/>
        </w:rPr>
        <w:t xml:space="preserve"> and the debts would not be combined</w:t>
      </w:r>
      <w:r w:rsidRPr="00D140AB">
        <w:rPr>
          <w:rFonts w:ascii="Courier New" w:hAnsi="Courier New" w:cs="Courier New"/>
          <w:sz w:val="24"/>
          <w:szCs w:val="24"/>
        </w:rPr>
        <w:t xml:space="preserve">. </w:t>
      </w:r>
      <w:r>
        <w:rPr>
          <w:rFonts w:ascii="Courier New" w:hAnsi="Courier New" w:cs="Courier New"/>
          <w:sz w:val="24"/>
          <w:szCs w:val="24"/>
        </w:rPr>
        <w:t xml:space="preserve"> The debts would only be combined at institutions </w:t>
      </w:r>
      <w:r>
        <w:rPr>
          <w:rFonts w:ascii="Courier New" w:hAnsi="Courier New" w:cs="Courier New"/>
          <w:sz w:val="24"/>
          <w:szCs w:val="24"/>
        </w:rPr>
        <w:lastRenderedPageBreak/>
        <w:t xml:space="preserve">under common ownership and control </w:t>
      </w:r>
      <w:r w:rsidRPr="00D140AB">
        <w:rPr>
          <w:rFonts w:ascii="Courier New" w:hAnsi="Courier New" w:cs="Courier New"/>
          <w:sz w:val="24"/>
          <w:szCs w:val="24"/>
        </w:rPr>
        <w:t xml:space="preserve">in what we expect to be rare instances of the type of abuse described </w:t>
      </w:r>
      <w:r>
        <w:rPr>
          <w:rFonts w:ascii="Courier New" w:hAnsi="Courier New" w:cs="Courier New"/>
          <w:sz w:val="24"/>
          <w:szCs w:val="24"/>
        </w:rPr>
        <w:t>in this section</w:t>
      </w:r>
      <w:r w:rsidRPr="00D140AB">
        <w:rPr>
          <w:rFonts w:ascii="Courier New" w:hAnsi="Courier New" w:cs="Courier New"/>
          <w:sz w:val="24"/>
          <w:szCs w:val="24"/>
        </w:rPr>
        <w:t xml:space="preserve">.  Second, </w:t>
      </w:r>
      <w:r>
        <w:rPr>
          <w:rFonts w:ascii="Courier New" w:hAnsi="Courier New" w:cs="Courier New"/>
          <w:sz w:val="24"/>
          <w:szCs w:val="24"/>
        </w:rPr>
        <w:t>since</w:t>
      </w:r>
      <w:r w:rsidRPr="00D140AB">
        <w:rPr>
          <w:rFonts w:ascii="Courier New" w:hAnsi="Courier New" w:cs="Courier New"/>
          <w:sz w:val="24"/>
          <w:szCs w:val="24"/>
        </w:rPr>
        <w:t xml:space="preserve"> loan debt is “rolled-up” to the highest credentialed program completed by the student</w:t>
      </w:r>
      <w:r>
        <w:rPr>
          <w:rFonts w:ascii="Courier New" w:hAnsi="Courier New" w:cs="Courier New"/>
          <w:sz w:val="24"/>
          <w:szCs w:val="24"/>
        </w:rPr>
        <w:t>, any student who transferred into a degree program at a public institution would be enrolling in a program that is not a GE program, and therefore not subject to these regulations</w:t>
      </w:r>
      <w:r w:rsidRPr="00D140AB">
        <w:rPr>
          <w:rFonts w:ascii="Courier New" w:hAnsi="Courier New" w:cs="Courier New"/>
          <w:sz w:val="24"/>
          <w:szCs w:val="24"/>
        </w:rPr>
        <w:t xml:space="preserve">.  </w:t>
      </w:r>
      <w:r>
        <w:rPr>
          <w:rFonts w:ascii="Courier New" w:hAnsi="Courier New" w:cs="Courier New"/>
          <w:sz w:val="24"/>
          <w:szCs w:val="24"/>
        </w:rPr>
        <w:t>The potential abuse is unlikely to arise when student debt from a certificate program at one institution would be rolled up to a certificate program that a student completed at another institution under the same ownership and control.</w:t>
      </w:r>
      <w:r w:rsidRPr="00D140AB">
        <w:rPr>
          <w:rFonts w:ascii="Courier New" w:hAnsi="Courier New" w:cs="Courier New"/>
          <w:sz w:val="24"/>
          <w:szCs w:val="24"/>
        </w:rPr>
        <w:t xml:space="preserve">  </w:t>
      </w:r>
    </w:p>
    <w:p w14:paraId="26443B4E" w14:textId="77777777" w:rsidR="00E144CA" w:rsidRPr="00D140AB" w:rsidRDefault="00E144CA" w:rsidP="00327DF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22A3ED7D" w14:textId="77777777" w:rsidR="00E144CA" w:rsidRPr="00D140AB" w:rsidRDefault="00E144CA" w:rsidP="00327DF4">
      <w:pPr>
        <w:pStyle w:val="Heading2"/>
        <w:ind w:left="0"/>
      </w:pPr>
      <w:r w:rsidRPr="00D140AB">
        <w:t>Exclusions</w:t>
      </w:r>
    </w:p>
    <w:p w14:paraId="05DA9933"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Several commenters expressed concerns about the provisions in §668.404(e) under which the Department would exclude certain categories of students from the D/E rates calculation.  Commenters argued that, because the Department would exclude students whose loans were in deferment, or who attended an institution, for as little as one day during the calendar year, institutions would not be held accountable for the outcomes of a significant number of students.  Some commenters suggested that the Department should not exclude these students unless their loans were in a military-related deferment status for 60 consecutive days or they attended an </w:t>
      </w:r>
      <w:r w:rsidRPr="00D140AB">
        <w:rPr>
          <w:rFonts w:ascii="Courier New" w:eastAsia="SimSun" w:hAnsi="Courier New" w:cs="Courier New"/>
          <w:sz w:val="24"/>
          <w:szCs w:val="24"/>
        </w:rPr>
        <w:lastRenderedPageBreak/>
        <w:t>eligible institution on at least a half-time basis for 60 consecutive days.  The commenters cited as a basis for the 60 days the provisions for returning title IV, HEA program funds under §668.22 and reasoned that 60 percent of a three- to four-month term is about 60 days.  In addition, they noted that to qualify for an in-school deferment, a student must be enrolled on at least a half-time basis and asserted that this provision provides a reasonable basis for excluding from the D/E rates calculation only students enrolled at least half-time.</w:t>
      </w:r>
      <w:r w:rsidRPr="00D140AB" w:rsidDel="0012330C">
        <w:rPr>
          <w:rFonts w:ascii="Courier New" w:eastAsia="SimSun" w:hAnsi="Courier New" w:cs="Courier New"/>
          <w:sz w:val="24"/>
          <w:szCs w:val="24"/>
        </w:rPr>
        <w:t xml:space="preserve"> </w:t>
      </w:r>
    </w:p>
    <w:p w14:paraId="2E33E344"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Some commenters argued that students whose loans are in a military-related deferment status should not be excluded because these individuals made a valid career choice.  The commenters also argued that because those students have military-based earnings, excluding them could have a significant impact on the earnings for the D/E rates calculations, as well as on the number of students included in the cohort.  The commenters said that if the Department retains the military deferment exclusion, all individuals in military service should be excluded, based on appropriate evidence, not just those who applied for a deferment.  </w:t>
      </w:r>
    </w:p>
    <w:p w14:paraId="17A261DA"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Some commenters supported the proposed exclusions, stating there is no evidence that supports establishing a time period or minimum number of days after which earnings should be excluded </w:t>
      </w:r>
      <w:r w:rsidRPr="00D140AB">
        <w:rPr>
          <w:rFonts w:ascii="Courier New" w:eastAsia="SimSun" w:hAnsi="Courier New" w:cs="Courier New"/>
          <w:sz w:val="24"/>
          <w:szCs w:val="24"/>
        </w:rPr>
        <w:lastRenderedPageBreak/>
        <w:t>and that attempting to do so would be arbitrary and overly complex.</w:t>
      </w:r>
    </w:p>
    <w:p w14:paraId="4B9099DF" w14:textId="77777777" w:rsidR="00E144CA" w:rsidRPr="00D140AB" w:rsidRDefault="00E144CA" w:rsidP="00327DF4">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While we appreciate the commenters’ recommendation </w:t>
      </w:r>
      <w:r w:rsidRPr="00D140AB">
        <w:rPr>
          <w:rFonts w:ascii="Courier New" w:eastAsia="SimSun" w:hAnsi="Courier New" w:cs="Courier New"/>
          <w:sz w:val="24"/>
          <w:szCs w:val="24"/>
          <w:lang w:eastAsia="zh-CN"/>
        </w:rPr>
        <w:t xml:space="preserve">that </w:t>
      </w:r>
      <w:r>
        <w:rPr>
          <w:rFonts w:ascii="Courier New" w:eastAsia="SimSun" w:hAnsi="Courier New" w:cs="Courier New"/>
          <w:sz w:val="24"/>
          <w:szCs w:val="24"/>
          <w:lang w:eastAsia="zh-CN"/>
        </w:rPr>
        <w:t xml:space="preserve">a student must attend an institution or have a loan in a military-deferment status for </w:t>
      </w:r>
      <w:r w:rsidRPr="00D140AB">
        <w:rPr>
          <w:rFonts w:ascii="Courier New" w:eastAsia="SimSun" w:hAnsi="Courier New" w:cs="Courier New"/>
          <w:sz w:val="24"/>
          <w:szCs w:val="24"/>
          <w:lang w:eastAsia="zh-CN"/>
        </w:rPr>
        <w:t xml:space="preserve">minimum number of days in the earnings year </w:t>
      </w:r>
      <w:r>
        <w:rPr>
          <w:rFonts w:ascii="Courier New" w:eastAsia="SimSun" w:hAnsi="Courier New" w:cs="Courier New"/>
          <w:sz w:val="24"/>
          <w:szCs w:val="24"/>
          <w:lang w:eastAsia="zh-CN"/>
        </w:rPr>
        <w:t xml:space="preserve">before these </w:t>
      </w:r>
      <w:r w:rsidRPr="00D140AB">
        <w:rPr>
          <w:rFonts w:ascii="Courier New" w:eastAsia="SimSun" w:hAnsi="Courier New" w:cs="Courier New"/>
          <w:sz w:val="24"/>
          <w:szCs w:val="24"/>
          <w:lang w:eastAsia="zh-CN"/>
        </w:rPr>
        <w:t xml:space="preserve">exclusions </w:t>
      </w:r>
      <w:r>
        <w:rPr>
          <w:rFonts w:ascii="Courier New" w:eastAsia="SimSun" w:hAnsi="Courier New" w:cs="Courier New"/>
          <w:sz w:val="24"/>
          <w:szCs w:val="24"/>
          <w:lang w:eastAsia="zh-CN"/>
        </w:rPr>
        <w:t>would</w:t>
      </w:r>
      <w:r w:rsidRPr="00D140AB">
        <w:rPr>
          <w:rFonts w:ascii="Courier New" w:eastAsia="SimSun" w:hAnsi="Courier New" w:cs="Courier New"/>
          <w:sz w:val="24"/>
          <w:szCs w:val="24"/>
          <w:lang w:eastAsia="zh-CN"/>
        </w:rPr>
        <w:t xml:space="preserve"> apply, we do not believe there is a sound basis for designating any particular number of minimum days.  Accordingly, we will apply the exclusions if a student was in either status for even one day out of the year.  </w:t>
      </w:r>
    </w:p>
    <w:p w14:paraId="056BEA44" w14:textId="7CBFD7C8" w:rsidR="00E144CA" w:rsidRPr="00D140AB" w:rsidRDefault="00327DF4" w:rsidP="00327DF4">
      <w:pPr>
        <w:spacing w:after="0" w:line="480" w:lineRule="auto"/>
        <w:rPr>
          <w:rFonts w:ascii="Courier New" w:eastAsia="SimSun" w:hAnsi="Courier New" w:cs="Courier New"/>
          <w:sz w:val="24"/>
          <w:szCs w:val="24"/>
        </w:rPr>
      </w:pPr>
      <w:r>
        <w:rPr>
          <w:rFonts w:ascii="Courier New" w:eastAsia="SimSun" w:hAnsi="Courier New" w:cs="Courier New"/>
          <w:sz w:val="24"/>
          <w:szCs w:val="24"/>
          <w:lang w:eastAsia="zh-CN"/>
        </w:rPr>
        <w:t xml:space="preserve">     </w:t>
      </w:r>
      <w:r w:rsidR="00E144CA" w:rsidRPr="00D140AB">
        <w:rPr>
          <w:rFonts w:ascii="Courier New" w:eastAsia="SimSun" w:hAnsi="Courier New" w:cs="Courier New"/>
          <w:sz w:val="24"/>
          <w:szCs w:val="24"/>
          <w:lang w:eastAsia="zh-CN"/>
        </w:rPr>
        <w:t xml:space="preserve">We do not agree that the regulations regarding the return of title IV, HEA program funds provide a basis to set 60 days as the minimum.  Students with military </w:t>
      </w:r>
      <w:r w:rsidR="00E144CA">
        <w:rPr>
          <w:rFonts w:ascii="Courier New" w:eastAsia="SimSun" w:hAnsi="Courier New" w:cs="Courier New"/>
          <w:sz w:val="24"/>
          <w:szCs w:val="24"/>
          <w:lang w:eastAsia="zh-CN"/>
        </w:rPr>
        <w:t xml:space="preserve">deferments </w:t>
      </w:r>
      <w:r w:rsidR="00E144CA" w:rsidRPr="00D140AB">
        <w:rPr>
          <w:rFonts w:ascii="Courier New" w:eastAsia="SimSun" w:hAnsi="Courier New" w:cs="Courier New"/>
          <w:sz w:val="24"/>
          <w:szCs w:val="24"/>
          <w:lang w:eastAsia="zh-CN"/>
        </w:rPr>
        <w:t xml:space="preserve">or </w:t>
      </w:r>
      <w:r w:rsidR="00E144CA">
        <w:rPr>
          <w:rFonts w:ascii="Courier New" w:eastAsia="SimSun" w:hAnsi="Courier New" w:cs="Courier New"/>
          <w:sz w:val="24"/>
          <w:szCs w:val="24"/>
          <w:lang w:eastAsia="zh-CN"/>
        </w:rPr>
        <w:t>who are attending an institution</w:t>
      </w:r>
      <w:r w:rsidR="00E144CA" w:rsidRPr="00D140AB">
        <w:rPr>
          <w:rFonts w:ascii="Courier New" w:eastAsia="SimSun" w:hAnsi="Courier New" w:cs="Courier New"/>
          <w:sz w:val="24"/>
          <w:szCs w:val="24"/>
          <w:lang w:eastAsia="zh-CN"/>
        </w:rPr>
        <w:t xml:space="preserve"> during the earnings year are excluded from the D/E rates calculations because they could have less earnings than if they had chosen to work in the occupation for which they received training.  The 60 percent standard in the regulations regarding the return of title IV, HEA program funds is unrelated to this rationale and, as a result, not applicable. </w:t>
      </w:r>
      <w:r w:rsidR="00E144CA">
        <w:rPr>
          <w:rFonts w:ascii="Courier New" w:eastAsia="SimSun" w:hAnsi="Courier New" w:cs="Courier New"/>
          <w:sz w:val="24"/>
          <w:szCs w:val="24"/>
          <w:lang w:eastAsia="zh-CN"/>
        </w:rPr>
        <w:t xml:space="preserve"> With regard to the suggestion that a student must be enrolled on at least a half-time basis, we continue to believe that it is inappropriate to hold programs accountable for the earnings of students who pursue additional education because, regardless of </w:t>
      </w:r>
      <w:r w:rsidR="00E144CA">
        <w:rPr>
          <w:rFonts w:ascii="Courier New" w:eastAsia="SimSun" w:hAnsi="Courier New" w:cs="Courier New"/>
          <w:sz w:val="24"/>
          <w:szCs w:val="24"/>
          <w:lang w:eastAsia="zh-CN"/>
        </w:rPr>
        <w:lastRenderedPageBreak/>
        <w:t>course load, those students could have less earnings than if they chose to work in the occupation for they received training.</w:t>
      </w:r>
    </w:p>
    <w:p w14:paraId="1806D58C" w14:textId="7692B19B"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w:t>
      </w:r>
      <w:r w:rsidRPr="00D140AB">
        <w:rPr>
          <w:rFonts w:ascii="Courier New" w:eastAsia="SimSun" w:hAnsi="Courier New" w:cs="Courier New"/>
          <w:sz w:val="24"/>
          <w:szCs w:val="24"/>
          <w:lang w:eastAsia="zh-CN"/>
        </w:rPr>
        <w:t xml:space="preserve">As previously discussed, the earnings of a student in the military could be less than if the student had chosen to work in the occupation for which they received training.  Further, a student’s decision to enlist in the military is likely unrelated to whether a program prepares students for gainful employment.  Accordingly, it would be unfair to assess a program’s performance based on the outcomes of such students.  We believe that this interest in fairness outweighs any potential impact on the mean and median earnings calculations and number of students in the cohort period.   </w:t>
      </w:r>
    </w:p>
    <w:p w14:paraId="593B2118" w14:textId="41A7413A" w:rsidR="00E144CA" w:rsidRPr="00D140AB" w:rsidRDefault="00327DF4" w:rsidP="00327DF4">
      <w:pPr>
        <w:spacing w:after="0" w:line="480" w:lineRule="auto"/>
        <w:rPr>
          <w:rFonts w:ascii="Courier New" w:eastAsia="SimSun" w:hAnsi="Courier New" w:cs="Courier New"/>
          <w:sz w:val="24"/>
          <w:szCs w:val="24"/>
          <w:u w:val="single"/>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The military deferment exclusion would apply only to those individuals who have actually received a deferment. </w:t>
      </w:r>
      <w:r w:rsidR="00E144CA">
        <w:rPr>
          <w:rFonts w:ascii="Courier New" w:eastAsia="SimSun" w:hAnsi="Courier New" w:cs="Courier New"/>
          <w:sz w:val="24"/>
          <w:szCs w:val="24"/>
        </w:rPr>
        <w:t xml:space="preserve"> To the extent that borrowers serving in the military request such deferments, they are asking for assistance in the form of a period during which repayment of principal and interest is temporarily delayed.  Borrowers who qualify for a military deferment, but do not request one, have made the determination that their income is sufficient to permit continued repayment of student loan debt while they are serving in the military.</w:t>
      </w:r>
      <w:r w:rsidR="00E144CA" w:rsidRPr="00D140AB">
        <w:rPr>
          <w:rFonts w:ascii="Courier New" w:eastAsia="SimSun" w:hAnsi="Courier New" w:cs="Courier New"/>
          <w:sz w:val="24"/>
          <w:szCs w:val="24"/>
        </w:rPr>
        <w:t xml:space="preserve"> </w:t>
      </w:r>
      <w:r w:rsidR="00E144CA">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The Department confirms whether a borrower is enlisted in the military as part of the deferment approval process.  Relying on this determination will be much more efficient and accurate than </w:t>
      </w:r>
      <w:r w:rsidR="00E144CA" w:rsidRPr="00D140AB">
        <w:rPr>
          <w:rFonts w:ascii="Courier New" w:eastAsia="SimSun" w:hAnsi="Courier New" w:cs="Courier New"/>
          <w:sz w:val="24"/>
          <w:szCs w:val="24"/>
        </w:rPr>
        <w:lastRenderedPageBreak/>
        <w:t xml:space="preserve">making individual determinations as to military status solely for the purposes of these regulations.  </w:t>
      </w:r>
    </w:p>
    <w:p w14:paraId="4C716943"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5E01D7C"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Some commenters suggested that the Department exclude students who become temporarily disabled during the earnings year, opining that any earnings used for these students would distort the D/E rates.  Other commenters suggested that a student with a loan deferment for a graduate fellowship or for economic hardship related to the student’s Peace Corps service at any point during the calendar year for which the Secretary obtains earnings information should be excluded from the D/E rates calculation.  The commenters reasoned that graduate fellowships and Peace Corps service are competitive opportunities, and that only individuals who received a quality education would have been accepted.  They concluded that a GE program’s D/E rates should not be affected by students who are accepted into these programs because their low wages would not be indicative of the quality of the program. </w:t>
      </w:r>
    </w:p>
    <w:p w14:paraId="71D7F855" w14:textId="77C2CD74"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t>
      </w:r>
      <w:r w:rsidR="00D61C63">
        <w:rPr>
          <w:rFonts w:ascii="Courier New" w:eastAsia="SimSun" w:hAnsi="Courier New" w:cs="Courier New"/>
          <w:sz w:val="24"/>
          <w:szCs w:val="24"/>
        </w:rPr>
        <w:t xml:space="preserve">As a general matter, we believe the additional exclusions mentioned by the commenters are rare and would not materially </w:t>
      </w:r>
      <w:r w:rsidR="00663713">
        <w:rPr>
          <w:rFonts w:ascii="Courier New" w:eastAsia="SimSun" w:hAnsi="Courier New" w:cs="Courier New"/>
          <w:sz w:val="24"/>
          <w:szCs w:val="24"/>
        </w:rPr>
        <w:t>affect</w:t>
      </w:r>
      <w:r w:rsidR="00D61C63">
        <w:rPr>
          <w:rFonts w:ascii="Courier New" w:eastAsia="SimSun" w:hAnsi="Courier New" w:cs="Courier New"/>
          <w:sz w:val="24"/>
          <w:szCs w:val="24"/>
        </w:rPr>
        <w:t xml:space="preserve"> the D/E rates, so it would not be cost effective to establish reporting streams for gathering and verifying the information needed to apply these exclusions.  </w:t>
      </w:r>
      <w:r w:rsidR="00F40F48">
        <w:rPr>
          <w:rFonts w:ascii="Courier New" w:eastAsia="SimSun" w:hAnsi="Courier New" w:cs="Courier New"/>
          <w:sz w:val="24"/>
          <w:szCs w:val="24"/>
        </w:rPr>
        <w:t xml:space="preserve">We note that there are currently no deferments for students in the </w:t>
      </w:r>
      <w:r w:rsidR="00F40F48">
        <w:rPr>
          <w:rFonts w:ascii="Courier New" w:eastAsia="SimSun" w:hAnsi="Courier New" w:cs="Courier New"/>
          <w:sz w:val="24"/>
          <w:szCs w:val="24"/>
        </w:rPr>
        <w:lastRenderedPageBreak/>
        <w:t xml:space="preserve">Peace Corp </w:t>
      </w:r>
      <w:r w:rsidR="00C511DC">
        <w:rPr>
          <w:rFonts w:ascii="Courier New" w:eastAsia="SimSun" w:hAnsi="Courier New" w:cs="Courier New"/>
          <w:sz w:val="24"/>
          <w:szCs w:val="24"/>
        </w:rPr>
        <w:t>or who are temporarily disabled, but students with graduate fellowships may be excluded if they are attending a</w:t>
      </w:r>
      <w:r w:rsidR="00C511DC" w:rsidDel="002E75D1">
        <w:rPr>
          <w:rFonts w:ascii="Courier New" w:eastAsia="SimSun" w:hAnsi="Courier New" w:cs="Courier New"/>
          <w:sz w:val="24"/>
          <w:szCs w:val="24"/>
        </w:rPr>
        <w:t>n</w:t>
      </w:r>
      <w:r w:rsidR="00C511DC">
        <w:rPr>
          <w:rFonts w:ascii="Courier New" w:eastAsia="SimSun" w:hAnsi="Courier New" w:cs="Courier New"/>
          <w:sz w:val="24"/>
          <w:szCs w:val="24"/>
        </w:rPr>
        <w:t xml:space="preserve"> institution during the earnings year.  </w:t>
      </w:r>
    </w:p>
    <w:p w14:paraId="055ED05D"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xml:space="preserve">:  </w:t>
      </w:r>
      <w:r>
        <w:rPr>
          <w:rFonts w:ascii="Courier New" w:eastAsia="SimSun" w:hAnsi="Courier New" w:cs="Courier New"/>
          <w:sz w:val="24"/>
          <w:szCs w:val="24"/>
        </w:rPr>
        <w:t xml:space="preserve">None.  </w:t>
      </w:r>
    </w:p>
    <w:p w14:paraId="216C4073" w14:textId="77777777" w:rsidR="00E144CA" w:rsidRPr="00D140AB" w:rsidRDefault="00E144CA" w:rsidP="00327DF4">
      <w:pPr>
        <w:spacing w:after="0" w:line="480" w:lineRule="auto"/>
        <w:rPr>
          <w:rFonts w:ascii="Courier New" w:eastAsia="SimSun" w:hAnsi="Courier New" w:cs="Courier New"/>
          <w:sz w:val="24"/>
          <w:szCs w:val="24"/>
          <w:u w:val="single"/>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Some commenters argued that students who are not employed for a portion of the earnings year should be excluded from the D/E rates calculation.</w:t>
      </w:r>
      <w:r w:rsidRPr="00D140AB">
        <w:rPr>
          <w:rFonts w:ascii="Courier New" w:eastAsia="SimSun" w:hAnsi="Courier New" w:cs="Courier New"/>
          <w:sz w:val="24"/>
          <w:szCs w:val="24"/>
          <w:u w:val="single"/>
        </w:rPr>
        <w:t xml:space="preserve">   </w:t>
      </w:r>
    </w:p>
    <w:p w14:paraId="50F14C40" w14:textId="77777777" w:rsidR="00E144CA" w:rsidRPr="00D140AB" w:rsidRDefault="00E144CA" w:rsidP="00327DF4">
      <w:pPr>
        <w:spacing w:after="0" w:line="480" w:lineRule="auto"/>
        <w:rPr>
          <w:rFonts w:ascii="Courier New" w:eastAsia="SimSun" w:hAnsi="Courier New" w:cs="Courier New"/>
          <w:sz w:val="24"/>
          <w:szCs w:val="24"/>
          <w:u w:val="single"/>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disagree that we should exclude from the D/E rates calculation students who are not employed for a portion of the earnings year.  As discussed under “§668.405 Issuing and Challenging D/E Rates,” if graduates are unemployed during the earnings year, it is reasonable to attribute this outcome to the performance of the program, rather than to individual student choices.  </w:t>
      </w:r>
    </w:p>
    <w:p w14:paraId="5407103C" w14:textId="77777777" w:rsidR="00E144CA" w:rsidRPr="00D140AB" w:rsidRDefault="00E144CA" w:rsidP="00327DF4">
      <w:pPr>
        <w:spacing w:after="0" w:line="480" w:lineRule="auto"/>
        <w:rPr>
          <w:rFonts w:ascii="Courier New" w:eastAsia="SimSun" w:hAnsi="Courier New" w:cs="Courier New"/>
          <w:sz w:val="24"/>
          <w:szCs w:val="24"/>
          <w:u w:val="single"/>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2E06B799" w14:textId="77777777" w:rsidR="00E144CA" w:rsidRPr="00327DF4" w:rsidRDefault="00E144CA" w:rsidP="00327DF4">
      <w:pPr>
        <w:spacing w:after="0" w:line="480" w:lineRule="auto"/>
        <w:rPr>
          <w:rFonts w:ascii="Courier New" w:eastAsia="Arial Unicode MS" w:hAnsi="Courier New" w:cs="Courier New"/>
          <w:sz w:val="24"/>
          <w:szCs w:val="24"/>
          <w:lang w:eastAsia="zh-CN"/>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One commenter suggested that institutions should be provided access to Department databases to obtain the information necessary to determine whether students who complete a program satisfy any of the exclusion criteria.  </w:t>
      </w:r>
    </w:p>
    <w:p w14:paraId="52BE2E57"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If a student has attended a particular institution, that institution already has access to NSLDS information for the student.  In addition, the data provided to institutions with the list of students who completed the program will have information on which students were excluded from the calculation </w:t>
      </w:r>
      <w:r w:rsidRPr="00D140AB">
        <w:rPr>
          <w:rFonts w:ascii="Courier New" w:eastAsia="SimSun" w:hAnsi="Courier New" w:cs="Courier New"/>
          <w:sz w:val="24"/>
          <w:szCs w:val="24"/>
        </w:rPr>
        <w:lastRenderedPageBreak/>
        <w:t>and which exclusions were applied.  If an institution has evidence that the data in NSLDS are incorrect, it may challenge that information under the procedures in §§668.405 and 668.413.</w:t>
      </w:r>
    </w:p>
    <w:p w14:paraId="65049D90"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7D1D94F8" w14:textId="77777777" w:rsidR="00E144CA" w:rsidRPr="00D140AB" w:rsidRDefault="00E144CA" w:rsidP="00327DF4">
      <w:pPr>
        <w:pStyle w:val="Heading2"/>
        <w:ind w:left="0"/>
      </w:pPr>
      <w:r w:rsidRPr="00D140AB">
        <w:t>N-Size</w:t>
      </w:r>
    </w:p>
    <w:p w14:paraId="72E8F15E" w14:textId="42A85FFA"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Several commenters recommended that the Department use a minimum n-size of 10 students, instead of 30, when calculating the D/E rates.  The commenters argued that an n-size of 30 is unnecessarily large in view of the Department’s analysis in the NPRM show</w:t>
      </w:r>
      <w:r>
        <w:rPr>
          <w:rFonts w:ascii="Courier New" w:eastAsia="SimSun" w:hAnsi="Courier New" w:cs="Courier New"/>
          <w:sz w:val="24"/>
          <w:szCs w:val="24"/>
        </w:rPr>
        <w:t>ing</w:t>
      </w:r>
      <w:r w:rsidRPr="00D140AB">
        <w:rPr>
          <w:rFonts w:ascii="Courier New" w:eastAsia="SimSun" w:hAnsi="Courier New" w:cs="Courier New"/>
          <w:sz w:val="24"/>
          <w:szCs w:val="24"/>
        </w:rPr>
        <w:t xml:space="preserve"> that an n-size of 10 adequately provides validity, and that there would be only a small chance that a program would erroneously be considered to </w:t>
      </w:r>
      <w:r>
        <w:rPr>
          <w:rFonts w:ascii="Courier New" w:eastAsia="SimSun" w:hAnsi="Courier New" w:cs="Courier New"/>
          <w:sz w:val="24"/>
          <w:szCs w:val="24"/>
        </w:rPr>
        <w:t xml:space="preserve">not </w:t>
      </w:r>
      <w:r w:rsidRPr="00D140AB">
        <w:rPr>
          <w:rFonts w:ascii="Courier New" w:eastAsia="SimSun" w:hAnsi="Courier New" w:cs="Courier New"/>
          <w:sz w:val="24"/>
          <w:szCs w:val="24"/>
        </w:rPr>
        <w:t xml:space="preserve">pass the </w:t>
      </w:r>
      <w:r w:rsidR="000A5EE0">
        <w:rPr>
          <w:rFonts w:ascii="Courier New" w:eastAsia="SimSun" w:hAnsi="Courier New" w:cs="Courier New"/>
          <w:sz w:val="24"/>
          <w:szCs w:val="24"/>
        </w:rPr>
        <w:t>D/E rates measure</w:t>
      </w:r>
      <w:r w:rsidRPr="00D140AB">
        <w:rPr>
          <w:rFonts w:ascii="Courier New" w:eastAsia="SimSun" w:hAnsi="Courier New" w:cs="Courier New"/>
          <w:sz w:val="24"/>
          <w:szCs w:val="24"/>
        </w:rPr>
        <w:t>.  One of these commenters expressed concern that increasing the n-size from 10 to 30 would leave unprotected many students enrolled in GE programs and did not believe this was sufficiently emphasized in the NPRM.  Specifically, the commenter pointed to analysis in the NPRM showing that, using an n-size of 30, more than one million students would enroll in GE programs that would not be evaluated under any of the proposed accountability metrics.</w:t>
      </w:r>
      <w:r>
        <w:rPr>
          <w:rFonts w:ascii="Courier New" w:eastAsia="SimSun" w:hAnsi="Courier New" w:cs="Courier New"/>
          <w:sz w:val="24"/>
          <w:szCs w:val="24"/>
        </w:rPr>
        <w:t xml:space="preserve">  </w:t>
      </w:r>
    </w:p>
    <w:p w14:paraId="6D8085FA" w14:textId="77777777" w:rsidR="00E144CA" w:rsidRPr="00D140AB" w:rsidRDefault="00E144CA" w:rsidP="00327DF4">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Another commenter similarly urged the Department to select the </w:t>
      </w:r>
      <w:r w:rsidRPr="00D140AB">
        <w:rPr>
          <w:rFonts w:ascii="Courier New" w:eastAsia="SimSun" w:hAnsi="Courier New" w:cs="Courier New"/>
          <w:iCs/>
          <w:sz w:val="24"/>
          <w:szCs w:val="24"/>
        </w:rPr>
        <w:t xml:space="preserve">smallest n-size needed </w:t>
      </w:r>
      <w:r w:rsidRPr="00D140AB">
        <w:rPr>
          <w:rFonts w:ascii="Courier New" w:eastAsia="SimSun" w:hAnsi="Courier New" w:cs="Courier New"/>
          <w:sz w:val="24"/>
          <w:szCs w:val="24"/>
        </w:rPr>
        <w:t xml:space="preserve">for student privacy and statistical validity, and design the final regulations so that programs that capture the </w:t>
      </w:r>
      <w:r w:rsidRPr="00D140AB">
        <w:rPr>
          <w:rFonts w:ascii="Courier New" w:eastAsia="SimSun" w:hAnsi="Courier New" w:cs="Courier New"/>
          <w:iCs/>
          <w:sz w:val="24"/>
          <w:szCs w:val="24"/>
        </w:rPr>
        <w:t>vast majority</w:t>
      </w:r>
      <w:r w:rsidRPr="00D140AB">
        <w:rPr>
          <w:rFonts w:ascii="Courier New" w:eastAsia="SimSun" w:hAnsi="Courier New" w:cs="Courier New"/>
          <w:i/>
          <w:iCs/>
          <w:sz w:val="24"/>
          <w:szCs w:val="24"/>
        </w:rPr>
        <w:t xml:space="preserve"> </w:t>
      </w:r>
      <w:r w:rsidRPr="00D140AB">
        <w:rPr>
          <w:rFonts w:ascii="Courier New" w:eastAsia="SimSun" w:hAnsi="Courier New" w:cs="Courier New"/>
          <w:sz w:val="24"/>
          <w:szCs w:val="24"/>
        </w:rPr>
        <w:t xml:space="preserve">of career education program enrollment </w:t>
      </w:r>
      <w:r w:rsidRPr="00D140AB">
        <w:rPr>
          <w:rFonts w:ascii="Courier New" w:eastAsia="SimSun" w:hAnsi="Courier New" w:cs="Courier New"/>
          <w:sz w:val="24"/>
          <w:szCs w:val="24"/>
        </w:rPr>
        <w:lastRenderedPageBreak/>
        <w:t xml:space="preserve">are assessed under the accountability metrics.  The commenter was concerned in particular that the provision in the NPRM to disaggregate undergraduate certificates into three credential levels based on their length would result in many programs falling below the minimum n-size of 30 </w:t>
      </w:r>
      <w:r>
        <w:rPr>
          <w:rFonts w:ascii="Courier New" w:eastAsia="SimSun" w:hAnsi="Courier New" w:cs="Courier New"/>
          <w:sz w:val="24"/>
          <w:szCs w:val="24"/>
        </w:rPr>
        <w:t>and</w:t>
      </w:r>
      <w:r w:rsidRPr="00D140AB">
        <w:rPr>
          <w:rFonts w:ascii="Courier New" w:eastAsia="SimSun" w:hAnsi="Courier New" w:cs="Courier New"/>
          <w:sz w:val="24"/>
          <w:szCs w:val="24"/>
        </w:rPr>
        <w:t xml:space="preserve"> therefore not be</w:t>
      </w:r>
      <w:r>
        <w:rPr>
          <w:rFonts w:ascii="Courier New" w:eastAsia="SimSun" w:hAnsi="Courier New" w:cs="Courier New"/>
          <w:sz w:val="24"/>
          <w:szCs w:val="24"/>
        </w:rPr>
        <w:t>ing</w:t>
      </w:r>
      <w:r w:rsidRPr="00D140AB">
        <w:rPr>
          <w:rFonts w:ascii="Courier New" w:eastAsia="SimSun" w:hAnsi="Courier New" w:cs="Courier New"/>
          <w:sz w:val="24"/>
          <w:szCs w:val="24"/>
        </w:rPr>
        <w:t xml:space="preserve"> evaluated under these regulations.  </w:t>
      </w:r>
    </w:p>
    <w:p w14:paraId="76A0B823" w14:textId="1F18FBAB" w:rsidR="00E144CA" w:rsidRPr="00D140AB" w:rsidRDefault="00327DF4" w:rsidP="00327DF4">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One commenter contended that the Department’s statistical analysis showed that the probability of a program that is near failing actually losing eligibility under the regulations is 1.4 percent.  The commenter argued that, because this probability was only for programs on the margin, the chance that a randomly chosen program could lose eligibility when it was actually passing approached zero.  The commenter believed that an n-size of 30 would be a weaker standard and that the data demonstrated accuracy of the metrics at an n-size of 10.  As a result, the commenter concluded that there is little justification for an n-size of 30 and allowing hundreds of failing programs to remain eligible for title IV, HEA program funds. </w:t>
      </w:r>
    </w:p>
    <w:p w14:paraId="0EC4FB59" w14:textId="77777777" w:rsidR="00E144CA" w:rsidRPr="00D140AB" w:rsidRDefault="00E144CA" w:rsidP="006F3116">
      <w:pPr>
        <w:autoSpaceDE w:val="0"/>
        <w:autoSpaceDN w:val="0"/>
        <w:adjustRightInd w:val="0"/>
        <w:spacing w:after="0" w:line="480" w:lineRule="auto"/>
        <w:rPr>
          <w:rFonts w:ascii="Courier New" w:hAnsi="Courier New" w:cs="Courier New"/>
          <w:sz w:val="24"/>
          <w:szCs w:val="24"/>
        </w:rPr>
      </w:pPr>
      <w:r w:rsidRPr="00D140AB">
        <w:rPr>
          <w:rFonts w:ascii="Courier New" w:eastAsia="SimSun" w:hAnsi="Courier New" w:cs="Courier New"/>
          <w:sz w:val="24"/>
          <w:szCs w:val="24"/>
        </w:rPr>
        <w:t xml:space="preserve">     Other commenters also believed that the larger n-size would allow some failing programs to pass the accountability metrics.  One of these commenters cited the Department’s analysis, which stated that</w:t>
      </w:r>
      <w:r w:rsidRPr="00D140AB">
        <w:rPr>
          <w:rFonts w:ascii="Courier New" w:hAnsi="Courier New" w:cs="Courier New"/>
          <w:sz w:val="24"/>
          <w:szCs w:val="24"/>
        </w:rPr>
        <w:t xml:space="preserve"> using an n-size of 10 will cover 75 percent of all students enrolled in GE programs while using an n-size of 30 would only cover 60 percent of students enrolled in GE programs.  </w:t>
      </w:r>
      <w:r w:rsidRPr="00D140AB">
        <w:rPr>
          <w:rFonts w:ascii="Courier New" w:hAnsi="Courier New" w:cs="Courier New"/>
          <w:sz w:val="24"/>
          <w:szCs w:val="24"/>
        </w:rPr>
        <w:lastRenderedPageBreak/>
        <w:t>The commenter said that by moving to a larger n-size</w:t>
      </w:r>
      <w:r>
        <w:rPr>
          <w:rFonts w:ascii="Courier New" w:hAnsi="Courier New" w:cs="Courier New"/>
          <w:sz w:val="24"/>
          <w:szCs w:val="24"/>
        </w:rPr>
        <w:t>,</w:t>
      </w:r>
      <w:r w:rsidRPr="00D140AB">
        <w:rPr>
          <w:rFonts w:ascii="Courier New" w:hAnsi="Courier New" w:cs="Courier New"/>
          <w:sz w:val="24"/>
          <w:szCs w:val="24"/>
        </w:rPr>
        <w:t xml:space="preserve"> the Department estimates that over 300 programs that would fail the D/E rates measure would no longer be held accountable and that an additional 439 programs in the “zone” would not be subject to the </w:t>
      </w:r>
      <w:r>
        <w:rPr>
          <w:rFonts w:ascii="Courier New" w:hAnsi="Courier New" w:cs="Courier New"/>
          <w:sz w:val="24"/>
          <w:szCs w:val="24"/>
        </w:rPr>
        <w:t>D/E rates measure</w:t>
      </w:r>
      <w:r w:rsidRPr="00D140AB">
        <w:rPr>
          <w:rFonts w:ascii="Courier New" w:hAnsi="Courier New" w:cs="Courier New"/>
          <w:sz w:val="24"/>
          <w:szCs w:val="24"/>
        </w:rPr>
        <w:t xml:space="preserve">.  The commenter concluded that the larger n-size creates a loophole that will allow hundreds of failing programs to continue to receive title IV, HEA program funds.  </w:t>
      </w:r>
      <w:r w:rsidRPr="00D22C35">
        <w:rPr>
          <w:rFonts w:ascii="Courier New" w:hAnsi="Courier New"/>
          <w:sz w:val="24"/>
        </w:rPr>
        <w:t>O</w:t>
      </w:r>
      <w:r w:rsidRPr="00D22C35">
        <w:rPr>
          <w:rFonts w:ascii="Courier New" w:eastAsia="SimSun" w:hAnsi="Courier New"/>
          <w:sz w:val="24"/>
        </w:rPr>
        <w:t>ther commenters similarly concluded that an n-size of 30 creates a loophole where institutions would have the ability to adjust their program size to evade the regulations.</w:t>
      </w:r>
      <w:r w:rsidRPr="00D140AB">
        <w:rPr>
          <w:rFonts w:ascii="Courier New" w:eastAsia="SimSun" w:hAnsi="Courier New" w:cs="Courier New"/>
          <w:sz w:val="24"/>
          <w:szCs w:val="24"/>
        </w:rPr>
        <w:t xml:space="preserve">    </w:t>
      </w:r>
    </w:p>
    <w:p w14:paraId="35EB36B6" w14:textId="4D8E79F8"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On the other hand, several commenters supported the Department’s proposal to use a minimum n-size of 30.  These commenters stated that the substantial majority of students in GE programs would be captured using this n-size.  These commenters believed that an n-size of 10 is too small and not statistically significant, </w:t>
      </w:r>
      <w:r w:rsidR="00E144CA">
        <w:rPr>
          <w:rFonts w:ascii="Courier New" w:eastAsia="SimSun" w:hAnsi="Courier New" w:cs="Courier New"/>
          <w:sz w:val="24"/>
          <w:szCs w:val="24"/>
        </w:rPr>
        <w:t>and</w:t>
      </w:r>
      <w:r w:rsidR="00E144CA" w:rsidRPr="00D140AB">
        <w:rPr>
          <w:rFonts w:ascii="Courier New" w:eastAsia="SimSun" w:hAnsi="Courier New" w:cs="Courier New"/>
          <w:sz w:val="24"/>
          <w:szCs w:val="24"/>
        </w:rPr>
        <w:t xml:space="preserve"> that with an n-size of 10, the results of a small number of students would sway outcomes from year to year and outcomes would be more sensitive to economic fluctuations.  The commenters asserted that when compared with outcomes under an n-size of 10, outcomes under an n-size of 30 will always have a lower standard error and are therefore likely to lead to more accurate results.  The commenters argued that a larger sample size will have less variability and yield more reliable results than a smaller one taken from the same </w:t>
      </w:r>
      <w:r w:rsidR="00E144CA" w:rsidRPr="00D140AB">
        <w:rPr>
          <w:rFonts w:ascii="Courier New" w:eastAsia="SimSun" w:hAnsi="Courier New" w:cs="Courier New"/>
          <w:sz w:val="24"/>
          <w:szCs w:val="24"/>
        </w:rPr>
        <w:lastRenderedPageBreak/>
        <w:t xml:space="preserve">population.  One commenter referred to </w:t>
      </w:r>
      <w:r w:rsidR="00E144CA" w:rsidRPr="00D140AB">
        <w:rPr>
          <w:rFonts w:ascii="Courier New" w:hAnsi="Courier New" w:cs="Courier New"/>
          <w:sz w:val="24"/>
          <w:szCs w:val="24"/>
        </w:rPr>
        <w:t xml:space="preserve">Roscoe, J.T., </w:t>
      </w:r>
      <w:r w:rsidR="00E144CA" w:rsidRPr="00D140AB">
        <w:rPr>
          <w:rFonts w:ascii="Courier New" w:hAnsi="Courier New" w:cs="Courier New"/>
          <w:i/>
          <w:iCs/>
          <w:sz w:val="24"/>
          <w:szCs w:val="24"/>
        </w:rPr>
        <w:t>Fundamental Research Statistics for the Behavioral Sciences</w:t>
      </w:r>
      <w:r w:rsidR="00E144CA" w:rsidRPr="00D140AB">
        <w:rPr>
          <w:rFonts w:ascii="Courier New" w:hAnsi="Courier New" w:cs="Courier New"/>
          <w:sz w:val="24"/>
          <w:szCs w:val="24"/>
        </w:rPr>
        <w:t>, 1975, which</w:t>
      </w:r>
      <w:r w:rsidR="00E144CA" w:rsidRPr="00D140AB">
        <w:rPr>
          <w:rFonts w:ascii="Courier New" w:eastAsia="SimSun" w:hAnsi="Courier New" w:cs="Courier New"/>
          <w:sz w:val="24"/>
          <w:szCs w:val="24"/>
        </w:rPr>
        <w:t>,</w:t>
      </w:r>
      <w:r w:rsidR="00E144CA" w:rsidRPr="00D140AB" w:rsidDel="00632FBF">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according to the commenter, cites as </w:t>
      </w:r>
      <w:r w:rsidR="00E144CA">
        <w:rPr>
          <w:rFonts w:ascii="Courier New" w:eastAsia="SimSun" w:hAnsi="Courier New" w:cs="Courier New"/>
          <w:sz w:val="24"/>
          <w:szCs w:val="24"/>
        </w:rPr>
        <w:t>a</w:t>
      </w:r>
      <w:r w:rsidR="00E144CA" w:rsidRPr="00D140AB">
        <w:rPr>
          <w:rFonts w:ascii="Courier New" w:eastAsia="SimSun" w:hAnsi="Courier New" w:cs="Courier New"/>
          <w:sz w:val="24"/>
          <w:szCs w:val="24"/>
        </w:rPr>
        <w:t xml:space="preserve"> rule of thumb that sample sizes larger than 30 and less than 500 are appropriate for most research.  The commenter suggested that the Department’s analysis showed that the average probability that a passing program would be mischaracterized as a zone program in a single year drops from 6.7 percent to 2.7 percent when the n-size changes from 10 to 30.  </w:t>
      </w:r>
    </w:p>
    <w:p w14:paraId="1B9EB27F" w14:textId="6DEA10AF"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Another commenter argued that a minimum n-size of 10 increases the potential that a particular student in a cohort could be identified, putting student privacy at risk. </w:t>
      </w:r>
      <w:r w:rsidR="00E144CA">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Other</w:t>
      </w:r>
      <w:r w:rsidR="00E144CA">
        <w:rPr>
          <w:rFonts w:ascii="Courier New" w:eastAsia="SimSun" w:hAnsi="Courier New" w:cs="Courier New"/>
          <w:sz w:val="24"/>
          <w:szCs w:val="24"/>
        </w:rPr>
        <w:t xml:space="preserve"> commenters</w:t>
      </w:r>
      <w:r w:rsidR="00E144CA" w:rsidRPr="00D140AB">
        <w:rPr>
          <w:rFonts w:ascii="Courier New" w:eastAsia="SimSun" w:hAnsi="Courier New" w:cs="Courier New"/>
          <w:sz w:val="24"/>
          <w:szCs w:val="24"/>
        </w:rPr>
        <w:t xml:space="preserve"> </w:t>
      </w:r>
      <w:r w:rsidR="00E144CA">
        <w:rPr>
          <w:rFonts w:ascii="Courier New" w:eastAsia="SimSun" w:hAnsi="Courier New" w:cs="Courier New"/>
          <w:sz w:val="24"/>
          <w:szCs w:val="24"/>
        </w:rPr>
        <w:t xml:space="preserve">also </w:t>
      </w:r>
      <w:r w:rsidR="00E144CA" w:rsidRPr="00D140AB">
        <w:rPr>
          <w:rFonts w:ascii="Courier New" w:eastAsia="SimSun" w:hAnsi="Courier New" w:cs="Courier New"/>
          <w:sz w:val="24"/>
          <w:szCs w:val="24"/>
        </w:rPr>
        <w:t xml:space="preserve">asserted that an n-size of 10 might </w:t>
      </w:r>
      <w:r w:rsidR="00E144CA">
        <w:rPr>
          <w:rFonts w:ascii="Courier New" w:eastAsia="SimSun" w:hAnsi="Courier New" w:cs="Courier New"/>
          <w:sz w:val="24"/>
          <w:szCs w:val="24"/>
        </w:rPr>
        <w:t xml:space="preserve">result in the </w:t>
      </w:r>
      <w:r w:rsidR="00E144CA" w:rsidRPr="00D140AB">
        <w:rPr>
          <w:rFonts w:ascii="Courier New" w:eastAsia="SimSun" w:hAnsi="Courier New" w:cs="Courier New"/>
          <w:sz w:val="24"/>
          <w:szCs w:val="24"/>
        </w:rPr>
        <w:t>disclos</w:t>
      </w:r>
      <w:r w:rsidR="00E144CA">
        <w:rPr>
          <w:rFonts w:ascii="Courier New" w:eastAsia="SimSun" w:hAnsi="Courier New" w:cs="Courier New"/>
          <w:sz w:val="24"/>
          <w:szCs w:val="24"/>
        </w:rPr>
        <w:t>ur</w:t>
      </w:r>
      <w:r w:rsidR="00E144CA" w:rsidRPr="00D140AB">
        <w:rPr>
          <w:rFonts w:ascii="Courier New" w:eastAsia="SimSun" w:hAnsi="Courier New" w:cs="Courier New"/>
          <w:sz w:val="24"/>
          <w:szCs w:val="24"/>
        </w:rPr>
        <w:t>e</w:t>
      </w:r>
      <w:r w:rsidR="00E144CA">
        <w:rPr>
          <w:rFonts w:ascii="Courier New" w:eastAsia="SimSun" w:hAnsi="Courier New" w:cs="Courier New"/>
          <w:sz w:val="24"/>
          <w:szCs w:val="24"/>
        </w:rPr>
        <w:t xml:space="preserve"> of</w:t>
      </w:r>
      <w:r w:rsidR="00E144CA" w:rsidRPr="00D140AB">
        <w:rPr>
          <w:rFonts w:ascii="Courier New" w:eastAsia="SimSun" w:hAnsi="Courier New" w:cs="Courier New"/>
          <w:sz w:val="24"/>
          <w:szCs w:val="24"/>
        </w:rPr>
        <w:t xml:space="preserve"> individually identifiable information, especially at the extremes of high and low earners. </w:t>
      </w:r>
    </w:p>
    <w:p w14:paraId="32326577" w14:textId="478EF180"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Pr>
          <w:rFonts w:ascii="Courier New" w:eastAsia="SimSun" w:hAnsi="Courier New" w:cs="Courier New"/>
          <w:sz w:val="24"/>
          <w:szCs w:val="24"/>
        </w:rPr>
        <w:t>One</w:t>
      </w:r>
      <w:r w:rsidR="00E144CA" w:rsidRPr="00D140AB">
        <w:rPr>
          <w:rFonts w:ascii="Courier New" w:eastAsia="SimSun" w:hAnsi="Courier New" w:cs="Courier New"/>
          <w:sz w:val="24"/>
          <w:szCs w:val="24"/>
        </w:rPr>
        <w:t xml:space="preserve"> commenter believed that volatility resulting from too small of a sample size would create uncertainty that would chill efforts to launch new programs.</w:t>
      </w:r>
    </w:p>
    <w:p w14:paraId="526B49F7"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believe that an n-size of 30 strikes an appropriate balance between accurately measuring D/E rates for each program and applying the accountability metric to as many gainful employment programs as possible.  Although a number of commenters supported our proposal to use an n-size of </w:t>
      </w:r>
      <w:r>
        <w:rPr>
          <w:rFonts w:ascii="Courier New" w:eastAsia="SimSun" w:hAnsi="Courier New" w:cs="Courier New"/>
          <w:sz w:val="24"/>
          <w:szCs w:val="24"/>
        </w:rPr>
        <w:t>30</w:t>
      </w:r>
      <w:r w:rsidRPr="00D140AB">
        <w:rPr>
          <w:rFonts w:ascii="Courier New" w:eastAsia="SimSun" w:hAnsi="Courier New" w:cs="Courier New"/>
          <w:sz w:val="24"/>
          <w:szCs w:val="24"/>
        </w:rPr>
        <w:t>, in general we do not agree with their reasoning</w:t>
      </w:r>
      <w:r>
        <w:rPr>
          <w:rFonts w:ascii="Courier New" w:eastAsia="SimSun" w:hAnsi="Courier New" w:cs="Courier New"/>
          <w:sz w:val="24"/>
          <w:szCs w:val="24"/>
        </w:rPr>
        <w:t xml:space="preserve"> for doing so</w:t>
      </w:r>
      <w:r w:rsidRPr="00D140AB">
        <w:rPr>
          <w:rFonts w:ascii="Courier New" w:eastAsia="SimSun" w:hAnsi="Courier New" w:cs="Courier New"/>
          <w:sz w:val="24"/>
          <w:szCs w:val="24"/>
        </w:rPr>
        <w:t xml:space="preserve">.  </w:t>
      </w:r>
    </w:p>
    <w:p w14:paraId="79016A5C" w14:textId="51D392F1"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lastRenderedPageBreak/>
        <w:t xml:space="preserve">     </w:t>
      </w:r>
      <w:r w:rsidR="00E144CA" w:rsidRPr="00D140AB">
        <w:rPr>
          <w:rFonts w:ascii="Courier New" w:eastAsia="SimSun" w:hAnsi="Courier New" w:cs="Courier New"/>
          <w:sz w:val="24"/>
          <w:szCs w:val="24"/>
        </w:rPr>
        <w:t xml:space="preserve">We disagree that mitigating the impact of economic fluctuations on D/E rates provides a direct rationale for choosing a higher minimum n-size.  The Department has not found any evidence that D/E rates for smaller programs are more sensitive to economic fluctuations than larger programs.  N-size affects the variability of D/E rates from year to year due to statistically random differences in the D/E rates of individual students.  The greater the n-size, the less these year-to-year differences will affect measures of central tendency, such as those used to calculate the D/E rates.  As discussed in “§668.403  Gainful Employment Program Framework,” we believe the impact of economic fluctuations on program performance is mitigated because programs must fall in the zone for four consecutive years before becoming ineligible for title IV, HEA program funds.  We also include multiple years of debt and earnings data in our D/E rates calculation to smooth out fluctuations in the economic business cycle, along with fluctuations in the local labor market. </w:t>
      </w:r>
    </w:p>
    <w:p w14:paraId="465A3F43"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ab/>
        <w:t xml:space="preserve">We also disagree that a minimum n-size of 30 is preferable to an n-size of 10 in order to minimize year-to-year fluctuations, per se.  A program’s D/E rates may change from year to year due to changes in educational quality provided to students, prices charged by the institution, or other factors.  These fluctuations are likely to occur regardless of n-size and </w:t>
      </w:r>
      <w:r w:rsidRPr="00D140AB">
        <w:rPr>
          <w:rFonts w:ascii="Courier New" w:eastAsia="SimSun" w:hAnsi="Courier New" w:cs="Courier New"/>
          <w:sz w:val="24"/>
          <w:szCs w:val="24"/>
        </w:rPr>
        <w:lastRenderedPageBreak/>
        <w:t xml:space="preserve">we view them as accurate indications of changes in programmatic performance under the D/E rates measure. </w:t>
      </w:r>
    </w:p>
    <w:p w14:paraId="0F39C04A" w14:textId="3CB9006B"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We further disagree that a minimum n-size of 30 is necessary to protect the privacy of students.  Based on NCES standards, an n-size of 10 is sufficient to protect the privacy of students on measures of central tendency such as the D/E rates measure.</w:t>
      </w:r>
      <w:r w:rsidR="00E144CA">
        <w:rPr>
          <w:rFonts w:ascii="Courier New" w:eastAsia="SimSun" w:hAnsi="Courier New" w:cs="Courier New"/>
          <w:sz w:val="24"/>
          <w:szCs w:val="24"/>
        </w:rPr>
        <w:t xml:space="preserve">  </w:t>
      </w:r>
    </w:p>
    <w:p w14:paraId="35928D48" w14:textId="2051CCAF"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Finally, we disagree that our data analysis indicates that a D/E rates measure with a minimum n-size of 10 is statistically unreliable.  Our analysis indicates that the probability of mischaracterizing a program as zone or failing due to statistical imprecision when the n-size is 10 is 6.7 percent.  By most generally accepted statistical standards, this probability of mischaracterization is modest.  For this reason that we believe a minimum n-size of 10 produces D/E rates, and additionally median loan debt and mean and median earnings calculations, sufficiently precise for disclosure. </w:t>
      </w:r>
    </w:p>
    <w:p w14:paraId="5242D80D" w14:textId="7D2617CF"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As discussed in the NPRM, we believe a minimum n-size of 30 is a more appropriate threshold for the D/E rates measure when it is used as an accountability metric--not because it would be invalid at a minimum n-size of 10, but because even slight statistical imprecision could lead to mischaracterizing a program as zone or failing which would precipitate substantial negative consequences, such as requiring programs to warn </w:t>
      </w:r>
      <w:r w:rsidR="00E144CA" w:rsidRPr="00D140AB">
        <w:rPr>
          <w:rFonts w:ascii="Courier New" w:eastAsia="SimSun" w:hAnsi="Courier New" w:cs="Courier New"/>
          <w:sz w:val="24"/>
          <w:szCs w:val="24"/>
        </w:rPr>
        <w:lastRenderedPageBreak/>
        <w:t>students they could lose eligibility for title IV, HEA program funds.  Given these consequences, we believe it is more appropriate to set the minimum n-size at 30</w:t>
      </w:r>
      <w:r w:rsidR="00E144CA">
        <w:rPr>
          <w:rFonts w:ascii="Courier New" w:eastAsia="SimSun" w:hAnsi="Courier New" w:cs="Courier New"/>
          <w:sz w:val="24"/>
          <w:szCs w:val="24"/>
        </w:rPr>
        <w:t xml:space="preserve"> for accountability determinations</w:t>
      </w:r>
      <w:r w:rsidR="00E144CA" w:rsidRPr="00D140AB">
        <w:rPr>
          <w:rFonts w:ascii="Courier New" w:eastAsia="SimSun" w:hAnsi="Courier New" w:cs="Courier New"/>
          <w:sz w:val="24"/>
          <w:szCs w:val="24"/>
        </w:rPr>
        <w:t xml:space="preserve">. </w:t>
      </w:r>
    </w:p>
    <w:p w14:paraId="69673CD8" w14:textId="396C4FEB"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So, even though an n-size of 10 would provide a sufficiently precise measure of D/E rates, our analysis shows an n-size of 30 is more appropriate because it reduces the possibility of mischaracterizing a program as zone or failing in a single year.  It also reduces the possibility of a program becoming ineligible as a result of multiple mischaracterizations over time.  </w:t>
      </w:r>
    </w:p>
    <w:p w14:paraId="3896074E" w14:textId="0B42BD9F"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As provided in the NPRM, if the minimum number of students completing a program necessary to calculate the program’s D/E rates is set at 30, the expected or average probability that a passing program would be mischaracterized as a zone program in a single year is no more than 2.7 percent.  Because this is an average across all programs with passing D/E rates, the probability is lower the farther a program is from the passing threshold and higher for programs with D/E rates closer to the passing threshold.  At an n-size of 10, the probability that a passing program would be mischaracterized as a zone program in a single year would be no more than 6.7 percent.  </w:t>
      </w:r>
    </w:p>
    <w:p w14:paraId="6EA31732" w14:textId="6DC0D433"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Although the difference in the precision of the D/E rates with n-sizes of 10 and 30, respectively, may seem modest, there </w:t>
      </w:r>
      <w:r w:rsidR="00E144CA" w:rsidRPr="00D140AB">
        <w:rPr>
          <w:rFonts w:ascii="Courier New" w:eastAsia="SimSun" w:hAnsi="Courier New" w:cs="Courier New"/>
          <w:sz w:val="24"/>
          <w:szCs w:val="24"/>
        </w:rPr>
        <w:lastRenderedPageBreak/>
        <w:t xml:space="preserve">are substantial benefits in reducing the probability of mischaracterization of being in the zone from 6.7 percent to 2.7 percent.  While a program will not lose eligibility if it is mischaracterized in the zone for a single year, it will face some negative consequences because the institution could lose eligibility for title IV, HEA program funds within four years.  Further, the program’s D/E rates will be published by the Department and potentially subject to disclosure by the institution.   </w:t>
      </w:r>
    </w:p>
    <w:p w14:paraId="01BDCD88" w14:textId="023212E6"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Additionally, there are benefits to ensuring that the probability of a passing program being mischaracterized as a failing program in a single year is close to zero.  At an n-size of 10, the probability is as high as 0.7 percent, while at an n-size of 30 it is close to 0 percent.  By setting the n-size at 30, </w:t>
      </w:r>
      <w:r w:rsidR="00E144CA">
        <w:rPr>
          <w:rFonts w:ascii="Courier New" w:eastAsia="SimSun" w:hAnsi="Courier New" w:cs="Courier New"/>
          <w:sz w:val="24"/>
          <w:szCs w:val="24"/>
        </w:rPr>
        <w:t xml:space="preserve">it is a virtual certainty that </w:t>
      </w:r>
      <w:r w:rsidR="00E144CA" w:rsidRPr="00D140AB">
        <w:rPr>
          <w:rFonts w:ascii="Courier New" w:eastAsia="SimSun" w:hAnsi="Courier New" w:cs="Courier New"/>
          <w:sz w:val="24"/>
          <w:szCs w:val="24"/>
        </w:rPr>
        <w:t>passing programs will not mischaracterized as failing the D/E rates measure due to statistical imprecision.  In this case, reducing imprecision is particularly important because programs would be required to warn students they could lose eligibility as soon as the next year for which D/E rates are calculated.</w:t>
      </w:r>
    </w:p>
    <w:p w14:paraId="69829154" w14:textId="560BAECF"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 xml:space="preserve">In addition to reducing the probability of single-year mischaracterizations, it is appropriate to set an n-size of 30 to reduce the probability of a passing program losing eligibility due to statistical imprecision and anomalies.  </w:t>
      </w:r>
      <w:r w:rsidR="00E144CA" w:rsidRPr="00D140AB">
        <w:rPr>
          <w:rFonts w:ascii="Courier New" w:eastAsia="SimSun" w:hAnsi="Courier New" w:cs="Courier New"/>
          <w:sz w:val="24"/>
          <w:szCs w:val="24"/>
        </w:rPr>
        <w:lastRenderedPageBreak/>
        <w:t>Because the consequences are substantial, it is important we set the minimum n-size at 30 in order to reduce the probability of statistical mischaracterization to near zero.  As stated in the NPRM, because no program would be found ineligible after just a single year, it is important to look at the statistical precision analysis across multiple years.  These probabilities drop significantly for both an n-size of 30 and 10 when looking across the four years that a program could be in the zone before being determined ineligible.  The average probability of a passing program becoming ineligible as a result of being mischaracterized as a zone program for four consecutive years at an n-size of 30 is close to 0 percent.  At an n-size of 10, the average probability is as high as 1.4 percent.  Although we are unable to provide precise probabilities for the scenario in which a program fails the D/E rates measure in two out of three years due to limitations in our data, our analysis indicates the probability of a passing program becoming ineligible due to failing the D/E rates measure two out of three years could be as high as 0.7 percent with a minimum n-size of 10.</w:t>
      </w:r>
      <w:r w:rsidR="00E144CA" w:rsidRPr="00D140AB">
        <w:rPr>
          <w:rFonts w:ascii="Courier New" w:eastAsia="SimSun" w:hAnsi="Courier New" w:cs="Courier New"/>
          <w:sz w:val="24"/>
          <w:szCs w:val="24"/>
          <w:vertAlign w:val="superscript"/>
        </w:rPr>
        <w:footnoteReference w:id="142"/>
      </w:r>
      <w:r w:rsidR="00E144CA" w:rsidRPr="00D140AB">
        <w:rPr>
          <w:rFonts w:ascii="Courier New" w:eastAsia="SimSun" w:hAnsi="Courier New" w:cs="Courier New"/>
          <w:sz w:val="24"/>
          <w:szCs w:val="24"/>
        </w:rPr>
        <w:t xml:space="preserve">  In contrast, the probability of mischaracterization due to failing the D/E </w:t>
      </w:r>
      <w:r w:rsidR="00E144CA" w:rsidRPr="00D140AB">
        <w:rPr>
          <w:rFonts w:ascii="Courier New" w:eastAsia="SimSun" w:hAnsi="Courier New" w:cs="Courier New"/>
          <w:sz w:val="24"/>
          <w:szCs w:val="24"/>
        </w:rPr>
        <w:lastRenderedPageBreak/>
        <w:t>rates measure in two out of three years is close to zero percent with a minimum n-size of 30.</w:t>
      </w:r>
    </w:p>
    <w:p w14:paraId="510E22D3" w14:textId="77777777" w:rsidR="00E144CA" w:rsidRPr="00D140AB" w:rsidRDefault="00E144CA"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Although setting a minimum n-size of 30 reduces the percentage of programs that are evaluated by the D/E rates measure, which may result in more programs with high D/E rates remaining eligible than with a minimum n-size of 10, we believe the consequences of mischaracterizing programs due to statistical imprecision outweighs this concern.  </w:t>
      </w:r>
    </w:p>
    <w:p w14:paraId="265AEB4B" w14:textId="193E3051" w:rsidR="00E144CA" w:rsidRPr="00D140AB" w:rsidRDefault="006F3116"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00E144CA" w:rsidRPr="00D140AB">
        <w:rPr>
          <w:rFonts w:ascii="Courier New" w:eastAsia="SimSun" w:hAnsi="Courier New" w:cs="Courier New"/>
          <w:sz w:val="24"/>
          <w:szCs w:val="24"/>
        </w:rPr>
        <w:t>We also do not believe that the possibility of increased “churn” due to programs attempting to decrease the number of students who complete a program to below 30 outweighs the benefits of greater st</w:t>
      </w:r>
      <w:r w:rsidR="00E144CA">
        <w:rPr>
          <w:rFonts w:ascii="Courier New" w:eastAsia="SimSun" w:hAnsi="Courier New" w:cs="Courier New"/>
          <w:sz w:val="24"/>
          <w:szCs w:val="24"/>
        </w:rPr>
        <w:t>atistical precision.  First, if</w:t>
      </w:r>
      <w:r w:rsidR="00E144CA" w:rsidRPr="00D140AB">
        <w:rPr>
          <w:rFonts w:ascii="Courier New" w:eastAsia="SimSun" w:hAnsi="Courier New" w:cs="Courier New"/>
          <w:sz w:val="24"/>
          <w:szCs w:val="24"/>
        </w:rPr>
        <w:t xml:space="preserve"> the minimum n-size is 10, it is unclear that we would reduce the possibility of “churn.”  Programs, particularly programs near an n-size of 10, could still attempt to lower the number of students completing the program to avoid being evaluated.  Second, we have included several provisions in the regulations to discourage programs from increasing non-completion among students.  As discussed in “§668.403  Gainful Employment Program Framework,” among the items institutions may be required to disclose are completion rates and pCDR, which will provide prospective students with information to avoid enrollment in high “churn” programs.  </w:t>
      </w:r>
    </w:p>
    <w:p w14:paraId="090172A4" w14:textId="77777777" w:rsidR="00E144CA" w:rsidRPr="00D140AB" w:rsidRDefault="00E144CA" w:rsidP="006F3116">
      <w:pPr>
        <w:spacing w:after="0" w:line="480" w:lineRule="auto"/>
        <w:rPr>
          <w:rFonts w:ascii="Courier New" w:eastAsia="SimSun" w:hAnsi="Courier New" w:cs="Courier New"/>
          <w:sz w:val="24"/>
          <w:szCs w:val="24"/>
          <w:u w:val="single"/>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1797C19E"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lang w:eastAsia="zh-CN"/>
        </w:rPr>
        <w:lastRenderedPageBreak/>
        <w:t>Comments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One</w:t>
      </w:r>
      <w:r w:rsidRPr="00D140AB">
        <w:rPr>
          <w:rFonts w:ascii="Courier New" w:eastAsia="SimSun" w:hAnsi="Courier New" w:cs="Courier New"/>
          <w:sz w:val="24"/>
          <w:szCs w:val="24"/>
        </w:rPr>
        <w:t xml:space="preserve"> commenter noted it is difficult to evaluate the impact of </w:t>
      </w:r>
      <w:r>
        <w:rPr>
          <w:rFonts w:ascii="Courier New" w:eastAsia="SimSun" w:hAnsi="Courier New" w:cs="Courier New"/>
          <w:sz w:val="24"/>
          <w:szCs w:val="24"/>
        </w:rPr>
        <w:t>the n-size provision of the regulations</w:t>
      </w:r>
      <w:r w:rsidRPr="00D140AB">
        <w:rPr>
          <w:rFonts w:ascii="Courier New" w:eastAsia="SimSun" w:hAnsi="Courier New" w:cs="Courier New"/>
          <w:sz w:val="24"/>
          <w:szCs w:val="24"/>
        </w:rPr>
        <w:t xml:space="preserve"> because the Department change</w:t>
      </w:r>
      <w:r>
        <w:rPr>
          <w:rFonts w:ascii="Courier New" w:eastAsia="SimSun" w:hAnsi="Courier New" w:cs="Courier New"/>
          <w:sz w:val="24"/>
          <w:szCs w:val="24"/>
        </w:rPr>
        <w:t>d</w:t>
      </w:r>
      <w:r w:rsidRPr="00D140AB">
        <w:rPr>
          <w:rFonts w:ascii="Courier New" w:eastAsia="SimSun" w:hAnsi="Courier New" w:cs="Courier New"/>
          <w:sz w:val="24"/>
          <w:szCs w:val="24"/>
        </w:rPr>
        <w:t xml:space="preserve"> how it defines a program </w:t>
      </w:r>
      <w:r>
        <w:rPr>
          <w:rFonts w:ascii="Courier New" w:eastAsia="SimSun" w:hAnsi="Courier New" w:cs="Courier New"/>
          <w:sz w:val="24"/>
          <w:szCs w:val="24"/>
        </w:rPr>
        <w:t>by proposing</w:t>
      </w:r>
      <w:r w:rsidRPr="00D140AB">
        <w:rPr>
          <w:rFonts w:ascii="Courier New" w:eastAsia="SimSun" w:hAnsi="Courier New" w:cs="Courier New"/>
          <w:sz w:val="24"/>
          <w:szCs w:val="24"/>
        </w:rPr>
        <w:t xml:space="preserve"> to break out undergraduate certificates into three credential levels based on </w:t>
      </w:r>
      <w:r>
        <w:rPr>
          <w:rFonts w:ascii="Courier New" w:eastAsia="SimSun" w:hAnsi="Courier New" w:cs="Courier New"/>
          <w:sz w:val="24"/>
          <w:szCs w:val="24"/>
        </w:rPr>
        <w:t>program</w:t>
      </w:r>
      <w:r w:rsidRPr="00D140AB">
        <w:rPr>
          <w:rFonts w:ascii="Courier New" w:eastAsia="SimSun" w:hAnsi="Courier New" w:cs="Courier New"/>
          <w:sz w:val="24"/>
          <w:szCs w:val="24"/>
        </w:rPr>
        <w:t xml:space="preserve"> length.</w:t>
      </w:r>
    </w:p>
    <w:p w14:paraId="33EB7B2E"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rPr>
        <w:t>As noted previously, we are no longer classifying certificate programs based on program length.</w:t>
      </w:r>
    </w:p>
    <w:p w14:paraId="6BE150B3" w14:textId="77777777" w:rsidR="00E144CA" w:rsidRPr="00D140AB" w:rsidRDefault="00E144CA" w:rsidP="006F3116">
      <w:pPr>
        <w:spacing w:after="0" w:line="480" w:lineRule="auto"/>
        <w:rPr>
          <w:rFonts w:ascii="Courier New" w:eastAsia="SimSun" w:hAnsi="Courier New" w:cs="Courier New"/>
          <w:sz w:val="24"/>
          <w:szCs w:val="24"/>
          <w:lang w:eastAsia="zh-CN"/>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DE1DDAF" w14:textId="77777777" w:rsidR="00E144CA" w:rsidRPr="00D140AB" w:rsidRDefault="00E144CA" w:rsidP="006F3116">
      <w:pPr>
        <w:pStyle w:val="Heading2"/>
        <w:ind w:left="0"/>
      </w:pPr>
      <w:r w:rsidRPr="00D140AB">
        <w:t>Transition Period</w:t>
      </w:r>
    </w:p>
    <w:p w14:paraId="1D0269C1"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w:t>
      </w:r>
      <w:r w:rsidRPr="00D140AB">
        <w:rPr>
          <w:rFonts w:ascii="Courier New" w:eastAsia="SimSun" w:hAnsi="Courier New" w:cs="Courier New"/>
          <w:sz w:val="24"/>
          <w:szCs w:val="24"/>
          <w:lang w:eastAsia="zh-CN"/>
        </w:rPr>
        <w:t xml:space="preserve">A number of </w:t>
      </w:r>
      <w:r w:rsidRPr="00D140AB">
        <w:rPr>
          <w:rFonts w:ascii="Courier New" w:eastAsia="SimSun" w:hAnsi="Courier New" w:cs="Courier New"/>
          <w:sz w:val="24"/>
          <w:szCs w:val="24"/>
        </w:rPr>
        <w:t>commenters expressed concern that the proposed transition period would not provide sufficient time for programs to improve after the regulations go into effect.</w:t>
      </w: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Specifically, commenters questioned whether an institution would be able to improve a program’s D/E rates in the years following an initial failure, because the students included in calculating the D/E rates for the first several years will have already graduated from the program.  These commenters asserted that, as a result, it will be too late for institutions to improve program performance through changing the program’s admissions standards or improving financial literacy training, debt counseling, and job placement services.  One of these commenters </w:t>
      </w:r>
      <w:r>
        <w:rPr>
          <w:rFonts w:ascii="Courier New" w:eastAsia="SimSun" w:hAnsi="Courier New" w:cs="Courier New"/>
          <w:sz w:val="24"/>
          <w:szCs w:val="24"/>
        </w:rPr>
        <w:t>contended</w:t>
      </w:r>
      <w:r w:rsidRPr="00D140AB">
        <w:rPr>
          <w:rFonts w:ascii="Courier New" w:eastAsia="SimSun" w:hAnsi="Courier New" w:cs="Courier New"/>
          <w:sz w:val="24"/>
          <w:szCs w:val="24"/>
        </w:rPr>
        <w:t xml:space="preserve"> that the data that will be used to calculate D/E rates in 2015 is already fixed and cannot be affected by any current program improvement efforts. </w:t>
      </w:r>
    </w:p>
    <w:p w14:paraId="009FC92A" w14:textId="77777777" w:rsidR="00E144CA" w:rsidRPr="00D140AB" w:rsidRDefault="00E144CA"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lastRenderedPageBreak/>
        <w:t xml:space="preserve">     </w:t>
      </w:r>
      <w:r w:rsidRPr="00D140AB">
        <w:rPr>
          <w:rFonts w:ascii="Courier New" w:eastAsia="SimSun" w:hAnsi="Courier New" w:cs="Courier New"/>
          <w:sz w:val="24"/>
          <w:szCs w:val="24"/>
        </w:rPr>
        <w:t xml:space="preserve">Another commenter asserted that the Department’s proposal to consider only the debt of students graduating in the current award year during the transition period would not adequately address the challenge faced by programs longer than one year because, regardless of any recent reduction in program cost, students’ debt loads would initially be affected by debt undertaken to support earlier, potentially more costly, years in the program.  Consequently, institutions would find it very difficult to improve program outcomes for longer programs during the transition period.   </w:t>
      </w:r>
    </w:p>
    <w:p w14:paraId="0CF4FEA4"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bCs/>
          <w:sz w:val="24"/>
          <w:szCs w:val="24"/>
        </w:rPr>
        <w:t xml:space="preserve"> </w:t>
      </w:r>
      <w:r w:rsidRPr="00D140AB">
        <w:rPr>
          <w:rFonts w:ascii="Courier New" w:eastAsia="SimSun" w:hAnsi="Courier New" w:cs="Courier New"/>
          <w:sz w:val="24"/>
          <w:szCs w:val="24"/>
        </w:rPr>
        <w:t xml:space="preserve">     One commenter suggested that the Department defer the effective date of the regulations and revise the transition period so that institutions could affect the borrowing levels for all students in a cohort period throughout their period of enrollment before the program would be evaluated under the D/E rates.  </w:t>
      </w:r>
    </w:p>
    <w:p w14:paraId="2DD99DC4" w14:textId="77777777" w:rsidR="00E144CA" w:rsidRPr="00D140AB" w:rsidRDefault="00E144CA"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Pr="00D140AB">
        <w:rPr>
          <w:rFonts w:ascii="Courier New" w:eastAsia="SimSun" w:hAnsi="Courier New" w:cs="Courier New"/>
          <w:sz w:val="24"/>
          <w:szCs w:val="24"/>
        </w:rPr>
        <w:t>One commenter contended that</w:t>
      </w:r>
      <w:r w:rsidRPr="00D140AB" w:rsidDel="000E512F">
        <w:rPr>
          <w:rFonts w:ascii="Courier New" w:eastAsia="SimSun" w:hAnsi="Courier New" w:cs="Courier New"/>
          <w:sz w:val="24"/>
          <w:szCs w:val="24"/>
        </w:rPr>
        <w:t xml:space="preserve"> SSA earnings data would not be released until 2016 when the first</w:t>
      </w:r>
      <w:r w:rsidRPr="00D140AB">
        <w:rPr>
          <w:rFonts w:ascii="Courier New" w:eastAsia="SimSun" w:hAnsi="Courier New" w:cs="Courier New"/>
          <w:sz w:val="24"/>
          <w:szCs w:val="24"/>
        </w:rPr>
        <w:t xml:space="preserve"> D/E</w:t>
      </w:r>
      <w:r w:rsidRPr="00D140AB" w:rsidDel="000E512F">
        <w:rPr>
          <w:rFonts w:ascii="Courier New" w:eastAsia="SimSun" w:hAnsi="Courier New" w:cs="Courier New"/>
          <w:sz w:val="24"/>
          <w:szCs w:val="24"/>
        </w:rPr>
        <w:t xml:space="preserve"> rates are issued.  Th</w:t>
      </w:r>
      <w:r w:rsidRPr="00D140AB">
        <w:rPr>
          <w:rFonts w:ascii="Courier New" w:eastAsia="SimSun" w:hAnsi="Courier New" w:cs="Courier New"/>
          <w:sz w:val="24"/>
          <w:szCs w:val="24"/>
        </w:rPr>
        <w:t>is</w:t>
      </w:r>
      <w:r w:rsidRPr="00D140AB" w:rsidDel="000E512F">
        <w:rPr>
          <w:rFonts w:ascii="Courier New" w:eastAsia="SimSun" w:hAnsi="Courier New" w:cs="Courier New"/>
          <w:sz w:val="24"/>
          <w:szCs w:val="24"/>
        </w:rPr>
        <w:t xml:space="preserve"> commenter suggested eliminating </w:t>
      </w:r>
      <w:r w:rsidRPr="00D140AB">
        <w:rPr>
          <w:rFonts w:ascii="Courier New" w:eastAsia="SimSun" w:hAnsi="Courier New" w:cs="Courier New"/>
          <w:sz w:val="24"/>
          <w:szCs w:val="24"/>
        </w:rPr>
        <w:t xml:space="preserve">the </w:t>
      </w:r>
      <w:r w:rsidRPr="00D140AB" w:rsidDel="000E512F">
        <w:rPr>
          <w:rFonts w:ascii="Courier New" w:eastAsia="SimSun" w:hAnsi="Courier New" w:cs="Courier New"/>
          <w:sz w:val="24"/>
          <w:szCs w:val="24"/>
        </w:rPr>
        <w:t>transition period in favor of</w:t>
      </w:r>
      <w:r w:rsidRPr="00D140AB">
        <w:rPr>
          <w:rFonts w:ascii="Courier New" w:eastAsia="SimSun" w:hAnsi="Courier New" w:cs="Courier New"/>
          <w:sz w:val="24"/>
          <w:szCs w:val="24"/>
        </w:rPr>
        <w:t xml:space="preserve"> four years of informational rates.  Another commenter suggested there should be two years of informational rates before sanctions begin. </w:t>
      </w:r>
    </w:p>
    <w:p w14:paraId="1086326C" w14:textId="77777777" w:rsidR="00E144CA" w:rsidRPr="00D140AB" w:rsidRDefault="00E144CA" w:rsidP="006F3116">
      <w:pPr>
        <w:spacing w:after="0" w:line="480" w:lineRule="auto"/>
        <w:rPr>
          <w:rFonts w:ascii="Courier New" w:eastAsia="SimSun" w:hAnsi="Courier New" w:cs="Courier New"/>
          <w:sz w:val="24"/>
          <w:szCs w:val="24"/>
        </w:rPr>
      </w:pPr>
      <w:r>
        <w:rPr>
          <w:rFonts w:ascii="Courier New" w:eastAsia="SimSun" w:hAnsi="Courier New" w:cs="Courier New"/>
          <w:sz w:val="24"/>
          <w:szCs w:val="24"/>
        </w:rPr>
        <w:t xml:space="preserve">     </w:t>
      </w:r>
      <w:r w:rsidRPr="00D140AB">
        <w:rPr>
          <w:rFonts w:ascii="Courier New" w:eastAsia="SimSun" w:hAnsi="Courier New" w:cs="Courier New"/>
          <w:sz w:val="24"/>
          <w:szCs w:val="24"/>
        </w:rPr>
        <w:t xml:space="preserve">Some commenters proposed limiting the impact of the regulations during the transition period by reinstituting a cap </w:t>
      </w:r>
      <w:r w:rsidRPr="00D140AB">
        <w:rPr>
          <w:rFonts w:ascii="Courier New" w:eastAsia="SimSun" w:hAnsi="Courier New" w:cs="Courier New"/>
          <w:sz w:val="24"/>
          <w:szCs w:val="24"/>
        </w:rPr>
        <w:lastRenderedPageBreak/>
        <w:t xml:space="preserve">on the number of programs that could become ineligible in the early years of implementation in order to give failing programs another year to improve.  Several commenters recommended including the five percent cap on ineligible programs that was included in the 2011 Prior Rule.   </w:t>
      </w:r>
    </w:p>
    <w:p w14:paraId="07491CA3"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rPr>
        <w:t xml:space="preserve">     Some commenters stated that the proposed transition period was better than the five percent cap in the 2011 Prior Rule, but were skeptical that institutions would use the transition period to make changes to poorly performing programs.  Instead, they argued that institutions will give scholarships or tuition discounts to students completing programs, which would result in improved D/E rates but not lower tuition for all students.  </w:t>
      </w:r>
    </w:p>
    <w:p w14:paraId="46A690AC" w14:textId="45855265" w:rsidR="00DC07F8" w:rsidRDefault="00DC07F8" w:rsidP="00DC07F8">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lang w:eastAsia="zh-CN"/>
        </w:rPr>
        <w:t>Discussion</w:t>
      </w:r>
      <w:r w:rsidRPr="00D140AB">
        <w:rPr>
          <w:rFonts w:ascii="Courier New" w:eastAsia="SimSun" w:hAnsi="Courier New" w:cs="Courier New"/>
          <w:sz w:val="24"/>
          <w:szCs w:val="24"/>
          <w:lang w:eastAsia="zh-CN"/>
        </w:rPr>
        <w:t>:</w:t>
      </w:r>
      <w:r w:rsidRPr="00D140AB">
        <w:rPr>
          <w:rFonts w:ascii="Courier New" w:eastAsia="SimSun" w:hAnsi="Courier New" w:cs="Courier New"/>
          <w:sz w:val="24"/>
          <w:szCs w:val="24"/>
        </w:rPr>
        <w:t xml:space="preserve">  </w:t>
      </w:r>
      <w:r>
        <w:rPr>
          <w:rFonts w:ascii="Courier New" w:eastAsia="SimSun" w:hAnsi="Courier New" w:cs="Courier New"/>
          <w:sz w:val="24"/>
          <w:szCs w:val="24"/>
        </w:rPr>
        <w:t>In view of the comments that the proposed four-year transition period did not provide sufficient time for programs to improve, we are extending the transition period.  As illustrated in the following chart, the transition period is now five years for programs that are one year or less, six years for programs that are between one and two years, and seven years for programs that are longer than two years.</w:t>
      </w:r>
    </w:p>
    <w:tbl>
      <w:tblPr>
        <w:tblW w:w="8900" w:type="dxa"/>
        <w:tblInd w:w="92" w:type="dxa"/>
        <w:tblLook w:val="0000" w:firstRow="0" w:lastRow="0" w:firstColumn="0" w:lastColumn="0" w:noHBand="0" w:noVBand="0"/>
      </w:tblPr>
      <w:tblGrid>
        <w:gridCol w:w="1224"/>
        <w:gridCol w:w="960"/>
        <w:gridCol w:w="960"/>
        <w:gridCol w:w="960"/>
        <w:gridCol w:w="960"/>
        <w:gridCol w:w="960"/>
        <w:gridCol w:w="960"/>
        <w:gridCol w:w="960"/>
        <w:gridCol w:w="960"/>
      </w:tblGrid>
      <w:tr w:rsidR="00DC07F8" w:rsidRPr="000846A8" w14:paraId="1D25ABB0" w14:textId="77777777" w:rsidTr="00DC07F8">
        <w:trPr>
          <w:trHeight w:val="26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8F03F"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Award year for which the D/E rates are calculated</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5A8F6"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2014-2015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5F9373"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2015-2016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A87175"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53E57"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056939"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2018-2019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A277F0"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2019-2020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E00FEC"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2020-2021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FB37D"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2021-2022</w:t>
            </w:r>
          </w:p>
        </w:tc>
      </w:tr>
      <w:tr w:rsidR="00DC07F8" w:rsidRPr="000846A8" w14:paraId="15B2C05B"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383A4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0B09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3D29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3ECF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672F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65EA5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DAE4D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8F30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029DC"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68E2BA79"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A17F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5F4F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543F5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0FA82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B1CF8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4650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55CE8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E2232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6C96D2"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16DA8099"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18990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3C96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189A4"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A5F0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2B579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CC3ED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93385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E5159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7AB764"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53B97B5C"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843E6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BDB6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DB9CA"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CD686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2A1D9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E073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27AF4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7B4E7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F179C"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56749F6C"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E616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AB4BE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B2864"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9977D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985CE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21C2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6E1FF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E0C5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BD5BBA"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7765FA8A"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4DC8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E2A1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82CEB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41FC9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83A46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6560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E881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97630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BF9FE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4FB8B617" w14:textId="77777777" w:rsidTr="00DC07F8">
        <w:trPr>
          <w:trHeight w:val="26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4984FC"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Two-year cohort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F6CFA"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 xml:space="preserve">2010-2011 &amp;  </w:t>
            </w:r>
            <w:r w:rsidRPr="000846A8">
              <w:rPr>
                <w:rFonts w:ascii="Verdana" w:eastAsia="Cambria" w:hAnsi="Verdana"/>
                <w:sz w:val="20"/>
                <w:szCs w:val="20"/>
              </w:rPr>
              <w:lastRenderedPageBreak/>
              <w:t>2011-2012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84537E"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2011-2012 &amp; </w:t>
            </w:r>
            <w:r w:rsidRPr="000846A8">
              <w:rPr>
                <w:rFonts w:ascii="Verdana" w:eastAsia="Cambria" w:hAnsi="Verdana"/>
                <w:sz w:val="20"/>
                <w:szCs w:val="20"/>
              </w:rPr>
              <w:lastRenderedPageBreak/>
              <w:t>2012-2013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83C3BD"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2012-2013 &amp; </w:t>
            </w:r>
            <w:r w:rsidRPr="000846A8">
              <w:rPr>
                <w:rFonts w:ascii="Verdana" w:eastAsia="Cambria" w:hAnsi="Verdana"/>
                <w:sz w:val="20"/>
                <w:szCs w:val="20"/>
              </w:rPr>
              <w:lastRenderedPageBreak/>
              <w:t>2013-2014</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F927FD"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2013-2014 &amp; </w:t>
            </w:r>
            <w:r w:rsidRPr="000846A8">
              <w:rPr>
                <w:rFonts w:ascii="Verdana" w:eastAsia="Cambria" w:hAnsi="Verdana"/>
                <w:sz w:val="20"/>
                <w:szCs w:val="20"/>
              </w:rPr>
              <w:lastRenderedPageBreak/>
              <w:t>2014-2015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7FF832"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2014-2015 &amp; </w:t>
            </w:r>
            <w:r w:rsidRPr="000846A8">
              <w:rPr>
                <w:rFonts w:ascii="Verdana" w:eastAsia="Cambria" w:hAnsi="Verdana"/>
                <w:sz w:val="20"/>
                <w:szCs w:val="20"/>
              </w:rPr>
              <w:lastRenderedPageBreak/>
              <w:t>2015-2016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13D21"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2015-2016 &amp; </w:t>
            </w:r>
            <w:r w:rsidRPr="000846A8">
              <w:rPr>
                <w:rFonts w:ascii="Verdana" w:eastAsia="Cambria" w:hAnsi="Verdana"/>
                <w:sz w:val="20"/>
                <w:szCs w:val="20"/>
              </w:rPr>
              <w:lastRenderedPageBreak/>
              <w:t>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72DFDA"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2016-2017 &amp; </w:t>
            </w:r>
            <w:r w:rsidRPr="000846A8">
              <w:rPr>
                <w:rFonts w:ascii="Verdana" w:eastAsia="Cambria" w:hAnsi="Verdana"/>
                <w:sz w:val="20"/>
                <w:szCs w:val="20"/>
              </w:rPr>
              <w:lastRenderedPageBreak/>
              <w:t>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026A67"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lastRenderedPageBreak/>
              <w:t xml:space="preserve">2017-2018 &amp; </w:t>
            </w:r>
            <w:r w:rsidRPr="000846A8">
              <w:rPr>
                <w:rFonts w:ascii="Verdana" w:eastAsia="Cambria" w:hAnsi="Verdana"/>
                <w:sz w:val="20"/>
                <w:szCs w:val="20"/>
              </w:rPr>
              <w:lastRenderedPageBreak/>
              <w:t>2018-2019</w:t>
            </w:r>
          </w:p>
        </w:tc>
      </w:tr>
      <w:tr w:rsidR="00DC07F8" w:rsidRPr="000846A8" w14:paraId="306229E9"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2E693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7738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6777A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652BD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E999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67E7B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311C7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1ECC6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94D2A6"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0B2E7545"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E8FE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497D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11E8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CC95E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9EB01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D6DB5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A9892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FF49E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C2E740"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183FEDB4"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584A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EB11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BAE1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01BAA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2C23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C22D4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508A9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25FF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88194F"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79B0365B" w14:textId="77777777" w:rsidTr="00DC07F8">
        <w:trPr>
          <w:trHeight w:val="54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8ECB8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241D7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8C3DD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2E586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2FAD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5E724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416D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E182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1009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064F2B2C" w14:textId="77777777" w:rsidTr="00DC07F8">
        <w:trPr>
          <w:trHeight w:val="54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224647"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Transition year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F1059"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2F83A"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9B75E"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C5303"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66F8"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FF982"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3B9A9"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63C2C"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8</w:t>
            </w:r>
          </w:p>
        </w:tc>
      </w:tr>
      <w:tr w:rsidR="00DC07F8" w:rsidRPr="000846A8" w14:paraId="070BA323" w14:textId="77777777" w:rsidTr="00DC07F8">
        <w:trPr>
          <w:trHeight w:val="26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37D987" w14:textId="11945338" w:rsidR="00DC07F8" w:rsidRPr="000846A8" w:rsidRDefault="00DC07F8" w:rsidP="00134576">
            <w:pPr>
              <w:spacing w:after="0" w:line="240" w:lineRule="auto"/>
              <w:rPr>
                <w:rFonts w:ascii="Verdana" w:eastAsia="Cambria" w:hAnsi="Verdana"/>
                <w:sz w:val="20"/>
                <w:szCs w:val="20"/>
              </w:rPr>
            </w:pPr>
            <w:r w:rsidRPr="000846A8">
              <w:rPr>
                <w:rFonts w:ascii="Verdana" w:eastAsia="Cambria" w:hAnsi="Verdana"/>
                <w:sz w:val="20"/>
                <w:szCs w:val="20"/>
              </w:rPr>
              <w:t xml:space="preserve"> </w:t>
            </w:r>
            <w:r w:rsidR="00134576">
              <w:rPr>
                <w:rFonts w:ascii="Verdana" w:eastAsia="Cambria" w:hAnsi="Verdana"/>
                <w:sz w:val="20"/>
                <w:szCs w:val="20"/>
              </w:rPr>
              <w:t>P</w:t>
            </w:r>
            <w:r w:rsidRPr="000846A8">
              <w:rPr>
                <w:rFonts w:ascii="Verdana" w:eastAsia="Cambria" w:hAnsi="Verdana"/>
                <w:sz w:val="20"/>
                <w:szCs w:val="20"/>
              </w:rPr>
              <w:t>rograms less than one year</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0DFC4"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2014-2015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B5463D"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2015-2016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543215"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1211A5"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BB265"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2018-2019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37A32A"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2015-2016 &amp; 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7B26E6"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01893"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 </w:t>
            </w:r>
          </w:p>
        </w:tc>
      </w:tr>
      <w:tr w:rsidR="00DC07F8" w:rsidRPr="000846A8" w14:paraId="108B26FD"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E201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33E1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93049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3690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80DB2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63538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89753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341F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E53E12"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3BA3FBF5"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636CC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52242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2D08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46A06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83CB9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6EAC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8A1B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31AF44"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1DBB37"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6B96F17B"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05AAB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2F79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2004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2261B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0B77DA"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01E64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EAFFF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B657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20C7A0"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09484E38" w14:textId="77777777" w:rsidTr="00DC07F8">
        <w:trPr>
          <w:trHeight w:val="38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BAE9E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C244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F7833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1B84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6AFA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7DF7F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9F2F4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E486A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0DF3A1"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3CAFB99F" w14:textId="77777777" w:rsidTr="00DC07F8">
        <w:trPr>
          <w:trHeight w:val="26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ED6EF2" w14:textId="4ECAF229" w:rsidR="00DC07F8" w:rsidRPr="000846A8" w:rsidRDefault="00DC07F8" w:rsidP="00134576">
            <w:pPr>
              <w:spacing w:after="0" w:line="240" w:lineRule="auto"/>
              <w:rPr>
                <w:rFonts w:ascii="Verdana" w:eastAsia="Cambria" w:hAnsi="Verdana"/>
                <w:sz w:val="20"/>
                <w:szCs w:val="20"/>
              </w:rPr>
            </w:pPr>
            <w:r w:rsidRPr="000846A8">
              <w:rPr>
                <w:rFonts w:ascii="Verdana" w:eastAsia="Cambria" w:hAnsi="Verdana"/>
                <w:sz w:val="20"/>
                <w:szCs w:val="20"/>
              </w:rPr>
              <w:t xml:space="preserve"> </w:t>
            </w:r>
            <w:r w:rsidR="00134576">
              <w:rPr>
                <w:rFonts w:ascii="Verdana" w:eastAsia="Cambria" w:hAnsi="Verdana"/>
                <w:sz w:val="20"/>
                <w:szCs w:val="20"/>
              </w:rPr>
              <w:t>P</w:t>
            </w:r>
            <w:r w:rsidRPr="000846A8">
              <w:rPr>
                <w:rFonts w:ascii="Verdana" w:eastAsia="Cambria" w:hAnsi="Verdana"/>
                <w:sz w:val="20"/>
                <w:szCs w:val="20"/>
              </w:rPr>
              <w:t>rograms between one and two years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60105"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2014-2015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22051D"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2015-2016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B23BE"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713C0"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DA3F6"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2018-2019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D7EDD4"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2019-2020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CBD992"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2016-2017 &amp; 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66A409"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 </w:t>
            </w:r>
          </w:p>
        </w:tc>
      </w:tr>
      <w:tr w:rsidR="00DC07F8" w:rsidRPr="000846A8" w14:paraId="0FA73720"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0E61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39198A"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59AA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5AB22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70CED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BBFE0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DFA6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D59A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743F2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51F413DA" w14:textId="77777777" w:rsidTr="00DC07F8">
        <w:trPr>
          <w:trHeight w:val="3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FA817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4BC71"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E269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AA1F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C4E61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BBB3E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F1A3EC"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2A6A1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3456D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277E80CD" w14:textId="77777777" w:rsidTr="00DC07F8">
        <w:trPr>
          <w:trHeight w:val="52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AA706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61F7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11029A"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9D8B9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01CC5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0827C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EBBE4A"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EFD60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F3A14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39AC894C" w14:textId="77777777" w:rsidTr="00DC07F8">
        <w:trPr>
          <w:trHeight w:val="26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1FFCCF" w14:textId="7C6B412A"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 xml:space="preserve"> </w:t>
            </w:r>
            <w:r w:rsidR="00134576">
              <w:rPr>
                <w:rFonts w:ascii="Verdana" w:eastAsia="Cambria" w:hAnsi="Verdana"/>
                <w:sz w:val="20"/>
                <w:szCs w:val="20"/>
              </w:rPr>
              <w:t>P</w:t>
            </w:r>
            <w:r w:rsidRPr="000846A8">
              <w:rPr>
                <w:rFonts w:ascii="Verdana" w:eastAsia="Cambria" w:hAnsi="Verdana"/>
                <w:sz w:val="20"/>
                <w:szCs w:val="20"/>
              </w:rPr>
              <w:t>rograms more than two years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25DDA"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2014-2015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74712"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2015-2016</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E2CF8"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2016-2017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8FFF1C"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2017-2018</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3AA6EB"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2018-2019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2265BB"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2019-2020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58109"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2020-2021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5428C2" w14:textId="77777777" w:rsidR="00DC07F8" w:rsidRPr="000846A8" w:rsidRDefault="00DC07F8" w:rsidP="00DC07F8">
            <w:pPr>
              <w:spacing w:after="0" w:line="240" w:lineRule="auto"/>
              <w:jc w:val="center"/>
              <w:rPr>
                <w:rFonts w:ascii="Verdana" w:eastAsia="Cambria" w:hAnsi="Verdana"/>
                <w:sz w:val="20"/>
                <w:szCs w:val="20"/>
              </w:rPr>
            </w:pPr>
            <w:r w:rsidRPr="000846A8">
              <w:rPr>
                <w:rFonts w:ascii="Verdana" w:eastAsia="Cambria" w:hAnsi="Verdana"/>
                <w:sz w:val="20"/>
                <w:szCs w:val="20"/>
              </w:rPr>
              <w:t>2017-2018 &amp; 2018-2019</w:t>
            </w:r>
          </w:p>
        </w:tc>
      </w:tr>
      <w:tr w:rsidR="00DC07F8" w:rsidRPr="000846A8" w14:paraId="566F7FAF"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BF4E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8E7ED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581F4"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776B2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564DD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3F4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E6436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B4EAF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A6B4B6"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6CAB27F9"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82470D"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EC757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635BD4"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C6A8B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42252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98325F"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D11AE3"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014F0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1B435"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33A5CD0C" w14:textId="77777777" w:rsidTr="00DC07F8">
        <w:trPr>
          <w:trHeight w:val="26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9778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DBBB2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A8A9A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81529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4B6745"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57CD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51FAA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89567"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5882FB" w14:textId="77777777" w:rsidR="00DC07F8" w:rsidRPr="000846A8" w:rsidRDefault="00DC07F8" w:rsidP="00DC07F8">
            <w:pPr>
              <w:spacing w:after="0" w:line="240" w:lineRule="auto"/>
              <w:rPr>
                <w:rFonts w:ascii="Verdana" w:eastAsia="Cambria" w:hAnsi="Verdana"/>
                <w:sz w:val="20"/>
                <w:szCs w:val="20"/>
              </w:rPr>
            </w:pPr>
          </w:p>
        </w:tc>
      </w:tr>
      <w:tr w:rsidR="00DC07F8" w:rsidRPr="000846A8" w14:paraId="1AE789CC" w14:textId="77777777" w:rsidTr="00DC07F8">
        <w:trPr>
          <w:trHeight w:val="480"/>
        </w:trPr>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8147B"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F6ABB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258CA0"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90C279"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817F76"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03B418"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2101F2"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452BE" w14:textId="77777777" w:rsidR="00DC07F8" w:rsidRPr="000846A8" w:rsidRDefault="00DC07F8" w:rsidP="00DC07F8">
            <w:pPr>
              <w:spacing w:after="0" w:line="240" w:lineRule="auto"/>
              <w:rPr>
                <w:rFonts w:ascii="Verdana" w:eastAsia="Cambria" w:hAnsi="Verdana"/>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F714D8" w14:textId="77777777" w:rsidR="00DC07F8" w:rsidRPr="000846A8" w:rsidRDefault="00DC07F8" w:rsidP="00DC07F8">
            <w:pPr>
              <w:spacing w:after="0" w:line="240" w:lineRule="auto"/>
              <w:rPr>
                <w:rFonts w:ascii="Verdana" w:eastAsia="Cambria" w:hAnsi="Verdana"/>
                <w:sz w:val="20"/>
                <w:szCs w:val="20"/>
              </w:rPr>
            </w:pPr>
          </w:p>
        </w:tc>
      </w:tr>
    </w:tbl>
    <w:p w14:paraId="3F9E1D18" w14:textId="3E5B1194" w:rsidR="00DC07F8" w:rsidRDefault="00DC07F8" w:rsidP="00DC07F8">
      <w:pPr>
        <w:spacing w:after="0" w:line="480" w:lineRule="auto"/>
        <w:rPr>
          <w:rFonts w:ascii="Courier New" w:eastAsia="SimSun" w:hAnsi="Courier New" w:cs="Courier New"/>
          <w:sz w:val="24"/>
          <w:szCs w:val="24"/>
        </w:rPr>
      </w:pPr>
      <w:r>
        <w:rPr>
          <w:rFonts w:ascii="Courier New" w:eastAsia="SimSun" w:hAnsi="Courier New" w:cs="Courier New"/>
          <w:sz w:val="24"/>
          <w:szCs w:val="24"/>
        </w:rPr>
        <w:tab/>
        <w:t xml:space="preserve">For a GE program that is failing or in the zone for any award year during the transition period, </w:t>
      </w:r>
      <w:r w:rsidR="001539AF">
        <w:rPr>
          <w:rFonts w:ascii="Courier New" w:eastAsia="SimSun" w:hAnsi="Courier New" w:cs="Courier New"/>
          <w:sz w:val="24"/>
          <w:szCs w:val="24"/>
        </w:rPr>
        <w:t xml:space="preserve">in addition to calculating the regular D/E rates </w:t>
      </w:r>
      <w:r>
        <w:rPr>
          <w:rFonts w:ascii="Courier New" w:eastAsia="SimSun" w:hAnsi="Courier New" w:cs="Courier New"/>
          <w:sz w:val="24"/>
          <w:szCs w:val="24"/>
        </w:rPr>
        <w:t>the Department will calculate alternate, or transitional, D/E rates using the median loan debt of the students who completed the program during the most recently completed award year instead of the median loan debt for the two-year cohort.  For example, as shown in the chart, in calculating the transitional D/E rates for the 2014-2015 award year</w:t>
      </w:r>
      <w:r w:rsidR="00831923">
        <w:rPr>
          <w:rFonts w:ascii="Courier New" w:eastAsia="SimSun" w:hAnsi="Courier New" w:cs="Courier New"/>
          <w:sz w:val="24"/>
          <w:szCs w:val="24"/>
        </w:rPr>
        <w:t>,</w:t>
      </w:r>
      <w:r>
        <w:rPr>
          <w:rFonts w:ascii="Courier New" w:eastAsia="SimSun" w:hAnsi="Courier New" w:cs="Courier New"/>
          <w:sz w:val="24"/>
          <w:szCs w:val="24"/>
        </w:rPr>
        <w:t xml:space="preserve"> we will use the median loan debt of the students who completed the program during the 2014-2015 award year instead of the median loan debt of the students who completed the program in award years 2010-2011 and 2011-2012.  For programs that are less than one year, we will calculate transitional D/E rates for </w:t>
      </w:r>
      <w:r>
        <w:rPr>
          <w:rFonts w:ascii="Courier New" w:eastAsia="SimSun" w:hAnsi="Courier New" w:cs="Courier New"/>
          <w:sz w:val="24"/>
          <w:szCs w:val="24"/>
        </w:rPr>
        <w:lastRenderedPageBreak/>
        <w:t>five award years</w:t>
      </w:r>
      <w:r w:rsidR="008D3EF3">
        <w:rPr>
          <w:rFonts w:ascii="Courier New" w:eastAsia="SimSun" w:hAnsi="Courier New" w:cs="Courier New"/>
          <w:sz w:val="24"/>
          <w:szCs w:val="24"/>
        </w:rPr>
        <w:t>--</w:t>
      </w:r>
      <w:r>
        <w:rPr>
          <w:rFonts w:ascii="Courier New" w:eastAsia="SimSun" w:hAnsi="Courier New" w:cs="Courier New"/>
          <w:sz w:val="24"/>
          <w:szCs w:val="24"/>
        </w:rPr>
        <w:t xml:space="preserve">2014-2015 through 2018-2019.  After the transitional D/E rates are calculated for those award years, the transition period expires and the Department uses only the median loan debt of the students in the cohort </w:t>
      </w:r>
      <w:r w:rsidR="00831923">
        <w:rPr>
          <w:rFonts w:ascii="Courier New" w:eastAsia="SimSun" w:hAnsi="Courier New" w:cs="Courier New"/>
          <w:sz w:val="24"/>
          <w:szCs w:val="24"/>
        </w:rPr>
        <w:t xml:space="preserve">period </w:t>
      </w:r>
      <w:r>
        <w:rPr>
          <w:rFonts w:ascii="Courier New" w:eastAsia="SimSun" w:hAnsi="Courier New" w:cs="Courier New"/>
          <w:sz w:val="24"/>
          <w:szCs w:val="24"/>
        </w:rPr>
        <w:t>to calculate the D/E rates for subsequent award years.  The first D/E rates the Department will calculate after the transition period w</w:t>
      </w:r>
      <w:r w:rsidR="00004B24">
        <w:rPr>
          <w:rFonts w:ascii="Courier New" w:eastAsia="SimSun" w:hAnsi="Courier New" w:cs="Courier New"/>
          <w:sz w:val="24"/>
          <w:szCs w:val="24"/>
        </w:rPr>
        <w:t>ill</w:t>
      </w:r>
      <w:r>
        <w:rPr>
          <w:rFonts w:ascii="Courier New" w:eastAsia="SimSun" w:hAnsi="Courier New" w:cs="Courier New"/>
          <w:sz w:val="24"/>
          <w:szCs w:val="24"/>
        </w:rPr>
        <w:t xml:space="preserve"> be for award year 2019-2020.  As shown in the chart, the two-year cohort </w:t>
      </w:r>
      <w:r w:rsidR="00831923">
        <w:rPr>
          <w:rFonts w:ascii="Courier New" w:eastAsia="SimSun" w:hAnsi="Courier New" w:cs="Courier New"/>
          <w:sz w:val="24"/>
          <w:szCs w:val="24"/>
        </w:rPr>
        <w:t xml:space="preserve">period </w:t>
      </w:r>
      <w:r>
        <w:rPr>
          <w:rFonts w:ascii="Courier New" w:eastAsia="SimSun" w:hAnsi="Courier New" w:cs="Courier New"/>
          <w:sz w:val="24"/>
          <w:szCs w:val="24"/>
        </w:rPr>
        <w:t xml:space="preserve">for that award year </w:t>
      </w:r>
      <w:r w:rsidR="00831923">
        <w:rPr>
          <w:rFonts w:ascii="Courier New" w:eastAsia="SimSun" w:hAnsi="Courier New" w:cs="Courier New"/>
          <w:sz w:val="24"/>
          <w:szCs w:val="24"/>
        </w:rPr>
        <w:t>includes</w:t>
      </w:r>
      <w:r>
        <w:rPr>
          <w:rFonts w:ascii="Courier New" w:eastAsia="SimSun" w:hAnsi="Courier New" w:cs="Courier New"/>
          <w:sz w:val="24"/>
          <w:szCs w:val="24"/>
        </w:rPr>
        <w:t xml:space="preserve"> the students who completed the program during the 2015-2016 and 2016-2017 award years.  So, for programs that are less than one year </w:t>
      </w:r>
      <w:r w:rsidR="00831923">
        <w:rPr>
          <w:rFonts w:ascii="Courier New" w:eastAsia="SimSun" w:hAnsi="Courier New" w:cs="Courier New"/>
          <w:sz w:val="24"/>
          <w:szCs w:val="24"/>
        </w:rPr>
        <w:t>in length</w:t>
      </w:r>
      <w:r>
        <w:rPr>
          <w:rFonts w:ascii="Courier New" w:eastAsia="SimSun" w:hAnsi="Courier New" w:cs="Courier New"/>
          <w:sz w:val="24"/>
          <w:szCs w:val="24"/>
        </w:rPr>
        <w:t xml:space="preserve">, the five-year transition period ensures that most of the students </w:t>
      </w:r>
      <w:r w:rsidR="00004B24">
        <w:rPr>
          <w:rFonts w:ascii="Courier New" w:eastAsia="SimSun" w:hAnsi="Courier New" w:cs="Courier New"/>
          <w:sz w:val="24"/>
          <w:szCs w:val="24"/>
        </w:rPr>
        <w:t>in the two-year cohort period</w:t>
      </w:r>
      <w:r>
        <w:rPr>
          <w:rFonts w:ascii="Courier New" w:eastAsia="SimSun" w:hAnsi="Courier New" w:cs="Courier New"/>
          <w:sz w:val="24"/>
          <w:szCs w:val="24"/>
        </w:rPr>
        <w:t xml:space="preserve"> began those programs after these final regulations are published.  We applied the same logic in determining the transition periods for programs that are between one and two years, and for programs that are over two years long.  Consequently, institutions will be able to make immediate </w:t>
      </w:r>
      <w:r w:rsidRPr="00D140AB">
        <w:rPr>
          <w:rFonts w:ascii="Courier New" w:eastAsia="SimSun" w:hAnsi="Courier New" w:cs="Courier New"/>
          <w:sz w:val="24"/>
          <w:szCs w:val="24"/>
          <w:lang w:eastAsia="zh-CN"/>
        </w:rPr>
        <w:t xml:space="preserve">reductions in </w:t>
      </w:r>
      <w:r>
        <w:rPr>
          <w:rFonts w:ascii="Courier New" w:eastAsia="SimSun" w:hAnsi="Courier New" w:cs="Courier New"/>
          <w:sz w:val="24"/>
          <w:szCs w:val="24"/>
          <w:lang w:eastAsia="zh-CN"/>
        </w:rPr>
        <w:t xml:space="preserve">the </w:t>
      </w:r>
      <w:r w:rsidRPr="00D140AB">
        <w:rPr>
          <w:rFonts w:ascii="Courier New" w:eastAsia="SimSun" w:hAnsi="Courier New" w:cs="Courier New"/>
          <w:sz w:val="24"/>
          <w:szCs w:val="24"/>
          <w:lang w:eastAsia="zh-CN"/>
        </w:rPr>
        <w:t>loan debt</w:t>
      </w:r>
      <w:r>
        <w:rPr>
          <w:rFonts w:ascii="Courier New" w:eastAsia="SimSun" w:hAnsi="Courier New" w:cs="Courier New"/>
          <w:sz w:val="24"/>
          <w:szCs w:val="24"/>
          <w:lang w:eastAsia="zh-CN"/>
        </w:rPr>
        <w:t xml:space="preserve"> of students enrolled in its GE programs, and those reductions</w:t>
      </w:r>
      <w:r w:rsidRPr="00D140AB">
        <w:rPr>
          <w:rFonts w:ascii="Courier New" w:eastAsia="SimSun" w:hAnsi="Courier New" w:cs="Courier New"/>
          <w:sz w:val="24"/>
          <w:szCs w:val="24"/>
          <w:lang w:eastAsia="zh-CN"/>
        </w:rPr>
        <w:t xml:space="preserve"> will be reflected in </w:t>
      </w:r>
      <w:r>
        <w:rPr>
          <w:rFonts w:ascii="Courier New" w:eastAsia="SimSun" w:hAnsi="Courier New" w:cs="Courier New"/>
          <w:sz w:val="24"/>
          <w:szCs w:val="24"/>
          <w:lang w:eastAsia="zh-CN"/>
        </w:rPr>
        <w:t xml:space="preserve">the </w:t>
      </w:r>
      <w:r w:rsidRPr="00D140AB">
        <w:rPr>
          <w:rFonts w:ascii="Courier New" w:eastAsia="SimSun" w:hAnsi="Courier New" w:cs="Courier New"/>
          <w:sz w:val="24"/>
          <w:szCs w:val="24"/>
          <w:lang w:eastAsia="zh-CN"/>
        </w:rPr>
        <w:t xml:space="preserve">transitional D/E rates. </w:t>
      </w:r>
    </w:p>
    <w:p w14:paraId="2FCEEE39" w14:textId="253E0308" w:rsidR="00DC07F8" w:rsidRPr="00D140AB" w:rsidRDefault="00DC07F8" w:rsidP="00DC07F8">
      <w:pPr>
        <w:spacing w:after="0" w:line="480" w:lineRule="auto"/>
        <w:ind w:firstLine="720"/>
        <w:rPr>
          <w:rFonts w:ascii="Courier New" w:eastAsia="SimSun" w:hAnsi="Courier New" w:cs="Courier New"/>
          <w:sz w:val="24"/>
          <w:szCs w:val="24"/>
          <w:lang w:eastAsia="zh-CN"/>
        </w:rPr>
      </w:pPr>
      <w:r>
        <w:rPr>
          <w:rFonts w:ascii="Courier New" w:eastAsia="SimSun" w:hAnsi="Courier New" w:cs="Courier New"/>
          <w:sz w:val="24"/>
          <w:szCs w:val="24"/>
          <w:lang w:eastAsia="zh-CN"/>
        </w:rPr>
        <w:t>We note that t</w:t>
      </w:r>
      <w:r w:rsidRPr="00D140AB">
        <w:rPr>
          <w:rFonts w:ascii="Courier New" w:eastAsia="SimSun" w:hAnsi="Courier New" w:cs="Courier New"/>
          <w:sz w:val="24"/>
          <w:szCs w:val="24"/>
          <w:lang w:eastAsia="zh-CN"/>
        </w:rPr>
        <w:t>he transition</w:t>
      </w:r>
      <w:r>
        <w:rPr>
          <w:rFonts w:ascii="Courier New" w:eastAsia="SimSun" w:hAnsi="Courier New" w:cs="Courier New"/>
          <w:sz w:val="24"/>
          <w:szCs w:val="24"/>
          <w:lang w:eastAsia="zh-CN"/>
        </w:rPr>
        <w:t>al</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D/E rates</w:t>
      </w:r>
      <w:r w:rsidRPr="00D140AB">
        <w:rPr>
          <w:rFonts w:ascii="Courier New" w:eastAsia="SimSun" w:hAnsi="Courier New" w:cs="Courier New"/>
          <w:sz w:val="24"/>
          <w:szCs w:val="24"/>
          <w:lang w:eastAsia="zh-CN"/>
        </w:rPr>
        <w:t xml:space="preserve"> would </w:t>
      </w:r>
      <w:r>
        <w:rPr>
          <w:rFonts w:ascii="Courier New" w:eastAsia="SimSun" w:hAnsi="Courier New" w:cs="Courier New"/>
          <w:sz w:val="24"/>
          <w:szCs w:val="24"/>
          <w:lang w:eastAsia="zh-CN"/>
        </w:rPr>
        <w:t>operate</w:t>
      </w:r>
      <w:r w:rsidRPr="00D140AB">
        <w:rPr>
          <w:rFonts w:ascii="Courier New" w:eastAsia="SimSun" w:hAnsi="Courier New" w:cs="Courier New"/>
          <w:sz w:val="24"/>
          <w:szCs w:val="24"/>
          <w:lang w:eastAsia="zh-CN"/>
        </w:rPr>
        <w:t xml:space="preserve"> in conjunction with the zone to allow institutions to make improvements to their programs in </w:t>
      </w:r>
      <w:r>
        <w:rPr>
          <w:rFonts w:ascii="Courier New" w:eastAsia="SimSun" w:hAnsi="Courier New" w:cs="Courier New"/>
          <w:sz w:val="24"/>
          <w:szCs w:val="24"/>
          <w:lang w:eastAsia="zh-CN"/>
        </w:rPr>
        <w:t>the initial years after the regulations go into effect</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in </w:t>
      </w:r>
      <w:r w:rsidRPr="00D140AB">
        <w:rPr>
          <w:rFonts w:ascii="Courier New" w:eastAsia="SimSun" w:hAnsi="Courier New" w:cs="Courier New"/>
          <w:sz w:val="24"/>
          <w:szCs w:val="24"/>
          <w:lang w:eastAsia="zh-CN"/>
        </w:rPr>
        <w:t xml:space="preserve">order to pass the D/E rates measure.  </w:t>
      </w:r>
      <w:r>
        <w:rPr>
          <w:rFonts w:ascii="Courier New" w:eastAsia="SimSun" w:hAnsi="Courier New" w:cs="Courier New"/>
          <w:sz w:val="24"/>
          <w:szCs w:val="24"/>
          <w:lang w:eastAsia="zh-CN"/>
        </w:rPr>
        <w:t>That is, a</w:t>
      </w:r>
      <w:r w:rsidRPr="00D140AB">
        <w:rPr>
          <w:rFonts w:ascii="Courier New" w:eastAsia="SimSun" w:hAnsi="Courier New" w:cs="Courier New"/>
          <w:sz w:val="24"/>
          <w:szCs w:val="24"/>
          <w:lang w:eastAsia="zh-CN"/>
        </w:rPr>
        <w:t xml:space="preserve">n institution with a program in the zone </w:t>
      </w:r>
      <w:r w:rsidRPr="00D140AB">
        <w:rPr>
          <w:rFonts w:ascii="Courier New" w:eastAsia="SimSun" w:hAnsi="Courier New" w:cs="Courier New"/>
          <w:sz w:val="24"/>
          <w:szCs w:val="24"/>
          <w:lang w:eastAsia="zh-CN"/>
        </w:rPr>
        <w:lastRenderedPageBreak/>
        <w:t xml:space="preserve">will have four years to lower loan debt in an effort to achieve passing results for that program.  For a failing program, an institution that lowers loan debt sufficiently at the outset of the transition period could move the program </w:t>
      </w:r>
      <w:r>
        <w:rPr>
          <w:rFonts w:ascii="Courier New" w:eastAsia="SimSun" w:hAnsi="Courier New" w:cs="Courier New"/>
          <w:sz w:val="24"/>
          <w:szCs w:val="24"/>
          <w:lang w:eastAsia="zh-CN"/>
        </w:rPr>
        <w:t xml:space="preserve">into the zone and thereby avoid losing </w:t>
      </w:r>
      <w:r w:rsidRPr="00D140AB">
        <w:rPr>
          <w:rFonts w:ascii="Courier New" w:eastAsia="SimSun" w:hAnsi="Courier New" w:cs="Courier New"/>
          <w:sz w:val="24"/>
          <w:szCs w:val="24"/>
          <w:lang w:eastAsia="zh-CN"/>
        </w:rPr>
        <w:t>eligibility.  The institution would then have additional transition and zone years to continue to improve the</w:t>
      </w:r>
      <w:r>
        <w:rPr>
          <w:rFonts w:ascii="Courier New" w:eastAsia="SimSun" w:hAnsi="Courier New" w:cs="Courier New"/>
          <w:sz w:val="24"/>
          <w:szCs w:val="24"/>
          <w:lang w:eastAsia="zh-CN"/>
        </w:rPr>
        <w:t xml:space="preserve"> program.  Moreover, because the Department will </w:t>
      </w:r>
      <w:r w:rsidRPr="00D140AB">
        <w:rPr>
          <w:rFonts w:ascii="Courier New" w:eastAsia="SimSun" w:hAnsi="Courier New" w:cs="Courier New"/>
          <w:sz w:val="24"/>
          <w:szCs w:val="24"/>
          <w:lang w:eastAsia="zh-CN"/>
        </w:rPr>
        <w:t xml:space="preserve">provide </w:t>
      </w:r>
      <w:r>
        <w:rPr>
          <w:rFonts w:ascii="Courier New" w:eastAsia="SimSun" w:hAnsi="Courier New" w:cs="Courier New"/>
          <w:sz w:val="24"/>
          <w:szCs w:val="24"/>
          <w:lang w:eastAsia="zh-CN"/>
        </w:rPr>
        <w:t>the regular D/E rates to institutions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during the transition period, institutions will be able to gauge the amount of the loan reduction needed </w:t>
      </w:r>
      <w:r w:rsidRPr="00D140AB">
        <w:rPr>
          <w:rFonts w:ascii="Courier New" w:eastAsia="SimSun" w:hAnsi="Courier New" w:cs="Courier New"/>
          <w:sz w:val="24"/>
          <w:szCs w:val="24"/>
          <w:lang w:eastAsia="zh-CN"/>
        </w:rPr>
        <w:t xml:space="preserve">for their programs to pass </w:t>
      </w:r>
      <w:r w:rsidR="00E64E9F">
        <w:rPr>
          <w:rFonts w:ascii="Courier New" w:eastAsia="SimSun" w:hAnsi="Courier New" w:cs="Courier New"/>
          <w:sz w:val="24"/>
          <w:szCs w:val="24"/>
          <w:lang w:eastAsia="zh-CN"/>
        </w:rPr>
        <w:t>the D/E rates measure</w:t>
      </w:r>
      <w:r w:rsidRPr="00D140AB">
        <w:rPr>
          <w:rFonts w:ascii="Courier New" w:eastAsia="SimSun" w:hAnsi="Courier New" w:cs="Courier New"/>
          <w:sz w:val="24"/>
          <w:szCs w:val="24"/>
          <w:lang w:eastAsia="zh-CN"/>
        </w:rPr>
        <w:t xml:space="preserve"> once the transition period concludes.      </w:t>
      </w:r>
    </w:p>
    <w:p w14:paraId="3095C5A4" w14:textId="7A0B2421" w:rsidR="00DC07F8" w:rsidRPr="00D140AB" w:rsidRDefault="00AB491D" w:rsidP="00AB491D">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ab/>
        <w:t xml:space="preserve">The transition period runs from the first year for which we issue </w:t>
      </w:r>
      <w:r w:rsidR="00831923">
        <w:rPr>
          <w:rFonts w:ascii="Courier New" w:eastAsia="SimSun" w:hAnsi="Courier New" w:cs="Courier New"/>
          <w:sz w:val="24"/>
          <w:szCs w:val="24"/>
          <w:lang w:eastAsia="zh-CN"/>
        </w:rPr>
        <w:t xml:space="preserve">D/E </w:t>
      </w:r>
      <w:r>
        <w:rPr>
          <w:rFonts w:ascii="Courier New" w:eastAsia="SimSun" w:hAnsi="Courier New" w:cs="Courier New"/>
          <w:sz w:val="24"/>
          <w:szCs w:val="24"/>
          <w:lang w:eastAsia="zh-CN"/>
        </w:rPr>
        <w:t>rates under th</w:t>
      </w:r>
      <w:r w:rsidR="00831923">
        <w:rPr>
          <w:rFonts w:ascii="Courier New" w:eastAsia="SimSun" w:hAnsi="Courier New" w:cs="Courier New"/>
          <w:sz w:val="24"/>
          <w:szCs w:val="24"/>
          <w:lang w:eastAsia="zh-CN"/>
        </w:rPr>
        <w:t>ese regulations</w:t>
      </w:r>
      <w:r>
        <w:rPr>
          <w:rFonts w:ascii="Courier New" w:eastAsia="SimSun" w:hAnsi="Courier New" w:cs="Courier New"/>
          <w:sz w:val="24"/>
          <w:szCs w:val="24"/>
          <w:lang w:eastAsia="zh-CN"/>
        </w:rPr>
        <w:t xml:space="preserve">. </w:t>
      </w:r>
      <w:r w:rsidR="00E64E9F">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The length of the transition period is determined by the length of th</w:t>
      </w:r>
      <w:r w:rsidR="00831923">
        <w:rPr>
          <w:rFonts w:ascii="Courier New" w:eastAsia="SimSun" w:hAnsi="Courier New" w:cs="Courier New"/>
          <w:sz w:val="24"/>
          <w:szCs w:val="24"/>
          <w:lang w:eastAsia="zh-CN"/>
        </w:rPr>
        <w:t>e</w:t>
      </w:r>
      <w:r>
        <w:rPr>
          <w:rFonts w:ascii="Courier New" w:eastAsia="SimSun" w:hAnsi="Courier New" w:cs="Courier New"/>
          <w:sz w:val="24"/>
          <w:szCs w:val="24"/>
          <w:lang w:eastAsia="zh-CN"/>
        </w:rPr>
        <w:t xml:space="preserve"> program and the number of years we have issued D/E rates under this subpart</w:t>
      </w:r>
      <w:r w:rsidR="00E64E9F">
        <w:rPr>
          <w:rFonts w:ascii="Courier New" w:eastAsia="SimSun" w:hAnsi="Courier New" w:cs="Courier New"/>
          <w:sz w:val="24"/>
          <w:szCs w:val="24"/>
          <w:lang w:eastAsia="zh-CN"/>
        </w:rPr>
        <w:t>--</w:t>
      </w:r>
      <w:r>
        <w:rPr>
          <w:rFonts w:ascii="Courier New" w:eastAsia="SimSun" w:hAnsi="Courier New" w:cs="Courier New"/>
          <w:sz w:val="24"/>
          <w:szCs w:val="24"/>
          <w:lang w:eastAsia="zh-CN"/>
        </w:rPr>
        <w:t xml:space="preserve">not the number of years that we have issued </w:t>
      </w:r>
      <w:r w:rsidR="00791D1F">
        <w:rPr>
          <w:rFonts w:ascii="Courier New" w:eastAsia="SimSun" w:hAnsi="Courier New" w:cs="Courier New"/>
          <w:sz w:val="24"/>
          <w:szCs w:val="24"/>
          <w:lang w:eastAsia="zh-CN"/>
        </w:rPr>
        <w:t xml:space="preserve">D/E </w:t>
      </w:r>
      <w:r>
        <w:rPr>
          <w:rFonts w:ascii="Courier New" w:eastAsia="SimSun" w:hAnsi="Courier New" w:cs="Courier New"/>
          <w:sz w:val="24"/>
          <w:szCs w:val="24"/>
          <w:lang w:eastAsia="zh-CN"/>
        </w:rPr>
        <w:t xml:space="preserve">rates for the particular </w:t>
      </w:r>
      <w:r w:rsidR="00E95819">
        <w:rPr>
          <w:rFonts w:ascii="Courier New" w:eastAsia="SimSun" w:hAnsi="Courier New" w:cs="Courier New"/>
          <w:sz w:val="24"/>
          <w:szCs w:val="24"/>
          <w:lang w:eastAsia="zh-CN"/>
        </w:rPr>
        <w:t xml:space="preserve">GE </w:t>
      </w:r>
      <w:r>
        <w:rPr>
          <w:rFonts w:ascii="Courier New" w:eastAsia="SimSun" w:hAnsi="Courier New" w:cs="Courier New"/>
          <w:sz w:val="24"/>
          <w:szCs w:val="24"/>
          <w:lang w:eastAsia="zh-CN"/>
        </w:rPr>
        <w:t xml:space="preserve">program. </w:t>
      </w:r>
      <w:r w:rsidR="00831923">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We may not issue </w:t>
      </w:r>
      <w:r w:rsidR="00E64E9F">
        <w:rPr>
          <w:rFonts w:ascii="Courier New" w:eastAsia="SimSun" w:hAnsi="Courier New" w:cs="Courier New"/>
          <w:sz w:val="24"/>
          <w:szCs w:val="24"/>
          <w:lang w:eastAsia="zh-CN"/>
        </w:rPr>
        <w:t xml:space="preserve">D/E </w:t>
      </w:r>
      <w:r>
        <w:rPr>
          <w:rFonts w:ascii="Courier New" w:eastAsia="SimSun" w:hAnsi="Courier New" w:cs="Courier New"/>
          <w:sz w:val="24"/>
          <w:szCs w:val="24"/>
          <w:lang w:eastAsia="zh-CN"/>
        </w:rPr>
        <w:t xml:space="preserve">rates </w:t>
      </w:r>
      <w:r w:rsidR="00E95819">
        <w:rPr>
          <w:rFonts w:ascii="Courier New" w:eastAsia="SimSun" w:hAnsi="Courier New" w:cs="Courier New"/>
          <w:sz w:val="24"/>
          <w:szCs w:val="24"/>
          <w:lang w:eastAsia="zh-CN"/>
        </w:rPr>
        <w:t xml:space="preserve">for a particular GE program for a particular year for several reasons, </w:t>
      </w:r>
      <w:r w:rsidR="008525C5">
        <w:rPr>
          <w:rFonts w:ascii="Courier New" w:eastAsia="SimSun" w:hAnsi="Courier New" w:cs="Courier New"/>
          <w:sz w:val="24"/>
          <w:szCs w:val="24"/>
          <w:lang w:eastAsia="zh-CN"/>
        </w:rPr>
        <w:t>such as insufficient n-size,</w:t>
      </w:r>
      <w:r w:rsidR="00E95819">
        <w:rPr>
          <w:rFonts w:ascii="Courier New" w:eastAsia="SimSun" w:hAnsi="Courier New" w:cs="Courier New"/>
          <w:sz w:val="24"/>
          <w:szCs w:val="24"/>
          <w:lang w:eastAsia="zh-CN"/>
        </w:rPr>
        <w:t xml:space="preserve"> but each year we issue any </w:t>
      </w:r>
      <w:r w:rsidR="00E64E9F">
        <w:rPr>
          <w:rFonts w:ascii="Courier New" w:eastAsia="SimSun" w:hAnsi="Courier New" w:cs="Courier New"/>
          <w:sz w:val="24"/>
          <w:szCs w:val="24"/>
          <w:lang w:eastAsia="zh-CN"/>
        </w:rPr>
        <w:t xml:space="preserve">D/E </w:t>
      </w:r>
      <w:r w:rsidR="00E95819">
        <w:rPr>
          <w:rFonts w:ascii="Courier New" w:eastAsia="SimSun" w:hAnsi="Courier New" w:cs="Courier New"/>
          <w:sz w:val="24"/>
          <w:szCs w:val="24"/>
          <w:lang w:eastAsia="zh-CN"/>
        </w:rPr>
        <w:t xml:space="preserve">rates for </w:t>
      </w:r>
      <w:r w:rsidR="00170A38">
        <w:rPr>
          <w:rFonts w:ascii="Courier New" w:eastAsia="SimSun" w:hAnsi="Courier New" w:cs="Courier New"/>
          <w:sz w:val="24"/>
          <w:szCs w:val="24"/>
          <w:lang w:eastAsia="zh-CN"/>
        </w:rPr>
        <w:t>the regulations</w:t>
      </w:r>
      <w:r w:rsidR="00E95819">
        <w:rPr>
          <w:rFonts w:ascii="Courier New" w:eastAsia="SimSun" w:hAnsi="Courier New" w:cs="Courier New"/>
          <w:sz w:val="24"/>
          <w:szCs w:val="24"/>
          <w:lang w:eastAsia="zh-CN"/>
        </w:rPr>
        <w:t xml:space="preserve"> is included in </w:t>
      </w:r>
      <w:r w:rsidR="008F557A">
        <w:rPr>
          <w:rFonts w:ascii="Courier New" w:eastAsia="SimSun" w:hAnsi="Courier New" w:cs="Courier New"/>
          <w:sz w:val="24"/>
          <w:szCs w:val="24"/>
          <w:lang w:eastAsia="zh-CN"/>
        </w:rPr>
        <w:t xml:space="preserve">any </w:t>
      </w:r>
      <w:r w:rsidR="00E95819">
        <w:rPr>
          <w:rFonts w:ascii="Courier New" w:eastAsia="SimSun" w:hAnsi="Courier New" w:cs="Courier New"/>
          <w:sz w:val="24"/>
          <w:szCs w:val="24"/>
          <w:lang w:eastAsia="zh-CN"/>
        </w:rPr>
        <w:t xml:space="preserve">transition period whether or not we issued D/E rates for </w:t>
      </w:r>
      <w:r w:rsidR="00831923">
        <w:rPr>
          <w:rFonts w:ascii="Courier New" w:eastAsia="SimSun" w:hAnsi="Courier New" w:cs="Courier New"/>
          <w:sz w:val="24"/>
          <w:szCs w:val="24"/>
          <w:lang w:eastAsia="zh-CN"/>
        </w:rPr>
        <w:t xml:space="preserve">a specific </w:t>
      </w:r>
      <w:r w:rsidR="00E95819">
        <w:rPr>
          <w:rFonts w:ascii="Courier New" w:eastAsia="SimSun" w:hAnsi="Courier New" w:cs="Courier New"/>
          <w:sz w:val="24"/>
          <w:szCs w:val="24"/>
          <w:lang w:eastAsia="zh-CN"/>
        </w:rPr>
        <w:t xml:space="preserve">program </w:t>
      </w:r>
      <w:r w:rsidR="00831923">
        <w:rPr>
          <w:rFonts w:ascii="Courier New" w:eastAsia="SimSun" w:hAnsi="Courier New" w:cs="Courier New"/>
          <w:sz w:val="24"/>
          <w:szCs w:val="24"/>
          <w:lang w:eastAsia="zh-CN"/>
        </w:rPr>
        <w:t>in</w:t>
      </w:r>
      <w:r w:rsidR="00E95819">
        <w:rPr>
          <w:rFonts w:ascii="Courier New" w:eastAsia="SimSun" w:hAnsi="Courier New" w:cs="Courier New"/>
          <w:sz w:val="24"/>
          <w:szCs w:val="24"/>
          <w:lang w:eastAsia="zh-CN"/>
        </w:rPr>
        <w:t xml:space="preserve"> a given year.  </w:t>
      </w:r>
      <w:r>
        <w:rPr>
          <w:rFonts w:ascii="Courier New" w:eastAsia="SimSun" w:hAnsi="Courier New" w:cs="Courier New"/>
          <w:sz w:val="24"/>
          <w:szCs w:val="24"/>
          <w:lang w:eastAsia="zh-CN"/>
        </w:rPr>
        <w:t xml:space="preserve"> </w:t>
      </w:r>
      <w:r w:rsidR="00DC07F8">
        <w:rPr>
          <w:rFonts w:ascii="Courier New" w:eastAsia="SimSun" w:hAnsi="Courier New" w:cs="Courier New"/>
          <w:sz w:val="24"/>
          <w:szCs w:val="24"/>
          <w:lang w:eastAsia="zh-CN"/>
        </w:rPr>
        <w:t xml:space="preserve">     </w:t>
      </w:r>
    </w:p>
    <w:p w14:paraId="7CCC029C" w14:textId="77777777" w:rsidR="00DC07F8" w:rsidRPr="00D140AB" w:rsidRDefault="00DC07F8" w:rsidP="00DC07F8">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We believe that </w:t>
      </w:r>
      <w:r>
        <w:rPr>
          <w:rFonts w:ascii="Courier New" w:eastAsia="SimSun" w:hAnsi="Courier New" w:cs="Courier New"/>
          <w:sz w:val="24"/>
          <w:szCs w:val="24"/>
          <w:lang w:eastAsia="zh-CN"/>
        </w:rPr>
        <w:t>extending the number of years that the transition period will remain in effect</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is</w:t>
      </w:r>
      <w:r w:rsidRPr="00D140AB">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not only </w:t>
      </w:r>
      <w:r w:rsidRPr="00D140AB">
        <w:rPr>
          <w:rFonts w:ascii="Courier New" w:eastAsia="SimSun" w:hAnsi="Courier New" w:cs="Courier New"/>
          <w:sz w:val="24"/>
          <w:szCs w:val="24"/>
          <w:lang w:eastAsia="zh-CN"/>
        </w:rPr>
        <w:t xml:space="preserve">responsive </w:t>
      </w:r>
      <w:r w:rsidRPr="00D140AB">
        <w:rPr>
          <w:rFonts w:ascii="Courier New" w:eastAsia="SimSun" w:hAnsi="Courier New" w:cs="Courier New"/>
          <w:sz w:val="24"/>
          <w:szCs w:val="24"/>
          <w:lang w:eastAsia="zh-CN"/>
        </w:rPr>
        <w:lastRenderedPageBreak/>
        <w:t>to concerns raised by the commenters about the time that institutions need to improve program performance</w:t>
      </w:r>
      <w:r>
        <w:rPr>
          <w:rFonts w:ascii="Courier New" w:eastAsia="SimSun" w:hAnsi="Courier New" w:cs="Courier New"/>
          <w:sz w:val="24"/>
          <w:szCs w:val="24"/>
          <w:lang w:eastAsia="zh-CN"/>
        </w:rPr>
        <w:t xml:space="preserve"> </w:t>
      </w:r>
      <w:r w:rsidRPr="00D140AB">
        <w:rPr>
          <w:rFonts w:ascii="Courier New" w:eastAsia="SimSun" w:hAnsi="Courier New" w:cs="Courier New"/>
          <w:sz w:val="24"/>
          <w:szCs w:val="24"/>
          <w:lang w:eastAsia="zh-CN"/>
        </w:rPr>
        <w:t xml:space="preserve">but </w:t>
      </w:r>
      <w:r>
        <w:rPr>
          <w:rFonts w:ascii="Courier New" w:eastAsia="SimSun" w:hAnsi="Courier New" w:cs="Courier New"/>
          <w:sz w:val="24"/>
          <w:szCs w:val="24"/>
          <w:lang w:eastAsia="zh-CN"/>
        </w:rPr>
        <w:t xml:space="preserve">that doing so will </w:t>
      </w:r>
      <w:r w:rsidRPr="00D140AB">
        <w:rPr>
          <w:rFonts w:ascii="Courier New" w:eastAsia="SimSun" w:hAnsi="Courier New" w:cs="Courier New"/>
          <w:sz w:val="24"/>
          <w:szCs w:val="24"/>
          <w:lang w:eastAsia="zh-CN"/>
        </w:rPr>
        <w:t>result in tangible benefits for students.</w:t>
      </w:r>
    </w:p>
    <w:p w14:paraId="398D194D" w14:textId="00A4F0E6" w:rsidR="00DC07F8" w:rsidRDefault="00DC07F8" w:rsidP="00DC07F8">
      <w:pPr>
        <w:spacing w:after="0" w:line="480" w:lineRule="auto"/>
        <w:rPr>
          <w:rFonts w:ascii="Courier New" w:eastAsia="SimSun" w:hAnsi="Courier New" w:cs="Courier New"/>
          <w:sz w:val="24"/>
          <w:szCs w:val="24"/>
          <w:lang w:eastAsia="zh-CN"/>
        </w:rPr>
      </w:pPr>
      <w:r>
        <w:rPr>
          <w:rFonts w:ascii="Courier New" w:eastAsia="SimSun" w:hAnsi="Courier New" w:cs="Courier New"/>
          <w:sz w:val="24"/>
          <w:szCs w:val="24"/>
          <w:lang w:eastAsia="zh-CN"/>
        </w:rPr>
        <w:t xml:space="preserve">     </w:t>
      </w:r>
      <w:r w:rsidR="00E74C9B">
        <w:rPr>
          <w:rFonts w:ascii="Courier New" w:eastAsia="SimSun" w:hAnsi="Courier New" w:cs="Courier New"/>
          <w:sz w:val="24"/>
          <w:szCs w:val="24"/>
          <w:lang w:eastAsia="zh-CN"/>
        </w:rPr>
        <w:t>W</w:t>
      </w:r>
      <w:r w:rsidRPr="00D140AB">
        <w:rPr>
          <w:rFonts w:ascii="Courier New" w:eastAsia="SimSun" w:hAnsi="Courier New" w:cs="Courier New"/>
          <w:sz w:val="24"/>
          <w:szCs w:val="24"/>
          <w:lang w:eastAsia="zh-CN"/>
        </w:rPr>
        <w:t xml:space="preserve">e believe that </w:t>
      </w:r>
      <w:r>
        <w:rPr>
          <w:rFonts w:ascii="Courier New" w:eastAsia="SimSun" w:hAnsi="Courier New" w:cs="Courier New"/>
          <w:sz w:val="24"/>
          <w:szCs w:val="24"/>
          <w:lang w:eastAsia="zh-CN"/>
        </w:rPr>
        <w:t xml:space="preserve">this option </w:t>
      </w:r>
      <w:r w:rsidRPr="00D140AB">
        <w:rPr>
          <w:rFonts w:ascii="Courier New" w:eastAsia="SimSun" w:hAnsi="Courier New" w:cs="Courier New"/>
          <w:sz w:val="24"/>
          <w:szCs w:val="24"/>
          <w:lang w:eastAsia="zh-CN"/>
        </w:rPr>
        <w:t>better serve</w:t>
      </w:r>
      <w:r>
        <w:rPr>
          <w:rFonts w:ascii="Courier New" w:eastAsia="SimSun" w:hAnsi="Courier New" w:cs="Courier New"/>
          <w:sz w:val="24"/>
          <w:szCs w:val="24"/>
          <w:lang w:eastAsia="zh-CN"/>
        </w:rPr>
        <w:t>s</w:t>
      </w:r>
      <w:r w:rsidRPr="00D140AB">
        <w:rPr>
          <w:rFonts w:ascii="Courier New" w:eastAsia="SimSun" w:hAnsi="Courier New" w:cs="Courier New"/>
          <w:sz w:val="24"/>
          <w:szCs w:val="24"/>
          <w:lang w:eastAsia="zh-CN"/>
        </w:rPr>
        <w:t xml:space="preserve"> the purposes of the regulations than the provision in the 2011 Prior Rule setting a cap on the number of programs that could be determined ineligible.  The cap afforded institutions an opportunity to avoid a loss of eligibility without taking any action to improve their programs.  The transition period provisions in these regulations provide institutions an incentive to improve student outcomes as well as an opportunity to avoid ineligibility.</w:t>
      </w:r>
    </w:p>
    <w:p w14:paraId="76294C49" w14:textId="34B818C0" w:rsidR="00E74C9B" w:rsidRPr="0028360A" w:rsidRDefault="00E74C9B" w:rsidP="00E74C9B">
      <w:pPr>
        <w:spacing w:after="0" w:line="480" w:lineRule="auto"/>
        <w:rPr>
          <w:rFonts w:ascii="Courier New" w:hAnsi="Courier New"/>
          <w:sz w:val="24"/>
        </w:rPr>
      </w:pPr>
      <w:r>
        <w:rPr>
          <w:rFonts w:ascii="Courier New" w:eastAsia="SimSun" w:hAnsi="Courier New" w:cs="Courier New"/>
          <w:sz w:val="24"/>
          <w:szCs w:val="24"/>
          <w:lang w:eastAsia="zh-CN"/>
        </w:rPr>
        <w:t xml:space="preserve">     We do not agree that delaying </w:t>
      </w:r>
      <w:r w:rsidRPr="0028360A">
        <w:rPr>
          <w:rFonts w:ascii="Courier New" w:hAnsi="Courier New"/>
          <w:sz w:val="24"/>
        </w:rPr>
        <w:t xml:space="preserve">implementation of the regulations or providing informational rates for a set period of time before imposing consequences will be as effective as the revised transition period.  The purpose of the transition period is to provide institutions with </w:t>
      </w:r>
      <w:r w:rsidR="00791D1F" w:rsidRPr="0028360A">
        <w:rPr>
          <w:rFonts w:ascii="Courier New" w:hAnsi="Courier New" w:cs="Courier New"/>
          <w:sz w:val="24"/>
          <w:szCs w:val="24"/>
        </w:rPr>
        <w:t>an</w:t>
      </w:r>
      <w:r w:rsidRPr="0028360A">
        <w:rPr>
          <w:rFonts w:ascii="Courier New" w:hAnsi="Courier New"/>
          <w:sz w:val="24"/>
        </w:rPr>
        <w:t xml:space="preserve"> incentive to make improvements in their programs so that students will see improved outcomes.  </w:t>
      </w:r>
      <w:r w:rsidR="002E75D1" w:rsidRPr="0028360A">
        <w:rPr>
          <w:rFonts w:ascii="Courier New" w:hAnsi="Courier New" w:cs="Courier New"/>
          <w:sz w:val="24"/>
          <w:szCs w:val="24"/>
        </w:rPr>
        <w:t>D</w:t>
      </w:r>
      <w:r w:rsidRPr="0028360A">
        <w:rPr>
          <w:rFonts w:ascii="Courier New" w:hAnsi="Courier New" w:cs="Courier New"/>
          <w:sz w:val="24"/>
          <w:szCs w:val="24"/>
        </w:rPr>
        <w:t>elaying</w:t>
      </w:r>
      <w:r w:rsidRPr="0028360A">
        <w:rPr>
          <w:rFonts w:ascii="Courier New" w:hAnsi="Courier New"/>
          <w:sz w:val="24"/>
        </w:rPr>
        <w:t xml:space="preserve"> implementation or </w:t>
      </w:r>
      <w:r w:rsidR="00791D1F" w:rsidRPr="0028360A">
        <w:rPr>
          <w:rFonts w:ascii="Courier New" w:hAnsi="Courier New"/>
          <w:sz w:val="24"/>
        </w:rPr>
        <w:t xml:space="preserve">only providing informational rates </w:t>
      </w:r>
      <w:r w:rsidRPr="0028360A">
        <w:rPr>
          <w:rFonts w:ascii="Courier New" w:hAnsi="Courier New"/>
          <w:sz w:val="24"/>
        </w:rPr>
        <w:t xml:space="preserve">the first few years the regulations are in effect would likely create a disincentive for programs to make improvements, which in turn would negatively affect students.  </w:t>
      </w:r>
    </w:p>
    <w:p w14:paraId="0460557D" w14:textId="16BECDC9" w:rsidR="00E74C9B" w:rsidRPr="0028360A" w:rsidRDefault="00E74C9B" w:rsidP="00DC07F8">
      <w:pPr>
        <w:spacing w:after="0" w:line="480" w:lineRule="auto"/>
        <w:rPr>
          <w:rFonts w:ascii="Courier New" w:hAnsi="Courier New"/>
          <w:sz w:val="24"/>
        </w:rPr>
      </w:pPr>
      <w:r w:rsidRPr="0028360A">
        <w:rPr>
          <w:rFonts w:ascii="Courier New" w:hAnsi="Courier New"/>
          <w:sz w:val="24"/>
        </w:rPr>
        <w:t xml:space="preserve">     With the changes we are making in these final regulations, we believe that institutions will have a significant incentive to make improvements.  It is possible that an institution may </w:t>
      </w:r>
      <w:r w:rsidRPr="0028360A">
        <w:rPr>
          <w:rFonts w:ascii="Courier New" w:hAnsi="Courier New"/>
          <w:sz w:val="24"/>
        </w:rPr>
        <w:lastRenderedPageBreak/>
        <w:t xml:space="preserve">also seek to improve its D/E rates by giving scholarships or tuition discounts to students completing the program.  A scholarship or tuition discount benefits the student by reducing debt burden, and therefore we would not discourage an institution from offering that type of benefit to its students.  </w:t>
      </w:r>
    </w:p>
    <w:p w14:paraId="751077C3" w14:textId="5443270A" w:rsidR="00DC07F8" w:rsidRDefault="00DC07F8" w:rsidP="00DC07F8">
      <w:pPr>
        <w:spacing w:after="0" w:line="480" w:lineRule="auto"/>
      </w:pPr>
      <w:r w:rsidRPr="00D140AB">
        <w:rPr>
          <w:rFonts w:ascii="Courier New" w:eastAsia="SimSun" w:hAnsi="Courier New" w:cs="Courier New"/>
          <w:sz w:val="24"/>
          <w:szCs w:val="24"/>
          <w:u w:val="single"/>
          <w:lang w:eastAsia="zh-CN"/>
        </w:rPr>
        <w:t>Changes</w:t>
      </w:r>
      <w:r w:rsidRPr="00D140AB">
        <w:rPr>
          <w:rFonts w:ascii="Courier New" w:eastAsia="SimSun" w:hAnsi="Courier New" w:cs="Courier New"/>
          <w:sz w:val="24"/>
          <w:szCs w:val="24"/>
          <w:lang w:eastAsia="zh-CN"/>
        </w:rPr>
        <w:t xml:space="preserve">:  We have revised </w:t>
      </w:r>
      <w:r>
        <w:rPr>
          <w:rFonts w:ascii="Courier New" w:eastAsia="SimSun" w:hAnsi="Courier New" w:cs="Courier New"/>
          <w:sz w:val="24"/>
          <w:szCs w:val="24"/>
          <w:lang w:eastAsia="zh-CN"/>
        </w:rPr>
        <w:t xml:space="preserve">the regulations </w:t>
      </w:r>
      <w:r w:rsidR="00831923">
        <w:rPr>
          <w:rFonts w:ascii="Courier New" w:eastAsia="SimSun" w:hAnsi="Courier New" w:cs="Courier New"/>
          <w:sz w:val="24"/>
          <w:szCs w:val="24"/>
          <w:lang w:eastAsia="zh-CN"/>
        </w:rPr>
        <w:t xml:space="preserve">in §668.404(g) </w:t>
      </w:r>
      <w:r>
        <w:rPr>
          <w:rFonts w:ascii="Courier New" w:eastAsia="SimSun" w:hAnsi="Courier New" w:cs="Courier New"/>
          <w:sz w:val="24"/>
          <w:szCs w:val="24"/>
          <w:lang w:eastAsia="zh-CN"/>
        </w:rPr>
        <w:t>to provide that the transition period is five</w:t>
      </w:r>
      <w:r w:rsidRPr="00390870">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award </w:t>
      </w:r>
      <w:r w:rsidRPr="00390870">
        <w:rPr>
          <w:rFonts w:ascii="Courier New" w:eastAsia="SimSun" w:hAnsi="Courier New" w:cs="Courier New"/>
          <w:sz w:val="24"/>
          <w:szCs w:val="24"/>
          <w:lang w:eastAsia="zh-CN"/>
        </w:rPr>
        <w:t xml:space="preserve">years for a program that </w:t>
      </w:r>
      <w:r>
        <w:rPr>
          <w:rFonts w:ascii="Courier New" w:eastAsia="SimSun" w:hAnsi="Courier New" w:cs="Courier New"/>
          <w:sz w:val="24"/>
          <w:szCs w:val="24"/>
          <w:lang w:eastAsia="zh-CN"/>
        </w:rPr>
        <w:t>is one year or less</w:t>
      </w:r>
      <w:r w:rsidR="00831923">
        <w:rPr>
          <w:rFonts w:ascii="Courier New" w:eastAsia="SimSun" w:hAnsi="Courier New" w:cs="Courier New"/>
          <w:sz w:val="24"/>
          <w:szCs w:val="24"/>
          <w:lang w:eastAsia="zh-CN"/>
        </w:rPr>
        <w:t xml:space="preserve"> in length</w:t>
      </w:r>
      <w:r>
        <w:rPr>
          <w:rFonts w:ascii="Courier New" w:eastAsia="SimSun" w:hAnsi="Courier New" w:cs="Courier New"/>
          <w:sz w:val="24"/>
          <w:szCs w:val="24"/>
          <w:lang w:eastAsia="zh-CN"/>
        </w:rPr>
        <w:t>; six</w:t>
      </w:r>
      <w:r w:rsidRPr="00390870">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award </w:t>
      </w:r>
      <w:r w:rsidRPr="00390870">
        <w:rPr>
          <w:rFonts w:ascii="Courier New" w:eastAsia="SimSun" w:hAnsi="Courier New" w:cs="Courier New"/>
          <w:sz w:val="24"/>
          <w:szCs w:val="24"/>
          <w:lang w:eastAsia="zh-CN"/>
        </w:rPr>
        <w:t>years for a program that is between one</w:t>
      </w:r>
      <w:r>
        <w:rPr>
          <w:rFonts w:ascii="Courier New" w:eastAsia="SimSun" w:hAnsi="Courier New" w:cs="Courier New"/>
          <w:sz w:val="24"/>
          <w:szCs w:val="24"/>
          <w:lang w:eastAsia="zh-CN"/>
        </w:rPr>
        <w:t xml:space="preserve"> and two years</w:t>
      </w:r>
      <w:r w:rsidR="00831923">
        <w:rPr>
          <w:rFonts w:ascii="Courier New" w:eastAsia="SimSun" w:hAnsi="Courier New" w:cs="Courier New"/>
          <w:sz w:val="24"/>
          <w:szCs w:val="24"/>
          <w:lang w:eastAsia="zh-CN"/>
        </w:rPr>
        <w:t xml:space="preserve"> in length</w:t>
      </w:r>
      <w:r>
        <w:rPr>
          <w:rFonts w:ascii="Courier New" w:eastAsia="SimSun" w:hAnsi="Courier New" w:cs="Courier New"/>
          <w:sz w:val="24"/>
          <w:szCs w:val="24"/>
          <w:lang w:eastAsia="zh-CN"/>
        </w:rPr>
        <w:t>; and seven</w:t>
      </w:r>
      <w:r w:rsidRPr="00390870">
        <w:rPr>
          <w:rFonts w:ascii="Courier New" w:eastAsia="SimSun" w:hAnsi="Courier New" w:cs="Courier New"/>
          <w:sz w:val="24"/>
          <w:szCs w:val="24"/>
          <w:lang w:eastAsia="zh-CN"/>
        </w:rPr>
        <w:t xml:space="preserve"> </w:t>
      </w:r>
      <w:r>
        <w:rPr>
          <w:rFonts w:ascii="Courier New" w:eastAsia="SimSun" w:hAnsi="Courier New" w:cs="Courier New"/>
          <w:sz w:val="24"/>
          <w:szCs w:val="24"/>
          <w:lang w:eastAsia="zh-CN"/>
        </w:rPr>
        <w:t xml:space="preserve">award </w:t>
      </w:r>
      <w:r w:rsidRPr="00390870">
        <w:rPr>
          <w:rFonts w:ascii="Courier New" w:eastAsia="SimSun" w:hAnsi="Courier New" w:cs="Courier New"/>
          <w:sz w:val="24"/>
          <w:szCs w:val="24"/>
          <w:lang w:eastAsia="zh-CN"/>
        </w:rPr>
        <w:t>yea</w:t>
      </w:r>
      <w:r>
        <w:rPr>
          <w:rFonts w:ascii="Courier New" w:eastAsia="SimSun" w:hAnsi="Courier New" w:cs="Courier New"/>
          <w:sz w:val="24"/>
          <w:szCs w:val="24"/>
          <w:lang w:eastAsia="zh-CN"/>
        </w:rPr>
        <w:t>rs for a program that is more than two years</w:t>
      </w:r>
      <w:r w:rsidR="00831923">
        <w:rPr>
          <w:rFonts w:ascii="Courier New" w:eastAsia="SimSun" w:hAnsi="Courier New" w:cs="Courier New"/>
          <w:sz w:val="24"/>
          <w:szCs w:val="24"/>
          <w:lang w:eastAsia="zh-CN"/>
        </w:rPr>
        <w:t xml:space="preserve"> in length</w:t>
      </w:r>
      <w:r w:rsidRPr="00390870">
        <w:rPr>
          <w:rFonts w:ascii="Courier New" w:eastAsia="SimSun" w:hAnsi="Courier New" w:cs="Courier New"/>
          <w:sz w:val="24"/>
          <w:szCs w:val="24"/>
          <w:lang w:eastAsia="zh-CN"/>
        </w:rPr>
        <w:t>.</w:t>
      </w:r>
      <w:r>
        <w:rPr>
          <w:rFonts w:ascii="Courier New" w:eastAsia="SimSun" w:hAnsi="Courier New" w:cs="Courier New"/>
          <w:sz w:val="24"/>
          <w:szCs w:val="24"/>
          <w:lang w:eastAsia="zh-CN"/>
        </w:rPr>
        <w:t xml:space="preserve">  </w:t>
      </w:r>
    </w:p>
    <w:p w14:paraId="13CF570C" w14:textId="77777777" w:rsidR="00DC07F8" w:rsidRDefault="00DC07F8" w:rsidP="00DC07F8"/>
    <w:p w14:paraId="04D60163" w14:textId="77777777" w:rsidR="00E144CA" w:rsidRPr="00D140AB" w:rsidRDefault="00E144CA" w:rsidP="006F3116">
      <w:pPr>
        <w:pStyle w:val="Heading2"/>
        <w:ind w:left="0"/>
        <w:rPr>
          <w:lang w:eastAsia="zh-CN"/>
        </w:rPr>
      </w:pPr>
      <w:r w:rsidRPr="00D140AB">
        <w:rPr>
          <w:lang w:eastAsia="zh-CN"/>
        </w:rPr>
        <w:t>90/10 Rule</w:t>
      </w:r>
    </w:p>
    <w:p w14:paraId="20FFE924" w14:textId="77777777" w:rsidR="00E144CA" w:rsidRPr="00D140AB" w:rsidRDefault="00E144CA" w:rsidP="006F3116">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Several commenters argued that the proposed definition of “gainful employment,” as reflected in the D/E rates measure, conflicts with the 90/10 provisions in section 487(a)(24) of the HEA, under which for-profit institutions must derive at least 10 percent of their revenue from sources other than the title IV, HEA programs. </w:t>
      </w:r>
    </w:p>
    <w:p w14:paraId="149FCA12" w14:textId="11D0A7CA" w:rsidR="00E144CA" w:rsidRPr="00D140AB" w:rsidRDefault="006F3116" w:rsidP="006F3116">
      <w:pPr>
        <w:spacing w:after="0" w:line="480" w:lineRule="auto"/>
        <w:rPr>
          <w:rFonts w:ascii="Courier New" w:hAnsi="Courier New" w:cs="Courier New"/>
          <w:sz w:val="24"/>
          <w:szCs w:val="24"/>
        </w:rPr>
      </w:pPr>
      <w:r>
        <w:rPr>
          <w:rFonts w:ascii="Courier New" w:hAnsi="Courier New" w:cs="Courier New"/>
          <w:sz w:val="24"/>
          <w:szCs w:val="24"/>
        </w:rPr>
        <w:t xml:space="preserve">     </w:t>
      </w:r>
      <w:r w:rsidR="00E144CA" w:rsidRPr="00D140AB">
        <w:rPr>
          <w:rFonts w:ascii="Courier New" w:hAnsi="Courier New" w:cs="Courier New"/>
          <w:sz w:val="24"/>
          <w:szCs w:val="24"/>
        </w:rPr>
        <w:t xml:space="preserve">Some of these commenters opined that the regulations would limit the ability of for-profit institutions to increase tuition since increases in tuition correlate strongly with increases in Federal and private student loan debt.  The commenters stated that increasing tuition beyond the total amount of Federal student aid available to students is the principal means </w:t>
      </w:r>
      <w:r w:rsidR="00E144CA" w:rsidRPr="00D140AB">
        <w:rPr>
          <w:rFonts w:ascii="Courier New" w:hAnsi="Courier New" w:cs="Courier New"/>
          <w:sz w:val="24"/>
          <w:szCs w:val="24"/>
        </w:rPr>
        <w:lastRenderedPageBreak/>
        <w:t xml:space="preserve">available to for-profit institutions for complying with the 90/10 provisions.  Consequently, the commenters reasoned that it would be extremely difficult for institutions to comply with both the GE regulations and the 90/10 provisions, particularly for institutions that are at or near the 90 percent limit, that enroll predominately students who are eligible for Pell </w:t>
      </w:r>
      <w:r w:rsidR="00E144CA">
        <w:rPr>
          <w:rFonts w:ascii="Courier New" w:hAnsi="Courier New" w:cs="Courier New"/>
          <w:sz w:val="24"/>
          <w:szCs w:val="24"/>
        </w:rPr>
        <w:t>Grants</w:t>
      </w:r>
      <w:r w:rsidR="00E144CA" w:rsidRPr="00D140AB">
        <w:rPr>
          <w:rFonts w:ascii="Courier New" w:hAnsi="Courier New" w:cs="Courier New"/>
          <w:sz w:val="24"/>
          <w:szCs w:val="24"/>
        </w:rPr>
        <w:t xml:space="preserve">, or that are located in States where grant aid is not available to for-profit institutions.  One of these commenters asked the Department to refrain from publishing any final regulations addressing student debt until the Department works with Congress to modify the 90/10 provisions to address this conflict. </w:t>
      </w:r>
    </w:p>
    <w:p w14:paraId="5117CCA9" w14:textId="77777777" w:rsidR="00E144CA" w:rsidRPr="00D140AB" w:rsidRDefault="00E144CA" w:rsidP="006F3116">
      <w:pPr>
        <w:spacing w:after="0" w:line="480" w:lineRule="auto"/>
        <w:rPr>
          <w:rFonts w:ascii="Courier New" w:hAnsi="Courier New" w:cs="Courier New"/>
          <w:sz w:val="24"/>
          <w:szCs w:val="24"/>
        </w:rPr>
      </w:pPr>
      <w:r w:rsidRPr="00D140AB">
        <w:rPr>
          <w:rFonts w:ascii="Courier New" w:hAnsi="Courier New" w:cs="Courier New"/>
          <w:sz w:val="24"/>
          <w:szCs w:val="24"/>
        </w:rPr>
        <w:tab/>
        <w:t>Other commenters contended that the proposed regulations are contrary to the 90/10 provisions because as tuition decreases, the chances increase that institutions will not be able to comply with the 90/10 provisions because the percentage of tuition that students pay with title IV, HEA program funds will remain constant or increase.  Some commenters concluded that as institutions attempt to balance the requirements of these regulations with their 90/10 obligations, opportunities for students who rely heavily on title IV, HEA program funds will be curtailed, particularly because the Department interprets the HEA to prohibit institutions from limiting the amount students may borrow on an across-the-board or categorical basis.</w:t>
      </w:r>
    </w:p>
    <w:p w14:paraId="19134B1C" w14:textId="77777777" w:rsidR="00E144CA" w:rsidRPr="00D140AB" w:rsidRDefault="00E144CA" w:rsidP="006F3116">
      <w:pPr>
        <w:spacing w:after="0" w:line="480" w:lineRule="auto"/>
        <w:rPr>
          <w:rFonts w:ascii="Courier New" w:hAnsi="Courier New" w:cs="Courier New"/>
          <w:sz w:val="24"/>
          <w:szCs w:val="24"/>
        </w:rPr>
      </w:pPr>
      <w:r w:rsidRPr="00D140AB">
        <w:rPr>
          <w:rFonts w:ascii="Courier New" w:hAnsi="Courier New" w:cs="Courier New"/>
          <w:sz w:val="24"/>
          <w:szCs w:val="24"/>
        </w:rPr>
        <w:lastRenderedPageBreak/>
        <w:tab/>
        <w:t>Other commenters argued that if one of the objectives of these regulations is to reduce tuition (and by implication, student loan debt), this objective conflicts directly with the 90/10 provisions, which often lead to tuition increases resulting from mathematical expediency.  The commenters stated that because institutions are prohibited from capping the amount students may borrow, but are effectively given incentives to maintain tuition at amounts higher than the Federal loan limits, these regulations would place institutions at risk of violating the 90/10 provisions.</w:t>
      </w:r>
    </w:p>
    <w:p w14:paraId="1435313D" w14:textId="77777777" w:rsidR="00E144CA" w:rsidRPr="00D140AB" w:rsidRDefault="00E144CA" w:rsidP="006F3116">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Similarly, other commenters stated that for-profit institutions are often prevented from reducing tuition because they must satisfy the 90/10 provisions and because they are prohibited from reducing borrowing limits for students in certain programs.  The commenters suggested that the Department use its Experimental Sites authority as a way to develop a better approach for making programs more affordable.  Specifically, the commenters proposed that institutions participating in an approved experiment could be exempt from the 90/10 provisions in order to reduce the cost of a program to a level aligned with the cost of delivering that program and the expected wages of program graduates.  The commenters offered that under this approach, an institution could be required to submit a comprehensive enrollment management and student success </w:t>
      </w:r>
      <w:r w:rsidRPr="00D140AB">
        <w:rPr>
          <w:rFonts w:ascii="Courier New" w:hAnsi="Courier New" w:cs="Courier New"/>
          <w:sz w:val="24"/>
          <w:szCs w:val="24"/>
        </w:rPr>
        <w:lastRenderedPageBreak/>
        <w:t xml:space="preserve">plan and annual tuition increases would be indexed to annual rates of inflation.  Or, at a minimum, the commenters suggested that the Department exempt institutions that would otherwise fail the 90/10 revenue requirement by lowering tuition amounts to pass the D/E rates measure.  In addition, the commenters offered other suggestions, such as exempting from the 90/10 provisions institutions that serve a majority of students who are eligible for Pell </w:t>
      </w:r>
      <w:r>
        <w:rPr>
          <w:rFonts w:ascii="Courier New" w:hAnsi="Courier New" w:cs="Courier New"/>
          <w:sz w:val="24"/>
          <w:szCs w:val="24"/>
        </w:rPr>
        <w:t>Grants</w:t>
      </w:r>
      <w:r w:rsidRPr="00D140AB">
        <w:rPr>
          <w:rFonts w:ascii="Courier New" w:hAnsi="Courier New" w:cs="Courier New"/>
          <w:sz w:val="24"/>
          <w:szCs w:val="24"/>
        </w:rPr>
        <w:t xml:space="preserve"> or, instead of imposing sanctions on programs that fail the D/E rates measure, using the D/E rates calculations to set borrowing limits in advance to prevent students from taking on too much loan debt.</w:t>
      </w:r>
    </w:p>
    <w:p w14:paraId="57AEB040" w14:textId="77777777" w:rsidR="00E144CA" w:rsidRPr="00D140AB" w:rsidRDefault="00E144CA" w:rsidP="006F3116">
      <w:pPr>
        <w:spacing w:after="0" w:line="480" w:lineRule="auto"/>
        <w:rPr>
          <w:rFonts w:ascii="Courier New" w:hAnsi="Courier New" w:cs="Courier New"/>
          <w:sz w:val="24"/>
          <w:szCs w:val="24"/>
        </w:rPr>
      </w:pPr>
      <w:r w:rsidRPr="00D140AB">
        <w:rPr>
          <w:rFonts w:ascii="Courier New" w:hAnsi="Courier New" w:cs="Courier New"/>
          <w:sz w:val="24"/>
          <w:szCs w:val="24"/>
        </w:rPr>
        <w:tab/>
        <w:t>Another commenter believed that if the 90/10 provisions were eliminated, there would be no need for the D/E rates measure.  The commenter opined that the 90/10 provisions place constraints on market forces that, absent these provisions, would lead to reductions in tuition at for-profit institutions, shorten vocational training, reduce student indebtedness, and eliminate the need for funding above the Federal limits.</w:t>
      </w:r>
    </w:p>
    <w:p w14:paraId="63AC5ED7" w14:textId="741DB13A" w:rsidR="00E144CA" w:rsidRPr="00D140AB" w:rsidRDefault="00E144CA" w:rsidP="006F3116">
      <w:pPr>
        <w:pStyle w:val="Default"/>
        <w:spacing w:line="480" w:lineRule="auto"/>
        <w:rPr>
          <w:rFonts w:ascii="Courier New" w:hAnsi="Courier New" w:cs="Courier New"/>
          <w:color w:val="auto"/>
        </w:rPr>
      </w:pPr>
      <w:r w:rsidRPr="00D140AB">
        <w:rPr>
          <w:rFonts w:ascii="Courier New" w:hAnsi="Courier New" w:cs="Courier New"/>
          <w:color w:val="auto"/>
          <w:u w:val="single"/>
        </w:rPr>
        <w:t>Discussion</w:t>
      </w:r>
      <w:r w:rsidRPr="00D140AB">
        <w:rPr>
          <w:rFonts w:ascii="Courier New" w:hAnsi="Courier New" w:cs="Courier New"/>
          <w:color w:val="auto"/>
        </w:rPr>
        <w:t>:  The 90/10 provisions are statutory and beyond the scope of these regulations.</w:t>
      </w:r>
      <w:r>
        <w:rPr>
          <w:rFonts w:ascii="Courier New" w:hAnsi="Courier New" w:cs="Courier New"/>
          <w:color w:val="auto"/>
        </w:rPr>
        <w:t xml:space="preserve">  </w:t>
      </w:r>
      <w:r w:rsidRPr="00D140AB">
        <w:rPr>
          <w:rFonts w:ascii="Courier New" w:hAnsi="Courier New" w:cs="Courier New"/>
          <w:color w:val="auto"/>
        </w:rPr>
        <w:t>However, we are not persuaded that the 90/10 provisions conflict with the D/E rates measure.  In a report published in October 2010,</w:t>
      </w:r>
      <w:r w:rsidRPr="00D140AB">
        <w:rPr>
          <w:rStyle w:val="FootnoteReference"/>
          <w:rFonts w:ascii="Courier New" w:hAnsi="Courier New" w:cs="Courier New"/>
          <w:color w:val="auto"/>
        </w:rPr>
        <w:footnoteReference w:id="143"/>
      </w:r>
      <w:r w:rsidRPr="00D140AB">
        <w:rPr>
          <w:rFonts w:ascii="Courier New" w:hAnsi="Courier New" w:cs="Courier New"/>
          <w:color w:val="auto"/>
        </w:rPr>
        <w:t xml:space="preserve"> GAO did not find any </w:t>
      </w:r>
      <w:r w:rsidRPr="00D140AB">
        <w:rPr>
          <w:rFonts w:ascii="Courier New" w:hAnsi="Courier New" w:cs="Courier New"/>
          <w:color w:val="auto"/>
        </w:rPr>
        <w:lastRenderedPageBreak/>
        <w:t xml:space="preserve">relationship between an institution’s tuition rate and its likelihood of having a very high 90/10 rate.  GAO’s regression analysis of 2008 data indicated that schools that were (1) large, (2) specialized in healthcare, </w:t>
      </w:r>
      <w:r w:rsidR="00A03BFF">
        <w:rPr>
          <w:rFonts w:ascii="Courier New" w:hAnsi="Courier New" w:cs="Courier New"/>
          <w:color w:val="auto"/>
        </w:rPr>
        <w:t>or</w:t>
      </w:r>
      <w:r w:rsidRPr="00D140AB">
        <w:rPr>
          <w:rFonts w:ascii="Courier New" w:hAnsi="Courier New" w:cs="Courier New"/>
          <w:color w:val="auto"/>
        </w:rPr>
        <w:t xml:space="preserve"> (3) did not grant academic degrees were more likely to have 90/10 rates above 85 percent when controlling for other characteristics.  Other characteristics associated with higher than average 90/10 rates </w:t>
      </w:r>
      <w:r w:rsidR="00A03BFF">
        <w:rPr>
          <w:rFonts w:ascii="Courier New" w:hAnsi="Courier New" w:cs="Courier New"/>
          <w:color w:val="auto"/>
        </w:rPr>
        <w:t>included</w:t>
      </w:r>
      <w:r w:rsidRPr="00D140AB">
        <w:rPr>
          <w:rFonts w:ascii="Courier New" w:hAnsi="Courier New" w:cs="Courier New"/>
          <w:color w:val="auto"/>
        </w:rPr>
        <w:t xml:space="preserve"> (1) high proportions of low-income students, (2) offering distance education, (3) having a publicly traded parent company, and (4) being part of a corporate chain.  GAO defined “very high” as a rate between 85 and 90 percent, and about 15 percent of the for-profit institutions were in this range. </w:t>
      </w:r>
      <w:r>
        <w:rPr>
          <w:rFonts w:ascii="Courier New" w:hAnsi="Courier New" w:cs="Courier New"/>
          <w:color w:val="auto"/>
        </w:rPr>
        <w:t xml:space="preserve">  </w:t>
      </w:r>
      <w:r w:rsidRPr="00D140AB">
        <w:rPr>
          <w:rFonts w:ascii="Courier New" w:hAnsi="Courier New" w:cs="Courier New"/>
          <w:color w:val="auto"/>
        </w:rPr>
        <w:t>GAO found that</w:t>
      </w:r>
      <w:r>
        <w:rPr>
          <w:rFonts w:ascii="Courier New" w:hAnsi="Courier New" w:cs="Courier New"/>
          <w:color w:val="auto"/>
        </w:rPr>
        <w:t>,</w:t>
      </w:r>
      <w:r w:rsidRPr="00D140AB">
        <w:rPr>
          <w:rFonts w:ascii="Courier New" w:hAnsi="Courier New" w:cs="Courier New"/>
          <w:color w:val="auto"/>
        </w:rPr>
        <w:t xml:space="preserve"> in general</w:t>
      </w:r>
      <w:r>
        <w:rPr>
          <w:rFonts w:ascii="Courier New" w:hAnsi="Courier New" w:cs="Courier New"/>
          <w:color w:val="auto"/>
        </w:rPr>
        <w:t>,</w:t>
      </w:r>
      <w:r w:rsidRPr="00D140AB">
        <w:rPr>
          <w:rFonts w:ascii="Courier New" w:hAnsi="Courier New" w:cs="Courier New"/>
          <w:color w:val="auto"/>
        </w:rPr>
        <w:t xml:space="preserve"> there was no correlation between an institution’s tuition rate and its average 90/10 rate.  In one exception, GAO found that institutions with tuition rates that did not exceed the 2008-2009 Pell Grant and Stafford Loan award limits (the award amounts were for first-year dependent undergraduates) had slightly higher average 90/10 rates than other institutions, at 68 percent </w:t>
      </w:r>
      <w:r w:rsidRPr="00D140AB">
        <w:rPr>
          <w:rFonts w:ascii="Courier New" w:hAnsi="Courier New" w:cs="Courier New"/>
          <w:iCs/>
          <w:color w:val="auto"/>
        </w:rPr>
        <w:t>versus</w:t>
      </w:r>
      <w:r w:rsidRPr="00D140AB">
        <w:rPr>
          <w:rFonts w:ascii="Courier New" w:hAnsi="Courier New" w:cs="Courier New"/>
          <w:i/>
          <w:iCs/>
          <w:color w:val="auto"/>
        </w:rPr>
        <w:t xml:space="preserve"> </w:t>
      </w:r>
      <w:r w:rsidRPr="00D140AB">
        <w:rPr>
          <w:rFonts w:ascii="Courier New" w:hAnsi="Courier New" w:cs="Courier New"/>
          <w:color w:val="auto"/>
        </w:rPr>
        <w:t xml:space="preserve">66 percent.  </w:t>
      </w:r>
    </w:p>
    <w:p w14:paraId="66BF44E8" w14:textId="431961C0" w:rsidR="00E144CA" w:rsidRPr="00D140AB" w:rsidRDefault="006F3116" w:rsidP="006F3116">
      <w:pPr>
        <w:pStyle w:val="Default"/>
        <w:spacing w:line="480" w:lineRule="auto"/>
        <w:rPr>
          <w:rFonts w:ascii="Courier New" w:hAnsi="Courier New" w:cs="Courier New"/>
          <w:color w:val="auto"/>
        </w:rPr>
      </w:pPr>
      <w:r>
        <w:rPr>
          <w:rFonts w:ascii="Courier New" w:hAnsi="Courier New" w:cs="Courier New"/>
          <w:color w:val="auto"/>
        </w:rPr>
        <w:t xml:space="preserve">     </w:t>
      </w:r>
      <w:r w:rsidR="00E144CA" w:rsidRPr="00D140AB">
        <w:rPr>
          <w:rFonts w:ascii="Courier New" w:hAnsi="Courier New" w:cs="Courier New"/>
          <w:color w:val="auto"/>
        </w:rPr>
        <w:t>The Department’s most recent data on 90/10, submitted to Congress in September 201</w:t>
      </w:r>
      <w:r w:rsidR="00912379">
        <w:rPr>
          <w:rFonts w:ascii="Courier New" w:hAnsi="Courier New" w:cs="Courier New"/>
          <w:color w:val="auto"/>
        </w:rPr>
        <w:t>4</w:t>
      </w:r>
      <w:r w:rsidR="00E144CA" w:rsidRPr="00D140AB">
        <w:rPr>
          <w:rFonts w:ascii="Courier New" w:hAnsi="Courier New" w:cs="Courier New"/>
          <w:color w:val="auto"/>
        </w:rPr>
        <w:t>,</w:t>
      </w:r>
      <w:r w:rsidR="00E144CA">
        <w:rPr>
          <w:rStyle w:val="FootnoteReference"/>
          <w:rFonts w:ascii="Courier New" w:hAnsi="Courier New"/>
          <w:color w:val="auto"/>
        </w:rPr>
        <w:footnoteReference w:id="144"/>
      </w:r>
      <w:r w:rsidR="00E144CA" w:rsidRPr="00D140AB">
        <w:rPr>
          <w:rFonts w:ascii="Courier New" w:hAnsi="Courier New" w:cs="Courier New"/>
          <w:color w:val="auto"/>
        </w:rPr>
        <w:t xml:space="preserve"> show that only </w:t>
      </w:r>
      <w:r w:rsidR="00912379" w:rsidRPr="00D140AB">
        <w:rPr>
          <w:rFonts w:ascii="Courier New" w:hAnsi="Courier New" w:cs="Courier New"/>
          <w:color w:val="auto"/>
        </w:rPr>
        <w:t>2</w:t>
      </w:r>
      <w:r w:rsidR="00912379">
        <w:rPr>
          <w:rFonts w:ascii="Courier New" w:hAnsi="Courier New" w:cs="Courier New"/>
          <w:color w:val="auto"/>
        </w:rPr>
        <w:t>7</w:t>
      </w:r>
      <w:r w:rsidR="00912379" w:rsidRPr="00D140AB">
        <w:rPr>
          <w:rFonts w:ascii="Courier New" w:hAnsi="Courier New" w:cs="Courier New"/>
          <w:color w:val="auto"/>
        </w:rPr>
        <w:t xml:space="preserve"> </w:t>
      </w:r>
      <w:r w:rsidR="00E144CA" w:rsidRPr="00D140AB">
        <w:rPr>
          <w:rFonts w:ascii="Courier New" w:hAnsi="Courier New" w:cs="Courier New"/>
          <w:color w:val="auto"/>
        </w:rPr>
        <w:t>of</w:t>
      </w:r>
      <w:r w:rsidR="00E144CA" w:rsidRPr="00D140AB" w:rsidDel="00912379">
        <w:rPr>
          <w:rFonts w:ascii="Courier New" w:hAnsi="Courier New" w:cs="Courier New"/>
          <w:color w:val="auto"/>
        </w:rPr>
        <w:t xml:space="preserve"> </w:t>
      </w:r>
      <w:r w:rsidR="00912379">
        <w:rPr>
          <w:rFonts w:ascii="Courier New" w:hAnsi="Courier New" w:cs="Courier New"/>
          <w:color w:val="auto"/>
        </w:rPr>
        <w:t>1948</w:t>
      </w:r>
      <w:r w:rsidR="00E144CA" w:rsidRPr="00D140AB">
        <w:rPr>
          <w:rFonts w:ascii="Courier New" w:hAnsi="Courier New" w:cs="Courier New"/>
          <w:color w:val="auto"/>
        </w:rPr>
        <w:t xml:space="preserve"> institutions had ratios over 90 percent, and that about 21 </w:t>
      </w:r>
      <w:r w:rsidR="00E144CA" w:rsidRPr="00D140AB">
        <w:rPr>
          <w:rFonts w:ascii="Courier New" w:hAnsi="Courier New" w:cs="Courier New"/>
          <w:color w:val="auto"/>
        </w:rPr>
        <w:lastRenderedPageBreak/>
        <w:t>percent had ratios in the very high range of 85 to 90 percent.  The GAO report and the Department’s data suggest that most institutions could reduce tuition costs without the consequences envisioned by the commenters.</w:t>
      </w:r>
    </w:p>
    <w:p w14:paraId="52C35A36" w14:textId="384D1886" w:rsidR="00E144CA" w:rsidRPr="00D140AB" w:rsidRDefault="006F3116" w:rsidP="006F3116">
      <w:pPr>
        <w:pStyle w:val="Default"/>
        <w:spacing w:line="480" w:lineRule="auto"/>
        <w:rPr>
          <w:rFonts w:ascii="Courier New" w:hAnsi="Courier New" w:cs="Courier New"/>
          <w:color w:val="auto"/>
        </w:rPr>
      </w:pPr>
      <w:r>
        <w:rPr>
          <w:rFonts w:ascii="Courier New" w:hAnsi="Courier New" w:cs="Courier New"/>
          <w:color w:val="auto"/>
        </w:rPr>
        <w:t xml:space="preserve">     </w:t>
      </w:r>
      <w:r w:rsidR="00E144CA" w:rsidRPr="00D140AB">
        <w:rPr>
          <w:rFonts w:ascii="Courier New" w:hAnsi="Courier New" w:cs="Courier New"/>
          <w:color w:val="auto"/>
        </w:rPr>
        <w:t xml:space="preserve">Several other factors also suggest that any tension between the 90/10 provisions and the GE regulations can be managed by most institutions.  First, some of the 90/10 provisions that are not directly tied to the title IV, HEA program funds received to pay institutional charges for eligible programs, such as allowing an institution to count income from programs that are not eligible for title IV, HEA program funds, count revenue from activities that are necessary for the education and training of students, or count as revenue payments made by students on institutional loans, make it easier for institutions to comply with the 90/10 provisions.  Second, institutions have opportunities to recruit students that have all or a portion of their costs paid from other sources.  In addition, as a result of the changes to the HEA in 2008, an institution may fail the 90/10 revenue requirement for one year without losing eligibility, and the institution can retain its eligibility so long as it does not fail the 90/10 revenue requirement for two consecutive years.  Furthermore, institutions that have students who receive title IV, HEA program funds to pay for non-tuition costs, such as living expenses, are already in the situation </w:t>
      </w:r>
      <w:r w:rsidR="00E144CA" w:rsidRPr="00D140AB">
        <w:rPr>
          <w:rFonts w:ascii="Courier New" w:hAnsi="Courier New" w:cs="Courier New"/>
          <w:color w:val="auto"/>
        </w:rPr>
        <w:lastRenderedPageBreak/>
        <w:t>described by the commenters in which the amount of title IV, HEA program funds may exceed institutional costs.</w:t>
      </w:r>
      <w:r w:rsidR="00E144CA" w:rsidRPr="00D140AB">
        <w:rPr>
          <w:rFonts w:ascii="Courier New" w:hAnsi="Courier New" w:cs="Courier New"/>
          <w:b/>
          <w:color w:val="auto"/>
        </w:rPr>
        <w:t xml:space="preserve">  </w:t>
      </w:r>
      <w:r w:rsidR="00E144CA" w:rsidRPr="00D140AB">
        <w:rPr>
          <w:rFonts w:ascii="Courier New" w:hAnsi="Courier New" w:cs="Courier New"/>
          <w:color w:val="auto"/>
        </w:rPr>
        <w:t>These institutions are presumably managing their 90/10 ratios using a combination of other resources, and this result would also be consistent with the GAO report.</w:t>
      </w:r>
    </w:p>
    <w:p w14:paraId="2B68B2F8" w14:textId="5115D3CC" w:rsidR="00E144CA" w:rsidRPr="00D140AB" w:rsidRDefault="006F3116" w:rsidP="006F3116">
      <w:pPr>
        <w:pStyle w:val="Default"/>
        <w:spacing w:line="480" w:lineRule="auto"/>
        <w:rPr>
          <w:rFonts w:ascii="Courier New" w:hAnsi="Courier New" w:cs="Courier New"/>
          <w:color w:val="auto"/>
        </w:rPr>
      </w:pPr>
      <w:r>
        <w:rPr>
          <w:rFonts w:ascii="Courier New" w:hAnsi="Courier New" w:cs="Courier New"/>
          <w:color w:val="auto"/>
        </w:rPr>
        <w:t xml:space="preserve">     </w:t>
      </w:r>
      <w:r w:rsidR="00E144CA" w:rsidRPr="00D140AB">
        <w:rPr>
          <w:rFonts w:ascii="Courier New" w:hAnsi="Courier New" w:cs="Courier New"/>
          <w:color w:val="auto"/>
        </w:rPr>
        <w:t>We appreciate the suggestions made by some of the commenters that we use our authority under Experimental Sites to exempt from the 90/10 provisions institutions that would make programs more affordable.  At this time, however, we are not prepared to establish experiments that could test whether exemptions from the 90/10 provisions would lead to reductions in program costs but will take the suggestion under consideration.</w:t>
      </w:r>
    </w:p>
    <w:p w14:paraId="6AA69667" w14:textId="77777777" w:rsidR="00E144CA" w:rsidRPr="00D140AB" w:rsidRDefault="00E144CA" w:rsidP="006F3116">
      <w:pPr>
        <w:pStyle w:val="Default"/>
        <w:spacing w:line="480" w:lineRule="auto"/>
        <w:rPr>
          <w:rFonts w:ascii="Courier New" w:hAnsi="Courier New" w:cs="Courier New"/>
          <w:color w:val="auto"/>
        </w:rPr>
      </w:pPr>
      <w:r w:rsidRPr="00D140AB">
        <w:rPr>
          <w:rFonts w:ascii="Courier New" w:hAnsi="Courier New" w:cs="Courier New"/>
          <w:color w:val="auto"/>
          <w:u w:val="single"/>
        </w:rPr>
        <w:t>Changes</w:t>
      </w:r>
      <w:r w:rsidRPr="00D140AB">
        <w:rPr>
          <w:rFonts w:ascii="Courier New" w:hAnsi="Courier New" w:cs="Courier New"/>
          <w:color w:val="auto"/>
        </w:rPr>
        <w:t>:  None.</w:t>
      </w:r>
    </w:p>
    <w:p w14:paraId="13E4E41B"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Comments</w:t>
      </w:r>
      <w:r w:rsidRPr="00D140AB">
        <w:rPr>
          <w:rFonts w:ascii="Courier New" w:eastAsia="SimSun" w:hAnsi="Courier New" w:cs="Courier New"/>
          <w:sz w:val="24"/>
          <w:szCs w:val="24"/>
        </w:rPr>
        <w:t xml:space="preserve">:  Some commenters stated that it is unfair that the 90/10 requirements ostensibly encourage institutions to recruit students who can pay cash but the D/E rates measure would not take into account cash payments made by those students. </w:t>
      </w:r>
    </w:p>
    <w:p w14:paraId="4F0FAEDB"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We do not agree that the D/E rates measure disregards out-of-pocket payments made by students.  Students who pay for some tuition costs out of pocket may have lower amounts of debt, which may be reflected in the calculation of median loan debt for the D/E rates measure.  </w:t>
      </w:r>
    </w:p>
    <w:p w14:paraId="27B3F99A"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E7B4DF4"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lastRenderedPageBreak/>
        <w:t>Comments</w:t>
      </w:r>
      <w:r w:rsidRPr="00D140AB">
        <w:rPr>
          <w:rFonts w:ascii="Courier New" w:eastAsia="SimSun" w:hAnsi="Courier New" w:cs="Courier New"/>
          <w:sz w:val="24"/>
          <w:szCs w:val="24"/>
        </w:rPr>
        <w:t xml:space="preserve">:  Some commenters believed that allowing G.I. Bill and military tuition assistance to be counted as non-Federal revenue creates a loophole that some for-profit institutions exploit to comply with the 90/10 requirements by using deceptive and aggressive marketing practices to enroll veterans and service members.  The commenters stated that the GE regulations would help to protect veterans and service members by eliminating poorly performing programs that would otherwise waste veterans’ military benefits and put them further into debt.  </w:t>
      </w:r>
    </w:p>
    <w:p w14:paraId="1B6A6EA6" w14:textId="538EAB99"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Discussion</w:t>
      </w:r>
      <w:r w:rsidRPr="00D140AB">
        <w:rPr>
          <w:rFonts w:ascii="Courier New" w:eastAsia="SimSun" w:hAnsi="Courier New" w:cs="Courier New"/>
          <w:sz w:val="24"/>
          <w:szCs w:val="24"/>
        </w:rPr>
        <w:t xml:space="preserve">:  Section 487(a)(24) of the HEA directs that only “funds provided under this title </w:t>
      </w:r>
      <w:r w:rsidR="00A03BFF">
        <w:rPr>
          <w:rFonts w:ascii="Courier New" w:eastAsia="SimSun" w:hAnsi="Courier New" w:cs="Courier New"/>
          <w:sz w:val="24"/>
          <w:szCs w:val="24"/>
        </w:rPr>
        <w:t>[</w:t>
      </w:r>
      <w:r w:rsidRPr="00D140AB">
        <w:rPr>
          <w:rFonts w:ascii="Courier New" w:eastAsia="SimSun" w:hAnsi="Courier New" w:cs="Courier New"/>
          <w:sz w:val="24"/>
          <w:szCs w:val="24"/>
        </w:rPr>
        <w:t>title IV</w:t>
      </w:r>
      <w:r w:rsidR="00E9098B">
        <w:rPr>
          <w:rFonts w:ascii="Courier New" w:eastAsia="SimSun" w:hAnsi="Courier New" w:cs="Courier New"/>
          <w:sz w:val="24"/>
          <w:szCs w:val="24"/>
        </w:rPr>
        <w:t>]</w:t>
      </w:r>
      <w:r w:rsidRPr="00D140AB">
        <w:rPr>
          <w:rFonts w:ascii="Courier New" w:eastAsia="SimSun" w:hAnsi="Courier New" w:cs="Courier New"/>
          <w:sz w:val="24"/>
          <w:szCs w:val="24"/>
        </w:rPr>
        <w:t xml:space="preserve"> of the HEA” are included in the 90 percent limit.  20 U.S.C. 1094(a)(24).  Other Federal assistance is not included in that term.  We agree that these regulations are designed and are expected to protect all students, including veterans and service members, from poorly performing programs that lead to unmanageable debt.  </w:t>
      </w:r>
    </w:p>
    <w:p w14:paraId="5D238416" w14:textId="77777777" w:rsidR="00E144CA" w:rsidRPr="00D140AB" w:rsidRDefault="00E144CA" w:rsidP="006F3116">
      <w:pPr>
        <w:spacing w:after="0" w:line="480" w:lineRule="auto"/>
        <w:rPr>
          <w:rFonts w:ascii="Courier New" w:eastAsia="SimSun" w:hAnsi="Courier New" w:cs="Courier New"/>
          <w:sz w:val="24"/>
          <w:szCs w:val="24"/>
        </w:rPr>
      </w:pPr>
      <w:r w:rsidRPr="00D140AB">
        <w:rPr>
          <w:rFonts w:ascii="Courier New" w:eastAsia="SimSun" w:hAnsi="Courier New" w:cs="Courier New"/>
          <w:sz w:val="24"/>
          <w:szCs w:val="24"/>
          <w:u w:val="single"/>
        </w:rPr>
        <w:t>Changes</w:t>
      </w:r>
      <w:r w:rsidRPr="00D140AB">
        <w:rPr>
          <w:rFonts w:ascii="Courier New" w:eastAsia="SimSun" w:hAnsi="Courier New" w:cs="Courier New"/>
          <w:sz w:val="24"/>
          <w:szCs w:val="24"/>
        </w:rPr>
        <w:t>:  None.</w:t>
      </w:r>
    </w:p>
    <w:p w14:paraId="368F1928" w14:textId="77777777" w:rsidR="00E144CA" w:rsidRPr="00D140AB" w:rsidRDefault="00E144CA" w:rsidP="006F3116">
      <w:pPr>
        <w:pStyle w:val="Heading2"/>
        <w:ind w:left="0"/>
      </w:pPr>
      <w:r w:rsidRPr="00D140AB">
        <w:t>Effect of the Affordable Care Act</w:t>
      </w:r>
    </w:p>
    <w:p w14:paraId="2AC4F337" w14:textId="77777777" w:rsidR="00E144CA" w:rsidRPr="00D140AB" w:rsidRDefault="00E144CA" w:rsidP="006F3116">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Comments</w:t>
      </w:r>
      <w:r w:rsidRPr="00D140AB">
        <w:rPr>
          <w:rFonts w:ascii="Courier New" w:eastAsia="Times New Roman" w:hAnsi="Courier New" w:cs="Courier New"/>
          <w:sz w:val="24"/>
          <w:szCs w:val="24"/>
        </w:rPr>
        <w:t xml:space="preserve">:  Some commenters believed that the Affordable Care Act has caused some employers to limit new employees to less than 30 hours of work per week to avoid having to provide health insurance benefits.  These commenters were concerned that, as a result, institutions with programs in fields where most employees are paid by the hour would be unfairly penalized for </w:t>
      </w:r>
      <w:r w:rsidRPr="00D140AB">
        <w:rPr>
          <w:rFonts w:ascii="Courier New" w:eastAsia="Times New Roman" w:hAnsi="Courier New" w:cs="Courier New"/>
          <w:sz w:val="24"/>
          <w:szCs w:val="24"/>
        </w:rPr>
        <w:lastRenderedPageBreak/>
        <w:t xml:space="preserve">these unintended consequences of the law because students who completed their program might be unable to find full-time positions.  </w:t>
      </w:r>
    </w:p>
    <w:p w14:paraId="60B35D18" w14:textId="77777777" w:rsidR="00E144CA" w:rsidRPr="00D140AB" w:rsidRDefault="00E144CA" w:rsidP="006F3116">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Discussion</w:t>
      </w:r>
      <w:r w:rsidRPr="00D140AB">
        <w:rPr>
          <w:rFonts w:ascii="Courier New" w:eastAsia="Times New Roman" w:hAnsi="Courier New" w:cs="Courier New"/>
          <w:sz w:val="24"/>
          <w:szCs w:val="24"/>
        </w:rPr>
        <w:t xml:space="preserve">:  </w:t>
      </w:r>
      <w:r>
        <w:rPr>
          <w:rFonts w:ascii="Courier New" w:eastAsia="Times New Roman" w:hAnsi="Courier New" w:cs="Courier New"/>
          <w:sz w:val="24"/>
          <w:szCs w:val="24"/>
        </w:rPr>
        <w:t>E</w:t>
      </w:r>
      <w:r w:rsidRPr="00D140AB">
        <w:rPr>
          <w:rFonts w:ascii="Courier New" w:eastAsia="Times New Roman" w:hAnsi="Courier New" w:cs="Courier New"/>
          <w:sz w:val="24"/>
          <w:szCs w:val="24"/>
        </w:rPr>
        <w:t>mployers often change their hiring practices and wages paid to account for changes in the workforce and market demand for certain jobs and occupations.  In these circumstances, we expect that institutions will make the changes needed for their programs to pass the D/E rates measure.</w:t>
      </w:r>
    </w:p>
    <w:p w14:paraId="7721DDEB" w14:textId="0D377011" w:rsidR="00E144CA" w:rsidRPr="00E144CA" w:rsidRDefault="00E144CA" w:rsidP="006F3116">
      <w:pPr>
        <w:spacing w:after="0" w:line="480" w:lineRule="auto"/>
        <w:rPr>
          <w:rFonts w:ascii="Courier New" w:eastAsia="Times New Roman" w:hAnsi="Courier New" w:cs="Courier New"/>
          <w:sz w:val="24"/>
          <w:szCs w:val="24"/>
        </w:rPr>
      </w:pPr>
      <w:r w:rsidRPr="00D140AB">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43E2C0AF" w14:textId="77777777" w:rsidR="00336C9D" w:rsidRDefault="001D71D1" w:rsidP="00887D87">
      <w:pPr>
        <w:pStyle w:val="Heading1"/>
      </w:pPr>
      <w:r w:rsidRPr="00872B5F">
        <w:t>§668.405  Issuing and Challenging D/E Rates</w:t>
      </w:r>
    </w:p>
    <w:p w14:paraId="4269B28D" w14:textId="6D06DDC0" w:rsidR="001D71D1" w:rsidRPr="00D140AB" w:rsidRDefault="001D71D1" w:rsidP="004D408A">
      <w:pPr>
        <w:spacing w:after="0" w:line="480" w:lineRule="auto"/>
        <w:rPr>
          <w:rFonts w:ascii="Courier New" w:hAnsi="Courier New" w:cs="Courier New"/>
          <w:bCs/>
          <w:sz w:val="24"/>
          <w:szCs w:val="24"/>
        </w:rPr>
      </w:pPr>
      <w:r w:rsidRPr="00D140AB">
        <w:rPr>
          <w:rFonts w:ascii="Courier New" w:hAnsi="Courier New" w:cs="Courier New"/>
          <w:bCs/>
          <w:sz w:val="24"/>
          <w:szCs w:val="24"/>
          <w:u w:val="single"/>
        </w:rPr>
        <w:t>Comments</w:t>
      </w:r>
      <w:r w:rsidRPr="00D140AB">
        <w:rPr>
          <w:rFonts w:ascii="Courier New" w:hAnsi="Courier New" w:cs="Courier New"/>
          <w:bCs/>
          <w:sz w:val="24"/>
          <w:szCs w:val="24"/>
        </w:rPr>
        <w:t xml:space="preserve">:  Several commenters asked the Department to clarify, and specify in the regulations, what would constitute a “match” with the SSA earnings data and how “zero earnings” are treated for the purpose of calculating the D/E rates. </w:t>
      </w:r>
    </w:p>
    <w:p w14:paraId="4269B28E" w14:textId="3268131B" w:rsidR="001D71D1" w:rsidRPr="00D140AB" w:rsidRDefault="001D71D1" w:rsidP="004D408A">
      <w:pPr>
        <w:spacing w:after="0" w:line="480" w:lineRule="auto"/>
        <w:rPr>
          <w:rFonts w:ascii="Courier New" w:hAnsi="Courier New" w:cs="Courier New"/>
          <w:bCs/>
          <w:sz w:val="24"/>
          <w:szCs w:val="24"/>
        </w:rPr>
      </w:pPr>
      <w:r w:rsidRPr="00D140AB">
        <w:rPr>
          <w:rFonts w:ascii="Courier New" w:hAnsi="Courier New" w:cs="Courier New"/>
          <w:bCs/>
          <w:sz w:val="24"/>
          <w:szCs w:val="24"/>
          <w:u w:val="single"/>
        </w:rPr>
        <w:t>Discussion</w:t>
      </w:r>
      <w:r w:rsidRPr="00D140AB">
        <w:rPr>
          <w:rFonts w:ascii="Courier New" w:hAnsi="Courier New" w:cs="Courier New"/>
          <w:bCs/>
          <w:sz w:val="24"/>
          <w:szCs w:val="24"/>
        </w:rPr>
        <w:t xml:space="preserve">:  Using the information that an institution reports to the Secretary under §668.411, the Department will create a list of students who completed a GE program during the </w:t>
      </w:r>
      <w:r w:rsidRPr="00D140AB">
        <w:rPr>
          <w:rFonts w:ascii="Courier New" w:hAnsi="Courier New" w:cs="Courier New"/>
          <w:sz w:val="24"/>
          <w:szCs w:val="24"/>
        </w:rPr>
        <w:t>cohort period.  For every GE program, the list identifies each student by name, Social Security Number (SSN), date of birth, and the program the</w:t>
      </w:r>
      <w:r w:rsidR="005219CF" w:rsidRPr="00D140AB">
        <w:rPr>
          <w:rFonts w:ascii="Courier New" w:hAnsi="Courier New" w:cs="Courier New"/>
          <w:sz w:val="24"/>
          <w:szCs w:val="24"/>
        </w:rPr>
        <w:t xml:space="preserve"> student</w:t>
      </w:r>
      <w:r w:rsidRPr="00D140AB">
        <w:rPr>
          <w:rFonts w:ascii="Courier New" w:hAnsi="Courier New" w:cs="Courier New"/>
          <w:sz w:val="24"/>
          <w:szCs w:val="24"/>
        </w:rPr>
        <w:t xml:space="preserve"> completed during the cohort period.  After providing an opportunity for the institution t</w:t>
      </w:r>
      <w:r w:rsidRPr="00D140AB">
        <w:rPr>
          <w:rFonts w:ascii="Courier New" w:hAnsi="Courier New" w:cs="Courier New"/>
          <w:bCs/>
          <w:sz w:val="24"/>
          <w:szCs w:val="24"/>
        </w:rPr>
        <w:t xml:space="preserve">o make any corrections to the </w:t>
      </w:r>
      <w:r w:rsidR="005219CF" w:rsidRPr="00D140AB">
        <w:rPr>
          <w:rFonts w:ascii="Courier New" w:hAnsi="Courier New" w:cs="Courier New"/>
          <w:bCs/>
          <w:sz w:val="24"/>
          <w:szCs w:val="24"/>
        </w:rPr>
        <w:t xml:space="preserve">list of </w:t>
      </w:r>
      <w:r w:rsidRPr="00D140AB">
        <w:rPr>
          <w:rFonts w:ascii="Courier New" w:hAnsi="Courier New" w:cs="Courier New"/>
          <w:bCs/>
          <w:sz w:val="24"/>
          <w:szCs w:val="24"/>
        </w:rPr>
        <w:t>students, or information about those students, the Department submits</w:t>
      </w:r>
      <w:r w:rsidR="007F2DBB" w:rsidRPr="00D140AB">
        <w:rPr>
          <w:rFonts w:ascii="Courier New" w:hAnsi="Courier New" w:cs="Courier New"/>
          <w:bCs/>
          <w:sz w:val="24"/>
          <w:szCs w:val="24"/>
        </w:rPr>
        <w:t xml:space="preserve"> the list </w:t>
      </w:r>
      <w:r w:rsidRPr="00D140AB">
        <w:rPr>
          <w:rFonts w:ascii="Courier New" w:hAnsi="Courier New" w:cs="Courier New"/>
          <w:bCs/>
          <w:sz w:val="24"/>
          <w:szCs w:val="24"/>
        </w:rPr>
        <w:t xml:space="preserve">to SSA.  SSA first compares the SSN, name, and date of birth of each individual on </w:t>
      </w:r>
      <w:r w:rsidRPr="00D140AB">
        <w:rPr>
          <w:rFonts w:ascii="Courier New" w:hAnsi="Courier New" w:cs="Courier New"/>
          <w:bCs/>
          <w:sz w:val="24"/>
          <w:szCs w:val="24"/>
        </w:rPr>
        <w:lastRenderedPageBreak/>
        <w:t xml:space="preserve">the list with </w:t>
      </w:r>
      <w:r w:rsidR="00BB35FA">
        <w:rPr>
          <w:rFonts w:ascii="Courier New" w:hAnsi="Courier New" w:cs="Courier New"/>
          <w:bCs/>
          <w:sz w:val="24"/>
          <w:szCs w:val="24"/>
        </w:rPr>
        <w:t xml:space="preserve">corresponding </w:t>
      </w:r>
      <w:r w:rsidRPr="00D140AB">
        <w:rPr>
          <w:rFonts w:ascii="Courier New" w:hAnsi="Courier New" w:cs="Courier New"/>
          <w:bCs/>
          <w:sz w:val="24"/>
          <w:szCs w:val="24"/>
        </w:rPr>
        <w:t>data in its SSN database</w:t>
      </w:r>
      <w:r w:rsidR="00BB35FA">
        <w:rPr>
          <w:rFonts w:ascii="Courier New" w:hAnsi="Courier New" w:cs="Courier New"/>
          <w:bCs/>
          <w:sz w:val="24"/>
          <w:szCs w:val="24"/>
        </w:rPr>
        <w:t>,</w:t>
      </w:r>
      <w:r w:rsidRPr="00D140AB">
        <w:rPr>
          <w:rFonts w:ascii="Courier New" w:hAnsi="Courier New" w:cs="Courier New"/>
          <w:bCs/>
          <w:sz w:val="24"/>
          <w:szCs w:val="24"/>
        </w:rPr>
        <w:t xml:space="preserve"> Numident</w:t>
      </w:r>
      <w:r w:rsidR="00BB35FA">
        <w:rPr>
          <w:rFonts w:ascii="Courier New" w:hAnsi="Courier New" w:cs="Courier New"/>
          <w:bCs/>
          <w:sz w:val="24"/>
          <w:szCs w:val="24"/>
        </w:rPr>
        <w:t xml:space="preserve">.  </w:t>
      </w:r>
      <w:r w:rsidRPr="00D140AB">
        <w:rPr>
          <w:rFonts w:ascii="Courier New" w:hAnsi="Courier New" w:cs="Courier New"/>
          <w:bCs/>
          <w:sz w:val="24"/>
          <w:szCs w:val="24"/>
        </w:rPr>
        <w:t xml:space="preserve">SSA uses an Enumeration Verification System to compare the SSN, name, and date of birth as listed by the Department for each individual on its list against those </w:t>
      </w:r>
      <w:r w:rsidR="00BB35FA">
        <w:rPr>
          <w:rFonts w:ascii="Courier New" w:hAnsi="Courier New" w:cs="Courier New"/>
          <w:bCs/>
          <w:sz w:val="24"/>
          <w:szCs w:val="24"/>
        </w:rPr>
        <w:t xml:space="preserve">same </w:t>
      </w:r>
      <w:r w:rsidRPr="00D140AB">
        <w:rPr>
          <w:rFonts w:ascii="Courier New" w:hAnsi="Courier New" w:cs="Courier New"/>
          <w:bCs/>
          <w:sz w:val="24"/>
          <w:szCs w:val="24"/>
        </w:rPr>
        <w:t>data elements recorded in Numident for SSN recipients.  A match occurs when the name, SSN, and date of birth of a student as stated on the Department</w:t>
      </w:r>
      <w:r w:rsidR="00BB35FA">
        <w:rPr>
          <w:rFonts w:ascii="Courier New" w:hAnsi="Courier New" w:cs="Courier New"/>
          <w:bCs/>
          <w:sz w:val="24"/>
          <w:szCs w:val="24"/>
        </w:rPr>
        <w:t>’s</w:t>
      </w:r>
      <w:r w:rsidRPr="00D140AB">
        <w:rPr>
          <w:rFonts w:ascii="Courier New" w:hAnsi="Courier New" w:cs="Courier New"/>
          <w:bCs/>
          <w:sz w:val="24"/>
          <w:szCs w:val="24"/>
        </w:rPr>
        <w:t xml:space="preserve"> list is the same as a name, SSN, and date of birth recorded in Numident for an individual for whom an SSN was applied.  SSA then tallies the number of individuals whose Department-supplied identifying data matches the data in Numident.  The system also identifies SSNs for which a death has been recorded, which will be considered to be “unverified SSNs” for purposes of this calculation. </w:t>
      </w:r>
      <w:r w:rsidR="001A7B78">
        <w:rPr>
          <w:rFonts w:ascii="Courier New" w:hAnsi="Courier New" w:cs="Courier New"/>
          <w:bCs/>
          <w:sz w:val="24"/>
          <w:szCs w:val="24"/>
        </w:rPr>
        <w:t xml:space="preserve"> U</w:t>
      </w:r>
      <w:r w:rsidR="001A7B78" w:rsidRPr="00D140AB">
        <w:rPr>
          <w:rFonts w:ascii="Courier New" w:hAnsi="Courier New" w:cs="Courier New"/>
          <w:bCs/>
          <w:sz w:val="24"/>
          <w:szCs w:val="24"/>
        </w:rPr>
        <w:t>nverified SSNs</w:t>
      </w:r>
      <w:r w:rsidR="001A7B78" w:rsidRPr="00D140AB" w:rsidDel="001A7B78">
        <w:rPr>
          <w:rFonts w:ascii="Courier New" w:hAnsi="Courier New" w:cs="Courier New"/>
          <w:bCs/>
          <w:sz w:val="24"/>
          <w:szCs w:val="24"/>
        </w:rPr>
        <w:t xml:space="preserve"> </w:t>
      </w:r>
      <w:r w:rsidRPr="00D140AB">
        <w:rPr>
          <w:rFonts w:ascii="Courier New" w:hAnsi="Courier New" w:cs="Courier New"/>
          <w:bCs/>
          <w:sz w:val="24"/>
          <w:szCs w:val="24"/>
        </w:rPr>
        <w:t xml:space="preserve">will be excluded from the group of </w:t>
      </w:r>
      <w:r w:rsidR="001A7B78">
        <w:rPr>
          <w:rFonts w:ascii="Courier New" w:hAnsi="Courier New" w:cs="Courier New"/>
          <w:bCs/>
          <w:sz w:val="24"/>
          <w:szCs w:val="24"/>
        </w:rPr>
        <w:t xml:space="preserve">matched individuals, or </w:t>
      </w:r>
      <w:r w:rsidRPr="00D140AB">
        <w:rPr>
          <w:rFonts w:ascii="Courier New" w:hAnsi="Courier New" w:cs="Courier New"/>
          <w:bCs/>
          <w:sz w:val="24"/>
          <w:szCs w:val="24"/>
        </w:rPr>
        <w:t xml:space="preserve">“verified SSNs,” and therefore no earnings match will be conducted for those SSNs.  If the number of verified SSNs is fewer than </w:t>
      </w:r>
      <w:r w:rsidR="00F30F1F">
        <w:rPr>
          <w:rFonts w:ascii="Courier New" w:hAnsi="Courier New" w:cs="Courier New"/>
          <w:bCs/>
          <w:sz w:val="24"/>
          <w:szCs w:val="24"/>
        </w:rPr>
        <w:t>10</w:t>
      </w:r>
      <w:r w:rsidRPr="00D140AB">
        <w:rPr>
          <w:rFonts w:ascii="Courier New" w:hAnsi="Courier New" w:cs="Courier New"/>
          <w:bCs/>
          <w:sz w:val="24"/>
          <w:szCs w:val="24"/>
        </w:rPr>
        <w:t>, SSA will not conduct any match against its earnings records, and will notify the Department.  As noted in the NPRM, the incidence of non-matches has proven to be very small</w:t>
      </w:r>
      <w:r w:rsidR="001A7B78">
        <w:rPr>
          <w:rFonts w:ascii="Courier New" w:hAnsi="Courier New" w:cs="Courier New"/>
          <w:bCs/>
          <w:sz w:val="24"/>
          <w:szCs w:val="24"/>
        </w:rPr>
        <w:t xml:space="preserve">, </w:t>
      </w:r>
      <w:r w:rsidRPr="00D140AB">
        <w:rPr>
          <w:rFonts w:ascii="Courier New" w:hAnsi="Courier New" w:cs="Courier New"/>
          <w:bCs/>
          <w:sz w:val="24"/>
          <w:szCs w:val="24"/>
        </w:rPr>
        <w:t xml:space="preserve">less than </w:t>
      </w:r>
      <w:r w:rsidR="00F30F1F">
        <w:rPr>
          <w:rFonts w:ascii="Courier New" w:hAnsi="Courier New" w:cs="Courier New"/>
          <w:bCs/>
          <w:sz w:val="24"/>
          <w:szCs w:val="24"/>
        </w:rPr>
        <w:t>two</w:t>
      </w:r>
      <w:r w:rsidRPr="00D140AB">
        <w:rPr>
          <w:rFonts w:ascii="Courier New" w:hAnsi="Courier New" w:cs="Courier New"/>
          <w:bCs/>
          <w:sz w:val="24"/>
          <w:szCs w:val="24"/>
        </w:rPr>
        <w:t xml:space="preserve"> percent, and we expect that experience to continue.  </w:t>
      </w:r>
    </w:p>
    <w:p w14:paraId="4269B28F" w14:textId="3AE1A3F7"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bCs/>
          <w:sz w:val="24"/>
          <w:szCs w:val="24"/>
        </w:rPr>
        <w:t xml:space="preserve">     If the number of verified SSNs is </w:t>
      </w:r>
      <w:r w:rsidR="00F30F1F">
        <w:rPr>
          <w:rFonts w:ascii="Courier New" w:hAnsi="Courier New" w:cs="Courier New"/>
          <w:bCs/>
          <w:sz w:val="24"/>
          <w:szCs w:val="24"/>
        </w:rPr>
        <w:t>10</w:t>
      </w:r>
      <w:r w:rsidRPr="00D140AB">
        <w:rPr>
          <w:rFonts w:ascii="Courier New" w:hAnsi="Courier New" w:cs="Courier New"/>
          <w:bCs/>
          <w:sz w:val="24"/>
          <w:szCs w:val="24"/>
        </w:rPr>
        <w:t xml:space="preserve"> or more, SSA will then compare those verified SSNs with earnings records in its Master Earnings File (MEF).  The MEF, as explained </w:t>
      </w:r>
      <w:r w:rsidR="005219CF" w:rsidRPr="00D140AB">
        <w:rPr>
          <w:rFonts w:ascii="Courier New" w:hAnsi="Courier New" w:cs="Courier New"/>
          <w:bCs/>
          <w:sz w:val="24"/>
          <w:szCs w:val="24"/>
        </w:rPr>
        <w:t>later in this section</w:t>
      </w:r>
      <w:r w:rsidRPr="00D140AB">
        <w:rPr>
          <w:rFonts w:ascii="Courier New" w:hAnsi="Courier New" w:cs="Courier New"/>
          <w:bCs/>
          <w:sz w:val="24"/>
          <w:szCs w:val="24"/>
        </w:rPr>
        <w:t xml:space="preserve">, is an SSA database that includes earnings reported by </w:t>
      </w:r>
      <w:r w:rsidRPr="00D140AB">
        <w:rPr>
          <w:rFonts w:ascii="Courier New" w:hAnsi="Courier New" w:cs="Courier New"/>
          <w:bCs/>
          <w:sz w:val="24"/>
          <w:szCs w:val="24"/>
        </w:rPr>
        <w:lastRenderedPageBreak/>
        <w:t xml:space="preserve">employers to SSA, and </w:t>
      </w:r>
      <w:r w:rsidR="0068351E">
        <w:rPr>
          <w:rFonts w:ascii="Courier New" w:hAnsi="Courier New" w:cs="Courier New"/>
          <w:bCs/>
          <w:sz w:val="24"/>
          <w:szCs w:val="24"/>
        </w:rPr>
        <w:t xml:space="preserve">also </w:t>
      </w:r>
      <w:r w:rsidRPr="00D140AB">
        <w:rPr>
          <w:rFonts w:ascii="Courier New" w:hAnsi="Courier New" w:cs="Courier New"/>
          <w:bCs/>
          <w:sz w:val="24"/>
          <w:szCs w:val="24"/>
        </w:rPr>
        <w:t xml:space="preserve">by self-employed individuals to the Internal Revenue Service (IRS), which are in turn relayed to SSA.  SSA then totals the earnings reported for these SSNs and reports to the Department the mean and median </w:t>
      </w:r>
      <w:r w:rsidR="005219CF" w:rsidRPr="00D140AB">
        <w:rPr>
          <w:rFonts w:ascii="Courier New" w:hAnsi="Courier New" w:cs="Courier New"/>
          <w:bCs/>
          <w:sz w:val="24"/>
          <w:szCs w:val="24"/>
        </w:rPr>
        <w:t>earnings</w:t>
      </w:r>
      <w:r w:rsidRPr="00D140AB">
        <w:rPr>
          <w:rFonts w:ascii="Courier New" w:hAnsi="Courier New" w:cs="Courier New"/>
          <w:bCs/>
          <w:sz w:val="24"/>
          <w:szCs w:val="24"/>
        </w:rPr>
        <w:t xml:space="preserve"> for that group of students, the number of verified individuals and the number of unverified individuals in the group, the number of instances of zero earnings for the group, and the earnings year for which data is provided.  SSA does not provide to the Department any individual earnings data or the identity of students who were or were not matched.  </w:t>
      </w:r>
      <w:r w:rsidRPr="00DA1353">
        <w:rPr>
          <w:rFonts w:ascii="Courier New" w:hAnsi="Courier New"/>
          <w:sz w:val="24"/>
        </w:rPr>
        <w:t xml:space="preserve">Where SSA identifies zero earnings recorded for the earnings year for a verified individual, SSA includes that value in </w:t>
      </w:r>
      <w:r w:rsidR="008F557A" w:rsidRPr="00DA1353">
        <w:rPr>
          <w:rFonts w:ascii="Courier New" w:hAnsi="Courier New"/>
          <w:sz w:val="24"/>
        </w:rPr>
        <w:t xml:space="preserve">aggregate earnings data from which it calculates </w:t>
      </w:r>
      <w:r w:rsidRPr="00DA1353">
        <w:rPr>
          <w:rFonts w:ascii="Courier New" w:hAnsi="Courier New"/>
          <w:sz w:val="24"/>
        </w:rPr>
        <w:t xml:space="preserve">the mean and median </w:t>
      </w:r>
      <w:r w:rsidR="005219CF" w:rsidRPr="00DA1353">
        <w:rPr>
          <w:rFonts w:ascii="Courier New" w:hAnsi="Courier New"/>
          <w:sz w:val="24"/>
        </w:rPr>
        <w:t>earnings</w:t>
      </w:r>
      <w:r w:rsidRPr="00DA1353">
        <w:rPr>
          <w:rFonts w:ascii="Courier New" w:hAnsi="Courier New"/>
          <w:sz w:val="24"/>
        </w:rPr>
        <w:t xml:space="preserve"> </w:t>
      </w:r>
      <w:r w:rsidR="008F557A" w:rsidRPr="00DA1353">
        <w:rPr>
          <w:rFonts w:ascii="Courier New" w:hAnsi="Courier New"/>
          <w:sz w:val="24"/>
        </w:rPr>
        <w:t xml:space="preserve">that it </w:t>
      </w:r>
      <w:r w:rsidRPr="00DA1353">
        <w:rPr>
          <w:rFonts w:ascii="Courier New" w:hAnsi="Courier New"/>
          <w:sz w:val="24"/>
        </w:rPr>
        <w:t>provide to the Department, and we use th</w:t>
      </w:r>
      <w:r w:rsidR="0045631C" w:rsidRPr="00DA1353">
        <w:rPr>
          <w:rFonts w:ascii="Courier New" w:hAnsi="Courier New"/>
          <w:sz w:val="24"/>
        </w:rPr>
        <w:t xml:space="preserve">ose mean and median </w:t>
      </w:r>
      <w:r w:rsidR="008F557A" w:rsidRPr="00DA1353">
        <w:rPr>
          <w:rFonts w:ascii="Courier New" w:hAnsi="Courier New"/>
          <w:sz w:val="24"/>
        </w:rPr>
        <w:t xml:space="preserve">earnings to </w:t>
      </w:r>
      <w:r w:rsidRPr="00DA1353">
        <w:rPr>
          <w:rFonts w:ascii="Courier New" w:hAnsi="Courier New"/>
          <w:sz w:val="24"/>
        </w:rPr>
        <w:t xml:space="preserve">calculate the earnings for a program. </w:t>
      </w:r>
      <w:r w:rsidR="00872B5F" w:rsidRPr="00DA1353">
        <w:rPr>
          <w:rFonts w:ascii="Courier New" w:hAnsi="Courier New"/>
          <w:sz w:val="24"/>
        </w:rPr>
        <w:t xml:space="preserve"> </w:t>
      </w:r>
      <w:r w:rsidRPr="00DA1353">
        <w:rPr>
          <w:rFonts w:ascii="Courier New" w:hAnsi="Courier New"/>
          <w:sz w:val="24"/>
        </w:rPr>
        <w:t>As</w:t>
      </w:r>
      <w:r w:rsidRPr="00D140AB">
        <w:rPr>
          <w:rFonts w:ascii="Courier New" w:hAnsi="Courier New" w:cs="Courier New"/>
          <w:bCs/>
          <w:sz w:val="24"/>
          <w:szCs w:val="24"/>
        </w:rPr>
        <w:t xml:space="preserve"> reflected in changes to §668.404(</w:t>
      </w:r>
      <w:r w:rsidR="003B2BB0">
        <w:rPr>
          <w:rFonts w:ascii="Courier New" w:hAnsi="Courier New" w:cs="Courier New"/>
          <w:bCs/>
          <w:sz w:val="24"/>
          <w:szCs w:val="24"/>
        </w:rPr>
        <w:t>e</w:t>
      </w:r>
      <w:r w:rsidRPr="00D140AB">
        <w:rPr>
          <w:rFonts w:ascii="Courier New" w:hAnsi="Courier New" w:cs="Courier New"/>
          <w:bCs/>
          <w:sz w:val="24"/>
          <w:szCs w:val="24"/>
        </w:rPr>
        <w:t>),</w:t>
      </w:r>
      <w:r w:rsidR="00872B5F">
        <w:rPr>
          <w:rFonts w:ascii="Courier New" w:hAnsi="Courier New" w:cs="Courier New"/>
          <w:bCs/>
          <w:sz w:val="24"/>
          <w:szCs w:val="24"/>
        </w:rPr>
        <w:t xml:space="preserve"> </w:t>
      </w:r>
      <w:r w:rsidRPr="00D140AB">
        <w:rPr>
          <w:rFonts w:ascii="Courier New" w:hAnsi="Courier New" w:cs="Courier New"/>
          <w:bCs/>
          <w:sz w:val="24"/>
          <w:szCs w:val="24"/>
        </w:rPr>
        <w:t>we do not issue D/E rate</w:t>
      </w:r>
      <w:r w:rsidR="00A56784">
        <w:rPr>
          <w:rFonts w:ascii="Courier New" w:hAnsi="Courier New" w:cs="Courier New"/>
          <w:bCs/>
          <w:sz w:val="24"/>
          <w:szCs w:val="24"/>
        </w:rPr>
        <w:t>s</w:t>
      </w:r>
      <w:r w:rsidRPr="00D140AB">
        <w:rPr>
          <w:rFonts w:ascii="Courier New" w:hAnsi="Courier New" w:cs="Courier New"/>
          <w:bCs/>
          <w:sz w:val="24"/>
          <w:szCs w:val="24"/>
        </w:rPr>
        <w:t xml:space="preserve"> for a program if the number of verified matches is fewer than 30.  </w:t>
      </w:r>
      <w:r w:rsidR="003B2BB0">
        <w:rPr>
          <w:rFonts w:ascii="Courier New" w:hAnsi="Courier New" w:cs="Courier New"/>
          <w:bCs/>
          <w:sz w:val="24"/>
          <w:szCs w:val="24"/>
        </w:rPr>
        <w:t>If the number of verified matches is fewer than 30 but at least 10, we provide the m</w:t>
      </w:r>
      <w:r w:rsidRPr="00D140AB">
        <w:rPr>
          <w:rFonts w:ascii="Courier New" w:hAnsi="Courier New" w:cs="Courier New"/>
          <w:bCs/>
          <w:sz w:val="24"/>
          <w:szCs w:val="24"/>
        </w:rPr>
        <w:t xml:space="preserve">ean and medium </w:t>
      </w:r>
      <w:r w:rsidR="005219CF" w:rsidRPr="00D140AB">
        <w:rPr>
          <w:rFonts w:ascii="Courier New" w:hAnsi="Courier New" w:cs="Courier New"/>
          <w:bCs/>
          <w:sz w:val="24"/>
          <w:szCs w:val="24"/>
        </w:rPr>
        <w:t>earnings</w:t>
      </w:r>
      <w:r w:rsidRPr="00D140AB">
        <w:rPr>
          <w:rFonts w:ascii="Courier New" w:hAnsi="Courier New" w:cs="Courier New"/>
          <w:bCs/>
          <w:sz w:val="24"/>
          <w:szCs w:val="24"/>
        </w:rPr>
        <w:t xml:space="preserve"> data to the institution for dis</w:t>
      </w:r>
      <w:r w:rsidRPr="00D140AB">
        <w:rPr>
          <w:rFonts w:ascii="Courier New" w:hAnsi="Courier New" w:cs="Courier New"/>
          <w:sz w:val="24"/>
          <w:szCs w:val="24"/>
        </w:rPr>
        <w:t>closure purposes</w:t>
      </w:r>
      <w:r w:rsidR="003B2BB0">
        <w:rPr>
          <w:rFonts w:ascii="Courier New" w:hAnsi="Courier New" w:cs="Courier New"/>
          <w:sz w:val="24"/>
          <w:szCs w:val="24"/>
        </w:rPr>
        <w:t xml:space="preserve"> under §668.412</w:t>
      </w:r>
      <w:r w:rsidRPr="00D140AB">
        <w:rPr>
          <w:rFonts w:ascii="Courier New" w:hAnsi="Courier New" w:cs="Courier New"/>
          <w:sz w:val="24"/>
          <w:szCs w:val="24"/>
        </w:rPr>
        <w:t xml:space="preserve">.   </w:t>
      </w:r>
    </w:p>
    <w:p w14:paraId="6A73129A" w14:textId="20E412B8" w:rsidR="0073450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This exchange of information with SSA and the process by which SSA matches the list of students with its records is conducted pursuant to one or more agreements with SSA.  The agreements contain extensive descriptions of the activities </w:t>
      </w:r>
      <w:r w:rsidRPr="00D140AB">
        <w:rPr>
          <w:rFonts w:ascii="Courier New" w:hAnsi="Courier New" w:cs="Courier New"/>
          <w:sz w:val="24"/>
          <w:szCs w:val="24"/>
        </w:rPr>
        <w:lastRenderedPageBreak/>
        <w:t xml:space="preserve">required of the two agencies, and those terms may be modified as the agencies determine that changes may be desirable to implement the standards in these regulations.  The Department engages in a variety of data matches with other agencies, including SSA, and does not include in pertinent regulations either the agreements under which these matches are conducted, or the operational details included in those agreements, and is not doing so here.  The agreements are available to any requesting individual under the Freedom of Information Act, and commenters have already obtained and commented on their terms in the course of providing comments on these regulations.   </w:t>
      </w:r>
    </w:p>
    <w:p w14:paraId="4269B291" w14:textId="392D9494"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w:t>
      </w:r>
      <w:r w:rsidR="007F7F0E">
        <w:rPr>
          <w:rFonts w:ascii="Courier New" w:hAnsi="Courier New" w:cs="Courier New"/>
          <w:sz w:val="24"/>
          <w:szCs w:val="24"/>
        </w:rPr>
        <w:t>We have revised §668.405(e) to clarify that the Secretary does not calculate D/E rate</w:t>
      </w:r>
      <w:r w:rsidR="00A56784">
        <w:rPr>
          <w:rFonts w:ascii="Courier New" w:hAnsi="Courier New" w:cs="Courier New"/>
          <w:sz w:val="24"/>
          <w:szCs w:val="24"/>
        </w:rPr>
        <w:t>s</w:t>
      </w:r>
      <w:r w:rsidR="007F7F0E">
        <w:rPr>
          <w:rFonts w:ascii="Courier New" w:hAnsi="Courier New" w:cs="Courier New"/>
          <w:sz w:val="24"/>
          <w:szCs w:val="24"/>
        </w:rPr>
        <w:t xml:space="preserve"> if the SSA earnings data returned to the Department includes reports for records of earnings on </w:t>
      </w:r>
      <w:r w:rsidR="00A56784">
        <w:rPr>
          <w:rFonts w:ascii="Courier New" w:hAnsi="Courier New" w:cs="Courier New"/>
          <w:sz w:val="24"/>
          <w:szCs w:val="24"/>
        </w:rPr>
        <w:t>fewer than</w:t>
      </w:r>
      <w:r w:rsidR="007F7F0E">
        <w:rPr>
          <w:rFonts w:ascii="Courier New" w:hAnsi="Courier New" w:cs="Courier New"/>
          <w:sz w:val="24"/>
          <w:szCs w:val="24"/>
        </w:rPr>
        <w:t xml:space="preserve"> 30 students</w:t>
      </w:r>
      <w:r w:rsidR="00CD0D45">
        <w:rPr>
          <w:rFonts w:ascii="Courier New" w:hAnsi="Courier New" w:cs="Courier New"/>
          <w:sz w:val="24"/>
          <w:szCs w:val="24"/>
        </w:rPr>
        <w:t xml:space="preserve">.  </w:t>
      </w:r>
    </w:p>
    <w:p w14:paraId="4269B292" w14:textId="24A9CEAE" w:rsidR="001D71D1" w:rsidRPr="00D140AB" w:rsidRDefault="001D71D1" w:rsidP="004D408A">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Several commenters criticized the Department’s reliance on SSA earnings data in calculating the earnings of students who complete a GE program on several grounds.  The commenters contended that SSA data </w:t>
      </w:r>
      <w:r w:rsidR="005219CF" w:rsidRPr="00D140AB">
        <w:rPr>
          <w:rFonts w:ascii="Courier New" w:hAnsi="Courier New" w:cs="Courier New"/>
          <w:sz w:val="24"/>
          <w:szCs w:val="24"/>
        </w:rPr>
        <w:t>are</w:t>
      </w:r>
      <w:r w:rsidRPr="00D140AB">
        <w:rPr>
          <w:rFonts w:ascii="Courier New" w:hAnsi="Courier New" w:cs="Courier New"/>
          <w:sz w:val="24"/>
          <w:szCs w:val="24"/>
        </w:rPr>
        <w:t xml:space="preserve"> not a reliable source for earnings because the SSA database from which earnings data will be derived--the MEF--does not contain earnings of those State and local government employees who are employed by entities that do not have coverage agreements with SSA.  </w:t>
      </w:r>
    </w:p>
    <w:p w14:paraId="4269B293" w14:textId="77777777" w:rsidR="001D71D1" w:rsidRPr="00D140AB" w:rsidRDefault="001D71D1" w:rsidP="004D408A">
      <w:pPr>
        <w:shd w:val="clear" w:color="auto" w:fill="FFFFFF"/>
        <w:spacing w:after="0" w:line="480" w:lineRule="auto"/>
        <w:rPr>
          <w:rFonts w:ascii="Courier New" w:hAnsi="Courier New" w:cs="Courier New"/>
          <w:sz w:val="24"/>
          <w:szCs w:val="24"/>
        </w:rPr>
      </w:pPr>
      <w:r w:rsidRPr="00D140AB">
        <w:rPr>
          <w:rFonts w:ascii="Courier New" w:hAnsi="Courier New" w:cs="Courier New"/>
          <w:sz w:val="24"/>
          <w:szCs w:val="24"/>
          <w:u w:val="single"/>
        </w:rPr>
        <w:lastRenderedPageBreak/>
        <w:t>Discussion</w:t>
      </w:r>
      <w:r w:rsidRPr="00D140AB">
        <w:rPr>
          <w:rFonts w:ascii="Courier New" w:hAnsi="Courier New" w:cs="Courier New"/>
          <w:sz w:val="24"/>
          <w:szCs w:val="24"/>
        </w:rPr>
        <w:t>:  We think there may be some confusion regarding the data contained in the SSA MEF and used by SSA to compute the aggregate mean and median earnings data provided to the Department and used by the Department to calculate D/E rates, and in particular the reporting and retention of earnings of public employees.  As explained by SSA</w:t>
      </w:r>
      <w:r w:rsidRPr="00D140AB">
        <w:rPr>
          <w:rStyle w:val="FootnoteReference"/>
          <w:rFonts w:ascii="Courier New" w:hAnsi="Courier New" w:cs="Courier New"/>
          <w:sz w:val="24"/>
          <w:szCs w:val="24"/>
        </w:rPr>
        <w:footnoteReference w:id="145"/>
      </w:r>
      <w:r w:rsidRPr="00D140AB">
        <w:rPr>
          <w:rFonts w:ascii="Courier New" w:hAnsi="Courier New" w:cs="Courier New"/>
          <w:sz w:val="24"/>
          <w:szCs w:val="24"/>
        </w:rPr>
        <w:t xml:space="preserve">: </w:t>
      </w:r>
    </w:p>
    <w:p w14:paraId="4269B294" w14:textId="77777777" w:rsidR="001D71D1" w:rsidRPr="00D140AB" w:rsidRDefault="001D71D1" w:rsidP="008962AF">
      <w:pPr>
        <w:shd w:val="clear" w:color="auto" w:fill="FFFFFF"/>
        <w:spacing w:after="0" w:line="480" w:lineRule="auto"/>
        <w:ind w:left="576" w:right="720"/>
        <w:rPr>
          <w:rFonts w:ascii="Courier New" w:hAnsi="Courier New" w:cs="Courier New"/>
          <w:sz w:val="24"/>
          <w:szCs w:val="24"/>
        </w:rPr>
      </w:pPr>
      <w:r w:rsidRPr="00D140AB">
        <w:rPr>
          <w:rFonts w:ascii="Courier New" w:hAnsi="Courier New" w:cs="Courier New"/>
          <w:sz w:val="24"/>
          <w:szCs w:val="24"/>
        </w:rPr>
        <w:t xml:space="preserve">The Consolidated Omnibus Budget Reconciliation Act of 1985 (COBRA) imposed mandatory Medicare-only coverage on State and Local employees.  All employees, with certain exceptions, hired after March 31 1986, are covered for Medicare under section 210(p) of the Act (Medicare Qualified Government Employment).  Employees covered for Social Security under a Section 218 Agreement have Medicare coverage as a part of Social Security, therefore they are excluded from mandatory Medicare.  However, COBRA 85 also contained a provision allowing States to obtain Medicare-only coverage for employees hired before April 1, 1986 who are not covered under an Agreement.  Authority for Medicare-only tax administration was placed in the Code [26 U.S.C. 3121(u)(2)(C)] as the responsibility of IRS. </w:t>
      </w:r>
    </w:p>
    <w:p w14:paraId="4269B295" w14:textId="3173BDBC" w:rsidR="001D71D1" w:rsidRPr="00D140AB" w:rsidRDefault="00C92C54" w:rsidP="00C92C54">
      <w:pPr>
        <w:shd w:val="clear" w:color="auto" w:fill="FFFFFF"/>
        <w:spacing w:after="0" w:line="480" w:lineRule="auto"/>
        <w:rPr>
          <w:rFonts w:ascii="Courier New" w:hAnsi="Courier New" w:cs="Courier New"/>
          <w:sz w:val="24"/>
          <w:szCs w:val="24"/>
        </w:rPr>
      </w:pPr>
      <w:r>
        <w:rPr>
          <w:rFonts w:ascii="Courier New" w:hAnsi="Courier New" w:cs="Courier New"/>
          <w:sz w:val="24"/>
          <w:szCs w:val="24"/>
        </w:rPr>
        <w:lastRenderedPageBreak/>
        <w:t xml:space="preserve">     </w:t>
      </w:r>
      <w:r w:rsidR="001D71D1" w:rsidRPr="00D140AB">
        <w:rPr>
          <w:rFonts w:ascii="Courier New" w:hAnsi="Courier New" w:cs="Courier New"/>
          <w:sz w:val="24"/>
          <w:szCs w:val="24"/>
        </w:rPr>
        <w:t>Regardless of whether State and local government employees participate in a State retirement system or are covered or not covered by Section 218, all earnings of public employees are included in SSA’s MEF and included in the aggregate earnings data set provided to the Department.  In addition, earnings from military members are included in the MEF.</w:t>
      </w:r>
    </w:p>
    <w:p w14:paraId="4269B296" w14:textId="77777777" w:rsidR="001D71D1" w:rsidRPr="00D140AB" w:rsidRDefault="001D71D1" w:rsidP="00C92C54">
      <w:pPr>
        <w:pStyle w:val="PlainText"/>
        <w:spacing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297" w14:textId="7777777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contended that the earnings in the MEF are understated because the amount recorded in the MEF is capped at a set figure ($113,700 in 2013), and that earnings accurately reported but exceeding that amount are disregarded and not included in the aggregate earnings data set provided to the Department by SSA.  </w:t>
      </w:r>
    </w:p>
    <w:p w14:paraId="4269B298" w14:textId="09C892FD" w:rsidR="001D71D1" w:rsidRPr="00D140AB" w:rsidRDefault="001D71D1" w:rsidP="00C92C54">
      <w:pPr>
        <w:pStyle w:val="PlainText"/>
        <w:spacing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The commenter is incorrect.  Total earnings are included in MEF records without limitation to capped earnings.  </w:t>
      </w:r>
      <w:r w:rsidR="00345CBE">
        <w:rPr>
          <w:rFonts w:ascii="Courier New" w:hAnsi="Courier New" w:cs="Courier New"/>
          <w:sz w:val="24"/>
          <w:szCs w:val="24"/>
        </w:rPr>
        <w:t xml:space="preserve">As explained in greater detail below, </w:t>
      </w:r>
      <w:r w:rsidRPr="00D140AB">
        <w:rPr>
          <w:rFonts w:ascii="Courier New" w:hAnsi="Courier New" w:cs="Courier New"/>
          <w:sz w:val="24"/>
          <w:szCs w:val="24"/>
        </w:rPr>
        <w:t xml:space="preserve">SSA uses total earnings for the matched individuals to create the aggregate data set provided to the Department.  </w:t>
      </w:r>
    </w:p>
    <w:p w14:paraId="4269B299" w14:textId="77777777" w:rsidR="001D71D1" w:rsidRPr="00D140AB" w:rsidRDefault="001D71D1" w:rsidP="00C92C54">
      <w:pPr>
        <w:pStyle w:val="PlainText"/>
        <w:spacing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4269B29A" w14:textId="1B0786DB"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contended that other earnings are not reported to SSA and retained in the MEF, including deferred compensation.  </w:t>
      </w:r>
      <w:r w:rsidR="001B5A23">
        <w:rPr>
          <w:rFonts w:ascii="Courier New" w:hAnsi="Courier New" w:cs="Courier New"/>
          <w:sz w:val="24"/>
          <w:szCs w:val="24"/>
        </w:rPr>
        <w:t>Commenters claimed that aggregate earnings d</w:t>
      </w:r>
      <w:r w:rsidR="00E46A9D">
        <w:rPr>
          <w:rFonts w:ascii="Courier New" w:hAnsi="Courier New" w:cs="Courier New"/>
          <w:sz w:val="24"/>
          <w:szCs w:val="24"/>
        </w:rPr>
        <w:t>oes</w:t>
      </w:r>
      <w:r w:rsidR="001B5A23">
        <w:rPr>
          <w:rFonts w:ascii="Courier New" w:hAnsi="Courier New" w:cs="Courier New"/>
          <w:sz w:val="24"/>
          <w:szCs w:val="24"/>
        </w:rPr>
        <w:t xml:space="preserve"> not include earnings contributed to dependent care or health savings accounts, and therefore aggregate earnings data reported </w:t>
      </w:r>
      <w:r w:rsidR="001B5A23">
        <w:rPr>
          <w:rFonts w:ascii="Courier New" w:hAnsi="Courier New" w:cs="Courier New"/>
          <w:sz w:val="24"/>
          <w:szCs w:val="24"/>
        </w:rPr>
        <w:lastRenderedPageBreak/>
        <w:t xml:space="preserve">by SSA to the Department understate the earnings of </w:t>
      </w:r>
      <w:r w:rsidR="003B4572">
        <w:rPr>
          <w:rFonts w:ascii="Courier New" w:hAnsi="Courier New" w:cs="Courier New"/>
          <w:sz w:val="24"/>
          <w:szCs w:val="24"/>
        </w:rPr>
        <w:t>students who completed program</w:t>
      </w:r>
      <w:r w:rsidR="00E46A9D">
        <w:rPr>
          <w:rFonts w:ascii="Courier New" w:hAnsi="Courier New" w:cs="Courier New"/>
          <w:sz w:val="24"/>
          <w:szCs w:val="24"/>
        </w:rPr>
        <w:t>s</w:t>
      </w:r>
      <w:r w:rsidR="001B5A23">
        <w:rPr>
          <w:rFonts w:ascii="Courier New" w:hAnsi="Courier New" w:cs="Courier New"/>
          <w:sz w:val="24"/>
          <w:szCs w:val="24"/>
        </w:rPr>
        <w:t xml:space="preserve">. </w:t>
      </w:r>
      <w:r w:rsidR="00A56784">
        <w:rPr>
          <w:rFonts w:ascii="Courier New" w:hAnsi="Courier New" w:cs="Courier New"/>
          <w:sz w:val="24"/>
          <w:szCs w:val="24"/>
        </w:rPr>
        <w:t xml:space="preserve"> </w:t>
      </w:r>
      <w:r w:rsidRPr="00D140AB">
        <w:rPr>
          <w:rFonts w:ascii="Courier New" w:hAnsi="Courier New" w:cs="Courier New"/>
          <w:sz w:val="24"/>
          <w:szCs w:val="24"/>
        </w:rPr>
        <w:t>Commenters</w:t>
      </w:r>
      <w:r w:rsidR="00D55602">
        <w:rPr>
          <w:rFonts w:ascii="Courier New" w:hAnsi="Courier New" w:cs="Courier New"/>
          <w:sz w:val="24"/>
          <w:szCs w:val="24"/>
        </w:rPr>
        <w:t xml:space="preserve"> also</w:t>
      </w:r>
      <w:r w:rsidRPr="00D140AB">
        <w:rPr>
          <w:rFonts w:ascii="Courier New" w:hAnsi="Courier New" w:cs="Courier New"/>
          <w:sz w:val="24"/>
          <w:szCs w:val="24"/>
        </w:rPr>
        <w:t xml:space="preserve"> asserted that reported earnings would not include such compensation as deductions for </w:t>
      </w:r>
      <w:r w:rsidR="00EC5E18">
        <w:rPr>
          <w:rFonts w:ascii="Courier New" w:hAnsi="Courier New" w:cs="Courier New"/>
          <w:sz w:val="24"/>
          <w:szCs w:val="24"/>
        </w:rPr>
        <w:t xml:space="preserve">deferred earnings </w:t>
      </w:r>
      <w:r w:rsidRPr="00D140AB">
        <w:rPr>
          <w:rFonts w:ascii="Courier New" w:hAnsi="Courier New" w:cs="Courier New"/>
          <w:sz w:val="24"/>
          <w:szCs w:val="24"/>
        </w:rPr>
        <w:t>and 401(k) plans</w:t>
      </w:r>
      <w:r w:rsidR="00EC5E18">
        <w:rPr>
          <w:rFonts w:ascii="Courier New" w:hAnsi="Courier New" w:cs="Courier New"/>
          <w:sz w:val="24"/>
          <w:szCs w:val="24"/>
        </w:rPr>
        <w:t xml:space="preserve"> and similarly understate earnings</w:t>
      </w:r>
      <w:r w:rsidRPr="00D140AB">
        <w:rPr>
          <w:rFonts w:ascii="Courier New" w:hAnsi="Courier New" w:cs="Courier New"/>
          <w:sz w:val="24"/>
          <w:szCs w:val="24"/>
        </w:rPr>
        <w:t xml:space="preserve">.  </w:t>
      </w:r>
      <w:r w:rsidR="00E46A9D">
        <w:rPr>
          <w:rFonts w:ascii="Courier New" w:hAnsi="Courier New" w:cs="Courier New"/>
          <w:sz w:val="24"/>
          <w:szCs w:val="24"/>
        </w:rPr>
        <w:t>C</w:t>
      </w:r>
      <w:r w:rsidRPr="00D140AB">
        <w:rPr>
          <w:rFonts w:ascii="Courier New" w:hAnsi="Courier New" w:cs="Courier New"/>
          <w:sz w:val="24"/>
          <w:szCs w:val="24"/>
        </w:rPr>
        <w:t xml:space="preserve">ommenters stated that an individual’s SSA earnings do not include sources of income such as lottery winnings, child support payments, or spousal income.  </w:t>
      </w:r>
    </w:p>
    <w:p w14:paraId="4269B29B" w14:textId="0ACD2FAB" w:rsidR="001D71D1" w:rsidRPr="00D140AB" w:rsidRDefault="001D71D1" w:rsidP="00C92C54">
      <w:pPr>
        <w:pStyle w:val="Default"/>
        <w:spacing w:line="480" w:lineRule="auto"/>
        <w:rPr>
          <w:rFonts w:ascii="Courier New" w:hAnsi="Courier New" w:cs="Courier New"/>
        </w:rPr>
      </w:pPr>
      <w:r w:rsidRPr="00D140AB">
        <w:rPr>
          <w:rFonts w:ascii="Courier New" w:hAnsi="Courier New" w:cs="Courier New"/>
          <w:u w:val="single"/>
        </w:rPr>
        <w:t>Discussion</w:t>
      </w:r>
      <w:r w:rsidRPr="00D140AB">
        <w:rPr>
          <w:rFonts w:ascii="Courier New" w:hAnsi="Courier New" w:cs="Courier New"/>
        </w:rPr>
        <w:t xml:space="preserve">:  Other earnings of the wage earner, such as deferred compensation, must be reported, are included in the MEF, and are used to create the aggregate earnings data set provided by SSA to the Department.  </w:t>
      </w:r>
      <w:r w:rsidR="00EC5E18">
        <w:rPr>
          <w:rFonts w:ascii="Courier New" w:hAnsi="Courier New" w:cs="Courier New"/>
        </w:rPr>
        <w:t xml:space="preserve">Not all earnings are included as earnings reported to SSA.  However, reported earnings </w:t>
      </w:r>
      <w:r w:rsidRPr="00D140AB">
        <w:rPr>
          <w:rFonts w:ascii="Courier New" w:hAnsi="Courier New" w:cs="Courier New"/>
        </w:rPr>
        <w:t xml:space="preserve">include those earnings reported under the following codes on the W2 form: </w:t>
      </w:r>
    </w:p>
    <w:p w14:paraId="4269B29C" w14:textId="77777777" w:rsidR="001D71D1" w:rsidRPr="00D140AB" w:rsidRDefault="001D71D1" w:rsidP="00DB3ED1">
      <w:pPr>
        <w:pStyle w:val="Default"/>
        <w:spacing w:line="480" w:lineRule="auto"/>
        <w:ind w:left="720"/>
        <w:rPr>
          <w:rFonts w:ascii="Courier New" w:hAnsi="Courier New" w:cs="Courier New"/>
        </w:rPr>
      </w:pPr>
      <w:r w:rsidRPr="00D140AB">
        <w:rPr>
          <w:rFonts w:ascii="Courier New" w:hAnsi="Courier New" w:cs="Courier New"/>
        </w:rPr>
        <w:t>Box D:  Elective deferrals to a section 401(k) cash or deferred arrangement plan (including a SIMPLE 401(k) arrangement);</w:t>
      </w:r>
    </w:p>
    <w:p w14:paraId="4269B29D" w14:textId="77777777" w:rsidR="001D71D1" w:rsidRPr="00D140AB" w:rsidRDefault="001D71D1" w:rsidP="00DB3ED1">
      <w:pPr>
        <w:autoSpaceDE w:val="0"/>
        <w:autoSpaceDN w:val="0"/>
        <w:adjustRightInd w:val="0"/>
        <w:spacing w:after="0" w:line="480" w:lineRule="auto"/>
        <w:ind w:left="720"/>
        <w:rPr>
          <w:rFonts w:ascii="Courier New" w:hAnsi="Courier New" w:cs="Courier New"/>
          <w:color w:val="000000"/>
          <w:sz w:val="24"/>
          <w:szCs w:val="24"/>
        </w:rPr>
      </w:pPr>
      <w:r w:rsidRPr="00D140AB">
        <w:rPr>
          <w:rFonts w:ascii="Courier New" w:hAnsi="Courier New" w:cs="Courier New"/>
          <w:sz w:val="24"/>
          <w:szCs w:val="24"/>
        </w:rPr>
        <w:t xml:space="preserve">Box E:  </w:t>
      </w:r>
      <w:r w:rsidRPr="00D140AB">
        <w:rPr>
          <w:rFonts w:ascii="Courier New" w:hAnsi="Courier New" w:cs="Courier New"/>
          <w:color w:val="000000"/>
          <w:sz w:val="24"/>
          <w:szCs w:val="24"/>
        </w:rPr>
        <w:t>Elective deferrals under a section 403(b) salary reduction agreement;</w:t>
      </w:r>
    </w:p>
    <w:p w14:paraId="4269B29E" w14:textId="77777777" w:rsidR="001D71D1" w:rsidRPr="00D140AB" w:rsidRDefault="001D71D1" w:rsidP="00DB3ED1">
      <w:pPr>
        <w:pStyle w:val="Default"/>
        <w:spacing w:line="480" w:lineRule="auto"/>
        <w:ind w:left="720"/>
        <w:rPr>
          <w:rFonts w:ascii="Courier New" w:hAnsi="Courier New" w:cs="Courier New"/>
        </w:rPr>
      </w:pPr>
      <w:r w:rsidRPr="00D140AB">
        <w:rPr>
          <w:rFonts w:ascii="Courier New" w:hAnsi="Courier New" w:cs="Courier New"/>
        </w:rPr>
        <w:t>Box F:  Elective deferrals under a section 408(k)(6) salary reduction SEP;</w:t>
      </w:r>
    </w:p>
    <w:p w14:paraId="4269B29F" w14:textId="77777777" w:rsidR="001D71D1" w:rsidRPr="00D140AB" w:rsidRDefault="001D71D1" w:rsidP="00DB3ED1">
      <w:pPr>
        <w:pStyle w:val="Default"/>
        <w:spacing w:line="480" w:lineRule="auto"/>
        <w:ind w:left="720"/>
        <w:rPr>
          <w:rFonts w:ascii="Courier New" w:hAnsi="Courier New" w:cs="Courier New"/>
        </w:rPr>
      </w:pPr>
      <w:r w:rsidRPr="00D140AB">
        <w:rPr>
          <w:rFonts w:ascii="Courier New" w:hAnsi="Courier New" w:cs="Courier New"/>
        </w:rPr>
        <w:t>Box G:  Elective deferrals and employer contributions (including nonelective deferrals) to a section 457(b) deferred compensation plan;</w:t>
      </w:r>
    </w:p>
    <w:p w14:paraId="4269B2A0" w14:textId="77777777" w:rsidR="001D71D1" w:rsidRPr="00D140AB" w:rsidRDefault="001D71D1" w:rsidP="00DB3ED1">
      <w:pPr>
        <w:autoSpaceDE w:val="0"/>
        <w:autoSpaceDN w:val="0"/>
        <w:adjustRightInd w:val="0"/>
        <w:spacing w:after="0" w:line="480" w:lineRule="auto"/>
        <w:ind w:left="720" w:right="-6265"/>
        <w:rPr>
          <w:rFonts w:ascii="Courier New" w:hAnsi="Courier New" w:cs="Courier New"/>
          <w:color w:val="000000"/>
          <w:sz w:val="24"/>
          <w:szCs w:val="24"/>
        </w:rPr>
      </w:pPr>
      <w:r w:rsidRPr="00D140AB">
        <w:rPr>
          <w:rFonts w:ascii="Courier New" w:hAnsi="Courier New" w:cs="Courier New"/>
          <w:sz w:val="24"/>
          <w:szCs w:val="24"/>
        </w:rPr>
        <w:t xml:space="preserve">Box H:  </w:t>
      </w:r>
      <w:r w:rsidRPr="00D140AB">
        <w:rPr>
          <w:rFonts w:ascii="Courier New" w:hAnsi="Courier New" w:cs="Courier New"/>
          <w:color w:val="000000"/>
          <w:sz w:val="24"/>
          <w:szCs w:val="24"/>
        </w:rPr>
        <w:t>Elective deferrals to a section 501(c)(18)(D)</w:t>
      </w:r>
    </w:p>
    <w:p w14:paraId="4269B2A1" w14:textId="77777777" w:rsidR="001D71D1" w:rsidRPr="00D140AB" w:rsidRDefault="001D71D1" w:rsidP="00DB3ED1">
      <w:pPr>
        <w:autoSpaceDE w:val="0"/>
        <w:autoSpaceDN w:val="0"/>
        <w:adjustRightInd w:val="0"/>
        <w:spacing w:after="0" w:line="480" w:lineRule="auto"/>
        <w:ind w:left="720" w:right="-6265"/>
        <w:rPr>
          <w:rFonts w:ascii="Courier New" w:hAnsi="Courier New" w:cs="Courier New"/>
          <w:color w:val="000000"/>
          <w:sz w:val="24"/>
          <w:szCs w:val="24"/>
        </w:rPr>
      </w:pPr>
      <w:r w:rsidRPr="00D140AB">
        <w:rPr>
          <w:rFonts w:ascii="Courier New" w:hAnsi="Courier New" w:cs="Courier New"/>
          <w:color w:val="000000"/>
          <w:sz w:val="24"/>
          <w:szCs w:val="24"/>
        </w:rPr>
        <w:lastRenderedPageBreak/>
        <w:t>tax-exempt organization or organization plan; and</w:t>
      </w:r>
    </w:p>
    <w:p w14:paraId="4269B2A2" w14:textId="77777777" w:rsidR="001D71D1" w:rsidRPr="00D140AB" w:rsidRDefault="001D71D1" w:rsidP="00DB3ED1">
      <w:pPr>
        <w:autoSpaceDE w:val="0"/>
        <w:autoSpaceDN w:val="0"/>
        <w:adjustRightInd w:val="0"/>
        <w:spacing w:after="0" w:line="480" w:lineRule="auto"/>
        <w:ind w:left="720"/>
        <w:rPr>
          <w:rFonts w:ascii="Courier New" w:hAnsi="Courier New" w:cs="Courier New"/>
          <w:color w:val="000000"/>
          <w:sz w:val="24"/>
          <w:szCs w:val="24"/>
        </w:rPr>
      </w:pPr>
      <w:r w:rsidRPr="00D140AB">
        <w:rPr>
          <w:rFonts w:ascii="Courier New" w:hAnsi="Courier New" w:cs="Courier New"/>
          <w:color w:val="000000"/>
          <w:sz w:val="24"/>
          <w:szCs w:val="24"/>
        </w:rPr>
        <w:t>Box W:  Employer contributions (including employee contributions through a cafeteria plan) to an employee's health savings account (HSA).</w:t>
      </w:r>
      <w:r w:rsidRPr="00D140AB">
        <w:rPr>
          <w:rStyle w:val="FootnoteReference"/>
          <w:rFonts w:ascii="Courier New" w:hAnsi="Courier New" w:cs="Courier New"/>
          <w:color w:val="000000"/>
          <w:sz w:val="24"/>
          <w:szCs w:val="24"/>
        </w:rPr>
        <w:footnoteReference w:id="146"/>
      </w:r>
    </w:p>
    <w:p w14:paraId="66C0A485" w14:textId="28DAB926" w:rsidR="00EA0895" w:rsidRDefault="00C92C54" w:rsidP="00C92C54">
      <w:pPr>
        <w:pStyle w:val="Default"/>
        <w:spacing w:line="480" w:lineRule="auto"/>
        <w:rPr>
          <w:rFonts w:ascii="Courier New" w:hAnsi="Courier New" w:cs="Courier New"/>
          <w:bCs/>
        </w:rPr>
      </w:pPr>
      <w:r>
        <w:rPr>
          <w:rFonts w:ascii="Courier New" w:hAnsi="Courier New" w:cs="Courier New"/>
          <w:bCs/>
        </w:rPr>
        <w:t xml:space="preserve">     </w:t>
      </w:r>
      <w:r w:rsidR="00EC5E18">
        <w:rPr>
          <w:rFonts w:ascii="Courier New" w:hAnsi="Courier New" w:cs="Courier New"/>
          <w:bCs/>
        </w:rPr>
        <w:t xml:space="preserve">Institutions that </w:t>
      </w:r>
      <w:r w:rsidR="001C65E5">
        <w:rPr>
          <w:rFonts w:ascii="Courier New" w:hAnsi="Courier New" w:cs="Courier New"/>
          <w:bCs/>
        </w:rPr>
        <w:t xml:space="preserve">contend that </w:t>
      </w:r>
      <w:r w:rsidR="00EF2457">
        <w:rPr>
          <w:rFonts w:ascii="Courier New" w:hAnsi="Courier New" w:cs="Courier New"/>
          <w:bCs/>
        </w:rPr>
        <w:t xml:space="preserve">the </w:t>
      </w:r>
      <w:r w:rsidR="001C65E5">
        <w:rPr>
          <w:rFonts w:ascii="Courier New" w:hAnsi="Courier New" w:cs="Courier New"/>
          <w:bCs/>
        </w:rPr>
        <w:t xml:space="preserve">omission of </w:t>
      </w:r>
      <w:r w:rsidR="00EF2457">
        <w:rPr>
          <w:rFonts w:ascii="Courier New" w:hAnsi="Courier New" w:cs="Courier New"/>
          <w:bCs/>
        </w:rPr>
        <w:t xml:space="preserve">earnings </w:t>
      </w:r>
      <w:r w:rsidR="001C65E5">
        <w:rPr>
          <w:rFonts w:ascii="Courier New" w:hAnsi="Courier New" w:cs="Courier New"/>
          <w:bCs/>
        </w:rPr>
        <w:t xml:space="preserve">not included in </w:t>
      </w:r>
      <w:r w:rsidR="00EF2457">
        <w:rPr>
          <w:rFonts w:ascii="Courier New" w:hAnsi="Courier New" w:cs="Courier New"/>
          <w:bCs/>
        </w:rPr>
        <w:t>those that must be</w:t>
      </w:r>
      <w:r w:rsidR="001C65E5">
        <w:rPr>
          <w:rFonts w:ascii="Courier New" w:hAnsi="Courier New" w:cs="Courier New"/>
          <w:bCs/>
        </w:rPr>
        <w:t xml:space="preserve"> reported to</w:t>
      </w:r>
      <w:r w:rsidR="001C65E5" w:rsidDel="00727591">
        <w:rPr>
          <w:rFonts w:ascii="Courier New" w:hAnsi="Courier New" w:cs="Courier New"/>
          <w:bCs/>
        </w:rPr>
        <w:t xml:space="preserve"> </w:t>
      </w:r>
      <w:r w:rsidR="001C65E5">
        <w:rPr>
          <w:rFonts w:ascii="Courier New" w:hAnsi="Courier New" w:cs="Courier New"/>
          <w:bCs/>
        </w:rPr>
        <w:t>IRS and SSA significantly and adversely affects their D/E rate can make use of alternate earnings appeals</w:t>
      </w:r>
      <w:r w:rsidR="00EF2457">
        <w:rPr>
          <w:rFonts w:ascii="Courier New" w:hAnsi="Courier New" w:cs="Courier New"/>
          <w:bCs/>
        </w:rPr>
        <w:t xml:space="preserve"> to capture that earnings data</w:t>
      </w:r>
      <w:r w:rsidR="001C65E5">
        <w:rPr>
          <w:rFonts w:ascii="Courier New" w:hAnsi="Courier New" w:cs="Courier New"/>
          <w:bCs/>
        </w:rPr>
        <w:t xml:space="preserve">. </w:t>
      </w:r>
      <w:r w:rsidR="003B4572">
        <w:rPr>
          <w:rFonts w:ascii="Courier New" w:hAnsi="Courier New" w:cs="Courier New"/>
          <w:bCs/>
        </w:rPr>
        <w:t xml:space="preserve"> </w:t>
      </w:r>
      <w:r w:rsidR="001C65E5" w:rsidRPr="00D140AB">
        <w:rPr>
          <w:rFonts w:ascii="Courier New" w:hAnsi="Courier New" w:cs="Courier New"/>
          <w:bCs/>
        </w:rPr>
        <w:t xml:space="preserve">The commenters are correct that lottery winnings, child support, and spousal income are not included in the aggregate earnings calculation prepared by SSA for the Department. </w:t>
      </w:r>
      <w:r w:rsidR="00DA0FB0">
        <w:rPr>
          <w:rFonts w:ascii="Courier New" w:hAnsi="Courier New" w:cs="Courier New"/>
          <w:bCs/>
        </w:rPr>
        <w:t xml:space="preserve"> </w:t>
      </w:r>
      <w:r w:rsidR="001D71D1" w:rsidRPr="00D140AB">
        <w:rPr>
          <w:rFonts w:ascii="Courier New" w:hAnsi="Courier New" w:cs="Courier New"/>
          <w:bCs/>
        </w:rPr>
        <w:t>Funds from those sources do not constitute evidence of earnings of the individual recipient, and their exclusion from aggregate earnings is appropriate.</w:t>
      </w:r>
    </w:p>
    <w:p w14:paraId="18F219A9" w14:textId="77777777" w:rsidR="001D71D1" w:rsidRPr="00D140AB" w:rsidRDefault="001D71D1" w:rsidP="00C92C54">
      <w:pPr>
        <w:pStyle w:val="Default"/>
        <w:spacing w:line="480" w:lineRule="auto"/>
        <w:rPr>
          <w:rFonts w:ascii="Courier New" w:hAnsi="Courier New" w:cs="Courier New"/>
        </w:rPr>
      </w:pPr>
      <w:r w:rsidRPr="00D140AB">
        <w:rPr>
          <w:rFonts w:ascii="Courier New" w:hAnsi="Courier New" w:cs="Courier New"/>
          <w:u w:val="single"/>
        </w:rPr>
        <w:t>Changes</w:t>
      </w:r>
      <w:r w:rsidRPr="00D140AB">
        <w:rPr>
          <w:rFonts w:ascii="Courier New" w:hAnsi="Courier New" w:cs="Courier New"/>
        </w:rPr>
        <w:t>:  None.</w:t>
      </w:r>
    </w:p>
    <w:p w14:paraId="280B12C1" w14:textId="123366DD" w:rsidR="006F15AC" w:rsidRPr="006C2A29" w:rsidRDefault="006F15AC" w:rsidP="006C2A29">
      <w:pPr>
        <w:spacing w:after="0" w:line="480" w:lineRule="auto"/>
        <w:rPr>
          <w:rFonts w:ascii="Courier New" w:hAnsi="Courier New" w:cs="Courier New"/>
          <w:sz w:val="24"/>
          <w:szCs w:val="24"/>
        </w:rPr>
      </w:pPr>
      <w:r w:rsidRPr="00727591">
        <w:rPr>
          <w:rFonts w:ascii="Courier New" w:hAnsi="Courier New" w:cs="Courier New"/>
          <w:sz w:val="24"/>
          <w:szCs w:val="24"/>
          <w:u w:val="single"/>
        </w:rPr>
        <w:t>Comments</w:t>
      </w:r>
      <w:r w:rsidRPr="006C2A29">
        <w:rPr>
          <w:rFonts w:ascii="Courier New" w:hAnsi="Courier New" w:cs="Courier New"/>
          <w:sz w:val="24"/>
          <w:szCs w:val="24"/>
        </w:rPr>
        <w:t>:   A commenter contended that our process for gathering earnings data disregards actual earnings, unless the wage earner has earning</w:t>
      </w:r>
      <w:r w:rsidR="00727591">
        <w:rPr>
          <w:rFonts w:ascii="Courier New" w:hAnsi="Courier New" w:cs="Courier New"/>
          <w:sz w:val="24"/>
          <w:szCs w:val="24"/>
        </w:rPr>
        <w:t>s</w:t>
      </w:r>
      <w:r w:rsidRPr="006C2A29">
        <w:rPr>
          <w:rFonts w:ascii="Courier New" w:hAnsi="Courier New" w:cs="Courier New"/>
          <w:sz w:val="24"/>
          <w:szCs w:val="24"/>
        </w:rPr>
        <w:t xml:space="preserve"> subject to</w:t>
      </w:r>
      <w:r w:rsidR="00727591">
        <w:rPr>
          <w:rFonts w:ascii="Courier New" w:hAnsi="Courier New" w:cs="Courier New"/>
          <w:sz w:val="24"/>
          <w:szCs w:val="24"/>
        </w:rPr>
        <w:t xml:space="preserve"> the</w:t>
      </w:r>
      <w:r w:rsidRPr="006C2A29">
        <w:rPr>
          <w:rFonts w:ascii="Courier New" w:hAnsi="Courier New" w:cs="Courier New"/>
          <w:sz w:val="24"/>
          <w:szCs w:val="24"/>
        </w:rPr>
        <w:t xml:space="preserve"> </w:t>
      </w:r>
      <w:r w:rsidR="006C2A29">
        <w:rPr>
          <w:rFonts w:ascii="Courier New" w:hAnsi="Courier New" w:cs="Courier New"/>
          <w:sz w:val="24"/>
          <w:szCs w:val="24"/>
        </w:rPr>
        <w:t>Federal Insurance Contribution Act (</w:t>
      </w:r>
      <w:r w:rsidRPr="006C2A29">
        <w:rPr>
          <w:rFonts w:ascii="Courier New" w:hAnsi="Courier New" w:cs="Courier New"/>
          <w:sz w:val="24"/>
          <w:szCs w:val="24"/>
        </w:rPr>
        <w:t>FICA</w:t>
      </w:r>
      <w:r w:rsidR="006C2A29">
        <w:rPr>
          <w:rFonts w:ascii="Courier New" w:hAnsi="Courier New" w:cs="Courier New"/>
          <w:sz w:val="24"/>
          <w:szCs w:val="24"/>
        </w:rPr>
        <w:t>)</w:t>
      </w:r>
      <w:r w:rsidRPr="006C2A29">
        <w:rPr>
          <w:rFonts w:ascii="Courier New" w:hAnsi="Courier New" w:cs="Courier New"/>
          <w:sz w:val="24"/>
          <w:szCs w:val="24"/>
        </w:rPr>
        <w:t xml:space="preserve">.  The commenter cites a response from SSA to an inquiry posed by the commenter, in which SSA advised that SSA would record earnings for an individual only if those earnings, or other earnings reported for the same individual, were subject to </w:t>
      </w:r>
      <w:r w:rsidRPr="006C2A29">
        <w:rPr>
          <w:rFonts w:ascii="Courier New" w:hAnsi="Courier New" w:cs="Courier New"/>
          <w:sz w:val="24"/>
          <w:szCs w:val="24"/>
        </w:rPr>
        <w:lastRenderedPageBreak/>
        <w:t>FICA.  The commenter contend</w:t>
      </w:r>
      <w:r w:rsidR="00727591">
        <w:rPr>
          <w:rFonts w:ascii="Courier New" w:hAnsi="Courier New" w:cs="Courier New"/>
          <w:sz w:val="24"/>
          <w:szCs w:val="24"/>
        </w:rPr>
        <w:t>ed</w:t>
      </w:r>
      <w:r w:rsidRPr="006C2A29">
        <w:rPr>
          <w:rFonts w:ascii="Courier New" w:hAnsi="Courier New" w:cs="Courier New"/>
          <w:sz w:val="24"/>
          <w:szCs w:val="24"/>
        </w:rPr>
        <w:t xml:space="preserve"> that aggregate earnings data provided to us by SSA would therefore erroneously treat that individual as having no earnings at all.  Because the commenter contend</w:t>
      </w:r>
      <w:r w:rsidR="00727591">
        <w:rPr>
          <w:rFonts w:ascii="Courier New" w:hAnsi="Courier New" w:cs="Courier New"/>
          <w:sz w:val="24"/>
          <w:szCs w:val="24"/>
        </w:rPr>
        <w:t>ed</w:t>
      </w:r>
      <w:r w:rsidRPr="006C2A29">
        <w:rPr>
          <w:rFonts w:ascii="Courier New" w:hAnsi="Courier New" w:cs="Courier New"/>
          <w:sz w:val="24"/>
          <w:szCs w:val="24"/>
        </w:rPr>
        <w:t xml:space="preserve"> that earnings of public employees in States that do not have section 218 agreements with SSA are not subject to FICA, and are excluded from the MEF, the commenter contend</w:t>
      </w:r>
      <w:r w:rsidR="00727591">
        <w:rPr>
          <w:rFonts w:ascii="Courier New" w:hAnsi="Courier New" w:cs="Courier New"/>
          <w:sz w:val="24"/>
          <w:szCs w:val="24"/>
        </w:rPr>
        <w:t>ed</w:t>
      </w:r>
      <w:r w:rsidRPr="006C2A29">
        <w:rPr>
          <w:rFonts w:ascii="Courier New" w:hAnsi="Courier New" w:cs="Courier New"/>
          <w:sz w:val="24"/>
          <w:szCs w:val="24"/>
        </w:rPr>
        <w:t xml:space="preserve"> that this</w:t>
      </w:r>
      <w:r w:rsidRPr="006C2A29" w:rsidDel="006C2A29">
        <w:rPr>
          <w:rFonts w:ascii="Courier New" w:hAnsi="Courier New" w:cs="Courier New"/>
          <w:sz w:val="24"/>
          <w:szCs w:val="24"/>
        </w:rPr>
        <w:t xml:space="preserve"> </w:t>
      </w:r>
      <w:r w:rsidRPr="006C2A29">
        <w:rPr>
          <w:rFonts w:ascii="Courier New" w:hAnsi="Courier New" w:cs="Courier New"/>
          <w:sz w:val="24"/>
          <w:szCs w:val="24"/>
        </w:rPr>
        <w:t xml:space="preserve">results in zero earnings in MEF records of many public employees, and incorrect wage data being provided in the aggregate earnings data SSA provides to the Department.  </w:t>
      </w:r>
    </w:p>
    <w:p w14:paraId="4BDB31E8" w14:textId="313C5002" w:rsidR="006F15AC" w:rsidRPr="006C2A29" w:rsidRDefault="006F15AC" w:rsidP="006C2A29">
      <w:pPr>
        <w:spacing w:after="0" w:line="480" w:lineRule="auto"/>
        <w:rPr>
          <w:rFonts w:ascii="Courier New" w:hAnsi="Courier New" w:cs="Courier New"/>
          <w:sz w:val="24"/>
          <w:szCs w:val="24"/>
        </w:rPr>
      </w:pPr>
      <w:r w:rsidRPr="00727591">
        <w:rPr>
          <w:rFonts w:ascii="Courier New" w:hAnsi="Courier New" w:cs="Courier New"/>
          <w:sz w:val="24"/>
          <w:szCs w:val="24"/>
          <w:u w:val="single"/>
        </w:rPr>
        <w:t>Discussion</w:t>
      </w:r>
      <w:r w:rsidRPr="006C2A29">
        <w:rPr>
          <w:rFonts w:ascii="Courier New" w:hAnsi="Courier New" w:cs="Courier New"/>
          <w:sz w:val="24"/>
          <w:szCs w:val="24"/>
        </w:rPr>
        <w:t xml:space="preserve">:   As </w:t>
      </w:r>
      <w:r w:rsidR="006C2A29">
        <w:rPr>
          <w:rFonts w:ascii="Courier New" w:hAnsi="Courier New" w:cs="Courier New"/>
          <w:sz w:val="24"/>
          <w:szCs w:val="24"/>
        </w:rPr>
        <w:t>previously explained</w:t>
      </w:r>
      <w:r w:rsidRPr="006C2A29">
        <w:rPr>
          <w:rFonts w:ascii="Courier New" w:hAnsi="Courier New" w:cs="Courier New"/>
          <w:sz w:val="24"/>
          <w:szCs w:val="24"/>
        </w:rPr>
        <w:t xml:space="preserve">, all public employers are now subject to Medicare, and their earnings are now reported to SSA, included in SSA’s MEF, and included by SSA in calculating the aggregate earnings data provided to </w:t>
      </w:r>
      <w:r w:rsidR="00727591">
        <w:rPr>
          <w:rFonts w:ascii="Courier New" w:hAnsi="Courier New" w:cs="Courier New"/>
          <w:sz w:val="24"/>
          <w:szCs w:val="24"/>
        </w:rPr>
        <w:t>the</w:t>
      </w:r>
      <w:r w:rsidRPr="006C2A29">
        <w:rPr>
          <w:rFonts w:ascii="Courier New" w:hAnsi="Courier New" w:cs="Courier New"/>
          <w:sz w:val="24"/>
          <w:szCs w:val="24"/>
        </w:rPr>
        <w:t xml:space="preserve"> Department.  </w:t>
      </w:r>
    </w:p>
    <w:p w14:paraId="3316692C" w14:textId="19314A7D" w:rsidR="006F15AC" w:rsidRPr="006C2A29" w:rsidRDefault="006C2A29" w:rsidP="006C2A29">
      <w:pPr>
        <w:spacing w:after="0" w:line="480" w:lineRule="auto"/>
        <w:rPr>
          <w:rFonts w:ascii="Courier New" w:hAnsi="Courier New" w:cs="Courier New"/>
          <w:sz w:val="24"/>
          <w:szCs w:val="24"/>
        </w:rPr>
      </w:pPr>
      <w:r>
        <w:rPr>
          <w:rFonts w:ascii="Courier New" w:hAnsi="Courier New" w:cs="Courier New"/>
          <w:sz w:val="24"/>
          <w:szCs w:val="24"/>
        </w:rPr>
        <w:t xml:space="preserve">     </w:t>
      </w:r>
      <w:r w:rsidR="006F15AC" w:rsidRPr="006C2A29">
        <w:rPr>
          <w:rFonts w:ascii="Courier New" w:hAnsi="Courier New" w:cs="Courier New"/>
          <w:sz w:val="24"/>
          <w:szCs w:val="24"/>
        </w:rPr>
        <w:t>Instances in which an individual may have zero amounts in one or more fields reported to IRS, SSA, or both are handled as follows:</w:t>
      </w:r>
    </w:p>
    <w:p w14:paraId="7DCD994B" w14:textId="38EDA13A" w:rsidR="006F15AC" w:rsidRPr="006C2A29" w:rsidRDefault="006C2A29" w:rsidP="006C2A29">
      <w:pPr>
        <w:keepNext/>
        <w:spacing w:after="0" w:line="480" w:lineRule="auto"/>
        <w:rPr>
          <w:rFonts w:ascii="Courier New" w:hAnsi="Courier New" w:cs="Courier New"/>
          <w:bCs/>
          <w:sz w:val="24"/>
          <w:szCs w:val="24"/>
        </w:rPr>
      </w:pPr>
      <w:r w:rsidRPr="00727591">
        <w:rPr>
          <w:rFonts w:ascii="Courier New" w:hAnsi="Courier New" w:cs="Courier New"/>
          <w:bCs/>
          <w:sz w:val="24"/>
          <w:szCs w:val="24"/>
        </w:rPr>
        <w:t xml:space="preserve">     </w:t>
      </w:r>
      <w:r w:rsidR="006F15AC" w:rsidRPr="006C2A29">
        <w:rPr>
          <w:rFonts w:ascii="Courier New" w:hAnsi="Courier New" w:cs="Courier New"/>
          <w:bCs/>
          <w:sz w:val="24"/>
          <w:szCs w:val="24"/>
          <w:u w:val="single"/>
        </w:rPr>
        <w:t>Self</w:t>
      </w:r>
      <w:r w:rsidR="00727591">
        <w:rPr>
          <w:rFonts w:ascii="Courier New" w:hAnsi="Courier New" w:cs="Courier New"/>
          <w:bCs/>
          <w:sz w:val="24"/>
          <w:szCs w:val="24"/>
          <w:u w:val="single"/>
        </w:rPr>
        <w:t>-</w:t>
      </w:r>
      <w:r w:rsidR="006F15AC" w:rsidRPr="006C2A29">
        <w:rPr>
          <w:rFonts w:ascii="Courier New" w:hAnsi="Courier New" w:cs="Courier New"/>
          <w:bCs/>
          <w:sz w:val="24"/>
          <w:szCs w:val="24"/>
          <w:u w:val="single"/>
        </w:rPr>
        <w:t xml:space="preserve">Employment </w:t>
      </w:r>
      <w:r w:rsidR="00727591">
        <w:rPr>
          <w:rFonts w:ascii="Courier New" w:hAnsi="Courier New" w:cs="Courier New"/>
          <w:bCs/>
          <w:sz w:val="24"/>
          <w:szCs w:val="24"/>
          <w:u w:val="single"/>
        </w:rPr>
        <w:t>D</w:t>
      </w:r>
      <w:r w:rsidR="006F15AC" w:rsidRPr="006C2A29">
        <w:rPr>
          <w:rFonts w:ascii="Courier New" w:hAnsi="Courier New" w:cs="Courier New"/>
          <w:bCs/>
          <w:sz w:val="24"/>
          <w:szCs w:val="24"/>
          <w:u w:val="single"/>
        </w:rPr>
        <w:t>ata</w:t>
      </w:r>
      <w:r w:rsidR="006F15AC" w:rsidRPr="00727591">
        <w:rPr>
          <w:rFonts w:ascii="Courier New" w:hAnsi="Courier New" w:cs="Courier New"/>
          <w:bCs/>
          <w:sz w:val="24"/>
          <w:szCs w:val="24"/>
        </w:rPr>
        <w:t>:</w:t>
      </w:r>
    </w:p>
    <w:p w14:paraId="537ECA0E" w14:textId="6512C90A" w:rsidR="006F15AC" w:rsidRPr="006C2A29" w:rsidRDefault="006C2A29" w:rsidP="006C2A29">
      <w:pPr>
        <w:keepNext/>
        <w:spacing w:after="0" w:line="480" w:lineRule="auto"/>
        <w:rPr>
          <w:rFonts w:ascii="Courier New" w:hAnsi="Courier New" w:cs="Courier New"/>
          <w:sz w:val="24"/>
          <w:szCs w:val="24"/>
        </w:rPr>
      </w:pPr>
      <w:r>
        <w:rPr>
          <w:rFonts w:ascii="Courier New" w:hAnsi="Courier New" w:cs="Courier New"/>
          <w:sz w:val="24"/>
          <w:szCs w:val="24"/>
        </w:rPr>
        <w:t xml:space="preserve">     </w:t>
      </w:r>
      <w:r w:rsidR="006F15AC" w:rsidRPr="006C2A29">
        <w:rPr>
          <w:rFonts w:ascii="Courier New" w:hAnsi="Courier New" w:cs="Courier New"/>
          <w:sz w:val="24"/>
          <w:szCs w:val="24"/>
        </w:rPr>
        <w:t>IRS sends SSA Self</w:t>
      </w:r>
      <w:r w:rsidR="00727591">
        <w:rPr>
          <w:rFonts w:ascii="Courier New" w:hAnsi="Courier New" w:cs="Courier New"/>
          <w:sz w:val="24"/>
          <w:szCs w:val="24"/>
        </w:rPr>
        <w:t>-</w:t>
      </w:r>
      <w:r w:rsidR="006F15AC" w:rsidRPr="006C2A29">
        <w:rPr>
          <w:rFonts w:ascii="Courier New" w:hAnsi="Courier New" w:cs="Courier New"/>
          <w:sz w:val="24"/>
          <w:szCs w:val="24"/>
        </w:rPr>
        <w:t>Employment</w:t>
      </w:r>
      <w:r w:rsidR="006F15AC" w:rsidRPr="006C2A29" w:rsidDel="00727591">
        <w:rPr>
          <w:rFonts w:ascii="Courier New" w:hAnsi="Courier New" w:cs="Courier New"/>
          <w:sz w:val="24"/>
          <w:szCs w:val="24"/>
        </w:rPr>
        <w:t xml:space="preserve"> </w:t>
      </w:r>
      <w:r w:rsidR="006F15AC" w:rsidRPr="006C2A29">
        <w:rPr>
          <w:rFonts w:ascii="Courier New" w:hAnsi="Courier New" w:cs="Courier New"/>
          <w:sz w:val="24"/>
          <w:szCs w:val="24"/>
        </w:rPr>
        <w:t xml:space="preserve">data.  IRS does not send Self Employment records with </w:t>
      </w:r>
      <w:r w:rsidR="006F15AC" w:rsidRPr="006C2A29">
        <w:rPr>
          <w:rFonts w:ascii="Courier New" w:hAnsi="Courier New" w:cs="Courier New"/>
          <w:i/>
          <w:iCs/>
          <w:sz w:val="24"/>
          <w:szCs w:val="24"/>
          <w:u w:val="single"/>
        </w:rPr>
        <w:t>all</w:t>
      </w:r>
      <w:r w:rsidR="006F15AC" w:rsidRPr="006C2A29">
        <w:rPr>
          <w:rFonts w:ascii="Courier New" w:hAnsi="Courier New" w:cs="Courier New"/>
          <w:sz w:val="24"/>
          <w:szCs w:val="24"/>
        </w:rPr>
        <w:t xml:space="preserve"> zero money fields.  SSA posts the information that is received from IRS to the MEF. </w:t>
      </w:r>
    </w:p>
    <w:p w14:paraId="421A6602" w14:textId="6BB61608" w:rsidR="006F15AC" w:rsidRPr="006C2A29" w:rsidRDefault="006C2A29" w:rsidP="006C2A29">
      <w:pPr>
        <w:spacing w:after="0" w:line="480" w:lineRule="auto"/>
        <w:rPr>
          <w:rFonts w:ascii="Courier New" w:hAnsi="Courier New" w:cs="Courier New"/>
          <w:sz w:val="24"/>
          <w:szCs w:val="24"/>
        </w:rPr>
      </w:pPr>
      <w:r>
        <w:rPr>
          <w:rFonts w:ascii="Courier New" w:hAnsi="Courier New" w:cs="Courier New"/>
          <w:sz w:val="24"/>
          <w:szCs w:val="24"/>
        </w:rPr>
        <w:t xml:space="preserve">     </w:t>
      </w:r>
      <w:r w:rsidR="006F15AC" w:rsidRPr="006C2A29">
        <w:rPr>
          <w:rFonts w:ascii="Courier New" w:hAnsi="Courier New" w:cs="Courier New"/>
          <w:sz w:val="24"/>
          <w:szCs w:val="24"/>
        </w:rPr>
        <w:t>The only time the Social Security Self-Employment Income field is zero on the file received from IRS is when the taxpayer has W-2 earnings at the Social Security max</w:t>
      </w:r>
      <w:r>
        <w:rPr>
          <w:rFonts w:ascii="Courier New" w:hAnsi="Courier New" w:cs="Courier New"/>
          <w:sz w:val="24"/>
          <w:szCs w:val="24"/>
        </w:rPr>
        <w:t>imum</w:t>
      </w:r>
      <w:r w:rsidR="006F15AC" w:rsidRPr="006C2A29">
        <w:rPr>
          <w:rFonts w:ascii="Courier New" w:hAnsi="Courier New" w:cs="Courier New"/>
          <w:sz w:val="24"/>
          <w:szCs w:val="24"/>
        </w:rPr>
        <w:t>.  In this case the Total Net Earnings from Self</w:t>
      </w:r>
      <w:r>
        <w:rPr>
          <w:rFonts w:ascii="Courier New" w:hAnsi="Courier New" w:cs="Courier New"/>
          <w:sz w:val="24"/>
          <w:szCs w:val="24"/>
        </w:rPr>
        <w:t>-</w:t>
      </w:r>
      <w:r w:rsidR="006F15AC" w:rsidRPr="006C2A29">
        <w:rPr>
          <w:rFonts w:ascii="Courier New" w:hAnsi="Courier New" w:cs="Courier New"/>
          <w:sz w:val="24"/>
          <w:szCs w:val="24"/>
        </w:rPr>
        <w:t xml:space="preserve">Employment is reported in the </w:t>
      </w:r>
      <w:r w:rsidR="006F15AC" w:rsidRPr="006C2A29">
        <w:rPr>
          <w:rFonts w:ascii="Courier New" w:hAnsi="Courier New" w:cs="Courier New"/>
          <w:sz w:val="24"/>
          <w:szCs w:val="24"/>
        </w:rPr>
        <w:lastRenderedPageBreak/>
        <w:t xml:space="preserve">Self-Employment Medicare Income field on the file received from IRS.  </w:t>
      </w:r>
    </w:p>
    <w:p w14:paraId="09C83C49" w14:textId="122B5169" w:rsidR="006F15AC" w:rsidRPr="006C2A29" w:rsidRDefault="006C2A29" w:rsidP="006C2A29">
      <w:pPr>
        <w:spacing w:after="0" w:line="480" w:lineRule="auto"/>
        <w:rPr>
          <w:rFonts w:ascii="Courier New" w:hAnsi="Courier New" w:cs="Courier New"/>
          <w:bCs/>
          <w:sz w:val="24"/>
          <w:szCs w:val="24"/>
        </w:rPr>
      </w:pPr>
      <w:r w:rsidRPr="00727591">
        <w:rPr>
          <w:rFonts w:ascii="Courier New" w:hAnsi="Courier New" w:cs="Courier New"/>
          <w:bCs/>
          <w:sz w:val="24"/>
          <w:szCs w:val="24"/>
        </w:rPr>
        <w:t xml:space="preserve">     </w:t>
      </w:r>
      <w:r w:rsidR="006F15AC" w:rsidRPr="006C2A29">
        <w:rPr>
          <w:rFonts w:ascii="Courier New" w:hAnsi="Courier New" w:cs="Courier New"/>
          <w:bCs/>
          <w:sz w:val="24"/>
          <w:szCs w:val="24"/>
          <w:u w:val="single"/>
        </w:rPr>
        <w:t>W-2 Data</w:t>
      </w:r>
      <w:r w:rsidR="006F15AC" w:rsidRPr="00727591">
        <w:rPr>
          <w:rFonts w:ascii="Courier New" w:hAnsi="Courier New" w:cs="Courier New"/>
          <w:bCs/>
          <w:sz w:val="24"/>
          <w:szCs w:val="24"/>
        </w:rPr>
        <w:t>:</w:t>
      </w:r>
    </w:p>
    <w:p w14:paraId="61BD8306" w14:textId="037BF360" w:rsidR="006F15AC" w:rsidRPr="006C2A29" w:rsidRDefault="006C2A29" w:rsidP="006C2A29">
      <w:pPr>
        <w:spacing w:after="0" w:line="480" w:lineRule="auto"/>
        <w:rPr>
          <w:rFonts w:ascii="Courier New" w:hAnsi="Courier New" w:cs="Courier New"/>
          <w:sz w:val="24"/>
          <w:szCs w:val="24"/>
        </w:rPr>
      </w:pPr>
      <w:r>
        <w:rPr>
          <w:rFonts w:ascii="Courier New" w:hAnsi="Courier New" w:cs="Courier New"/>
          <w:sz w:val="24"/>
          <w:szCs w:val="24"/>
        </w:rPr>
        <w:t xml:space="preserve">     </w:t>
      </w:r>
      <w:r w:rsidR="006F15AC" w:rsidRPr="006C2A29">
        <w:rPr>
          <w:rFonts w:ascii="Courier New" w:hAnsi="Courier New" w:cs="Courier New"/>
          <w:sz w:val="24"/>
          <w:szCs w:val="24"/>
        </w:rPr>
        <w:t xml:space="preserve">If a form W-2 has a </w:t>
      </w:r>
      <w:r w:rsidR="006F15AC" w:rsidRPr="006C2A29">
        <w:rPr>
          <w:rFonts w:ascii="Courier New" w:hAnsi="Courier New" w:cs="Courier New"/>
          <w:sz w:val="24"/>
          <w:szCs w:val="24"/>
          <w:u w:val="single"/>
        </w:rPr>
        <w:t>nonzero</w:t>
      </w:r>
      <w:r w:rsidR="006F15AC" w:rsidRPr="006C2A29">
        <w:rPr>
          <w:rFonts w:ascii="Courier New" w:hAnsi="Courier New" w:cs="Courier New"/>
          <w:sz w:val="24"/>
          <w:szCs w:val="24"/>
        </w:rPr>
        <w:t xml:space="preserve"> value in </w:t>
      </w:r>
      <w:r w:rsidR="006F15AC" w:rsidRPr="006C2A29">
        <w:rPr>
          <w:rFonts w:ascii="Courier New" w:hAnsi="Courier New" w:cs="Courier New"/>
          <w:i/>
          <w:iCs/>
          <w:sz w:val="24"/>
          <w:szCs w:val="24"/>
          <w:u w:val="single"/>
        </w:rPr>
        <w:t>any</w:t>
      </w:r>
      <w:r w:rsidR="006F15AC" w:rsidRPr="006C2A29">
        <w:rPr>
          <w:rFonts w:ascii="Courier New" w:hAnsi="Courier New" w:cs="Courier New"/>
          <w:sz w:val="24"/>
          <w:szCs w:val="24"/>
          <w:u w:val="single"/>
        </w:rPr>
        <w:t xml:space="preserve"> </w:t>
      </w:r>
      <w:r w:rsidR="006F15AC" w:rsidRPr="006C2A29">
        <w:rPr>
          <w:rFonts w:ascii="Courier New" w:hAnsi="Courier New" w:cs="Courier New"/>
          <w:sz w:val="24"/>
          <w:szCs w:val="24"/>
        </w:rPr>
        <w:t>of the following money fields (and the employee name matches SSA’s records for the SSN) SSA posts the nonzero amount(s) to the MEF:</w:t>
      </w:r>
    </w:p>
    <w:p w14:paraId="3E587A76"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 xml:space="preserve">Box 1 – Wages, tips, other compensation  </w:t>
      </w:r>
    </w:p>
    <w:p w14:paraId="635ECF51"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 xml:space="preserve">Box 3 – Social Security Wages </w:t>
      </w:r>
    </w:p>
    <w:p w14:paraId="47443715"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5 – Medicare wages and tips</w:t>
      </w:r>
    </w:p>
    <w:p w14:paraId="1F02069C" w14:textId="3DCD2325"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 xml:space="preserve">Box 7 – Social </w:t>
      </w:r>
      <w:r w:rsidR="00727591">
        <w:rPr>
          <w:rFonts w:ascii="Courier New" w:hAnsi="Courier New" w:cs="Courier New"/>
          <w:sz w:val="24"/>
          <w:szCs w:val="24"/>
        </w:rPr>
        <w:t>S</w:t>
      </w:r>
      <w:r w:rsidRPr="006C2A29">
        <w:rPr>
          <w:rFonts w:ascii="Courier New" w:hAnsi="Courier New" w:cs="Courier New"/>
          <w:sz w:val="24"/>
          <w:szCs w:val="24"/>
        </w:rPr>
        <w:t>ecurity tips</w:t>
      </w:r>
    </w:p>
    <w:p w14:paraId="2BC44A51"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11 – Nonqualified plans</w:t>
      </w:r>
    </w:p>
    <w:p w14:paraId="2463CF62"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D - Elective deferrals to a section 401(k) cash or deferred arrangement</w:t>
      </w:r>
    </w:p>
    <w:p w14:paraId="2417A0CB"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E - Elective deferrals under a section 403(b) salary reduction arrangement</w:t>
      </w:r>
    </w:p>
    <w:p w14:paraId="39805C72"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F - Elective deferrals under a section 408(k)(6) salary reduction SEP</w:t>
      </w:r>
    </w:p>
    <w:p w14:paraId="0C674CF2"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G - Elective deferrals and employer contributions (including non-elective deferrals) to a section 457(b) deferred compensation plan</w:t>
      </w:r>
    </w:p>
    <w:p w14:paraId="71FF96FC"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H - Elective deferrals to a section 501(c)(18)(D) tax-exempt organization plan</w:t>
      </w:r>
    </w:p>
    <w:p w14:paraId="75502ECA" w14:textId="77777777" w:rsidR="006F15AC" w:rsidRPr="006C2A29" w:rsidRDefault="006F15AC" w:rsidP="006C2A29">
      <w:pPr>
        <w:spacing w:after="0" w:line="480" w:lineRule="auto"/>
        <w:ind w:left="720"/>
        <w:rPr>
          <w:rFonts w:ascii="Courier New" w:hAnsi="Courier New" w:cs="Courier New"/>
          <w:sz w:val="24"/>
          <w:szCs w:val="24"/>
        </w:rPr>
      </w:pPr>
      <w:r w:rsidRPr="006C2A29">
        <w:rPr>
          <w:rFonts w:ascii="Courier New" w:hAnsi="Courier New" w:cs="Courier New"/>
          <w:sz w:val="24"/>
          <w:szCs w:val="24"/>
        </w:rPr>
        <w:t>Box 12 code W - Employer contributions to your Health Savings Account</w:t>
      </w:r>
    </w:p>
    <w:p w14:paraId="201FF525" w14:textId="217F7500" w:rsidR="006F15AC" w:rsidRPr="006C2A29" w:rsidRDefault="006C2A29" w:rsidP="006C2A29">
      <w:pPr>
        <w:spacing w:after="0" w:line="480" w:lineRule="auto"/>
        <w:rPr>
          <w:rFonts w:ascii="Courier New" w:hAnsi="Courier New" w:cs="Courier New"/>
          <w:sz w:val="24"/>
          <w:szCs w:val="24"/>
        </w:rPr>
      </w:pPr>
      <w:r>
        <w:rPr>
          <w:rFonts w:ascii="Courier New" w:hAnsi="Courier New" w:cs="Courier New"/>
          <w:sz w:val="24"/>
          <w:szCs w:val="24"/>
        </w:rPr>
        <w:lastRenderedPageBreak/>
        <w:t xml:space="preserve">     </w:t>
      </w:r>
      <w:r w:rsidR="006F15AC" w:rsidRPr="006C2A29">
        <w:rPr>
          <w:rFonts w:ascii="Courier New" w:hAnsi="Courier New" w:cs="Courier New"/>
          <w:sz w:val="24"/>
          <w:szCs w:val="24"/>
        </w:rPr>
        <w:t xml:space="preserve">If a W-2 has zeroes in </w:t>
      </w:r>
      <w:r w:rsidR="006F15AC" w:rsidRPr="006C2A29">
        <w:rPr>
          <w:rFonts w:ascii="Courier New" w:hAnsi="Courier New" w:cs="Courier New"/>
          <w:i/>
          <w:iCs/>
          <w:sz w:val="24"/>
          <w:szCs w:val="24"/>
          <w:u w:val="single"/>
        </w:rPr>
        <w:t>all</w:t>
      </w:r>
      <w:r w:rsidR="006F15AC" w:rsidRPr="006C2A29">
        <w:rPr>
          <w:rFonts w:ascii="Courier New" w:hAnsi="Courier New" w:cs="Courier New"/>
          <w:sz w:val="24"/>
          <w:szCs w:val="24"/>
          <w:u w:val="single"/>
        </w:rPr>
        <w:t xml:space="preserve"> </w:t>
      </w:r>
      <w:r w:rsidR="006F15AC" w:rsidRPr="006C2A29">
        <w:rPr>
          <w:rFonts w:ascii="Courier New" w:hAnsi="Courier New" w:cs="Courier New"/>
          <w:sz w:val="24"/>
          <w:szCs w:val="24"/>
        </w:rPr>
        <w:t>of the above money fields SSA still processes the W-2 for IRS purposes, but does not post the W-2 to the MEF.</w:t>
      </w:r>
    </w:p>
    <w:p w14:paraId="050C465D" w14:textId="6B10FDBA" w:rsidR="006F15AC" w:rsidRPr="006C2A29" w:rsidRDefault="006C2A29" w:rsidP="006C2A29">
      <w:pPr>
        <w:spacing w:after="0" w:line="480" w:lineRule="auto"/>
        <w:rPr>
          <w:rFonts w:ascii="Courier New" w:hAnsi="Courier New" w:cs="Courier New"/>
          <w:bCs/>
          <w:sz w:val="24"/>
          <w:szCs w:val="24"/>
          <w:u w:val="single"/>
        </w:rPr>
      </w:pPr>
      <w:r w:rsidRPr="00727591">
        <w:rPr>
          <w:rFonts w:ascii="Courier New" w:hAnsi="Courier New" w:cs="Courier New"/>
          <w:bCs/>
          <w:sz w:val="24"/>
          <w:szCs w:val="24"/>
        </w:rPr>
        <w:t xml:space="preserve">     </w:t>
      </w:r>
      <w:r w:rsidR="006F15AC" w:rsidRPr="006C2A29">
        <w:rPr>
          <w:rFonts w:ascii="Courier New" w:hAnsi="Courier New" w:cs="Courier New"/>
          <w:bCs/>
          <w:sz w:val="24"/>
          <w:szCs w:val="24"/>
          <w:u w:val="single"/>
        </w:rPr>
        <w:t>In creating the file to send for the Dept. of Education Data Exchange</w:t>
      </w:r>
      <w:r w:rsidR="006F15AC" w:rsidRPr="00727591">
        <w:rPr>
          <w:rFonts w:ascii="Courier New" w:hAnsi="Courier New" w:cs="Courier New"/>
          <w:bCs/>
          <w:sz w:val="24"/>
          <w:szCs w:val="24"/>
        </w:rPr>
        <w:t>:</w:t>
      </w:r>
    </w:p>
    <w:p w14:paraId="42F420EC" w14:textId="7B2B07DD" w:rsidR="006F15AC" w:rsidRPr="006C2A29" w:rsidRDefault="006C2A29" w:rsidP="006C2A29">
      <w:pPr>
        <w:spacing w:after="0" w:line="480" w:lineRule="auto"/>
        <w:ind w:left="360"/>
        <w:rPr>
          <w:rFonts w:ascii="Courier New" w:hAnsi="Courier New" w:cs="Courier New"/>
          <w:sz w:val="24"/>
          <w:szCs w:val="24"/>
        </w:rPr>
      </w:pPr>
      <w:r>
        <w:rPr>
          <w:rFonts w:ascii="Courier New" w:hAnsi="Courier New" w:cs="Courier New"/>
          <w:bCs/>
          <w:sz w:val="24"/>
          <w:szCs w:val="24"/>
        </w:rPr>
        <w:t xml:space="preserve">   </w:t>
      </w:r>
      <w:r w:rsidR="00727591">
        <w:rPr>
          <w:rFonts w:ascii="Courier New" w:hAnsi="Courier New" w:cs="Courier New"/>
          <w:bCs/>
          <w:sz w:val="24"/>
          <w:szCs w:val="24"/>
        </w:rPr>
        <w:t>(</w:t>
      </w:r>
      <w:r w:rsidR="006F15AC" w:rsidRPr="006C2A29">
        <w:rPr>
          <w:rFonts w:ascii="Courier New" w:hAnsi="Courier New" w:cs="Courier New"/>
          <w:bCs/>
          <w:sz w:val="24"/>
          <w:szCs w:val="24"/>
        </w:rPr>
        <w:t>1)</w:t>
      </w:r>
      <w:r w:rsidR="006F15AC" w:rsidRPr="006C2A29">
        <w:rPr>
          <w:rFonts w:ascii="Courier New" w:hAnsi="Courier New" w:cs="Courier New"/>
          <w:sz w:val="24"/>
          <w:szCs w:val="24"/>
        </w:rPr>
        <w:t xml:space="preserve"> If any of the following W-2 Boxes are greater than zero:</w:t>
      </w:r>
    </w:p>
    <w:p w14:paraId="2A9FCDFC" w14:textId="2B1D1CE4" w:rsidR="006F15AC" w:rsidRPr="006C2A29" w:rsidRDefault="006F15AC" w:rsidP="006C2A29">
      <w:pPr>
        <w:pStyle w:val="ListParagraph"/>
        <w:numPr>
          <w:ilvl w:val="0"/>
          <w:numId w:val="25"/>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 xml:space="preserve">Box 3 (Social </w:t>
      </w:r>
      <w:r w:rsidR="00727591">
        <w:rPr>
          <w:rFonts w:ascii="Courier New" w:hAnsi="Courier New" w:cs="Courier New"/>
          <w:sz w:val="24"/>
          <w:szCs w:val="24"/>
        </w:rPr>
        <w:t>S</w:t>
      </w:r>
      <w:r w:rsidRPr="006C2A29">
        <w:rPr>
          <w:rFonts w:ascii="Courier New" w:hAnsi="Courier New" w:cs="Courier New"/>
          <w:sz w:val="24"/>
          <w:szCs w:val="24"/>
        </w:rPr>
        <w:t>ecurity wages)</w:t>
      </w:r>
    </w:p>
    <w:p w14:paraId="4FAE04A1" w14:textId="77777777" w:rsidR="006F15AC" w:rsidRPr="006C2A29" w:rsidRDefault="006F15AC" w:rsidP="006C2A29">
      <w:pPr>
        <w:pStyle w:val="ListParagraph"/>
        <w:numPr>
          <w:ilvl w:val="0"/>
          <w:numId w:val="25"/>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Box 5 (Medicare wages and tips)</w:t>
      </w:r>
    </w:p>
    <w:p w14:paraId="61F46449" w14:textId="7CC01649" w:rsidR="006F15AC" w:rsidRPr="006C2A29" w:rsidRDefault="006F15AC" w:rsidP="006C2A29">
      <w:pPr>
        <w:pStyle w:val="ListParagraph"/>
        <w:numPr>
          <w:ilvl w:val="0"/>
          <w:numId w:val="25"/>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 xml:space="preserve">Box 7 (Social </w:t>
      </w:r>
      <w:r w:rsidR="00727591">
        <w:rPr>
          <w:rFonts w:ascii="Courier New" w:hAnsi="Courier New" w:cs="Courier New"/>
          <w:sz w:val="24"/>
          <w:szCs w:val="24"/>
        </w:rPr>
        <w:t>S</w:t>
      </w:r>
      <w:r w:rsidRPr="006C2A29">
        <w:rPr>
          <w:rFonts w:ascii="Courier New" w:hAnsi="Courier New" w:cs="Courier New"/>
          <w:sz w:val="24"/>
          <w:szCs w:val="24"/>
        </w:rPr>
        <w:t>ecurity tips),</w:t>
      </w:r>
    </w:p>
    <w:p w14:paraId="77B82F84" w14:textId="77777777" w:rsidR="006F15AC" w:rsidRPr="006C2A29" w:rsidRDefault="006F15AC" w:rsidP="006C2A29">
      <w:pPr>
        <w:spacing w:after="0" w:line="480" w:lineRule="auto"/>
        <w:ind w:left="360"/>
        <w:rPr>
          <w:rFonts w:ascii="Courier New" w:hAnsi="Courier New" w:cs="Courier New"/>
          <w:sz w:val="24"/>
          <w:szCs w:val="24"/>
        </w:rPr>
      </w:pPr>
      <w:r w:rsidRPr="006C2A29">
        <w:rPr>
          <w:rFonts w:ascii="Courier New" w:hAnsi="Courier New" w:cs="Courier New"/>
          <w:sz w:val="24"/>
          <w:szCs w:val="24"/>
        </w:rPr>
        <w:t xml:space="preserve">the data exchange summary amount includes </w:t>
      </w:r>
      <w:r w:rsidRPr="006C2A29">
        <w:rPr>
          <w:rFonts w:ascii="Courier New" w:hAnsi="Courier New" w:cs="Courier New"/>
          <w:i/>
          <w:iCs/>
          <w:sz w:val="24"/>
          <w:szCs w:val="24"/>
        </w:rPr>
        <w:t>the greater of the following</w:t>
      </w:r>
      <w:r w:rsidRPr="006C2A29">
        <w:rPr>
          <w:rFonts w:ascii="Courier New" w:hAnsi="Courier New" w:cs="Courier New"/>
          <w:sz w:val="24"/>
          <w:szCs w:val="24"/>
        </w:rPr>
        <w:t>:</w:t>
      </w:r>
    </w:p>
    <w:p w14:paraId="7003C37A" w14:textId="61A38BD6" w:rsidR="006F15AC" w:rsidRPr="006C2A29" w:rsidRDefault="006F15AC" w:rsidP="006C2A29">
      <w:pPr>
        <w:pStyle w:val="ListParagraph"/>
        <w:numPr>
          <w:ilvl w:val="0"/>
          <w:numId w:val="26"/>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 xml:space="preserve">The sum of Box 3 (Social </w:t>
      </w:r>
      <w:r w:rsidR="007C4990">
        <w:rPr>
          <w:rFonts w:ascii="Courier New" w:hAnsi="Courier New" w:cs="Courier New"/>
          <w:sz w:val="24"/>
          <w:szCs w:val="24"/>
        </w:rPr>
        <w:t>S</w:t>
      </w:r>
      <w:r w:rsidRPr="006C2A29">
        <w:rPr>
          <w:rFonts w:ascii="Courier New" w:hAnsi="Courier New" w:cs="Courier New"/>
          <w:sz w:val="24"/>
          <w:szCs w:val="24"/>
        </w:rPr>
        <w:t xml:space="preserve">ecurity wages) and Box 7  (Social </w:t>
      </w:r>
      <w:r w:rsidR="007C4990">
        <w:rPr>
          <w:rFonts w:ascii="Courier New" w:hAnsi="Courier New" w:cs="Courier New"/>
          <w:sz w:val="24"/>
          <w:szCs w:val="24"/>
        </w:rPr>
        <w:t>S</w:t>
      </w:r>
      <w:r w:rsidRPr="006C2A29">
        <w:rPr>
          <w:rFonts w:ascii="Courier New" w:hAnsi="Courier New" w:cs="Courier New"/>
          <w:sz w:val="24"/>
          <w:szCs w:val="24"/>
        </w:rPr>
        <w:t>ecurity tips), or</w:t>
      </w:r>
    </w:p>
    <w:p w14:paraId="5B6F0825" w14:textId="77777777" w:rsidR="006F15AC" w:rsidRPr="006C2A29" w:rsidRDefault="006F15AC" w:rsidP="006C2A29">
      <w:pPr>
        <w:pStyle w:val="ListParagraph"/>
        <w:numPr>
          <w:ilvl w:val="0"/>
          <w:numId w:val="26"/>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Box 5 (Medicare wages and tips).</w:t>
      </w:r>
    </w:p>
    <w:p w14:paraId="4D9851C7" w14:textId="7D4B971A" w:rsidR="006F15AC" w:rsidRPr="006C2A29" w:rsidRDefault="006C2A29" w:rsidP="006C2A29">
      <w:pPr>
        <w:keepNext/>
        <w:spacing w:after="0" w:line="480" w:lineRule="auto"/>
        <w:ind w:left="360"/>
        <w:rPr>
          <w:rFonts w:ascii="Courier New" w:hAnsi="Courier New" w:cs="Courier New"/>
          <w:sz w:val="24"/>
          <w:szCs w:val="24"/>
        </w:rPr>
      </w:pPr>
      <w:r>
        <w:rPr>
          <w:rFonts w:ascii="Courier New" w:hAnsi="Courier New" w:cs="Courier New"/>
          <w:bCs/>
          <w:sz w:val="24"/>
          <w:szCs w:val="24"/>
        </w:rPr>
        <w:t xml:space="preserve">   </w:t>
      </w:r>
      <w:r w:rsidR="007C4990">
        <w:rPr>
          <w:rFonts w:ascii="Courier New" w:hAnsi="Courier New" w:cs="Courier New"/>
          <w:bCs/>
          <w:sz w:val="24"/>
          <w:szCs w:val="24"/>
        </w:rPr>
        <w:t>(</w:t>
      </w:r>
      <w:r w:rsidR="006F15AC" w:rsidRPr="006C2A29">
        <w:rPr>
          <w:rFonts w:ascii="Courier New" w:hAnsi="Courier New" w:cs="Courier New"/>
          <w:bCs/>
          <w:sz w:val="24"/>
          <w:szCs w:val="24"/>
        </w:rPr>
        <w:t>2)</w:t>
      </w:r>
      <w:r w:rsidR="006F15AC" w:rsidRPr="006C2A29">
        <w:rPr>
          <w:rFonts w:ascii="Courier New" w:hAnsi="Courier New" w:cs="Courier New"/>
          <w:sz w:val="24"/>
          <w:szCs w:val="24"/>
        </w:rPr>
        <w:t xml:space="preserve"> If: </w:t>
      </w:r>
    </w:p>
    <w:p w14:paraId="67860D11" w14:textId="745AF295" w:rsidR="006F15AC" w:rsidRPr="006C2A29" w:rsidRDefault="006F15AC" w:rsidP="006C2A29">
      <w:pPr>
        <w:pStyle w:val="ListParagraph"/>
        <w:keepNext/>
        <w:numPr>
          <w:ilvl w:val="0"/>
          <w:numId w:val="27"/>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Boxes 3, 5</w:t>
      </w:r>
      <w:r w:rsidR="007C4990">
        <w:rPr>
          <w:rFonts w:ascii="Courier New" w:hAnsi="Courier New" w:cs="Courier New"/>
          <w:sz w:val="24"/>
          <w:szCs w:val="24"/>
        </w:rPr>
        <w:t>,</w:t>
      </w:r>
      <w:r w:rsidRPr="006C2A29">
        <w:rPr>
          <w:rFonts w:ascii="Courier New" w:hAnsi="Courier New" w:cs="Courier New"/>
          <w:sz w:val="24"/>
          <w:szCs w:val="24"/>
        </w:rPr>
        <w:t xml:space="preserve"> and 7 are all zero, and </w:t>
      </w:r>
    </w:p>
    <w:p w14:paraId="1CB033D9" w14:textId="77777777" w:rsidR="006F15AC" w:rsidRPr="006C2A29" w:rsidRDefault="006F15AC" w:rsidP="006C2A29">
      <w:pPr>
        <w:pStyle w:val="ListParagraph"/>
        <w:keepNext/>
        <w:numPr>
          <w:ilvl w:val="0"/>
          <w:numId w:val="27"/>
        </w:numPr>
        <w:spacing w:after="0" w:line="480" w:lineRule="auto"/>
        <w:ind w:left="1080"/>
        <w:contextualSpacing w:val="0"/>
        <w:rPr>
          <w:rFonts w:ascii="Courier New" w:hAnsi="Courier New" w:cs="Courier New"/>
          <w:sz w:val="24"/>
          <w:szCs w:val="24"/>
        </w:rPr>
      </w:pPr>
      <w:r w:rsidRPr="006C2A29">
        <w:rPr>
          <w:rFonts w:ascii="Courier New" w:hAnsi="Courier New" w:cs="Courier New"/>
          <w:sz w:val="24"/>
          <w:szCs w:val="24"/>
        </w:rPr>
        <w:t xml:space="preserve">Box 1 (Wages, tips and other compensation) is greater than zero, </w:t>
      </w:r>
    </w:p>
    <w:p w14:paraId="2EC1CA2C" w14:textId="77777777" w:rsidR="006F15AC" w:rsidRPr="006C2A29" w:rsidRDefault="006F15AC" w:rsidP="006C2A29">
      <w:pPr>
        <w:keepNext/>
        <w:spacing w:after="0" w:line="480" w:lineRule="auto"/>
        <w:ind w:left="360"/>
        <w:rPr>
          <w:rFonts w:ascii="Courier New" w:hAnsi="Courier New" w:cs="Courier New"/>
          <w:sz w:val="24"/>
          <w:szCs w:val="24"/>
        </w:rPr>
      </w:pPr>
      <w:r w:rsidRPr="006C2A29">
        <w:rPr>
          <w:rFonts w:ascii="Courier New" w:hAnsi="Courier New" w:cs="Courier New"/>
          <w:sz w:val="24"/>
          <w:szCs w:val="24"/>
        </w:rPr>
        <w:t>the data exchange summary amount includes Box 1 (Wages, tips and other compensation).</w:t>
      </w:r>
    </w:p>
    <w:p w14:paraId="5B75D89E" w14:textId="588904F1" w:rsidR="006F15AC" w:rsidRPr="006C2A29" w:rsidRDefault="006C2A29" w:rsidP="006C2A29">
      <w:pPr>
        <w:spacing w:after="0" w:line="480" w:lineRule="auto"/>
        <w:ind w:left="360"/>
        <w:rPr>
          <w:rFonts w:ascii="Courier New" w:hAnsi="Courier New" w:cs="Courier New"/>
          <w:sz w:val="24"/>
          <w:szCs w:val="24"/>
        </w:rPr>
      </w:pPr>
      <w:r>
        <w:rPr>
          <w:rFonts w:ascii="Courier New" w:hAnsi="Courier New" w:cs="Courier New"/>
          <w:bCs/>
          <w:sz w:val="24"/>
          <w:szCs w:val="24"/>
        </w:rPr>
        <w:t xml:space="preserve">   </w:t>
      </w:r>
      <w:r w:rsidR="007C4990">
        <w:rPr>
          <w:rFonts w:ascii="Courier New" w:hAnsi="Courier New" w:cs="Courier New"/>
          <w:bCs/>
          <w:sz w:val="24"/>
          <w:szCs w:val="24"/>
        </w:rPr>
        <w:t>(</w:t>
      </w:r>
      <w:r w:rsidR="006F15AC" w:rsidRPr="006C2A29">
        <w:rPr>
          <w:rFonts w:ascii="Courier New" w:hAnsi="Courier New" w:cs="Courier New"/>
          <w:bCs/>
          <w:sz w:val="24"/>
          <w:szCs w:val="24"/>
        </w:rPr>
        <w:t>3)</w:t>
      </w:r>
      <w:r w:rsidR="006F15AC" w:rsidRPr="006C2A29">
        <w:rPr>
          <w:rFonts w:ascii="Courier New" w:hAnsi="Courier New" w:cs="Courier New"/>
          <w:sz w:val="24"/>
          <w:szCs w:val="24"/>
        </w:rPr>
        <w:t xml:space="preserve"> In addition to the above, the data exchange summary amount also includes:</w:t>
      </w:r>
    </w:p>
    <w:p w14:paraId="53040F0C" w14:textId="77777777" w:rsidR="006F15AC" w:rsidRPr="006C2A29" w:rsidRDefault="006F15AC" w:rsidP="006C2A29">
      <w:pPr>
        <w:pStyle w:val="ListParagraph"/>
        <w:numPr>
          <w:ilvl w:val="0"/>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lastRenderedPageBreak/>
        <w:t xml:space="preserve">W-2 Box 11 (Nonqualified plans) and </w:t>
      </w:r>
    </w:p>
    <w:p w14:paraId="5DC21D8B" w14:textId="77777777" w:rsidR="006F15AC" w:rsidRPr="006C2A29" w:rsidRDefault="006F15AC" w:rsidP="006C2A29">
      <w:pPr>
        <w:pStyle w:val="ListParagraph"/>
        <w:numPr>
          <w:ilvl w:val="0"/>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W-2 Box 12 codes:</w:t>
      </w:r>
    </w:p>
    <w:p w14:paraId="7AF443B2" w14:textId="77777777"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D (Elective deferrals to a section 401(k) cash or deferred arrangement)</w:t>
      </w:r>
    </w:p>
    <w:p w14:paraId="07D5FA94" w14:textId="53AC462C"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E (Elective deferrals under a section 403(b) salary reduction arrangement)</w:t>
      </w:r>
    </w:p>
    <w:p w14:paraId="36FABD6F" w14:textId="77777777"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F (Elective deferrals under a section 408(k)(6) salary reduction SEP)</w:t>
      </w:r>
    </w:p>
    <w:p w14:paraId="4C42119B" w14:textId="77777777"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G (Elective deferrals and employer contributions (including non-elective deferrals) to a section 457(b) deferred compensation plan)</w:t>
      </w:r>
    </w:p>
    <w:p w14:paraId="1DAA4FB0" w14:textId="32ED39AD"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H (Elective deferrals to a section 501(c)(18)(D) tax-exempt organization plan)</w:t>
      </w:r>
    </w:p>
    <w:p w14:paraId="29BFC764" w14:textId="77777777" w:rsidR="006F15AC" w:rsidRPr="006C2A29" w:rsidRDefault="006F15AC" w:rsidP="006C2A29">
      <w:pPr>
        <w:pStyle w:val="ListParagraph"/>
        <w:numPr>
          <w:ilvl w:val="1"/>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W (Employer contributions to your Health Savings Account)</w:t>
      </w:r>
    </w:p>
    <w:p w14:paraId="3D510080" w14:textId="14FD477D" w:rsidR="006F15AC" w:rsidRPr="006C2A29" w:rsidRDefault="006F15AC" w:rsidP="006C2A29">
      <w:pPr>
        <w:pStyle w:val="ListParagraph"/>
        <w:numPr>
          <w:ilvl w:val="0"/>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For SE the data exchange summary amount includes the amount of Self</w:t>
      </w:r>
      <w:r w:rsidR="006C2A29">
        <w:rPr>
          <w:rFonts w:ascii="Courier New" w:hAnsi="Courier New" w:cs="Courier New"/>
          <w:sz w:val="24"/>
          <w:szCs w:val="24"/>
        </w:rPr>
        <w:t>-</w:t>
      </w:r>
      <w:r w:rsidRPr="006C2A29">
        <w:rPr>
          <w:rFonts w:ascii="Courier New" w:hAnsi="Courier New" w:cs="Courier New"/>
          <w:sz w:val="24"/>
          <w:szCs w:val="24"/>
        </w:rPr>
        <w:t>Employment income as determined by IRS.</w:t>
      </w:r>
    </w:p>
    <w:p w14:paraId="678CF8AD" w14:textId="77777777" w:rsidR="006F15AC" w:rsidRPr="006C2A29" w:rsidRDefault="006F15AC" w:rsidP="006C2A29">
      <w:pPr>
        <w:pStyle w:val="ListParagraph"/>
        <w:numPr>
          <w:ilvl w:val="0"/>
          <w:numId w:val="28"/>
        </w:numPr>
        <w:spacing w:after="0" w:line="480" w:lineRule="auto"/>
        <w:contextualSpacing w:val="0"/>
        <w:rPr>
          <w:rFonts w:ascii="Courier New" w:hAnsi="Courier New" w:cs="Courier New"/>
          <w:sz w:val="24"/>
          <w:szCs w:val="24"/>
        </w:rPr>
      </w:pPr>
      <w:r w:rsidRPr="006C2A29">
        <w:rPr>
          <w:rFonts w:ascii="Courier New" w:hAnsi="Courier New" w:cs="Courier New"/>
          <w:sz w:val="24"/>
          <w:szCs w:val="24"/>
        </w:rPr>
        <w:t>Earnings adjustments that were created from a variety of IRS and SSA sources.</w:t>
      </w:r>
      <w:r w:rsidRPr="006C2A29">
        <w:rPr>
          <w:rStyle w:val="FootnoteReference"/>
          <w:rFonts w:ascii="Courier New" w:hAnsi="Courier New" w:cs="Courier New"/>
          <w:sz w:val="24"/>
          <w:szCs w:val="24"/>
        </w:rPr>
        <w:footnoteReference w:id="147"/>
      </w:r>
      <w:r w:rsidRPr="006C2A29">
        <w:rPr>
          <w:rFonts w:ascii="Courier New" w:hAnsi="Courier New" w:cs="Courier New"/>
          <w:sz w:val="24"/>
          <w:szCs w:val="24"/>
        </w:rPr>
        <w:t xml:space="preserve"> </w:t>
      </w:r>
    </w:p>
    <w:p w14:paraId="2724E109" w14:textId="473FFDA1" w:rsidR="006F15AC" w:rsidRPr="006C2A29" w:rsidRDefault="006F15AC" w:rsidP="006C2A29">
      <w:pPr>
        <w:pStyle w:val="ListParagraph"/>
        <w:spacing w:after="0" w:line="480" w:lineRule="auto"/>
        <w:ind w:left="0"/>
        <w:rPr>
          <w:rFonts w:ascii="Courier New" w:hAnsi="Courier New" w:cs="Courier New"/>
          <w:sz w:val="24"/>
          <w:szCs w:val="24"/>
        </w:rPr>
      </w:pPr>
      <w:r w:rsidRPr="007C4990">
        <w:rPr>
          <w:rFonts w:ascii="Courier New" w:hAnsi="Courier New" w:cs="Courier New"/>
          <w:sz w:val="24"/>
          <w:szCs w:val="24"/>
          <w:u w:val="single"/>
        </w:rPr>
        <w:t>Changes</w:t>
      </w:r>
      <w:r w:rsidRPr="006C2A29">
        <w:rPr>
          <w:rFonts w:ascii="Courier New" w:hAnsi="Courier New" w:cs="Courier New"/>
          <w:sz w:val="24"/>
          <w:szCs w:val="24"/>
        </w:rPr>
        <w:t xml:space="preserve">: </w:t>
      </w:r>
      <w:r w:rsidR="006C2A29">
        <w:rPr>
          <w:rFonts w:ascii="Courier New" w:hAnsi="Courier New" w:cs="Courier New"/>
          <w:sz w:val="24"/>
          <w:szCs w:val="24"/>
        </w:rPr>
        <w:t xml:space="preserve"> </w:t>
      </w:r>
      <w:r w:rsidRPr="006C2A29">
        <w:rPr>
          <w:rFonts w:ascii="Courier New" w:hAnsi="Courier New" w:cs="Courier New"/>
          <w:sz w:val="24"/>
          <w:szCs w:val="24"/>
        </w:rPr>
        <w:t xml:space="preserve">None.  </w:t>
      </w:r>
    </w:p>
    <w:p w14:paraId="4269B2A5" w14:textId="14BDBC72"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t>
      </w:r>
      <w:r w:rsidR="00EA0895">
        <w:rPr>
          <w:rFonts w:ascii="Courier New" w:hAnsi="Courier New" w:cs="Courier New"/>
          <w:sz w:val="24"/>
          <w:szCs w:val="24"/>
        </w:rPr>
        <w:t>One</w:t>
      </w:r>
      <w:r w:rsidR="00EA0895" w:rsidRPr="00D140AB">
        <w:rPr>
          <w:rFonts w:ascii="Courier New" w:hAnsi="Courier New" w:cs="Courier New"/>
          <w:sz w:val="24"/>
          <w:szCs w:val="24"/>
        </w:rPr>
        <w:t xml:space="preserve"> </w:t>
      </w:r>
      <w:r w:rsidRPr="00D140AB">
        <w:rPr>
          <w:rFonts w:ascii="Courier New" w:hAnsi="Courier New" w:cs="Courier New"/>
          <w:sz w:val="24"/>
          <w:szCs w:val="24"/>
        </w:rPr>
        <w:t xml:space="preserve">commenter challenged the sufficiency of the SSA MEF data on the ground that many professionals--such as </w:t>
      </w:r>
      <w:r w:rsidRPr="00D140AB">
        <w:rPr>
          <w:rFonts w:ascii="Courier New" w:hAnsi="Courier New" w:cs="Courier New"/>
          <w:sz w:val="24"/>
          <w:szCs w:val="24"/>
        </w:rPr>
        <w:lastRenderedPageBreak/>
        <w:t>graduates of medical and veterinary schools and perhaps other professional programs--work through subchapter S corporations which do not report earnings through Schedule SE.  The commenters stated that the earnings of these individuals would not be included in the MEF.  A commenter was concerned that such professionals receive distributions as well as payments labeled compensation, and income for such individuals as captured in SSA data would not reflect the amount earned that was characterized as distributions rather than as salaries.</w:t>
      </w:r>
    </w:p>
    <w:p w14:paraId="0BA90E7B" w14:textId="6D7F3212" w:rsidR="00664128" w:rsidRPr="00D140AB" w:rsidRDefault="001D71D1" w:rsidP="00C92C54">
      <w:pPr>
        <w:pStyle w:val="NormalWeb"/>
        <w:shd w:val="clear" w:color="auto" w:fill="FFFFFF"/>
        <w:spacing w:before="0" w:beforeAutospacing="0" w:after="0" w:afterAutospacing="0" w:line="480" w:lineRule="auto"/>
        <w:textAlignment w:val="baseline"/>
        <w:rPr>
          <w:rFonts w:ascii="Courier New" w:hAnsi="Courier New" w:cs="Courier New"/>
          <w:color w:val="000000"/>
        </w:rPr>
      </w:pPr>
      <w:r w:rsidRPr="00D140AB">
        <w:rPr>
          <w:rFonts w:ascii="Courier New" w:hAnsi="Courier New" w:cs="Courier New"/>
          <w:u w:val="single"/>
        </w:rPr>
        <w:t>Discussion</w:t>
      </w:r>
      <w:r w:rsidRPr="00D140AB">
        <w:rPr>
          <w:rFonts w:ascii="Courier New" w:hAnsi="Courier New" w:cs="Courier New"/>
        </w:rPr>
        <w:t xml:space="preserve">: </w:t>
      </w:r>
      <w:r w:rsidR="003B4572">
        <w:rPr>
          <w:rFonts w:ascii="Courier New" w:hAnsi="Courier New" w:cs="Courier New"/>
        </w:rPr>
        <w:t xml:space="preserve"> </w:t>
      </w:r>
      <w:r w:rsidR="00664128" w:rsidRPr="00D140AB">
        <w:rPr>
          <w:rFonts w:ascii="Courier New" w:hAnsi="Courier New" w:cs="Courier New"/>
        </w:rPr>
        <w:t>According to IRS guidance, a payment made by a subchapter S corporation</w:t>
      </w:r>
      <w:r w:rsidR="00664128" w:rsidRPr="00D140AB">
        <w:rPr>
          <w:rFonts w:ascii="Courier New" w:hAnsi="Courier New" w:cs="Courier New"/>
          <w:b/>
        </w:rPr>
        <w:t xml:space="preserve"> </w:t>
      </w:r>
      <w:r w:rsidR="00664128" w:rsidRPr="00D140AB">
        <w:rPr>
          <w:rFonts w:ascii="Courier New" w:hAnsi="Courier New" w:cs="Courier New"/>
        </w:rPr>
        <w:t xml:space="preserve">for the performance of </w:t>
      </w:r>
      <w:r w:rsidR="00664128" w:rsidRPr="00D140AB">
        <w:rPr>
          <w:rFonts w:ascii="Courier New" w:hAnsi="Courier New" w:cs="Courier New"/>
          <w:color w:val="000000"/>
          <w:shd w:val="clear" w:color="auto" w:fill="FFFFFF"/>
        </w:rPr>
        <w:t xml:space="preserve">services is generally considered wages.  This is the case regardless of whether the person receiving the payment for the performance of services is an officer or shareholder of </w:t>
      </w:r>
      <w:r w:rsidR="00EA0895">
        <w:rPr>
          <w:rFonts w:ascii="Courier New" w:hAnsi="Courier New" w:cs="Courier New"/>
          <w:color w:val="000000"/>
          <w:shd w:val="clear" w:color="auto" w:fill="FFFFFF"/>
        </w:rPr>
        <w:t>a</w:t>
      </w:r>
      <w:r w:rsidR="00664128" w:rsidRPr="00D140AB">
        <w:rPr>
          <w:rFonts w:ascii="Courier New" w:hAnsi="Courier New" w:cs="Courier New"/>
          <w:color w:val="000000"/>
          <w:shd w:val="clear" w:color="auto" w:fill="FFFFFF"/>
        </w:rPr>
        <w:t xml:space="preserve"> subchapter S corporation.</w:t>
      </w:r>
      <w:r w:rsidR="00664128" w:rsidRPr="00D140AB">
        <w:rPr>
          <w:rStyle w:val="FootnoteReference"/>
          <w:rFonts w:ascii="Courier New" w:hAnsi="Courier New" w:cs="Courier New"/>
          <w:color w:val="000000"/>
        </w:rPr>
        <w:footnoteReference w:id="148"/>
      </w:r>
      <w:r w:rsidR="00A03BFF">
        <w:rPr>
          <w:rFonts w:ascii="Courier New" w:hAnsi="Courier New" w:cs="Courier New"/>
          <w:color w:val="000000"/>
          <w:shd w:val="clear" w:color="auto" w:fill="FFFFFF"/>
        </w:rPr>
        <w:t xml:space="preserve">  </w:t>
      </w:r>
      <w:r w:rsidR="00A03BFF" w:rsidRPr="00D140AB">
        <w:rPr>
          <w:rFonts w:ascii="Courier New" w:hAnsi="Courier New" w:cs="Courier New"/>
          <w:color w:val="000000"/>
          <w:shd w:val="clear" w:color="auto" w:fill="FFFFFF"/>
        </w:rPr>
        <w:t xml:space="preserve">Accordingly, these payments are required to be reported by the subchapter S corporation employer on a Form W-2 filed with the SSA and, therefore, are included in SSA’s MEF.  </w:t>
      </w:r>
    </w:p>
    <w:p w14:paraId="4269B2AF" w14:textId="77777777" w:rsidR="001D71D1" w:rsidRPr="00D140AB" w:rsidRDefault="001D71D1" w:rsidP="00C92C54">
      <w:pPr>
        <w:pStyle w:val="NormalWeb"/>
        <w:shd w:val="clear" w:color="auto" w:fill="FFFFFF"/>
        <w:spacing w:before="0" w:beforeAutospacing="0" w:after="0" w:afterAutospacing="0" w:line="480" w:lineRule="auto"/>
        <w:textAlignment w:val="baseline"/>
        <w:rPr>
          <w:rFonts w:ascii="Courier New" w:hAnsi="Courier New" w:cs="Courier New"/>
          <w:color w:val="000000"/>
        </w:rPr>
      </w:pPr>
      <w:r w:rsidRPr="00D140AB">
        <w:rPr>
          <w:rFonts w:ascii="Courier New" w:hAnsi="Courier New" w:cs="Courier New"/>
          <w:color w:val="000000"/>
          <w:u w:val="single"/>
        </w:rPr>
        <w:t>Changes</w:t>
      </w:r>
      <w:r w:rsidRPr="00D140AB">
        <w:rPr>
          <w:rFonts w:ascii="Courier New" w:hAnsi="Courier New" w:cs="Courier New"/>
          <w:color w:val="000000"/>
        </w:rPr>
        <w:t>:  None.</w:t>
      </w:r>
    </w:p>
    <w:p w14:paraId="4269B2B0" w14:textId="5A5ACF6C"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One commenter stated that SSA data do not include earnings information for graduates who secure employment between the end of the calendar year for which earnings are measured and the start of the next award year, nor do the data include a </w:t>
      </w:r>
      <w:r w:rsidRPr="00D140AB">
        <w:rPr>
          <w:rFonts w:ascii="Courier New" w:hAnsi="Courier New" w:cs="Courier New"/>
          <w:sz w:val="24"/>
          <w:szCs w:val="24"/>
        </w:rPr>
        <w:lastRenderedPageBreak/>
        <w:t xml:space="preserve">methodology for annualizing earnings of borrowers who secure employment toward the end of the calendar year for which earnings are being measured.  </w:t>
      </w:r>
    </w:p>
    <w:p w14:paraId="4269B2B1" w14:textId="1BA0257B"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t>
      </w:r>
      <w:r w:rsidR="000E073F">
        <w:rPr>
          <w:rFonts w:ascii="Courier New" w:hAnsi="Courier New" w:cs="Courier New"/>
          <w:sz w:val="24"/>
          <w:szCs w:val="24"/>
        </w:rPr>
        <w:t xml:space="preserve">In order to measure earnings, one must select a time period for which earnings are counted.  Any earnings measurement period, therefore, must include some earnings and exclude others. </w:t>
      </w:r>
      <w:r w:rsidR="00664128">
        <w:rPr>
          <w:rFonts w:ascii="Courier New" w:hAnsi="Courier New" w:cs="Courier New"/>
          <w:sz w:val="24"/>
          <w:szCs w:val="24"/>
        </w:rPr>
        <w:t xml:space="preserve"> </w:t>
      </w:r>
      <w:r w:rsidR="000E073F">
        <w:rPr>
          <w:rFonts w:ascii="Courier New" w:hAnsi="Courier New" w:cs="Courier New"/>
          <w:sz w:val="24"/>
          <w:szCs w:val="24"/>
        </w:rPr>
        <w:t xml:space="preserve">The objection posed by the commenter is not solved by modifying the earnings measurement period, because any modification </w:t>
      </w:r>
      <w:r w:rsidR="00030F3E">
        <w:rPr>
          <w:rFonts w:ascii="Courier New" w:hAnsi="Courier New" w:cs="Courier New"/>
          <w:sz w:val="24"/>
          <w:szCs w:val="24"/>
        </w:rPr>
        <w:t xml:space="preserve">would </w:t>
      </w:r>
      <w:r w:rsidR="000E073F">
        <w:rPr>
          <w:rFonts w:ascii="Courier New" w:hAnsi="Courier New" w:cs="Courier New"/>
          <w:sz w:val="24"/>
          <w:szCs w:val="24"/>
        </w:rPr>
        <w:t>necessar</w:t>
      </w:r>
      <w:r w:rsidR="00030F3E">
        <w:rPr>
          <w:rFonts w:ascii="Courier New" w:hAnsi="Courier New" w:cs="Courier New"/>
          <w:sz w:val="24"/>
          <w:szCs w:val="24"/>
        </w:rPr>
        <w:t>ily</w:t>
      </w:r>
      <w:r w:rsidR="000E073F">
        <w:rPr>
          <w:rFonts w:ascii="Courier New" w:hAnsi="Courier New" w:cs="Courier New"/>
          <w:sz w:val="24"/>
          <w:szCs w:val="24"/>
        </w:rPr>
        <w:t xml:space="preserve"> exclude some other earnings.  </w:t>
      </w:r>
      <w:r w:rsidRPr="00D140AB">
        <w:rPr>
          <w:rFonts w:ascii="Courier New" w:hAnsi="Courier New" w:cs="Courier New"/>
          <w:sz w:val="24"/>
          <w:szCs w:val="24"/>
        </w:rPr>
        <w:t>If students who complete a program have no earnings for some part of the earnings measurement year</w:t>
      </w:r>
      <w:r w:rsidR="000E073F">
        <w:rPr>
          <w:rFonts w:ascii="Courier New" w:hAnsi="Courier New" w:cs="Courier New"/>
          <w:sz w:val="24"/>
          <w:szCs w:val="24"/>
        </w:rPr>
        <w:t xml:space="preserve"> selected</w:t>
      </w:r>
      <w:r w:rsidRPr="00D140AB">
        <w:rPr>
          <w:rFonts w:ascii="Courier New" w:hAnsi="Courier New" w:cs="Courier New"/>
          <w:sz w:val="24"/>
          <w:szCs w:val="24"/>
        </w:rPr>
        <w:t xml:space="preserve">, we see no reason why that period of unemployment should be disregarded in gathering the earnings data used to assess programs under the D/E rates measure.  This exercise is not only impracticable, but we believe contrary to the objective of the assessment, which is to take into account periods of unemployment in assessing the outcomes for a GE program. </w:t>
      </w:r>
      <w:r w:rsidR="00336C9D">
        <w:rPr>
          <w:rFonts w:ascii="Courier New" w:hAnsi="Courier New" w:cs="Courier New"/>
          <w:sz w:val="24"/>
          <w:szCs w:val="24"/>
        </w:rPr>
        <w:t xml:space="preserve"> </w:t>
      </w:r>
      <w:r w:rsidRPr="00D140AB">
        <w:rPr>
          <w:rFonts w:ascii="Courier New" w:hAnsi="Courier New" w:cs="Courier New"/>
          <w:sz w:val="24"/>
          <w:szCs w:val="24"/>
        </w:rPr>
        <w:t>Annualizing earnings--attributing to a student earnings that the individual did not actually receive or otherwise ignoring periods of unemployment</w:t>
      </w:r>
      <w:r w:rsidR="005219CF" w:rsidRPr="00D140AB">
        <w:rPr>
          <w:rFonts w:ascii="Courier New" w:hAnsi="Courier New" w:cs="Courier New"/>
          <w:sz w:val="24"/>
          <w:szCs w:val="24"/>
        </w:rPr>
        <w:t>--</w:t>
      </w:r>
      <w:r w:rsidRPr="00D140AB">
        <w:rPr>
          <w:rFonts w:ascii="Courier New" w:hAnsi="Courier New" w:cs="Courier New"/>
          <w:sz w:val="24"/>
          <w:szCs w:val="24"/>
        </w:rPr>
        <w:t>would contravene the Department’s goal to assess the actual outcomes of students who complete a GE program.</w:t>
      </w:r>
    </w:p>
    <w:p w14:paraId="4269B2B2" w14:textId="7777777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07DBD42D" w14:textId="1D3429C8" w:rsidR="00EB3FD7" w:rsidRPr="00D140AB" w:rsidRDefault="00EB3FD7" w:rsidP="00C92C54">
      <w:pPr>
        <w:spacing w:after="0" w:line="480" w:lineRule="auto"/>
        <w:rPr>
          <w:rFonts w:ascii="Courier New" w:hAnsi="Courier New" w:cs="Courier New"/>
          <w:sz w:val="24"/>
          <w:szCs w:val="24"/>
        </w:rPr>
      </w:pPr>
      <w:r w:rsidRPr="00277662">
        <w:rPr>
          <w:rFonts w:ascii="Courier New" w:hAnsi="Courier New"/>
          <w:sz w:val="24"/>
          <w:u w:val="single"/>
        </w:rPr>
        <w:t>Comments</w:t>
      </w:r>
      <w:r w:rsidRPr="00D140AB">
        <w:rPr>
          <w:rFonts w:ascii="Courier New" w:hAnsi="Courier New" w:cs="Courier New"/>
          <w:sz w:val="24"/>
          <w:szCs w:val="24"/>
        </w:rPr>
        <w:t xml:space="preserve">: </w:t>
      </w:r>
      <w:r w:rsidR="00664128">
        <w:rPr>
          <w:rFonts w:ascii="Courier New" w:hAnsi="Courier New" w:cs="Courier New"/>
          <w:sz w:val="24"/>
          <w:szCs w:val="24"/>
        </w:rPr>
        <w:t xml:space="preserve"> </w:t>
      </w:r>
      <w:r w:rsidRPr="00D140AB">
        <w:rPr>
          <w:rFonts w:ascii="Courier New" w:hAnsi="Courier New" w:cs="Courier New"/>
          <w:sz w:val="24"/>
          <w:szCs w:val="24"/>
        </w:rPr>
        <w:t>A commenter objected that §668.405(c) improperly imposed on the institution the burden of identifying those</w:t>
      </w:r>
      <w:r w:rsidR="00664128">
        <w:rPr>
          <w:rFonts w:ascii="Courier New" w:hAnsi="Courier New" w:cs="Courier New"/>
          <w:sz w:val="24"/>
          <w:szCs w:val="24"/>
        </w:rPr>
        <w:t xml:space="preserve"> </w:t>
      </w:r>
      <w:r w:rsidR="00664128">
        <w:rPr>
          <w:rFonts w:ascii="Courier New" w:hAnsi="Courier New" w:cs="Courier New"/>
          <w:sz w:val="24"/>
          <w:szCs w:val="24"/>
        </w:rPr>
        <w:lastRenderedPageBreak/>
        <w:t>students completing a program</w:t>
      </w:r>
      <w:r w:rsidRPr="00D140AB">
        <w:rPr>
          <w:rFonts w:ascii="Courier New" w:hAnsi="Courier New" w:cs="Courier New"/>
          <w:sz w:val="24"/>
          <w:szCs w:val="24"/>
        </w:rPr>
        <w:t xml:space="preserve"> who can be excluded under §688.404(e), although the institution would have limited information available to contest their inclusion. </w:t>
      </w:r>
    </w:p>
    <w:p w14:paraId="6A37F54F" w14:textId="2369F107" w:rsidR="00D140AB" w:rsidRPr="00D140AB" w:rsidRDefault="00EB3FD7" w:rsidP="00C92C54">
      <w:pPr>
        <w:spacing w:after="0" w:line="480" w:lineRule="auto"/>
        <w:rPr>
          <w:rFonts w:ascii="Courier New" w:hAnsi="Courier New" w:cs="Courier New"/>
          <w:sz w:val="24"/>
          <w:szCs w:val="24"/>
        </w:rPr>
      </w:pPr>
      <w:r w:rsidRPr="00336C9D">
        <w:rPr>
          <w:rFonts w:ascii="Courier New" w:hAnsi="Courier New" w:cs="Courier New"/>
          <w:sz w:val="24"/>
          <w:szCs w:val="24"/>
          <w:u w:val="single"/>
        </w:rPr>
        <w:t>Discussion</w:t>
      </w:r>
      <w:r w:rsidRPr="00D140AB">
        <w:rPr>
          <w:rFonts w:ascii="Courier New" w:hAnsi="Courier New" w:cs="Courier New"/>
          <w:sz w:val="24"/>
          <w:szCs w:val="24"/>
        </w:rPr>
        <w:t xml:space="preserve">:  The objection misstates the process the Department will follow.  Section 668.405(b)(1)(ii) states that the Department compiles and sends to the institution the list of </w:t>
      </w:r>
      <w:r w:rsidR="00664128">
        <w:rPr>
          <w:rFonts w:ascii="Courier New" w:hAnsi="Courier New" w:cs="Courier New"/>
          <w:sz w:val="24"/>
          <w:szCs w:val="24"/>
        </w:rPr>
        <w:t xml:space="preserve">students who completed </w:t>
      </w:r>
      <w:r w:rsidR="00651748">
        <w:rPr>
          <w:rFonts w:ascii="Courier New" w:hAnsi="Courier New" w:cs="Courier New"/>
          <w:sz w:val="24"/>
          <w:szCs w:val="24"/>
        </w:rPr>
        <w:t>a</w:t>
      </w:r>
      <w:r w:rsidR="00664128">
        <w:rPr>
          <w:rFonts w:ascii="Courier New" w:hAnsi="Courier New" w:cs="Courier New"/>
          <w:sz w:val="24"/>
          <w:szCs w:val="24"/>
        </w:rPr>
        <w:t xml:space="preserve"> program </w:t>
      </w:r>
      <w:r w:rsidR="00651748">
        <w:rPr>
          <w:rFonts w:ascii="Courier New" w:hAnsi="Courier New" w:cs="Courier New"/>
          <w:sz w:val="24"/>
          <w:szCs w:val="24"/>
        </w:rPr>
        <w:t>during</w:t>
      </w:r>
      <w:r w:rsidRPr="00D140AB">
        <w:rPr>
          <w:rFonts w:ascii="Courier New" w:hAnsi="Courier New" w:cs="Courier New"/>
          <w:sz w:val="24"/>
          <w:szCs w:val="24"/>
        </w:rPr>
        <w:t xml:space="preserve"> the cohort </w:t>
      </w:r>
      <w:r w:rsidR="00651748">
        <w:rPr>
          <w:rFonts w:ascii="Courier New" w:hAnsi="Courier New" w:cs="Courier New"/>
          <w:sz w:val="24"/>
          <w:szCs w:val="24"/>
        </w:rPr>
        <w:t xml:space="preserve">period </w:t>
      </w:r>
      <w:r w:rsidRPr="00D140AB">
        <w:rPr>
          <w:rFonts w:ascii="Courier New" w:hAnsi="Courier New" w:cs="Courier New"/>
          <w:sz w:val="24"/>
          <w:szCs w:val="24"/>
        </w:rPr>
        <w:t xml:space="preserve">to be assessed, and indicates on that list those </w:t>
      </w:r>
      <w:r w:rsidR="00664128">
        <w:rPr>
          <w:rFonts w:ascii="Courier New" w:hAnsi="Courier New" w:cs="Courier New"/>
          <w:sz w:val="24"/>
          <w:szCs w:val="24"/>
        </w:rPr>
        <w:t>students</w:t>
      </w:r>
      <w:r w:rsidRPr="00D140AB">
        <w:rPr>
          <w:rFonts w:ascii="Courier New" w:hAnsi="Courier New" w:cs="Courier New"/>
          <w:sz w:val="24"/>
          <w:szCs w:val="24"/>
        </w:rPr>
        <w:t xml:space="preserve"> whom the Department considers likely to qualify for exclusion.  The institution is free to </w:t>
      </w:r>
      <w:r w:rsidR="00D140AB" w:rsidRPr="00D140AB">
        <w:rPr>
          <w:rFonts w:ascii="Courier New" w:hAnsi="Courier New" w:cs="Courier New"/>
          <w:sz w:val="24"/>
          <w:szCs w:val="24"/>
        </w:rPr>
        <w:t>contend that any of th</w:t>
      </w:r>
      <w:r w:rsidR="00664128">
        <w:rPr>
          <w:rFonts w:ascii="Courier New" w:hAnsi="Courier New" w:cs="Courier New"/>
          <w:sz w:val="24"/>
          <w:szCs w:val="24"/>
        </w:rPr>
        <w:t>ose individuals</w:t>
      </w:r>
      <w:r w:rsidR="00D140AB" w:rsidRPr="00D140AB">
        <w:rPr>
          <w:rFonts w:ascii="Courier New" w:hAnsi="Courier New" w:cs="Courier New"/>
          <w:sz w:val="24"/>
          <w:szCs w:val="24"/>
        </w:rPr>
        <w:t xml:space="preserve"> should be removed for any reason, including qualifying for exclusion under §668.404(e)</w:t>
      </w:r>
      <w:r w:rsidR="00664128">
        <w:rPr>
          <w:rFonts w:ascii="Courier New" w:hAnsi="Courier New" w:cs="Courier New"/>
          <w:sz w:val="24"/>
          <w:szCs w:val="24"/>
        </w:rPr>
        <w:t>;</w:t>
      </w:r>
      <w:r w:rsidR="00D140AB" w:rsidRPr="00D140AB">
        <w:rPr>
          <w:rFonts w:ascii="Courier New" w:hAnsi="Courier New" w:cs="Courier New"/>
          <w:sz w:val="24"/>
          <w:szCs w:val="24"/>
        </w:rPr>
        <w:t xml:space="preserve"> that an individual </w:t>
      </w:r>
      <w:r w:rsidR="00664128">
        <w:rPr>
          <w:rFonts w:ascii="Courier New" w:hAnsi="Courier New" w:cs="Courier New"/>
          <w:sz w:val="24"/>
          <w:szCs w:val="24"/>
        </w:rPr>
        <w:t xml:space="preserve">designated to be excluded from </w:t>
      </w:r>
      <w:r w:rsidR="00D140AB" w:rsidRPr="00D140AB">
        <w:rPr>
          <w:rFonts w:ascii="Courier New" w:hAnsi="Courier New" w:cs="Courier New"/>
          <w:sz w:val="24"/>
          <w:szCs w:val="24"/>
        </w:rPr>
        <w:t>the list should be included</w:t>
      </w:r>
      <w:r w:rsidR="00AA6A71">
        <w:rPr>
          <w:rFonts w:ascii="Courier New" w:hAnsi="Courier New" w:cs="Courier New"/>
          <w:sz w:val="24"/>
          <w:szCs w:val="24"/>
        </w:rPr>
        <w:t>;</w:t>
      </w:r>
      <w:r w:rsidR="00D140AB" w:rsidRPr="00D140AB">
        <w:rPr>
          <w:rFonts w:ascii="Courier New" w:hAnsi="Courier New" w:cs="Courier New"/>
          <w:sz w:val="24"/>
          <w:szCs w:val="24"/>
        </w:rPr>
        <w:t xml:space="preserve"> and that an individual not on the list should be included.  The institution has access to NSLDS to gather information relevant to the challenges, and can use information gathered directly from </w:t>
      </w:r>
      <w:r w:rsidR="00664128">
        <w:rPr>
          <w:rFonts w:ascii="Courier New" w:hAnsi="Courier New" w:cs="Courier New"/>
          <w:sz w:val="24"/>
          <w:szCs w:val="24"/>
        </w:rPr>
        <w:t xml:space="preserve">students completing the program </w:t>
      </w:r>
      <w:r w:rsidR="00D140AB" w:rsidRPr="00D140AB">
        <w:rPr>
          <w:rFonts w:ascii="Courier New" w:hAnsi="Courier New" w:cs="Courier New"/>
          <w:sz w:val="24"/>
          <w:szCs w:val="24"/>
        </w:rPr>
        <w:t xml:space="preserve">and its own records to support a challenge.  We note that the assessment occurs at the end of an institutional cohort default rate period, during which </w:t>
      </w:r>
      <w:r w:rsidR="00664128">
        <w:rPr>
          <w:rFonts w:ascii="Courier New" w:hAnsi="Courier New" w:cs="Courier New"/>
          <w:sz w:val="24"/>
          <w:szCs w:val="24"/>
        </w:rPr>
        <w:t>an</w:t>
      </w:r>
      <w:r w:rsidR="00D140AB" w:rsidRPr="00D140AB">
        <w:rPr>
          <w:rFonts w:ascii="Courier New" w:hAnsi="Courier New" w:cs="Courier New"/>
          <w:sz w:val="24"/>
          <w:szCs w:val="24"/>
        </w:rPr>
        <w:t xml:space="preserve"> institution </w:t>
      </w:r>
      <w:r w:rsidR="00664128">
        <w:rPr>
          <w:rFonts w:ascii="Courier New" w:hAnsi="Courier New" w:cs="Courier New"/>
          <w:sz w:val="24"/>
          <w:szCs w:val="24"/>
        </w:rPr>
        <w:t>is</w:t>
      </w:r>
      <w:r w:rsidR="00D140AB" w:rsidRPr="00D140AB">
        <w:rPr>
          <w:rFonts w:ascii="Courier New" w:hAnsi="Courier New" w:cs="Courier New"/>
          <w:sz w:val="24"/>
          <w:szCs w:val="24"/>
        </w:rPr>
        <w:t xml:space="preserve"> expected to maintain sufficient contact with all </w:t>
      </w:r>
      <w:r w:rsidR="00664128">
        <w:rPr>
          <w:rFonts w:ascii="Courier New" w:hAnsi="Courier New" w:cs="Courier New"/>
          <w:sz w:val="24"/>
          <w:szCs w:val="24"/>
        </w:rPr>
        <w:t xml:space="preserve">of </w:t>
      </w:r>
      <w:r w:rsidR="00D140AB" w:rsidRPr="00D140AB">
        <w:rPr>
          <w:rFonts w:ascii="Courier New" w:hAnsi="Courier New" w:cs="Courier New"/>
          <w:sz w:val="24"/>
          <w:szCs w:val="24"/>
        </w:rPr>
        <w:t xml:space="preserve">its former students </w:t>
      </w:r>
      <w:r w:rsidR="00664128">
        <w:rPr>
          <w:rFonts w:ascii="Courier New" w:hAnsi="Courier New" w:cs="Courier New"/>
          <w:sz w:val="24"/>
          <w:szCs w:val="24"/>
        </w:rPr>
        <w:t xml:space="preserve">so that </w:t>
      </w:r>
      <w:r w:rsidR="00D140AB" w:rsidRPr="00D140AB">
        <w:rPr>
          <w:rFonts w:ascii="Courier New" w:hAnsi="Courier New" w:cs="Courier New"/>
          <w:sz w:val="24"/>
          <w:szCs w:val="24"/>
        </w:rPr>
        <w:t xml:space="preserve">it </w:t>
      </w:r>
      <w:r w:rsidR="00664128">
        <w:rPr>
          <w:rFonts w:ascii="Courier New" w:hAnsi="Courier New" w:cs="Courier New"/>
          <w:sz w:val="24"/>
          <w:szCs w:val="24"/>
        </w:rPr>
        <w:t>can</w:t>
      </w:r>
      <w:r w:rsidR="00D140AB" w:rsidRPr="00D140AB">
        <w:rPr>
          <w:rFonts w:ascii="Courier New" w:hAnsi="Courier New" w:cs="Courier New"/>
          <w:sz w:val="24"/>
          <w:szCs w:val="24"/>
        </w:rPr>
        <w:t xml:space="preserve"> assist those who may not be meeting their loan repayment obligations.  Using those contacts to gather relevant information on those who may qualify for exclusion poses little added burden on the institution.</w:t>
      </w:r>
    </w:p>
    <w:p w14:paraId="68C411B3" w14:textId="0502A364" w:rsidR="00EB3FD7" w:rsidRPr="00D140AB" w:rsidRDefault="00D140AB" w:rsidP="00C92C54">
      <w:pPr>
        <w:spacing w:after="0" w:line="480" w:lineRule="auto"/>
        <w:rPr>
          <w:rFonts w:ascii="Courier New" w:hAnsi="Courier New" w:cs="Courier New"/>
          <w:sz w:val="24"/>
          <w:szCs w:val="24"/>
        </w:rPr>
      </w:pPr>
      <w:r w:rsidRPr="00C50831">
        <w:rPr>
          <w:rFonts w:ascii="Courier New" w:hAnsi="Courier New"/>
          <w:sz w:val="24"/>
          <w:u w:val="single"/>
        </w:rPr>
        <w:lastRenderedPageBreak/>
        <w:t>Changes</w:t>
      </w:r>
      <w:r w:rsidRPr="00D140AB">
        <w:rPr>
          <w:rFonts w:ascii="Courier New" w:hAnsi="Courier New" w:cs="Courier New"/>
          <w:sz w:val="24"/>
          <w:szCs w:val="24"/>
        </w:rPr>
        <w:t xml:space="preserve">: </w:t>
      </w:r>
      <w:r w:rsidR="00664128">
        <w:rPr>
          <w:rFonts w:ascii="Courier New" w:hAnsi="Courier New" w:cs="Courier New"/>
          <w:sz w:val="24"/>
          <w:szCs w:val="24"/>
        </w:rPr>
        <w:t xml:space="preserve"> </w:t>
      </w:r>
      <w:r w:rsidRPr="00D140AB">
        <w:rPr>
          <w:rFonts w:ascii="Courier New" w:hAnsi="Courier New" w:cs="Courier New"/>
          <w:sz w:val="24"/>
          <w:szCs w:val="24"/>
        </w:rPr>
        <w:t xml:space="preserve">None.  </w:t>
      </w:r>
      <w:r w:rsidR="00EB3FD7" w:rsidRPr="00D140AB">
        <w:rPr>
          <w:rFonts w:ascii="Courier New" w:hAnsi="Courier New" w:cs="Courier New"/>
          <w:sz w:val="24"/>
          <w:szCs w:val="24"/>
        </w:rPr>
        <w:t xml:space="preserve"> </w:t>
      </w:r>
    </w:p>
    <w:p w14:paraId="4269B2B3" w14:textId="32506BD1"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Some commenters contended that using SSA earnings data contravene</w:t>
      </w:r>
      <w:r w:rsidR="00B00B16">
        <w:rPr>
          <w:rFonts w:ascii="Courier New" w:hAnsi="Courier New" w:cs="Courier New"/>
          <w:sz w:val="24"/>
          <w:szCs w:val="24"/>
        </w:rPr>
        <w:t>s</w:t>
      </w:r>
      <w:r w:rsidRPr="00D140AB">
        <w:rPr>
          <w:rFonts w:ascii="Courier New" w:hAnsi="Courier New" w:cs="Courier New"/>
          <w:sz w:val="24"/>
          <w:szCs w:val="24"/>
        </w:rPr>
        <w:t xml:space="preserve"> the stated objective of the regulations because SSA earnings data capture all earnings regardless of whether the earnings were in an occupation related to the training provided by the program.  </w:t>
      </w:r>
    </w:p>
    <w:p w14:paraId="4269B2B4" w14:textId="5244F556"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While we appreciate the commenter’s interest in understanding whether the earnings of students who have completed a program are linked with the training provided by their respective programs, the Department has no way of obtaining this information because SSA cannot disclose the kind of individual tax return data that would identify even the employer who reported the earnings, much less the occupation for which the wages were paid.  The regulations are built on the inference that ear</w:t>
      </w:r>
      <w:r w:rsidRPr="0030166E">
        <w:rPr>
          <w:rFonts w:ascii="Courier New" w:hAnsi="Courier New" w:cs="Courier New"/>
          <w:sz w:val="24"/>
          <w:szCs w:val="24"/>
        </w:rPr>
        <w:t>nings</w:t>
      </w:r>
      <w:r w:rsidRPr="00D140AB">
        <w:rPr>
          <w:rFonts w:ascii="Courier New" w:hAnsi="Courier New" w:cs="Courier New"/>
          <w:sz w:val="24"/>
          <w:szCs w:val="24"/>
        </w:rPr>
        <w:t xml:space="preserve"> in the period measured are reasonably considered to be the product of the quality of the GE program that the wage earner completed.  The training is presumed to prepare an individual for gainful employment in a specific occupation, but it is not unreasonable to attribute gainful employment achieved in a different occupation so shortly after completion of a GE program to be the product of that training.  Although there is no practical way to directly connect a particular GE program with earnings achieved relatively soon after completion, the inference that the earnings are the </w:t>
      </w:r>
      <w:r w:rsidRPr="00D140AB">
        <w:rPr>
          <w:rFonts w:ascii="Courier New" w:hAnsi="Courier New" w:cs="Courier New"/>
          <w:sz w:val="24"/>
          <w:szCs w:val="24"/>
        </w:rPr>
        <w:lastRenderedPageBreak/>
        <w:t xml:space="preserve">outcome of the training is sufficiently compelling that we do not consider further efforts, even if data were available, to be warranted. </w:t>
      </w:r>
    </w:p>
    <w:p w14:paraId="4269B2B5" w14:textId="77777777" w:rsidR="001D71D1" w:rsidRPr="00D140AB" w:rsidRDefault="001D71D1" w:rsidP="00C92C54">
      <w:pPr>
        <w:spacing w:after="0" w:line="480" w:lineRule="auto"/>
        <w:rPr>
          <w:rFonts w:ascii="Courier New" w:hAnsi="Courier New" w:cs="Courier New"/>
          <w:sz w:val="24"/>
          <w:szCs w:val="24"/>
          <w:u w:val="single"/>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2B6" w14:textId="108E680A"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also criticized the Department’s proposal to use SSA data because SSA </w:t>
      </w:r>
      <w:r w:rsidR="002A7110">
        <w:rPr>
          <w:rFonts w:ascii="Courier New" w:hAnsi="Courier New" w:cs="Courier New"/>
          <w:sz w:val="24"/>
          <w:szCs w:val="24"/>
        </w:rPr>
        <w:t>assigns (“</w:t>
      </w:r>
      <w:r w:rsidRPr="00D140AB">
        <w:rPr>
          <w:rFonts w:ascii="Courier New" w:hAnsi="Courier New" w:cs="Courier New"/>
          <w:sz w:val="24"/>
          <w:szCs w:val="24"/>
        </w:rPr>
        <w:t>imputes</w:t>
      </w:r>
      <w:r w:rsidR="002A7110">
        <w:rPr>
          <w:rFonts w:ascii="Courier New" w:hAnsi="Courier New" w:cs="Courier New"/>
          <w:sz w:val="24"/>
          <w:szCs w:val="24"/>
        </w:rPr>
        <w:t>”)</w:t>
      </w:r>
      <w:r w:rsidRPr="00D140AB">
        <w:rPr>
          <w:rFonts w:ascii="Courier New" w:hAnsi="Courier New" w:cs="Courier New"/>
          <w:sz w:val="24"/>
          <w:szCs w:val="24"/>
        </w:rPr>
        <w:t xml:space="preserve"> zero earnings to all those individuals for whom it does not receive an earnings report that correctly identifies the wage earner and correctly lists the individual’s SSN.  The commenters said that earnings reported for these individuals are placed in a suspense file.  The commenters cited various reports critiquing the adequacy of efforts to eliminate these mistakes and stated that the scale of these errors suggests that a significant amount of actual earnings would be disregarded because of mistakes by employers on earnings reports. </w:t>
      </w:r>
    </w:p>
    <w:p w14:paraId="4269B2B7" w14:textId="05EC4EC7" w:rsidR="001D71D1" w:rsidRPr="00D140AB" w:rsidRDefault="001D71D1" w:rsidP="00C92C54">
      <w:pPr>
        <w:pStyle w:val="PlainText"/>
        <w:spacing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We acknowledge that some earnings are reported but cannot be associated with individuals whose accounts are included in the MEF database, but do not consider the magnitude of the omitted earnings to vitiate the general accuracy of the earnings data contained in the MEF.</w:t>
      </w:r>
      <w:r w:rsidRPr="00BA22BD">
        <w:rPr>
          <w:rStyle w:val="FootnoteReference"/>
          <w:rFonts w:ascii="Courier New" w:hAnsi="Courier New"/>
          <w:sz w:val="24"/>
        </w:rPr>
        <w:t xml:space="preserve"> </w:t>
      </w:r>
      <w:r w:rsidR="00BA22BD">
        <w:rPr>
          <w:rStyle w:val="FootnoteReference"/>
          <w:rFonts w:ascii="Courier New" w:hAnsi="Courier New"/>
          <w:sz w:val="24"/>
          <w:szCs w:val="24"/>
        </w:rPr>
        <w:footnoteReference w:id="149"/>
      </w:r>
      <w:r w:rsidRPr="00D140AB">
        <w:rPr>
          <w:rFonts w:ascii="Courier New" w:hAnsi="Courier New" w:cs="Courier New"/>
          <w:sz w:val="24"/>
          <w:szCs w:val="24"/>
        </w:rPr>
        <w:t xml:space="preserve">  The </w:t>
      </w:r>
      <w:r w:rsidRPr="007F7F0E">
        <w:rPr>
          <w:rFonts w:ascii="Courier New" w:hAnsi="Courier New"/>
          <w:sz w:val="24"/>
        </w:rPr>
        <w:t>HHS OIG</w:t>
      </w:r>
      <w:r w:rsidRPr="00D140AB">
        <w:rPr>
          <w:rFonts w:ascii="Courier New" w:hAnsi="Courier New" w:cs="Courier New"/>
          <w:sz w:val="24"/>
          <w:szCs w:val="24"/>
        </w:rPr>
        <w:t xml:space="preserve"> report t</w:t>
      </w:r>
      <w:r w:rsidR="002A7110">
        <w:rPr>
          <w:rFonts w:ascii="Courier New" w:hAnsi="Courier New" w:cs="Courier New"/>
          <w:sz w:val="24"/>
          <w:szCs w:val="24"/>
        </w:rPr>
        <w:t xml:space="preserve">o </w:t>
      </w:r>
      <w:r w:rsidR="002A7110">
        <w:rPr>
          <w:rFonts w:ascii="Courier New" w:hAnsi="Courier New" w:cs="Courier New"/>
          <w:sz w:val="24"/>
          <w:szCs w:val="24"/>
        </w:rPr>
        <w:lastRenderedPageBreak/>
        <w:t xml:space="preserve">which </w:t>
      </w:r>
      <w:r w:rsidRPr="00D140AB">
        <w:rPr>
          <w:rFonts w:ascii="Courier New" w:hAnsi="Courier New" w:cs="Courier New"/>
          <w:sz w:val="24"/>
          <w:szCs w:val="24"/>
        </w:rPr>
        <w:t>the commenter refers regarding these mismatches cites the employment of unauthorized non-citizens as a major cause of mismatches.</w:t>
      </w:r>
      <w:r w:rsidRPr="00D140AB">
        <w:rPr>
          <w:rStyle w:val="FootnoteReference"/>
          <w:rFonts w:ascii="Courier New" w:hAnsi="Courier New" w:cs="Courier New"/>
          <w:sz w:val="24"/>
          <w:szCs w:val="24"/>
        </w:rPr>
        <w:footnoteReference w:id="150"/>
      </w:r>
      <w:r w:rsidRPr="00D140AB">
        <w:rPr>
          <w:rFonts w:ascii="Courier New" w:hAnsi="Courier New" w:cs="Courier New"/>
          <w:sz w:val="24"/>
          <w:szCs w:val="24"/>
        </w:rPr>
        <w:t xml:space="preserve">  Unauthorized non-citizens are not eligible for Federal student financial assistance, and the Department routine</w:t>
      </w:r>
      <w:r w:rsidR="005219CF" w:rsidRPr="00D140AB">
        <w:rPr>
          <w:rFonts w:ascii="Courier New" w:hAnsi="Courier New" w:cs="Courier New"/>
          <w:sz w:val="24"/>
          <w:szCs w:val="24"/>
        </w:rPr>
        <w:t>ly</w:t>
      </w:r>
      <w:r w:rsidRPr="00D140AB">
        <w:rPr>
          <w:rFonts w:ascii="Courier New" w:hAnsi="Courier New" w:cs="Courier New"/>
          <w:sz w:val="24"/>
          <w:szCs w:val="24"/>
        </w:rPr>
        <w:t xml:space="preserve"> scrutin</w:t>
      </w:r>
      <w:r w:rsidR="005219CF" w:rsidRPr="00D140AB">
        <w:rPr>
          <w:rFonts w:ascii="Courier New" w:hAnsi="Courier New" w:cs="Courier New"/>
          <w:sz w:val="24"/>
          <w:szCs w:val="24"/>
        </w:rPr>
        <w:t>izes</w:t>
      </w:r>
      <w:r w:rsidRPr="00D140AB">
        <w:rPr>
          <w:rFonts w:ascii="Courier New" w:hAnsi="Courier New" w:cs="Courier New"/>
          <w:sz w:val="24"/>
          <w:szCs w:val="24"/>
        </w:rPr>
        <w:t xml:space="preserve"> applicants’ immigration status to reduce the likelihood that such individuals will receive title IV, HEA program funds.  </w:t>
      </w:r>
      <w:r w:rsidR="00D5742D" w:rsidRPr="00B04F63">
        <w:rPr>
          <w:rFonts w:ascii="Courier New" w:hAnsi="Courier New" w:cs="Courier New"/>
          <w:sz w:val="24"/>
          <w:szCs w:val="24"/>
          <w:u w:val="single"/>
        </w:rPr>
        <w:t>See</w:t>
      </w:r>
      <w:r w:rsidR="00D5742D">
        <w:rPr>
          <w:rFonts w:ascii="Courier New" w:hAnsi="Courier New" w:cs="Courier New"/>
          <w:sz w:val="24"/>
          <w:szCs w:val="24"/>
        </w:rPr>
        <w:t xml:space="preserve"> </w:t>
      </w:r>
      <w:r w:rsidRPr="00D140AB">
        <w:rPr>
          <w:rFonts w:ascii="Courier New" w:hAnsi="Courier New" w:cs="Courier New"/>
          <w:sz w:val="24"/>
          <w:szCs w:val="24"/>
        </w:rPr>
        <w:t xml:space="preserve">20 U.S.C. 1091(g).  Institutions themselves are in a position to identify instances in which unauthorized non-citizens may seek aid.  While we recognize that mismatching of earnings occurs, we believe that these restrictions on student eligibility reduce the likelihood that mismatches will affect the accuracy of the MEF earnings data on the population of students who have enrolled in GE programs and whose earnings data are provided to the Department by SSA. </w:t>
      </w:r>
    </w:p>
    <w:p w14:paraId="4269B2B8" w14:textId="545589E2" w:rsidR="001D71D1" w:rsidRPr="00D140AB" w:rsidRDefault="00B04F63" w:rsidP="00C92C54">
      <w:pPr>
        <w:pStyle w:val="PlainText"/>
        <w:spacing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In addition, we believe that the frequency and amount of mismatched earnings </w:t>
      </w:r>
      <w:r w:rsidR="005219CF" w:rsidRPr="00D140AB">
        <w:rPr>
          <w:rFonts w:ascii="Courier New" w:hAnsi="Courier New" w:cs="Courier New"/>
          <w:sz w:val="24"/>
          <w:szCs w:val="24"/>
        </w:rPr>
        <w:t xml:space="preserve">are </w:t>
      </w:r>
      <w:r w:rsidR="001D71D1" w:rsidRPr="00D140AB">
        <w:rPr>
          <w:rFonts w:ascii="Courier New" w:hAnsi="Courier New" w:cs="Courier New"/>
          <w:sz w:val="24"/>
          <w:szCs w:val="24"/>
        </w:rPr>
        <w:t xml:space="preserve">decreasing.  SSA moves reported earnings into the suspense file when the individual’s name and SSN combination do not match against SSA’s Numident file.  The suspense file does grow over the years; however, SSA performs </w:t>
      </w:r>
      <w:r w:rsidR="001D71D1" w:rsidRPr="00D140AB">
        <w:rPr>
          <w:rFonts w:ascii="Courier New" w:hAnsi="Courier New" w:cs="Courier New"/>
          <w:sz w:val="24"/>
          <w:szCs w:val="24"/>
        </w:rPr>
        <w:lastRenderedPageBreak/>
        <w:t xml:space="preserve">numerous reinstate processes throughout the tax year that matches previously unmatched records to record the earnings on the proper record.  These efforts have resulted in a substantial decrease in the outstanding amounts in the suspense file over the most recent five years for which complete data </w:t>
      </w:r>
      <w:r w:rsidR="005219CF" w:rsidRPr="00D140AB">
        <w:rPr>
          <w:rFonts w:ascii="Courier New" w:hAnsi="Courier New" w:cs="Courier New"/>
          <w:sz w:val="24"/>
          <w:szCs w:val="24"/>
        </w:rPr>
        <w:t>are</w:t>
      </w:r>
      <w:r w:rsidR="001D71D1" w:rsidRPr="00D140AB">
        <w:rPr>
          <w:rFonts w:ascii="Courier New" w:hAnsi="Courier New" w:cs="Courier New"/>
          <w:sz w:val="24"/>
          <w:szCs w:val="24"/>
        </w:rPr>
        <w:t xml:space="preserve"> available from SSA, as indicated by the following chart.</w:t>
      </w:r>
      <w:r w:rsidR="001D71D1" w:rsidRPr="00D140AB">
        <w:rPr>
          <w:rStyle w:val="FootnoteReference"/>
          <w:rFonts w:ascii="Courier New" w:hAnsi="Courier New" w:cs="Courier New"/>
          <w:sz w:val="24"/>
          <w:szCs w:val="24"/>
        </w:rPr>
        <w:footnoteReference w:id="151"/>
      </w:r>
      <w:r w:rsidR="001D71D1" w:rsidRPr="00D140AB">
        <w:rPr>
          <w:rFonts w:ascii="Courier New" w:hAnsi="Courier New" w:cs="Courier New"/>
          <w:sz w:val="24"/>
          <w:szCs w:val="24"/>
        </w:rPr>
        <w:t xml:space="preserve">  </w:t>
      </w:r>
    </w:p>
    <w:tbl>
      <w:tblPr>
        <w:tblW w:w="5260" w:type="dxa"/>
        <w:tblInd w:w="93" w:type="dxa"/>
        <w:tblLook w:val="00A0" w:firstRow="1" w:lastRow="0" w:firstColumn="1" w:lastColumn="0" w:noHBand="0" w:noVBand="0"/>
      </w:tblPr>
      <w:tblGrid>
        <w:gridCol w:w="1513"/>
        <w:gridCol w:w="3529"/>
        <w:gridCol w:w="2377"/>
      </w:tblGrid>
      <w:tr w:rsidR="00B72D7C" w:rsidRPr="00D140AB" w14:paraId="18453619" w14:textId="77777777" w:rsidTr="003E6E0C">
        <w:trPr>
          <w:trHeight w:val="300"/>
        </w:trPr>
        <w:tc>
          <w:tcPr>
            <w:tcW w:w="1300" w:type="dxa"/>
            <w:tcBorders>
              <w:top w:val="single" w:sz="4" w:space="0" w:color="auto"/>
              <w:left w:val="single" w:sz="4" w:space="0" w:color="auto"/>
              <w:bottom w:val="single" w:sz="4" w:space="0" w:color="auto"/>
              <w:right w:val="single" w:sz="4" w:space="0" w:color="auto"/>
            </w:tcBorders>
            <w:noWrap/>
            <w:vAlign w:val="bottom"/>
          </w:tcPr>
          <w:p w14:paraId="557540D2" w14:textId="77777777" w:rsidR="00B72D7C" w:rsidRPr="00D140AB" w:rsidRDefault="00B72D7C" w:rsidP="00DB3ED1">
            <w:pPr>
              <w:spacing w:after="0" w:line="480" w:lineRule="auto"/>
              <w:ind w:left="720"/>
              <w:jc w:val="center"/>
              <w:rPr>
                <w:rFonts w:ascii="Courier New" w:hAnsi="Courier New" w:cs="Courier New"/>
                <w:sz w:val="24"/>
                <w:szCs w:val="24"/>
              </w:rPr>
            </w:pPr>
          </w:p>
        </w:tc>
        <w:tc>
          <w:tcPr>
            <w:tcW w:w="2240" w:type="dxa"/>
            <w:tcBorders>
              <w:top w:val="single" w:sz="4" w:space="0" w:color="auto"/>
              <w:left w:val="nil"/>
              <w:bottom w:val="single" w:sz="4" w:space="0" w:color="auto"/>
              <w:right w:val="single" w:sz="4" w:space="0" w:color="auto"/>
            </w:tcBorders>
            <w:vAlign w:val="bottom"/>
          </w:tcPr>
          <w:p w14:paraId="7C3CC8A7" w14:textId="77777777" w:rsidR="00B72D7C" w:rsidRPr="00D140AB" w:rsidRDefault="00B72D7C" w:rsidP="00B72D7C">
            <w:pPr>
              <w:spacing w:after="0" w:line="240" w:lineRule="auto"/>
              <w:ind w:left="720"/>
              <w:jc w:val="center"/>
              <w:rPr>
                <w:rFonts w:ascii="Courier New" w:hAnsi="Courier New" w:cs="Courier New"/>
                <w:sz w:val="24"/>
                <w:szCs w:val="24"/>
              </w:rPr>
            </w:pPr>
            <w:r w:rsidRPr="00D140AB">
              <w:rPr>
                <w:rFonts w:ascii="Courier New" w:hAnsi="Courier New" w:cs="Courier New"/>
                <w:sz w:val="24"/>
                <w:szCs w:val="24"/>
              </w:rPr>
              <w:t>Earnings Suspense File</w:t>
            </w:r>
          </w:p>
          <w:p w14:paraId="0E448C70" w14:textId="77777777" w:rsidR="00B72D7C" w:rsidRPr="00D140AB" w:rsidRDefault="00B72D7C" w:rsidP="00DB3ED1">
            <w:pPr>
              <w:spacing w:after="0" w:line="240" w:lineRule="auto"/>
              <w:ind w:left="720"/>
              <w:jc w:val="center"/>
              <w:rPr>
                <w:rFonts w:ascii="Courier New" w:hAnsi="Courier New" w:cs="Courier New"/>
                <w:sz w:val="24"/>
                <w:szCs w:val="24"/>
              </w:rPr>
            </w:pPr>
          </w:p>
        </w:tc>
        <w:tc>
          <w:tcPr>
            <w:tcW w:w="1720" w:type="dxa"/>
            <w:tcBorders>
              <w:top w:val="single" w:sz="4" w:space="0" w:color="auto"/>
              <w:left w:val="nil"/>
              <w:bottom w:val="single" w:sz="4" w:space="0" w:color="auto"/>
              <w:right w:val="single" w:sz="4" w:space="0" w:color="auto"/>
            </w:tcBorders>
            <w:vAlign w:val="bottom"/>
          </w:tcPr>
          <w:p w14:paraId="6A2AD018" w14:textId="0A31C2BC" w:rsidR="00B72D7C" w:rsidRPr="00D140AB" w:rsidRDefault="00B72D7C" w:rsidP="00B72D7C">
            <w:pPr>
              <w:spacing w:after="0" w:line="240" w:lineRule="auto"/>
              <w:ind w:left="720"/>
              <w:jc w:val="center"/>
              <w:rPr>
                <w:rFonts w:ascii="Courier New" w:hAnsi="Courier New" w:cs="Courier New"/>
                <w:sz w:val="24"/>
                <w:szCs w:val="24"/>
              </w:rPr>
            </w:pPr>
            <w:r w:rsidRPr="00D140AB">
              <w:rPr>
                <w:rFonts w:ascii="Courier New" w:hAnsi="Courier New" w:cs="Courier New"/>
                <w:sz w:val="24"/>
                <w:szCs w:val="24"/>
              </w:rPr>
              <w:t xml:space="preserve">Number of </w:t>
            </w:r>
            <w:r>
              <w:rPr>
                <w:rFonts w:ascii="Courier New" w:hAnsi="Courier New" w:cs="Courier New"/>
                <w:sz w:val="24"/>
                <w:szCs w:val="24"/>
              </w:rPr>
              <w:t>M</w:t>
            </w:r>
            <w:r w:rsidRPr="00D140AB">
              <w:rPr>
                <w:rFonts w:ascii="Courier New" w:hAnsi="Courier New" w:cs="Courier New"/>
                <w:sz w:val="24"/>
                <w:szCs w:val="24"/>
              </w:rPr>
              <w:t xml:space="preserve">ismatched </w:t>
            </w:r>
          </w:p>
          <w:p w14:paraId="077E0FD3" w14:textId="05437449" w:rsidR="00B72D7C" w:rsidRPr="00D140AB" w:rsidRDefault="00B72D7C" w:rsidP="00B72D7C">
            <w:pPr>
              <w:spacing w:after="0" w:line="240" w:lineRule="auto"/>
              <w:ind w:left="720"/>
              <w:jc w:val="center"/>
              <w:rPr>
                <w:rFonts w:ascii="Courier New" w:hAnsi="Courier New" w:cs="Courier New"/>
                <w:sz w:val="24"/>
                <w:szCs w:val="24"/>
              </w:rPr>
            </w:pPr>
            <w:r w:rsidRPr="00D140AB">
              <w:rPr>
                <w:rFonts w:ascii="Courier New" w:hAnsi="Courier New" w:cs="Courier New"/>
                <w:sz w:val="24"/>
                <w:szCs w:val="24"/>
              </w:rPr>
              <w:t xml:space="preserve">W-2 </w:t>
            </w:r>
            <w:r>
              <w:rPr>
                <w:rFonts w:ascii="Courier New" w:hAnsi="Courier New" w:cs="Courier New"/>
                <w:sz w:val="24"/>
                <w:szCs w:val="24"/>
              </w:rPr>
              <w:t>R</w:t>
            </w:r>
            <w:r w:rsidRPr="00D140AB">
              <w:rPr>
                <w:rFonts w:ascii="Courier New" w:hAnsi="Courier New" w:cs="Courier New"/>
                <w:sz w:val="24"/>
                <w:szCs w:val="24"/>
              </w:rPr>
              <w:t>eports</w:t>
            </w:r>
          </w:p>
          <w:p w14:paraId="76CC577C" w14:textId="77777777" w:rsidR="00B72D7C" w:rsidRDefault="00B72D7C" w:rsidP="00DB3ED1">
            <w:pPr>
              <w:spacing w:after="0" w:line="240" w:lineRule="auto"/>
              <w:ind w:left="720"/>
              <w:jc w:val="center"/>
              <w:rPr>
                <w:rFonts w:ascii="Courier New" w:hAnsi="Courier New" w:cs="Courier New"/>
                <w:sz w:val="24"/>
                <w:szCs w:val="24"/>
              </w:rPr>
            </w:pPr>
          </w:p>
        </w:tc>
      </w:tr>
      <w:tr w:rsidR="001D71D1" w:rsidRPr="00D140AB" w14:paraId="4269B2C0" w14:textId="77777777" w:rsidTr="003E6E0C">
        <w:trPr>
          <w:trHeight w:val="300"/>
        </w:trPr>
        <w:tc>
          <w:tcPr>
            <w:tcW w:w="1300" w:type="dxa"/>
            <w:tcBorders>
              <w:top w:val="single" w:sz="4" w:space="0" w:color="auto"/>
              <w:left w:val="single" w:sz="4" w:space="0" w:color="auto"/>
              <w:bottom w:val="single" w:sz="4" w:space="0" w:color="auto"/>
              <w:right w:val="single" w:sz="4" w:space="0" w:color="auto"/>
            </w:tcBorders>
            <w:noWrap/>
            <w:vAlign w:val="bottom"/>
          </w:tcPr>
          <w:p w14:paraId="4269B2BA"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2007</w:t>
            </w:r>
          </w:p>
        </w:tc>
        <w:tc>
          <w:tcPr>
            <w:tcW w:w="2240" w:type="dxa"/>
            <w:tcBorders>
              <w:top w:val="single" w:sz="4" w:space="0" w:color="auto"/>
              <w:left w:val="nil"/>
              <w:bottom w:val="single" w:sz="4" w:space="0" w:color="auto"/>
              <w:right w:val="single" w:sz="4" w:space="0" w:color="auto"/>
            </w:tcBorders>
            <w:vAlign w:val="bottom"/>
          </w:tcPr>
          <w:p w14:paraId="4269B2BD" w14:textId="77777777" w:rsidR="001D71D1" w:rsidRPr="00D140AB" w:rsidRDefault="001D71D1" w:rsidP="00B72D7C">
            <w:pPr>
              <w:spacing w:line="240" w:lineRule="auto"/>
              <w:ind w:left="720"/>
              <w:rPr>
                <w:rFonts w:ascii="Courier New" w:hAnsi="Courier New" w:cs="Courier New"/>
                <w:sz w:val="24"/>
                <w:szCs w:val="24"/>
              </w:rPr>
            </w:pPr>
            <w:r w:rsidRPr="00D140AB">
              <w:rPr>
                <w:rFonts w:ascii="Courier New" w:hAnsi="Courier New" w:cs="Courier New"/>
                <w:sz w:val="24"/>
                <w:szCs w:val="24"/>
              </w:rPr>
              <w:t>$90,696,742,837.94</w:t>
            </w:r>
          </w:p>
        </w:tc>
        <w:tc>
          <w:tcPr>
            <w:tcW w:w="1720" w:type="dxa"/>
            <w:tcBorders>
              <w:top w:val="single" w:sz="4" w:space="0" w:color="auto"/>
              <w:left w:val="nil"/>
              <w:bottom w:val="single" w:sz="4" w:space="0" w:color="auto"/>
              <w:right w:val="single" w:sz="4" w:space="0" w:color="auto"/>
            </w:tcBorders>
            <w:vAlign w:val="bottom"/>
          </w:tcPr>
          <w:p w14:paraId="4269B2BF" w14:textId="77777777" w:rsidR="001D71D1" w:rsidRPr="00D140AB" w:rsidRDefault="001D71D1" w:rsidP="00B72D7C">
            <w:pPr>
              <w:spacing w:line="240" w:lineRule="auto"/>
              <w:ind w:left="720"/>
              <w:jc w:val="center"/>
              <w:rPr>
                <w:rFonts w:ascii="Courier New" w:hAnsi="Courier New" w:cs="Courier New"/>
                <w:sz w:val="24"/>
                <w:szCs w:val="24"/>
              </w:rPr>
            </w:pPr>
            <w:r w:rsidRPr="00D140AB">
              <w:rPr>
                <w:rFonts w:ascii="Courier New" w:hAnsi="Courier New" w:cs="Courier New"/>
                <w:sz w:val="24"/>
                <w:szCs w:val="24"/>
              </w:rPr>
              <w:t>10,842,269</w:t>
            </w:r>
          </w:p>
        </w:tc>
      </w:tr>
      <w:tr w:rsidR="001D71D1" w:rsidRPr="00D140AB" w14:paraId="4269B2C4" w14:textId="77777777" w:rsidTr="003E6E0C">
        <w:trPr>
          <w:trHeight w:val="300"/>
        </w:trPr>
        <w:tc>
          <w:tcPr>
            <w:tcW w:w="1300" w:type="dxa"/>
            <w:tcBorders>
              <w:top w:val="nil"/>
              <w:left w:val="single" w:sz="4" w:space="0" w:color="auto"/>
              <w:bottom w:val="nil"/>
              <w:right w:val="single" w:sz="4" w:space="0" w:color="auto"/>
            </w:tcBorders>
            <w:noWrap/>
            <w:vAlign w:val="bottom"/>
          </w:tcPr>
          <w:p w14:paraId="4269B2C1"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2008</w:t>
            </w:r>
          </w:p>
        </w:tc>
        <w:tc>
          <w:tcPr>
            <w:tcW w:w="2240" w:type="dxa"/>
            <w:tcBorders>
              <w:top w:val="nil"/>
              <w:left w:val="nil"/>
              <w:bottom w:val="single" w:sz="4" w:space="0" w:color="auto"/>
              <w:right w:val="single" w:sz="4" w:space="0" w:color="auto"/>
            </w:tcBorders>
            <w:vAlign w:val="bottom"/>
          </w:tcPr>
          <w:p w14:paraId="4269B2C2"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87,571,814,470.22</w:t>
            </w:r>
          </w:p>
        </w:tc>
        <w:tc>
          <w:tcPr>
            <w:tcW w:w="1720" w:type="dxa"/>
            <w:tcBorders>
              <w:top w:val="nil"/>
              <w:left w:val="nil"/>
              <w:bottom w:val="single" w:sz="4" w:space="0" w:color="auto"/>
              <w:right w:val="single" w:sz="4" w:space="0" w:color="auto"/>
            </w:tcBorders>
            <w:vAlign w:val="bottom"/>
          </w:tcPr>
          <w:p w14:paraId="4269B2C3"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9,580,201</w:t>
            </w:r>
          </w:p>
        </w:tc>
      </w:tr>
      <w:tr w:rsidR="001D71D1" w:rsidRPr="00D140AB" w14:paraId="4269B2C8" w14:textId="77777777" w:rsidTr="003E6E0C">
        <w:trPr>
          <w:trHeight w:val="300"/>
        </w:trPr>
        <w:tc>
          <w:tcPr>
            <w:tcW w:w="1300" w:type="dxa"/>
            <w:tcBorders>
              <w:top w:val="single" w:sz="4" w:space="0" w:color="auto"/>
              <w:left w:val="single" w:sz="4" w:space="0" w:color="auto"/>
              <w:bottom w:val="single" w:sz="4" w:space="0" w:color="auto"/>
              <w:right w:val="single" w:sz="4" w:space="0" w:color="auto"/>
            </w:tcBorders>
            <w:noWrap/>
            <w:vAlign w:val="bottom"/>
          </w:tcPr>
          <w:p w14:paraId="4269B2C5"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2009</w:t>
            </w:r>
          </w:p>
        </w:tc>
        <w:tc>
          <w:tcPr>
            <w:tcW w:w="2240" w:type="dxa"/>
            <w:tcBorders>
              <w:top w:val="nil"/>
              <w:left w:val="nil"/>
              <w:bottom w:val="single" w:sz="4" w:space="0" w:color="auto"/>
              <w:right w:val="single" w:sz="4" w:space="0" w:color="auto"/>
            </w:tcBorders>
            <w:vAlign w:val="bottom"/>
          </w:tcPr>
          <w:p w14:paraId="4269B2C6"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73,380,014,667.81</w:t>
            </w:r>
          </w:p>
        </w:tc>
        <w:tc>
          <w:tcPr>
            <w:tcW w:w="1720" w:type="dxa"/>
            <w:tcBorders>
              <w:top w:val="nil"/>
              <w:left w:val="nil"/>
              <w:bottom w:val="single" w:sz="4" w:space="0" w:color="auto"/>
              <w:right w:val="single" w:sz="4" w:space="0" w:color="auto"/>
            </w:tcBorders>
            <w:vAlign w:val="bottom"/>
          </w:tcPr>
          <w:p w14:paraId="4269B2C7"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7,811,295</w:t>
            </w:r>
          </w:p>
        </w:tc>
      </w:tr>
      <w:tr w:rsidR="001D71D1" w:rsidRPr="00D140AB" w14:paraId="4269B2CC" w14:textId="77777777" w:rsidTr="003E6E0C">
        <w:trPr>
          <w:trHeight w:val="300"/>
        </w:trPr>
        <w:tc>
          <w:tcPr>
            <w:tcW w:w="1300" w:type="dxa"/>
            <w:tcBorders>
              <w:top w:val="nil"/>
              <w:left w:val="single" w:sz="4" w:space="0" w:color="auto"/>
              <w:bottom w:val="nil"/>
              <w:right w:val="single" w:sz="4" w:space="0" w:color="auto"/>
            </w:tcBorders>
            <w:noWrap/>
            <w:vAlign w:val="bottom"/>
          </w:tcPr>
          <w:p w14:paraId="4269B2C9"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2010</w:t>
            </w:r>
          </w:p>
        </w:tc>
        <w:tc>
          <w:tcPr>
            <w:tcW w:w="2240" w:type="dxa"/>
            <w:tcBorders>
              <w:top w:val="nil"/>
              <w:left w:val="nil"/>
              <w:bottom w:val="single" w:sz="4" w:space="0" w:color="auto"/>
              <w:right w:val="single" w:sz="4" w:space="0" w:color="auto"/>
            </w:tcBorders>
            <w:vAlign w:val="bottom"/>
          </w:tcPr>
          <w:p w14:paraId="4269B2CA"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70,650,921,709.94</w:t>
            </w:r>
          </w:p>
        </w:tc>
        <w:tc>
          <w:tcPr>
            <w:tcW w:w="1720" w:type="dxa"/>
            <w:tcBorders>
              <w:top w:val="nil"/>
              <w:left w:val="nil"/>
              <w:bottom w:val="single" w:sz="4" w:space="0" w:color="auto"/>
              <w:right w:val="single" w:sz="4" w:space="0" w:color="auto"/>
            </w:tcBorders>
            <w:vAlign w:val="bottom"/>
          </w:tcPr>
          <w:p w14:paraId="4269B2CB"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7,356,265</w:t>
            </w:r>
          </w:p>
        </w:tc>
      </w:tr>
      <w:tr w:rsidR="001D71D1" w:rsidRPr="00D140AB" w14:paraId="4269B2D0" w14:textId="77777777" w:rsidTr="003E6E0C">
        <w:trPr>
          <w:trHeight w:val="300"/>
        </w:trPr>
        <w:tc>
          <w:tcPr>
            <w:tcW w:w="1300" w:type="dxa"/>
            <w:tcBorders>
              <w:top w:val="single" w:sz="4" w:space="0" w:color="auto"/>
              <w:left w:val="single" w:sz="4" w:space="0" w:color="auto"/>
              <w:bottom w:val="single" w:sz="4" w:space="0" w:color="auto"/>
              <w:right w:val="single" w:sz="4" w:space="0" w:color="auto"/>
            </w:tcBorders>
            <w:noWrap/>
            <w:vAlign w:val="bottom"/>
          </w:tcPr>
          <w:p w14:paraId="4269B2CD"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2011</w:t>
            </w:r>
          </w:p>
        </w:tc>
        <w:tc>
          <w:tcPr>
            <w:tcW w:w="2240" w:type="dxa"/>
            <w:tcBorders>
              <w:top w:val="nil"/>
              <w:left w:val="nil"/>
              <w:bottom w:val="single" w:sz="4" w:space="0" w:color="auto"/>
              <w:right w:val="single" w:sz="4" w:space="0" w:color="auto"/>
            </w:tcBorders>
            <w:vAlign w:val="bottom"/>
          </w:tcPr>
          <w:p w14:paraId="4269B2CE"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70,122,804,272.37</w:t>
            </w:r>
          </w:p>
        </w:tc>
        <w:tc>
          <w:tcPr>
            <w:tcW w:w="1720" w:type="dxa"/>
            <w:tcBorders>
              <w:top w:val="nil"/>
              <w:left w:val="nil"/>
              <w:bottom w:val="single" w:sz="4" w:space="0" w:color="auto"/>
              <w:right w:val="single" w:sz="4" w:space="0" w:color="auto"/>
            </w:tcBorders>
            <w:vAlign w:val="bottom"/>
          </w:tcPr>
          <w:p w14:paraId="4269B2CF" w14:textId="77777777" w:rsidR="001D71D1" w:rsidRPr="00D140AB" w:rsidRDefault="001D71D1" w:rsidP="00DB3ED1">
            <w:pPr>
              <w:spacing w:after="0" w:line="480" w:lineRule="auto"/>
              <w:ind w:left="720"/>
              <w:jc w:val="center"/>
              <w:rPr>
                <w:rFonts w:ascii="Courier New" w:hAnsi="Courier New" w:cs="Courier New"/>
                <w:sz w:val="24"/>
                <w:szCs w:val="24"/>
              </w:rPr>
            </w:pPr>
            <w:r w:rsidRPr="00D140AB">
              <w:rPr>
                <w:rFonts w:ascii="Courier New" w:hAnsi="Courier New" w:cs="Courier New"/>
                <w:sz w:val="24"/>
                <w:szCs w:val="24"/>
              </w:rPr>
              <w:t>7,128,598</w:t>
            </w:r>
          </w:p>
        </w:tc>
      </w:tr>
    </w:tbl>
    <w:p w14:paraId="4269B2D1" w14:textId="77777777" w:rsidR="001D71D1" w:rsidRPr="00D140AB" w:rsidRDefault="001D71D1" w:rsidP="00DB3ED1">
      <w:pPr>
        <w:pStyle w:val="FootnoteText"/>
        <w:spacing w:line="480" w:lineRule="auto"/>
        <w:ind w:left="720"/>
        <w:rPr>
          <w:rFonts w:ascii="Courier New" w:hAnsi="Courier New" w:cs="Courier New"/>
          <w:sz w:val="24"/>
          <w:szCs w:val="24"/>
        </w:rPr>
      </w:pPr>
    </w:p>
    <w:p w14:paraId="4269B2D2" w14:textId="77777777" w:rsidR="001D71D1" w:rsidRPr="00D140AB" w:rsidRDefault="001D71D1" w:rsidP="00C92C54">
      <w:pPr>
        <w:pStyle w:val="PlainText"/>
        <w:spacing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2D3" w14:textId="04893DC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criticized what they described as an assumption of “zero earnings” by SSA for individuals included in the MEF, and contended that this practice </w:t>
      </w:r>
      <w:r w:rsidR="00664128">
        <w:rPr>
          <w:rFonts w:ascii="Courier New" w:hAnsi="Courier New" w:cs="Courier New"/>
          <w:sz w:val="24"/>
          <w:szCs w:val="24"/>
        </w:rPr>
        <w:t xml:space="preserve">suggests that the </w:t>
      </w:r>
      <w:r w:rsidRPr="00D140AB">
        <w:rPr>
          <w:rFonts w:ascii="Courier New" w:hAnsi="Courier New" w:cs="Courier New"/>
          <w:sz w:val="24"/>
          <w:szCs w:val="24"/>
        </w:rPr>
        <w:t>aggregate earnings data provided by SSA to the Department</w:t>
      </w:r>
      <w:r w:rsidR="00664128">
        <w:rPr>
          <w:rFonts w:ascii="Courier New" w:hAnsi="Courier New" w:cs="Courier New"/>
          <w:sz w:val="24"/>
          <w:szCs w:val="24"/>
        </w:rPr>
        <w:t xml:space="preserve"> is not </w:t>
      </w:r>
      <w:r w:rsidR="00664128">
        <w:rPr>
          <w:rFonts w:ascii="Courier New" w:hAnsi="Courier New" w:cs="Courier New"/>
          <w:sz w:val="24"/>
          <w:szCs w:val="24"/>
        </w:rPr>
        <w:lastRenderedPageBreak/>
        <w:t>accurate</w:t>
      </w:r>
      <w:r w:rsidRPr="00D140AB">
        <w:rPr>
          <w:rFonts w:ascii="Courier New" w:hAnsi="Courier New" w:cs="Courier New"/>
          <w:sz w:val="24"/>
          <w:szCs w:val="24"/>
        </w:rPr>
        <w:t xml:space="preserve">.  Commenters further noted that available data indicate that the percentage of zero earnings reported </w:t>
      </w:r>
      <w:r w:rsidR="005219CF" w:rsidRPr="00D140AB">
        <w:rPr>
          <w:rFonts w:ascii="Courier New" w:hAnsi="Courier New" w:cs="Courier New"/>
          <w:sz w:val="24"/>
          <w:szCs w:val="24"/>
        </w:rPr>
        <w:t xml:space="preserve">in the 2011 and 2012 GE </w:t>
      </w:r>
      <w:r w:rsidRPr="00D140AB">
        <w:rPr>
          <w:rFonts w:ascii="Courier New" w:hAnsi="Courier New" w:cs="Courier New"/>
          <w:sz w:val="24"/>
          <w:szCs w:val="24"/>
        </w:rPr>
        <w:t xml:space="preserve">informational rates showed what the commenters considered </w:t>
      </w:r>
      <w:r w:rsidR="00745E3C">
        <w:rPr>
          <w:rFonts w:ascii="Courier New" w:hAnsi="Courier New" w:cs="Courier New"/>
          <w:sz w:val="24"/>
          <w:szCs w:val="24"/>
        </w:rPr>
        <w:t xml:space="preserve">to be </w:t>
      </w:r>
      <w:r w:rsidRPr="00D140AB">
        <w:rPr>
          <w:rFonts w:ascii="Courier New" w:hAnsi="Courier New" w:cs="Courier New"/>
          <w:sz w:val="24"/>
          <w:szCs w:val="24"/>
        </w:rPr>
        <w:t>an unacceptably high percentage of instances of reports of zero earnings, ranging from nine percent for earnings data obtained in July 2013 to as much as 12.5 percent for earnings data obtained in December 2013.</w:t>
      </w:r>
    </w:p>
    <w:p w14:paraId="4269B2D4" w14:textId="77777777" w:rsidR="001D71D1" w:rsidRPr="00D140AB" w:rsidRDefault="001D71D1" w:rsidP="00C92C54">
      <w:pPr>
        <w:pStyle w:val="Default"/>
        <w:spacing w:line="480" w:lineRule="auto"/>
        <w:rPr>
          <w:rFonts w:ascii="Courier New" w:hAnsi="Courier New" w:cs="Courier New"/>
          <w:color w:val="auto"/>
        </w:rPr>
      </w:pPr>
      <w:r w:rsidRPr="00D140AB">
        <w:rPr>
          <w:rFonts w:ascii="Courier New" w:hAnsi="Courier New" w:cs="Courier New"/>
          <w:color w:val="auto"/>
          <w:u w:val="single"/>
        </w:rPr>
        <w:t>Discussion</w:t>
      </w:r>
      <w:r w:rsidRPr="00D140AB">
        <w:rPr>
          <w:rFonts w:ascii="Courier New" w:hAnsi="Courier New" w:cs="Courier New"/>
          <w:color w:val="auto"/>
        </w:rPr>
        <w:t>:  There is only one situation in which SSA assumes that an individual has zero earnings.  For wage earners with earnings reported for employment type “Household,” the so-called “nanny tax” edit in employer balancing changes to zero the amounts of earnings for Social Security and Medicare covered earnings that fall below the yearly covered minimum amount.  If the earnings reported by the employer for such an individual is successfully processed, SSA posts the earnings to the MEF as zero.  SSA plans to discontinue this practice next year and will reject the report and have the employer make the correction.  These amounts are so low (for 2014, this amount affects only annual</w:t>
      </w:r>
      <w:r w:rsidRPr="00D140AB">
        <w:rPr>
          <w:rFonts w:ascii="Courier New" w:hAnsi="Courier New" w:cs="Courier New"/>
          <w:i/>
          <w:color w:val="auto"/>
        </w:rPr>
        <w:t xml:space="preserve"> </w:t>
      </w:r>
      <w:r w:rsidRPr="00D140AB">
        <w:rPr>
          <w:rFonts w:ascii="Courier New" w:hAnsi="Courier New" w:cs="Courier New"/>
          <w:color w:val="auto"/>
        </w:rPr>
        <w:t>earnings less than $1,900) that it is implausible to contend that these assumptions affect the accuracy of the aggregate earnings data provided by SSA to the Department.</w:t>
      </w:r>
      <w:r w:rsidRPr="00D140AB">
        <w:rPr>
          <w:rStyle w:val="FootnoteReference"/>
          <w:rFonts w:ascii="Courier New" w:hAnsi="Courier New" w:cs="Courier New"/>
          <w:color w:val="auto"/>
        </w:rPr>
        <w:footnoteReference w:id="152"/>
      </w:r>
    </w:p>
    <w:p w14:paraId="494DF87E" w14:textId="2B86B55A" w:rsidR="00954DBC" w:rsidRDefault="001D71D1" w:rsidP="00C92C54">
      <w:pPr>
        <w:pStyle w:val="Default"/>
        <w:spacing w:line="480" w:lineRule="auto"/>
        <w:rPr>
          <w:rFonts w:ascii="Courier New" w:hAnsi="Courier New" w:cs="Courier New"/>
        </w:rPr>
      </w:pPr>
      <w:r w:rsidRPr="00D140AB">
        <w:rPr>
          <w:rFonts w:ascii="Courier New" w:hAnsi="Courier New" w:cs="Courier New"/>
        </w:rPr>
        <w:lastRenderedPageBreak/>
        <w:t xml:space="preserve">     </w:t>
      </w:r>
      <w:r w:rsidR="005219CF" w:rsidRPr="00D140AB">
        <w:rPr>
          <w:rFonts w:ascii="Courier New" w:hAnsi="Courier New" w:cs="Courier New"/>
        </w:rPr>
        <w:t>T</w:t>
      </w:r>
      <w:r w:rsidRPr="00D140AB">
        <w:rPr>
          <w:rFonts w:ascii="Courier New" w:hAnsi="Courier New" w:cs="Courier New"/>
        </w:rPr>
        <w:t>he Department has secured aggregate earnings data from SSA in five instances, as shown in the table below.</w:t>
      </w:r>
      <w:r w:rsidRPr="00D140AB">
        <w:rPr>
          <w:rStyle w:val="FootnoteReference"/>
          <w:rFonts w:ascii="Courier New" w:hAnsi="Courier New" w:cs="Courier New"/>
        </w:rPr>
        <w:footnoteReference w:id="153"/>
      </w:r>
      <w:r w:rsidRPr="00D140AB">
        <w:rPr>
          <w:rFonts w:ascii="Courier New" w:hAnsi="Courier New" w:cs="Courier New"/>
        </w:rPr>
        <w:t xml:space="preserve"> </w:t>
      </w:r>
    </w:p>
    <w:p w14:paraId="4269B2D6" w14:textId="45CDA096" w:rsidR="001D71D1" w:rsidRPr="00D140AB" w:rsidRDefault="001D71D1" w:rsidP="00DB3ED1">
      <w:pPr>
        <w:pStyle w:val="Default"/>
        <w:spacing w:line="480" w:lineRule="auto"/>
        <w:ind w:left="720"/>
        <w:rPr>
          <w:rFonts w:ascii="Courier New" w:hAnsi="Courier New" w:cs="Courier New"/>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47"/>
        <w:gridCol w:w="1191"/>
        <w:gridCol w:w="1269"/>
        <w:gridCol w:w="1247"/>
        <w:gridCol w:w="1089"/>
        <w:gridCol w:w="1255"/>
        <w:gridCol w:w="1292"/>
      </w:tblGrid>
      <w:tr w:rsidR="00AB47F4" w14:paraId="3808A53B" w14:textId="77777777" w:rsidTr="0045631C">
        <w:trPr>
          <w:trHeight w:val="740"/>
        </w:trPr>
        <w:tc>
          <w:tcPr>
            <w:tcW w:w="0" w:type="auto"/>
            <w:tcBorders>
              <w:top w:val="single" w:sz="12" w:space="0" w:color="auto"/>
              <w:left w:val="single" w:sz="12" w:space="0" w:color="auto"/>
              <w:bottom w:val="single" w:sz="12" w:space="0" w:color="auto"/>
            </w:tcBorders>
            <w:shd w:val="clear" w:color="auto" w:fill="auto"/>
          </w:tcPr>
          <w:p w14:paraId="43360E47" w14:textId="77777777" w:rsidR="00AB47F4" w:rsidRDefault="00AB47F4" w:rsidP="00336C9D">
            <w:pPr>
              <w:spacing w:line="240" w:lineRule="auto"/>
              <w:ind w:left="720"/>
            </w:pPr>
          </w:p>
          <w:p w14:paraId="0BCE8E3E" w14:textId="77777777" w:rsidR="00AB47F4" w:rsidRDefault="00AB47F4" w:rsidP="00336C9D">
            <w:pPr>
              <w:spacing w:line="240" w:lineRule="auto"/>
              <w:ind w:left="720"/>
            </w:pPr>
          </w:p>
        </w:tc>
        <w:tc>
          <w:tcPr>
            <w:tcW w:w="0" w:type="auto"/>
            <w:tcBorders>
              <w:top w:val="single" w:sz="12" w:space="0" w:color="auto"/>
              <w:bottom w:val="single" w:sz="12" w:space="0" w:color="auto"/>
            </w:tcBorders>
            <w:shd w:val="clear" w:color="auto" w:fill="auto"/>
          </w:tcPr>
          <w:p w14:paraId="0E3388D7"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Date</w:t>
            </w:r>
            <w:r w:rsidRPr="001F0DC1">
              <w:rPr>
                <w:rFonts w:ascii="Courier New" w:hAnsi="Courier New" w:cs="Courier New"/>
                <w:b/>
                <w:sz w:val="20"/>
                <w:szCs w:val="20"/>
              </w:rPr>
              <w:br/>
              <w:t xml:space="preserve">Received </w:t>
            </w:r>
            <w:r w:rsidRPr="001F0DC1">
              <w:rPr>
                <w:rFonts w:ascii="Courier New" w:hAnsi="Courier New" w:cs="Courier New"/>
                <w:b/>
                <w:sz w:val="20"/>
                <w:szCs w:val="20"/>
              </w:rPr>
              <w:br/>
              <w:t>from SSA</w:t>
            </w:r>
          </w:p>
        </w:tc>
        <w:tc>
          <w:tcPr>
            <w:tcW w:w="0" w:type="auto"/>
            <w:tcBorders>
              <w:top w:val="single" w:sz="12" w:space="0" w:color="auto"/>
              <w:bottom w:val="single" w:sz="12" w:space="0" w:color="auto"/>
            </w:tcBorders>
            <w:shd w:val="clear" w:color="auto" w:fill="auto"/>
          </w:tcPr>
          <w:p w14:paraId="6A1548F0"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 ED sent to  SSA</w:t>
            </w:r>
            <w:r w:rsidRPr="001F0DC1">
              <w:rPr>
                <w:rFonts w:ascii="Courier New" w:hAnsi="Courier New" w:cs="Courier New"/>
                <w:b/>
                <w:sz w:val="20"/>
                <w:szCs w:val="20"/>
              </w:rPr>
              <w:br/>
            </w:r>
          </w:p>
        </w:tc>
        <w:tc>
          <w:tcPr>
            <w:tcW w:w="0" w:type="auto"/>
            <w:tcBorders>
              <w:top w:val="single" w:sz="12" w:space="0" w:color="auto"/>
              <w:bottom w:val="single" w:sz="12" w:space="0" w:color="auto"/>
            </w:tcBorders>
            <w:shd w:val="clear" w:color="auto" w:fill="auto"/>
          </w:tcPr>
          <w:p w14:paraId="4D9C1F2A"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 SSA verified</w:t>
            </w:r>
            <w:r w:rsidRPr="001F0DC1">
              <w:rPr>
                <w:rFonts w:ascii="Courier New" w:hAnsi="Courier New" w:cs="Courier New"/>
                <w:b/>
                <w:sz w:val="20"/>
                <w:szCs w:val="20"/>
              </w:rPr>
              <w:br/>
            </w:r>
          </w:p>
        </w:tc>
        <w:tc>
          <w:tcPr>
            <w:tcW w:w="0" w:type="auto"/>
            <w:tcBorders>
              <w:top w:val="single" w:sz="12" w:space="0" w:color="auto"/>
              <w:bottom w:val="single" w:sz="12" w:space="0" w:color="auto"/>
            </w:tcBorders>
            <w:shd w:val="clear" w:color="auto" w:fill="auto"/>
          </w:tcPr>
          <w:p w14:paraId="79647162"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 SSA did not verify</w:t>
            </w:r>
          </w:p>
        </w:tc>
        <w:tc>
          <w:tcPr>
            <w:tcW w:w="0" w:type="auto"/>
            <w:tcBorders>
              <w:top w:val="single" w:sz="12" w:space="0" w:color="auto"/>
              <w:bottom w:val="single" w:sz="12" w:space="0" w:color="auto"/>
            </w:tcBorders>
            <w:shd w:val="clear" w:color="auto" w:fill="auto"/>
          </w:tcPr>
          <w:p w14:paraId="1D5EC8B8"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 with Earnings</w:t>
            </w:r>
          </w:p>
        </w:tc>
        <w:tc>
          <w:tcPr>
            <w:tcW w:w="0" w:type="auto"/>
            <w:tcBorders>
              <w:top w:val="single" w:sz="12" w:space="0" w:color="auto"/>
              <w:bottom w:val="single" w:sz="12" w:space="0" w:color="auto"/>
              <w:right w:val="single" w:sz="12" w:space="0" w:color="auto"/>
            </w:tcBorders>
            <w:shd w:val="clear" w:color="auto" w:fill="auto"/>
          </w:tcPr>
          <w:p w14:paraId="584707F2" w14:textId="77777777" w:rsidR="00AB47F4" w:rsidRPr="001F0DC1" w:rsidRDefault="00AB47F4" w:rsidP="00336C9D">
            <w:pPr>
              <w:spacing w:line="240" w:lineRule="auto"/>
              <w:jc w:val="center"/>
              <w:rPr>
                <w:rFonts w:ascii="Courier New" w:hAnsi="Courier New" w:cs="Courier New"/>
                <w:b/>
                <w:sz w:val="20"/>
                <w:szCs w:val="20"/>
              </w:rPr>
            </w:pPr>
            <w:r w:rsidRPr="001F0DC1">
              <w:rPr>
                <w:rFonts w:ascii="Courier New" w:hAnsi="Courier New" w:cs="Courier New"/>
                <w:b/>
                <w:sz w:val="20"/>
                <w:szCs w:val="20"/>
              </w:rPr>
              <w:t># with Zero Earnings</w:t>
            </w:r>
          </w:p>
        </w:tc>
      </w:tr>
      <w:tr w:rsidR="00AB47F4" w14:paraId="66ADE4E4" w14:textId="77777777" w:rsidTr="0045631C">
        <w:trPr>
          <w:trHeight w:val="1223"/>
        </w:trPr>
        <w:tc>
          <w:tcPr>
            <w:tcW w:w="0" w:type="auto"/>
            <w:tcBorders>
              <w:top w:val="single" w:sz="12" w:space="0" w:color="auto"/>
              <w:left w:val="single" w:sz="12" w:space="0" w:color="auto"/>
              <w:bottom w:val="single" w:sz="12" w:space="0" w:color="auto"/>
            </w:tcBorders>
            <w:shd w:val="clear" w:color="auto" w:fill="auto"/>
          </w:tcPr>
          <w:p w14:paraId="2749188D" w14:textId="5A6778BB" w:rsidR="00AB47F4" w:rsidRPr="001F0DC1" w:rsidRDefault="00AB47F4" w:rsidP="00336C9D">
            <w:pPr>
              <w:spacing w:after="0" w:line="240" w:lineRule="auto"/>
              <w:rPr>
                <w:rFonts w:ascii="Courier New" w:hAnsi="Courier New" w:cs="Courier New"/>
                <w:sz w:val="18"/>
                <w:szCs w:val="18"/>
              </w:rPr>
            </w:pPr>
            <w:r w:rsidRPr="001F0DC1">
              <w:rPr>
                <w:rFonts w:ascii="Courier New" w:hAnsi="Courier New" w:cs="Courier New"/>
                <w:sz w:val="18"/>
                <w:szCs w:val="18"/>
              </w:rPr>
              <w:t xml:space="preserve">2011 </w:t>
            </w:r>
            <w:r>
              <w:rPr>
                <w:rFonts w:ascii="Courier New" w:hAnsi="Courier New" w:cs="Courier New"/>
                <w:sz w:val="18"/>
                <w:szCs w:val="18"/>
              </w:rPr>
              <w:t xml:space="preserve">GE </w:t>
            </w:r>
            <w:r w:rsidRPr="001F0DC1">
              <w:rPr>
                <w:rFonts w:ascii="Courier New" w:hAnsi="Courier New" w:cs="Courier New"/>
                <w:sz w:val="18"/>
                <w:szCs w:val="18"/>
              </w:rPr>
              <w:t xml:space="preserve">informational rates – </w:t>
            </w:r>
            <w:r w:rsidRPr="001F0DC1">
              <w:rPr>
                <w:rFonts w:ascii="Courier New" w:hAnsi="Courier New" w:cs="Courier New"/>
                <w:sz w:val="18"/>
                <w:szCs w:val="18"/>
              </w:rPr>
              <w:br/>
              <w:t>includes non-</w:t>
            </w:r>
            <w:r w:rsidRPr="001F0DC1">
              <w:rPr>
                <w:rFonts w:ascii="Courier New" w:hAnsi="Courier New" w:cs="Courier New"/>
                <w:sz w:val="18"/>
                <w:szCs w:val="18"/>
              </w:rPr>
              <w:br/>
              <w:t>Title IV</w:t>
            </w:r>
            <w:r w:rsidRPr="00D140AB">
              <w:rPr>
                <w:rFonts w:ascii="Courier New" w:hAnsi="Courier New" w:cs="Courier New"/>
                <w:sz w:val="18"/>
                <w:szCs w:val="20"/>
              </w:rPr>
              <w:t xml:space="preserve"> </w:t>
            </w:r>
          </w:p>
        </w:tc>
        <w:tc>
          <w:tcPr>
            <w:tcW w:w="0" w:type="auto"/>
            <w:tcBorders>
              <w:top w:val="single" w:sz="12" w:space="0" w:color="auto"/>
              <w:bottom w:val="single" w:sz="12" w:space="0" w:color="auto"/>
            </w:tcBorders>
            <w:shd w:val="clear" w:color="auto" w:fill="auto"/>
          </w:tcPr>
          <w:p w14:paraId="3A3F95D7"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3/5/12</w:t>
            </w:r>
          </w:p>
        </w:tc>
        <w:tc>
          <w:tcPr>
            <w:tcW w:w="0" w:type="auto"/>
            <w:tcBorders>
              <w:top w:val="single" w:sz="12" w:space="0" w:color="auto"/>
              <w:bottom w:val="single" w:sz="12" w:space="0" w:color="auto"/>
            </w:tcBorders>
            <w:shd w:val="clear" w:color="auto" w:fill="auto"/>
          </w:tcPr>
          <w:p w14:paraId="346430EC"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811,718</w:t>
            </w:r>
          </w:p>
        </w:tc>
        <w:tc>
          <w:tcPr>
            <w:tcW w:w="0" w:type="auto"/>
            <w:tcBorders>
              <w:top w:val="single" w:sz="12" w:space="0" w:color="auto"/>
              <w:bottom w:val="single" w:sz="12" w:space="0" w:color="auto"/>
            </w:tcBorders>
            <w:shd w:val="clear" w:color="auto" w:fill="auto"/>
          </w:tcPr>
          <w:p w14:paraId="02B5A315"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797,070</w:t>
            </w:r>
          </w:p>
        </w:tc>
        <w:tc>
          <w:tcPr>
            <w:tcW w:w="0" w:type="auto"/>
            <w:tcBorders>
              <w:top w:val="single" w:sz="12" w:space="0" w:color="auto"/>
              <w:bottom w:val="single" w:sz="12" w:space="0" w:color="auto"/>
            </w:tcBorders>
            <w:shd w:val="clear" w:color="auto" w:fill="auto"/>
          </w:tcPr>
          <w:p w14:paraId="0D3E0BD6"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14,708</w:t>
            </w:r>
          </w:p>
        </w:tc>
        <w:tc>
          <w:tcPr>
            <w:tcW w:w="0" w:type="auto"/>
            <w:tcBorders>
              <w:top w:val="single" w:sz="12" w:space="0" w:color="auto"/>
              <w:bottom w:val="single" w:sz="12" w:space="0" w:color="auto"/>
            </w:tcBorders>
            <w:shd w:val="clear" w:color="auto" w:fill="auto"/>
          </w:tcPr>
          <w:p w14:paraId="2058D4DB"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699,024</w:t>
            </w:r>
          </w:p>
        </w:tc>
        <w:tc>
          <w:tcPr>
            <w:tcW w:w="0" w:type="auto"/>
            <w:tcBorders>
              <w:top w:val="single" w:sz="12" w:space="0" w:color="auto"/>
              <w:bottom w:val="single" w:sz="12" w:space="0" w:color="auto"/>
              <w:right w:val="single" w:sz="12" w:space="0" w:color="auto"/>
            </w:tcBorders>
            <w:shd w:val="clear" w:color="auto" w:fill="auto"/>
          </w:tcPr>
          <w:p w14:paraId="0AEAA44D"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98,046</w:t>
            </w:r>
            <w:r w:rsidRPr="001F0DC1">
              <w:rPr>
                <w:rFonts w:ascii="Courier New" w:hAnsi="Courier New" w:cs="Courier New"/>
                <w:sz w:val="18"/>
                <w:szCs w:val="18"/>
              </w:rPr>
              <w:br/>
              <w:t>[12.3% of</w:t>
            </w:r>
            <w:r w:rsidRPr="001F0DC1">
              <w:rPr>
                <w:rFonts w:ascii="Courier New" w:hAnsi="Courier New" w:cs="Courier New"/>
                <w:sz w:val="18"/>
                <w:szCs w:val="18"/>
              </w:rPr>
              <w:br/>
              <w:t>verified]</w:t>
            </w:r>
          </w:p>
        </w:tc>
      </w:tr>
      <w:tr w:rsidR="00AB47F4" w14:paraId="5B374EA8" w14:textId="77777777" w:rsidTr="0045631C">
        <w:trPr>
          <w:trHeight w:val="870"/>
        </w:trPr>
        <w:tc>
          <w:tcPr>
            <w:tcW w:w="0" w:type="auto"/>
            <w:tcBorders>
              <w:top w:val="single" w:sz="12" w:space="0" w:color="auto"/>
              <w:left w:val="single" w:sz="12" w:space="0" w:color="auto"/>
              <w:bottom w:val="single" w:sz="12" w:space="0" w:color="auto"/>
            </w:tcBorders>
            <w:shd w:val="clear" w:color="auto" w:fill="auto"/>
          </w:tcPr>
          <w:p w14:paraId="3832E8E4" w14:textId="685C7EF4"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 xml:space="preserve">2012 GE </w:t>
            </w:r>
            <w:r w:rsidR="00954DBC">
              <w:rPr>
                <w:rFonts w:ascii="Courier New" w:hAnsi="Courier New" w:cs="Courier New"/>
                <w:sz w:val="18"/>
                <w:szCs w:val="18"/>
              </w:rPr>
              <w:t xml:space="preserve">informational rates </w:t>
            </w:r>
            <w:r w:rsidRPr="001F0DC1">
              <w:rPr>
                <w:rFonts w:ascii="Courier New" w:hAnsi="Courier New" w:cs="Courier New"/>
                <w:sz w:val="18"/>
                <w:szCs w:val="18"/>
              </w:rPr>
              <w:t>for reg neg</w:t>
            </w:r>
            <w:r w:rsidRPr="001F0DC1" w:rsidDel="00954DBC">
              <w:rPr>
                <w:rFonts w:ascii="Courier New" w:hAnsi="Courier New" w:cs="Courier New"/>
                <w:sz w:val="18"/>
                <w:szCs w:val="18"/>
              </w:rPr>
              <w:t xml:space="preserve"> </w:t>
            </w:r>
            <w:r w:rsidRPr="001F0DC1">
              <w:rPr>
                <w:rFonts w:ascii="Courier New" w:hAnsi="Courier New" w:cs="Courier New"/>
                <w:sz w:val="18"/>
                <w:szCs w:val="18"/>
              </w:rPr>
              <w:t>Title IV only</w:t>
            </w:r>
          </w:p>
        </w:tc>
        <w:tc>
          <w:tcPr>
            <w:tcW w:w="0" w:type="auto"/>
            <w:tcBorders>
              <w:top w:val="single" w:sz="12" w:space="0" w:color="auto"/>
              <w:bottom w:val="single" w:sz="12" w:space="0" w:color="auto"/>
            </w:tcBorders>
            <w:shd w:val="clear" w:color="auto" w:fill="auto"/>
          </w:tcPr>
          <w:p w14:paraId="141D3DD6"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7/18/13</w:t>
            </w:r>
            <w:r w:rsidRPr="001F0DC1">
              <w:rPr>
                <w:rFonts w:ascii="Courier New" w:hAnsi="Courier New" w:cs="Courier New"/>
                <w:sz w:val="18"/>
                <w:szCs w:val="18"/>
              </w:rPr>
              <w:br/>
            </w:r>
          </w:p>
        </w:tc>
        <w:tc>
          <w:tcPr>
            <w:tcW w:w="0" w:type="auto"/>
            <w:tcBorders>
              <w:top w:val="single" w:sz="12" w:space="0" w:color="auto"/>
              <w:bottom w:val="single" w:sz="12" w:space="0" w:color="auto"/>
            </w:tcBorders>
            <w:shd w:val="clear" w:color="auto" w:fill="auto"/>
          </w:tcPr>
          <w:p w14:paraId="40D9E766" w14:textId="77777777" w:rsidR="00AB47F4" w:rsidRPr="001F0DC1" w:rsidRDefault="00AB47F4" w:rsidP="00336C9D">
            <w:pPr>
              <w:spacing w:line="240" w:lineRule="auto"/>
              <w:jc w:val="center"/>
              <w:rPr>
                <w:rFonts w:ascii="Courier New" w:hAnsi="Courier New" w:cs="Courier New"/>
                <w:sz w:val="18"/>
                <w:szCs w:val="18"/>
              </w:rPr>
            </w:pPr>
            <w:r w:rsidRPr="001F0DC1">
              <w:rPr>
                <w:rFonts w:ascii="Courier New" w:hAnsi="Courier New" w:cs="Courier New"/>
                <w:sz w:val="18"/>
                <w:szCs w:val="18"/>
              </w:rPr>
              <w:t>255,168</w:t>
            </w:r>
          </w:p>
        </w:tc>
        <w:tc>
          <w:tcPr>
            <w:tcW w:w="0" w:type="auto"/>
            <w:tcBorders>
              <w:top w:val="single" w:sz="12" w:space="0" w:color="auto"/>
              <w:bottom w:val="single" w:sz="12" w:space="0" w:color="auto"/>
            </w:tcBorders>
            <w:shd w:val="clear" w:color="auto" w:fill="auto"/>
          </w:tcPr>
          <w:p w14:paraId="028F17CA"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252,328</w:t>
            </w:r>
          </w:p>
        </w:tc>
        <w:tc>
          <w:tcPr>
            <w:tcW w:w="0" w:type="auto"/>
            <w:tcBorders>
              <w:top w:val="single" w:sz="12" w:space="0" w:color="auto"/>
              <w:bottom w:val="single" w:sz="12" w:space="0" w:color="auto"/>
            </w:tcBorders>
            <w:shd w:val="clear" w:color="auto" w:fill="auto"/>
          </w:tcPr>
          <w:p w14:paraId="46904ACB"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2845</w:t>
            </w:r>
          </w:p>
        </w:tc>
        <w:tc>
          <w:tcPr>
            <w:tcW w:w="0" w:type="auto"/>
            <w:tcBorders>
              <w:top w:val="single" w:sz="12" w:space="0" w:color="auto"/>
              <w:bottom w:val="single" w:sz="12" w:space="0" w:color="auto"/>
            </w:tcBorders>
            <w:shd w:val="clear" w:color="auto" w:fill="auto"/>
          </w:tcPr>
          <w:p w14:paraId="2892203F"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232,006</w:t>
            </w:r>
          </w:p>
        </w:tc>
        <w:tc>
          <w:tcPr>
            <w:tcW w:w="0" w:type="auto"/>
            <w:tcBorders>
              <w:top w:val="single" w:sz="12" w:space="0" w:color="auto"/>
              <w:bottom w:val="single" w:sz="12" w:space="0" w:color="auto"/>
              <w:right w:val="single" w:sz="12" w:space="0" w:color="auto"/>
            </w:tcBorders>
            <w:shd w:val="clear" w:color="auto" w:fill="auto"/>
          </w:tcPr>
          <w:p w14:paraId="08EBDAD8"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 xml:space="preserve">20,317 </w:t>
            </w:r>
            <w:r w:rsidRPr="001F0DC1">
              <w:rPr>
                <w:rFonts w:ascii="Courier New" w:hAnsi="Courier New" w:cs="Courier New"/>
                <w:sz w:val="18"/>
                <w:szCs w:val="18"/>
              </w:rPr>
              <w:br/>
              <w:t xml:space="preserve">[7.96% of verified] </w:t>
            </w:r>
          </w:p>
        </w:tc>
      </w:tr>
      <w:tr w:rsidR="00AB47F4" w14:paraId="76270CB5" w14:textId="77777777" w:rsidTr="0045631C">
        <w:trPr>
          <w:trHeight w:val="847"/>
        </w:trPr>
        <w:tc>
          <w:tcPr>
            <w:tcW w:w="0" w:type="auto"/>
            <w:tcBorders>
              <w:top w:val="single" w:sz="12" w:space="0" w:color="auto"/>
              <w:left w:val="single" w:sz="12" w:space="0" w:color="auto"/>
              <w:bottom w:val="single" w:sz="12" w:space="0" w:color="auto"/>
            </w:tcBorders>
            <w:shd w:val="clear" w:color="auto" w:fill="auto"/>
          </w:tcPr>
          <w:p w14:paraId="73D17A17"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2012 GE post reg neg -</w:t>
            </w:r>
            <w:r w:rsidRPr="001F0DC1">
              <w:rPr>
                <w:rFonts w:ascii="Courier New" w:hAnsi="Courier New" w:cs="Courier New"/>
                <w:sz w:val="18"/>
                <w:szCs w:val="18"/>
              </w:rPr>
              <w:br/>
              <w:t>Title IV only</w:t>
            </w:r>
          </w:p>
        </w:tc>
        <w:tc>
          <w:tcPr>
            <w:tcW w:w="0" w:type="auto"/>
            <w:tcBorders>
              <w:top w:val="single" w:sz="12" w:space="0" w:color="auto"/>
              <w:bottom w:val="single" w:sz="12" w:space="0" w:color="auto"/>
            </w:tcBorders>
            <w:shd w:val="clear" w:color="auto" w:fill="auto"/>
          </w:tcPr>
          <w:p w14:paraId="4645B63F"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8/14/13</w:t>
            </w:r>
          </w:p>
        </w:tc>
        <w:tc>
          <w:tcPr>
            <w:tcW w:w="0" w:type="auto"/>
            <w:tcBorders>
              <w:top w:val="single" w:sz="12" w:space="0" w:color="auto"/>
              <w:bottom w:val="single" w:sz="12" w:space="0" w:color="auto"/>
            </w:tcBorders>
            <w:shd w:val="clear" w:color="auto" w:fill="auto"/>
          </w:tcPr>
          <w:p w14:paraId="7B6D6C52"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923,399</w:t>
            </w:r>
          </w:p>
        </w:tc>
        <w:tc>
          <w:tcPr>
            <w:tcW w:w="0" w:type="auto"/>
            <w:tcBorders>
              <w:top w:val="single" w:sz="12" w:space="0" w:color="auto"/>
              <w:bottom w:val="single" w:sz="12" w:space="0" w:color="auto"/>
            </w:tcBorders>
            <w:shd w:val="clear" w:color="auto" w:fill="auto"/>
          </w:tcPr>
          <w:p w14:paraId="2FE17309"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917,912</w:t>
            </w:r>
          </w:p>
        </w:tc>
        <w:tc>
          <w:tcPr>
            <w:tcW w:w="0" w:type="auto"/>
            <w:tcBorders>
              <w:top w:val="single" w:sz="12" w:space="0" w:color="auto"/>
              <w:bottom w:val="single" w:sz="12" w:space="0" w:color="auto"/>
            </w:tcBorders>
            <w:shd w:val="clear" w:color="auto" w:fill="auto"/>
          </w:tcPr>
          <w:p w14:paraId="7706F3A9"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8,487</w:t>
            </w:r>
          </w:p>
        </w:tc>
        <w:tc>
          <w:tcPr>
            <w:tcW w:w="0" w:type="auto"/>
            <w:tcBorders>
              <w:top w:val="single" w:sz="12" w:space="0" w:color="auto"/>
              <w:bottom w:val="single" w:sz="12" w:space="0" w:color="auto"/>
            </w:tcBorders>
            <w:shd w:val="clear" w:color="auto" w:fill="auto"/>
          </w:tcPr>
          <w:p w14:paraId="60BEA0F7"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798,952</w:t>
            </w:r>
          </w:p>
        </w:tc>
        <w:tc>
          <w:tcPr>
            <w:tcW w:w="0" w:type="auto"/>
            <w:tcBorders>
              <w:top w:val="single" w:sz="12" w:space="0" w:color="auto"/>
              <w:bottom w:val="single" w:sz="12" w:space="0" w:color="auto"/>
              <w:right w:val="single" w:sz="12" w:space="0" w:color="auto"/>
            </w:tcBorders>
            <w:shd w:val="clear" w:color="auto" w:fill="auto"/>
          </w:tcPr>
          <w:p w14:paraId="0C320644" w14:textId="77777777" w:rsidR="00AB47F4" w:rsidRPr="001F0DC1" w:rsidRDefault="00AB47F4" w:rsidP="00336C9D">
            <w:pPr>
              <w:spacing w:line="240" w:lineRule="auto"/>
              <w:jc w:val="right"/>
              <w:rPr>
                <w:rFonts w:ascii="Courier New" w:hAnsi="Courier New" w:cs="Courier New"/>
                <w:sz w:val="18"/>
                <w:szCs w:val="18"/>
              </w:rPr>
            </w:pPr>
            <w:r w:rsidRPr="001F0DC1">
              <w:rPr>
                <w:rFonts w:ascii="Courier New" w:hAnsi="Courier New" w:cs="Courier New"/>
                <w:sz w:val="18"/>
                <w:szCs w:val="18"/>
              </w:rPr>
              <w:t>115,960</w:t>
            </w:r>
            <w:r w:rsidRPr="001F0DC1">
              <w:rPr>
                <w:rFonts w:ascii="Courier New" w:hAnsi="Courier New" w:cs="Courier New"/>
                <w:sz w:val="18"/>
                <w:szCs w:val="18"/>
              </w:rPr>
              <w:br/>
              <w:t>[12.6% of verified]</w:t>
            </w:r>
          </w:p>
        </w:tc>
      </w:tr>
      <w:tr w:rsidR="00AB47F4" w14:paraId="20893C45" w14:textId="77777777" w:rsidTr="0045631C">
        <w:trPr>
          <w:trHeight w:val="1125"/>
        </w:trPr>
        <w:tc>
          <w:tcPr>
            <w:tcW w:w="0" w:type="auto"/>
            <w:vMerge w:val="restart"/>
            <w:tcBorders>
              <w:top w:val="single" w:sz="12" w:space="0" w:color="auto"/>
              <w:left w:val="single" w:sz="12" w:space="0" w:color="auto"/>
            </w:tcBorders>
            <w:shd w:val="clear" w:color="auto" w:fill="auto"/>
          </w:tcPr>
          <w:p w14:paraId="531F69D3" w14:textId="39540860" w:rsidR="00AB47F4" w:rsidRPr="00565BC8" w:rsidRDefault="0045631C" w:rsidP="00336C9D">
            <w:pPr>
              <w:spacing w:line="240" w:lineRule="auto"/>
              <w:rPr>
                <w:rFonts w:ascii="Courier New" w:hAnsi="Courier New"/>
                <w:sz w:val="18"/>
              </w:rPr>
            </w:pPr>
            <w:r w:rsidRPr="00565BC8">
              <w:rPr>
                <w:rFonts w:ascii="Courier New" w:hAnsi="Courier New"/>
                <w:sz w:val="18"/>
              </w:rPr>
              <w:t xml:space="preserve">For </w:t>
            </w:r>
            <w:r w:rsidR="00483972" w:rsidRPr="00565BC8">
              <w:rPr>
                <w:rFonts w:ascii="Courier New" w:hAnsi="Courier New"/>
                <w:sz w:val="18"/>
              </w:rPr>
              <w:t xml:space="preserve">College </w:t>
            </w:r>
            <w:r w:rsidR="00AB47F4" w:rsidRPr="00565BC8">
              <w:rPr>
                <w:rFonts w:ascii="Courier New" w:hAnsi="Courier New"/>
                <w:sz w:val="18"/>
              </w:rPr>
              <w:t>Scorecard</w:t>
            </w:r>
            <w:r w:rsidRPr="00565BC8">
              <w:rPr>
                <w:rFonts w:ascii="Courier New" w:hAnsi="Courier New"/>
                <w:sz w:val="18"/>
              </w:rPr>
              <w:t xml:space="preserve"> -</w:t>
            </w:r>
            <w:r w:rsidR="00AB47F4" w:rsidRPr="00565BC8">
              <w:rPr>
                <w:rFonts w:ascii="Courier New" w:hAnsi="Courier New"/>
                <w:sz w:val="18"/>
              </w:rPr>
              <w:br/>
              <w:t>Title IV only</w:t>
            </w:r>
            <w:r w:rsidR="00AB47F4" w:rsidRPr="00565BC8">
              <w:rPr>
                <w:rFonts w:ascii="Courier New" w:hAnsi="Courier New"/>
                <w:sz w:val="18"/>
              </w:rPr>
              <w:br/>
            </w:r>
            <w:r w:rsidRPr="00565BC8">
              <w:rPr>
                <w:rFonts w:ascii="Courier New" w:hAnsi="Courier New"/>
                <w:sz w:val="18"/>
              </w:rPr>
              <w:t xml:space="preserve">derived from </w:t>
            </w:r>
            <w:r w:rsidR="00AB47F4" w:rsidRPr="00565BC8">
              <w:rPr>
                <w:rFonts w:ascii="Courier New" w:hAnsi="Courier New"/>
                <w:sz w:val="18"/>
              </w:rPr>
              <w:t xml:space="preserve"> ED data on borrowers in </w:t>
            </w:r>
            <w:r w:rsidR="00A37D38" w:rsidRPr="00565BC8">
              <w:rPr>
                <w:rFonts w:ascii="Courier New" w:hAnsi="Courier New"/>
                <w:sz w:val="18"/>
              </w:rPr>
              <w:t>FY</w:t>
            </w:r>
            <w:r w:rsidR="00AB47F4" w:rsidRPr="00565BC8">
              <w:rPr>
                <w:rFonts w:ascii="Courier New" w:hAnsi="Courier New"/>
                <w:sz w:val="18"/>
              </w:rPr>
              <w:t xml:space="preserve"> 2007 iCDR cohort </w:t>
            </w:r>
            <w:r w:rsidR="0019037D">
              <w:rPr>
                <w:rFonts w:ascii="Courier New" w:hAnsi="Courier New"/>
                <w:sz w:val="18"/>
              </w:rPr>
              <w:t xml:space="preserve">for </w:t>
            </w:r>
            <w:r w:rsidR="00AB47F4" w:rsidRPr="00565BC8">
              <w:rPr>
                <w:rFonts w:ascii="Courier New" w:hAnsi="Courier New"/>
                <w:sz w:val="18"/>
              </w:rPr>
              <w:t xml:space="preserve"> selected institutions of higher education</w:t>
            </w:r>
          </w:p>
        </w:tc>
        <w:tc>
          <w:tcPr>
            <w:tcW w:w="0" w:type="auto"/>
            <w:tcBorders>
              <w:top w:val="single" w:sz="12" w:space="0" w:color="auto"/>
            </w:tcBorders>
            <w:shd w:val="clear" w:color="auto" w:fill="auto"/>
          </w:tcPr>
          <w:p w14:paraId="772B970B"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9/13/13</w:t>
            </w:r>
          </w:p>
        </w:tc>
        <w:tc>
          <w:tcPr>
            <w:tcW w:w="0" w:type="auto"/>
            <w:tcBorders>
              <w:top w:val="single" w:sz="12" w:space="0" w:color="auto"/>
            </w:tcBorders>
            <w:shd w:val="clear" w:color="auto" w:fill="auto"/>
          </w:tcPr>
          <w:p w14:paraId="5E4E8791"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900,419</w:t>
            </w:r>
            <w:r w:rsidRPr="00565BC8">
              <w:rPr>
                <w:rFonts w:ascii="Courier New" w:hAnsi="Courier New"/>
                <w:sz w:val="18"/>
              </w:rPr>
              <w:br/>
              <w:t>901,719</w:t>
            </w:r>
            <w:r w:rsidRPr="00565BC8">
              <w:rPr>
                <w:rFonts w:ascii="Courier New" w:hAnsi="Courier New"/>
                <w:sz w:val="18"/>
              </w:rPr>
              <w:br/>
              <w:t>902,380</w:t>
            </w:r>
            <w:r w:rsidRPr="00565BC8">
              <w:rPr>
                <w:rFonts w:ascii="Courier New" w:hAnsi="Courier New"/>
                <w:sz w:val="18"/>
              </w:rPr>
              <w:br/>
              <w:t>921,749</w:t>
            </w:r>
          </w:p>
        </w:tc>
        <w:tc>
          <w:tcPr>
            <w:tcW w:w="0" w:type="auto"/>
            <w:tcBorders>
              <w:top w:val="single" w:sz="12" w:space="0" w:color="auto"/>
            </w:tcBorders>
            <w:shd w:val="clear" w:color="auto" w:fill="auto"/>
          </w:tcPr>
          <w:p w14:paraId="05B3A836"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892,796</w:t>
            </w:r>
            <w:r w:rsidRPr="00565BC8">
              <w:rPr>
                <w:rFonts w:ascii="Courier New" w:hAnsi="Courier New"/>
                <w:sz w:val="18"/>
              </w:rPr>
              <w:br/>
              <w:t>894,260</w:t>
            </w:r>
            <w:r w:rsidRPr="00565BC8">
              <w:rPr>
                <w:rFonts w:ascii="Courier New" w:hAnsi="Courier New"/>
                <w:sz w:val="18"/>
              </w:rPr>
              <w:br/>
              <w:t>892,840</w:t>
            </w:r>
            <w:r w:rsidRPr="00565BC8">
              <w:rPr>
                <w:rFonts w:ascii="Courier New" w:hAnsi="Courier New"/>
                <w:sz w:val="18"/>
              </w:rPr>
              <w:br/>
              <w:t>909,613</w:t>
            </w:r>
          </w:p>
        </w:tc>
        <w:tc>
          <w:tcPr>
            <w:tcW w:w="0" w:type="auto"/>
            <w:tcBorders>
              <w:top w:val="single" w:sz="12" w:space="0" w:color="auto"/>
            </w:tcBorders>
            <w:shd w:val="clear" w:color="auto" w:fill="auto"/>
          </w:tcPr>
          <w:p w14:paraId="5848CD9F"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7623</w:t>
            </w:r>
            <w:r w:rsidRPr="00565BC8">
              <w:rPr>
                <w:rFonts w:ascii="Courier New" w:hAnsi="Courier New"/>
                <w:sz w:val="18"/>
              </w:rPr>
              <w:br/>
              <w:t>7459</w:t>
            </w:r>
            <w:r w:rsidRPr="00565BC8">
              <w:rPr>
                <w:rFonts w:ascii="Courier New" w:hAnsi="Courier New"/>
                <w:sz w:val="18"/>
              </w:rPr>
              <w:br/>
              <w:t>9540</w:t>
            </w:r>
            <w:r w:rsidRPr="00565BC8">
              <w:rPr>
                <w:rFonts w:ascii="Courier New" w:hAnsi="Courier New"/>
                <w:sz w:val="18"/>
              </w:rPr>
              <w:br/>
              <w:t>12,136</w:t>
            </w:r>
          </w:p>
        </w:tc>
        <w:tc>
          <w:tcPr>
            <w:tcW w:w="0" w:type="auto"/>
            <w:tcBorders>
              <w:top w:val="single" w:sz="12" w:space="0" w:color="auto"/>
            </w:tcBorders>
            <w:shd w:val="clear" w:color="auto" w:fill="auto"/>
          </w:tcPr>
          <w:p w14:paraId="7C053AD4"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809,204</w:t>
            </w:r>
            <w:r w:rsidRPr="00565BC8">
              <w:rPr>
                <w:rFonts w:ascii="Courier New" w:hAnsi="Courier New"/>
                <w:sz w:val="18"/>
              </w:rPr>
              <w:br/>
              <w:t>819,542</w:t>
            </w:r>
            <w:r w:rsidRPr="00565BC8">
              <w:rPr>
                <w:rFonts w:ascii="Courier New" w:hAnsi="Courier New"/>
                <w:sz w:val="18"/>
              </w:rPr>
              <w:br/>
              <w:t>787,223</w:t>
            </w:r>
            <w:r w:rsidRPr="00565BC8">
              <w:rPr>
                <w:rFonts w:ascii="Courier New" w:hAnsi="Courier New"/>
                <w:sz w:val="18"/>
              </w:rPr>
              <w:br/>
              <w:t>772,574</w:t>
            </w:r>
          </w:p>
        </w:tc>
        <w:tc>
          <w:tcPr>
            <w:tcW w:w="0" w:type="auto"/>
            <w:tcBorders>
              <w:top w:val="single" w:sz="12" w:space="0" w:color="auto"/>
              <w:right w:val="single" w:sz="12" w:space="0" w:color="auto"/>
            </w:tcBorders>
            <w:shd w:val="clear" w:color="auto" w:fill="auto"/>
          </w:tcPr>
          <w:p w14:paraId="6FAED0B2" w14:textId="77777777" w:rsidR="00AB47F4" w:rsidRPr="00565BC8" w:rsidRDefault="00AB47F4" w:rsidP="00336C9D">
            <w:pPr>
              <w:spacing w:line="240" w:lineRule="auto"/>
              <w:rPr>
                <w:rFonts w:ascii="Courier New" w:hAnsi="Courier New"/>
                <w:sz w:val="18"/>
              </w:rPr>
            </w:pPr>
            <w:r w:rsidRPr="00565BC8">
              <w:rPr>
                <w:rFonts w:ascii="Courier New" w:hAnsi="Courier New"/>
                <w:sz w:val="18"/>
              </w:rPr>
              <w:t>83,592</w:t>
            </w:r>
            <w:r w:rsidRPr="00565BC8">
              <w:rPr>
                <w:rFonts w:ascii="Courier New" w:hAnsi="Courier New"/>
                <w:sz w:val="18"/>
              </w:rPr>
              <w:br/>
              <w:t>74,718</w:t>
            </w:r>
            <w:r w:rsidRPr="00565BC8">
              <w:rPr>
                <w:rFonts w:ascii="Courier New" w:hAnsi="Courier New"/>
                <w:sz w:val="18"/>
              </w:rPr>
              <w:br/>
              <w:t>105,617</w:t>
            </w:r>
            <w:r w:rsidRPr="00565BC8">
              <w:rPr>
                <w:rFonts w:ascii="Courier New" w:hAnsi="Courier New"/>
                <w:sz w:val="18"/>
              </w:rPr>
              <w:br/>
              <w:t>137,039</w:t>
            </w:r>
          </w:p>
        </w:tc>
      </w:tr>
      <w:tr w:rsidR="00AB47F4" w14:paraId="7D4F61A3" w14:textId="77777777" w:rsidTr="0045631C">
        <w:trPr>
          <w:trHeight w:val="945"/>
        </w:trPr>
        <w:tc>
          <w:tcPr>
            <w:tcW w:w="0" w:type="auto"/>
            <w:vMerge/>
            <w:tcBorders>
              <w:left w:val="single" w:sz="12" w:space="0" w:color="auto"/>
              <w:bottom w:val="single" w:sz="12" w:space="0" w:color="auto"/>
            </w:tcBorders>
            <w:shd w:val="clear" w:color="auto" w:fill="auto"/>
          </w:tcPr>
          <w:p w14:paraId="4BD9E36E" w14:textId="77777777" w:rsidR="00AB47F4" w:rsidRPr="001F0DC1" w:rsidRDefault="00AB47F4" w:rsidP="00336C9D">
            <w:pPr>
              <w:spacing w:line="240" w:lineRule="auto"/>
              <w:ind w:left="720"/>
              <w:jc w:val="both"/>
              <w:rPr>
                <w:rFonts w:ascii="Courier New" w:hAnsi="Courier New" w:cs="Courier New"/>
                <w:sz w:val="18"/>
                <w:szCs w:val="18"/>
              </w:rPr>
            </w:pPr>
          </w:p>
        </w:tc>
        <w:tc>
          <w:tcPr>
            <w:tcW w:w="0" w:type="auto"/>
            <w:tcBorders>
              <w:bottom w:val="single" w:sz="12" w:space="0" w:color="auto"/>
            </w:tcBorders>
            <w:shd w:val="clear" w:color="auto" w:fill="auto"/>
          </w:tcPr>
          <w:p w14:paraId="00F6CDEE"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Totals</w:t>
            </w:r>
          </w:p>
        </w:tc>
        <w:tc>
          <w:tcPr>
            <w:tcW w:w="0" w:type="auto"/>
            <w:tcBorders>
              <w:bottom w:val="single" w:sz="12" w:space="0" w:color="auto"/>
            </w:tcBorders>
            <w:shd w:val="clear" w:color="auto" w:fill="auto"/>
          </w:tcPr>
          <w:p w14:paraId="1746C435"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3,626,267</w:t>
            </w:r>
          </w:p>
        </w:tc>
        <w:tc>
          <w:tcPr>
            <w:tcW w:w="0" w:type="auto"/>
            <w:tcBorders>
              <w:bottom w:val="single" w:sz="12" w:space="0" w:color="auto"/>
            </w:tcBorders>
            <w:shd w:val="clear" w:color="auto" w:fill="auto"/>
          </w:tcPr>
          <w:p w14:paraId="10E1E732" w14:textId="77777777" w:rsidR="00AB47F4" w:rsidRPr="001F0DC1" w:rsidRDefault="00AB47F4" w:rsidP="0045631C">
            <w:pPr>
              <w:spacing w:line="240" w:lineRule="auto"/>
              <w:rPr>
                <w:rFonts w:ascii="Courier New" w:hAnsi="Courier New" w:cs="Courier New"/>
                <w:b/>
                <w:sz w:val="18"/>
                <w:szCs w:val="18"/>
              </w:rPr>
            </w:pPr>
            <w:r w:rsidRPr="001F0DC1">
              <w:rPr>
                <w:rFonts w:ascii="Courier New" w:hAnsi="Courier New" w:cs="Courier New"/>
                <w:b/>
                <w:sz w:val="18"/>
                <w:szCs w:val="18"/>
              </w:rPr>
              <w:t>3,589,509</w:t>
            </w:r>
          </w:p>
        </w:tc>
        <w:tc>
          <w:tcPr>
            <w:tcW w:w="0" w:type="auto"/>
            <w:tcBorders>
              <w:bottom w:val="single" w:sz="12" w:space="0" w:color="auto"/>
            </w:tcBorders>
            <w:shd w:val="clear" w:color="auto" w:fill="auto"/>
          </w:tcPr>
          <w:p w14:paraId="456F2226" w14:textId="77777777" w:rsidR="00AB47F4" w:rsidRPr="001F0DC1" w:rsidRDefault="00AB47F4" w:rsidP="0045631C">
            <w:pPr>
              <w:spacing w:line="240" w:lineRule="auto"/>
              <w:rPr>
                <w:rFonts w:ascii="Courier New" w:hAnsi="Courier New" w:cs="Courier New"/>
                <w:b/>
                <w:sz w:val="18"/>
                <w:szCs w:val="18"/>
              </w:rPr>
            </w:pPr>
            <w:r w:rsidRPr="001F0DC1">
              <w:rPr>
                <w:rFonts w:ascii="Courier New" w:hAnsi="Courier New" w:cs="Courier New"/>
                <w:b/>
                <w:sz w:val="18"/>
                <w:szCs w:val="18"/>
              </w:rPr>
              <w:t>36,758</w:t>
            </w:r>
          </w:p>
        </w:tc>
        <w:tc>
          <w:tcPr>
            <w:tcW w:w="0" w:type="auto"/>
            <w:tcBorders>
              <w:bottom w:val="single" w:sz="12" w:space="0" w:color="auto"/>
            </w:tcBorders>
            <w:shd w:val="clear" w:color="auto" w:fill="auto"/>
          </w:tcPr>
          <w:p w14:paraId="537DD7BE" w14:textId="77777777" w:rsidR="00AB47F4" w:rsidRPr="001F0DC1" w:rsidRDefault="00AB47F4" w:rsidP="00336C9D">
            <w:pPr>
              <w:spacing w:line="240" w:lineRule="auto"/>
              <w:jc w:val="right"/>
              <w:rPr>
                <w:rFonts w:ascii="Courier New" w:hAnsi="Courier New" w:cs="Courier New"/>
                <w:b/>
                <w:sz w:val="18"/>
                <w:szCs w:val="18"/>
              </w:rPr>
            </w:pPr>
            <w:r w:rsidRPr="001F0DC1">
              <w:rPr>
                <w:rFonts w:ascii="Courier New" w:hAnsi="Courier New" w:cs="Courier New"/>
                <w:b/>
                <w:sz w:val="18"/>
                <w:szCs w:val="18"/>
              </w:rPr>
              <w:t>3,188,543</w:t>
            </w:r>
          </w:p>
        </w:tc>
        <w:tc>
          <w:tcPr>
            <w:tcW w:w="0" w:type="auto"/>
            <w:tcBorders>
              <w:bottom w:val="single" w:sz="12" w:space="0" w:color="auto"/>
              <w:right w:val="single" w:sz="12" w:space="0" w:color="auto"/>
            </w:tcBorders>
            <w:shd w:val="clear" w:color="auto" w:fill="auto"/>
          </w:tcPr>
          <w:p w14:paraId="1DCA84A5" w14:textId="77777777" w:rsidR="00AB47F4" w:rsidRPr="001F0DC1" w:rsidRDefault="00AB47F4" w:rsidP="0045631C">
            <w:pPr>
              <w:spacing w:line="240" w:lineRule="auto"/>
              <w:jc w:val="center"/>
              <w:rPr>
                <w:rFonts w:ascii="Courier New" w:hAnsi="Courier New" w:cs="Courier New"/>
                <w:b/>
                <w:sz w:val="18"/>
                <w:szCs w:val="18"/>
              </w:rPr>
            </w:pPr>
            <w:r w:rsidRPr="001F0DC1">
              <w:rPr>
                <w:rFonts w:ascii="Courier New" w:hAnsi="Courier New" w:cs="Courier New"/>
                <w:b/>
                <w:sz w:val="18"/>
                <w:szCs w:val="18"/>
              </w:rPr>
              <w:t>400,966</w:t>
            </w:r>
            <w:r w:rsidRPr="001F0DC1">
              <w:rPr>
                <w:rFonts w:ascii="Courier New" w:hAnsi="Courier New" w:cs="Courier New"/>
                <w:b/>
                <w:sz w:val="18"/>
                <w:szCs w:val="18"/>
              </w:rPr>
              <w:br/>
              <w:t>[11.1% of verified]</w:t>
            </w:r>
          </w:p>
        </w:tc>
      </w:tr>
      <w:tr w:rsidR="00AB47F4" w14:paraId="4E87C244" w14:textId="77777777" w:rsidTr="0045631C">
        <w:trPr>
          <w:trHeight w:val="870"/>
        </w:trPr>
        <w:tc>
          <w:tcPr>
            <w:tcW w:w="0" w:type="auto"/>
            <w:vMerge w:val="restart"/>
            <w:tcBorders>
              <w:top w:val="single" w:sz="12" w:space="0" w:color="auto"/>
              <w:left w:val="single" w:sz="12" w:space="0" w:color="auto"/>
            </w:tcBorders>
            <w:shd w:val="clear" w:color="auto" w:fill="auto"/>
          </w:tcPr>
          <w:p w14:paraId="6961B727" w14:textId="33179BBA" w:rsidR="00AB47F4" w:rsidRPr="001F0DC1" w:rsidRDefault="0045631C" w:rsidP="00336C9D">
            <w:pPr>
              <w:spacing w:line="240" w:lineRule="auto"/>
              <w:rPr>
                <w:rFonts w:ascii="Courier New" w:hAnsi="Courier New" w:cs="Courier New"/>
                <w:sz w:val="18"/>
                <w:szCs w:val="18"/>
              </w:rPr>
            </w:pPr>
            <w:r>
              <w:rPr>
                <w:rFonts w:ascii="Courier New" w:hAnsi="Courier New" w:cs="Courier New"/>
                <w:sz w:val="18"/>
                <w:szCs w:val="18"/>
              </w:rPr>
              <w:t xml:space="preserve">For </w:t>
            </w:r>
            <w:r w:rsidR="00483972">
              <w:rPr>
                <w:rFonts w:ascii="Courier New" w:hAnsi="Courier New" w:cs="Courier New"/>
                <w:sz w:val="18"/>
                <w:szCs w:val="18"/>
              </w:rPr>
              <w:t xml:space="preserve">College </w:t>
            </w:r>
            <w:r w:rsidR="00AB47F4" w:rsidRPr="001F0DC1">
              <w:rPr>
                <w:rFonts w:ascii="Courier New" w:hAnsi="Courier New" w:cs="Courier New"/>
                <w:sz w:val="18"/>
                <w:szCs w:val="18"/>
              </w:rPr>
              <w:t>Scorecard</w:t>
            </w:r>
            <w:r>
              <w:rPr>
                <w:rFonts w:ascii="Courier New" w:hAnsi="Courier New" w:cs="Courier New"/>
                <w:sz w:val="18"/>
                <w:szCs w:val="18"/>
              </w:rPr>
              <w:t xml:space="preserve"> -</w:t>
            </w:r>
            <w:r w:rsidR="00AB47F4" w:rsidRPr="001F0DC1">
              <w:rPr>
                <w:rFonts w:ascii="Courier New" w:hAnsi="Courier New" w:cs="Courier New"/>
                <w:sz w:val="18"/>
                <w:szCs w:val="18"/>
              </w:rPr>
              <w:br/>
              <w:t>Title IV only</w:t>
            </w:r>
            <w:r w:rsidR="00AB47F4" w:rsidRPr="001F0DC1">
              <w:rPr>
                <w:rFonts w:ascii="Courier New" w:hAnsi="Courier New" w:cs="Courier New"/>
                <w:sz w:val="18"/>
                <w:szCs w:val="18"/>
              </w:rPr>
              <w:br/>
            </w:r>
            <w:r>
              <w:rPr>
                <w:rFonts w:ascii="Courier New" w:hAnsi="Courier New" w:cs="Courier New"/>
                <w:sz w:val="18"/>
                <w:szCs w:val="18"/>
              </w:rPr>
              <w:t>derived from</w:t>
            </w:r>
            <w:r w:rsidR="00AB47F4" w:rsidRPr="001F0DC1">
              <w:rPr>
                <w:rFonts w:ascii="Courier New" w:hAnsi="Courier New" w:cs="Courier New"/>
                <w:sz w:val="18"/>
                <w:szCs w:val="18"/>
              </w:rPr>
              <w:t xml:space="preserve"> ED data on borrowers in </w:t>
            </w:r>
            <w:r w:rsidR="00A37D38">
              <w:rPr>
                <w:rFonts w:ascii="Courier New" w:hAnsi="Courier New" w:cs="Courier New"/>
                <w:sz w:val="18"/>
                <w:szCs w:val="18"/>
              </w:rPr>
              <w:t xml:space="preserve">FY </w:t>
            </w:r>
            <w:r w:rsidR="00AB47F4" w:rsidRPr="001F0DC1">
              <w:rPr>
                <w:rFonts w:ascii="Courier New" w:hAnsi="Courier New" w:cs="Courier New"/>
                <w:sz w:val="18"/>
                <w:szCs w:val="18"/>
              </w:rPr>
              <w:t xml:space="preserve">2008 iCDR cohort </w:t>
            </w:r>
            <w:r w:rsidR="0019037D">
              <w:rPr>
                <w:rFonts w:ascii="Courier New" w:hAnsi="Courier New" w:cs="Courier New"/>
                <w:sz w:val="18"/>
                <w:szCs w:val="18"/>
              </w:rPr>
              <w:t xml:space="preserve">for </w:t>
            </w:r>
            <w:r w:rsidR="00A37D38" w:rsidRPr="001F0DC1">
              <w:rPr>
                <w:rFonts w:ascii="Courier New" w:hAnsi="Courier New" w:cs="Courier New"/>
                <w:sz w:val="18"/>
                <w:szCs w:val="18"/>
              </w:rPr>
              <w:t xml:space="preserve"> </w:t>
            </w:r>
            <w:r w:rsidR="00AB47F4" w:rsidRPr="001F0DC1">
              <w:rPr>
                <w:rFonts w:ascii="Courier New" w:hAnsi="Courier New" w:cs="Courier New"/>
                <w:sz w:val="18"/>
                <w:szCs w:val="18"/>
              </w:rPr>
              <w:t>selected institutions of higher education</w:t>
            </w:r>
          </w:p>
        </w:tc>
        <w:tc>
          <w:tcPr>
            <w:tcW w:w="0" w:type="auto"/>
            <w:tcBorders>
              <w:top w:val="single" w:sz="12" w:space="0" w:color="auto"/>
            </w:tcBorders>
            <w:shd w:val="clear" w:color="auto" w:fill="auto"/>
          </w:tcPr>
          <w:p w14:paraId="64BC46A1"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12/13/13</w:t>
            </w:r>
          </w:p>
        </w:tc>
        <w:tc>
          <w:tcPr>
            <w:tcW w:w="0" w:type="auto"/>
            <w:tcBorders>
              <w:top w:val="single" w:sz="12" w:space="0" w:color="auto"/>
            </w:tcBorders>
            <w:shd w:val="clear" w:color="auto" w:fill="auto"/>
          </w:tcPr>
          <w:p w14:paraId="25EE8B2C"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969,145</w:t>
            </w:r>
            <w:r w:rsidRPr="001F0DC1">
              <w:rPr>
                <w:rFonts w:ascii="Courier New" w:hAnsi="Courier New" w:cs="Courier New"/>
                <w:sz w:val="18"/>
                <w:szCs w:val="18"/>
              </w:rPr>
              <w:br/>
              <w:t>985,742</w:t>
            </w:r>
            <w:r w:rsidRPr="001F0DC1">
              <w:rPr>
                <w:rFonts w:ascii="Courier New" w:hAnsi="Courier New" w:cs="Courier New"/>
                <w:sz w:val="18"/>
                <w:szCs w:val="18"/>
              </w:rPr>
              <w:br/>
              <w:t>490,305</w:t>
            </w:r>
          </w:p>
        </w:tc>
        <w:tc>
          <w:tcPr>
            <w:tcW w:w="0" w:type="auto"/>
            <w:tcBorders>
              <w:top w:val="single" w:sz="12" w:space="0" w:color="auto"/>
            </w:tcBorders>
            <w:shd w:val="clear" w:color="auto" w:fill="auto"/>
          </w:tcPr>
          <w:p w14:paraId="4B5DD40D"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954,728</w:t>
            </w:r>
            <w:r w:rsidRPr="001F0DC1">
              <w:rPr>
                <w:rFonts w:ascii="Courier New" w:hAnsi="Courier New" w:cs="Courier New"/>
                <w:sz w:val="18"/>
                <w:szCs w:val="18"/>
              </w:rPr>
              <w:br/>
              <w:t>970,742</w:t>
            </w:r>
            <w:r w:rsidRPr="001F0DC1">
              <w:rPr>
                <w:rFonts w:ascii="Courier New" w:hAnsi="Courier New" w:cs="Courier New"/>
                <w:sz w:val="18"/>
                <w:szCs w:val="18"/>
              </w:rPr>
              <w:br/>
              <w:t>480,421</w:t>
            </w:r>
          </w:p>
        </w:tc>
        <w:tc>
          <w:tcPr>
            <w:tcW w:w="0" w:type="auto"/>
            <w:tcBorders>
              <w:top w:val="single" w:sz="12" w:space="0" w:color="auto"/>
            </w:tcBorders>
            <w:shd w:val="clear" w:color="auto" w:fill="auto"/>
          </w:tcPr>
          <w:p w14:paraId="699CD1FC"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14,417</w:t>
            </w:r>
            <w:r w:rsidRPr="001F0DC1">
              <w:rPr>
                <w:rFonts w:ascii="Courier New" w:hAnsi="Courier New" w:cs="Courier New"/>
                <w:sz w:val="18"/>
                <w:szCs w:val="18"/>
              </w:rPr>
              <w:br/>
              <w:t>15,000</w:t>
            </w:r>
            <w:r w:rsidRPr="001F0DC1">
              <w:rPr>
                <w:rFonts w:ascii="Courier New" w:hAnsi="Courier New" w:cs="Courier New"/>
                <w:sz w:val="18"/>
                <w:szCs w:val="18"/>
              </w:rPr>
              <w:br/>
              <w:t>9884</w:t>
            </w:r>
          </w:p>
        </w:tc>
        <w:tc>
          <w:tcPr>
            <w:tcW w:w="0" w:type="auto"/>
            <w:tcBorders>
              <w:top w:val="single" w:sz="12" w:space="0" w:color="auto"/>
            </w:tcBorders>
            <w:shd w:val="clear" w:color="auto" w:fill="auto"/>
          </w:tcPr>
          <w:p w14:paraId="40309387"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857,539</w:t>
            </w:r>
            <w:r w:rsidRPr="001F0DC1">
              <w:rPr>
                <w:rFonts w:ascii="Courier New" w:hAnsi="Courier New" w:cs="Courier New"/>
                <w:sz w:val="18"/>
                <w:szCs w:val="18"/>
              </w:rPr>
              <w:br/>
              <w:t>865,060</w:t>
            </w:r>
            <w:r w:rsidRPr="001F0DC1">
              <w:rPr>
                <w:rFonts w:ascii="Courier New" w:hAnsi="Courier New" w:cs="Courier New"/>
                <w:sz w:val="18"/>
                <w:szCs w:val="18"/>
              </w:rPr>
              <w:br/>
              <w:t>411,917</w:t>
            </w:r>
          </w:p>
        </w:tc>
        <w:tc>
          <w:tcPr>
            <w:tcW w:w="0" w:type="auto"/>
            <w:tcBorders>
              <w:top w:val="single" w:sz="12" w:space="0" w:color="auto"/>
              <w:right w:val="single" w:sz="12" w:space="0" w:color="auto"/>
            </w:tcBorders>
            <w:shd w:val="clear" w:color="auto" w:fill="auto"/>
          </w:tcPr>
          <w:p w14:paraId="229879DC" w14:textId="77777777" w:rsidR="00AB47F4" w:rsidRPr="001F0DC1" w:rsidRDefault="00AB47F4" w:rsidP="00336C9D">
            <w:pPr>
              <w:spacing w:line="240" w:lineRule="auto"/>
              <w:rPr>
                <w:rFonts w:ascii="Courier New" w:hAnsi="Courier New" w:cs="Courier New"/>
                <w:sz w:val="18"/>
                <w:szCs w:val="18"/>
              </w:rPr>
            </w:pPr>
            <w:r w:rsidRPr="001F0DC1">
              <w:rPr>
                <w:rFonts w:ascii="Courier New" w:hAnsi="Courier New" w:cs="Courier New"/>
                <w:sz w:val="18"/>
                <w:szCs w:val="18"/>
              </w:rPr>
              <w:t>97,189</w:t>
            </w:r>
            <w:r w:rsidRPr="001F0DC1">
              <w:rPr>
                <w:rFonts w:ascii="Courier New" w:hAnsi="Courier New" w:cs="Courier New"/>
                <w:sz w:val="18"/>
                <w:szCs w:val="18"/>
              </w:rPr>
              <w:br/>
              <w:t>105,</w:t>
            </w:r>
            <w:r w:rsidRPr="000C6E8B">
              <w:rPr>
                <w:rFonts w:ascii="Courier New" w:hAnsi="Courier New"/>
                <w:b/>
                <w:sz w:val="18"/>
              </w:rPr>
              <w:t>682</w:t>
            </w:r>
            <w:r w:rsidRPr="001F0DC1">
              <w:rPr>
                <w:rFonts w:ascii="Courier New" w:hAnsi="Courier New" w:cs="Courier New"/>
                <w:sz w:val="18"/>
                <w:szCs w:val="18"/>
              </w:rPr>
              <w:br/>
              <w:t>68,504</w:t>
            </w:r>
          </w:p>
        </w:tc>
      </w:tr>
      <w:tr w:rsidR="00AB47F4" w14:paraId="62287131" w14:textId="77777777" w:rsidTr="0045631C">
        <w:trPr>
          <w:trHeight w:val="930"/>
        </w:trPr>
        <w:tc>
          <w:tcPr>
            <w:tcW w:w="0" w:type="auto"/>
            <w:vMerge/>
            <w:tcBorders>
              <w:left w:val="single" w:sz="12" w:space="0" w:color="auto"/>
              <w:bottom w:val="single" w:sz="12" w:space="0" w:color="auto"/>
            </w:tcBorders>
            <w:shd w:val="clear" w:color="auto" w:fill="auto"/>
          </w:tcPr>
          <w:p w14:paraId="49348045" w14:textId="77777777" w:rsidR="00AB47F4" w:rsidRPr="001F0DC1" w:rsidRDefault="00AB47F4" w:rsidP="00336C9D">
            <w:pPr>
              <w:spacing w:line="240" w:lineRule="auto"/>
              <w:ind w:left="720"/>
              <w:rPr>
                <w:rFonts w:ascii="Courier New" w:hAnsi="Courier New" w:cs="Courier New"/>
                <w:sz w:val="18"/>
                <w:szCs w:val="18"/>
              </w:rPr>
            </w:pPr>
          </w:p>
        </w:tc>
        <w:tc>
          <w:tcPr>
            <w:tcW w:w="0" w:type="auto"/>
            <w:tcBorders>
              <w:bottom w:val="single" w:sz="12" w:space="0" w:color="auto"/>
            </w:tcBorders>
            <w:shd w:val="clear" w:color="auto" w:fill="auto"/>
          </w:tcPr>
          <w:p w14:paraId="7E29C189"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Totals</w:t>
            </w:r>
          </w:p>
        </w:tc>
        <w:tc>
          <w:tcPr>
            <w:tcW w:w="0" w:type="auto"/>
            <w:tcBorders>
              <w:bottom w:val="single" w:sz="12" w:space="0" w:color="auto"/>
            </w:tcBorders>
            <w:shd w:val="clear" w:color="auto" w:fill="auto"/>
          </w:tcPr>
          <w:p w14:paraId="22F2A93F"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2,445,192</w:t>
            </w:r>
          </w:p>
        </w:tc>
        <w:tc>
          <w:tcPr>
            <w:tcW w:w="0" w:type="auto"/>
            <w:tcBorders>
              <w:bottom w:val="single" w:sz="12" w:space="0" w:color="auto"/>
            </w:tcBorders>
            <w:shd w:val="clear" w:color="auto" w:fill="auto"/>
          </w:tcPr>
          <w:p w14:paraId="52538EC2"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2,405,891</w:t>
            </w:r>
          </w:p>
        </w:tc>
        <w:tc>
          <w:tcPr>
            <w:tcW w:w="0" w:type="auto"/>
            <w:tcBorders>
              <w:bottom w:val="single" w:sz="12" w:space="0" w:color="auto"/>
            </w:tcBorders>
            <w:shd w:val="clear" w:color="auto" w:fill="auto"/>
          </w:tcPr>
          <w:p w14:paraId="6A987D25"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39,301</w:t>
            </w:r>
          </w:p>
        </w:tc>
        <w:tc>
          <w:tcPr>
            <w:tcW w:w="0" w:type="auto"/>
            <w:tcBorders>
              <w:bottom w:val="single" w:sz="12" w:space="0" w:color="auto"/>
            </w:tcBorders>
            <w:shd w:val="clear" w:color="auto" w:fill="auto"/>
          </w:tcPr>
          <w:p w14:paraId="7705D805"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2,134,516</w:t>
            </w:r>
          </w:p>
        </w:tc>
        <w:tc>
          <w:tcPr>
            <w:tcW w:w="0" w:type="auto"/>
            <w:tcBorders>
              <w:bottom w:val="single" w:sz="12" w:space="0" w:color="auto"/>
              <w:right w:val="single" w:sz="12" w:space="0" w:color="auto"/>
            </w:tcBorders>
            <w:shd w:val="clear" w:color="auto" w:fill="auto"/>
          </w:tcPr>
          <w:p w14:paraId="363D2104"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271,375</w:t>
            </w:r>
            <w:r w:rsidRPr="001F0DC1">
              <w:rPr>
                <w:rFonts w:ascii="Courier New" w:hAnsi="Courier New" w:cs="Courier New"/>
                <w:b/>
                <w:sz w:val="18"/>
                <w:szCs w:val="18"/>
              </w:rPr>
              <w:br/>
              <w:t>[11.3% of verified]</w:t>
            </w:r>
          </w:p>
        </w:tc>
      </w:tr>
      <w:tr w:rsidR="00AB47F4" w14:paraId="0F24A3A4" w14:textId="77777777" w:rsidTr="0045631C">
        <w:trPr>
          <w:trHeight w:val="935"/>
        </w:trPr>
        <w:tc>
          <w:tcPr>
            <w:tcW w:w="0" w:type="auto"/>
            <w:gridSpan w:val="2"/>
            <w:tcBorders>
              <w:top w:val="single" w:sz="12" w:space="0" w:color="auto"/>
              <w:left w:val="single" w:sz="12" w:space="0" w:color="auto"/>
              <w:bottom w:val="single" w:sz="12" w:space="0" w:color="auto"/>
            </w:tcBorders>
            <w:shd w:val="clear" w:color="auto" w:fill="auto"/>
          </w:tcPr>
          <w:p w14:paraId="448B3D5E" w14:textId="77777777" w:rsidR="00AB47F4" w:rsidRPr="001F0DC1" w:rsidRDefault="00AB47F4" w:rsidP="00336C9D">
            <w:pPr>
              <w:spacing w:line="240" w:lineRule="auto"/>
              <w:ind w:left="720"/>
              <w:jc w:val="right"/>
              <w:rPr>
                <w:rFonts w:ascii="Courier New" w:hAnsi="Courier New" w:cs="Courier New"/>
                <w:b/>
                <w:sz w:val="18"/>
                <w:szCs w:val="18"/>
              </w:rPr>
            </w:pPr>
            <w:r>
              <w:rPr>
                <w:rFonts w:ascii="Courier New" w:hAnsi="Courier New" w:cs="Courier New"/>
                <w:b/>
                <w:sz w:val="18"/>
                <w:szCs w:val="18"/>
              </w:rPr>
              <w:lastRenderedPageBreak/>
              <w:t xml:space="preserve"> Grand </w:t>
            </w:r>
            <w:r w:rsidRPr="001F0DC1">
              <w:rPr>
                <w:rFonts w:ascii="Courier New" w:hAnsi="Courier New" w:cs="Courier New"/>
                <w:b/>
                <w:sz w:val="18"/>
                <w:szCs w:val="18"/>
              </w:rPr>
              <w:t xml:space="preserve">Totals </w:t>
            </w:r>
          </w:p>
        </w:tc>
        <w:tc>
          <w:tcPr>
            <w:tcW w:w="0" w:type="auto"/>
            <w:tcBorders>
              <w:top w:val="single" w:sz="12" w:space="0" w:color="auto"/>
              <w:bottom w:val="single" w:sz="12" w:space="0" w:color="auto"/>
            </w:tcBorders>
            <w:shd w:val="clear" w:color="auto" w:fill="auto"/>
          </w:tcPr>
          <w:p w14:paraId="2CBE0D73" w14:textId="77777777" w:rsidR="00AB47F4" w:rsidRPr="001F0DC1" w:rsidRDefault="00AB47F4" w:rsidP="00336C9D">
            <w:pPr>
              <w:spacing w:line="240" w:lineRule="auto"/>
              <w:rPr>
                <w:rFonts w:ascii="Courier New" w:hAnsi="Courier New" w:cs="Courier New"/>
                <w:b/>
                <w:sz w:val="18"/>
                <w:szCs w:val="18"/>
              </w:rPr>
            </w:pPr>
            <w:r>
              <w:rPr>
                <w:rFonts w:ascii="Courier New" w:hAnsi="Courier New" w:cs="Courier New"/>
                <w:b/>
                <w:sz w:val="18"/>
                <w:szCs w:val="18"/>
              </w:rPr>
              <w:t>8,061,744</w:t>
            </w:r>
          </w:p>
        </w:tc>
        <w:tc>
          <w:tcPr>
            <w:tcW w:w="0" w:type="auto"/>
            <w:tcBorders>
              <w:top w:val="single" w:sz="12" w:space="0" w:color="auto"/>
              <w:bottom w:val="single" w:sz="12" w:space="0" w:color="auto"/>
            </w:tcBorders>
            <w:shd w:val="clear" w:color="auto" w:fill="auto"/>
          </w:tcPr>
          <w:p w14:paraId="1216C780"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7,95</w:t>
            </w:r>
            <w:r>
              <w:rPr>
                <w:rFonts w:ascii="Courier New" w:hAnsi="Courier New" w:cs="Courier New"/>
                <w:b/>
                <w:sz w:val="18"/>
                <w:szCs w:val="18"/>
              </w:rPr>
              <w:t>9</w:t>
            </w:r>
            <w:r w:rsidRPr="001F0DC1">
              <w:rPr>
                <w:rFonts w:ascii="Courier New" w:hAnsi="Courier New" w:cs="Courier New"/>
                <w:b/>
                <w:sz w:val="18"/>
                <w:szCs w:val="18"/>
              </w:rPr>
              <w:t>,705</w:t>
            </w:r>
          </w:p>
        </w:tc>
        <w:tc>
          <w:tcPr>
            <w:tcW w:w="0" w:type="auto"/>
            <w:tcBorders>
              <w:top w:val="single" w:sz="12" w:space="0" w:color="auto"/>
              <w:bottom w:val="single" w:sz="12" w:space="0" w:color="auto"/>
            </w:tcBorders>
            <w:shd w:val="clear" w:color="auto" w:fill="auto"/>
          </w:tcPr>
          <w:p w14:paraId="0EF0415C" w14:textId="77777777" w:rsidR="00AB47F4" w:rsidRPr="001F0DC1" w:rsidRDefault="00AB47F4" w:rsidP="00336C9D">
            <w:pPr>
              <w:spacing w:line="240" w:lineRule="auto"/>
              <w:rPr>
                <w:rFonts w:ascii="Courier New" w:hAnsi="Courier New" w:cs="Courier New"/>
                <w:b/>
                <w:sz w:val="18"/>
                <w:szCs w:val="18"/>
              </w:rPr>
            </w:pPr>
            <w:r>
              <w:rPr>
                <w:rFonts w:ascii="Courier New" w:hAnsi="Courier New" w:cs="Courier New"/>
                <w:b/>
                <w:sz w:val="18"/>
                <w:szCs w:val="18"/>
              </w:rPr>
              <w:t>102,099</w:t>
            </w:r>
          </w:p>
        </w:tc>
        <w:tc>
          <w:tcPr>
            <w:tcW w:w="0" w:type="auto"/>
            <w:tcBorders>
              <w:top w:val="single" w:sz="12" w:space="0" w:color="auto"/>
              <w:bottom w:val="single" w:sz="12" w:space="0" w:color="auto"/>
            </w:tcBorders>
            <w:shd w:val="clear" w:color="auto" w:fill="auto"/>
          </w:tcPr>
          <w:p w14:paraId="32082151" w14:textId="77777777" w:rsidR="00AB47F4" w:rsidRPr="001F0DC1" w:rsidRDefault="00AB47F4" w:rsidP="00336C9D">
            <w:pPr>
              <w:spacing w:line="240" w:lineRule="auto"/>
              <w:rPr>
                <w:rFonts w:ascii="Courier New" w:hAnsi="Courier New" w:cs="Courier New"/>
                <w:b/>
                <w:sz w:val="18"/>
                <w:szCs w:val="18"/>
              </w:rPr>
            </w:pPr>
            <w:r>
              <w:rPr>
                <w:rFonts w:ascii="Courier New" w:hAnsi="Courier New" w:cs="Courier New"/>
                <w:b/>
                <w:sz w:val="18"/>
                <w:szCs w:val="18"/>
              </w:rPr>
              <w:t>7,053,041</w:t>
            </w:r>
          </w:p>
        </w:tc>
        <w:tc>
          <w:tcPr>
            <w:tcW w:w="0" w:type="auto"/>
            <w:tcBorders>
              <w:top w:val="single" w:sz="12" w:space="0" w:color="auto"/>
              <w:bottom w:val="single" w:sz="12" w:space="0" w:color="auto"/>
              <w:right w:val="single" w:sz="12" w:space="0" w:color="auto"/>
            </w:tcBorders>
            <w:shd w:val="clear" w:color="auto" w:fill="auto"/>
          </w:tcPr>
          <w:p w14:paraId="7CF2F16B" w14:textId="77777777" w:rsidR="00AB47F4" w:rsidRPr="001F0DC1" w:rsidRDefault="00AB47F4" w:rsidP="00336C9D">
            <w:pPr>
              <w:spacing w:line="240" w:lineRule="auto"/>
              <w:rPr>
                <w:rFonts w:ascii="Courier New" w:hAnsi="Courier New" w:cs="Courier New"/>
                <w:b/>
                <w:sz w:val="18"/>
                <w:szCs w:val="18"/>
              </w:rPr>
            </w:pPr>
            <w:r w:rsidRPr="001F0DC1">
              <w:rPr>
                <w:rFonts w:ascii="Courier New" w:hAnsi="Courier New" w:cs="Courier New"/>
                <w:b/>
                <w:sz w:val="18"/>
                <w:szCs w:val="18"/>
              </w:rPr>
              <w:t>906,664</w:t>
            </w:r>
            <w:r w:rsidRPr="001F0DC1">
              <w:rPr>
                <w:rFonts w:ascii="Courier New" w:hAnsi="Courier New" w:cs="Courier New"/>
                <w:b/>
                <w:sz w:val="18"/>
                <w:szCs w:val="18"/>
              </w:rPr>
              <w:br/>
              <w:t>[11.4% of verified]</w:t>
            </w:r>
          </w:p>
        </w:tc>
      </w:tr>
    </w:tbl>
    <w:p w14:paraId="4269B326" w14:textId="77777777" w:rsidR="001D71D1" w:rsidRPr="00D140AB" w:rsidRDefault="001D71D1" w:rsidP="00DB3ED1">
      <w:pPr>
        <w:pStyle w:val="Default"/>
        <w:spacing w:line="480" w:lineRule="auto"/>
        <w:ind w:left="720"/>
        <w:rPr>
          <w:rFonts w:ascii="Courier New" w:hAnsi="Courier New" w:cs="Courier New"/>
        </w:rPr>
      </w:pPr>
    </w:p>
    <w:p w14:paraId="4269B327" w14:textId="31B7C109" w:rsidR="001D71D1" w:rsidRPr="00D140AB" w:rsidRDefault="001D71D1" w:rsidP="00C92C54">
      <w:pPr>
        <w:pStyle w:val="Default"/>
        <w:spacing w:line="480" w:lineRule="auto"/>
        <w:rPr>
          <w:rFonts w:ascii="Courier New" w:hAnsi="Courier New" w:cs="Courier New"/>
        </w:rPr>
      </w:pPr>
      <w:r w:rsidRPr="00D140AB">
        <w:rPr>
          <w:rFonts w:ascii="Courier New" w:hAnsi="Courier New" w:cs="Courier New"/>
        </w:rPr>
        <w:t xml:space="preserve">The commenter asserts that on average, the percentage of verified (matched) individuals who were reported as having zero earnings was 12 percent; in fact, the average was 11.4 percent.  We note that the universes of individuals on which SSA provided aggregate earnings data were different: the GE earnings data was obtained for individuals who completed a GE program; the Scorecard data was obtained on all FFEL and Direct Loan borrowers who entered repayment in fiscal years 2007 and 2008, respectively, regardless of the institution or type of program in which they had enrolled, and therefore including borrowers who had been enrolled in GE programs and those who had been enrolled in other programs. Nevertheless, the incidence of zero earnings is similar for both groups. </w:t>
      </w:r>
    </w:p>
    <w:p w14:paraId="4269B328" w14:textId="3CB1924B" w:rsidR="001D71D1" w:rsidRPr="00D140AB" w:rsidRDefault="008D7E01" w:rsidP="00C92C54">
      <w:pPr>
        <w:pStyle w:val="Default"/>
        <w:spacing w:line="480" w:lineRule="auto"/>
        <w:rPr>
          <w:rFonts w:ascii="Courier New" w:hAnsi="Courier New" w:cs="Courier New"/>
        </w:rPr>
      </w:pPr>
      <w:r>
        <w:rPr>
          <w:rFonts w:ascii="Courier New" w:hAnsi="Courier New"/>
        </w:rPr>
        <w:t xml:space="preserve">     </w:t>
      </w:r>
      <w:r w:rsidR="001D71D1" w:rsidRPr="008D7E01">
        <w:rPr>
          <w:rFonts w:ascii="Courier New" w:hAnsi="Courier New"/>
        </w:rPr>
        <w:t>We</w:t>
      </w:r>
      <w:r w:rsidR="001D71D1" w:rsidRPr="00D140AB">
        <w:rPr>
          <w:rFonts w:ascii="Courier New" w:hAnsi="Courier New" w:cs="Courier New"/>
        </w:rPr>
        <w:t xml:space="preserve"> note that the 2011 GE informational rates were based on earnings for calendar year 2010; the annual unemployment rate for calendar year 2010 was 9.6 percent.</w:t>
      </w:r>
      <w:r w:rsidR="001D71D1" w:rsidRPr="00D140AB">
        <w:rPr>
          <w:rStyle w:val="FootnoteReference"/>
          <w:rFonts w:ascii="Courier New" w:hAnsi="Courier New" w:cs="Courier New"/>
        </w:rPr>
        <w:footnoteReference w:id="154"/>
      </w:r>
      <w:r w:rsidR="001D71D1" w:rsidRPr="00D140AB">
        <w:rPr>
          <w:rFonts w:ascii="Courier New" w:hAnsi="Courier New" w:cs="Courier New"/>
        </w:rPr>
        <w:t xml:space="preserve">  Those counted as “unemployed” in the published rate do not account for all those who are in fact not employed and earned no reported income; BLS includes as unemployed only those who </w:t>
      </w:r>
      <w:r w:rsidR="001D71D1" w:rsidRPr="00D140AB">
        <w:rPr>
          <w:rFonts w:ascii="Courier New" w:hAnsi="Courier New" w:cs="Courier New"/>
          <w:color w:val="auto"/>
        </w:rPr>
        <w:t xml:space="preserve">“do not have a job, have </w:t>
      </w:r>
      <w:r w:rsidR="001D71D1" w:rsidRPr="00D140AB">
        <w:rPr>
          <w:rFonts w:ascii="Courier New" w:hAnsi="Courier New" w:cs="Courier New"/>
          <w:color w:val="auto"/>
        </w:rPr>
        <w:lastRenderedPageBreak/>
        <w:t>actively looked for work in the prior 4 weeks, and are currently available for work.”</w:t>
      </w:r>
      <w:r w:rsidR="001D71D1" w:rsidRPr="00D140AB">
        <w:rPr>
          <w:rStyle w:val="FootnoteReference"/>
          <w:rFonts w:ascii="Courier New" w:hAnsi="Courier New" w:cs="Courier New"/>
          <w:color w:val="auto"/>
        </w:rPr>
        <w:footnoteReference w:id="155"/>
      </w:r>
      <w:r w:rsidR="001D71D1" w:rsidRPr="00D140AB">
        <w:rPr>
          <w:rFonts w:ascii="Courier New" w:hAnsi="Courier New" w:cs="Courier New"/>
          <w:color w:val="auto"/>
        </w:rPr>
        <w:t xml:space="preserve">  Those not included in this group can reasonably be expected to include those students included in a program’s D/E rates calculation who not only do not have a job, but have ceased </w:t>
      </w:r>
      <w:r w:rsidR="001D71D1" w:rsidRPr="00D140AB">
        <w:rPr>
          <w:rFonts w:ascii="Courier New" w:hAnsi="Courier New" w:cs="Courier New"/>
          <w:color w:val="333333"/>
        </w:rPr>
        <w:t xml:space="preserve">actively looking for work in the prior month.  </w:t>
      </w:r>
      <w:r w:rsidR="001D71D1" w:rsidRPr="00D140AB">
        <w:rPr>
          <w:rFonts w:ascii="Courier New" w:hAnsi="Courier New" w:cs="Courier New"/>
        </w:rPr>
        <w:t>For this group of students, the SSA data showed zero earnings for 8 percent of the verified individuals included in the rate calculation.  Unemployment rates for 2010 for two age groups likely to include most students were higher: for the group ages 20-24, the annual unemployment rate for 2010 was 18.8 percent, and for the group ages 25-34, the annual unemployment rate for 2010 was 10.8 percent.</w:t>
      </w:r>
      <w:r w:rsidR="001D71D1" w:rsidRPr="00D140AB">
        <w:rPr>
          <w:rStyle w:val="FootnoteReference"/>
          <w:rFonts w:ascii="Courier New" w:hAnsi="Courier New" w:cs="Courier New"/>
        </w:rPr>
        <w:footnoteReference w:id="156"/>
      </w:r>
      <w:r w:rsidR="001D71D1" w:rsidRPr="00D140AB">
        <w:rPr>
          <w:rFonts w:ascii="Courier New" w:hAnsi="Courier New" w:cs="Courier New"/>
        </w:rPr>
        <w:t xml:space="preserve">  As at least one commenter observed, these results are consistent with high unemployment rates.</w:t>
      </w:r>
      <w:r w:rsidR="001D71D1" w:rsidRPr="00D140AB">
        <w:rPr>
          <w:rStyle w:val="FootnoteReference"/>
          <w:rFonts w:ascii="Courier New" w:hAnsi="Courier New" w:cs="Courier New"/>
        </w:rPr>
        <w:footnoteReference w:id="157"/>
      </w:r>
      <w:r w:rsidR="001D71D1" w:rsidRPr="00D140AB">
        <w:rPr>
          <w:rFonts w:ascii="Courier New" w:hAnsi="Courier New" w:cs="Courier New"/>
        </w:rPr>
        <w:t xml:space="preserve">  </w:t>
      </w:r>
    </w:p>
    <w:p w14:paraId="3EDE8141" w14:textId="034615B3" w:rsidR="002A7110" w:rsidRDefault="001D71D1" w:rsidP="00C92C54">
      <w:pPr>
        <w:pStyle w:val="Default"/>
        <w:spacing w:line="480" w:lineRule="auto"/>
        <w:rPr>
          <w:rFonts w:ascii="Courier New" w:hAnsi="Courier New" w:cs="Courier New"/>
        </w:rPr>
      </w:pPr>
      <w:r w:rsidRPr="00D140AB">
        <w:rPr>
          <w:rFonts w:ascii="Courier New" w:hAnsi="Courier New" w:cs="Courier New"/>
        </w:rPr>
        <w:t xml:space="preserve">     The </w:t>
      </w:r>
      <w:r w:rsidR="00D67F0A" w:rsidRPr="00D140AB">
        <w:rPr>
          <w:rFonts w:ascii="Courier New" w:hAnsi="Courier New" w:cs="Courier New"/>
        </w:rPr>
        <w:t xml:space="preserve">2012 GE </w:t>
      </w:r>
      <w:r w:rsidRPr="00D140AB">
        <w:rPr>
          <w:rFonts w:ascii="Courier New" w:hAnsi="Courier New" w:cs="Courier New"/>
        </w:rPr>
        <w:t xml:space="preserve">informational rates the Department disseminated after the negotiation sessions were based on students’ earnings in calendar year 2011, for which the annual unemployment rate </w:t>
      </w:r>
      <w:r w:rsidRPr="00D140AB">
        <w:rPr>
          <w:rFonts w:ascii="Courier New" w:hAnsi="Courier New" w:cs="Courier New"/>
        </w:rPr>
        <w:lastRenderedPageBreak/>
        <w:t xml:space="preserve">was 8.9 percent, and the annual unemployment rate was 18.1 percent for individuals in the 20-24 age group and 10 percent for individuals in the 25-34 age group.  The SSA data for this group of students in GE programs included a 12.6 percent incidence of zero earnings.  </w:t>
      </w:r>
    </w:p>
    <w:p w14:paraId="4269B329" w14:textId="32BB2E53" w:rsidR="001D71D1" w:rsidRPr="00D140AB" w:rsidRDefault="008D7E01" w:rsidP="00C92C54">
      <w:pPr>
        <w:pStyle w:val="Default"/>
        <w:spacing w:line="480" w:lineRule="auto"/>
        <w:rPr>
          <w:rFonts w:ascii="Courier New" w:hAnsi="Courier New" w:cs="Courier New"/>
        </w:rPr>
      </w:pPr>
      <w:r>
        <w:rPr>
          <w:rFonts w:ascii="Courier New" w:hAnsi="Courier New" w:cs="Courier New"/>
        </w:rPr>
        <w:t xml:space="preserve">     </w:t>
      </w:r>
      <w:r w:rsidR="001D71D1" w:rsidRPr="00D140AB">
        <w:rPr>
          <w:rFonts w:ascii="Courier New" w:hAnsi="Courier New" w:cs="Courier New"/>
        </w:rPr>
        <w:t xml:space="preserve">In light of the unemployment rates reported for </w:t>
      </w:r>
      <w:r w:rsidR="002A7110">
        <w:rPr>
          <w:rFonts w:ascii="Courier New" w:hAnsi="Courier New" w:cs="Courier New"/>
        </w:rPr>
        <w:t>2010 and 2011,</w:t>
      </w:r>
      <w:r w:rsidR="001D71D1" w:rsidRPr="00D140AB">
        <w:rPr>
          <w:rFonts w:ascii="Courier New" w:hAnsi="Courier New" w:cs="Courier New"/>
        </w:rPr>
        <w:t xml:space="preserve"> and particularly the rates for the two age groups that likely include the great majority of students completing a GE program, the incidence of zero earnings in the SSA records is neither unexpected nor of such a magnitude with regard to the number of wage earners as to demonstrate that the SSA MEF database is unreliable as a data source for determining D/E rates.</w:t>
      </w:r>
      <w:r w:rsidR="001D71D1" w:rsidRPr="00D140AB">
        <w:rPr>
          <w:rStyle w:val="FootnoteReference"/>
          <w:rFonts w:ascii="Courier New" w:hAnsi="Courier New" w:cs="Courier New"/>
        </w:rPr>
        <w:footnoteReference w:id="158"/>
      </w:r>
    </w:p>
    <w:p w14:paraId="4269B32A" w14:textId="77777777" w:rsidR="001D71D1" w:rsidRPr="00D140AB" w:rsidRDefault="001D71D1" w:rsidP="00C92C54">
      <w:pPr>
        <w:pStyle w:val="Default"/>
        <w:spacing w:line="480" w:lineRule="auto"/>
        <w:rPr>
          <w:rFonts w:ascii="Courier New" w:hAnsi="Courier New" w:cs="Courier New"/>
        </w:rPr>
      </w:pPr>
      <w:r w:rsidRPr="00D140AB">
        <w:rPr>
          <w:rFonts w:ascii="Courier New" w:hAnsi="Courier New" w:cs="Courier New"/>
          <w:u w:val="single"/>
        </w:rPr>
        <w:t>Changes</w:t>
      </w:r>
      <w:r w:rsidRPr="00D140AB">
        <w:rPr>
          <w:rFonts w:ascii="Courier New" w:hAnsi="Courier New" w:cs="Courier New"/>
        </w:rPr>
        <w:t>:  None.</w:t>
      </w:r>
    </w:p>
    <w:p w14:paraId="4269B32B" w14:textId="36612E2A"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asserted that by considering all zero earnings data to evidence no earnings for an individual, the Department treats </w:t>
      </w:r>
      <w:r w:rsidR="00954DBC">
        <w:rPr>
          <w:rFonts w:ascii="Courier New" w:hAnsi="Courier New" w:cs="Courier New"/>
          <w:sz w:val="24"/>
          <w:szCs w:val="24"/>
        </w:rPr>
        <w:t>each such</w:t>
      </w:r>
      <w:r w:rsidRPr="00D140AB">
        <w:rPr>
          <w:rFonts w:ascii="Courier New" w:hAnsi="Courier New" w:cs="Courier New"/>
          <w:sz w:val="24"/>
          <w:szCs w:val="24"/>
        </w:rPr>
        <w:t xml:space="preserve"> individual as having no earnings during that year, although the individual may in fact have significant but misreported earnings.  The commenters cited as a </w:t>
      </w:r>
      <w:r w:rsidRPr="00D140AB">
        <w:rPr>
          <w:rFonts w:ascii="Courier New" w:hAnsi="Courier New" w:cs="Courier New"/>
          <w:sz w:val="24"/>
          <w:szCs w:val="24"/>
        </w:rPr>
        <w:lastRenderedPageBreak/>
        <w:t xml:space="preserve">significant example of such earnings omissions the earnings of public employees whom the commenters consider as good examples of individuals with significant earnings, but whose SSA earnings would show zero earnings.  The commenters criticized this as producing a bias that understates earnings.  The commenters contended that the D/E rates should be adjusted, based on assumptions that the missing earnings are actually distributed throughout a program’s cohort of earners.  The commenters asserted that if earnings of failing GE programs were to be adjusted on that assumption, 19 percent of programs that failed the annual earnings rate would pass that threshold, and 9 percent of programs that failed the discretionary income rate would pass that threshold.  </w:t>
      </w:r>
    </w:p>
    <w:p w14:paraId="39B34019" w14:textId="07281D89" w:rsidR="00FE1D32"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As explained earlier, </w:t>
      </w:r>
      <w:r w:rsidR="008B6D57">
        <w:rPr>
          <w:rFonts w:ascii="Courier New" w:hAnsi="Courier New" w:cs="Courier New"/>
          <w:sz w:val="24"/>
          <w:szCs w:val="24"/>
        </w:rPr>
        <w:t xml:space="preserve">the </w:t>
      </w:r>
      <w:r w:rsidR="00734501">
        <w:rPr>
          <w:rFonts w:ascii="Courier New" w:hAnsi="Courier New" w:cs="Courier New"/>
          <w:sz w:val="24"/>
          <w:szCs w:val="24"/>
        </w:rPr>
        <w:t xml:space="preserve">commenter’s assertion </w:t>
      </w:r>
      <w:r w:rsidR="008B6D57">
        <w:rPr>
          <w:rFonts w:ascii="Courier New" w:hAnsi="Courier New" w:cs="Courier New"/>
          <w:sz w:val="24"/>
          <w:szCs w:val="24"/>
        </w:rPr>
        <w:t xml:space="preserve">that </w:t>
      </w:r>
      <w:r w:rsidR="00734501">
        <w:rPr>
          <w:rFonts w:ascii="Courier New" w:hAnsi="Courier New" w:cs="Courier New"/>
          <w:sz w:val="24"/>
          <w:szCs w:val="24"/>
        </w:rPr>
        <w:t xml:space="preserve">the </w:t>
      </w:r>
      <w:r w:rsidR="008B6D57">
        <w:rPr>
          <w:rFonts w:ascii="Courier New" w:hAnsi="Courier New" w:cs="Courier New"/>
          <w:sz w:val="24"/>
          <w:szCs w:val="24"/>
        </w:rPr>
        <w:t xml:space="preserve">earnings of public employees are often, even typically, not reported to SSA is not </w:t>
      </w:r>
      <w:r w:rsidRPr="00D140AB">
        <w:rPr>
          <w:rFonts w:ascii="Courier New" w:hAnsi="Courier New" w:cs="Courier New"/>
          <w:sz w:val="24"/>
          <w:szCs w:val="24"/>
        </w:rPr>
        <w:t>correct</w:t>
      </w:r>
      <w:r w:rsidR="00734501">
        <w:rPr>
          <w:rFonts w:ascii="Courier New" w:hAnsi="Courier New" w:cs="Courier New"/>
          <w:sz w:val="24"/>
          <w:szCs w:val="24"/>
        </w:rPr>
        <w:t xml:space="preserve">.  The </w:t>
      </w:r>
      <w:r w:rsidRPr="00D140AB">
        <w:rPr>
          <w:rFonts w:ascii="Courier New" w:hAnsi="Courier New" w:cs="Courier New"/>
          <w:sz w:val="24"/>
          <w:szCs w:val="24"/>
        </w:rPr>
        <w:t xml:space="preserve">earnings of public employees are reported to SSA, </w:t>
      </w:r>
      <w:r w:rsidR="00D23DE7">
        <w:rPr>
          <w:rFonts w:ascii="Courier New" w:hAnsi="Courier New" w:cs="Courier New"/>
          <w:sz w:val="24"/>
          <w:szCs w:val="24"/>
        </w:rPr>
        <w:t>public</w:t>
      </w:r>
      <w:r w:rsidR="00D23DE7" w:rsidRPr="00D140AB">
        <w:rPr>
          <w:rFonts w:ascii="Courier New" w:hAnsi="Courier New" w:cs="Courier New"/>
          <w:sz w:val="24"/>
          <w:szCs w:val="24"/>
        </w:rPr>
        <w:t xml:space="preserve"> </w:t>
      </w:r>
      <w:r w:rsidRPr="00D140AB">
        <w:rPr>
          <w:rFonts w:ascii="Courier New" w:hAnsi="Courier New" w:cs="Courier New"/>
          <w:sz w:val="24"/>
          <w:szCs w:val="24"/>
        </w:rPr>
        <w:t xml:space="preserve">employees are </w:t>
      </w:r>
      <w:r w:rsidR="00C80CAF">
        <w:rPr>
          <w:rFonts w:ascii="Courier New" w:hAnsi="Courier New" w:cs="Courier New"/>
          <w:sz w:val="24"/>
          <w:szCs w:val="24"/>
        </w:rPr>
        <w:t>not “</w:t>
      </w:r>
      <w:r w:rsidRPr="00D140AB">
        <w:rPr>
          <w:rFonts w:ascii="Courier New" w:hAnsi="Courier New" w:cs="Courier New"/>
          <w:sz w:val="24"/>
          <w:szCs w:val="24"/>
        </w:rPr>
        <w:t>deemed</w:t>
      </w:r>
      <w:r w:rsidR="00C80CAF">
        <w:rPr>
          <w:rFonts w:ascii="Courier New" w:hAnsi="Courier New" w:cs="Courier New"/>
          <w:sz w:val="24"/>
          <w:szCs w:val="24"/>
        </w:rPr>
        <w:t>”</w:t>
      </w:r>
      <w:r w:rsidRPr="00D140AB">
        <w:rPr>
          <w:rFonts w:ascii="Courier New" w:hAnsi="Courier New" w:cs="Courier New"/>
          <w:sz w:val="24"/>
          <w:szCs w:val="24"/>
        </w:rPr>
        <w:t xml:space="preserve"> by SSA to have “zero earnings,” </w:t>
      </w:r>
      <w:r w:rsidR="00D23DE7">
        <w:rPr>
          <w:rFonts w:ascii="Courier New" w:hAnsi="Courier New" w:cs="Courier New"/>
          <w:sz w:val="24"/>
          <w:szCs w:val="24"/>
        </w:rPr>
        <w:t>and</w:t>
      </w:r>
      <w:r w:rsidR="00D23DE7" w:rsidRPr="00D140AB">
        <w:rPr>
          <w:rFonts w:ascii="Courier New" w:hAnsi="Courier New" w:cs="Courier New"/>
          <w:sz w:val="24"/>
          <w:szCs w:val="24"/>
        </w:rPr>
        <w:t xml:space="preserve"> </w:t>
      </w:r>
      <w:r w:rsidR="00D23DE7">
        <w:rPr>
          <w:rFonts w:ascii="Courier New" w:hAnsi="Courier New" w:cs="Courier New"/>
          <w:sz w:val="24"/>
          <w:szCs w:val="24"/>
        </w:rPr>
        <w:t xml:space="preserve">SSA includes </w:t>
      </w:r>
      <w:r w:rsidR="00C80CAF">
        <w:rPr>
          <w:rFonts w:ascii="Courier New" w:hAnsi="Courier New" w:cs="Courier New"/>
          <w:sz w:val="24"/>
          <w:szCs w:val="24"/>
        </w:rPr>
        <w:t xml:space="preserve">actual </w:t>
      </w:r>
      <w:r w:rsidRPr="00D140AB">
        <w:rPr>
          <w:rFonts w:ascii="Courier New" w:hAnsi="Courier New" w:cs="Courier New"/>
          <w:sz w:val="24"/>
          <w:szCs w:val="24"/>
        </w:rPr>
        <w:t>earnings</w:t>
      </w:r>
      <w:r w:rsidR="00C80CAF">
        <w:rPr>
          <w:rFonts w:ascii="Courier New" w:hAnsi="Courier New" w:cs="Courier New"/>
          <w:sz w:val="24"/>
          <w:szCs w:val="24"/>
        </w:rPr>
        <w:t xml:space="preserve"> reported </w:t>
      </w:r>
      <w:r w:rsidR="00D23DE7">
        <w:rPr>
          <w:rFonts w:ascii="Courier New" w:hAnsi="Courier New" w:cs="Courier New"/>
          <w:sz w:val="24"/>
          <w:szCs w:val="24"/>
        </w:rPr>
        <w:t xml:space="preserve">for public employees </w:t>
      </w:r>
      <w:r w:rsidRPr="00D140AB">
        <w:rPr>
          <w:rFonts w:ascii="Courier New" w:hAnsi="Courier New" w:cs="Courier New"/>
          <w:sz w:val="24"/>
          <w:szCs w:val="24"/>
        </w:rPr>
        <w:t xml:space="preserve">in the aggregate earnings data SSA provides to the Department.  Accordingly, it is not reasonable to conclude that </w:t>
      </w:r>
      <w:r w:rsidR="00067410" w:rsidRPr="00D140AB">
        <w:rPr>
          <w:rFonts w:ascii="Courier New" w:hAnsi="Courier New" w:cs="Courier New"/>
          <w:sz w:val="24"/>
          <w:szCs w:val="24"/>
        </w:rPr>
        <w:t xml:space="preserve">public employees </w:t>
      </w:r>
      <w:r w:rsidR="00BA22BD">
        <w:rPr>
          <w:rFonts w:ascii="Courier New" w:hAnsi="Courier New" w:cs="Courier New"/>
          <w:sz w:val="24"/>
          <w:szCs w:val="24"/>
        </w:rPr>
        <w:t xml:space="preserve">with actual earnings </w:t>
      </w:r>
      <w:r w:rsidR="00067410" w:rsidRPr="00D140AB">
        <w:rPr>
          <w:rFonts w:ascii="Courier New" w:hAnsi="Courier New" w:cs="Courier New"/>
          <w:sz w:val="24"/>
          <w:szCs w:val="24"/>
        </w:rPr>
        <w:t xml:space="preserve">account for any </w:t>
      </w:r>
      <w:r w:rsidRPr="00D140AB">
        <w:rPr>
          <w:rFonts w:ascii="Courier New" w:hAnsi="Courier New" w:cs="Courier New"/>
          <w:sz w:val="24"/>
          <w:szCs w:val="24"/>
        </w:rPr>
        <w:t>appreciable number of “zero earnings” records</w:t>
      </w:r>
      <w:r w:rsidR="00067410" w:rsidRPr="00D140AB">
        <w:rPr>
          <w:rFonts w:ascii="Courier New" w:hAnsi="Courier New" w:cs="Courier New"/>
          <w:sz w:val="24"/>
          <w:szCs w:val="24"/>
        </w:rPr>
        <w:t xml:space="preserve">. </w:t>
      </w:r>
    </w:p>
    <w:p w14:paraId="085CC01B" w14:textId="5762B91D" w:rsidR="00FE1D32" w:rsidRDefault="00C92C54" w:rsidP="00C92C54">
      <w:pPr>
        <w:spacing w:after="0" w:line="480" w:lineRule="auto"/>
        <w:rPr>
          <w:rFonts w:ascii="Courier New" w:hAnsi="Courier New" w:cs="Courier New"/>
          <w:sz w:val="24"/>
          <w:szCs w:val="24"/>
        </w:rPr>
      </w:pPr>
      <w:r>
        <w:rPr>
          <w:rFonts w:ascii="Courier New" w:hAnsi="Courier New" w:cs="Courier New"/>
          <w:sz w:val="24"/>
          <w:szCs w:val="24"/>
        </w:rPr>
        <w:t xml:space="preserve">     </w:t>
      </w:r>
      <w:r w:rsidR="00067410" w:rsidRPr="00D140AB">
        <w:rPr>
          <w:rFonts w:ascii="Courier New" w:hAnsi="Courier New" w:cs="Courier New"/>
          <w:sz w:val="24"/>
          <w:szCs w:val="24"/>
        </w:rPr>
        <w:t>The commenter</w:t>
      </w:r>
      <w:r w:rsidR="00D23DE7">
        <w:rPr>
          <w:rFonts w:ascii="Courier New" w:hAnsi="Courier New" w:cs="Courier New"/>
          <w:sz w:val="24"/>
          <w:szCs w:val="24"/>
        </w:rPr>
        <w:t>s</w:t>
      </w:r>
      <w:r w:rsidR="00067410" w:rsidRPr="00D140AB">
        <w:rPr>
          <w:rFonts w:ascii="Courier New" w:hAnsi="Courier New" w:cs="Courier New"/>
          <w:sz w:val="24"/>
          <w:szCs w:val="24"/>
        </w:rPr>
        <w:t xml:space="preserve"> argue that </w:t>
      </w:r>
      <w:r w:rsidR="001D5C7B">
        <w:rPr>
          <w:rFonts w:ascii="Courier New" w:hAnsi="Courier New" w:cs="Courier New"/>
          <w:sz w:val="24"/>
          <w:szCs w:val="24"/>
        </w:rPr>
        <w:t xml:space="preserve">in those </w:t>
      </w:r>
      <w:r w:rsidR="00067410" w:rsidRPr="00D140AB">
        <w:rPr>
          <w:rFonts w:ascii="Courier New" w:hAnsi="Courier New" w:cs="Courier New"/>
          <w:sz w:val="24"/>
          <w:szCs w:val="24"/>
        </w:rPr>
        <w:t xml:space="preserve">instances in which actual earnings are missing from the MEF, </w:t>
      </w:r>
      <w:r w:rsidR="00FE1D32">
        <w:rPr>
          <w:rFonts w:ascii="Courier New" w:hAnsi="Courier New" w:cs="Courier New"/>
          <w:sz w:val="24"/>
          <w:szCs w:val="24"/>
        </w:rPr>
        <w:t>those</w:t>
      </w:r>
      <w:r w:rsidR="00067410" w:rsidRPr="00D140AB">
        <w:rPr>
          <w:rFonts w:ascii="Courier New" w:hAnsi="Courier New" w:cs="Courier New"/>
          <w:sz w:val="24"/>
          <w:szCs w:val="24"/>
        </w:rPr>
        <w:t xml:space="preserve"> missing wages </w:t>
      </w:r>
      <w:r w:rsidR="00FE1D32">
        <w:rPr>
          <w:rFonts w:ascii="Courier New" w:hAnsi="Courier New" w:cs="Courier New"/>
          <w:sz w:val="24"/>
          <w:szCs w:val="24"/>
        </w:rPr>
        <w:lastRenderedPageBreak/>
        <w:t>include earnings in amounts spread</w:t>
      </w:r>
      <w:r w:rsidR="00067410" w:rsidRPr="00D140AB">
        <w:rPr>
          <w:rFonts w:ascii="Courier New" w:hAnsi="Courier New" w:cs="Courier New"/>
          <w:sz w:val="24"/>
          <w:szCs w:val="24"/>
        </w:rPr>
        <w:t xml:space="preserve"> throughout the </w:t>
      </w:r>
      <w:r w:rsidR="00FE1D32">
        <w:rPr>
          <w:rFonts w:ascii="Courier New" w:hAnsi="Courier New" w:cs="Courier New"/>
          <w:sz w:val="24"/>
          <w:szCs w:val="24"/>
        </w:rPr>
        <w:t xml:space="preserve">cohort of </w:t>
      </w:r>
      <w:r w:rsidR="00E56770">
        <w:rPr>
          <w:rFonts w:ascii="Courier New" w:hAnsi="Courier New" w:cs="Courier New"/>
          <w:sz w:val="24"/>
          <w:szCs w:val="24"/>
        </w:rPr>
        <w:t>students who completed a program</w:t>
      </w:r>
      <w:r w:rsidR="00FE1D32">
        <w:rPr>
          <w:rFonts w:ascii="Courier New" w:hAnsi="Courier New" w:cs="Courier New"/>
          <w:sz w:val="24"/>
          <w:szCs w:val="24"/>
        </w:rPr>
        <w:t>.  Thus, the commenters contend,</w:t>
      </w:r>
      <w:r w:rsidR="00067410" w:rsidRPr="00D140AB">
        <w:rPr>
          <w:rFonts w:ascii="Courier New" w:hAnsi="Courier New" w:cs="Courier New"/>
          <w:sz w:val="24"/>
          <w:szCs w:val="24"/>
        </w:rPr>
        <w:t xml:space="preserve"> our practice </w:t>
      </w:r>
      <w:r w:rsidR="00FE1D32">
        <w:rPr>
          <w:rFonts w:ascii="Courier New" w:hAnsi="Courier New" w:cs="Courier New"/>
          <w:sz w:val="24"/>
          <w:szCs w:val="24"/>
        </w:rPr>
        <w:t xml:space="preserve">that </w:t>
      </w:r>
      <w:r w:rsidR="00067410" w:rsidRPr="00D140AB">
        <w:rPr>
          <w:rFonts w:ascii="Courier New" w:hAnsi="Courier New" w:cs="Courier New"/>
          <w:sz w:val="24"/>
          <w:szCs w:val="24"/>
        </w:rPr>
        <w:t xml:space="preserve">considers all </w:t>
      </w:r>
      <w:r w:rsidR="00FE1D32">
        <w:rPr>
          <w:rFonts w:ascii="Courier New" w:hAnsi="Courier New" w:cs="Courier New"/>
          <w:sz w:val="24"/>
          <w:szCs w:val="24"/>
        </w:rPr>
        <w:t xml:space="preserve">instances of </w:t>
      </w:r>
      <w:r w:rsidR="00067410" w:rsidRPr="00D140AB">
        <w:rPr>
          <w:rFonts w:ascii="Courier New" w:hAnsi="Courier New" w:cs="Courier New"/>
          <w:sz w:val="24"/>
          <w:szCs w:val="24"/>
        </w:rPr>
        <w:t>“zero earnings” to be evidence that the individual in fact had no earnings during that year</w:t>
      </w:r>
      <w:r w:rsidR="00FE1D32">
        <w:rPr>
          <w:rFonts w:ascii="Courier New" w:hAnsi="Courier New" w:cs="Courier New"/>
          <w:sz w:val="24"/>
          <w:szCs w:val="24"/>
        </w:rPr>
        <w:t xml:space="preserve"> causes the </w:t>
      </w:r>
      <w:r w:rsidR="00D23DE7">
        <w:rPr>
          <w:rFonts w:ascii="Courier New" w:hAnsi="Courier New" w:cs="Courier New"/>
          <w:sz w:val="24"/>
          <w:szCs w:val="24"/>
        </w:rPr>
        <w:t>earnings</w:t>
      </w:r>
      <w:r w:rsidR="007637BF" w:rsidRPr="00D140AB">
        <w:rPr>
          <w:rFonts w:ascii="Courier New" w:hAnsi="Courier New" w:cs="Courier New"/>
          <w:sz w:val="24"/>
          <w:szCs w:val="24"/>
        </w:rPr>
        <w:t xml:space="preserve"> for the cohort</w:t>
      </w:r>
      <w:r w:rsidR="00FE1D32">
        <w:rPr>
          <w:rFonts w:ascii="Courier New" w:hAnsi="Courier New" w:cs="Courier New"/>
          <w:sz w:val="24"/>
          <w:szCs w:val="24"/>
        </w:rPr>
        <w:t xml:space="preserve"> to be </w:t>
      </w:r>
      <w:r w:rsidR="007637BF" w:rsidRPr="00D140AB">
        <w:rPr>
          <w:rFonts w:ascii="Courier New" w:hAnsi="Courier New" w:cs="Courier New"/>
          <w:sz w:val="24"/>
          <w:szCs w:val="24"/>
        </w:rPr>
        <w:t xml:space="preserve">significantly </w:t>
      </w:r>
      <w:r w:rsidR="00FE1D32">
        <w:rPr>
          <w:rFonts w:ascii="Courier New" w:hAnsi="Courier New" w:cs="Courier New"/>
          <w:sz w:val="24"/>
          <w:szCs w:val="24"/>
        </w:rPr>
        <w:t>understated</w:t>
      </w:r>
      <w:r w:rsidR="007637BF" w:rsidRPr="00D140AB">
        <w:rPr>
          <w:rFonts w:ascii="Courier New" w:hAnsi="Courier New" w:cs="Courier New"/>
          <w:sz w:val="24"/>
          <w:szCs w:val="24"/>
        </w:rPr>
        <w:t xml:space="preserve">.  </w:t>
      </w:r>
      <w:r w:rsidR="00D23DE7">
        <w:rPr>
          <w:rFonts w:ascii="Courier New" w:hAnsi="Courier New" w:cs="Courier New"/>
          <w:sz w:val="24"/>
          <w:szCs w:val="24"/>
        </w:rPr>
        <w:t>S</w:t>
      </w:r>
      <w:r w:rsidR="007637BF" w:rsidRPr="00D140AB">
        <w:rPr>
          <w:rFonts w:ascii="Courier New" w:hAnsi="Courier New" w:cs="Courier New"/>
          <w:sz w:val="24"/>
          <w:szCs w:val="24"/>
        </w:rPr>
        <w:t xml:space="preserve">ome “zero earnings” records result from misreported earnings or unreported earnings.  However, </w:t>
      </w:r>
      <w:r w:rsidR="00FE1D32" w:rsidRPr="00D140AB">
        <w:rPr>
          <w:rFonts w:ascii="Courier New" w:hAnsi="Courier New" w:cs="Courier New"/>
          <w:sz w:val="24"/>
          <w:szCs w:val="24"/>
        </w:rPr>
        <w:t>other individuals will in fact have zero earnings</w:t>
      </w:r>
      <w:r w:rsidR="00FE1D32">
        <w:rPr>
          <w:rFonts w:ascii="Courier New" w:hAnsi="Courier New" w:cs="Courier New"/>
          <w:sz w:val="24"/>
          <w:szCs w:val="24"/>
        </w:rPr>
        <w:t xml:space="preserve">, and </w:t>
      </w:r>
      <w:r w:rsidR="007637BF" w:rsidRPr="00D140AB">
        <w:rPr>
          <w:rFonts w:ascii="Courier New" w:hAnsi="Courier New" w:cs="Courier New"/>
          <w:sz w:val="24"/>
          <w:szCs w:val="24"/>
        </w:rPr>
        <w:t xml:space="preserve">the contention that the missing earnings belong to individuals with significant earnings </w:t>
      </w:r>
      <w:r w:rsidR="00FE1D32">
        <w:rPr>
          <w:rFonts w:ascii="Courier New" w:hAnsi="Courier New" w:cs="Courier New"/>
          <w:sz w:val="24"/>
          <w:szCs w:val="24"/>
        </w:rPr>
        <w:t>appears to rest</w:t>
      </w:r>
      <w:r w:rsidR="007637BF" w:rsidRPr="00D140AB">
        <w:rPr>
          <w:rFonts w:ascii="Courier New" w:hAnsi="Courier New" w:cs="Courier New"/>
          <w:sz w:val="24"/>
          <w:szCs w:val="24"/>
        </w:rPr>
        <w:t xml:space="preserve"> in large part on the misconception that earnings of public employees are not included in MEF, and thus appear as “zero earnings.” </w:t>
      </w:r>
      <w:r w:rsidR="001D71D1" w:rsidRPr="00D140AB">
        <w:rPr>
          <w:rFonts w:ascii="Courier New" w:hAnsi="Courier New" w:cs="Courier New"/>
          <w:sz w:val="24"/>
          <w:szCs w:val="24"/>
        </w:rPr>
        <w:t xml:space="preserve">  </w:t>
      </w:r>
    </w:p>
    <w:p w14:paraId="4269B32C" w14:textId="016468BA" w:rsidR="001D71D1" w:rsidRPr="00D140AB" w:rsidRDefault="00C92C54" w:rsidP="00C92C54">
      <w:pPr>
        <w:spacing w:after="0" w:line="480" w:lineRule="auto"/>
        <w:rPr>
          <w:rFonts w:ascii="Courier New" w:hAnsi="Courier New" w:cs="Courier New"/>
          <w:sz w:val="24"/>
          <w:szCs w:val="24"/>
        </w:rPr>
      </w:pPr>
      <w:r>
        <w:rPr>
          <w:rFonts w:ascii="Courier New" w:hAnsi="Courier New" w:cs="Courier New"/>
          <w:sz w:val="24"/>
          <w:szCs w:val="24"/>
        </w:rPr>
        <w:t xml:space="preserve">     </w:t>
      </w:r>
      <w:r w:rsidR="00FE1D32">
        <w:rPr>
          <w:rFonts w:ascii="Courier New" w:hAnsi="Courier New" w:cs="Courier New"/>
          <w:sz w:val="24"/>
          <w:szCs w:val="24"/>
        </w:rPr>
        <w:t xml:space="preserve">We recognize that misreported and underreported earnings can have some effect on the earnings data we use, but those same issues would affect any alternative data source that might be available.  </w:t>
      </w:r>
      <w:r w:rsidR="001D71D1" w:rsidRPr="00D140AB">
        <w:rPr>
          <w:rFonts w:ascii="Courier New" w:hAnsi="Courier New" w:cs="Courier New"/>
          <w:sz w:val="24"/>
          <w:szCs w:val="24"/>
        </w:rPr>
        <w:t xml:space="preserve">The commenters </w:t>
      </w:r>
      <w:r w:rsidR="006C746B">
        <w:rPr>
          <w:rFonts w:ascii="Courier New" w:hAnsi="Courier New" w:cs="Courier New"/>
          <w:sz w:val="24"/>
          <w:szCs w:val="24"/>
        </w:rPr>
        <w:t>suggest</w:t>
      </w:r>
      <w:r w:rsidR="006C746B" w:rsidRPr="00D140AB">
        <w:rPr>
          <w:rFonts w:ascii="Courier New" w:hAnsi="Courier New" w:cs="Courier New"/>
          <w:sz w:val="24"/>
          <w:szCs w:val="24"/>
        </w:rPr>
        <w:t xml:space="preserve"> </w:t>
      </w:r>
      <w:r w:rsidR="001D71D1" w:rsidRPr="00D140AB">
        <w:rPr>
          <w:rFonts w:ascii="Courier New" w:hAnsi="Courier New" w:cs="Courier New"/>
          <w:sz w:val="24"/>
          <w:szCs w:val="24"/>
        </w:rPr>
        <w:t xml:space="preserve">no practicable </w:t>
      </w:r>
      <w:r w:rsidR="00FE1D32">
        <w:rPr>
          <w:rFonts w:ascii="Courier New" w:hAnsi="Courier New" w:cs="Courier New"/>
          <w:sz w:val="24"/>
          <w:szCs w:val="24"/>
        </w:rPr>
        <w:t>alternative that would eliminate these issues</w:t>
      </w:r>
      <w:r w:rsidR="006C746B">
        <w:rPr>
          <w:rFonts w:ascii="Courier New" w:hAnsi="Courier New" w:cs="Courier New"/>
          <w:sz w:val="24"/>
          <w:szCs w:val="24"/>
        </w:rPr>
        <w:t xml:space="preserve"> and provide more reliable data sufficient to accomplish our objective here</w:t>
      </w:r>
      <w:r w:rsidR="00134004">
        <w:rPr>
          <w:rFonts w:ascii="Courier New" w:hAnsi="Courier New" w:cs="Courier New"/>
          <w:sz w:val="24"/>
          <w:szCs w:val="24"/>
        </w:rPr>
        <w:t>--</w:t>
      </w:r>
      <w:r w:rsidR="006C746B">
        <w:rPr>
          <w:rFonts w:ascii="Courier New" w:hAnsi="Courier New" w:cs="Courier New"/>
          <w:sz w:val="24"/>
          <w:szCs w:val="24"/>
        </w:rPr>
        <w:t xml:space="preserve">determining earnings of individuals who </w:t>
      </w:r>
      <w:r w:rsidR="00134004">
        <w:rPr>
          <w:rFonts w:ascii="Courier New" w:hAnsi="Courier New" w:cs="Courier New"/>
          <w:sz w:val="24"/>
          <w:szCs w:val="24"/>
        </w:rPr>
        <w:t>c</w:t>
      </w:r>
      <w:r w:rsidR="006C746B">
        <w:rPr>
          <w:rFonts w:ascii="Courier New" w:hAnsi="Courier New" w:cs="Courier New"/>
          <w:sz w:val="24"/>
          <w:szCs w:val="24"/>
        </w:rPr>
        <w:t xml:space="preserve">ompleted a particular GE program offered by a particular institution. </w:t>
      </w:r>
      <w:r w:rsidR="001D71D1" w:rsidRPr="00D140AB">
        <w:rPr>
          <w:rFonts w:ascii="Courier New" w:hAnsi="Courier New" w:cs="Courier New"/>
          <w:sz w:val="24"/>
          <w:szCs w:val="24"/>
        </w:rPr>
        <w:t xml:space="preserve"> We note that an institution that believes that incidents of mismatches significantly and adversely affect SSA aggregate earnings data for the students completing a program may appeal its zone or </w:t>
      </w:r>
      <w:r w:rsidR="001D71D1" w:rsidRPr="00D140AB">
        <w:rPr>
          <w:rFonts w:ascii="Courier New" w:hAnsi="Courier New" w:cs="Courier New"/>
          <w:sz w:val="24"/>
          <w:szCs w:val="24"/>
        </w:rPr>
        <w:lastRenderedPageBreak/>
        <w:t xml:space="preserve">failing D/E rates by submitting an alternate earnings appeal based on State earnings database records or a survey. </w:t>
      </w:r>
    </w:p>
    <w:p w14:paraId="4269B32D" w14:textId="77777777" w:rsidR="001D71D1" w:rsidRPr="00D140AB" w:rsidRDefault="001D71D1" w:rsidP="00C92C54">
      <w:pPr>
        <w:spacing w:after="0" w:line="480" w:lineRule="auto"/>
        <w:rPr>
          <w:rFonts w:ascii="Courier New" w:hAnsi="Courier New" w:cs="Courier New"/>
          <w:sz w:val="24"/>
          <w:szCs w:val="24"/>
        </w:rPr>
      </w:pPr>
      <w:r w:rsidRPr="00093A1E">
        <w:rPr>
          <w:rFonts w:ascii="Courier New" w:hAnsi="Courier New" w:cs="Courier New"/>
          <w:sz w:val="24"/>
          <w:szCs w:val="24"/>
          <w:u w:val="single"/>
        </w:rPr>
        <w:t>Changes</w:t>
      </w:r>
      <w:r w:rsidRPr="00093A1E">
        <w:rPr>
          <w:rFonts w:ascii="Courier New" w:hAnsi="Courier New" w:cs="Courier New"/>
          <w:sz w:val="24"/>
          <w:szCs w:val="24"/>
        </w:rPr>
        <w:t>:  None.</w:t>
      </w:r>
      <w:r w:rsidRPr="00D140AB">
        <w:rPr>
          <w:rFonts w:ascii="Courier New" w:hAnsi="Courier New" w:cs="Courier New"/>
          <w:sz w:val="24"/>
          <w:szCs w:val="24"/>
        </w:rPr>
        <w:t xml:space="preserve">  </w:t>
      </w:r>
    </w:p>
    <w:p w14:paraId="4269B32E" w14:textId="18A19FD4"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Commenters contended that the Department’s earnings assessment process is flawed with regard to information on self-employed individuals because the source of </w:t>
      </w:r>
      <w:r w:rsidR="002C483D">
        <w:rPr>
          <w:rFonts w:ascii="Courier New" w:hAnsi="Courier New" w:cs="Courier New"/>
          <w:sz w:val="24"/>
          <w:szCs w:val="24"/>
        </w:rPr>
        <w:t xml:space="preserve">data on </w:t>
      </w:r>
      <w:r w:rsidRPr="00D140AB">
        <w:rPr>
          <w:rFonts w:ascii="Courier New" w:hAnsi="Courier New" w:cs="Courier New"/>
          <w:sz w:val="24"/>
          <w:szCs w:val="24"/>
        </w:rPr>
        <w:t xml:space="preserve">their earnings is the individual, who may fail to report or significantly underreport earnings, or who may have relatively significant business expenses that offset even substantial income.  </w:t>
      </w:r>
      <w:r w:rsidR="00F43519">
        <w:rPr>
          <w:rFonts w:ascii="Courier New" w:hAnsi="Courier New" w:cs="Courier New"/>
          <w:sz w:val="24"/>
          <w:szCs w:val="24"/>
        </w:rPr>
        <w:t>According to the c</w:t>
      </w:r>
      <w:r w:rsidRPr="00D140AB">
        <w:rPr>
          <w:rFonts w:ascii="Courier New" w:hAnsi="Courier New" w:cs="Courier New"/>
          <w:sz w:val="24"/>
          <w:szCs w:val="24"/>
        </w:rPr>
        <w:t>ommenters</w:t>
      </w:r>
      <w:r w:rsidR="00F43519">
        <w:rPr>
          <w:rFonts w:ascii="Courier New" w:hAnsi="Courier New" w:cs="Courier New"/>
          <w:sz w:val="24"/>
          <w:szCs w:val="24"/>
        </w:rPr>
        <w:t>,</w:t>
      </w:r>
      <w:r w:rsidRPr="00D140AB">
        <w:rPr>
          <w:rFonts w:ascii="Courier New" w:hAnsi="Courier New" w:cs="Courier New"/>
          <w:sz w:val="24"/>
          <w:szCs w:val="24"/>
        </w:rPr>
        <w:t xml:space="preserve"> barbering, cosmetology, food service, and Web design </w:t>
      </w:r>
      <w:r w:rsidR="00F43519">
        <w:rPr>
          <w:rFonts w:ascii="Courier New" w:hAnsi="Courier New" w:cs="Courier New"/>
          <w:sz w:val="24"/>
          <w:szCs w:val="24"/>
        </w:rPr>
        <w:t>are</w:t>
      </w:r>
      <w:r w:rsidR="00F43519" w:rsidRPr="00D140AB">
        <w:rPr>
          <w:rFonts w:ascii="Courier New" w:hAnsi="Courier New" w:cs="Courier New"/>
          <w:sz w:val="24"/>
          <w:szCs w:val="24"/>
        </w:rPr>
        <w:t xml:space="preserve"> </w:t>
      </w:r>
      <w:r w:rsidRPr="00D140AB">
        <w:rPr>
          <w:rFonts w:ascii="Courier New" w:hAnsi="Courier New" w:cs="Courier New"/>
          <w:sz w:val="24"/>
          <w:szCs w:val="24"/>
        </w:rPr>
        <w:t>examples of occupations in which significant numbers of individuals are self-employed and tend to underreport earnings</w:t>
      </w:r>
      <w:r w:rsidR="008B6D57">
        <w:rPr>
          <w:rFonts w:ascii="Courier New" w:hAnsi="Courier New" w:cs="Courier New"/>
          <w:sz w:val="24"/>
          <w:szCs w:val="24"/>
        </w:rPr>
        <w:t>, particularly earnings from tips</w:t>
      </w:r>
      <w:r w:rsidR="00B96E1D">
        <w:rPr>
          <w:rFonts w:ascii="Courier New" w:hAnsi="Courier New" w:cs="Courier New"/>
          <w:sz w:val="24"/>
          <w:szCs w:val="24"/>
        </w:rPr>
        <w:t xml:space="preserve">, which </w:t>
      </w:r>
      <w:r w:rsidR="00BC1FCC">
        <w:rPr>
          <w:rFonts w:ascii="Courier New" w:hAnsi="Courier New" w:cs="Courier New"/>
          <w:sz w:val="24"/>
          <w:szCs w:val="24"/>
        </w:rPr>
        <w:t>a</w:t>
      </w:r>
      <w:r w:rsidR="00B96E1D">
        <w:rPr>
          <w:rFonts w:ascii="Courier New" w:hAnsi="Courier New" w:cs="Courier New"/>
          <w:sz w:val="24"/>
          <w:szCs w:val="24"/>
        </w:rPr>
        <w:t xml:space="preserve"> commenter states account for about half of earnings in </w:t>
      </w:r>
      <w:r w:rsidR="00070D22">
        <w:rPr>
          <w:rFonts w:ascii="Courier New" w:hAnsi="Courier New" w:cs="Courier New"/>
          <w:sz w:val="24"/>
          <w:szCs w:val="24"/>
        </w:rPr>
        <w:t xml:space="preserve">service </w:t>
      </w:r>
      <w:r w:rsidR="00B96E1D">
        <w:rPr>
          <w:rFonts w:ascii="Courier New" w:hAnsi="Courier New" w:cs="Courier New"/>
          <w:sz w:val="24"/>
          <w:szCs w:val="24"/>
        </w:rPr>
        <w:t>occupations such as cosmetology</w:t>
      </w:r>
      <w:r w:rsidRPr="00D140AB">
        <w:rPr>
          <w:rFonts w:ascii="Courier New" w:hAnsi="Courier New" w:cs="Courier New"/>
          <w:sz w:val="24"/>
          <w:szCs w:val="24"/>
        </w:rPr>
        <w:t xml:space="preserve">.  </w:t>
      </w:r>
      <w:r w:rsidR="002C483D">
        <w:rPr>
          <w:rFonts w:ascii="Courier New" w:hAnsi="Courier New" w:cs="Courier New"/>
          <w:sz w:val="24"/>
          <w:szCs w:val="24"/>
        </w:rPr>
        <w:t xml:space="preserve">Another commenter believed that employers may often fail to report payments to independent contractors whom they have retained for relatively short periods, which would further depress the amount of earnings shown for the contractors in SSA records. </w:t>
      </w:r>
      <w:r w:rsidR="00B96E1D">
        <w:rPr>
          <w:rFonts w:ascii="Courier New" w:hAnsi="Courier New" w:cs="Courier New"/>
          <w:sz w:val="24"/>
          <w:szCs w:val="24"/>
        </w:rPr>
        <w:t xml:space="preserve"> </w:t>
      </w:r>
      <w:r w:rsidRPr="00D140AB">
        <w:rPr>
          <w:rFonts w:ascii="Courier New" w:hAnsi="Courier New" w:cs="Courier New"/>
          <w:sz w:val="24"/>
          <w:szCs w:val="24"/>
        </w:rPr>
        <w:t xml:space="preserve">One commenter provided an alternate analysis that imputes certain values derived from the CPS conducted by </w:t>
      </w:r>
      <w:r w:rsidR="008E6E41" w:rsidRPr="00DA1353">
        <w:rPr>
          <w:rFonts w:ascii="Courier New" w:hAnsi="Courier New"/>
          <w:sz w:val="24"/>
        </w:rPr>
        <w:t>the Census Bureau on behalf of</w:t>
      </w:r>
      <w:r w:rsidR="008E6E41">
        <w:rPr>
          <w:rFonts w:ascii="Courier New" w:hAnsi="Courier New" w:cs="Courier New"/>
          <w:sz w:val="24"/>
          <w:szCs w:val="24"/>
        </w:rPr>
        <w:t xml:space="preserve"> </w:t>
      </w:r>
      <w:r w:rsidR="00175BFC">
        <w:rPr>
          <w:rFonts w:ascii="Courier New" w:hAnsi="Courier New" w:cs="Courier New"/>
          <w:sz w:val="24"/>
          <w:szCs w:val="24"/>
        </w:rPr>
        <w:t>BLS</w:t>
      </w:r>
      <w:r w:rsidRPr="00D140AB">
        <w:rPr>
          <w:rFonts w:ascii="Courier New" w:hAnsi="Courier New" w:cs="Courier New"/>
          <w:sz w:val="24"/>
          <w:szCs w:val="24"/>
        </w:rPr>
        <w:t xml:space="preserve">.  The commenter proposed to adjust the calculation of D/E rates to take into account what the commenter considered bias in the income data reported to SSA for workers in several </w:t>
      </w:r>
      <w:r w:rsidRPr="00D140AB">
        <w:rPr>
          <w:rFonts w:ascii="Courier New" w:hAnsi="Courier New" w:cs="Courier New"/>
          <w:sz w:val="24"/>
          <w:szCs w:val="24"/>
        </w:rPr>
        <w:lastRenderedPageBreak/>
        <w:t xml:space="preserve">occupations that the CPS shows involve both significant tip income and a high percentage of income from self-employment.  The commenter contended that these adjustments would significantly augment the SSA aggregate earnings reported for these occupations, increasing the median earnings by 19 percent and the mean earnings by 24 percent.   </w:t>
      </w:r>
    </w:p>
    <w:p w14:paraId="0F8640E4" w14:textId="77777777" w:rsidR="00704E8E"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t>
      </w:r>
      <w:r w:rsidR="00BC1FCC">
        <w:rPr>
          <w:rFonts w:ascii="Courier New" w:hAnsi="Courier New" w:cs="Courier New"/>
          <w:sz w:val="24"/>
          <w:szCs w:val="24"/>
        </w:rPr>
        <w:t>We do not agree</w:t>
      </w:r>
      <w:r w:rsidR="001D5C7B" w:rsidRPr="00D140AB">
        <w:rPr>
          <w:rFonts w:ascii="Courier New" w:hAnsi="Courier New" w:cs="Courier New"/>
          <w:sz w:val="24"/>
          <w:szCs w:val="24"/>
        </w:rPr>
        <w:t xml:space="preserve"> that</w:t>
      </w:r>
      <w:r w:rsidR="001D5C7B">
        <w:rPr>
          <w:rFonts w:ascii="Courier New" w:hAnsi="Courier New" w:cs="Courier New"/>
          <w:sz w:val="24"/>
          <w:szCs w:val="24"/>
        </w:rPr>
        <w:t xml:space="preserve"> our reliance on reported earnings is flawed because</w:t>
      </w:r>
      <w:r w:rsidR="0061624E">
        <w:rPr>
          <w:rFonts w:ascii="Courier New" w:hAnsi="Courier New" w:cs="Courier New"/>
          <w:sz w:val="24"/>
          <w:szCs w:val="24"/>
        </w:rPr>
        <w:t xml:space="preserve"> of</w:t>
      </w:r>
      <w:r w:rsidR="001D5C7B">
        <w:rPr>
          <w:rFonts w:ascii="Courier New" w:hAnsi="Courier New" w:cs="Courier New"/>
          <w:sz w:val="24"/>
          <w:szCs w:val="24"/>
        </w:rPr>
        <w:t xml:space="preserve"> </w:t>
      </w:r>
      <w:r w:rsidR="00047830">
        <w:rPr>
          <w:rFonts w:ascii="Courier New" w:hAnsi="Courier New" w:cs="Courier New"/>
          <w:sz w:val="24"/>
          <w:szCs w:val="24"/>
        </w:rPr>
        <w:t xml:space="preserve">its treatment of self-employment earnings and tips, </w:t>
      </w:r>
      <w:r w:rsidR="00E20E55">
        <w:rPr>
          <w:rFonts w:ascii="Courier New" w:hAnsi="Courier New" w:cs="Courier New"/>
          <w:sz w:val="24"/>
          <w:szCs w:val="24"/>
        </w:rPr>
        <w:t>or that the suggested method</w:t>
      </w:r>
      <w:r w:rsidR="0061624E">
        <w:rPr>
          <w:rFonts w:ascii="Courier New" w:hAnsi="Courier New" w:cs="Courier New"/>
          <w:sz w:val="24"/>
          <w:szCs w:val="24"/>
        </w:rPr>
        <w:t>s</w:t>
      </w:r>
      <w:r w:rsidR="00E20E55">
        <w:rPr>
          <w:rFonts w:ascii="Courier New" w:hAnsi="Courier New" w:cs="Courier New"/>
          <w:sz w:val="24"/>
          <w:szCs w:val="24"/>
        </w:rPr>
        <w:t xml:space="preserve"> for remedying the claimed flaws </w:t>
      </w:r>
      <w:r w:rsidR="0061624E">
        <w:rPr>
          <w:rFonts w:ascii="Courier New" w:hAnsi="Courier New" w:cs="Courier New"/>
          <w:sz w:val="24"/>
          <w:szCs w:val="24"/>
        </w:rPr>
        <w:t>would be</w:t>
      </w:r>
      <w:r w:rsidR="00E20E55">
        <w:rPr>
          <w:rFonts w:ascii="Courier New" w:hAnsi="Courier New" w:cs="Courier New"/>
          <w:sz w:val="24"/>
          <w:szCs w:val="24"/>
        </w:rPr>
        <w:t xml:space="preserve"> effective </w:t>
      </w:r>
      <w:r w:rsidR="0061624E">
        <w:rPr>
          <w:rFonts w:ascii="Courier New" w:hAnsi="Courier New" w:cs="Courier New"/>
          <w:sz w:val="24"/>
          <w:szCs w:val="24"/>
        </w:rPr>
        <w:t>in</w:t>
      </w:r>
      <w:r w:rsidR="00E20E55">
        <w:rPr>
          <w:rFonts w:ascii="Courier New" w:hAnsi="Courier New" w:cs="Courier New"/>
          <w:sz w:val="24"/>
          <w:szCs w:val="24"/>
        </w:rPr>
        <w:t xml:space="preserve"> achieving the goal</w:t>
      </w:r>
      <w:r w:rsidR="0061624E">
        <w:rPr>
          <w:rFonts w:ascii="Courier New" w:hAnsi="Courier New" w:cs="Courier New"/>
          <w:sz w:val="24"/>
          <w:szCs w:val="24"/>
        </w:rPr>
        <w:t>s</w:t>
      </w:r>
      <w:r w:rsidR="00E20E55">
        <w:rPr>
          <w:rFonts w:ascii="Courier New" w:hAnsi="Courier New" w:cs="Courier New"/>
          <w:sz w:val="24"/>
          <w:szCs w:val="24"/>
        </w:rPr>
        <w:t xml:space="preserve"> of these regulations, </w:t>
      </w:r>
      <w:r w:rsidR="00047830">
        <w:rPr>
          <w:rFonts w:ascii="Courier New" w:hAnsi="Courier New" w:cs="Courier New"/>
          <w:sz w:val="24"/>
          <w:szCs w:val="24"/>
        </w:rPr>
        <w:t xml:space="preserve">for several reasons.  We acknowledge that </w:t>
      </w:r>
      <w:r w:rsidR="001D5C7B">
        <w:rPr>
          <w:rFonts w:ascii="Courier New" w:hAnsi="Courier New" w:cs="Courier New"/>
          <w:sz w:val="24"/>
          <w:szCs w:val="24"/>
        </w:rPr>
        <w:t xml:space="preserve">some self-employed individuals </w:t>
      </w:r>
      <w:r w:rsidR="0047127C">
        <w:rPr>
          <w:rFonts w:ascii="Courier New" w:hAnsi="Courier New" w:cs="Courier New"/>
          <w:sz w:val="24"/>
          <w:szCs w:val="24"/>
        </w:rPr>
        <w:t xml:space="preserve">may fail to report, or underreport, their earnings.  </w:t>
      </w:r>
      <w:r w:rsidR="00704E8E">
        <w:rPr>
          <w:rFonts w:ascii="Courier New" w:hAnsi="Courier New" w:cs="Courier New"/>
          <w:sz w:val="24"/>
          <w:szCs w:val="24"/>
        </w:rPr>
        <w:t>However, s</w:t>
      </w:r>
      <w:r w:rsidR="0047127C">
        <w:rPr>
          <w:rFonts w:ascii="Courier New" w:hAnsi="Courier New" w:cs="Courier New"/>
          <w:sz w:val="24"/>
          <w:szCs w:val="24"/>
        </w:rPr>
        <w:t>ection 6017 requires self-employed individuals to file a return if the individual earns $400 or more for the taxable year</w:t>
      </w:r>
      <w:r w:rsidR="00050479">
        <w:rPr>
          <w:rFonts w:ascii="Courier New" w:hAnsi="Courier New" w:cs="Courier New"/>
          <w:sz w:val="24"/>
          <w:szCs w:val="24"/>
        </w:rPr>
        <w:t>.</w:t>
      </w:r>
      <w:r w:rsidR="0047127C">
        <w:rPr>
          <w:rFonts w:ascii="Courier New" w:hAnsi="Courier New" w:cs="Courier New"/>
          <w:sz w:val="24"/>
          <w:szCs w:val="24"/>
        </w:rPr>
        <w:t xml:space="preserve">  26 U.S.C. </w:t>
      </w:r>
      <w:r w:rsidR="00050479">
        <w:rPr>
          <w:rFonts w:ascii="Courier New" w:hAnsi="Courier New" w:cs="Courier New"/>
          <w:sz w:val="24"/>
          <w:szCs w:val="24"/>
        </w:rPr>
        <w:t>6</w:t>
      </w:r>
      <w:r w:rsidR="0047127C">
        <w:rPr>
          <w:rFonts w:ascii="Courier New" w:hAnsi="Courier New" w:cs="Courier New"/>
          <w:sz w:val="24"/>
          <w:szCs w:val="24"/>
        </w:rPr>
        <w:t>017</w:t>
      </w:r>
      <w:r w:rsidR="00050479">
        <w:rPr>
          <w:rFonts w:ascii="Courier New" w:hAnsi="Courier New" w:cs="Courier New"/>
          <w:sz w:val="24"/>
          <w:szCs w:val="24"/>
        </w:rPr>
        <w:t xml:space="preserve">. </w:t>
      </w:r>
      <w:r w:rsidR="00047830">
        <w:rPr>
          <w:rFonts w:ascii="Courier New" w:hAnsi="Courier New" w:cs="Courier New"/>
          <w:sz w:val="24"/>
          <w:szCs w:val="24"/>
        </w:rPr>
        <w:t xml:space="preserve"> </w:t>
      </w:r>
      <w:r w:rsidR="0061624E">
        <w:rPr>
          <w:rFonts w:ascii="Courier New" w:hAnsi="Courier New" w:cs="Courier New"/>
          <w:sz w:val="24"/>
          <w:szCs w:val="24"/>
        </w:rPr>
        <w:t>U</w:t>
      </w:r>
      <w:r w:rsidR="00050479">
        <w:rPr>
          <w:rFonts w:ascii="Courier New" w:hAnsi="Courier New" w:cs="Courier New"/>
          <w:sz w:val="24"/>
          <w:szCs w:val="24"/>
        </w:rPr>
        <w:t>nderreporting subjects the individual to penalty</w:t>
      </w:r>
      <w:r w:rsidR="00E7495B">
        <w:rPr>
          <w:rFonts w:ascii="Courier New" w:hAnsi="Courier New" w:cs="Courier New"/>
          <w:sz w:val="24"/>
          <w:szCs w:val="24"/>
        </w:rPr>
        <w:t xml:space="preserve"> or criminal prosecution.</w:t>
      </w:r>
      <w:r w:rsidR="00C21432">
        <w:rPr>
          <w:rFonts w:ascii="Courier New" w:hAnsi="Courier New" w:cs="Courier New"/>
          <w:sz w:val="24"/>
          <w:szCs w:val="24"/>
        </w:rPr>
        <w:t xml:space="preserve">  </w:t>
      </w:r>
      <w:r w:rsidR="00050479">
        <w:rPr>
          <w:rFonts w:ascii="Courier New" w:hAnsi="Courier New" w:cs="Courier New"/>
          <w:sz w:val="24"/>
          <w:szCs w:val="24"/>
        </w:rPr>
        <w:t>See, e.g., 26 U.S.C. 6662</w:t>
      </w:r>
      <w:r w:rsidR="00E7495B">
        <w:rPr>
          <w:rFonts w:ascii="Courier New" w:hAnsi="Courier New" w:cs="Courier New"/>
          <w:sz w:val="24"/>
          <w:szCs w:val="24"/>
        </w:rPr>
        <w:t>, 7201 et seq.</w:t>
      </w:r>
    </w:p>
    <w:p w14:paraId="0DB7CB2C" w14:textId="1127C2E1" w:rsidR="00F43519" w:rsidRDefault="00047830" w:rsidP="00704E8E">
      <w:pPr>
        <w:spacing w:after="0" w:line="480" w:lineRule="auto"/>
        <w:ind w:firstLine="720"/>
        <w:rPr>
          <w:rFonts w:ascii="Courier New" w:hAnsi="Courier New" w:cs="Courier New"/>
          <w:sz w:val="24"/>
          <w:szCs w:val="24"/>
        </w:rPr>
      </w:pPr>
      <w:r>
        <w:rPr>
          <w:rFonts w:ascii="Courier New" w:hAnsi="Courier New" w:cs="Courier New"/>
          <w:sz w:val="24"/>
          <w:szCs w:val="24"/>
        </w:rPr>
        <w:t>S</w:t>
      </w:r>
      <w:r w:rsidR="001D5C7B">
        <w:rPr>
          <w:rFonts w:ascii="Courier New" w:hAnsi="Courier New" w:cs="Courier New"/>
          <w:sz w:val="24"/>
          <w:szCs w:val="24"/>
        </w:rPr>
        <w:t xml:space="preserve">ome self-employed individuals </w:t>
      </w:r>
      <w:r w:rsidR="001D5C7B" w:rsidRPr="00D140AB">
        <w:rPr>
          <w:rFonts w:ascii="Courier New" w:hAnsi="Courier New" w:cs="Courier New"/>
          <w:sz w:val="24"/>
          <w:szCs w:val="24"/>
        </w:rPr>
        <w:t>have significant income but substantial and offsetting business expenses</w:t>
      </w:r>
      <w:r w:rsidR="001D5C7B">
        <w:rPr>
          <w:rFonts w:ascii="Courier New" w:hAnsi="Courier New" w:cs="Courier New"/>
          <w:sz w:val="24"/>
          <w:szCs w:val="24"/>
        </w:rPr>
        <w:t>, such as travel expenses and insurance</w:t>
      </w:r>
      <w:r w:rsidR="00050479">
        <w:rPr>
          <w:rFonts w:ascii="Courier New" w:hAnsi="Courier New" w:cs="Courier New"/>
          <w:sz w:val="24"/>
          <w:szCs w:val="24"/>
        </w:rPr>
        <w:t xml:space="preserve">, </w:t>
      </w:r>
      <w:r>
        <w:rPr>
          <w:rFonts w:ascii="Courier New" w:hAnsi="Courier New" w:cs="Courier New"/>
          <w:sz w:val="24"/>
          <w:szCs w:val="24"/>
        </w:rPr>
        <w:t xml:space="preserve">but our acceptance of net reported earnings for these individuals is not </w:t>
      </w:r>
      <w:r w:rsidR="00050479">
        <w:rPr>
          <w:rFonts w:ascii="Courier New" w:hAnsi="Courier New" w:cs="Courier New"/>
          <w:sz w:val="24"/>
          <w:szCs w:val="24"/>
        </w:rPr>
        <w:t>unreasonable</w:t>
      </w:r>
      <w:r w:rsidR="00BC1FCC">
        <w:rPr>
          <w:rFonts w:ascii="Courier New" w:hAnsi="Courier New" w:cs="Courier New"/>
          <w:sz w:val="24"/>
          <w:szCs w:val="24"/>
        </w:rPr>
        <w:t>.</w:t>
      </w:r>
      <w:r w:rsidR="001D5C7B" w:rsidRPr="00D140AB">
        <w:rPr>
          <w:rFonts w:ascii="Courier New" w:hAnsi="Courier New" w:cs="Courier New"/>
          <w:sz w:val="24"/>
          <w:szCs w:val="24"/>
        </w:rPr>
        <w:t xml:space="preserve"> </w:t>
      </w:r>
      <w:r w:rsidR="00BC1FCC">
        <w:rPr>
          <w:rFonts w:ascii="Courier New" w:hAnsi="Courier New" w:cs="Courier New"/>
          <w:sz w:val="24"/>
          <w:szCs w:val="24"/>
        </w:rPr>
        <w:t xml:space="preserve"> T</w:t>
      </w:r>
      <w:r w:rsidR="001D5C7B" w:rsidRPr="00D140AB">
        <w:rPr>
          <w:rFonts w:ascii="Courier New" w:hAnsi="Courier New" w:cs="Courier New"/>
          <w:sz w:val="24"/>
          <w:szCs w:val="24"/>
        </w:rPr>
        <w:t>hese individuals must use a</w:t>
      </w:r>
      <w:r w:rsidR="001D5C7B">
        <w:rPr>
          <w:rFonts w:ascii="Courier New" w:hAnsi="Courier New" w:cs="Courier New"/>
          <w:sz w:val="24"/>
          <w:szCs w:val="24"/>
        </w:rPr>
        <w:t xml:space="preserve">vailable </w:t>
      </w:r>
      <w:r w:rsidR="001D5C7B" w:rsidRPr="00D140AB">
        <w:rPr>
          <w:rFonts w:ascii="Courier New" w:hAnsi="Courier New" w:cs="Courier New"/>
          <w:sz w:val="24"/>
          <w:szCs w:val="24"/>
        </w:rPr>
        <w:t xml:space="preserve">earnings to pay their </w:t>
      </w:r>
      <w:r w:rsidR="001D5C7B">
        <w:rPr>
          <w:rFonts w:ascii="Courier New" w:hAnsi="Courier New" w:cs="Courier New"/>
          <w:sz w:val="24"/>
          <w:szCs w:val="24"/>
        </w:rPr>
        <w:t>personal</w:t>
      </w:r>
      <w:r w:rsidR="001D5C7B" w:rsidRPr="00D140AB">
        <w:rPr>
          <w:rFonts w:ascii="Courier New" w:hAnsi="Courier New" w:cs="Courier New"/>
          <w:sz w:val="24"/>
          <w:szCs w:val="24"/>
        </w:rPr>
        <w:t xml:space="preserve"> expenses </w:t>
      </w:r>
      <w:r w:rsidR="001D5C7B">
        <w:rPr>
          <w:rFonts w:ascii="Courier New" w:hAnsi="Courier New" w:cs="Courier New"/>
          <w:sz w:val="24"/>
          <w:szCs w:val="24"/>
        </w:rPr>
        <w:t xml:space="preserve">including repaying their student loan </w:t>
      </w:r>
      <w:r w:rsidR="001D5C7B" w:rsidRPr="00D140AB">
        <w:rPr>
          <w:rFonts w:ascii="Courier New" w:hAnsi="Courier New" w:cs="Courier New"/>
          <w:sz w:val="24"/>
          <w:szCs w:val="24"/>
        </w:rPr>
        <w:t xml:space="preserve">debt.  The </w:t>
      </w:r>
      <w:r w:rsidR="001D5C7B">
        <w:rPr>
          <w:rFonts w:ascii="Courier New" w:hAnsi="Courier New" w:cs="Courier New"/>
          <w:sz w:val="24"/>
          <w:szCs w:val="24"/>
        </w:rPr>
        <w:t xml:space="preserve">fact that </w:t>
      </w:r>
      <w:r w:rsidR="00F43519">
        <w:rPr>
          <w:rFonts w:ascii="Courier New" w:hAnsi="Courier New" w:cs="Courier New"/>
          <w:sz w:val="24"/>
          <w:szCs w:val="24"/>
        </w:rPr>
        <w:t>an</w:t>
      </w:r>
      <w:r w:rsidR="001D5C7B">
        <w:rPr>
          <w:rFonts w:ascii="Courier New" w:hAnsi="Courier New" w:cs="Courier New"/>
          <w:sz w:val="24"/>
          <w:szCs w:val="24"/>
        </w:rPr>
        <w:t xml:space="preserve"> individual </w:t>
      </w:r>
      <w:r w:rsidR="001D5C7B" w:rsidRPr="00D140AB">
        <w:rPr>
          <w:rFonts w:ascii="Courier New" w:hAnsi="Courier New" w:cs="Courier New"/>
          <w:sz w:val="24"/>
          <w:szCs w:val="24"/>
        </w:rPr>
        <w:t>use</w:t>
      </w:r>
      <w:r w:rsidR="001D5C7B">
        <w:rPr>
          <w:rFonts w:ascii="Courier New" w:hAnsi="Courier New" w:cs="Courier New"/>
          <w:sz w:val="24"/>
          <w:szCs w:val="24"/>
        </w:rPr>
        <w:t>d</w:t>
      </w:r>
      <w:r w:rsidR="001D5C7B" w:rsidRPr="00D140AB">
        <w:rPr>
          <w:rFonts w:ascii="Courier New" w:hAnsi="Courier New" w:cs="Courier New"/>
          <w:sz w:val="24"/>
          <w:szCs w:val="24"/>
        </w:rPr>
        <w:t xml:space="preserve"> some revenue to pay business expenses </w:t>
      </w:r>
      <w:r w:rsidR="001D5C7B" w:rsidRPr="00D140AB">
        <w:rPr>
          <w:rFonts w:ascii="Courier New" w:hAnsi="Courier New" w:cs="Courier New"/>
          <w:sz w:val="24"/>
          <w:szCs w:val="24"/>
        </w:rPr>
        <w:lastRenderedPageBreak/>
        <w:t xml:space="preserve">does not support an inference that </w:t>
      </w:r>
      <w:r w:rsidR="001D5C7B">
        <w:rPr>
          <w:rFonts w:ascii="Courier New" w:hAnsi="Courier New" w:cs="Courier New"/>
          <w:sz w:val="24"/>
          <w:szCs w:val="24"/>
        </w:rPr>
        <w:t>the</w:t>
      </w:r>
      <w:r w:rsidR="001D5C7B" w:rsidRPr="00D140AB">
        <w:rPr>
          <w:rFonts w:ascii="Courier New" w:hAnsi="Courier New" w:cs="Courier New"/>
          <w:sz w:val="24"/>
          <w:szCs w:val="24"/>
        </w:rPr>
        <w:t xml:space="preserve"> individual </w:t>
      </w:r>
      <w:r w:rsidR="001D5C7B">
        <w:rPr>
          <w:rFonts w:ascii="Courier New" w:hAnsi="Courier New" w:cs="Courier New"/>
          <w:sz w:val="24"/>
          <w:szCs w:val="24"/>
        </w:rPr>
        <w:t xml:space="preserve">had those same funds </w:t>
      </w:r>
      <w:r w:rsidR="001D5C7B" w:rsidRPr="00D140AB">
        <w:rPr>
          <w:rFonts w:ascii="Courier New" w:hAnsi="Courier New" w:cs="Courier New"/>
          <w:sz w:val="24"/>
          <w:szCs w:val="24"/>
        </w:rPr>
        <w:t xml:space="preserve">actually </w:t>
      </w:r>
      <w:r w:rsidR="001D5C7B">
        <w:rPr>
          <w:rFonts w:ascii="Courier New" w:hAnsi="Courier New" w:cs="Courier New"/>
          <w:sz w:val="24"/>
          <w:szCs w:val="24"/>
        </w:rPr>
        <w:t xml:space="preserve">available to pay student loan debt.  </w:t>
      </w:r>
    </w:p>
    <w:p w14:paraId="52CCD1B7" w14:textId="69744E52" w:rsidR="00047830" w:rsidRDefault="00F43519" w:rsidP="00C92C54">
      <w:pPr>
        <w:spacing w:after="0" w:line="480" w:lineRule="auto"/>
        <w:rPr>
          <w:rFonts w:ascii="Courier New" w:hAnsi="Courier New" w:cs="Courier New"/>
          <w:sz w:val="24"/>
          <w:szCs w:val="24"/>
        </w:rPr>
      </w:pPr>
      <w:r>
        <w:rPr>
          <w:rFonts w:ascii="Courier New" w:hAnsi="Courier New" w:cs="Courier New"/>
          <w:sz w:val="24"/>
          <w:szCs w:val="24"/>
        </w:rPr>
        <w:tab/>
      </w:r>
      <w:r w:rsidR="001D5C7B">
        <w:rPr>
          <w:rFonts w:ascii="Courier New" w:hAnsi="Courier New" w:cs="Courier New"/>
          <w:sz w:val="24"/>
          <w:szCs w:val="24"/>
        </w:rPr>
        <w:t xml:space="preserve">With respect to the </w:t>
      </w:r>
      <w:r w:rsidR="00B96E1D" w:rsidRPr="00070D22">
        <w:rPr>
          <w:rFonts w:ascii="Courier New" w:hAnsi="Courier New" w:cs="Courier New"/>
          <w:sz w:val="24"/>
          <w:szCs w:val="24"/>
        </w:rPr>
        <w:t xml:space="preserve">earnings of workers who regularly receive tips for their services, </w:t>
      </w:r>
      <w:r w:rsidR="009405C9">
        <w:rPr>
          <w:rFonts w:ascii="Courier New" w:hAnsi="Courier New" w:cs="Courier New"/>
          <w:sz w:val="24"/>
          <w:szCs w:val="24"/>
        </w:rPr>
        <w:t xml:space="preserve">section 6107 of the Code requires </w:t>
      </w:r>
      <w:r w:rsidR="00B96E1D" w:rsidRPr="00070D22">
        <w:rPr>
          <w:rFonts w:ascii="Courier New" w:hAnsi="Courier New" w:cs="Courier New"/>
          <w:sz w:val="24"/>
          <w:szCs w:val="24"/>
        </w:rPr>
        <w:t xml:space="preserve">individuals </w:t>
      </w:r>
      <w:r w:rsidR="00047830">
        <w:rPr>
          <w:rFonts w:ascii="Courier New" w:hAnsi="Courier New" w:cs="Courier New"/>
          <w:sz w:val="24"/>
          <w:szCs w:val="24"/>
        </w:rPr>
        <w:t xml:space="preserve">to </w:t>
      </w:r>
      <w:r w:rsidR="00B96E1D" w:rsidRPr="00070D22">
        <w:rPr>
          <w:rFonts w:ascii="Courier New" w:hAnsi="Courier New" w:cs="Courier New"/>
          <w:sz w:val="24"/>
          <w:szCs w:val="24"/>
        </w:rPr>
        <w:t xml:space="preserve">report to IRS their tip earnings for any month in which those tips exceeded $20, and </w:t>
      </w:r>
      <w:r w:rsidR="00047830">
        <w:rPr>
          <w:rFonts w:ascii="Courier New" w:hAnsi="Courier New" w:cs="Courier New"/>
          <w:sz w:val="24"/>
          <w:szCs w:val="24"/>
        </w:rPr>
        <w:t xml:space="preserve">individuals who fail to do so </w:t>
      </w:r>
      <w:r w:rsidR="00C80CAF">
        <w:rPr>
          <w:rFonts w:ascii="Courier New" w:hAnsi="Courier New" w:cs="Courier New"/>
          <w:sz w:val="24"/>
          <w:szCs w:val="24"/>
        </w:rPr>
        <w:t xml:space="preserve">are </w:t>
      </w:r>
      <w:r w:rsidR="00B96E1D" w:rsidRPr="00070D22">
        <w:rPr>
          <w:rFonts w:ascii="Courier New" w:hAnsi="Courier New" w:cs="Courier New"/>
          <w:sz w:val="24"/>
          <w:szCs w:val="24"/>
        </w:rPr>
        <w:t>subject to penalties.</w:t>
      </w:r>
      <w:r w:rsidR="00ED2BCF">
        <w:rPr>
          <w:rFonts w:ascii="Courier New" w:hAnsi="Courier New" w:cs="Courier New"/>
          <w:sz w:val="24"/>
          <w:szCs w:val="24"/>
        </w:rPr>
        <w:t xml:space="preserve"> </w:t>
      </w:r>
      <w:r w:rsidR="007E0331">
        <w:rPr>
          <w:rFonts w:ascii="Courier New" w:hAnsi="Courier New" w:cs="Courier New"/>
          <w:sz w:val="24"/>
          <w:szCs w:val="24"/>
        </w:rPr>
        <w:t xml:space="preserve"> 26 U.S.C. </w:t>
      </w:r>
      <w:r w:rsidR="00047830">
        <w:rPr>
          <w:rFonts w:ascii="Courier New" w:hAnsi="Courier New" w:cs="Courier New"/>
          <w:sz w:val="24"/>
          <w:szCs w:val="24"/>
        </w:rPr>
        <w:t xml:space="preserve">6107, </w:t>
      </w:r>
      <w:r w:rsidR="007E0331">
        <w:rPr>
          <w:rFonts w:ascii="Courier New" w:hAnsi="Courier New" w:cs="Courier New"/>
          <w:sz w:val="24"/>
          <w:szCs w:val="24"/>
        </w:rPr>
        <w:t>6652(b).</w:t>
      </w:r>
      <w:r w:rsidR="00B96E1D" w:rsidRPr="00070D22">
        <w:rPr>
          <w:rStyle w:val="FootnoteReference"/>
          <w:rFonts w:ascii="Courier New" w:hAnsi="Courier New" w:cs="Courier New"/>
          <w:sz w:val="24"/>
          <w:szCs w:val="24"/>
        </w:rPr>
        <w:footnoteReference w:id="159"/>
      </w:r>
      <w:r w:rsidR="00070D22" w:rsidRPr="00070D22">
        <w:rPr>
          <w:rFonts w:ascii="Courier New" w:hAnsi="Courier New" w:cs="Courier New"/>
          <w:sz w:val="24"/>
          <w:szCs w:val="24"/>
        </w:rPr>
        <w:t xml:space="preserve">  </w:t>
      </w:r>
    </w:p>
    <w:p w14:paraId="10E77E53" w14:textId="369BFFBF" w:rsidR="003C602A" w:rsidRDefault="003C602A" w:rsidP="00047830">
      <w:pPr>
        <w:spacing w:after="0" w:line="480" w:lineRule="auto"/>
        <w:ind w:firstLine="720"/>
        <w:rPr>
          <w:rFonts w:ascii="Courier New" w:hAnsi="Courier New" w:cs="Courier New"/>
          <w:sz w:val="24"/>
          <w:szCs w:val="24"/>
        </w:rPr>
      </w:pPr>
      <w:r>
        <w:rPr>
          <w:rFonts w:ascii="Courier New" w:hAnsi="Courier New" w:cs="Courier New"/>
          <w:sz w:val="24"/>
          <w:szCs w:val="24"/>
        </w:rPr>
        <w:t xml:space="preserve">As </w:t>
      </w:r>
      <w:r w:rsidR="00047830">
        <w:rPr>
          <w:rFonts w:ascii="Courier New" w:hAnsi="Courier New" w:cs="Courier New"/>
          <w:sz w:val="24"/>
          <w:szCs w:val="24"/>
        </w:rPr>
        <w:t xml:space="preserve">to the concern that some businesses may fail to report payments to contractors, the individual contractor remains responsible for reporting those payments as with </w:t>
      </w:r>
      <w:r>
        <w:rPr>
          <w:rFonts w:ascii="Courier New" w:hAnsi="Courier New" w:cs="Courier New"/>
          <w:sz w:val="24"/>
          <w:szCs w:val="24"/>
        </w:rPr>
        <w:t>other self-employment earnings, whether or not the payments were reported by the party that engaged the individual.</w:t>
      </w:r>
    </w:p>
    <w:p w14:paraId="198C0745" w14:textId="74245E61" w:rsidR="001D5C7B" w:rsidRDefault="008D7E01" w:rsidP="00C92C54">
      <w:pPr>
        <w:autoSpaceDE w:val="0"/>
        <w:autoSpaceDN w:val="0"/>
        <w:adjustRightInd w:val="0"/>
        <w:spacing w:after="0" w:line="480" w:lineRule="auto"/>
      </w:pPr>
      <w:r>
        <w:rPr>
          <w:rFonts w:ascii="Courier New" w:hAnsi="Courier New" w:cs="Courier New"/>
          <w:sz w:val="24"/>
          <w:szCs w:val="24"/>
        </w:rPr>
        <w:t xml:space="preserve">     </w:t>
      </w:r>
      <w:r w:rsidR="00070D22">
        <w:rPr>
          <w:rFonts w:ascii="Courier New" w:hAnsi="Courier New" w:cs="Courier New"/>
          <w:sz w:val="24"/>
          <w:szCs w:val="24"/>
        </w:rPr>
        <w:t xml:space="preserve">Imputing some percentage of added earnings to account for underreported tips and other compensation could only be done by generalizations drawn from some source of data on earnings, but none has been suggested that would permit doing so in a way that would distinguish between programs. </w:t>
      </w:r>
      <w:r w:rsidR="001D5C7B">
        <w:rPr>
          <w:rFonts w:ascii="Courier New" w:hAnsi="Courier New" w:cs="Courier New"/>
          <w:sz w:val="24"/>
          <w:szCs w:val="24"/>
        </w:rPr>
        <w:t xml:space="preserve">   </w:t>
      </w:r>
    </w:p>
    <w:p w14:paraId="4269B330" w14:textId="04125D39" w:rsidR="001D71D1" w:rsidRPr="00D140AB" w:rsidRDefault="00C92C54" w:rsidP="00C92C54">
      <w:pPr>
        <w:spacing w:after="0" w:line="480" w:lineRule="auto"/>
        <w:rPr>
          <w:rFonts w:ascii="Courier New" w:hAnsi="Courier New" w:cs="Courier New"/>
          <w:sz w:val="24"/>
          <w:szCs w:val="24"/>
        </w:rPr>
      </w:pPr>
      <w:r>
        <w:rPr>
          <w:rFonts w:ascii="Courier New" w:hAnsi="Courier New" w:cs="Courier New"/>
          <w:sz w:val="24"/>
          <w:szCs w:val="24"/>
        </w:rPr>
        <w:lastRenderedPageBreak/>
        <w:t xml:space="preserve">     </w:t>
      </w:r>
      <w:r w:rsidR="001D71D1" w:rsidRPr="00D140AB">
        <w:rPr>
          <w:rFonts w:ascii="Courier New" w:hAnsi="Courier New" w:cs="Courier New"/>
          <w:sz w:val="24"/>
          <w:szCs w:val="24"/>
        </w:rPr>
        <w:t xml:space="preserve">To assess the bias that the commenter asserted arises from what the commenter calls “imputing” zero earnings to individuals with no reported earnings in the MEF, the commenter relies on earnings data from the CPS, which is derived from surveys of households.  The survey samples data on a selection of all households, and relies on earnings data as provided by the individuals included in the survey.  As the commenter noted, there </w:t>
      </w:r>
      <w:r w:rsidR="00D67F0A" w:rsidRPr="00D140AB">
        <w:rPr>
          <w:rFonts w:ascii="Courier New" w:hAnsi="Courier New" w:cs="Courier New"/>
          <w:sz w:val="24"/>
          <w:szCs w:val="24"/>
        </w:rPr>
        <w:t>are</w:t>
      </w:r>
      <w:r w:rsidR="001D71D1" w:rsidRPr="00D140AB">
        <w:rPr>
          <w:rFonts w:ascii="Courier New" w:hAnsi="Courier New" w:cs="Courier New"/>
          <w:sz w:val="24"/>
          <w:szCs w:val="24"/>
        </w:rPr>
        <w:t xml:space="preserve"> no data in the CPS that allow one to associate a particular respondent with a particular GE program.    </w:t>
      </w:r>
    </w:p>
    <w:p w14:paraId="4269B331" w14:textId="38303AA6"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rPr>
        <w:t xml:space="preserve">    </w:t>
      </w:r>
      <w:r w:rsidR="00F809B7">
        <w:rPr>
          <w:rFonts w:ascii="Courier New" w:hAnsi="Courier New" w:cs="Courier New"/>
          <w:sz w:val="24"/>
          <w:szCs w:val="24"/>
        </w:rPr>
        <w:t xml:space="preserve"> </w:t>
      </w:r>
      <w:r w:rsidRPr="00942E29">
        <w:rPr>
          <w:rFonts w:ascii="Courier New" w:hAnsi="Courier New"/>
          <w:sz w:val="24"/>
        </w:rPr>
        <w:t>Unlike the approach taken in these regulations, which captures all earnings of the cohort</w:t>
      </w:r>
      <w:r w:rsidR="00D67F0A" w:rsidRPr="00942E29">
        <w:rPr>
          <w:rFonts w:ascii="Courier New" w:hAnsi="Courier New"/>
          <w:sz w:val="24"/>
        </w:rPr>
        <w:t xml:space="preserve"> of students completing a program</w:t>
      </w:r>
      <w:r w:rsidRPr="00942E29">
        <w:rPr>
          <w:rFonts w:ascii="Courier New" w:hAnsi="Courier New"/>
          <w:sz w:val="24"/>
        </w:rPr>
        <w:t xml:space="preserve"> and credits those earnings to the program completed by the wage earners, the analysis proposed by the commenter does the reverse: </w:t>
      </w:r>
      <w:r w:rsidR="00F809B7">
        <w:rPr>
          <w:rFonts w:ascii="Courier New" w:hAnsi="Courier New"/>
          <w:sz w:val="24"/>
        </w:rPr>
        <w:t xml:space="preserve"> </w:t>
      </w:r>
      <w:r w:rsidRPr="00942E29">
        <w:rPr>
          <w:rFonts w:ascii="Courier New" w:hAnsi="Courier New"/>
          <w:sz w:val="24"/>
        </w:rPr>
        <w:t xml:space="preserve">it extrapolates from earnings reported by </w:t>
      </w:r>
      <w:r w:rsidR="00DA5183">
        <w:rPr>
          <w:rFonts w:ascii="Courier New" w:hAnsi="Courier New"/>
          <w:sz w:val="24"/>
        </w:rPr>
        <w:t xml:space="preserve">those </w:t>
      </w:r>
      <w:r w:rsidRPr="00942E29">
        <w:rPr>
          <w:rFonts w:ascii="Courier New" w:hAnsi="Courier New"/>
          <w:sz w:val="24"/>
        </w:rPr>
        <w:t xml:space="preserve">survey recipients who identify </w:t>
      </w:r>
      <w:r w:rsidR="00DA5183">
        <w:rPr>
          <w:rFonts w:ascii="Courier New" w:hAnsi="Courier New"/>
          <w:sz w:val="24"/>
        </w:rPr>
        <w:t>their</w:t>
      </w:r>
      <w:r w:rsidRPr="00942E29">
        <w:rPr>
          <w:rFonts w:ascii="Courier New" w:hAnsi="Courier New"/>
          <w:sz w:val="24"/>
        </w:rPr>
        <w:t xml:space="preserve"> occupation </w:t>
      </w:r>
      <w:r w:rsidR="00DA5183">
        <w:rPr>
          <w:rFonts w:ascii="Courier New" w:hAnsi="Courier New"/>
          <w:sz w:val="24"/>
        </w:rPr>
        <w:t xml:space="preserve">as one </w:t>
      </w:r>
      <w:r w:rsidRPr="00942E29">
        <w:rPr>
          <w:rFonts w:ascii="Courier New" w:hAnsi="Courier New"/>
          <w:sz w:val="24"/>
        </w:rPr>
        <w:t xml:space="preserve">that appears related to GE programs of that </w:t>
      </w:r>
      <w:r w:rsidR="00DA5183">
        <w:rPr>
          <w:rFonts w:ascii="Courier New" w:hAnsi="Courier New"/>
          <w:sz w:val="24"/>
        </w:rPr>
        <w:t xml:space="preserve">general </w:t>
      </w:r>
      <w:r w:rsidRPr="00942E29">
        <w:rPr>
          <w:rFonts w:ascii="Courier New" w:hAnsi="Courier New"/>
          <w:sz w:val="24"/>
        </w:rPr>
        <w:t>type</w:t>
      </w:r>
      <w:r w:rsidR="00DA5183">
        <w:rPr>
          <w:rFonts w:ascii="Courier New" w:hAnsi="Courier New"/>
          <w:sz w:val="24"/>
        </w:rPr>
        <w:t xml:space="preserve">, and then projects </w:t>
      </w:r>
      <w:r w:rsidRPr="00942E29">
        <w:rPr>
          <w:rFonts w:ascii="Courier New" w:hAnsi="Courier New"/>
          <w:sz w:val="24"/>
        </w:rPr>
        <w:t xml:space="preserve">an increase in aggregate earnings for </w:t>
      </w:r>
      <w:r w:rsidR="00F55457" w:rsidRPr="00942E29">
        <w:rPr>
          <w:rFonts w:ascii="Courier New" w:hAnsi="Courier New"/>
          <w:sz w:val="24"/>
        </w:rPr>
        <w:t xml:space="preserve">all GE programs in </w:t>
      </w:r>
      <w:r w:rsidR="00DA5183">
        <w:rPr>
          <w:rFonts w:ascii="Courier New" w:hAnsi="Courier New"/>
          <w:sz w:val="24"/>
        </w:rPr>
        <w:t xml:space="preserve">the </w:t>
      </w:r>
      <w:r w:rsidRPr="00942E29">
        <w:rPr>
          <w:rFonts w:ascii="Courier New" w:hAnsi="Courier New"/>
          <w:sz w:val="24"/>
        </w:rPr>
        <w:t>category of programs</w:t>
      </w:r>
      <w:r w:rsidRPr="00942E29" w:rsidDel="00F55457">
        <w:rPr>
          <w:rFonts w:ascii="Courier New" w:hAnsi="Courier New"/>
          <w:sz w:val="24"/>
        </w:rPr>
        <w:t xml:space="preserve"> </w:t>
      </w:r>
      <w:r w:rsidR="00DA5183">
        <w:rPr>
          <w:rFonts w:ascii="Courier New" w:hAnsi="Courier New"/>
          <w:sz w:val="24"/>
        </w:rPr>
        <w:t>that appears to include that occupation.</w:t>
      </w:r>
      <w:r w:rsidRPr="00942E29">
        <w:rPr>
          <w:rFonts w:ascii="Courier New" w:hAnsi="Courier New"/>
          <w:sz w:val="24"/>
        </w:rPr>
        <w:t>.</w:t>
      </w:r>
      <w:r w:rsidRPr="00D140AB">
        <w:rPr>
          <w:rFonts w:ascii="Courier New" w:hAnsi="Courier New" w:cs="Courier New"/>
          <w:sz w:val="24"/>
          <w:szCs w:val="24"/>
        </w:rPr>
        <w:t xml:space="preserve"> </w:t>
      </w:r>
      <w:r w:rsidR="00DA5183">
        <w:rPr>
          <w:rFonts w:ascii="Courier New" w:hAnsi="Courier New" w:cs="Courier New"/>
          <w:sz w:val="24"/>
          <w:szCs w:val="24"/>
        </w:rPr>
        <w:t xml:space="preserve">In fact, even if the respondents were all currently employed in occupations for which a category of GE programs trains students, the respondents’ earnings </w:t>
      </w:r>
      <w:r w:rsidR="007342DC">
        <w:rPr>
          <w:rFonts w:ascii="Courier New" w:hAnsi="Courier New" w:cs="Courier New"/>
          <w:sz w:val="24"/>
          <w:szCs w:val="24"/>
        </w:rPr>
        <w:t xml:space="preserve">will almost certainly </w:t>
      </w:r>
      <w:r w:rsidR="00DA5183">
        <w:rPr>
          <w:rFonts w:ascii="Courier New" w:hAnsi="Courier New" w:cs="Courier New"/>
          <w:sz w:val="24"/>
          <w:szCs w:val="24"/>
        </w:rPr>
        <w:t xml:space="preserve">have no connection with a particular GE programs we are assessing.  Because any inference drawn from </w:t>
      </w:r>
      <w:r w:rsidR="00FC68FB">
        <w:rPr>
          <w:rFonts w:ascii="Courier New" w:hAnsi="Courier New" w:cs="Courier New"/>
          <w:sz w:val="24"/>
          <w:szCs w:val="24"/>
        </w:rPr>
        <w:t>CPS</w:t>
      </w:r>
      <w:r w:rsidR="00DA5183">
        <w:rPr>
          <w:rFonts w:ascii="Courier New" w:hAnsi="Courier New" w:cs="Courier New"/>
          <w:sz w:val="24"/>
          <w:szCs w:val="24"/>
        </w:rPr>
        <w:t xml:space="preserve"> respondents’ earnings could only benefit a </w:t>
      </w:r>
      <w:r w:rsidR="00FC68FB">
        <w:rPr>
          <w:rFonts w:ascii="Courier New" w:hAnsi="Courier New" w:cs="Courier New"/>
          <w:sz w:val="24"/>
          <w:szCs w:val="24"/>
        </w:rPr>
        <w:t xml:space="preserve">whole </w:t>
      </w:r>
      <w:r w:rsidR="00DA5183">
        <w:rPr>
          <w:rFonts w:ascii="Courier New" w:hAnsi="Courier New" w:cs="Courier New"/>
          <w:sz w:val="24"/>
          <w:szCs w:val="24"/>
        </w:rPr>
        <w:t>category of programs</w:t>
      </w:r>
      <w:r w:rsidR="00FC68FB">
        <w:rPr>
          <w:rFonts w:ascii="Courier New" w:hAnsi="Courier New" w:cs="Courier New"/>
          <w:sz w:val="24"/>
          <w:szCs w:val="24"/>
        </w:rPr>
        <w:t>-</w:t>
      </w:r>
      <w:r w:rsidR="00004C08">
        <w:rPr>
          <w:rFonts w:ascii="Courier New" w:hAnsi="Courier New" w:cs="Courier New"/>
          <w:sz w:val="24"/>
          <w:szCs w:val="24"/>
        </w:rPr>
        <w:t>-</w:t>
      </w:r>
      <w:r w:rsidR="00DA5183">
        <w:rPr>
          <w:rFonts w:ascii="Courier New" w:hAnsi="Courier New" w:cs="Courier New"/>
          <w:sz w:val="24"/>
          <w:szCs w:val="24"/>
        </w:rPr>
        <w:lastRenderedPageBreak/>
        <w:t>improving the D/E rates for every program in that category</w:t>
      </w:r>
      <w:r w:rsidR="00FC68FB">
        <w:rPr>
          <w:rFonts w:ascii="Courier New" w:hAnsi="Courier New" w:cs="Courier New"/>
          <w:sz w:val="24"/>
          <w:szCs w:val="24"/>
        </w:rPr>
        <w:t>-</w:t>
      </w:r>
      <w:r w:rsidR="00004C08">
        <w:rPr>
          <w:rFonts w:ascii="Courier New" w:hAnsi="Courier New" w:cs="Courier New"/>
          <w:sz w:val="24"/>
          <w:szCs w:val="24"/>
        </w:rPr>
        <w:t>-</w:t>
      </w:r>
      <w:r w:rsidR="007342DC">
        <w:rPr>
          <w:rFonts w:ascii="Courier New" w:hAnsi="Courier New" w:cs="Courier New"/>
          <w:sz w:val="24"/>
          <w:szCs w:val="24"/>
        </w:rPr>
        <w:t xml:space="preserve">using such inferences would </w:t>
      </w:r>
      <w:r w:rsidR="00DA5183">
        <w:rPr>
          <w:rFonts w:ascii="Courier New" w:hAnsi="Courier New" w:cs="Courier New"/>
          <w:sz w:val="24"/>
          <w:szCs w:val="24"/>
        </w:rPr>
        <w:t xml:space="preserve">mask poorer performing programs and thwart a major purpose of the </w:t>
      </w:r>
      <w:r w:rsidR="007342DC">
        <w:rPr>
          <w:rFonts w:ascii="Courier New" w:hAnsi="Courier New" w:cs="Courier New"/>
          <w:sz w:val="24"/>
          <w:szCs w:val="24"/>
        </w:rPr>
        <w:t xml:space="preserve">GE </w:t>
      </w:r>
      <w:r w:rsidR="00DA5183">
        <w:rPr>
          <w:rFonts w:ascii="Courier New" w:hAnsi="Courier New" w:cs="Courier New"/>
          <w:sz w:val="24"/>
          <w:szCs w:val="24"/>
        </w:rPr>
        <w:t xml:space="preserve">assessment. </w:t>
      </w:r>
    </w:p>
    <w:p w14:paraId="4269B332" w14:textId="04929DAC" w:rsidR="001D71D1" w:rsidRPr="00D140AB" w:rsidRDefault="00F809B7" w:rsidP="00C92C54">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In addition, by the time the survey is conducted, the respondent </w:t>
      </w:r>
      <w:r w:rsidR="004B2707">
        <w:rPr>
          <w:rFonts w:ascii="Courier New" w:hAnsi="Courier New" w:cs="Courier New"/>
          <w:sz w:val="24"/>
          <w:szCs w:val="24"/>
        </w:rPr>
        <w:t>can be expected to</w:t>
      </w:r>
      <w:r w:rsidR="001D71D1" w:rsidRPr="00D140AB">
        <w:rPr>
          <w:rFonts w:ascii="Courier New" w:hAnsi="Courier New" w:cs="Courier New"/>
          <w:sz w:val="24"/>
          <w:szCs w:val="24"/>
        </w:rPr>
        <w:t xml:space="preserve"> identify </w:t>
      </w:r>
      <w:r w:rsidR="004B2707">
        <w:rPr>
          <w:rFonts w:ascii="Courier New" w:hAnsi="Courier New" w:cs="Courier New"/>
          <w:sz w:val="24"/>
          <w:szCs w:val="24"/>
        </w:rPr>
        <w:t xml:space="preserve">his or her current or most recent job, which may </w:t>
      </w:r>
      <w:r w:rsidR="00CA5468">
        <w:rPr>
          <w:rFonts w:ascii="Courier New" w:hAnsi="Courier New" w:cs="Courier New"/>
          <w:sz w:val="24"/>
          <w:szCs w:val="24"/>
        </w:rPr>
        <w:t xml:space="preserve">be different than the occupation </w:t>
      </w:r>
      <w:r w:rsidR="001D71D1" w:rsidRPr="00D140AB">
        <w:rPr>
          <w:rFonts w:ascii="Courier New" w:hAnsi="Courier New" w:cs="Courier New"/>
          <w:sz w:val="24"/>
          <w:szCs w:val="24"/>
        </w:rPr>
        <w:t xml:space="preserve">for which training was received </w:t>
      </w:r>
      <w:r w:rsidR="00CA5468">
        <w:rPr>
          <w:rFonts w:ascii="Courier New" w:hAnsi="Courier New" w:cs="Courier New"/>
          <w:sz w:val="24"/>
          <w:szCs w:val="24"/>
        </w:rPr>
        <w:t xml:space="preserve">years before </w:t>
      </w:r>
      <w:r w:rsidR="001D71D1" w:rsidRPr="00D140AB">
        <w:rPr>
          <w:rFonts w:ascii="Courier New" w:hAnsi="Courier New" w:cs="Courier New"/>
          <w:sz w:val="24"/>
          <w:szCs w:val="24"/>
        </w:rPr>
        <w:t>in a GE program</w:t>
      </w:r>
      <w:r w:rsidR="00CA5468">
        <w:rPr>
          <w:rFonts w:ascii="Courier New" w:hAnsi="Courier New" w:cs="Courier New"/>
          <w:sz w:val="24"/>
          <w:szCs w:val="24"/>
        </w:rPr>
        <w:t xml:space="preserve">. </w:t>
      </w:r>
      <w:r>
        <w:rPr>
          <w:rFonts w:ascii="Courier New" w:hAnsi="Courier New" w:cs="Courier New"/>
          <w:sz w:val="24"/>
          <w:szCs w:val="24"/>
        </w:rPr>
        <w:t xml:space="preserve"> </w:t>
      </w:r>
      <w:r w:rsidR="004C57A3">
        <w:rPr>
          <w:rFonts w:ascii="Courier New" w:hAnsi="Courier New" w:cs="Courier New"/>
          <w:sz w:val="24"/>
          <w:szCs w:val="24"/>
        </w:rPr>
        <w:t xml:space="preserve">Thus, </w:t>
      </w:r>
      <w:r w:rsidR="00CA5468">
        <w:rPr>
          <w:rFonts w:ascii="Courier New" w:hAnsi="Courier New" w:cs="Courier New"/>
          <w:sz w:val="24"/>
          <w:szCs w:val="24"/>
        </w:rPr>
        <w:t xml:space="preserve">to draw </w:t>
      </w:r>
      <w:r w:rsidR="007342DC">
        <w:rPr>
          <w:rFonts w:ascii="Courier New" w:hAnsi="Courier New" w:cs="Courier New"/>
          <w:sz w:val="24"/>
          <w:szCs w:val="24"/>
        </w:rPr>
        <w:t>a usable</w:t>
      </w:r>
      <w:r w:rsidR="00CA5468">
        <w:rPr>
          <w:rFonts w:ascii="Courier New" w:hAnsi="Courier New" w:cs="Courier New"/>
          <w:sz w:val="24"/>
          <w:szCs w:val="24"/>
        </w:rPr>
        <w:t xml:space="preserve"> inference about D/E earnings from data gathered in the CPS </w:t>
      </w:r>
      <w:r w:rsidR="007342DC">
        <w:rPr>
          <w:rFonts w:ascii="Courier New" w:hAnsi="Courier New" w:cs="Courier New"/>
          <w:sz w:val="24"/>
          <w:szCs w:val="24"/>
        </w:rPr>
        <w:t xml:space="preserve">one </w:t>
      </w:r>
      <w:r w:rsidR="004C57A3">
        <w:rPr>
          <w:rFonts w:ascii="Courier New" w:hAnsi="Courier New" w:cs="Courier New"/>
          <w:sz w:val="24"/>
          <w:szCs w:val="24"/>
        </w:rPr>
        <w:t xml:space="preserve">must </w:t>
      </w:r>
      <w:r w:rsidR="00DA5183">
        <w:rPr>
          <w:rFonts w:ascii="Courier New" w:hAnsi="Courier New" w:cs="Courier New"/>
          <w:sz w:val="24"/>
          <w:szCs w:val="24"/>
        </w:rPr>
        <w:t xml:space="preserve">connect </w:t>
      </w:r>
      <w:r w:rsidR="007342DC">
        <w:rPr>
          <w:rFonts w:ascii="Courier New" w:hAnsi="Courier New" w:cs="Courier New"/>
          <w:sz w:val="24"/>
          <w:szCs w:val="24"/>
        </w:rPr>
        <w:t xml:space="preserve">a particular GE program now being offered and evaluated with </w:t>
      </w:r>
      <w:r w:rsidR="00DA5183">
        <w:rPr>
          <w:rFonts w:ascii="Courier New" w:hAnsi="Courier New" w:cs="Courier New"/>
          <w:sz w:val="24"/>
          <w:szCs w:val="24"/>
        </w:rPr>
        <w:t xml:space="preserve">earnings and </w:t>
      </w:r>
      <w:r w:rsidR="007342DC">
        <w:rPr>
          <w:rFonts w:ascii="Courier New" w:hAnsi="Courier New" w:cs="Courier New"/>
          <w:sz w:val="24"/>
          <w:szCs w:val="24"/>
        </w:rPr>
        <w:t>occupations</w:t>
      </w:r>
      <w:r w:rsidR="00DA5183">
        <w:rPr>
          <w:rFonts w:ascii="Courier New" w:hAnsi="Courier New" w:cs="Courier New"/>
          <w:sz w:val="24"/>
          <w:szCs w:val="24"/>
        </w:rPr>
        <w:t xml:space="preserve"> </w:t>
      </w:r>
      <w:r w:rsidR="007342DC">
        <w:rPr>
          <w:rFonts w:ascii="Courier New" w:hAnsi="Courier New" w:cs="Courier New"/>
          <w:sz w:val="24"/>
          <w:szCs w:val="24"/>
        </w:rPr>
        <w:t xml:space="preserve">disclosed by the CPS respondents years, even decades, into their careers, during which they may have worked in different kinds of occupations. </w:t>
      </w:r>
      <w:r w:rsidR="004C57A3">
        <w:rPr>
          <w:rFonts w:ascii="Courier New" w:hAnsi="Courier New" w:cs="Courier New"/>
          <w:sz w:val="24"/>
          <w:szCs w:val="24"/>
        </w:rPr>
        <w:t xml:space="preserve"> </w:t>
      </w:r>
    </w:p>
    <w:p w14:paraId="4269B333" w14:textId="17ABE630"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rPr>
        <w:t xml:space="preserve">     For these reasons, we do not agree with the commenters’ assertion that aggregate earnings data provided by SSA from MEF </w:t>
      </w:r>
      <w:r w:rsidR="00D67F0A" w:rsidRPr="00D140AB">
        <w:rPr>
          <w:rFonts w:ascii="Courier New" w:hAnsi="Courier New" w:cs="Courier New"/>
          <w:sz w:val="24"/>
          <w:szCs w:val="24"/>
        </w:rPr>
        <w:t>are</w:t>
      </w:r>
      <w:r w:rsidRPr="00D140AB">
        <w:rPr>
          <w:rFonts w:ascii="Courier New" w:hAnsi="Courier New" w:cs="Courier New"/>
          <w:sz w:val="24"/>
          <w:szCs w:val="24"/>
        </w:rPr>
        <w:t xml:space="preserve"> unreliable with respect to workers in occupations that involve significant tip income or a high percentage of income from self-employment.  More importantly, the critique fails to demonstrate either that a different and more reliable source of earnings data is available and should reasonably be used instead of the SSA data, or that adjustments must be made based on CPS data.  Moreover, the regulations allow an institution to submit an alternate earnings appeal using State databases or a survey. </w:t>
      </w:r>
    </w:p>
    <w:p w14:paraId="4269B334" w14:textId="7777777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35" w14:textId="7777777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lastRenderedPageBreak/>
        <w:t>Comments</w:t>
      </w:r>
      <w:r w:rsidRPr="00D140AB">
        <w:rPr>
          <w:rFonts w:ascii="Courier New" w:hAnsi="Courier New" w:cs="Courier New"/>
          <w:sz w:val="24"/>
          <w:szCs w:val="24"/>
        </w:rPr>
        <w:t xml:space="preserve">:  For the various reasons stated in the comments summarized here, commenters contended that the SSA MEF data is not the “most reliable data available” for the Department to use in calculating D/E rates for GE programs, and does not “produce figures that can be considered sufficiently accurate.”  They asserted that the Department has not met its obligation to use the “best available data” to calculate the D/E rates. </w:t>
      </w:r>
    </w:p>
    <w:p w14:paraId="4269B336" w14:textId="38AA7516"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 commenter’s argument that the Department failed to use the “most reliable data available” is based on cases in which parties claimed that an agency chose to rely on incomplete or outdated data at the time it made a determination, rather than more accurate data available to the agency at that time.  In the relevant cases</w:t>
      </w:r>
      <w:r w:rsidR="00D67F0A" w:rsidRPr="00D140AB">
        <w:rPr>
          <w:rFonts w:ascii="Courier New" w:hAnsi="Courier New" w:cs="Courier New"/>
          <w:sz w:val="24"/>
          <w:szCs w:val="24"/>
        </w:rPr>
        <w:t>,</w:t>
      </w:r>
      <w:r w:rsidRPr="00D140AB">
        <w:rPr>
          <w:rFonts w:ascii="Courier New" w:hAnsi="Courier New" w:cs="Courier New"/>
          <w:sz w:val="24"/>
          <w:szCs w:val="24"/>
        </w:rPr>
        <w:t xml:space="preserve"> the court considered whether the agency reasonably relied on the data available to the agency at the time of determination.</w:t>
      </w:r>
      <w:r w:rsidRPr="00D140AB">
        <w:rPr>
          <w:rStyle w:val="FootnoteReference"/>
          <w:rFonts w:ascii="Courier New" w:hAnsi="Courier New" w:cs="Courier New"/>
          <w:sz w:val="24"/>
          <w:szCs w:val="24"/>
        </w:rPr>
        <w:footnoteReference w:id="160"/>
      </w:r>
      <w:r w:rsidRPr="00D140AB">
        <w:rPr>
          <w:rFonts w:ascii="Courier New" w:hAnsi="Courier New" w:cs="Courier New"/>
          <w:sz w:val="24"/>
          <w:szCs w:val="24"/>
        </w:rPr>
        <w:t xml:space="preserve">  An agency may not disregard data actually available to it, as where, for example, data </w:t>
      </w:r>
      <w:r w:rsidR="00D67F0A" w:rsidRPr="00D140AB">
        <w:rPr>
          <w:rFonts w:ascii="Courier New" w:hAnsi="Courier New" w:cs="Courier New"/>
          <w:sz w:val="24"/>
          <w:szCs w:val="24"/>
        </w:rPr>
        <w:t>are</w:t>
      </w:r>
      <w:r w:rsidRPr="00D140AB">
        <w:rPr>
          <w:rFonts w:ascii="Courier New" w:hAnsi="Courier New" w:cs="Courier New"/>
          <w:sz w:val="24"/>
          <w:szCs w:val="24"/>
        </w:rPr>
        <w:t xml:space="preserve"> available from a component of the same agency as the component of that agency that makes the determination.  The data required </w:t>
      </w:r>
      <w:r w:rsidRPr="00D140AB">
        <w:rPr>
          <w:rFonts w:ascii="Courier New" w:hAnsi="Courier New" w:cs="Courier New"/>
          <w:sz w:val="24"/>
          <w:szCs w:val="24"/>
        </w:rPr>
        <w:lastRenderedPageBreak/>
        <w:t>to calculate the earnings component of the D/E rates is not available within components of the Department.</w:t>
      </w:r>
    </w:p>
    <w:p w14:paraId="4269B337" w14:textId="023392A9"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rPr>
        <w:t xml:space="preserve">     Similarly, an agency may not ignore or fail to seek data actually held by an agency with which it has a “close working relationship.”  </w:t>
      </w:r>
      <w:r w:rsidR="00004C08" w:rsidRPr="00004C08">
        <w:rPr>
          <w:rFonts w:ascii="Courier New" w:hAnsi="Courier New" w:cs="Courier New"/>
          <w:sz w:val="24"/>
          <w:szCs w:val="24"/>
          <w:u w:val="single"/>
        </w:rPr>
        <w:t>See</w:t>
      </w:r>
      <w:r w:rsidR="00004C08">
        <w:rPr>
          <w:rFonts w:ascii="Courier New" w:hAnsi="Courier New" w:cs="Courier New"/>
          <w:sz w:val="24"/>
          <w:szCs w:val="24"/>
        </w:rPr>
        <w:t xml:space="preserve"> </w:t>
      </w:r>
      <w:r w:rsidR="00004C08" w:rsidRPr="00004C08">
        <w:rPr>
          <w:rFonts w:ascii="Courier New" w:hAnsi="Courier New" w:cs="Courier New"/>
          <w:sz w:val="24"/>
          <w:szCs w:val="24"/>
          <w:u w:val="single"/>
        </w:rPr>
        <w:t>Baystate</w:t>
      </w:r>
      <w:r w:rsidR="00004C08">
        <w:rPr>
          <w:rFonts w:ascii="Courier New" w:hAnsi="Courier New" w:cs="Courier New"/>
          <w:sz w:val="24"/>
          <w:szCs w:val="24"/>
        </w:rPr>
        <w:t xml:space="preserve">, 545 F.Supp.2d at 44-45.  </w:t>
      </w:r>
      <w:r w:rsidRPr="00D140AB">
        <w:rPr>
          <w:rFonts w:ascii="Courier New" w:hAnsi="Courier New" w:cs="Courier New"/>
          <w:sz w:val="24"/>
          <w:szCs w:val="24"/>
        </w:rPr>
        <w:t xml:space="preserve">SSA and the Department have a close working relationship, and the Department has, in fact, sought and obtained the relevant data available from SSA.  The commenter does not identify any source other than SSA for the aggregate earnings data needed to calculate D/E rates.  Rather, the commenter focuses on the lack of better data from SSA.  We have confirmed with SSA that it does not have better data available to share with the Department, and, therefore, the Department uses the best data available from SSA to calculate earnings.  Accordingly, the Department has satisfied the requirement to use the most reliable data available. </w:t>
      </w:r>
    </w:p>
    <w:p w14:paraId="4269B338" w14:textId="4F8F0948" w:rsidR="001D71D1" w:rsidRPr="00D140AB" w:rsidRDefault="00C92C54" w:rsidP="00C92C54">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The case law establishing the requirement that an agency use the best available data does not require that the data be free from errors.  The case law “amply supports the proposition that the best available data standard leaves room for error, so long as more data did not exist at the time of the agency decision.”  </w:t>
      </w:r>
      <w:r w:rsidR="001D71D1" w:rsidRPr="00B04F63">
        <w:rPr>
          <w:rFonts w:ascii="Courier New" w:hAnsi="Courier New" w:cs="Courier New"/>
          <w:sz w:val="24"/>
          <w:szCs w:val="24"/>
          <w:u w:val="single"/>
        </w:rPr>
        <w:t>Baystate</w:t>
      </w:r>
      <w:r w:rsidR="001D71D1" w:rsidRPr="00D140AB">
        <w:rPr>
          <w:rFonts w:ascii="Courier New" w:hAnsi="Courier New" w:cs="Courier New"/>
          <w:sz w:val="24"/>
          <w:szCs w:val="24"/>
        </w:rPr>
        <w:t xml:space="preserve">, </w:t>
      </w:r>
      <w:r w:rsidR="00B04F63">
        <w:rPr>
          <w:rFonts w:ascii="Courier New" w:hAnsi="Courier New" w:cs="Courier New"/>
          <w:sz w:val="24"/>
          <w:szCs w:val="24"/>
        </w:rPr>
        <w:t xml:space="preserve">545 F.Supp.2d </w:t>
      </w:r>
      <w:r w:rsidR="001D71D1" w:rsidRPr="00D140AB">
        <w:rPr>
          <w:rFonts w:ascii="Courier New" w:hAnsi="Courier New" w:cs="Courier New"/>
          <w:sz w:val="24"/>
          <w:szCs w:val="24"/>
        </w:rPr>
        <w:t xml:space="preserve">at 49.  As discussed, the commenter does not identify, and the Department is not aware of, any other source of earnings data available to the Department to </w:t>
      </w:r>
      <w:r w:rsidR="001D71D1" w:rsidRPr="00D140AB">
        <w:rPr>
          <w:rFonts w:ascii="Courier New" w:hAnsi="Courier New" w:cs="Courier New"/>
          <w:sz w:val="24"/>
          <w:szCs w:val="24"/>
        </w:rPr>
        <w:lastRenderedPageBreak/>
        <w:t xml:space="preserve">calculate D/E rates for a GE program.  As we recognize that there are shortcomings in the D/E rates data-gathering process, we provide for a process under §668.405(c) for institutional corrections to the information submitted to SSA, and, to address any perceived flaws in the SSA aggregate earnings data, in §668.406, we provide institutions an opportunity to appeal their final D/E rates using alternate earnings data obtained from a student survey or State-sponsored data system.  For these reasons, by using aggregate earnings data provided by SSA from its MEF, the Department has satisfied the requirement to use the best available data.   </w:t>
      </w:r>
    </w:p>
    <w:p w14:paraId="4269B339" w14:textId="77777777" w:rsidR="001D71D1" w:rsidRPr="00D140AB" w:rsidRDefault="001D71D1" w:rsidP="00C92C54">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6CC6C2A9" w14:textId="7A366B40" w:rsidR="009F157E" w:rsidRPr="00D140AB" w:rsidRDefault="009F157E" w:rsidP="00C92C54">
      <w:pPr>
        <w:spacing w:after="0" w:line="480" w:lineRule="auto"/>
        <w:rPr>
          <w:rFonts w:ascii="Courier New" w:hAnsi="Courier New" w:cs="Courier New"/>
          <w:sz w:val="24"/>
          <w:szCs w:val="24"/>
        </w:rPr>
      </w:pPr>
      <w:r w:rsidRPr="00FB0FF7">
        <w:rPr>
          <w:rFonts w:ascii="Courier New" w:hAnsi="Courier New"/>
          <w:sz w:val="24"/>
          <w:u w:val="single"/>
        </w:rPr>
        <w:t>Comments</w:t>
      </w:r>
      <w:r w:rsidRPr="00D140AB">
        <w:rPr>
          <w:rFonts w:ascii="Courier New" w:hAnsi="Courier New" w:cs="Courier New"/>
          <w:sz w:val="24"/>
          <w:szCs w:val="24"/>
        </w:rPr>
        <w:t xml:space="preserve">: </w:t>
      </w:r>
      <w:r w:rsidR="001D5C7B">
        <w:rPr>
          <w:rFonts w:ascii="Courier New" w:hAnsi="Courier New" w:cs="Courier New"/>
          <w:sz w:val="24"/>
          <w:szCs w:val="24"/>
        </w:rPr>
        <w:t xml:space="preserve"> </w:t>
      </w:r>
      <w:r w:rsidRPr="00D140AB">
        <w:rPr>
          <w:rFonts w:ascii="Courier New" w:hAnsi="Courier New" w:cs="Courier New"/>
          <w:sz w:val="24"/>
          <w:szCs w:val="24"/>
        </w:rPr>
        <w:t>Several commenters contended that the Department’s use of SSA aggregate earnings data to determine the D/E rates violates the institution’s due process rights because the regulations prohibit the institution from examining and challenging the earnings data the SSA uses to calculate the mean and median earnings.  The commenters argue</w:t>
      </w:r>
      <w:r w:rsidR="001D5C7B">
        <w:rPr>
          <w:rFonts w:ascii="Courier New" w:hAnsi="Courier New" w:cs="Courier New"/>
          <w:sz w:val="24"/>
          <w:szCs w:val="24"/>
        </w:rPr>
        <w:t>d</w:t>
      </w:r>
      <w:r w:rsidRPr="00D140AB">
        <w:rPr>
          <w:rFonts w:ascii="Courier New" w:hAnsi="Courier New" w:cs="Courier New"/>
          <w:sz w:val="24"/>
          <w:szCs w:val="24"/>
        </w:rPr>
        <w:t xml:space="preserve"> that the regulations deprive the institution of the right to be apprised of the </w:t>
      </w:r>
      <w:r w:rsidR="00135FC3" w:rsidRPr="00D140AB">
        <w:rPr>
          <w:rFonts w:ascii="Courier New" w:hAnsi="Courier New" w:cs="Courier New"/>
          <w:sz w:val="24"/>
          <w:szCs w:val="24"/>
        </w:rPr>
        <w:t>factual material on which the Department relies so that the institution may rebut it</w:t>
      </w:r>
      <w:r w:rsidR="004522B4" w:rsidRPr="00D140AB">
        <w:rPr>
          <w:rFonts w:ascii="Courier New" w:hAnsi="Courier New" w:cs="Courier New"/>
          <w:sz w:val="24"/>
          <w:szCs w:val="24"/>
        </w:rPr>
        <w:t>.  Commenters further contend</w:t>
      </w:r>
      <w:r w:rsidR="001D5C7B">
        <w:rPr>
          <w:rFonts w:ascii="Courier New" w:hAnsi="Courier New" w:cs="Courier New"/>
          <w:sz w:val="24"/>
          <w:szCs w:val="24"/>
        </w:rPr>
        <w:t>ed</w:t>
      </w:r>
      <w:r w:rsidR="004522B4" w:rsidRPr="00D140AB">
        <w:rPr>
          <w:rFonts w:ascii="Courier New" w:hAnsi="Courier New" w:cs="Courier New"/>
          <w:sz w:val="24"/>
          <w:szCs w:val="24"/>
        </w:rPr>
        <w:t xml:space="preserve"> that appeal opportunities available under the regulations are not adequate, and that the regulations impermissibly place burdens </w:t>
      </w:r>
      <w:r w:rsidR="004522B4" w:rsidRPr="00D140AB">
        <w:rPr>
          <w:rFonts w:ascii="Courier New" w:hAnsi="Courier New" w:cs="Courier New"/>
          <w:sz w:val="24"/>
          <w:szCs w:val="24"/>
        </w:rPr>
        <w:lastRenderedPageBreak/>
        <w:t>of proof on the institution in exercising challenges available under the regulations</w:t>
      </w:r>
      <w:r w:rsidR="00135FC3" w:rsidRPr="00D140AB">
        <w:rPr>
          <w:rFonts w:ascii="Courier New" w:hAnsi="Courier New" w:cs="Courier New"/>
          <w:sz w:val="24"/>
          <w:szCs w:val="24"/>
        </w:rPr>
        <w:t xml:space="preserve">. </w:t>
      </w:r>
      <w:r w:rsidR="004522B4" w:rsidRPr="00D140AB">
        <w:rPr>
          <w:rFonts w:ascii="Courier New" w:hAnsi="Courier New" w:cs="Courier New"/>
          <w:sz w:val="24"/>
          <w:szCs w:val="24"/>
        </w:rPr>
        <w:t xml:space="preserve">  </w:t>
      </w:r>
    </w:p>
    <w:p w14:paraId="186CF5C7" w14:textId="7E9AE2A5" w:rsidR="0046555F" w:rsidRPr="00D140AB" w:rsidRDefault="00135FC3" w:rsidP="002A0C7E">
      <w:pPr>
        <w:spacing w:after="0" w:line="480" w:lineRule="auto"/>
        <w:rPr>
          <w:rFonts w:ascii="Courier New" w:hAnsi="Courier New" w:cs="Courier New"/>
          <w:sz w:val="24"/>
          <w:szCs w:val="24"/>
        </w:rPr>
      </w:pPr>
      <w:r w:rsidRPr="00FB0FF7">
        <w:rPr>
          <w:rFonts w:ascii="Courier New" w:hAnsi="Courier New"/>
          <w:sz w:val="24"/>
          <w:u w:val="single"/>
        </w:rPr>
        <w:t>Discussion</w:t>
      </w:r>
      <w:r w:rsidRPr="00D140AB">
        <w:rPr>
          <w:rFonts w:ascii="Courier New" w:hAnsi="Courier New" w:cs="Courier New"/>
          <w:sz w:val="24"/>
          <w:szCs w:val="24"/>
        </w:rPr>
        <w:t xml:space="preserve">:  As </w:t>
      </w:r>
      <w:r w:rsidR="001D5C7B">
        <w:rPr>
          <w:rFonts w:ascii="Courier New" w:hAnsi="Courier New" w:cs="Courier New"/>
          <w:sz w:val="24"/>
          <w:szCs w:val="24"/>
        </w:rPr>
        <w:t xml:space="preserve">previously </w:t>
      </w:r>
      <w:r w:rsidRPr="00D140AB">
        <w:rPr>
          <w:rFonts w:ascii="Courier New" w:hAnsi="Courier New" w:cs="Courier New"/>
          <w:sz w:val="24"/>
          <w:szCs w:val="24"/>
        </w:rPr>
        <w:t xml:space="preserve">explained, SSA is barred from disclosing the kind of personal data that would identify the wage earners and </w:t>
      </w:r>
      <w:r w:rsidR="00FB0FF7">
        <w:rPr>
          <w:rFonts w:ascii="Courier New" w:hAnsi="Courier New" w:cs="Courier New"/>
          <w:sz w:val="24"/>
          <w:szCs w:val="24"/>
        </w:rPr>
        <w:t xml:space="preserve">from </w:t>
      </w:r>
      <w:r w:rsidRPr="00D140AB">
        <w:rPr>
          <w:rFonts w:ascii="Courier New" w:hAnsi="Courier New" w:cs="Courier New"/>
          <w:sz w:val="24"/>
          <w:szCs w:val="24"/>
        </w:rPr>
        <w:t>disclos</w:t>
      </w:r>
      <w:r w:rsidR="00FB0FF7">
        <w:rPr>
          <w:rFonts w:ascii="Courier New" w:hAnsi="Courier New" w:cs="Courier New"/>
          <w:sz w:val="24"/>
          <w:szCs w:val="24"/>
        </w:rPr>
        <w:t>ing</w:t>
      </w:r>
      <w:r w:rsidRPr="00D140AB">
        <w:rPr>
          <w:rFonts w:ascii="Courier New" w:hAnsi="Courier New" w:cs="Courier New"/>
          <w:sz w:val="24"/>
          <w:szCs w:val="24"/>
        </w:rPr>
        <w:t xml:space="preserve"> their reported earnings because </w:t>
      </w:r>
      <w:r w:rsidR="0046555F" w:rsidRPr="00D140AB">
        <w:rPr>
          <w:rFonts w:ascii="Courier New" w:hAnsi="Courier New" w:cs="Courier New"/>
          <w:sz w:val="24"/>
          <w:szCs w:val="24"/>
        </w:rPr>
        <w:t xml:space="preserve">section 6103(a) of the </w:t>
      </w:r>
      <w:r w:rsidRPr="00D140AB">
        <w:rPr>
          <w:rFonts w:ascii="Courier New" w:hAnsi="Courier New" w:cs="Courier New"/>
          <w:sz w:val="24"/>
          <w:szCs w:val="24"/>
        </w:rPr>
        <w:t xml:space="preserve">Internal Revenue Code </w:t>
      </w:r>
      <w:r w:rsidR="0046555F" w:rsidRPr="00D140AB">
        <w:rPr>
          <w:rFonts w:ascii="Courier New" w:hAnsi="Courier New" w:cs="Courier New"/>
          <w:sz w:val="24"/>
          <w:szCs w:val="24"/>
        </w:rPr>
        <w:t xml:space="preserve">(Code) </w:t>
      </w:r>
      <w:r w:rsidRPr="00D140AB">
        <w:rPr>
          <w:rFonts w:ascii="Courier New" w:hAnsi="Courier New" w:cs="Courier New"/>
          <w:sz w:val="24"/>
          <w:szCs w:val="24"/>
        </w:rPr>
        <w:t xml:space="preserve">bars </w:t>
      </w:r>
      <w:r w:rsidR="0046555F" w:rsidRPr="00D140AB">
        <w:rPr>
          <w:rFonts w:ascii="Courier New" w:hAnsi="Courier New" w:cs="Courier New"/>
          <w:sz w:val="24"/>
          <w:szCs w:val="24"/>
        </w:rPr>
        <w:t xml:space="preserve">a Federal agency </w:t>
      </w:r>
      <w:r w:rsidRPr="00D140AB">
        <w:rPr>
          <w:rFonts w:ascii="Courier New" w:hAnsi="Courier New" w:cs="Courier New"/>
          <w:sz w:val="24"/>
          <w:szCs w:val="24"/>
        </w:rPr>
        <w:t xml:space="preserve">from disclosing tax return information to any third party except as expressly permitted by </w:t>
      </w:r>
      <w:r w:rsidR="0046555F" w:rsidRPr="00D140AB">
        <w:rPr>
          <w:rFonts w:ascii="Courier New" w:hAnsi="Courier New" w:cs="Courier New"/>
          <w:sz w:val="24"/>
          <w:szCs w:val="24"/>
        </w:rPr>
        <w:t>the Code</w:t>
      </w:r>
      <w:r w:rsidRPr="00D140AB">
        <w:rPr>
          <w:rFonts w:ascii="Courier New" w:hAnsi="Courier New" w:cs="Courier New"/>
          <w:sz w:val="24"/>
          <w:szCs w:val="24"/>
        </w:rPr>
        <w:t xml:space="preserve">. </w:t>
      </w:r>
      <w:r w:rsidR="00E84945">
        <w:rPr>
          <w:rFonts w:ascii="Courier New" w:hAnsi="Courier New" w:cs="Courier New"/>
          <w:sz w:val="24"/>
          <w:szCs w:val="24"/>
        </w:rPr>
        <w:t xml:space="preserve"> </w:t>
      </w:r>
      <w:r w:rsidR="0046555F" w:rsidRPr="00D140AB">
        <w:rPr>
          <w:rFonts w:ascii="Courier New" w:hAnsi="Courier New" w:cs="Courier New"/>
          <w:sz w:val="24"/>
          <w:szCs w:val="24"/>
        </w:rPr>
        <w:t>26 U.S.C. 6103(a).</w:t>
      </w:r>
      <w:r w:rsidRPr="00D140AB">
        <w:rPr>
          <w:rFonts w:ascii="Courier New" w:hAnsi="Courier New" w:cs="Courier New"/>
          <w:sz w:val="24"/>
          <w:szCs w:val="24"/>
        </w:rPr>
        <w:t xml:space="preserve"> </w:t>
      </w:r>
      <w:r w:rsidR="00E84945">
        <w:rPr>
          <w:rFonts w:ascii="Courier New" w:hAnsi="Courier New" w:cs="Courier New"/>
          <w:sz w:val="24"/>
          <w:szCs w:val="24"/>
        </w:rPr>
        <w:t xml:space="preserve"> </w:t>
      </w:r>
      <w:r w:rsidR="00F41D4D" w:rsidRPr="00D140AB">
        <w:rPr>
          <w:rFonts w:ascii="Courier New" w:hAnsi="Courier New" w:cs="Courier New"/>
          <w:sz w:val="24"/>
          <w:szCs w:val="24"/>
        </w:rPr>
        <w:t>Return information includes t</w:t>
      </w:r>
      <w:r w:rsidRPr="00D140AB">
        <w:rPr>
          <w:rFonts w:ascii="Courier New" w:hAnsi="Courier New" w:cs="Courier New"/>
          <w:sz w:val="24"/>
          <w:szCs w:val="24"/>
        </w:rPr>
        <w:t xml:space="preserve">axpayer identity and </w:t>
      </w:r>
      <w:r w:rsidR="00F41D4D" w:rsidRPr="00D140AB">
        <w:rPr>
          <w:rFonts w:ascii="Courier New" w:hAnsi="Courier New" w:cs="Courier New"/>
          <w:sz w:val="24"/>
          <w:szCs w:val="24"/>
        </w:rPr>
        <w:t xml:space="preserve">source or amount of income.  26 U.S.C. </w:t>
      </w:r>
      <w:r w:rsidR="0046555F" w:rsidRPr="00D140AB">
        <w:rPr>
          <w:rFonts w:ascii="Courier New" w:hAnsi="Courier New" w:cs="Courier New"/>
          <w:sz w:val="24"/>
          <w:szCs w:val="24"/>
        </w:rPr>
        <w:t xml:space="preserve">6103(b)(2)(A). </w:t>
      </w:r>
      <w:r w:rsidR="00E84945">
        <w:rPr>
          <w:rFonts w:ascii="Courier New" w:hAnsi="Courier New" w:cs="Courier New"/>
          <w:sz w:val="24"/>
          <w:szCs w:val="24"/>
        </w:rPr>
        <w:t xml:space="preserve"> </w:t>
      </w:r>
      <w:r w:rsidR="0046555F" w:rsidRPr="00D140AB">
        <w:rPr>
          <w:rFonts w:ascii="Courier New" w:hAnsi="Courier New" w:cs="Courier New"/>
          <w:sz w:val="24"/>
          <w:szCs w:val="24"/>
        </w:rPr>
        <w:t xml:space="preserve">No provision of the Code authorizes SSA to disclose return information to the Department for the purpose of calculating earnings, and therefore we cannot obtain this information from SSA (or IRS itself).    </w:t>
      </w:r>
    </w:p>
    <w:p w14:paraId="34192390" w14:textId="74C6B411" w:rsidR="00871A42" w:rsidRPr="00D140AB" w:rsidRDefault="002A0C7E"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46555F" w:rsidRPr="00D140AB">
        <w:rPr>
          <w:rFonts w:ascii="Courier New" w:hAnsi="Courier New" w:cs="Courier New"/>
          <w:sz w:val="24"/>
          <w:szCs w:val="24"/>
        </w:rPr>
        <w:t xml:space="preserve">We disagree that the limits imposed by law on </w:t>
      </w:r>
      <w:r w:rsidR="0071249D">
        <w:rPr>
          <w:rFonts w:ascii="Courier New" w:hAnsi="Courier New" w:cs="Courier New"/>
          <w:sz w:val="24"/>
          <w:szCs w:val="24"/>
        </w:rPr>
        <w:t>SSA’s</w:t>
      </w:r>
      <w:r w:rsidR="0046555F" w:rsidRPr="00D140AB">
        <w:rPr>
          <w:rFonts w:ascii="Courier New" w:hAnsi="Courier New" w:cs="Courier New"/>
          <w:sz w:val="24"/>
          <w:szCs w:val="24"/>
        </w:rPr>
        <w:t xml:space="preserve"> release of </w:t>
      </w:r>
      <w:r w:rsidR="0071249D">
        <w:rPr>
          <w:rFonts w:ascii="Courier New" w:hAnsi="Courier New" w:cs="Courier New"/>
          <w:sz w:val="24"/>
          <w:szCs w:val="24"/>
        </w:rPr>
        <w:t xml:space="preserve">tax </w:t>
      </w:r>
      <w:r w:rsidR="0046555F" w:rsidRPr="00D140AB">
        <w:rPr>
          <w:rFonts w:ascii="Courier New" w:hAnsi="Courier New" w:cs="Courier New"/>
          <w:sz w:val="24"/>
          <w:szCs w:val="24"/>
        </w:rPr>
        <w:t xml:space="preserve">return information on the </w:t>
      </w:r>
      <w:r w:rsidR="00E84945">
        <w:rPr>
          <w:rFonts w:ascii="Courier New" w:hAnsi="Courier New" w:cs="Courier New"/>
          <w:sz w:val="24"/>
          <w:szCs w:val="24"/>
        </w:rPr>
        <w:t xml:space="preserve">students </w:t>
      </w:r>
      <w:r w:rsidR="0046555F" w:rsidRPr="00D140AB">
        <w:rPr>
          <w:rFonts w:ascii="Courier New" w:hAnsi="Courier New" w:cs="Courier New"/>
          <w:sz w:val="24"/>
          <w:szCs w:val="24"/>
        </w:rPr>
        <w:t xml:space="preserve">comprising a GE cohort deprives the institution of a </w:t>
      </w:r>
      <w:r w:rsidR="00005D2C" w:rsidRPr="00D140AB">
        <w:rPr>
          <w:rFonts w:ascii="Courier New" w:hAnsi="Courier New" w:cs="Courier New"/>
          <w:sz w:val="24"/>
          <w:szCs w:val="24"/>
        </w:rPr>
        <w:t xml:space="preserve">due process right.  </w:t>
      </w:r>
      <w:r w:rsidR="00E84945">
        <w:rPr>
          <w:rFonts w:ascii="Courier New" w:hAnsi="Courier New" w:cs="Courier New"/>
          <w:sz w:val="24"/>
          <w:szCs w:val="24"/>
        </w:rPr>
        <w:t xml:space="preserve">One </w:t>
      </w:r>
      <w:r w:rsidR="004522B4" w:rsidRPr="00D140AB">
        <w:rPr>
          <w:rFonts w:ascii="Courier New" w:hAnsi="Courier New" w:cs="Courier New"/>
          <w:sz w:val="24"/>
          <w:szCs w:val="24"/>
        </w:rPr>
        <w:t>commenter</w:t>
      </w:r>
      <w:r w:rsidR="00E84945">
        <w:rPr>
          <w:rFonts w:ascii="Courier New" w:hAnsi="Courier New" w:cs="Courier New"/>
          <w:sz w:val="24"/>
          <w:szCs w:val="24"/>
        </w:rPr>
        <w:t>’s</w:t>
      </w:r>
      <w:r w:rsidR="004522B4" w:rsidRPr="00D140AB">
        <w:rPr>
          <w:rFonts w:ascii="Courier New" w:hAnsi="Courier New" w:cs="Courier New"/>
          <w:sz w:val="24"/>
          <w:szCs w:val="24"/>
        </w:rPr>
        <w:t xml:space="preserve"> conten</w:t>
      </w:r>
      <w:r w:rsidR="00E84945">
        <w:rPr>
          <w:rFonts w:ascii="Courier New" w:hAnsi="Courier New" w:cs="Courier New"/>
          <w:sz w:val="24"/>
          <w:szCs w:val="24"/>
        </w:rPr>
        <w:t xml:space="preserve">tion </w:t>
      </w:r>
      <w:r w:rsidR="004522B4" w:rsidRPr="00D140AB">
        <w:rPr>
          <w:rFonts w:ascii="Courier New" w:hAnsi="Courier New" w:cs="Courier New"/>
          <w:sz w:val="24"/>
          <w:szCs w:val="24"/>
        </w:rPr>
        <w:t xml:space="preserve">that the failure to make return information available violates the institution’s right to </w:t>
      </w:r>
      <w:r w:rsidR="00871A42" w:rsidRPr="00D140AB">
        <w:rPr>
          <w:rFonts w:ascii="Courier New" w:hAnsi="Courier New" w:cs="Courier New"/>
          <w:sz w:val="24"/>
          <w:szCs w:val="24"/>
        </w:rPr>
        <w:t>meaningful disclosure of the data on which the Department relies</w:t>
      </w:r>
      <w:r w:rsidR="00E84945">
        <w:rPr>
          <w:rFonts w:ascii="Courier New" w:hAnsi="Courier New" w:cs="Courier New"/>
          <w:sz w:val="24"/>
          <w:szCs w:val="24"/>
        </w:rPr>
        <w:t xml:space="preserve"> is not supported by the case law.  Indeed, the </w:t>
      </w:r>
      <w:r w:rsidR="00871A42" w:rsidRPr="00D140AB">
        <w:rPr>
          <w:rFonts w:ascii="Courier New" w:hAnsi="Courier New" w:cs="Courier New"/>
          <w:sz w:val="24"/>
          <w:szCs w:val="24"/>
        </w:rPr>
        <w:t xml:space="preserve">case </w:t>
      </w:r>
      <w:r w:rsidR="00E84945">
        <w:rPr>
          <w:rFonts w:ascii="Courier New" w:hAnsi="Courier New" w:cs="Courier New"/>
          <w:sz w:val="24"/>
          <w:szCs w:val="24"/>
        </w:rPr>
        <w:t>law</w:t>
      </w:r>
      <w:r w:rsidR="00082860" w:rsidRPr="00D140AB">
        <w:rPr>
          <w:rFonts w:ascii="Courier New" w:hAnsi="Courier New" w:cs="Courier New"/>
          <w:sz w:val="24"/>
          <w:szCs w:val="24"/>
        </w:rPr>
        <w:t xml:space="preserve"> </w:t>
      </w:r>
      <w:r w:rsidR="006459B4" w:rsidRPr="00D140AB">
        <w:rPr>
          <w:rFonts w:ascii="Courier New" w:hAnsi="Courier New" w:cs="Courier New"/>
          <w:sz w:val="24"/>
          <w:szCs w:val="24"/>
        </w:rPr>
        <w:t>to</w:t>
      </w:r>
      <w:r w:rsidR="00871A42" w:rsidRPr="00D140AB">
        <w:rPr>
          <w:rFonts w:ascii="Courier New" w:hAnsi="Courier New" w:cs="Courier New"/>
          <w:sz w:val="24"/>
          <w:szCs w:val="24"/>
        </w:rPr>
        <w:t xml:space="preserve"> which the commenter </w:t>
      </w:r>
      <w:r w:rsidR="00082860" w:rsidRPr="00D140AB">
        <w:rPr>
          <w:rFonts w:ascii="Courier New" w:hAnsi="Courier New" w:cs="Courier New"/>
          <w:sz w:val="24"/>
          <w:szCs w:val="24"/>
        </w:rPr>
        <w:t>refers simply</w:t>
      </w:r>
      <w:r w:rsidR="00871A42" w:rsidRPr="00D140AB">
        <w:rPr>
          <w:rFonts w:ascii="Courier New" w:hAnsi="Courier New" w:cs="Courier New"/>
          <w:sz w:val="24"/>
          <w:szCs w:val="24"/>
        </w:rPr>
        <w:t xml:space="preserve"> </w:t>
      </w:r>
      <w:r w:rsidR="006459B4" w:rsidRPr="00D140AB">
        <w:rPr>
          <w:rFonts w:ascii="Courier New" w:hAnsi="Courier New" w:cs="Courier New"/>
          <w:sz w:val="24"/>
          <w:szCs w:val="24"/>
        </w:rPr>
        <w:t xml:space="preserve">states </w:t>
      </w:r>
      <w:r w:rsidR="00871A42" w:rsidRPr="00D140AB">
        <w:rPr>
          <w:rFonts w:ascii="Courier New" w:hAnsi="Courier New" w:cs="Courier New"/>
          <w:sz w:val="24"/>
          <w:szCs w:val="24"/>
        </w:rPr>
        <w:t>that an agency must provide a party with</w:t>
      </w:r>
      <w:r w:rsidR="0071249D">
        <w:rPr>
          <w:rFonts w:ascii="Courier New" w:hAnsi="Courier New" w:cs="Courier New"/>
          <w:sz w:val="24"/>
          <w:szCs w:val="24"/>
        </w:rPr>
        <w:t>--</w:t>
      </w:r>
    </w:p>
    <w:p w14:paraId="5B8C04CC" w14:textId="4213788A" w:rsidR="00871A42" w:rsidRPr="00D140AB" w:rsidRDefault="008D7E01" w:rsidP="000A7247">
      <w:pPr>
        <w:spacing w:after="0" w:line="480" w:lineRule="auto"/>
        <w:ind w:left="720" w:right="720"/>
        <w:jc w:val="both"/>
        <w:rPr>
          <w:rFonts w:ascii="Courier New" w:eastAsia="Times New Roman" w:hAnsi="Courier New" w:cs="Courier New"/>
          <w:i/>
          <w:sz w:val="24"/>
          <w:szCs w:val="24"/>
        </w:rPr>
      </w:pPr>
      <w:r>
        <w:rPr>
          <w:rFonts w:ascii="Courier New" w:eastAsia="Times New Roman" w:hAnsi="Courier New" w:cs="Courier New"/>
          <w:sz w:val="24"/>
          <w:szCs w:val="24"/>
        </w:rPr>
        <w:lastRenderedPageBreak/>
        <w:t xml:space="preserve">     </w:t>
      </w:r>
      <w:r w:rsidR="00871A42" w:rsidRPr="00D140AB">
        <w:rPr>
          <w:rFonts w:ascii="Courier New" w:eastAsia="Times New Roman" w:hAnsi="Courier New" w:cs="Courier New"/>
          <w:sz w:val="24"/>
          <w:szCs w:val="24"/>
        </w:rPr>
        <w:t>[E]nough information to understand the reasons for the agency</w:t>
      </w:r>
      <w:r w:rsidR="00560072">
        <w:rPr>
          <w:rFonts w:ascii="Courier New" w:eastAsia="Times New Roman" w:hAnsi="Courier New" w:cs="Courier New"/>
          <w:sz w:val="24"/>
          <w:szCs w:val="24"/>
        </w:rPr>
        <w:t>’</w:t>
      </w:r>
      <w:r w:rsidR="00871A42" w:rsidRPr="00D140AB">
        <w:rPr>
          <w:rFonts w:ascii="Courier New" w:eastAsia="Times New Roman" w:hAnsi="Courier New" w:cs="Courier New"/>
          <w:sz w:val="24"/>
          <w:szCs w:val="24"/>
        </w:rPr>
        <w:t xml:space="preserve">s action. </w:t>
      </w:r>
      <w:r w:rsidR="00871A42" w:rsidRPr="00D140AB">
        <w:rPr>
          <w:rFonts w:ascii="Courier New" w:eastAsia="Times New Roman" w:hAnsi="Courier New" w:cs="Courier New"/>
          <w:i/>
          <w:iCs/>
          <w:sz w:val="24"/>
          <w:szCs w:val="24"/>
        </w:rPr>
        <w:t xml:space="preserve">. . . </w:t>
      </w:r>
      <w:r w:rsidR="00871A42" w:rsidRPr="00D140AB">
        <w:rPr>
          <w:rFonts w:ascii="Courier New" w:eastAsia="Times New Roman" w:hAnsi="Courier New" w:cs="Courier New"/>
          <w:sz w:val="24"/>
          <w:szCs w:val="24"/>
        </w:rPr>
        <w:t xml:space="preserve">Claimants cannot know </w:t>
      </w:r>
      <w:r w:rsidR="00871A42" w:rsidRPr="00D140AB">
        <w:rPr>
          <w:rFonts w:ascii="Courier New" w:eastAsia="Times New Roman" w:hAnsi="Courier New" w:cs="Courier New"/>
          <w:i/>
          <w:iCs/>
          <w:sz w:val="24"/>
          <w:szCs w:val="24"/>
        </w:rPr>
        <w:t>whether</w:t>
      </w:r>
      <w:r w:rsidR="00871A42" w:rsidRPr="00D140AB">
        <w:rPr>
          <w:rFonts w:ascii="Courier New" w:eastAsia="Times New Roman" w:hAnsi="Courier New" w:cs="Courier New"/>
          <w:sz w:val="24"/>
          <w:szCs w:val="24"/>
        </w:rPr>
        <w:t xml:space="preserve"> a challenge to an agency</w:t>
      </w:r>
      <w:r w:rsidR="00560072">
        <w:rPr>
          <w:rFonts w:ascii="Courier New" w:eastAsia="Times New Roman" w:hAnsi="Courier New" w:cs="Courier New"/>
          <w:sz w:val="24"/>
          <w:szCs w:val="24"/>
        </w:rPr>
        <w:t>’</w:t>
      </w:r>
      <w:r w:rsidR="00871A42" w:rsidRPr="00D140AB">
        <w:rPr>
          <w:rFonts w:ascii="Courier New" w:eastAsia="Times New Roman" w:hAnsi="Courier New" w:cs="Courier New"/>
          <w:sz w:val="24"/>
          <w:szCs w:val="24"/>
        </w:rPr>
        <w:t>s action is warranted, much less formulate an effective challenge, if they are not provided with</w:t>
      </w:r>
      <w:r w:rsidR="00871A42" w:rsidRPr="00D140AB">
        <w:rPr>
          <w:rFonts w:ascii="Courier New" w:eastAsia="Times New Roman" w:hAnsi="Courier New" w:cs="Courier New"/>
          <w:i/>
          <w:sz w:val="24"/>
          <w:szCs w:val="24"/>
        </w:rPr>
        <w:t xml:space="preserve"> sufficient information to understand the basis for the agency's action.</w:t>
      </w:r>
    </w:p>
    <w:p w14:paraId="18B0EDE6" w14:textId="77777777" w:rsidR="00F809B7" w:rsidRDefault="00F809B7" w:rsidP="00451827">
      <w:pPr>
        <w:spacing w:after="0" w:line="480" w:lineRule="auto"/>
        <w:ind w:left="720"/>
        <w:rPr>
          <w:rFonts w:ascii="Courier New" w:eastAsia="Times New Roman" w:hAnsi="Courier New"/>
          <w:sz w:val="24"/>
          <w:u w:val="single"/>
        </w:rPr>
      </w:pPr>
    </w:p>
    <w:p w14:paraId="61887E30" w14:textId="4EB1E355" w:rsidR="00082860" w:rsidRPr="00D140AB" w:rsidRDefault="00871A42" w:rsidP="002A0C7E">
      <w:pPr>
        <w:spacing w:after="0" w:line="480" w:lineRule="auto"/>
        <w:rPr>
          <w:rFonts w:ascii="Courier New" w:eastAsia="Times New Roman" w:hAnsi="Courier New" w:cs="Courier New"/>
          <w:sz w:val="24"/>
          <w:szCs w:val="24"/>
        </w:rPr>
      </w:pPr>
      <w:r w:rsidRPr="00451827">
        <w:rPr>
          <w:rFonts w:ascii="Courier New" w:eastAsia="Times New Roman" w:hAnsi="Courier New"/>
          <w:sz w:val="24"/>
          <w:u w:val="single"/>
        </w:rPr>
        <w:t>Kapps v. Wing</w:t>
      </w:r>
      <w:r w:rsidRPr="00D140AB">
        <w:rPr>
          <w:rFonts w:ascii="Courier New" w:eastAsia="Times New Roman" w:hAnsi="Courier New" w:cs="Courier New"/>
          <w:sz w:val="24"/>
          <w:szCs w:val="24"/>
        </w:rPr>
        <w:t xml:space="preserve">, 404 F.3d 105, 123-24 (2d Cir. 2005) (emphasis added).  </w:t>
      </w:r>
      <w:r w:rsidR="00082860" w:rsidRPr="00D140AB">
        <w:rPr>
          <w:rFonts w:ascii="Courier New" w:eastAsia="Times New Roman" w:hAnsi="Courier New" w:cs="Courier New"/>
          <w:sz w:val="24"/>
          <w:szCs w:val="24"/>
        </w:rPr>
        <w:t xml:space="preserve">Similarly another commenter cites to </w:t>
      </w:r>
      <w:r w:rsidR="00082860" w:rsidRPr="00451827">
        <w:rPr>
          <w:rFonts w:ascii="Courier New" w:eastAsia="Times New Roman" w:hAnsi="Courier New"/>
          <w:sz w:val="24"/>
          <w:u w:val="single"/>
        </w:rPr>
        <w:t>Bowman Transp., Inc. v. Arkansas-Best Freight Sys., Inc.</w:t>
      </w:r>
      <w:r w:rsidR="00082860" w:rsidRPr="00D140AB">
        <w:rPr>
          <w:rFonts w:ascii="Courier New" w:eastAsia="Times New Roman" w:hAnsi="Courier New" w:cs="Courier New"/>
          <w:sz w:val="24"/>
          <w:szCs w:val="24"/>
        </w:rPr>
        <w:t>, 419 U.S. 281 (1974) to support a claim that failure to provide the completers’ tax return data denies the institution a right to due process, but the Court there held that</w:t>
      </w:r>
      <w:r w:rsidR="00E84945">
        <w:rPr>
          <w:rFonts w:ascii="Courier New" w:eastAsia="Times New Roman" w:hAnsi="Courier New" w:cs="Courier New"/>
          <w:sz w:val="24"/>
          <w:szCs w:val="24"/>
        </w:rPr>
        <w:t>--</w:t>
      </w:r>
    </w:p>
    <w:p w14:paraId="659BBDCA" w14:textId="45F884DF" w:rsidR="0052619C" w:rsidRDefault="0052619C" w:rsidP="000A7247">
      <w:pPr>
        <w:spacing w:after="0" w:line="480" w:lineRule="auto"/>
        <w:ind w:left="1440" w:right="864"/>
        <w:jc w:val="both"/>
        <w:rPr>
          <w:rFonts w:ascii="Courier New" w:eastAsia="Times New Roman" w:hAnsi="Courier New" w:cs="Courier New"/>
          <w:sz w:val="24"/>
          <w:szCs w:val="24"/>
        </w:rPr>
      </w:pPr>
      <w:r w:rsidRPr="0052619C">
        <w:rPr>
          <w:rFonts w:ascii="Courier New" w:eastAsia="Times New Roman" w:hAnsi="Courier New" w:cs="Courier New"/>
          <w:sz w:val="24"/>
          <w:szCs w:val="24"/>
        </w:rPr>
        <w:t xml:space="preserve">A party is entitled, of course, to know the issues on which decision will turn and to be apprised of the factual material on which the agency relies for decision so that he may rebut it. </w:t>
      </w:r>
      <w:r w:rsidR="00560072">
        <w:rPr>
          <w:rFonts w:ascii="Courier New" w:eastAsia="Times New Roman" w:hAnsi="Courier New" w:cs="Courier New"/>
          <w:sz w:val="24"/>
          <w:szCs w:val="24"/>
        </w:rPr>
        <w:t xml:space="preserve"> </w:t>
      </w:r>
      <w:r w:rsidRPr="0052619C">
        <w:rPr>
          <w:rFonts w:ascii="Courier New" w:eastAsia="Times New Roman" w:hAnsi="Courier New" w:cs="Courier New"/>
          <w:sz w:val="24"/>
          <w:szCs w:val="24"/>
        </w:rPr>
        <w:t>Indeed, the Due Process Clause forbids an agency to use evidence in a way that forecloses an opportunity to offer a contrary presentation</w:t>
      </w:r>
      <w:r w:rsidR="00560072">
        <w:rPr>
          <w:rFonts w:ascii="Courier New" w:eastAsia="Times New Roman" w:hAnsi="Courier New" w:cs="Courier New"/>
          <w:sz w:val="24"/>
          <w:szCs w:val="24"/>
        </w:rPr>
        <w:t>.</w:t>
      </w:r>
    </w:p>
    <w:p w14:paraId="65A8462F" w14:textId="77777777" w:rsidR="00F809B7" w:rsidRPr="0052619C" w:rsidRDefault="00F809B7" w:rsidP="00F809B7">
      <w:pPr>
        <w:spacing w:after="0" w:line="240" w:lineRule="auto"/>
        <w:ind w:left="1440" w:right="864"/>
        <w:rPr>
          <w:rFonts w:ascii="Courier New" w:eastAsia="Times New Roman" w:hAnsi="Courier New" w:cs="Courier New"/>
          <w:sz w:val="24"/>
          <w:szCs w:val="24"/>
        </w:rPr>
      </w:pPr>
    </w:p>
    <w:p w14:paraId="4820CC38" w14:textId="7049103F" w:rsidR="00082860" w:rsidRPr="00D140AB" w:rsidRDefault="00082860" w:rsidP="002A0C7E">
      <w:pPr>
        <w:spacing w:after="0" w:line="480" w:lineRule="auto"/>
        <w:ind w:right="720"/>
        <w:rPr>
          <w:rFonts w:ascii="Courier New" w:eastAsia="Times New Roman" w:hAnsi="Courier New" w:cs="Courier New"/>
          <w:sz w:val="24"/>
          <w:szCs w:val="24"/>
        </w:rPr>
      </w:pPr>
      <w:r w:rsidRPr="00451827">
        <w:rPr>
          <w:rFonts w:ascii="Courier New" w:eastAsia="Times New Roman" w:hAnsi="Courier New"/>
          <w:sz w:val="24"/>
          <w:u w:val="single"/>
        </w:rPr>
        <w:t>Bowman Transp., Inc. v. Arkansas-Best Freight Sys., Inc.</w:t>
      </w:r>
      <w:r w:rsidRPr="00D140AB">
        <w:rPr>
          <w:rFonts w:ascii="Courier New" w:eastAsia="Times New Roman" w:hAnsi="Courier New" w:cs="Courier New"/>
          <w:sz w:val="24"/>
          <w:szCs w:val="24"/>
        </w:rPr>
        <w:t xml:space="preserve">, 419 U.S. </w:t>
      </w:r>
      <w:r w:rsidR="00004C08">
        <w:rPr>
          <w:rFonts w:ascii="Courier New" w:eastAsia="Times New Roman" w:hAnsi="Courier New" w:cs="Courier New"/>
          <w:sz w:val="24"/>
          <w:szCs w:val="24"/>
        </w:rPr>
        <w:t xml:space="preserve">at </w:t>
      </w:r>
      <w:r w:rsidRPr="00D140AB">
        <w:rPr>
          <w:rFonts w:ascii="Courier New" w:eastAsia="Times New Roman" w:hAnsi="Courier New" w:cs="Courier New"/>
          <w:sz w:val="24"/>
          <w:szCs w:val="24"/>
        </w:rPr>
        <w:t xml:space="preserve">289, </w:t>
      </w:r>
      <w:r w:rsidR="00004C08">
        <w:rPr>
          <w:rFonts w:ascii="Courier New" w:eastAsia="Times New Roman" w:hAnsi="Courier New" w:cs="Courier New"/>
          <w:sz w:val="24"/>
          <w:szCs w:val="24"/>
        </w:rPr>
        <w:t>fn.4</w:t>
      </w:r>
      <w:r w:rsidRPr="00D140AB">
        <w:rPr>
          <w:rFonts w:ascii="Courier New" w:eastAsia="Times New Roman" w:hAnsi="Courier New" w:cs="Courier New"/>
          <w:sz w:val="24"/>
          <w:szCs w:val="24"/>
        </w:rPr>
        <w:t xml:space="preserve">.  The procedure we use here apprises the institution of the factual material on which we base </w:t>
      </w:r>
      <w:r w:rsidRPr="00D140AB">
        <w:rPr>
          <w:rFonts w:ascii="Courier New" w:eastAsia="Times New Roman" w:hAnsi="Courier New" w:cs="Courier New"/>
          <w:sz w:val="24"/>
          <w:szCs w:val="24"/>
        </w:rPr>
        <w:lastRenderedPageBreak/>
        <w:t xml:space="preserve">our determination, and more importantly </w:t>
      </w:r>
      <w:r w:rsidR="0071249D">
        <w:rPr>
          <w:rFonts w:ascii="Courier New" w:eastAsia="Times New Roman" w:hAnsi="Courier New" w:cs="Courier New"/>
          <w:sz w:val="24"/>
          <w:szCs w:val="24"/>
        </w:rPr>
        <w:t>in no way</w:t>
      </w:r>
      <w:r w:rsidR="00A62DE0" w:rsidRPr="00D140AB">
        <w:rPr>
          <w:rFonts w:ascii="Courier New" w:eastAsia="Times New Roman" w:hAnsi="Courier New" w:cs="Courier New"/>
          <w:sz w:val="24"/>
          <w:szCs w:val="24"/>
        </w:rPr>
        <w:t xml:space="preserve"> foreclose</w:t>
      </w:r>
      <w:r w:rsidR="009850FC">
        <w:rPr>
          <w:rFonts w:ascii="Courier New" w:eastAsia="Times New Roman" w:hAnsi="Courier New" w:cs="Courier New"/>
          <w:sz w:val="24"/>
          <w:szCs w:val="24"/>
        </w:rPr>
        <w:t>s</w:t>
      </w:r>
      <w:r w:rsidR="00A62DE0" w:rsidRPr="00D140AB">
        <w:rPr>
          <w:rFonts w:ascii="Courier New" w:eastAsia="Times New Roman" w:hAnsi="Courier New" w:cs="Courier New"/>
          <w:sz w:val="24"/>
          <w:szCs w:val="24"/>
        </w:rPr>
        <w:t xml:space="preserve"> an opportunity to offer a “contrary </w:t>
      </w:r>
      <w:r w:rsidR="00A62DE0" w:rsidRPr="00C142C0">
        <w:rPr>
          <w:rFonts w:ascii="Courier New" w:eastAsia="Times New Roman" w:hAnsi="Courier New"/>
          <w:sz w:val="24"/>
        </w:rPr>
        <w:t>presentation</w:t>
      </w:r>
      <w:r w:rsidR="00A62DE0" w:rsidRPr="00D140AB">
        <w:rPr>
          <w:rFonts w:ascii="Courier New" w:eastAsia="Times New Roman" w:hAnsi="Courier New" w:cs="Courier New"/>
          <w:i/>
          <w:sz w:val="24"/>
          <w:szCs w:val="24"/>
        </w:rPr>
        <w:t xml:space="preserve">.”  </w:t>
      </w:r>
    </w:p>
    <w:p w14:paraId="7CC2B50C" w14:textId="4FA6D27C" w:rsidR="00560072" w:rsidRDefault="002A0C7E" w:rsidP="002A0C7E">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A62DE0" w:rsidRPr="00D140AB">
        <w:rPr>
          <w:rFonts w:ascii="Courier New" w:eastAsia="Times New Roman" w:hAnsi="Courier New" w:cs="Courier New"/>
          <w:sz w:val="24"/>
          <w:szCs w:val="24"/>
        </w:rPr>
        <w:t xml:space="preserve">The regulations establishing the procedure we use to </w:t>
      </w:r>
      <w:r w:rsidR="00E84945">
        <w:rPr>
          <w:rFonts w:ascii="Courier New" w:eastAsia="Times New Roman" w:hAnsi="Courier New" w:cs="Courier New"/>
          <w:sz w:val="24"/>
          <w:szCs w:val="24"/>
        </w:rPr>
        <w:t xml:space="preserve">calculate a program’s </w:t>
      </w:r>
      <w:r w:rsidR="00A62DE0" w:rsidRPr="00D140AB">
        <w:rPr>
          <w:rFonts w:ascii="Courier New" w:eastAsia="Times New Roman" w:hAnsi="Courier New" w:cs="Courier New"/>
          <w:sz w:val="24"/>
          <w:szCs w:val="24"/>
        </w:rPr>
        <w:t xml:space="preserve">D/E </w:t>
      </w:r>
      <w:r w:rsidR="00E84945">
        <w:rPr>
          <w:rFonts w:ascii="Courier New" w:eastAsia="Times New Roman" w:hAnsi="Courier New" w:cs="Courier New"/>
          <w:sz w:val="24"/>
          <w:szCs w:val="24"/>
        </w:rPr>
        <w:t xml:space="preserve">rates </w:t>
      </w:r>
      <w:r w:rsidR="00A62DE0" w:rsidRPr="00D140AB">
        <w:rPr>
          <w:rFonts w:ascii="Courier New" w:eastAsia="Times New Roman" w:hAnsi="Courier New" w:cs="Courier New"/>
          <w:sz w:val="24"/>
          <w:szCs w:val="24"/>
        </w:rPr>
        <w:t xml:space="preserve">provide not merely an opportunity to challenge the accuracy of the list of </w:t>
      </w:r>
      <w:r w:rsidR="00E84945">
        <w:rPr>
          <w:rFonts w:ascii="Courier New" w:eastAsia="Times New Roman" w:hAnsi="Courier New" w:cs="Courier New"/>
          <w:sz w:val="24"/>
          <w:szCs w:val="24"/>
        </w:rPr>
        <w:t>students who completed the program</w:t>
      </w:r>
      <w:r w:rsidR="00A62DE0" w:rsidRPr="00D140AB">
        <w:rPr>
          <w:rFonts w:ascii="Courier New" w:eastAsia="Times New Roman" w:hAnsi="Courier New" w:cs="Courier New"/>
          <w:sz w:val="24"/>
          <w:szCs w:val="24"/>
        </w:rPr>
        <w:t xml:space="preserve"> and the debts attributed to the cohort, but also two separate kinds of “contrary </w:t>
      </w:r>
      <w:r w:rsidR="003C213E" w:rsidRPr="00D140AB">
        <w:rPr>
          <w:rFonts w:ascii="Courier New" w:eastAsia="Times New Roman" w:hAnsi="Courier New" w:cs="Courier New"/>
          <w:sz w:val="24"/>
          <w:szCs w:val="24"/>
        </w:rPr>
        <w:t>p</w:t>
      </w:r>
      <w:r w:rsidR="00057204" w:rsidRPr="00D140AB">
        <w:rPr>
          <w:rFonts w:ascii="Courier New" w:eastAsia="Times New Roman" w:hAnsi="Courier New" w:cs="Courier New"/>
          <w:sz w:val="24"/>
          <w:szCs w:val="24"/>
        </w:rPr>
        <w:t>r</w:t>
      </w:r>
      <w:r w:rsidR="00A62DE0" w:rsidRPr="00D140AB">
        <w:rPr>
          <w:rFonts w:ascii="Courier New" w:eastAsia="Times New Roman" w:hAnsi="Courier New" w:cs="Courier New"/>
          <w:sz w:val="24"/>
          <w:szCs w:val="24"/>
        </w:rPr>
        <w:t xml:space="preserve">esentations” </w:t>
      </w:r>
      <w:r w:rsidR="0071249D">
        <w:rPr>
          <w:rFonts w:ascii="Courier New" w:eastAsia="Times New Roman" w:hAnsi="Courier New" w:cs="Courier New"/>
          <w:sz w:val="24"/>
          <w:szCs w:val="24"/>
        </w:rPr>
        <w:t>regarding earnings themselves</w:t>
      </w:r>
      <w:r w:rsidR="00451827">
        <w:rPr>
          <w:rFonts w:ascii="Courier New" w:eastAsia="Times New Roman" w:hAnsi="Courier New" w:cs="Courier New"/>
          <w:sz w:val="24"/>
          <w:szCs w:val="24"/>
        </w:rPr>
        <w:t>--</w:t>
      </w:r>
      <w:r w:rsidR="00E84945">
        <w:rPr>
          <w:rFonts w:ascii="Courier New" w:eastAsia="Times New Roman" w:hAnsi="Courier New" w:cs="Courier New"/>
          <w:sz w:val="24"/>
          <w:szCs w:val="24"/>
        </w:rPr>
        <w:t>a survey of students who completed the program and their earnings</w:t>
      </w:r>
      <w:r w:rsidR="0071249D">
        <w:rPr>
          <w:rFonts w:ascii="Courier New" w:eastAsia="Times New Roman" w:hAnsi="Courier New" w:cs="Courier New"/>
          <w:sz w:val="24"/>
          <w:szCs w:val="24"/>
        </w:rPr>
        <w:t>,</w:t>
      </w:r>
      <w:r w:rsidR="00A62DE0" w:rsidRPr="00D140AB">
        <w:rPr>
          <w:rFonts w:ascii="Courier New" w:eastAsia="Times New Roman" w:hAnsi="Courier New" w:cs="Courier New"/>
          <w:sz w:val="24"/>
          <w:szCs w:val="24"/>
        </w:rPr>
        <w:t xml:space="preserve"> and data on their earnings from </w:t>
      </w:r>
      <w:r w:rsidR="00E84945">
        <w:rPr>
          <w:rFonts w:ascii="Courier New" w:eastAsia="Times New Roman" w:hAnsi="Courier New" w:cs="Courier New"/>
          <w:sz w:val="24"/>
          <w:szCs w:val="24"/>
        </w:rPr>
        <w:t>S</w:t>
      </w:r>
      <w:r w:rsidR="00A62DE0" w:rsidRPr="00D140AB">
        <w:rPr>
          <w:rFonts w:ascii="Courier New" w:eastAsia="Times New Roman" w:hAnsi="Courier New" w:cs="Courier New"/>
          <w:sz w:val="24"/>
          <w:szCs w:val="24"/>
        </w:rPr>
        <w:t xml:space="preserve">tate databases.  An institution may make either or both such presentations.  </w:t>
      </w:r>
      <w:r w:rsidR="006276D6" w:rsidRPr="00D140AB">
        <w:rPr>
          <w:rFonts w:ascii="Courier New" w:eastAsia="Times New Roman" w:hAnsi="Courier New" w:cs="Courier New"/>
          <w:sz w:val="24"/>
          <w:szCs w:val="24"/>
        </w:rPr>
        <w:t xml:space="preserve">Under the </w:t>
      </w:r>
      <w:r w:rsidR="006276D6" w:rsidRPr="00451827">
        <w:rPr>
          <w:rFonts w:ascii="Courier New" w:eastAsia="Times New Roman" w:hAnsi="Courier New"/>
          <w:sz w:val="24"/>
          <w:u w:val="single"/>
        </w:rPr>
        <w:t>Mathews v. Eldridge</w:t>
      </w:r>
      <w:r w:rsidR="006276D6" w:rsidRPr="00D140AB">
        <w:rPr>
          <w:rFonts w:ascii="Courier New" w:eastAsia="Times New Roman" w:hAnsi="Courier New" w:cs="Courier New"/>
          <w:sz w:val="24"/>
          <w:szCs w:val="24"/>
        </w:rPr>
        <w:t xml:space="preserve"> test, </w:t>
      </w:r>
      <w:r w:rsidR="00082860" w:rsidRPr="00D140AB">
        <w:rPr>
          <w:rFonts w:ascii="Courier New" w:eastAsia="Times New Roman" w:hAnsi="Courier New" w:cs="Courier New"/>
          <w:sz w:val="24"/>
          <w:szCs w:val="24"/>
        </w:rPr>
        <w:t>an agency must provide</w:t>
      </w:r>
      <w:r w:rsidR="006276D6" w:rsidRPr="00D140AB">
        <w:rPr>
          <w:rFonts w:ascii="Courier New" w:eastAsia="Times New Roman" w:hAnsi="Courier New" w:cs="Courier New"/>
          <w:sz w:val="24"/>
          <w:szCs w:val="24"/>
        </w:rPr>
        <w:t xml:space="preserve"> procedures </w:t>
      </w:r>
      <w:r w:rsidR="00451827">
        <w:rPr>
          <w:rFonts w:ascii="Courier New" w:eastAsia="Times New Roman" w:hAnsi="Courier New" w:cs="Courier New"/>
          <w:sz w:val="24"/>
          <w:szCs w:val="24"/>
        </w:rPr>
        <w:t>that are</w:t>
      </w:r>
      <w:r w:rsidR="006276D6" w:rsidRPr="00D140AB">
        <w:rPr>
          <w:rFonts w:ascii="Courier New" w:eastAsia="Times New Roman" w:hAnsi="Courier New" w:cs="Courier New"/>
          <w:sz w:val="24"/>
          <w:szCs w:val="24"/>
        </w:rPr>
        <w:t xml:space="preserve"> </w:t>
      </w:r>
      <w:r w:rsidR="00451827">
        <w:rPr>
          <w:rFonts w:ascii="Courier New" w:eastAsia="Times New Roman" w:hAnsi="Courier New" w:cs="Courier New"/>
          <w:sz w:val="24"/>
          <w:szCs w:val="24"/>
        </w:rPr>
        <w:t>“</w:t>
      </w:r>
      <w:r w:rsidR="006276D6" w:rsidRPr="00D140AB">
        <w:rPr>
          <w:rFonts w:ascii="Courier New" w:eastAsia="Times New Roman" w:hAnsi="Courier New" w:cs="Courier New"/>
          <w:sz w:val="24"/>
          <w:szCs w:val="24"/>
        </w:rPr>
        <w:t xml:space="preserve">tailored, in light of the decision to be made, to </w:t>
      </w:r>
      <w:r w:rsidR="00451827">
        <w:rPr>
          <w:rFonts w:ascii="Courier New" w:eastAsia="Times New Roman" w:hAnsi="Courier New" w:cs="Courier New"/>
          <w:sz w:val="24"/>
          <w:szCs w:val="24"/>
        </w:rPr>
        <w:t>‘</w:t>
      </w:r>
      <w:r w:rsidR="006276D6" w:rsidRPr="00D140AB">
        <w:rPr>
          <w:rFonts w:ascii="Courier New" w:eastAsia="Times New Roman" w:hAnsi="Courier New" w:cs="Courier New"/>
          <w:sz w:val="24"/>
          <w:szCs w:val="24"/>
        </w:rPr>
        <w:t>the capacities and circumstances of those who are to be heard,</w:t>
      </w:r>
      <w:r w:rsidR="00451827">
        <w:rPr>
          <w:rFonts w:ascii="Courier New" w:eastAsia="Times New Roman" w:hAnsi="Courier New" w:cs="Courier New"/>
          <w:sz w:val="24"/>
          <w:szCs w:val="24"/>
        </w:rPr>
        <w:t>’</w:t>
      </w:r>
      <w:r w:rsidR="006276D6" w:rsidRPr="00D140AB">
        <w:rPr>
          <w:rFonts w:ascii="Courier New" w:eastAsia="Times New Roman" w:hAnsi="Courier New" w:cs="Courier New"/>
          <w:sz w:val="24"/>
          <w:szCs w:val="24"/>
        </w:rPr>
        <w:t xml:space="preserve"> . .</w:t>
      </w:r>
      <w:r w:rsidR="006459B4" w:rsidRPr="00D140AB">
        <w:rPr>
          <w:rFonts w:ascii="Courier New" w:eastAsia="Times New Roman" w:hAnsi="Courier New" w:cs="Courier New"/>
          <w:sz w:val="24"/>
          <w:szCs w:val="24"/>
        </w:rPr>
        <w:t xml:space="preserve"> </w:t>
      </w:r>
      <w:r w:rsidR="00082860" w:rsidRPr="00D140AB">
        <w:rPr>
          <w:rFonts w:ascii="Courier New" w:eastAsia="Times New Roman" w:hAnsi="Courier New" w:cs="Courier New"/>
          <w:sz w:val="24"/>
          <w:szCs w:val="24"/>
        </w:rPr>
        <w:t>.</w:t>
      </w:r>
      <w:r w:rsidR="006276D6" w:rsidRPr="00D140AB">
        <w:rPr>
          <w:rFonts w:ascii="Courier New" w:eastAsia="Times New Roman" w:hAnsi="Courier New" w:cs="Courier New"/>
          <w:sz w:val="24"/>
          <w:szCs w:val="24"/>
        </w:rPr>
        <w:t xml:space="preserve"> to insure that they are given a meaningful opportunity to present their case.</w:t>
      </w:r>
      <w:r w:rsidR="00451827">
        <w:rPr>
          <w:rFonts w:ascii="Courier New" w:eastAsia="Times New Roman" w:hAnsi="Courier New" w:cs="Courier New"/>
          <w:sz w:val="24"/>
          <w:szCs w:val="24"/>
        </w:rPr>
        <w:t>”</w:t>
      </w:r>
      <w:r w:rsidR="00451827">
        <w:rPr>
          <w:rFonts w:ascii="Courier New" w:eastAsia="Times New Roman" w:hAnsi="Courier New" w:cs="Courier New"/>
          <w:i/>
          <w:sz w:val="24"/>
          <w:szCs w:val="24"/>
        </w:rPr>
        <w:t xml:space="preserve">  </w:t>
      </w:r>
      <w:r w:rsidR="006276D6" w:rsidRPr="00451827">
        <w:rPr>
          <w:rFonts w:ascii="Courier New" w:eastAsia="Times New Roman" w:hAnsi="Courier New"/>
          <w:sz w:val="24"/>
          <w:u w:val="single"/>
        </w:rPr>
        <w:t>Mathews v. Eldridge</w:t>
      </w:r>
      <w:r w:rsidR="006276D6" w:rsidRPr="00D140AB">
        <w:rPr>
          <w:rFonts w:ascii="Courier New" w:eastAsia="Times New Roman" w:hAnsi="Courier New" w:cs="Courier New"/>
          <w:sz w:val="24"/>
          <w:szCs w:val="24"/>
        </w:rPr>
        <w:t>, 424 U.S. 319, 349 (1976)</w:t>
      </w:r>
      <w:r w:rsidR="00004C08">
        <w:rPr>
          <w:rFonts w:ascii="Courier New" w:eastAsia="Times New Roman" w:hAnsi="Courier New" w:cs="Courier New"/>
          <w:sz w:val="24"/>
          <w:szCs w:val="24"/>
        </w:rPr>
        <w:t xml:space="preserve"> (citations omitted)</w:t>
      </w:r>
      <w:r w:rsidR="006459B4" w:rsidRPr="00D140AB">
        <w:rPr>
          <w:rFonts w:ascii="Courier New" w:eastAsia="Times New Roman" w:hAnsi="Courier New" w:cs="Courier New"/>
          <w:sz w:val="24"/>
          <w:szCs w:val="24"/>
        </w:rPr>
        <w:t xml:space="preserve">.  </w:t>
      </w:r>
      <w:r w:rsidR="00057204" w:rsidRPr="00D140AB">
        <w:rPr>
          <w:rFonts w:ascii="Courier New" w:eastAsia="Times New Roman" w:hAnsi="Courier New" w:cs="Courier New"/>
          <w:sz w:val="24"/>
          <w:szCs w:val="24"/>
        </w:rPr>
        <w:t xml:space="preserve">The circumstances in which </w:t>
      </w:r>
      <w:r w:rsidR="000E3C8E">
        <w:rPr>
          <w:rFonts w:ascii="Courier New" w:eastAsia="Times New Roman" w:hAnsi="Courier New" w:cs="Courier New"/>
          <w:sz w:val="24"/>
          <w:szCs w:val="24"/>
        </w:rPr>
        <w:t xml:space="preserve">the Department determines D/E rates </w:t>
      </w:r>
      <w:r w:rsidR="00057204" w:rsidRPr="00D140AB">
        <w:rPr>
          <w:rFonts w:ascii="Courier New" w:eastAsia="Times New Roman" w:hAnsi="Courier New" w:cs="Courier New"/>
          <w:sz w:val="24"/>
          <w:szCs w:val="24"/>
        </w:rPr>
        <w:t xml:space="preserve">include </w:t>
      </w:r>
      <w:r w:rsidR="000E3C8E">
        <w:rPr>
          <w:rFonts w:ascii="Courier New" w:eastAsia="Times New Roman" w:hAnsi="Courier New" w:cs="Courier New"/>
          <w:sz w:val="24"/>
          <w:szCs w:val="24"/>
        </w:rPr>
        <w:t xml:space="preserve">several facts that bear on </w:t>
      </w:r>
      <w:r w:rsidR="0071249D">
        <w:rPr>
          <w:rFonts w:ascii="Courier New" w:eastAsia="Times New Roman" w:hAnsi="Courier New" w:cs="Courier New"/>
          <w:sz w:val="24"/>
          <w:szCs w:val="24"/>
        </w:rPr>
        <w:t xml:space="preserve">the </w:t>
      </w:r>
      <w:r w:rsidR="000E3C8E">
        <w:rPr>
          <w:rFonts w:ascii="Courier New" w:eastAsia="Times New Roman" w:hAnsi="Courier New" w:cs="Courier New"/>
          <w:sz w:val="24"/>
          <w:szCs w:val="24"/>
        </w:rPr>
        <w:t xml:space="preserve">fairness of the opportunity given the institution to contest the determination.  First, SSA is legally barred by section 6103 of the </w:t>
      </w:r>
      <w:r w:rsidR="0071249D">
        <w:rPr>
          <w:rFonts w:ascii="Courier New" w:eastAsia="Times New Roman" w:hAnsi="Courier New" w:cs="Courier New"/>
          <w:sz w:val="24"/>
          <w:szCs w:val="24"/>
        </w:rPr>
        <w:t xml:space="preserve">Code </w:t>
      </w:r>
      <w:r w:rsidR="000E3C8E">
        <w:rPr>
          <w:rFonts w:ascii="Courier New" w:eastAsia="Times New Roman" w:hAnsi="Courier New" w:cs="Courier New"/>
          <w:sz w:val="24"/>
          <w:szCs w:val="24"/>
        </w:rPr>
        <w:t xml:space="preserve">from providing the Department or the institution with individualized data on the members of the program </w:t>
      </w:r>
      <w:r w:rsidR="0071249D">
        <w:rPr>
          <w:rFonts w:ascii="Courier New" w:eastAsia="Times New Roman" w:hAnsi="Courier New" w:cs="Courier New"/>
          <w:sz w:val="24"/>
          <w:szCs w:val="24"/>
        </w:rPr>
        <w:t>cohort</w:t>
      </w:r>
      <w:r w:rsidR="000E3C8E">
        <w:rPr>
          <w:rFonts w:ascii="Courier New" w:eastAsia="Times New Roman" w:hAnsi="Courier New" w:cs="Courier New"/>
          <w:sz w:val="24"/>
          <w:szCs w:val="24"/>
        </w:rPr>
        <w:t>.  Second, SSA MEF data is the only</w:t>
      </w:r>
      <w:r w:rsidR="00057204" w:rsidRPr="00D140AB">
        <w:rPr>
          <w:rFonts w:ascii="Courier New" w:eastAsia="Times New Roman" w:hAnsi="Courier New" w:cs="Courier New"/>
          <w:sz w:val="24"/>
          <w:szCs w:val="24"/>
        </w:rPr>
        <w:t xml:space="preserve"> source of </w:t>
      </w:r>
      <w:r w:rsidR="000E3C8E">
        <w:rPr>
          <w:rFonts w:ascii="Courier New" w:eastAsia="Times New Roman" w:hAnsi="Courier New" w:cs="Courier New"/>
          <w:sz w:val="24"/>
          <w:szCs w:val="24"/>
        </w:rPr>
        <w:t xml:space="preserve">data readily and generally available on a </w:t>
      </w:r>
      <w:r w:rsidR="000E3C8E">
        <w:rPr>
          <w:rFonts w:ascii="Courier New" w:eastAsia="Times New Roman" w:hAnsi="Courier New" w:cs="Courier New"/>
          <w:sz w:val="24"/>
          <w:szCs w:val="24"/>
        </w:rPr>
        <w:lastRenderedPageBreak/>
        <w:t>nationwide basis to obtain the earnings on these cohorts</w:t>
      </w:r>
      <w:r w:rsidR="00057204" w:rsidRPr="00D140AB">
        <w:rPr>
          <w:rFonts w:ascii="Courier New" w:eastAsia="Times New Roman" w:hAnsi="Courier New" w:cs="Courier New"/>
          <w:sz w:val="24"/>
          <w:szCs w:val="24"/>
        </w:rPr>
        <w:t xml:space="preserve"> of individuals</w:t>
      </w:r>
      <w:r w:rsidR="000E3C8E">
        <w:rPr>
          <w:rFonts w:ascii="Courier New" w:eastAsia="Times New Roman" w:hAnsi="Courier New" w:cs="Courier New"/>
          <w:sz w:val="24"/>
          <w:szCs w:val="24"/>
        </w:rPr>
        <w:t xml:space="preserve">.  </w:t>
      </w:r>
      <w:r w:rsidR="00054D99">
        <w:rPr>
          <w:rFonts w:ascii="Courier New" w:eastAsia="Times New Roman" w:hAnsi="Courier New" w:cs="Courier New"/>
          <w:sz w:val="24"/>
          <w:szCs w:val="24"/>
        </w:rPr>
        <w:t xml:space="preserve">Third, parties who report to SSA the data maintained in the MEF do so under penalty of law. </w:t>
      </w:r>
      <w:r w:rsidR="0065053D">
        <w:rPr>
          <w:rFonts w:ascii="Courier New" w:eastAsia="Times New Roman" w:hAnsi="Courier New" w:cs="Courier New"/>
          <w:sz w:val="24"/>
          <w:szCs w:val="24"/>
        </w:rPr>
        <w:t xml:space="preserve"> </w:t>
      </w:r>
      <w:r w:rsidR="00054D99">
        <w:rPr>
          <w:rFonts w:ascii="Courier New" w:eastAsia="Times New Roman" w:hAnsi="Courier New" w:cs="Courier New"/>
          <w:sz w:val="24"/>
          <w:szCs w:val="24"/>
        </w:rPr>
        <w:t>Fourth</w:t>
      </w:r>
      <w:r w:rsidR="000E3C8E">
        <w:rPr>
          <w:rFonts w:ascii="Courier New" w:eastAsia="Times New Roman" w:hAnsi="Courier New" w:cs="Courier New"/>
          <w:sz w:val="24"/>
          <w:szCs w:val="24"/>
        </w:rPr>
        <w:t xml:space="preserve">, millions of taxpayers, </w:t>
      </w:r>
      <w:r w:rsidR="00560072">
        <w:rPr>
          <w:rFonts w:ascii="Courier New" w:eastAsia="Times New Roman" w:hAnsi="Courier New" w:cs="Courier New"/>
          <w:sz w:val="24"/>
          <w:szCs w:val="24"/>
        </w:rPr>
        <w:t>as well as</w:t>
      </w:r>
      <w:r w:rsidR="000E3C8E">
        <w:rPr>
          <w:rFonts w:ascii="Courier New" w:eastAsia="Times New Roman" w:hAnsi="Courier New" w:cs="Courier New"/>
          <w:sz w:val="24"/>
          <w:szCs w:val="24"/>
        </w:rPr>
        <w:t xml:space="preserve"> the government, rely on the SSA MEF data as an authoritative source of data that controls annually hundreds of billions of dollars in Federal payments and taxpayer entitlement to future benefits.</w:t>
      </w:r>
      <w:r w:rsidR="00054D99">
        <w:rPr>
          <w:rStyle w:val="FootnoteReference"/>
          <w:rFonts w:ascii="Courier New" w:eastAsia="Times New Roman" w:hAnsi="Courier New"/>
          <w:sz w:val="24"/>
          <w:szCs w:val="24"/>
        </w:rPr>
        <w:footnoteReference w:id="161"/>
      </w:r>
      <w:r w:rsidR="00054D99">
        <w:rPr>
          <w:rFonts w:ascii="Courier New" w:eastAsia="Times New Roman" w:hAnsi="Courier New" w:cs="Courier New"/>
          <w:sz w:val="24"/>
          <w:szCs w:val="24"/>
        </w:rPr>
        <w:t xml:space="preserve"> </w:t>
      </w:r>
      <w:r w:rsidR="000E3C8E">
        <w:rPr>
          <w:rFonts w:ascii="Courier New" w:eastAsia="Times New Roman" w:hAnsi="Courier New" w:cs="Courier New"/>
          <w:sz w:val="24"/>
          <w:szCs w:val="24"/>
        </w:rPr>
        <w:t xml:space="preserve"> </w:t>
      </w:r>
      <w:r w:rsidR="00054D99">
        <w:rPr>
          <w:rFonts w:ascii="Courier New" w:eastAsia="Times New Roman" w:hAnsi="Courier New" w:cs="Courier New"/>
          <w:sz w:val="24"/>
          <w:szCs w:val="24"/>
        </w:rPr>
        <w:t>Fifth</w:t>
      </w:r>
      <w:r w:rsidR="000E3C8E">
        <w:rPr>
          <w:rFonts w:ascii="Courier New" w:eastAsia="Times New Roman" w:hAnsi="Courier New" w:cs="Courier New"/>
          <w:sz w:val="24"/>
          <w:szCs w:val="24"/>
        </w:rPr>
        <w:t>, the entities directly affected by the determinations</w:t>
      </w:r>
      <w:r w:rsidR="00560072">
        <w:rPr>
          <w:rFonts w:ascii="Courier New" w:eastAsia="Times New Roman" w:hAnsi="Courier New" w:cs="Courier New"/>
          <w:sz w:val="24"/>
          <w:szCs w:val="24"/>
        </w:rPr>
        <w:t>--</w:t>
      </w:r>
      <w:r w:rsidR="00054D99">
        <w:rPr>
          <w:rFonts w:ascii="Courier New" w:eastAsia="Times New Roman" w:hAnsi="Courier New" w:cs="Courier New"/>
          <w:sz w:val="24"/>
          <w:szCs w:val="24"/>
        </w:rPr>
        <w:t>businesses that offer career training programs</w:t>
      </w:r>
      <w:r w:rsidR="005964C2">
        <w:rPr>
          <w:rFonts w:ascii="Courier New" w:eastAsia="Times New Roman" w:hAnsi="Courier New" w:cs="Courier New"/>
          <w:sz w:val="24"/>
          <w:szCs w:val="24"/>
        </w:rPr>
        <w:t>, many of which derive most of their revenue from the title IV, HEA</w:t>
      </w:r>
      <w:r w:rsidR="00054D99">
        <w:rPr>
          <w:rFonts w:ascii="Courier New" w:eastAsia="Times New Roman" w:hAnsi="Courier New" w:cs="Courier New"/>
          <w:sz w:val="24"/>
          <w:szCs w:val="24"/>
        </w:rPr>
        <w:t xml:space="preserve"> </w:t>
      </w:r>
      <w:r w:rsidR="005964C2">
        <w:rPr>
          <w:rFonts w:ascii="Courier New" w:eastAsia="Times New Roman" w:hAnsi="Courier New" w:cs="Courier New"/>
          <w:sz w:val="24"/>
          <w:szCs w:val="24"/>
        </w:rPr>
        <w:t>programs--</w:t>
      </w:r>
      <w:r w:rsidR="000E3C8E">
        <w:rPr>
          <w:rFonts w:ascii="Courier New" w:eastAsia="Times New Roman" w:hAnsi="Courier New" w:cs="Courier New"/>
          <w:sz w:val="24"/>
          <w:szCs w:val="24"/>
        </w:rPr>
        <w:t xml:space="preserve">are </w:t>
      </w:r>
      <w:r w:rsidR="00054D99">
        <w:rPr>
          <w:rFonts w:ascii="Courier New" w:eastAsia="Times New Roman" w:hAnsi="Courier New" w:cs="Courier New"/>
          <w:sz w:val="24"/>
          <w:szCs w:val="24"/>
        </w:rPr>
        <w:t xml:space="preserve">sophisticated parties. </w:t>
      </w:r>
      <w:r w:rsidR="0071249D">
        <w:rPr>
          <w:rFonts w:ascii="Courier New" w:eastAsia="Times New Roman" w:hAnsi="Courier New" w:cs="Courier New"/>
          <w:sz w:val="24"/>
          <w:szCs w:val="24"/>
        </w:rPr>
        <w:t xml:space="preserve"> </w:t>
      </w:r>
      <w:r w:rsidR="00054D99">
        <w:rPr>
          <w:rFonts w:ascii="Courier New" w:eastAsia="Times New Roman" w:hAnsi="Courier New" w:cs="Courier New"/>
          <w:sz w:val="24"/>
          <w:szCs w:val="24"/>
        </w:rPr>
        <w:t>Lastly, institutions are free to present, and have us consider, alternative proofs of earnings.</w:t>
      </w:r>
      <w:r w:rsidR="0071249D">
        <w:rPr>
          <w:rFonts w:ascii="Courier New" w:eastAsia="Times New Roman" w:hAnsi="Courier New" w:cs="Courier New"/>
          <w:sz w:val="24"/>
          <w:szCs w:val="24"/>
        </w:rPr>
        <w:t xml:space="preserve"> </w:t>
      </w:r>
      <w:r w:rsidR="00E178E5">
        <w:rPr>
          <w:rFonts w:ascii="Courier New" w:eastAsia="Times New Roman" w:hAnsi="Courier New" w:cs="Courier New"/>
          <w:sz w:val="24"/>
          <w:szCs w:val="24"/>
        </w:rPr>
        <w:t xml:space="preserve"> </w:t>
      </w:r>
      <w:r w:rsidR="00F55457">
        <w:rPr>
          <w:rFonts w:ascii="Courier New" w:eastAsia="Times New Roman" w:hAnsi="Courier New" w:cs="Courier New"/>
          <w:sz w:val="24"/>
          <w:szCs w:val="24"/>
        </w:rPr>
        <w:t xml:space="preserve">As </w:t>
      </w:r>
      <w:r w:rsidR="00E84945">
        <w:rPr>
          <w:rFonts w:ascii="Courier New" w:eastAsia="Times New Roman" w:hAnsi="Courier New" w:cs="Courier New"/>
          <w:sz w:val="24"/>
          <w:szCs w:val="24"/>
        </w:rPr>
        <w:t>previously discussed in the context of the requirement to provide</w:t>
      </w:r>
      <w:r w:rsidR="00F55457">
        <w:rPr>
          <w:rFonts w:ascii="Courier New" w:eastAsia="Times New Roman" w:hAnsi="Courier New" w:cs="Courier New"/>
          <w:sz w:val="24"/>
          <w:szCs w:val="24"/>
        </w:rPr>
        <w:t xml:space="preserve"> the “best available data</w:t>
      </w:r>
      <w:r w:rsidR="00E84945">
        <w:rPr>
          <w:rFonts w:ascii="Courier New" w:eastAsia="Times New Roman" w:hAnsi="Courier New" w:cs="Courier New"/>
          <w:sz w:val="24"/>
          <w:szCs w:val="24"/>
        </w:rPr>
        <w:t>,</w:t>
      </w:r>
      <w:r w:rsidR="00F55457">
        <w:rPr>
          <w:rFonts w:ascii="Courier New" w:eastAsia="Times New Roman" w:hAnsi="Courier New" w:cs="Courier New"/>
          <w:sz w:val="24"/>
          <w:szCs w:val="24"/>
        </w:rPr>
        <w:t xml:space="preserve">” </w:t>
      </w:r>
      <w:r w:rsidR="00F55457" w:rsidRPr="00E84945">
        <w:rPr>
          <w:rFonts w:ascii="Courier New" w:eastAsia="Times New Roman" w:hAnsi="Courier New" w:cs="Courier New"/>
          <w:sz w:val="24"/>
          <w:szCs w:val="24"/>
        </w:rPr>
        <w:t xml:space="preserve">the agency’s determination </w:t>
      </w:r>
      <w:r w:rsidR="00F55457" w:rsidRPr="00E84945">
        <w:rPr>
          <w:rFonts w:ascii="Courier New" w:hAnsi="Courier New" w:cs="Courier New"/>
          <w:sz w:val="24"/>
          <w:szCs w:val="24"/>
        </w:rPr>
        <w:t>“cannot be weighed in a vacuum, but must be evaluated by reference to the data available to the agency at the relevant time.”</w:t>
      </w:r>
      <w:r w:rsidR="00E84945">
        <w:rPr>
          <w:rFonts w:ascii="Courier New" w:hAnsi="Courier New" w:cs="Courier New"/>
          <w:sz w:val="24"/>
          <w:szCs w:val="24"/>
        </w:rPr>
        <w:t xml:space="preserve"> </w:t>
      </w:r>
      <w:r w:rsidR="00F55457">
        <w:rPr>
          <w:rFonts w:ascii="Courier New" w:hAnsi="Courier New" w:cs="Courier New"/>
        </w:rPr>
        <w:t xml:space="preserve"> </w:t>
      </w:r>
      <w:r w:rsidR="00F55457" w:rsidRPr="00DA6D6B">
        <w:rPr>
          <w:rFonts w:ascii="Courier New" w:hAnsi="Courier New"/>
          <w:sz w:val="24"/>
          <w:u w:val="single"/>
        </w:rPr>
        <w:t>Baystate</w:t>
      </w:r>
      <w:r w:rsidR="00F55457" w:rsidRPr="00E84945">
        <w:rPr>
          <w:rFonts w:ascii="Courier New" w:hAnsi="Courier New" w:cs="Courier New"/>
          <w:sz w:val="24"/>
          <w:szCs w:val="24"/>
        </w:rPr>
        <w:t>, 545 F.Supp.2d at 41.</w:t>
      </w:r>
      <w:r w:rsidR="00F55457" w:rsidRPr="00B861D1">
        <w:rPr>
          <w:rFonts w:ascii="Courier New" w:hAnsi="Courier New" w:cs="Courier New"/>
        </w:rPr>
        <w:t xml:space="preserve"> </w:t>
      </w:r>
      <w:r w:rsidR="00E84945">
        <w:rPr>
          <w:rFonts w:ascii="Courier New" w:hAnsi="Courier New" w:cs="Courier New"/>
        </w:rPr>
        <w:t xml:space="preserve"> </w:t>
      </w:r>
      <w:r w:rsidR="00054D99" w:rsidRPr="0065053D">
        <w:rPr>
          <w:rFonts w:ascii="Courier New" w:hAnsi="Courier New" w:cs="Courier New"/>
          <w:sz w:val="24"/>
          <w:szCs w:val="24"/>
        </w:rPr>
        <w:t xml:space="preserve">Under these circumstances, the regulations provide institutions sufficient opportunity to understand the evidence on which the Department determines D/E </w:t>
      </w:r>
      <w:r w:rsidR="00054D99" w:rsidRPr="0065053D">
        <w:rPr>
          <w:rFonts w:ascii="Courier New" w:hAnsi="Courier New"/>
          <w:sz w:val="24"/>
        </w:rPr>
        <w:t>rate</w:t>
      </w:r>
      <w:r w:rsidR="000770B1">
        <w:rPr>
          <w:rFonts w:ascii="Courier New" w:hAnsi="Courier New"/>
          <w:sz w:val="24"/>
        </w:rPr>
        <w:t>s</w:t>
      </w:r>
      <w:r w:rsidR="00054D99" w:rsidRPr="0065053D">
        <w:rPr>
          <w:rFonts w:ascii="Courier New" w:hAnsi="Courier New" w:cs="Courier New"/>
          <w:sz w:val="24"/>
          <w:szCs w:val="24"/>
        </w:rPr>
        <w:t xml:space="preserve"> and a meaningful opportunity to contest and be heard </w:t>
      </w:r>
      <w:r w:rsidR="00AE5E91" w:rsidRPr="0065053D">
        <w:rPr>
          <w:rFonts w:ascii="Courier New" w:hAnsi="Courier New" w:cs="Courier New"/>
          <w:sz w:val="24"/>
          <w:szCs w:val="24"/>
        </w:rPr>
        <w:t xml:space="preserve">on a challenge to </w:t>
      </w:r>
      <w:r w:rsidR="00AE5E91" w:rsidRPr="0065053D">
        <w:rPr>
          <w:rFonts w:ascii="Courier New" w:hAnsi="Courier New" w:cs="Courier New"/>
          <w:sz w:val="24"/>
          <w:szCs w:val="24"/>
        </w:rPr>
        <w:lastRenderedPageBreak/>
        <w:t>that determination.</w:t>
      </w:r>
      <w:r w:rsidR="00AE5E91">
        <w:rPr>
          <w:rFonts w:ascii="Courier New" w:hAnsi="Courier New" w:cs="Courier New"/>
        </w:rPr>
        <w:t xml:space="preserve"> </w:t>
      </w:r>
      <w:r w:rsidR="00A941C6" w:rsidRPr="00D140AB">
        <w:rPr>
          <w:rFonts w:ascii="Courier New" w:eastAsia="Times New Roman" w:hAnsi="Courier New" w:cs="Courier New"/>
          <w:sz w:val="24"/>
          <w:szCs w:val="24"/>
        </w:rPr>
        <w:t>No more is required.</w:t>
      </w:r>
      <w:r w:rsidR="003C213E" w:rsidRPr="00D140AB">
        <w:rPr>
          <w:rStyle w:val="FootnoteReference"/>
          <w:rFonts w:ascii="Courier New" w:eastAsia="Times New Roman" w:hAnsi="Courier New" w:cs="Courier New"/>
          <w:sz w:val="24"/>
          <w:szCs w:val="24"/>
        </w:rPr>
        <w:footnoteReference w:id="162"/>
      </w:r>
      <w:r w:rsidR="00A941C6" w:rsidRPr="00D140AB">
        <w:rPr>
          <w:rFonts w:ascii="Courier New" w:eastAsia="Times New Roman" w:hAnsi="Courier New" w:cs="Courier New"/>
          <w:sz w:val="24"/>
          <w:szCs w:val="24"/>
        </w:rPr>
        <w:t xml:space="preserve"> </w:t>
      </w:r>
      <w:r w:rsidR="00E84945">
        <w:rPr>
          <w:rFonts w:ascii="Courier New" w:eastAsia="Times New Roman" w:hAnsi="Courier New" w:cs="Courier New"/>
          <w:sz w:val="24"/>
          <w:szCs w:val="24"/>
        </w:rPr>
        <w:t xml:space="preserve"> </w:t>
      </w:r>
      <w:r w:rsidR="00270EB4">
        <w:rPr>
          <w:rFonts w:ascii="Courier New" w:eastAsia="Times New Roman" w:hAnsi="Courier New" w:cs="Courier New"/>
          <w:sz w:val="24"/>
          <w:szCs w:val="24"/>
        </w:rPr>
        <w:t xml:space="preserve">And, although </w:t>
      </w:r>
      <w:r w:rsidR="004522B4" w:rsidRPr="00D140AB">
        <w:rPr>
          <w:rFonts w:ascii="Courier New" w:eastAsia="Times New Roman" w:hAnsi="Courier New" w:cs="Courier New"/>
          <w:sz w:val="24"/>
          <w:szCs w:val="24"/>
        </w:rPr>
        <w:t>State earnings databases may not be readily available to some institutions because of their location or the characteristics of the data collected and stored in the database</w:t>
      </w:r>
      <w:r w:rsidR="00270EB4">
        <w:rPr>
          <w:rFonts w:ascii="Courier New" w:eastAsia="Times New Roman" w:hAnsi="Courier New" w:cs="Courier New"/>
          <w:sz w:val="24"/>
          <w:szCs w:val="24"/>
        </w:rPr>
        <w:t>, an institution has the option of conducting a survey of its students and presenting their earnings in an alternate earnings appeal</w:t>
      </w:r>
      <w:r w:rsidR="00A62DE0" w:rsidRPr="00D140AB">
        <w:rPr>
          <w:rFonts w:ascii="Courier New" w:eastAsia="Times New Roman" w:hAnsi="Courier New" w:cs="Courier New"/>
          <w:sz w:val="24"/>
          <w:szCs w:val="24"/>
        </w:rPr>
        <w:t>.</w:t>
      </w:r>
    </w:p>
    <w:p w14:paraId="45DDD341" w14:textId="3FED7082" w:rsidR="00135FC3" w:rsidRPr="00D140AB" w:rsidRDefault="0065053D" w:rsidP="002A0C7E">
      <w:pPr>
        <w:spacing w:after="0" w:line="480" w:lineRule="auto"/>
        <w:rPr>
          <w:rFonts w:ascii="Courier New" w:hAnsi="Courier New" w:cs="Courier New"/>
          <w:sz w:val="24"/>
          <w:szCs w:val="24"/>
        </w:rPr>
      </w:pPr>
      <w:r w:rsidRPr="0065053D">
        <w:rPr>
          <w:rFonts w:ascii="Courier New" w:hAnsi="Courier New" w:cs="Courier New"/>
          <w:sz w:val="24"/>
          <w:szCs w:val="24"/>
          <w:u w:val="single"/>
        </w:rPr>
        <w:t>Changes</w:t>
      </w:r>
      <w:r>
        <w:rPr>
          <w:rFonts w:ascii="Courier New" w:hAnsi="Courier New" w:cs="Courier New"/>
          <w:sz w:val="24"/>
          <w:szCs w:val="24"/>
        </w:rPr>
        <w:t>:  None.</w:t>
      </w:r>
    </w:p>
    <w:p w14:paraId="4269B33A" w14:textId="2785DC55"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A commenter contended that the Department’s practice of treating a “zero earnings” instance in SSA’s MEF data as no earnings for the individual is improper, contrary to the practice of other Federal and State agencies, and in violation of acceptable statistical methods.  According to the commenter, the U.S. Census Bureau, </w:t>
      </w:r>
      <w:r w:rsidR="00175BFC">
        <w:rPr>
          <w:rFonts w:ascii="Courier New" w:hAnsi="Courier New" w:cs="Courier New"/>
          <w:sz w:val="24"/>
          <w:szCs w:val="24"/>
        </w:rPr>
        <w:t>BLS</w:t>
      </w:r>
      <w:r w:rsidRPr="00D140AB">
        <w:rPr>
          <w:rFonts w:ascii="Courier New" w:hAnsi="Courier New" w:cs="Courier New"/>
          <w:sz w:val="24"/>
          <w:szCs w:val="24"/>
        </w:rPr>
        <w:t xml:space="preserve">, the Federal Economic Statistical Advisory Committee, and the Bureau of Justice Statistics all replace zero values with imputed values derived, for example, from demographically similar persons for whom data are available.  </w:t>
      </w:r>
    </w:p>
    <w:p w14:paraId="4269B33B" w14:textId="24F95795" w:rsidR="001D71D1" w:rsidRPr="00D140AB" w:rsidRDefault="00B04F63"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Specifically, the commenter cited the following examples in which agencies impute positive values where data are missing:</w:t>
      </w:r>
    </w:p>
    <w:p w14:paraId="4269B33C" w14:textId="77777777"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lastRenderedPageBreak/>
        <w:t xml:space="preserve">     The United States Census Bureau (The Federal Economic Statistical Advisory Committee) uses the following imputation methods</w:t>
      </w:r>
      <w:r w:rsidRPr="00D140AB">
        <w:rPr>
          <w:rStyle w:val="FootnoteReference"/>
          <w:rFonts w:ascii="Courier New" w:hAnsi="Courier New" w:cs="Courier New"/>
          <w:sz w:val="24"/>
          <w:szCs w:val="24"/>
        </w:rPr>
        <w:footnoteReference w:id="163"/>
      </w:r>
      <w:r w:rsidRPr="00D140AB">
        <w:rPr>
          <w:rFonts w:ascii="Courier New" w:hAnsi="Courier New" w:cs="Courier New"/>
          <w:sz w:val="24"/>
          <w:szCs w:val="24"/>
        </w:rPr>
        <w:t>:</w:t>
      </w:r>
    </w:p>
    <w:p w14:paraId="4269B33D" w14:textId="77777777" w:rsidR="001D71D1" w:rsidRPr="00D140AB" w:rsidRDefault="001D71D1" w:rsidP="00DB3ED1">
      <w:pPr>
        <w:numPr>
          <w:ilvl w:val="0"/>
          <w:numId w:val="2"/>
        </w:numPr>
        <w:autoSpaceDE w:val="0"/>
        <w:autoSpaceDN w:val="0"/>
        <w:adjustRightInd w:val="0"/>
        <w:spacing w:after="0" w:line="480" w:lineRule="auto"/>
        <w:ind w:left="720" w:firstLine="0"/>
        <w:rPr>
          <w:rFonts w:ascii="Courier New" w:hAnsi="Courier New" w:cs="Courier New"/>
          <w:sz w:val="24"/>
          <w:szCs w:val="24"/>
        </w:rPr>
      </w:pPr>
      <w:r w:rsidRPr="00D140AB">
        <w:rPr>
          <w:rFonts w:ascii="Courier New" w:hAnsi="Courier New" w:cs="Courier New"/>
          <w:sz w:val="24"/>
          <w:szCs w:val="24"/>
        </w:rPr>
        <w:t>Relational imputation:  Infers the missing value from other characteristics on the person’s record or within the household (i.e., if other members of household report race, then census will infer race based on household data).</w:t>
      </w:r>
    </w:p>
    <w:p w14:paraId="4269B33E" w14:textId="77777777" w:rsidR="001D71D1" w:rsidRPr="00D140AB" w:rsidRDefault="001D71D1" w:rsidP="00DB3ED1">
      <w:pPr>
        <w:numPr>
          <w:ilvl w:val="0"/>
          <w:numId w:val="2"/>
        </w:numPr>
        <w:autoSpaceDE w:val="0"/>
        <w:autoSpaceDN w:val="0"/>
        <w:adjustRightInd w:val="0"/>
        <w:spacing w:after="0" w:line="480" w:lineRule="auto"/>
        <w:ind w:left="720" w:firstLine="0"/>
        <w:rPr>
          <w:rFonts w:ascii="Courier New" w:hAnsi="Courier New" w:cs="Courier New"/>
          <w:sz w:val="24"/>
          <w:szCs w:val="24"/>
        </w:rPr>
      </w:pPr>
      <w:r w:rsidRPr="00D140AB">
        <w:rPr>
          <w:rFonts w:ascii="Courier New" w:hAnsi="Courier New" w:cs="Courier New"/>
          <w:sz w:val="24"/>
          <w:szCs w:val="24"/>
        </w:rPr>
        <w:t xml:space="preserve">Longitudinal edits:  Data entered based on previous entries (from past reporting periods) from the same individual or household. </w:t>
      </w:r>
    </w:p>
    <w:p w14:paraId="4269B33F" w14:textId="77777777" w:rsidR="001D71D1" w:rsidRPr="00D140AB" w:rsidRDefault="001D71D1" w:rsidP="00DB3ED1">
      <w:pPr>
        <w:numPr>
          <w:ilvl w:val="0"/>
          <w:numId w:val="2"/>
        </w:numPr>
        <w:autoSpaceDE w:val="0"/>
        <w:autoSpaceDN w:val="0"/>
        <w:adjustRightInd w:val="0"/>
        <w:spacing w:after="0" w:line="480" w:lineRule="auto"/>
        <w:ind w:left="720" w:firstLine="0"/>
        <w:rPr>
          <w:rFonts w:ascii="Courier New" w:hAnsi="Courier New" w:cs="Courier New"/>
          <w:sz w:val="24"/>
          <w:szCs w:val="24"/>
        </w:rPr>
      </w:pPr>
      <w:r w:rsidRPr="00D140AB">
        <w:rPr>
          <w:rFonts w:ascii="Courier New" w:hAnsi="Courier New" w:cs="Courier New"/>
          <w:sz w:val="24"/>
          <w:szCs w:val="24"/>
        </w:rPr>
        <w:t xml:space="preserve">Hot Deck edits:  A record with similar characteristics (race, age, sex, etc.) is a hot deck.  Uses data from hot deck entries to impute missing values.  </w:t>
      </w:r>
    </w:p>
    <w:p w14:paraId="4269B340" w14:textId="34F7C36B" w:rsidR="001D71D1" w:rsidRPr="00D140AB" w:rsidRDefault="00175BFC" w:rsidP="002A0C7E">
      <w:pPr>
        <w:autoSpaceDE w:val="0"/>
        <w:autoSpaceDN w:val="0"/>
        <w:adjustRightInd w:val="0"/>
        <w:spacing w:after="0" w:line="480" w:lineRule="auto"/>
        <w:ind w:firstLine="720"/>
        <w:rPr>
          <w:rFonts w:ascii="Courier New" w:hAnsi="Courier New" w:cs="Courier New"/>
          <w:sz w:val="24"/>
          <w:szCs w:val="24"/>
        </w:rPr>
      </w:pPr>
      <w:r>
        <w:rPr>
          <w:rFonts w:ascii="Courier New" w:hAnsi="Courier New" w:cs="Courier New"/>
          <w:sz w:val="24"/>
          <w:szCs w:val="24"/>
        </w:rPr>
        <w:t>BLS</w:t>
      </w:r>
      <w:r w:rsidR="001D71D1" w:rsidRPr="00D140AB">
        <w:rPr>
          <w:rStyle w:val="FootnoteReference"/>
          <w:rFonts w:ascii="Courier New" w:hAnsi="Courier New" w:cs="Courier New"/>
          <w:sz w:val="24"/>
          <w:szCs w:val="24"/>
        </w:rPr>
        <w:footnoteReference w:id="164"/>
      </w:r>
      <w:r w:rsidR="001D71D1" w:rsidRPr="00D140AB">
        <w:rPr>
          <w:rFonts w:ascii="Courier New" w:hAnsi="Courier New" w:cs="Courier New"/>
          <w:sz w:val="24"/>
          <w:szCs w:val="24"/>
        </w:rPr>
        <w:t xml:space="preserve"> and the Department of Education, </w:t>
      </w:r>
      <w:r w:rsidR="008D0EDB" w:rsidRPr="00D140AB">
        <w:rPr>
          <w:rFonts w:ascii="Courier New" w:hAnsi="Courier New" w:cs="Courier New"/>
          <w:sz w:val="24"/>
          <w:szCs w:val="24"/>
        </w:rPr>
        <w:t>National Center</w:t>
      </w:r>
      <w:r w:rsidR="001D71D1" w:rsidRPr="00D140AB">
        <w:rPr>
          <w:rFonts w:ascii="Courier New" w:hAnsi="Courier New" w:cs="Courier New"/>
          <w:sz w:val="24"/>
          <w:szCs w:val="24"/>
        </w:rPr>
        <w:t xml:space="preserve"> for Education Statistics</w:t>
      </w:r>
      <w:r w:rsidR="001D71D1" w:rsidRPr="00D140AB">
        <w:rPr>
          <w:rStyle w:val="FootnoteReference"/>
          <w:rFonts w:ascii="Courier New" w:hAnsi="Courier New" w:cs="Courier New"/>
          <w:sz w:val="24"/>
          <w:szCs w:val="24"/>
        </w:rPr>
        <w:footnoteReference w:id="165"/>
      </w:r>
      <w:r w:rsidR="001D71D1" w:rsidRPr="00D140AB">
        <w:rPr>
          <w:rFonts w:ascii="Courier New" w:hAnsi="Courier New" w:cs="Courier New"/>
          <w:sz w:val="24"/>
          <w:szCs w:val="24"/>
        </w:rPr>
        <w:t xml:space="preserve"> also use hot deck imputation (or a similar method based on demographics).  </w:t>
      </w:r>
    </w:p>
    <w:p w14:paraId="4269B341" w14:textId="77777777" w:rsidR="001D71D1" w:rsidRPr="00D140AB" w:rsidRDefault="001D71D1" w:rsidP="002A0C7E">
      <w:pPr>
        <w:pStyle w:val="HTMLPreformatted"/>
        <w:spacing w:line="480" w:lineRule="auto"/>
        <w:rPr>
          <w:rFonts w:cs="Courier New"/>
          <w:sz w:val="24"/>
          <w:szCs w:val="24"/>
        </w:rPr>
      </w:pPr>
      <w:r w:rsidRPr="00D140AB">
        <w:rPr>
          <w:rFonts w:cs="Courier New"/>
          <w:sz w:val="24"/>
          <w:szCs w:val="24"/>
        </w:rPr>
        <w:t xml:space="preserve">     The Bureau of Justice Statistics uses the median value of an item reported in a previous survey by other agencies in the same sample cell.</w:t>
      </w:r>
    </w:p>
    <w:p w14:paraId="4269B342" w14:textId="10E7A4B5" w:rsidR="001D71D1" w:rsidRPr="00D140AB" w:rsidRDefault="002A0C7E"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Similarly, the commenter noted that State child support enforcement agencies typically impute earnings values when </w:t>
      </w:r>
      <w:r w:rsidR="001D71D1" w:rsidRPr="00D140AB">
        <w:rPr>
          <w:rFonts w:ascii="Courier New" w:hAnsi="Courier New" w:cs="Courier New"/>
          <w:sz w:val="24"/>
          <w:szCs w:val="24"/>
        </w:rPr>
        <w:lastRenderedPageBreak/>
        <w:t xml:space="preserve">calculating the amount of child support required from a parent for whom no earnings data </w:t>
      </w:r>
      <w:r w:rsidR="00D67F0A" w:rsidRPr="00D140AB">
        <w:rPr>
          <w:rFonts w:ascii="Courier New" w:hAnsi="Courier New" w:cs="Courier New"/>
          <w:sz w:val="24"/>
          <w:szCs w:val="24"/>
        </w:rPr>
        <w:t>are</w:t>
      </w:r>
      <w:r w:rsidR="001D71D1" w:rsidRPr="00D140AB">
        <w:rPr>
          <w:rFonts w:ascii="Courier New" w:hAnsi="Courier New" w:cs="Courier New"/>
          <w:sz w:val="24"/>
          <w:szCs w:val="24"/>
        </w:rPr>
        <w:t xml:space="preserve"> available.  The commenter stated that the Department’s failure to impute earnings values in instances in which SSA data show no earnings can be expected to result in underestimation of mean and median earnings. </w:t>
      </w:r>
    </w:p>
    <w:p w14:paraId="4269B343" w14:textId="3646DDD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 Department recognizes that other agencies, and the Department itself, may in some circumstances impute values for missing data in various calculations.  Surveys conducted to discern and evaluate economic and demographic characteristics of broad populations can and are regularly made without the need for complete values for each individual data element included in the survey or analysis.  In these assessments, the objective is determining characteristics of broad groups of entities or individuals.  These surveys or studies typically involve universes comprising a great number of entities or individuals, about which the survey conductor has a considerable amount of current and older data available both from the entity for which data are missing and from others in the universe.  Where such data are available, the survey conductor can identify both entities that sufficiently resemble the entity for which data are missing, and what data w</w:t>
      </w:r>
      <w:r w:rsidR="00D67F0A" w:rsidRPr="00D140AB">
        <w:rPr>
          <w:rFonts w:ascii="Courier New" w:hAnsi="Courier New" w:cs="Courier New"/>
          <w:sz w:val="24"/>
          <w:szCs w:val="24"/>
        </w:rPr>
        <w:t>ere</w:t>
      </w:r>
      <w:r w:rsidRPr="00D140AB">
        <w:rPr>
          <w:rFonts w:ascii="Courier New" w:hAnsi="Courier New" w:cs="Courier New"/>
          <w:sz w:val="24"/>
          <w:szCs w:val="24"/>
        </w:rPr>
        <w:t xml:space="preserve"> actually provided by that entity in the past, to allow the surveyor to impute values from the known to the unknown.  Where sufficient data exist, the agency can control the effect of imputing values by limiting the extent </w:t>
      </w:r>
      <w:r w:rsidRPr="00D140AB">
        <w:rPr>
          <w:rFonts w:ascii="Courier New" w:hAnsi="Courier New" w:cs="Courier New"/>
          <w:sz w:val="24"/>
          <w:szCs w:val="24"/>
        </w:rPr>
        <w:lastRenderedPageBreak/>
        <w:t>to which values will be imputed.  Whether the imputation provides precisely accurate values for those values missing in the data is irrelevant to the accuracy of the overall assessment.  In calculating D/E rates for a particular program, the opposite is the case; measuring the earnings of a particular cohort of graduates of a GE program offered by a particular institution requires that the Department use data that allow it to differentiate among the outcomes of identical GE programs offered by separate institutions.</w:t>
      </w:r>
      <w:r w:rsidRPr="00D140AB">
        <w:rPr>
          <w:rStyle w:val="FootnoteReference"/>
          <w:rFonts w:ascii="Courier New" w:hAnsi="Courier New" w:cs="Courier New"/>
          <w:sz w:val="24"/>
          <w:szCs w:val="24"/>
        </w:rPr>
        <w:footnoteReference w:id="166"/>
      </w:r>
      <w:r w:rsidRPr="00D140AB">
        <w:rPr>
          <w:rFonts w:ascii="Courier New" w:hAnsi="Courier New" w:cs="Courier New"/>
          <w:sz w:val="24"/>
          <w:szCs w:val="24"/>
        </w:rPr>
        <w:t xml:space="preserve"> </w:t>
      </w:r>
    </w:p>
    <w:p w14:paraId="4269B344" w14:textId="77777777" w:rsidR="001D71D1" w:rsidRPr="00D140AB" w:rsidRDefault="001D71D1" w:rsidP="002A0C7E">
      <w:pPr>
        <w:pStyle w:val="HTMLPreformatted"/>
        <w:spacing w:line="480" w:lineRule="auto"/>
        <w:rPr>
          <w:rFonts w:cs="Courier New"/>
          <w:sz w:val="24"/>
          <w:szCs w:val="24"/>
        </w:rPr>
      </w:pPr>
      <w:r w:rsidRPr="00D140AB">
        <w:rPr>
          <w:rFonts w:cs="Courier New"/>
          <w:sz w:val="24"/>
          <w:szCs w:val="24"/>
        </w:rPr>
        <w:t xml:space="preserve">     Imputation of income in the context of establishing child support obligations is a completely different enterprise:  income is imputed to a non-custodial parent only in an individual judicial or administrative proceeding in which the non-custodial parent is a defendant, and has failed to produce earnings evidence or is either unemployed or considered to be underemployed.</w:t>
      </w:r>
      <w:r w:rsidRPr="00D140AB">
        <w:rPr>
          <w:rStyle w:val="FootnoteReference"/>
          <w:rFonts w:eastAsia="SimSun" w:cs="Courier New"/>
          <w:sz w:val="24"/>
          <w:szCs w:val="24"/>
        </w:rPr>
        <w:footnoteReference w:id="167"/>
      </w:r>
      <w:r w:rsidRPr="00D140AB">
        <w:rPr>
          <w:rFonts w:cs="Courier New"/>
          <w:sz w:val="24"/>
          <w:szCs w:val="24"/>
        </w:rPr>
        <w:t xml:space="preserve">  </w:t>
      </w:r>
      <w:r w:rsidRPr="008D7E01">
        <w:rPr>
          <w:sz w:val="24"/>
        </w:rPr>
        <w:t xml:space="preserve">Imputed income is used when the court believes </w:t>
      </w:r>
      <w:r w:rsidRPr="008D7E01">
        <w:rPr>
          <w:sz w:val="24"/>
        </w:rPr>
        <w:lastRenderedPageBreak/>
        <w:t>the parent’s testimony regarding reported income is false; the evidence of the parent’s income and the parent’s actual income does not meet his or her demonstrated earnings; or a decrease in income is voluntary.  At a minimum, income is imputed to equal the amount earned from a full-time job earning minimum wage.</w:t>
      </w:r>
      <w:r w:rsidRPr="008D7E01">
        <w:rPr>
          <w:rStyle w:val="FootnoteReference"/>
          <w:rFonts w:eastAsia="SimSun"/>
          <w:sz w:val="24"/>
        </w:rPr>
        <w:footnoteReference w:id="168"/>
      </w:r>
      <w:r w:rsidRPr="008D7E01">
        <w:rPr>
          <w:color w:val="000000"/>
          <w:sz w:val="24"/>
        </w:rPr>
        <w:t xml:space="preserve">  </w:t>
      </w:r>
      <w:r w:rsidRPr="00D140AB">
        <w:rPr>
          <w:rFonts w:cs="Courier New"/>
          <w:sz w:val="24"/>
          <w:szCs w:val="24"/>
        </w:rPr>
        <w:t>The objective of the child support determination process is to ensure that the defendant parent is contributing to the support of the child, and not shirking that responsibility by failing to find employment or failing to maximize earnings.  Thus, the parent is expected to find appropriate employment to meet this obligation, and can object by demonstrating a “good faith reason” why he or she cannot do so.</w:t>
      </w:r>
      <w:r w:rsidRPr="00D140AB">
        <w:rPr>
          <w:rStyle w:val="FootnoteReference"/>
          <w:rFonts w:eastAsia="SimSun" w:cs="Courier New"/>
          <w:sz w:val="24"/>
          <w:szCs w:val="24"/>
        </w:rPr>
        <w:footnoteReference w:id="169"/>
      </w:r>
      <w:r w:rsidRPr="00D140AB">
        <w:rPr>
          <w:rFonts w:cs="Courier New"/>
          <w:sz w:val="24"/>
          <w:szCs w:val="24"/>
        </w:rPr>
        <w:t xml:space="preserve">  In each instance, income </w:t>
      </w:r>
      <w:r w:rsidRPr="00D140AB">
        <w:rPr>
          <w:rFonts w:cs="Courier New"/>
          <w:sz w:val="24"/>
          <w:szCs w:val="24"/>
        </w:rPr>
        <w:lastRenderedPageBreak/>
        <w:t xml:space="preserve">is imputed only on a particularized assessment of the individual and his or her circumstances.   </w:t>
      </w:r>
    </w:p>
    <w:p w14:paraId="4269B345" w14:textId="62847810" w:rsidR="001D71D1" w:rsidRPr="00D140AB" w:rsidRDefault="00B04F63" w:rsidP="002A0C7E">
      <w:pPr>
        <w:pStyle w:val="HTMLPreformatted"/>
        <w:spacing w:line="480" w:lineRule="auto"/>
        <w:rPr>
          <w:rFonts w:cs="Courier New"/>
          <w:sz w:val="24"/>
          <w:szCs w:val="24"/>
        </w:rPr>
      </w:pPr>
      <w:r>
        <w:rPr>
          <w:rFonts w:cs="Courier New"/>
          <w:sz w:val="24"/>
          <w:szCs w:val="24"/>
        </w:rPr>
        <w:t xml:space="preserve"> </w:t>
      </w:r>
      <w:r w:rsidR="001D71D1" w:rsidRPr="00D140AB">
        <w:rPr>
          <w:rFonts w:cs="Courier New"/>
          <w:sz w:val="24"/>
          <w:szCs w:val="24"/>
        </w:rPr>
        <w:t xml:space="preserve">    Because of these differences in procedure and objective, child support practice offers no useful model for imputing earnings to those graduates of a GE program whose MEF records show no reported earnings.  The objective of calculating the mean and median earnings for graduates of a GE program--to assess the actual outcomes of that program for a specific group of students who completed the program--is very different.  The assessment assumes that those graduates enrolled and persisted in order to acquire the skills needed to find gainful employment, and had no reason--such as a desire to minimize a child support obligation--to decline gainful employment that they could otherwise achieve using the skills acquired in a GE program.  Because the Department receives no data that would identify an individual whose MEF record shows no reported earnings, the Department is not able to determine whether an individual was making full use of the skills for which the individual enrolled in a GE program to acquire.  </w:t>
      </w:r>
    </w:p>
    <w:p w14:paraId="4269B346" w14:textId="77777777" w:rsidR="001D71D1" w:rsidRPr="00D140AB" w:rsidRDefault="001D71D1" w:rsidP="002A0C7E">
      <w:pPr>
        <w:pStyle w:val="HTMLPreformatted"/>
        <w:spacing w:line="480" w:lineRule="auto"/>
        <w:rPr>
          <w:rFonts w:cs="Courier New"/>
          <w:sz w:val="24"/>
          <w:szCs w:val="24"/>
        </w:rPr>
      </w:pPr>
      <w:r w:rsidRPr="00D140AB">
        <w:rPr>
          <w:rFonts w:cs="Courier New"/>
          <w:sz w:val="24"/>
          <w:szCs w:val="24"/>
          <w:u w:val="single"/>
        </w:rPr>
        <w:t>Changes</w:t>
      </w:r>
      <w:r w:rsidRPr="00D140AB">
        <w:rPr>
          <w:rFonts w:cs="Courier New"/>
          <w:sz w:val="24"/>
          <w:szCs w:val="24"/>
        </w:rPr>
        <w:t xml:space="preserve">:  None.  </w:t>
      </w:r>
    </w:p>
    <w:p w14:paraId="4269B347" w14:textId="071ECE09"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One commenter objected to the language in §668.405(c)(1) that provides that the Secretary presumes that </w:t>
      </w:r>
      <w:r w:rsidRPr="00D140AB">
        <w:rPr>
          <w:rFonts w:ascii="Courier New" w:hAnsi="Courier New" w:cs="Courier New"/>
          <w:sz w:val="24"/>
          <w:szCs w:val="24"/>
        </w:rPr>
        <w:lastRenderedPageBreak/>
        <w:t xml:space="preserve">the list of students who completed a program and the identity information for those students is correct.  The commenter was concerned that, through this presumption, the Department would limit its ability to reject an inaccurate or falsified list of students.  For example, this commenter explained, an institution could falsely report that </w:t>
      </w:r>
      <w:r w:rsidR="00BA6D76">
        <w:rPr>
          <w:rFonts w:ascii="Courier New" w:hAnsi="Courier New" w:cs="Courier New"/>
          <w:sz w:val="24"/>
          <w:szCs w:val="24"/>
        </w:rPr>
        <w:t>fewer</w:t>
      </w:r>
      <w:r w:rsidR="00BA6D76" w:rsidRPr="00D140AB">
        <w:rPr>
          <w:rFonts w:ascii="Courier New" w:hAnsi="Courier New" w:cs="Courier New"/>
          <w:sz w:val="24"/>
          <w:szCs w:val="24"/>
        </w:rPr>
        <w:t xml:space="preserve"> </w:t>
      </w:r>
      <w:r w:rsidRPr="00D140AB">
        <w:rPr>
          <w:rFonts w:ascii="Courier New" w:hAnsi="Courier New" w:cs="Courier New"/>
          <w:sz w:val="24"/>
          <w:szCs w:val="24"/>
        </w:rPr>
        <w:t>than 30 students completed a program so as to avoid a D/E rates calculation under the n-size provisions of the regulations.  The commenter recommended modifying §668.405(c)(1) to state “the Secretary may presume” that the list is correct, in order to clarify that the presumption is at the Secretary’s discretion.</w:t>
      </w:r>
    </w:p>
    <w:p w14:paraId="4269B348"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Because the list of students who completed a program is created by the Department from data reported by the institution, we presume that it is correct.  We do not agree that this presumption is a limitation on the Department.  Rather, it confirms that the burden of proof to demonstrate that the list is incorrect resides with the institution.  The list is created using data originally reported to the Department by the institution.</w:t>
      </w:r>
    </w:p>
    <w:p w14:paraId="4269B349"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rPr>
        <w:t xml:space="preserve">     We note that institutions that submit reports to the Department are subject to penalty under Federal criminal law for making a false statement in such a report.  </w:t>
      </w:r>
      <w:r w:rsidRPr="002A0C7E">
        <w:rPr>
          <w:rFonts w:ascii="Courier New" w:hAnsi="Courier New" w:cs="Courier New"/>
          <w:sz w:val="24"/>
          <w:szCs w:val="24"/>
          <w:u w:val="single"/>
        </w:rPr>
        <w:t>See</w:t>
      </w:r>
      <w:r w:rsidRPr="00D140AB">
        <w:rPr>
          <w:rFonts w:ascii="Courier New" w:hAnsi="Courier New" w:cs="Courier New"/>
          <w:sz w:val="24"/>
          <w:szCs w:val="24"/>
        </w:rPr>
        <w:t xml:space="preserve">, </w:t>
      </w:r>
      <w:r w:rsidRPr="002A0C7E">
        <w:rPr>
          <w:rFonts w:ascii="Courier New" w:hAnsi="Courier New" w:cs="Courier New"/>
          <w:sz w:val="24"/>
          <w:szCs w:val="24"/>
          <w:u w:val="single"/>
        </w:rPr>
        <w:t>e.g.</w:t>
      </w:r>
      <w:r w:rsidRPr="00D140AB">
        <w:rPr>
          <w:rFonts w:ascii="Courier New" w:hAnsi="Courier New" w:cs="Courier New"/>
          <w:sz w:val="24"/>
          <w:szCs w:val="24"/>
        </w:rPr>
        <w:t xml:space="preserve">, 18 U.S.C. §1001, 20 U.S.C. §1097(a).  Because the Department can take enforcement action under these statutes, the Department need </w:t>
      </w:r>
      <w:r w:rsidRPr="00D140AB">
        <w:rPr>
          <w:rFonts w:ascii="Courier New" w:hAnsi="Courier New" w:cs="Courier New"/>
          <w:sz w:val="24"/>
          <w:szCs w:val="24"/>
        </w:rPr>
        <w:lastRenderedPageBreak/>
        <w:t xml:space="preserve">not, and typically does not, include in procedural regulations explicit provisions explaining that the Department can take enforcement action when we determine that an institution has submitted untruthful statements.  </w:t>
      </w:r>
    </w:p>
    <w:p w14:paraId="4269B34A"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4B"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Many commenters objected to the proposal that earnings data could be obtained from SSA “or another Federal agency” because it was not transparent as to which other agency the Department may rely on to provide earnings data.  The commenters objected to not being able to provide informed comment during the rulemaking process on the data source.  The commenters also questioned the quality of the data that the Department would receive from another Federal agency.</w:t>
      </w:r>
    </w:p>
    <w:p w14:paraId="4269B34C"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This clause was included in the proposed regulations so that, if a future change in law or policy precluded SSA from releasing earnings data, the Department would have the option to obtain this information from another Federal agency.  However, in response to the commenters’ concerns, we will designate any new source of earnings data through a change in regulations through the rulemaking process so that the public has an opportunity to understand any proposed change and offer comments.  </w:t>
      </w:r>
    </w:p>
    <w:p w14:paraId="4269B34D"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lastRenderedPageBreak/>
        <w:t>Changes</w:t>
      </w:r>
      <w:r w:rsidRPr="00D140AB">
        <w:rPr>
          <w:rFonts w:ascii="Courier New" w:hAnsi="Courier New" w:cs="Courier New"/>
          <w:sz w:val="24"/>
          <w:szCs w:val="24"/>
        </w:rPr>
        <w:t>:  The clause “or another Federal agency” has been removed from §§668.404(c)(1), 668.405(a)(3), 668.405(d), 668.413(b)(8)(i)(C), and 668.413(b)(9)(i)(C).</w:t>
      </w:r>
    </w:p>
    <w:p w14:paraId="284FFC05" w14:textId="3DFD2328" w:rsidR="006554DC" w:rsidRPr="00D140AB" w:rsidRDefault="006554DC"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One commenter urged the Department to create a mechanism for institutions to monitor and evaluate the student data used to calculate the D/E rates on a continuous basis so that they can make operational adjustments to ensure that programs pass the D/E rates measure. </w:t>
      </w:r>
    </w:p>
    <w:p w14:paraId="1F840D75" w14:textId="1C34FA53" w:rsidR="006554DC" w:rsidRPr="00D140AB" w:rsidRDefault="006554DC"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There are several factors that preclude institutions from using real-time data to estimate the D/E rates for a GE program on a continuous basis.  First, the Department may only request mean and median earnings for a cohort of students from SSA once per year.  As a result, we would not be able to provide institutions with updated earnings information at multiple points during the year.  Second, any estimate of the amount of debt a student will have incurred upon completion of a GE program would involve too many assumptions to make the estimate meaningful.  For example, any estimate would have to make assumptions regarding how many loan disbursements a student received and whether and when the student completed the program.  Further, the estimate would have to make assumptions as to whether a student would be excluded from the calculation for any of the reasons listed in §668.404</w:t>
      </w:r>
      <w:r w:rsidR="00D67F0A" w:rsidRPr="00D140AB">
        <w:rPr>
          <w:rFonts w:ascii="Courier New" w:hAnsi="Courier New" w:cs="Courier New"/>
          <w:sz w:val="24"/>
          <w:szCs w:val="24"/>
        </w:rPr>
        <w:t>(e)</w:t>
      </w:r>
      <w:r w:rsidRPr="00D140AB">
        <w:rPr>
          <w:rFonts w:ascii="Courier New" w:hAnsi="Courier New" w:cs="Courier New"/>
          <w:sz w:val="24"/>
          <w:szCs w:val="24"/>
        </w:rPr>
        <w:t xml:space="preserve">.            </w:t>
      </w:r>
    </w:p>
    <w:p w14:paraId="47BDAA4B" w14:textId="3EA1CDF9" w:rsidR="006554DC" w:rsidRPr="008B6D57" w:rsidRDefault="006554DC" w:rsidP="002A0C7E">
      <w:pPr>
        <w:spacing w:after="0" w:line="480" w:lineRule="auto"/>
        <w:rPr>
          <w:rFonts w:ascii="Courier New" w:hAnsi="Courier New"/>
          <w:sz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4E" w14:textId="77777777" w:rsidR="001D71D1" w:rsidRPr="00D140AB" w:rsidRDefault="001D71D1" w:rsidP="002A0C7E">
      <w:pPr>
        <w:pStyle w:val="Heading1"/>
      </w:pPr>
      <w:r w:rsidRPr="00D140AB">
        <w:lastRenderedPageBreak/>
        <w:t>§668.406  D/E Rates Alternate Earnings Appeals</w:t>
      </w:r>
    </w:p>
    <w:p w14:paraId="4269B34F" w14:textId="73F47F7D"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We received a number of comments requesting clarification regarding the cohort of students on whom an alternate earnings appeal would be based.  Although the </w:t>
      </w:r>
      <w:r w:rsidR="00D67F0A" w:rsidRPr="00D140AB">
        <w:rPr>
          <w:rFonts w:ascii="Courier New" w:hAnsi="Courier New" w:cs="Courier New"/>
          <w:sz w:val="24"/>
          <w:szCs w:val="24"/>
        </w:rPr>
        <w:t xml:space="preserve">proposed </w:t>
      </w:r>
      <w:r w:rsidRPr="00D140AB">
        <w:rPr>
          <w:rFonts w:ascii="Courier New" w:hAnsi="Courier New" w:cs="Courier New"/>
          <w:sz w:val="24"/>
          <w:szCs w:val="24"/>
        </w:rPr>
        <w:t>regulations provide</w:t>
      </w:r>
      <w:r w:rsidR="00D67F0A" w:rsidRPr="00D140AB">
        <w:rPr>
          <w:rFonts w:ascii="Courier New" w:hAnsi="Courier New" w:cs="Courier New"/>
          <w:sz w:val="24"/>
          <w:szCs w:val="24"/>
        </w:rPr>
        <w:t>d</w:t>
      </w:r>
      <w:r w:rsidRPr="00D140AB">
        <w:rPr>
          <w:rFonts w:ascii="Courier New" w:hAnsi="Courier New" w:cs="Courier New"/>
          <w:sz w:val="24"/>
          <w:szCs w:val="24"/>
        </w:rPr>
        <w:t xml:space="preserve"> that an appeal would be based on the annual earnings of the students who completed the program during the same cohort period that the Secretary used to calculate the final D/E rates, commenters suggested that we specify the calendar year for that period.  One commenter suggested that we specify that the cohort period is the calendar year that ended during the award year for which D/E rates were calculated.  Another commenter recommended that, where the most recently available earnings data from SSA are not from the most recent calendar year, institutions should be permitted to use alternate earnings data from the most recent calendar year.</w:t>
      </w:r>
    </w:p>
    <w:p w14:paraId="4269B350" w14:textId="0CC1ED43"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rPr>
        <w:tab/>
        <w:t>Some commenters asked that we specify that the students whose earnings are under consideration are the same students on the final list submitted to SSA under §668.405(d).  In that regard, a number of commenters suggested that institutions should be able to apply the exclusions in §668.404(e), in determining the students in the cohort period.</w:t>
      </w:r>
    </w:p>
    <w:p w14:paraId="4269B351" w14:textId="4EF3CA12" w:rsidR="001D71D1" w:rsidRPr="00D140AB" w:rsidRDefault="002A0C7E"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One commenter asked the Department to permit institutions to modify the cohort of students to increase the availability of an alternate earnings appeal.  Other commenters asked the </w:t>
      </w:r>
      <w:r w:rsidR="001D71D1" w:rsidRPr="00D140AB">
        <w:rPr>
          <w:rFonts w:ascii="Courier New" w:hAnsi="Courier New" w:cs="Courier New"/>
          <w:sz w:val="24"/>
          <w:szCs w:val="24"/>
        </w:rPr>
        <w:lastRenderedPageBreak/>
        <w:t>Department to permit institutions to expand the cohort period if necessary to meet the survey standards or the corresponding requirements of an appeal based on earnings information in State-sponsored data systems.</w:t>
      </w:r>
    </w:p>
    <w:p w14:paraId="4269B352" w14:textId="0B4ED6B4"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believe the regulations sufficiently describe the relevant period for which earnings information is required in an alternate earnings appeal.  As discussed in “§668.404  Calculating D/E Rates,” because D/E rates are calculated for the award year, rather than the calendar year, and because of the timeline associated with obtaining earnings data from SSA, we state that the earnings examined for an alternate earnings appeal must be from the same calendar year for which the Department obtained earnings from SSA under §668.405(c).  The purpose of the appeal is to demonstrate that, using alternate earnings for the same cohort of students, the program would have passed the D/E rates measure.  Accordingly, it would not be appropriate to use data from a year that is different from the one used in calculating the D/E rates.  In “§668.404  Calculating D/E Rates,” we provide an example that illustrates how the period will be determined.  </w:t>
      </w:r>
    </w:p>
    <w:p w14:paraId="4269B353" w14:textId="238E8E6D" w:rsidR="001D71D1" w:rsidRPr="00D140AB" w:rsidRDefault="00F809B7"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Under this approach, because an institution will know in advance the cohort of students and calendar </w:t>
      </w:r>
      <w:r w:rsidR="00D67F0A" w:rsidRPr="00D140AB">
        <w:rPr>
          <w:rFonts w:ascii="Courier New" w:hAnsi="Courier New" w:cs="Courier New"/>
          <w:sz w:val="24"/>
          <w:szCs w:val="24"/>
        </w:rPr>
        <w:t xml:space="preserve">year </w:t>
      </w:r>
      <w:r w:rsidR="001D71D1" w:rsidRPr="00D140AB">
        <w:rPr>
          <w:rFonts w:ascii="Courier New" w:hAnsi="Courier New" w:cs="Courier New"/>
          <w:sz w:val="24"/>
          <w:szCs w:val="24"/>
        </w:rPr>
        <w:t xml:space="preserve">for earnings that will be considered as a part of an appeal, the institution </w:t>
      </w:r>
      <w:r w:rsidR="002462E7" w:rsidRPr="00D140AB">
        <w:rPr>
          <w:rFonts w:ascii="Courier New" w:hAnsi="Courier New" w:cs="Courier New"/>
          <w:sz w:val="24"/>
          <w:szCs w:val="24"/>
        </w:rPr>
        <w:t>can</w:t>
      </w:r>
      <w:r w:rsidR="001D71D1" w:rsidRPr="00D140AB">
        <w:rPr>
          <w:rFonts w:ascii="Courier New" w:hAnsi="Courier New" w:cs="Courier New"/>
          <w:sz w:val="24"/>
          <w:szCs w:val="24"/>
        </w:rPr>
        <w:t xml:space="preserve"> begin collecting alternate earnings data well before draft </w:t>
      </w:r>
      <w:r w:rsidR="001D71D1" w:rsidRPr="00D140AB">
        <w:rPr>
          <w:rFonts w:ascii="Courier New" w:hAnsi="Courier New" w:cs="Courier New"/>
          <w:sz w:val="24"/>
          <w:szCs w:val="24"/>
        </w:rPr>
        <w:lastRenderedPageBreak/>
        <w:t xml:space="preserve">D/E rates are issued in the event that the institution </w:t>
      </w:r>
      <w:r w:rsidR="002462E7" w:rsidRPr="00D140AB">
        <w:rPr>
          <w:rFonts w:ascii="Courier New" w:hAnsi="Courier New" w:cs="Courier New"/>
          <w:sz w:val="24"/>
          <w:szCs w:val="24"/>
        </w:rPr>
        <w:t xml:space="preserve">believes </w:t>
      </w:r>
      <w:r w:rsidR="001D71D1" w:rsidRPr="00D140AB">
        <w:rPr>
          <w:rFonts w:ascii="Courier New" w:hAnsi="Courier New" w:cs="Courier New"/>
          <w:sz w:val="24"/>
          <w:szCs w:val="24"/>
        </w:rPr>
        <w:t xml:space="preserve">its final D/E rates will be failing or in the zone and plans to appeal those D/E rates.  </w:t>
      </w:r>
    </w:p>
    <w:p w14:paraId="4269B354" w14:textId="0EFEE3F1" w:rsidR="001D71D1" w:rsidRPr="00D140AB" w:rsidRDefault="00B04F63"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We agree that institutions should be able to exclude students who could be excluded under §668.404(e)</w:t>
      </w:r>
      <w:r w:rsidR="002462E7" w:rsidRPr="00D140AB">
        <w:rPr>
          <w:rFonts w:ascii="Courier New" w:hAnsi="Courier New" w:cs="Courier New"/>
          <w:sz w:val="24"/>
          <w:szCs w:val="24"/>
        </w:rPr>
        <w:t xml:space="preserve"> in their alternate earnings appeal</w:t>
      </w:r>
      <w:r w:rsidR="001D71D1" w:rsidRPr="00D140AB">
        <w:rPr>
          <w:rFonts w:ascii="Courier New" w:hAnsi="Courier New" w:cs="Courier New"/>
          <w:sz w:val="24"/>
          <w:szCs w:val="24"/>
        </w:rPr>
        <w:t xml:space="preserve">.  We recognize that in order to maximize the time that an institution has to conduct a survey or database search, the institution may elect to begin its survey or search well before the list of students </w:t>
      </w:r>
      <w:r w:rsidR="00995295">
        <w:rPr>
          <w:rFonts w:ascii="Courier New" w:hAnsi="Courier New" w:cs="Courier New"/>
          <w:sz w:val="24"/>
          <w:szCs w:val="24"/>
        </w:rPr>
        <w:t xml:space="preserve">is </w:t>
      </w:r>
      <w:r w:rsidR="001D71D1" w:rsidRPr="00D140AB">
        <w:rPr>
          <w:rFonts w:ascii="Courier New" w:hAnsi="Courier New" w:cs="Courier New"/>
          <w:sz w:val="24"/>
          <w:szCs w:val="24"/>
        </w:rPr>
        <w:t xml:space="preserve"> submitted to SSA, and the exclusions from the list under §668.404(e), are finalized.    </w:t>
      </w:r>
    </w:p>
    <w:p w14:paraId="4269B355" w14:textId="0A734A4E" w:rsidR="001D71D1" w:rsidRPr="00D140AB" w:rsidRDefault="00F809B7" w:rsidP="002A0C7E">
      <w:pPr>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We also agree that there may be instances where a minor adjustment to the cohort period may make available an alternate earnings appeal that would not otherwise meet the requirements of the regulations.  For example, for an appeal based on earnings information in State-sponsored data systems, the information may not be collected or organized in a manner identical to the way in which earnings data are collected and organized by SSA, and a minor adjustment to the cohort period may be necessary to meet the matching requirements.  In this regard, we note that an institution would not be permitted, however, to present annualized, rather than annual, earnings data in an alternate earnings appeal, even if that is </w:t>
      </w:r>
      <w:r w:rsidR="002462E7" w:rsidRPr="00D140AB">
        <w:rPr>
          <w:rFonts w:ascii="Courier New" w:hAnsi="Courier New" w:cs="Courier New"/>
          <w:sz w:val="24"/>
          <w:szCs w:val="24"/>
        </w:rPr>
        <w:t xml:space="preserve">how </w:t>
      </w:r>
      <w:r w:rsidR="001D71D1" w:rsidRPr="00D140AB">
        <w:rPr>
          <w:rFonts w:ascii="Courier New" w:hAnsi="Courier New" w:cs="Courier New"/>
          <w:sz w:val="24"/>
          <w:szCs w:val="24"/>
        </w:rPr>
        <w:t>the data are maintained in a State-sponsored data system.</w:t>
      </w:r>
    </w:p>
    <w:p w14:paraId="1112ED15" w14:textId="131DE8A9" w:rsidR="00956359" w:rsidRPr="00D140AB" w:rsidRDefault="00956359" w:rsidP="002A0C7E">
      <w:pPr>
        <w:spacing w:after="0" w:line="480" w:lineRule="auto"/>
        <w:rPr>
          <w:rFonts w:ascii="Courier New" w:hAnsi="Courier New" w:cs="Courier New"/>
          <w:sz w:val="24"/>
          <w:szCs w:val="24"/>
        </w:rPr>
      </w:pPr>
      <w:r>
        <w:rPr>
          <w:rFonts w:ascii="Courier New" w:hAnsi="Courier New" w:cs="Courier New"/>
          <w:sz w:val="24"/>
          <w:szCs w:val="24"/>
        </w:rPr>
        <w:lastRenderedPageBreak/>
        <w:tab/>
      </w:r>
      <w:r w:rsidR="0089052E">
        <w:rPr>
          <w:rFonts w:ascii="Courier New" w:hAnsi="Courier New" w:cs="Courier New"/>
          <w:sz w:val="24"/>
          <w:szCs w:val="24"/>
        </w:rPr>
        <w:t xml:space="preserve">In accordance with instructions on the </w:t>
      </w:r>
      <w:r w:rsidR="00521C67">
        <w:rPr>
          <w:rFonts w:ascii="Courier New" w:hAnsi="Courier New" w:cs="Courier New"/>
          <w:sz w:val="24"/>
          <w:szCs w:val="24"/>
        </w:rPr>
        <w:t>survey</w:t>
      </w:r>
      <w:r w:rsidR="0089052E">
        <w:rPr>
          <w:rFonts w:ascii="Courier New" w:hAnsi="Courier New" w:cs="Courier New"/>
          <w:sz w:val="24"/>
          <w:szCs w:val="24"/>
        </w:rPr>
        <w:t xml:space="preserve"> form, </w:t>
      </w:r>
      <w:r>
        <w:rPr>
          <w:rFonts w:ascii="Courier New" w:hAnsi="Courier New" w:cs="Courier New"/>
          <w:sz w:val="24"/>
          <w:szCs w:val="24"/>
        </w:rPr>
        <w:t xml:space="preserve">an institution may exclude from its survey students that are subsequently excluded from the SSA list.  For a </w:t>
      </w:r>
      <w:r w:rsidR="004C1250">
        <w:rPr>
          <w:rFonts w:ascii="Courier New" w:hAnsi="Courier New" w:cs="Courier New"/>
          <w:sz w:val="24"/>
          <w:szCs w:val="24"/>
        </w:rPr>
        <w:t>State data system</w:t>
      </w:r>
      <w:r>
        <w:rPr>
          <w:rFonts w:ascii="Courier New" w:hAnsi="Courier New" w:cs="Courier New"/>
          <w:sz w:val="24"/>
          <w:szCs w:val="24"/>
        </w:rPr>
        <w:t xml:space="preserve"> search, the institution may exclude students that are subsequently excluded as long as it satisfies the requirements under §668.406(d)(2).  Under those requirements the institution must obtain earnings data for more than 50 percent of the students in the cohort, after exclusions, and that number of students must be </w:t>
      </w:r>
      <w:r w:rsidR="009C3AD1">
        <w:rPr>
          <w:rFonts w:ascii="Courier New" w:hAnsi="Courier New" w:cs="Courier New"/>
          <w:sz w:val="24"/>
          <w:szCs w:val="24"/>
        </w:rPr>
        <w:t xml:space="preserve">30 or </w:t>
      </w:r>
      <w:r>
        <w:rPr>
          <w:rFonts w:ascii="Courier New" w:hAnsi="Courier New" w:cs="Courier New"/>
          <w:sz w:val="24"/>
          <w:szCs w:val="24"/>
        </w:rPr>
        <w:t xml:space="preserve">more.  </w:t>
      </w:r>
    </w:p>
    <w:p w14:paraId="3D0ED631" w14:textId="2131D702" w:rsidR="008A778A" w:rsidRDefault="001D71D1" w:rsidP="00E509C5">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revised the provisions of §668.406(</w:t>
      </w:r>
      <w:r w:rsidR="00837D65" w:rsidRPr="00D140AB">
        <w:rPr>
          <w:rFonts w:ascii="Courier New" w:hAnsi="Courier New" w:cs="Courier New"/>
          <w:sz w:val="24"/>
          <w:szCs w:val="24"/>
        </w:rPr>
        <w:t xml:space="preserve">c)(1) and (d)(1) in the final regulations </w:t>
      </w:r>
      <w:r w:rsidR="00837D65">
        <w:rPr>
          <w:rFonts w:ascii="Courier New" w:hAnsi="Courier New" w:cs="Courier New"/>
          <w:sz w:val="24"/>
          <w:szCs w:val="24"/>
        </w:rPr>
        <w:t>(</w:t>
      </w:r>
      <w:r w:rsidRPr="00D140AB">
        <w:rPr>
          <w:rFonts w:ascii="Courier New" w:hAnsi="Courier New" w:cs="Courier New"/>
          <w:sz w:val="24"/>
          <w:szCs w:val="24"/>
        </w:rPr>
        <w:t>§668.406(a)(3)(i) and (a)(4)(i) in the proposed regulations</w:t>
      </w:r>
      <w:r w:rsidR="00837D65">
        <w:rPr>
          <w:rFonts w:ascii="Courier New" w:hAnsi="Courier New" w:cs="Courier New"/>
          <w:sz w:val="24"/>
          <w:szCs w:val="24"/>
        </w:rPr>
        <w:t>)</w:t>
      </w:r>
      <w:r w:rsidRPr="00D140AB">
        <w:rPr>
          <w:rFonts w:ascii="Courier New" w:hAnsi="Courier New" w:cs="Courier New"/>
          <w:sz w:val="24"/>
          <w:szCs w:val="24"/>
        </w:rPr>
        <w:t>, and added §668.406(b)(3), to permit institutions</w:t>
      </w:r>
      <w:r w:rsidR="004C1250">
        <w:rPr>
          <w:rFonts w:ascii="Courier New" w:hAnsi="Courier New" w:cs="Courier New"/>
          <w:sz w:val="24"/>
          <w:szCs w:val="24"/>
        </w:rPr>
        <w:t xml:space="preserve"> to exclude students who are </w:t>
      </w:r>
      <w:r w:rsidR="004C1250" w:rsidRPr="004C1250">
        <w:rPr>
          <w:rFonts w:ascii="Courier New" w:hAnsi="Courier New" w:cs="Courier New"/>
          <w:sz w:val="24"/>
          <w:szCs w:val="24"/>
        </w:rPr>
        <w:t>excluded from the D/E rates calculation under §668.404(e).  If</w:t>
      </w:r>
      <w:r w:rsidR="00100BA3">
        <w:rPr>
          <w:rFonts w:ascii="Courier New" w:hAnsi="Courier New" w:cs="Courier New"/>
          <w:sz w:val="24"/>
          <w:szCs w:val="24"/>
        </w:rPr>
        <w:t xml:space="preserve"> the institution chooses</w:t>
      </w:r>
      <w:r w:rsidRPr="00D140AB">
        <w:rPr>
          <w:rFonts w:ascii="Courier New" w:hAnsi="Courier New" w:cs="Courier New"/>
          <w:sz w:val="24"/>
          <w:szCs w:val="24"/>
        </w:rPr>
        <w:t xml:space="preserve"> to </w:t>
      </w:r>
      <w:r w:rsidR="00100BA3">
        <w:rPr>
          <w:rFonts w:ascii="Courier New" w:hAnsi="Courier New" w:cs="Courier New"/>
          <w:sz w:val="24"/>
          <w:szCs w:val="24"/>
        </w:rPr>
        <w:t xml:space="preserve">use </w:t>
      </w:r>
      <w:r w:rsidR="00100BA3" w:rsidRPr="004C1250">
        <w:rPr>
          <w:rFonts w:ascii="Courier New" w:hAnsi="Courier New"/>
          <w:sz w:val="24"/>
        </w:rPr>
        <w:t xml:space="preserve">an alternate earnings survey, </w:t>
      </w:r>
      <w:r w:rsidR="004C1250" w:rsidRPr="004C1250">
        <w:rPr>
          <w:rFonts w:ascii="Courier New" w:hAnsi="Courier New" w:cs="Courier New"/>
          <w:sz w:val="24"/>
          <w:szCs w:val="24"/>
        </w:rPr>
        <w:t>the institution may,</w:t>
      </w:r>
      <w:r w:rsidR="00100BA3" w:rsidRPr="004C1250">
        <w:rPr>
          <w:rFonts w:ascii="Courier New" w:hAnsi="Courier New"/>
          <w:sz w:val="24"/>
        </w:rPr>
        <w:t xml:space="preserve"> in accordance with the </w:t>
      </w:r>
      <w:r w:rsidR="00C6459E">
        <w:rPr>
          <w:rFonts w:ascii="Courier New" w:hAnsi="Courier New"/>
          <w:sz w:val="24"/>
        </w:rPr>
        <w:t xml:space="preserve">instructions on the survey form, </w:t>
      </w:r>
      <w:r w:rsidR="00100BA3" w:rsidRPr="004C1250">
        <w:rPr>
          <w:rFonts w:ascii="Courier New" w:hAnsi="Courier New"/>
          <w:sz w:val="24"/>
        </w:rPr>
        <w:t xml:space="preserve">exclude students </w:t>
      </w:r>
      <w:r w:rsidR="00C6459E">
        <w:rPr>
          <w:rFonts w:ascii="Courier New" w:hAnsi="Courier New"/>
          <w:sz w:val="24"/>
        </w:rPr>
        <w:t xml:space="preserve">that are </w:t>
      </w:r>
      <w:r w:rsidR="00100BA3" w:rsidRPr="004C1250">
        <w:rPr>
          <w:rFonts w:ascii="Courier New" w:hAnsi="Courier New"/>
          <w:sz w:val="24"/>
        </w:rPr>
        <w:t>excluded from the D/E rates calculation</w:t>
      </w:r>
      <w:r w:rsidR="004C1250" w:rsidRPr="004C1250">
        <w:rPr>
          <w:rFonts w:ascii="Courier New" w:hAnsi="Courier New" w:cs="Courier New"/>
          <w:sz w:val="24"/>
          <w:szCs w:val="24"/>
        </w:rPr>
        <w:t>.  I</w:t>
      </w:r>
      <w:r w:rsidR="00100BA3" w:rsidRPr="004C1250">
        <w:rPr>
          <w:rFonts w:ascii="Courier New" w:hAnsi="Courier New"/>
          <w:sz w:val="24"/>
        </w:rPr>
        <w:t xml:space="preserve">f the institution obtains annual earnings data from one or more State-sponsored data systems, </w:t>
      </w:r>
      <w:r w:rsidR="004C1250" w:rsidRPr="004C1250">
        <w:rPr>
          <w:rFonts w:ascii="Courier New" w:hAnsi="Courier New" w:cs="Courier New"/>
          <w:sz w:val="24"/>
          <w:szCs w:val="24"/>
        </w:rPr>
        <w:t xml:space="preserve">it may, </w:t>
      </w:r>
      <w:r w:rsidR="0011358E">
        <w:rPr>
          <w:rFonts w:ascii="Courier New" w:hAnsi="Courier New"/>
          <w:sz w:val="24"/>
        </w:rPr>
        <w:t>in accordance with</w:t>
      </w:r>
      <w:r w:rsidR="00100BA3" w:rsidRPr="004C1250">
        <w:rPr>
          <w:rFonts w:ascii="Courier New" w:hAnsi="Courier New"/>
          <w:sz w:val="24"/>
        </w:rPr>
        <w:t xml:space="preserve"> §668.406(d)(2), exclude from the list of students submitted to the administrator of the State-administered data system students</w:t>
      </w:r>
      <w:r w:rsidR="00C6459E">
        <w:rPr>
          <w:rFonts w:ascii="Courier New" w:hAnsi="Courier New"/>
          <w:sz w:val="24"/>
        </w:rPr>
        <w:t xml:space="preserve"> that are</w:t>
      </w:r>
      <w:r w:rsidR="00100BA3" w:rsidRPr="004C1250">
        <w:rPr>
          <w:rFonts w:ascii="Courier New" w:hAnsi="Courier New"/>
          <w:sz w:val="24"/>
        </w:rPr>
        <w:t xml:space="preserve"> excluded from the D/E rates calculation.</w:t>
      </w:r>
      <w:r w:rsidRPr="00D140AB">
        <w:rPr>
          <w:rFonts w:ascii="Courier New" w:hAnsi="Courier New" w:cs="Courier New"/>
          <w:sz w:val="24"/>
          <w:szCs w:val="24"/>
        </w:rPr>
        <w:t xml:space="preserve"> </w:t>
      </w:r>
      <w:r w:rsidR="0011358E">
        <w:rPr>
          <w:rFonts w:ascii="Courier New" w:hAnsi="Courier New" w:cs="Courier New"/>
          <w:sz w:val="24"/>
          <w:szCs w:val="24"/>
        </w:rPr>
        <w:t xml:space="preserve"> </w:t>
      </w:r>
      <w:r w:rsidR="008A778A">
        <w:rPr>
          <w:rFonts w:ascii="Courier New" w:hAnsi="Courier New" w:cs="Courier New"/>
          <w:sz w:val="24"/>
          <w:szCs w:val="24"/>
        </w:rPr>
        <w:t xml:space="preserve">We have </w:t>
      </w:r>
      <w:r w:rsidR="004C1250">
        <w:rPr>
          <w:rFonts w:ascii="Courier New" w:hAnsi="Courier New" w:cs="Courier New"/>
          <w:sz w:val="24"/>
          <w:szCs w:val="24"/>
        </w:rPr>
        <w:t>also</w:t>
      </w:r>
      <w:r w:rsidR="008A778A">
        <w:rPr>
          <w:rFonts w:ascii="Courier New" w:hAnsi="Courier New" w:cs="Courier New"/>
          <w:sz w:val="24"/>
          <w:szCs w:val="24"/>
        </w:rPr>
        <w:t xml:space="preserve"> </w:t>
      </w:r>
      <w:r w:rsidR="00B622A1">
        <w:rPr>
          <w:rFonts w:ascii="Courier New" w:hAnsi="Courier New" w:cs="Courier New"/>
          <w:sz w:val="24"/>
          <w:szCs w:val="24"/>
        </w:rPr>
        <w:t>included</w:t>
      </w:r>
      <w:r w:rsidR="008A778A">
        <w:rPr>
          <w:rFonts w:ascii="Courier New" w:hAnsi="Courier New" w:cs="Courier New"/>
          <w:sz w:val="24"/>
          <w:szCs w:val="24"/>
        </w:rPr>
        <w:t xml:space="preserve"> in </w:t>
      </w:r>
      <w:r w:rsidR="008A778A" w:rsidRPr="00D140AB">
        <w:rPr>
          <w:rFonts w:ascii="Courier New" w:hAnsi="Courier New" w:cs="Courier New"/>
          <w:sz w:val="24"/>
          <w:szCs w:val="24"/>
        </w:rPr>
        <w:t>§668.406(</w:t>
      </w:r>
      <w:r w:rsidR="008A778A">
        <w:rPr>
          <w:rFonts w:ascii="Courier New" w:hAnsi="Courier New" w:cs="Courier New"/>
          <w:sz w:val="24"/>
          <w:szCs w:val="24"/>
        </w:rPr>
        <w:t>d)(2</w:t>
      </w:r>
      <w:r w:rsidR="008A778A" w:rsidRPr="00D140AB">
        <w:rPr>
          <w:rFonts w:ascii="Courier New" w:hAnsi="Courier New" w:cs="Courier New"/>
          <w:sz w:val="24"/>
          <w:szCs w:val="24"/>
        </w:rPr>
        <w:t>)</w:t>
      </w:r>
      <w:r w:rsidR="008A778A">
        <w:rPr>
          <w:rFonts w:ascii="Courier New" w:hAnsi="Courier New" w:cs="Courier New"/>
          <w:sz w:val="24"/>
          <w:szCs w:val="24"/>
        </w:rPr>
        <w:t xml:space="preserve"> that</w:t>
      </w:r>
      <w:r w:rsidR="00B622A1">
        <w:rPr>
          <w:rFonts w:ascii="Courier New" w:hAnsi="Courier New" w:cs="Courier New"/>
          <w:sz w:val="24"/>
          <w:szCs w:val="24"/>
        </w:rPr>
        <w:t xml:space="preserve"> </w:t>
      </w:r>
      <w:r w:rsidR="00B622A1">
        <w:rPr>
          <w:rFonts w:ascii="Courier New" w:hAnsi="Courier New" w:cs="Courier New"/>
          <w:sz w:val="24"/>
          <w:szCs w:val="24"/>
        </w:rPr>
        <w:lastRenderedPageBreak/>
        <w:t>an institution may exclude these students with respect to its appeal based on data from a State-sponsored data sy</w:t>
      </w:r>
      <w:r w:rsidR="0011358E">
        <w:rPr>
          <w:rFonts w:ascii="Courier New" w:hAnsi="Courier New" w:cs="Courier New"/>
          <w:sz w:val="24"/>
          <w:szCs w:val="24"/>
        </w:rPr>
        <w:t xml:space="preserve">stem. </w:t>
      </w:r>
      <w:r w:rsidR="008A778A">
        <w:rPr>
          <w:rFonts w:ascii="Courier New" w:hAnsi="Courier New" w:cs="Courier New"/>
          <w:sz w:val="24"/>
          <w:szCs w:val="24"/>
        </w:rPr>
        <w:t xml:space="preserve"> </w:t>
      </w:r>
    </w:p>
    <w:p w14:paraId="4269B356" w14:textId="2BBC15A0" w:rsidR="001D71D1" w:rsidRPr="008A778A" w:rsidRDefault="002A0C7E" w:rsidP="002A0C7E">
      <w:pPr>
        <w:pStyle w:val="FootnoteText"/>
        <w:spacing w:line="480" w:lineRule="auto"/>
      </w:pPr>
      <w:r>
        <w:rPr>
          <w:rFonts w:ascii="Courier New" w:hAnsi="Courier New" w:cs="Courier New"/>
          <w:sz w:val="24"/>
          <w:szCs w:val="24"/>
        </w:rPr>
        <w:t xml:space="preserve">     </w:t>
      </w:r>
      <w:r w:rsidR="001D71D1" w:rsidRPr="00D140AB">
        <w:rPr>
          <w:rFonts w:ascii="Courier New" w:hAnsi="Courier New" w:cs="Courier New"/>
          <w:sz w:val="24"/>
          <w:szCs w:val="24"/>
        </w:rPr>
        <w:t xml:space="preserve">We have also </w:t>
      </w:r>
      <w:r w:rsidR="00A9399F">
        <w:rPr>
          <w:rFonts w:ascii="Courier New" w:hAnsi="Courier New" w:cs="Courier New"/>
          <w:sz w:val="24"/>
          <w:szCs w:val="24"/>
        </w:rPr>
        <w:t xml:space="preserve">provided in </w:t>
      </w:r>
      <w:r w:rsidR="00A9399F" w:rsidRPr="00D140AB">
        <w:rPr>
          <w:rFonts w:ascii="Courier New" w:hAnsi="Courier New" w:cs="Courier New"/>
          <w:sz w:val="24"/>
          <w:szCs w:val="24"/>
        </w:rPr>
        <w:t>§668.406(</w:t>
      </w:r>
      <w:r w:rsidR="00A9399F">
        <w:rPr>
          <w:rFonts w:ascii="Courier New" w:hAnsi="Courier New" w:cs="Courier New"/>
          <w:sz w:val="24"/>
          <w:szCs w:val="24"/>
        </w:rPr>
        <w:t>b</w:t>
      </w:r>
      <w:r w:rsidR="00A9399F" w:rsidRPr="00D140AB">
        <w:rPr>
          <w:rFonts w:ascii="Courier New" w:hAnsi="Courier New" w:cs="Courier New"/>
          <w:sz w:val="24"/>
          <w:szCs w:val="24"/>
        </w:rPr>
        <w:t>)(</w:t>
      </w:r>
      <w:r w:rsidR="00A9399F">
        <w:rPr>
          <w:rFonts w:ascii="Courier New" w:hAnsi="Courier New" w:cs="Courier New"/>
          <w:sz w:val="24"/>
          <w:szCs w:val="24"/>
        </w:rPr>
        <w:t>3</w:t>
      </w:r>
      <w:r w:rsidR="00A9399F" w:rsidRPr="00D140AB">
        <w:rPr>
          <w:rFonts w:ascii="Courier New" w:hAnsi="Courier New" w:cs="Courier New"/>
          <w:sz w:val="24"/>
          <w:szCs w:val="24"/>
        </w:rPr>
        <w:t>)</w:t>
      </w:r>
      <w:r w:rsidR="001D71D1" w:rsidRPr="00D140AB">
        <w:rPr>
          <w:rFonts w:ascii="Courier New" w:hAnsi="Courier New" w:cs="Courier New"/>
          <w:sz w:val="24"/>
          <w:szCs w:val="24"/>
        </w:rPr>
        <w:t xml:space="preserve"> </w:t>
      </w:r>
      <w:r w:rsidR="00A9399F">
        <w:rPr>
          <w:rFonts w:ascii="Courier New" w:hAnsi="Courier New" w:cs="Courier New"/>
          <w:sz w:val="24"/>
          <w:szCs w:val="24"/>
        </w:rPr>
        <w:t>that</w:t>
      </w:r>
      <w:r w:rsidR="001D71D1" w:rsidRPr="00D140AB">
        <w:rPr>
          <w:rFonts w:ascii="Courier New" w:hAnsi="Courier New" w:cs="Courier New"/>
          <w:sz w:val="24"/>
          <w:szCs w:val="24"/>
        </w:rPr>
        <w:t xml:space="preserve"> an institution </w:t>
      </w:r>
      <w:r w:rsidR="00A9399F">
        <w:rPr>
          <w:rFonts w:ascii="Courier New" w:hAnsi="Courier New" w:cs="Courier New"/>
          <w:sz w:val="24"/>
          <w:szCs w:val="24"/>
        </w:rPr>
        <w:t>may</w:t>
      </w:r>
      <w:r w:rsidR="001D71D1" w:rsidRPr="00D140AB">
        <w:rPr>
          <w:rFonts w:ascii="Courier New" w:hAnsi="Courier New" w:cs="Courier New"/>
          <w:sz w:val="24"/>
          <w:szCs w:val="24"/>
        </w:rPr>
        <w:t xml:space="preserve"> base an alternate earnings appeal on the alternate earnings data for students who completed the program during a cohort period different from, but comparable to, the cohort period that the Secretary used to calculate the final D/E rates.</w:t>
      </w:r>
    </w:p>
    <w:p w14:paraId="4269B357" w14:textId="04364819"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We received comments in support of permitting institutions </w:t>
      </w:r>
      <w:r w:rsidR="002462E7" w:rsidRPr="00D140AB">
        <w:rPr>
          <w:rFonts w:ascii="Courier New" w:hAnsi="Courier New" w:cs="Courier New"/>
          <w:sz w:val="24"/>
          <w:szCs w:val="24"/>
        </w:rPr>
        <w:t xml:space="preserve">in an alternate earnings appeal </w:t>
      </w:r>
      <w:r w:rsidRPr="00D140AB">
        <w:rPr>
          <w:rFonts w:ascii="Courier New" w:hAnsi="Courier New" w:cs="Courier New"/>
          <w:sz w:val="24"/>
          <w:szCs w:val="24"/>
        </w:rPr>
        <w:t xml:space="preserve">to include the earnings of individuals who did not receive title IV, HEA program funds for enrollment in the program and, also, a comment opposing the inclusion of those individuals.  Those commenters in support argued that the earnings of students who receive title IV, HEA program funds for enrollment in a program are not representative of the earnings of </w:t>
      </w:r>
      <w:r w:rsidR="002462E7" w:rsidRPr="00D140AB">
        <w:rPr>
          <w:rFonts w:ascii="Courier New" w:hAnsi="Courier New" w:cs="Courier New"/>
          <w:sz w:val="24"/>
          <w:szCs w:val="24"/>
        </w:rPr>
        <w:t xml:space="preserve">all </w:t>
      </w:r>
      <w:r w:rsidRPr="00D140AB">
        <w:rPr>
          <w:rFonts w:ascii="Courier New" w:hAnsi="Courier New" w:cs="Courier New"/>
          <w:sz w:val="24"/>
          <w:szCs w:val="24"/>
        </w:rPr>
        <w:t xml:space="preserve">their program graduates and therefore the earnings of all individuals who complete a program should be considered on appeal.  On the other hand, one commenter recommended that the basis for an alternate earnings appeal be limited to the earnings of students who received title IV, HEA program funds for enrollment to align the regulations with the </w:t>
      </w:r>
      <w:r w:rsidR="00866401">
        <w:rPr>
          <w:rFonts w:ascii="Courier New" w:hAnsi="Courier New" w:cs="Courier New"/>
          <w:sz w:val="24"/>
          <w:szCs w:val="24"/>
        </w:rPr>
        <w:t>d</w:t>
      </w:r>
      <w:r w:rsidRPr="00D140AB">
        <w:rPr>
          <w:rFonts w:ascii="Courier New" w:hAnsi="Courier New" w:cs="Courier New"/>
          <w:sz w:val="24"/>
          <w:szCs w:val="24"/>
        </w:rPr>
        <w:t xml:space="preserve">istrict </w:t>
      </w:r>
      <w:r w:rsidR="00866401">
        <w:rPr>
          <w:rFonts w:ascii="Courier New" w:hAnsi="Courier New" w:cs="Courier New"/>
          <w:sz w:val="24"/>
          <w:szCs w:val="24"/>
        </w:rPr>
        <w:t>c</w:t>
      </w:r>
      <w:r w:rsidRPr="00D140AB">
        <w:rPr>
          <w:rFonts w:ascii="Courier New" w:hAnsi="Courier New" w:cs="Courier New"/>
          <w:sz w:val="24"/>
          <w:szCs w:val="24"/>
        </w:rPr>
        <w:t xml:space="preserve">ourt’s decision in </w:t>
      </w:r>
      <w:r w:rsidRPr="00D140AB">
        <w:rPr>
          <w:rFonts w:ascii="Courier New" w:hAnsi="Courier New" w:cs="Courier New"/>
          <w:sz w:val="24"/>
          <w:szCs w:val="24"/>
          <w:u w:val="single"/>
        </w:rPr>
        <w:t>APSCU v. Duncan</w:t>
      </w:r>
      <w:r w:rsidRPr="00D140AB">
        <w:rPr>
          <w:rFonts w:ascii="Courier New" w:hAnsi="Courier New" w:cs="Courier New"/>
          <w:sz w:val="24"/>
          <w:szCs w:val="24"/>
        </w:rPr>
        <w:t>.</w:t>
      </w:r>
    </w:p>
    <w:p w14:paraId="4269B358" w14:textId="73089FF8"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agree with the commenter who recommended that the basis for an alternate earnings appeal be limited to the earnings of students who received title IV, HEA program funds </w:t>
      </w:r>
      <w:r w:rsidRPr="00D140AB">
        <w:rPr>
          <w:rFonts w:ascii="Courier New" w:hAnsi="Courier New" w:cs="Courier New"/>
          <w:sz w:val="24"/>
          <w:szCs w:val="24"/>
        </w:rPr>
        <w:lastRenderedPageBreak/>
        <w:t>for enrollment in the program.  We believe this approach better serves the purpose of the alternate earnings appeal</w:t>
      </w:r>
      <w:r w:rsidR="008A778A">
        <w:rPr>
          <w:rFonts w:ascii="Courier New" w:hAnsi="Courier New" w:cs="Courier New"/>
          <w:sz w:val="24"/>
          <w:szCs w:val="24"/>
        </w:rPr>
        <w:t>--</w:t>
      </w:r>
      <w:r w:rsidRPr="00D140AB">
        <w:rPr>
          <w:rFonts w:ascii="Courier New" w:hAnsi="Courier New" w:cs="Courier New"/>
          <w:sz w:val="24"/>
          <w:szCs w:val="24"/>
        </w:rPr>
        <w:t xml:space="preserve">to allow institutions, which are not permitted to challenge the accuracy of the SSA data used in the calculation of the D/E rates, to demonstrate that any difference between the mean or median annual earnings the Secretary obtained from SSA and the mean or median annual earnings from an institutional survey or State-sponsored data system warrants revision of the final D/E rates.  </w:t>
      </w:r>
      <w:r w:rsidR="002462E7" w:rsidRPr="00D140AB">
        <w:rPr>
          <w:rFonts w:ascii="Courier New" w:hAnsi="Courier New" w:cs="Courier New"/>
          <w:sz w:val="24"/>
          <w:szCs w:val="24"/>
        </w:rPr>
        <w:t xml:space="preserve">The </w:t>
      </w:r>
      <w:r w:rsidRPr="00D140AB">
        <w:rPr>
          <w:rFonts w:ascii="Courier New" w:hAnsi="Courier New" w:cs="Courier New"/>
          <w:sz w:val="24"/>
          <w:szCs w:val="24"/>
        </w:rPr>
        <w:t>purpose of the appeal is to permit institutions to present evidence that the earnings data used to calculate the D/E rates may not capture the earnings outcomes of the students on whom the D/E rates were based, rather than to present evidence of the earnings of a different set of individuals who completed the program.  As the commenter noted, the approach we take here</w:t>
      </w:r>
      <w:r w:rsidR="004B7E95">
        <w:rPr>
          <w:rFonts w:ascii="Courier New" w:hAnsi="Courier New" w:cs="Courier New"/>
          <w:sz w:val="24"/>
          <w:szCs w:val="24"/>
        </w:rPr>
        <w:t>, which</w:t>
      </w:r>
      <w:r w:rsidRPr="00D140AB">
        <w:rPr>
          <w:rFonts w:ascii="Courier New" w:hAnsi="Courier New" w:cs="Courier New"/>
          <w:sz w:val="24"/>
          <w:szCs w:val="24"/>
        </w:rPr>
        <w:t xml:space="preserve"> </w:t>
      </w:r>
      <w:r w:rsidR="00D67F0A" w:rsidRPr="00D140AB">
        <w:rPr>
          <w:rFonts w:ascii="Courier New" w:hAnsi="Courier New" w:cs="Courier New"/>
          <w:sz w:val="24"/>
          <w:szCs w:val="24"/>
        </w:rPr>
        <w:t>considers</w:t>
      </w:r>
      <w:r w:rsidR="00FE42EA" w:rsidRPr="00D140AB">
        <w:rPr>
          <w:rFonts w:ascii="Courier New" w:hAnsi="Courier New" w:cs="Courier New"/>
          <w:sz w:val="24"/>
          <w:szCs w:val="24"/>
        </w:rPr>
        <w:t xml:space="preserve"> only outcomes for </w:t>
      </w:r>
      <w:r w:rsidR="00D67F0A" w:rsidRPr="00D140AB">
        <w:rPr>
          <w:rFonts w:ascii="Courier New" w:hAnsi="Courier New" w:cs="Courier New"/>
          <w:sz w:val="24"/>
          <w:szCs w:val="24"/>
        </w:rPr>
        <w:t>individuals receiving title IV, HEA program funds</w:t>
      </w:r>
      <w:r w:rsidR="008A778A">
        <w:rPr>
          <w:rFonts w:ascii="Courier New" w:hAnsi="Courier New" w:cs="Courier New"/>
          <w:sz w:val="24"/>
          <w:szCs w:val="24"/>
        </w:rPr>
        <w:t>,</w:t>
      </w:r>
      <w:r w:rsidR="00FE42EA" w:rsidRPr="00D140AB">
        <w:rPr>
          <w:rFonts w:ascii="Courier New" w:hAnsi="Courier New" w:cs="Courier New"/>
          <w:sz w:val="24"/>
          <w:szCs w:val="24"/>
        </w:rPr>
        <w:t xml:space="preserve"> </w:t>
      </w:r>
      <w:r w:rsidRPr="00D140AB">
        <w:rPr>
          <w:rFonts w:ascii="Courier New" w:hAnsi="Courier New" w:cs="Courier New"/>
          <w:sz w:val="24"/>
          <w:szCs w:val="24"/>
        </w:rPr>
        <w:t>also aligns the regulations with</w:t>
      </w:r>
      <w:r w:rsidRPr="00D140AB" w:rsidDel="00FE42EA">
        <w:rPr>
          <w:rFonts w:ascii="Courier New" w:hAnsi="Courier New" w:cs="Courier New"/>
          <w:sz w:val="24"/>
          <w:szCs w:val="24"/>
        </w:rPr>
        <w:t xml:space="preserve"> </w:t>
      </w:r>
      <w:r w:rsidRPr="00D140AB">
        <w:rPr>
          <w:rFonts w:ascii="Courier New" w:hAnsi="Courier New" w:cs="Courier New"/>
          <w:sz w:val="24"/>
          <w:szCs w:val="24"/>
        </w:rPr>
        <w:t xml:space="preserve">the court’s interpretation of relevant law in </w:t>
      </w:r>
      <w:r w:rsidRPr="00D140AB">
        <w:rPr>
          <w:rFonts w:ascii="Courier New" w:hAnsi="Courier New" w:cs="Courier New"/>
          <w:sz w:val="24"/>
          <w:szCs w:val="24"/>
          <w:u w:val="single"/>
        </w:rPr>
        <w:t>APSCU v. Duncan</w:t>
      </w:r>
      <w:r w:rsidR="00A67D1E" w:rsidRPr="008A778A">
        <w:rPr>
          <w:rFonts w:ascii="Courier New" w:hAnsi="Courier New"/>
          <w:sz w:val="24"/>
        </w:rPr>
        <w:t xml:space="preserve"> that the Department could not create a student record system based on all individuals enrolled in a GE program, both those who received title IV, HEA program funds and those who did not</w:t>
      </w:r>
      <w:r w:rsidRPr="00D140AB">
        <w:rPr>
          <w:rFonts w:ascii="Courier New" w:hAnsi="Courier New" w:cs="Courier New"/>
          <w:sz w:val="24"/>
          <w:szCs w:val="24"/>
        </w:rPr>
        <w:t>.</w:t>
      </w:r>
      <w:r w:rsidR="00A67D1E">
        <w:rPr>
          <w:rFonts w:ascii="Courier New" w:hAnsi="Courier New" w:cs="Courier New"/>
          <w:sz w:val="24"/>
          <w:szCs w:val="24"/>
        </w:rPr>
        <w:t xml:space="preserve">  </w:t>
      </w:r>
      <w:r w:rsidR="00A67D1E" w:rsidRPr="002A0C7E">
        <w:rPr>
          <w:rFonts w:ascii="Courier New" w:hAnsi="Courier New" w:cs="Courier New"/>
          <w:sz w:val="24"/>
          <w:szCs w:val="24"/>
          <w:u w:val="single"/>
        </w:rPr>
        <w:t>See</w:t>
      </w:r>
      <w:r w:rsidR="00A67D1E" w:rsidRPr="00A67D1E">
        <w:rPr>
          <w:rFonts w:ascii="Courier New" w:hAnsi="Courier New" w:cs="Courier New"/>
          <w:sz w:val="24"/>
          <w:szCs w:val="24"/>
        </w:rPr>
        <w:t xml:space="preserve"> </w:t>
      </w:r>
      <w:r w:rsidR="00A67D1E" w:rsidRPr="00A67D1E">
        <w:rPr>
          <w:rFonts w:ascii="Courier New" w:eastAsia="Times New Roman" w:hAnsi="Courier New" w:cs="Courier New"/>
          <w:sz w:val="24"/>
          <w:szCs w:val="24"/>
          <w:u w:val="single"/>
        </w:rPr>
        <w:t>APSCU v. Duncan</w:t>
      </w:r>
      <w:r w:rsidR="00A67D1E" w:rsidRPr="00A67D1E">
        <w:rPr>
          <w:rFonts w:ascii="Courier New" w:eastAsia="Times New Roman" w:hAnsi="Courier New" w:cs="Courier New"/>
          <w:sz w:val="24"/>
          <w:szCs w:val="24"/>
        </w:rPr>
        <w:t>, 930 F. Supp. 2d at 221</w:t>
      </w:r>
      <w:r w:rsidR="00451827">
        <w:rPr>
          <w:rFonts w:ascii="Courier New" w:eastAsia="Times New Roman" w:hAnsi="Courier New" w:cs="Courier New"/>
          <w:sz w:val="24"/>
          <w:szCs w:val="24"/>
        </w:rPr>
        <w:t>.</w:t>
      </w:r>
      <w:r w:rsidR="00A67D1E" w:rsidRPr="001E5A97">
        <w:rPr>
          <w:rFonts w:ascii="Times New Roman" w:eastAsia="Times New Roman" w:hAnsi="Times New Roman"/>
          <w:sz w:val="24"/>
          <w:szCs w:val="24"/>
        </w:rPr>
        <w:t xml:space="preserve"> </w:t>
      </w:r>
      <w:r w:rsidR="00FE42EA" w:rsidRPr="00D140AB">
        <w:rPr>
          <w:rStyle w:val="FootnoteReference"/>
          <w:rFonts w:ascii="Courier New" w:hAnsi="Courier New" w:cs="Courier New"/>
          <w:sz w:val="24"/>
          <w:szCs w:val="24"/>
        </w:rPr>
        <w:t xml:space="preserve"> </w:t>
      </w:r>
      <w:r w:rsidR="008A778A">
        <w:rPr>
          <w:rFonts w:ascii="Courier New" w:hAnsi="Courier New" w:cs="Courier New"/>
          <w:sz w:val="24"/>
          <w:szCs w:val="24"/>
        </w:rPr>
        <w:t xml:space="preserve"> </w:t>
      </w:r>
      <w:r w:rsidRPr="00D140AB">
        <w:rPr>
          <w:rFonts w:ascii="Courier New" w:hAnsi="Courier New" w:cs="Courier New"/>
          <w:sz w:val="24"/>
          <w:szCs w:val="24"/>
        </w:rPr>
        <w:t xml:space="preserve">Further, because the primary purpose of the D/E rates measure is to determine whether a program should continue to be eligible for title IV, HEA program funds, we believe we can make a sufficient assessment of </w:t>
      </w:r>
      <w:r w:rsidRPr="00D140AB">
        <w:rPr>
          <w:rFonts w:ascii="Courier New" w:hAnsi="Courier New" w:cs="Courier New"/>
          <w:sz w:val="24"/>
          <w:szCs w:val="24"/>
        </w:rPr>
        <w:lastRenderedPageBreak/>
        <w:t xml:space="preserve">whether a program prepares students for gainful employment based only on the outcomes of students who receive title IV, HEA program funds, including in connection with an alternate earnings appeal of a program’s D/E rates.  By limiting the alternate earnings appeal to an assessment of outcomes of only students who receive title IV, HEA program funds, the Department can monitor the Federal investment in GE programs.  See the NPRM and our discussion in this document in “§668.401  Scope and Purpose” for a more detailed discussion </w:t>
      </w:r>
      <w:r w:rsidR="000349CE">
        <w:rPr>
          <w:rFonts w:ascii="Courier New" w:hAnsi="Courier New" w:cs="Courier New"/>
          <w:sz w:val="24"/>
          <w:szCs w:val="24"/>
        </w:rPr>
        <w:t xml:space="preserve">regarding the definition of </w:t>
      </w:r>
      <w:r w:rsidRPr="00D140AB">
        <w:rPr>
          <w:rFonts w:ascii="Courier New" w:hAnsi="Courier New" w:cs="Courier New"/>
          <w:sz w:val="24"/>
          <w:szCs w:val="24"/>
        </w:rPr>
        <w:t>“student” in the</w:t>
      </w:r>
      <w:r w:rsidR="000349CE">
        <w:rPr>
          <w:rFonts w:ascii="Courier New" w:hAnsi="Courier New" w:cs="Courier New"/>
          <w:sz w:val="24"/>
          <w:szCs w:val="24"/>
        </w:rPr>
        <w:t>se</w:t>
      </w:r>
      <w:r w:rsidRPr="00D140AB">
        <w:rPr>
          <w:rFonts w:ascii="Courier New" w:hAnsi="Courier New" w:cs="Courier New"/>
          <w:sz w:val="24"/>
          <w:szCs w:val="24"/>
        </w:rPr>
        <w:t xml:space="preserve"> regulations as an individual who receives title IV, HEA program funds for enrollment in a program.</w:t>
      </w:r>
    </w:p>
    <w:p w14:paraId="4269B359"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xml:space="preserve">:  None. </w:t>
      </w:r>
    </w:p>
    <w:p w14:paraId="4269B35A" w14:textId="3B26176E"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A number of commenters urged the Department to permit appeals based on current BLS earnings data, either as a standing appeal option or as an option only during the transition period.</w:t>
      </w:r>
    </w:p>
    <w:p w14:paraId="4269B35B" w14:textId="77777777" w:rsidR="001D71D1" w:rsidRPr="00D140AB" w:rsidRDefault="001D71D1" w:rsidP="002A0C7E">
      <w:pPr>
        <w:spacing w:after="0" w:line="480" w:lineRule="auto"/>
        <w:contextualSpacing/>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We do not believe that BLS data reflect program-level student outcomes, which are the focus of the accountability framework in the regulations.  The average or percentile earnings gathered and reported by BLS for an occupation include all earnings gathered by BLS in its survey, but do not show the specific earnings of the individuals who completed a particular GE program at an institution and, therefore, would not provide useful information about whether the program prepared students for gainful employment in that </w:t>
      </w:r>
      <w:r w:rsidRPr="00D140AB">
        <w:rPr>
          <w:rFonts w:ascii="Courier New" w:hAnsi="Courier New" w:cs="Courier New"/>
          <w:sz w:val="24"/>
          <w:szCs w:val="24"/>
        </w:rPr>
        <w:lastRenderedPageBreak/>
        <w:t xml:space="preserve">occupation.  Accordingly, we decline to include an option for alternate earnings appeals that rely on BLS data. </w:t>
      </w:r>
    </w:p>
    <w:p w14:paraId="4269B35C"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5D" w14:textId="0A10BCB9"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One commenter recommended that an institution should be required to deliver any student warnings and should be subject to any other consequences under §668.410 based on a program’s final D/E rates while an appeal is pending.  The commenter expressed concern that suspending any such requirements and consequences until resolution of an appeal, as we provide in §668.406(a)(5)(ii) of the proposed regulations (§668.406(e)(2) of the final regulations), would prevent students from receiving information that may be critical to their educational decision</w:t>
      </w:r>
      <w:r w:rsidR="00521C67">
        <w:rPr>
          <w:rFonts w:ascii="Courier New" w:hAnsi="Courier New" w:cs="Courier New"/>
          <w:sz w:val="24"/>
          <w:szCs w:val="24"/>
        </w:rPr>
        <w:t xml:space="preserve"> </w:t>
      </w:r>
      <w:r w:rsidRPr="00D140AB">
        <w:rPr>
          <w:rFonts w:ascii="Courier New" w:hAnsi="Courier New" w:cs="Courier New"/>
          <w:sz w:val="24"/>
          <w:szCs w:val="24"/>
        </w:rPr>
        <w:t>making.  The commenter also proposed that an appeal, if successful, should not change a program’s results--that is, failing or in the zone--under the D/E rates measure, but should only preserve a program’s eligibility for title IV, HEA program funds for another year.</w:t>
      </w:r>
    </w:p>
    <w:p w14:paraId="4269B35E" w14:textId="47FA9402"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Although we agree that it is important </w:t>
      </w:r>
      <w:r w:rsidR="002462E7" w:rsidRPr="00D140AB">
        <w:rPr>
          <w:rFonts w:ascii="Courier New" w:hAnsi="Courier New" w:cs="Courier New"/>
          <w:sz w:val="24"/>
          <w:szCs w:val="24"/>
        </w:rPr>
        <w:t>for</w:t>
      </w:r>
      <w:r w:rsidRPr="00D140AB">
        <w:rPr>
          <w:rFonts w:ascii="Courier New" w:hAnsi="Courier New" w:cs="Courier New"/>
          <w:sz w:val="24"/>
          <w:szCs w:val="24"/>
        </w:rPr>
        <w:t xml:space="preserve"> students and prospective students </w:t>
      </w:r>
      <w:r w:rsidR="002462E7" w:rsidRPr="00D140AB">
        <w:rPr>
          <w:rFonts w:ascii="Courier New" w:hAnsi="Courier New" w:cs="Courier New"/>
          <w:sz w:val="24"/>
          <w:szCs w:val="24"/>
        </w:rPr>
        <w:t xml:space="preserve">to receive </w:t>
      </w:r>
      <w:r w:rsidRPr="00D140AB">
        <w:rPr>
          <w:rFonts w:ascii="Courier New" w:hAnsi="Courier New" w:cs="Courier New"/>
          <w:sz w:val="24"/>
          <w:szCs w:val="24"/>
        </w:rPr>
        <w:t>important information about a GE program’s student outcomes</w:t>
      </w:r>
      <w:r w:rsidR="002462E7" w:rsidRPr="00D140AB">
        <w:rPr>
          <w:rFonts w:ascii="Courier New" w:hAnsi="Courier New" w:cs="Courier New"/>
          <w:sz w:val="24"/>
          <w:szCs w:val="24"/>
        </w:rPr>
        <w:t xml:space="preserve"> </w:t>
      </w:r>
      <w:r w:rsidR="00910BAE">
        <w:rPr>
          <w:rFonts w:ascii="Courier New" w:hAnsi="Courier New" w:cs="Courier New"/>
          <w:sz w:val="24"/>
          <w:szCs w:val="24"/>
        </w:rPr>
        <w:t xml:space="preserve">in a </w:t>
      </w:r>
      <w:r w:rsidR="002462E7" w:rsidRPr="00D140AB">
        <w:rPr>
          <w:rFonts w:ascii="Courier New" w:hAnsi="Courier New" w:cs="Courier New"/>
          <w:sz w:val="24"/>
          <w:szCs w:val="24"/>
        </w:rPr>
        <w:t>timely</w:t>
      </w:r>
      <w:r w:rsidR="00910BAE">
        <w:rPr>
          <w:rFonts w:ascii="Courier New" w:hAnsi="Courier New" w:cs="Courier New"/>
          <w:sz w:val="24"/>
          <w:szCs w:val="24"/>
        </w:rPr>
        <w:t xml:space="preserve"> manner</w:t>
      </w:r>
      <w:r w:rsidRPr="00D140AB">
        <w:rPr>
          <w:rFonts w:ascii="Courier New" w:hAnsi="Courier New" w:cs="Courier New"/>
          <w:sz w:val="24"/>
          <w:szCs w:val="24"/>
        </w:rPr>
        <w:t xml:space="preserve">, we continue to believe that it is not appropriate to sanction an institution on the basis of D/E rates that are under </w:t>
      </w:r>
      <w:r w:rsidR="00FE42EA" w:rsidRPr="00D140AB">
        <w:rPr>
          <w:rFonts w:ascii="Courier New" w:hAnsi="Courier New" w:cs="Courier New"/>
          <w:sz w:val="24"/>
          <w:szCs w:val="24"/>
        </w:rPr>
        <w:t xml:space="preserve">administrative </w:t>
      </w:r>
      <w:r w:rsidRPr="00D140AB">
        <w:rPr>
          <w:rFonts w:ascii="Courier New" w:hAnsi="Courier New" w:cs="Courier New"/>
          <w:sz w:val="24"/>
          <w:szCs w:val="24"/>
        </w:rPr>
        <w:t xml:space="preserve">appeal.  The purpose of the </w:t>
      </w:r>
      <w:r w:rsidR="00E611A3" w:rsidRPr="00D140AB">
        <w:rPr>
          <w:rFonts w:ascii="Courier New" w:hAnsi="Courier New" w:cs="Courier New"/>
          <w:sz w:val="24"/>
          <w:szCs w:val="24"/>
        </w:rPr>
        <w:t xml:space="preserve">administrative </w:t>
      </w:r>
      <w:r w:rsidRPr="00D140AB">
        <w:rPr>
          <w:rFonts w:ascii="Courier New" w:hAnsi="Courier New" w:cs="Courier New"/>
          <w:sz w:val="24"/>
          <w:szCs w:val="24"/>
        </w:rPr>
        <w:t xml:space="preserve">appeal is to </w:t>
      </w:r>
      <w:r w:rsidR="002462E7" w:rsidRPr="00D140AB">
        <w:rPr>
          <w:rFonts w:ascii="Courier New" w:hAnsi="Courier New" w:cs="Courier New"/>
          <w:sz w:val="24"/>
          <w:szCs w:val="24"/>
        </w:rPr>
        <w:t xml:space="preserve">allow </w:t>
      </w:r>
      <w:r w:rsidRPr="00D140AB">
        <w:rPr>
          <w:rFonts w:ascii="Courier New" w:hAnsi="Courier New" w:cs="Courier New"/>
          <w:sz w:val="24"/>
          <w:szCs w:val="24"/>
        </w:rPr>
        <w:t xml:space="preserve">an institution to demonstrate that, based on alternate earnings </w:t>
      </w:r>
      <w:r w:rsidRPr="00D140AB">
        <w:rPr>
          <w:rFonts w:ascii="Courier New" w:hAnsi="Courier New" w:cs="Courier New"/>
          <w:sz w:val="24"/>
          <w:szCs w:val="24"/>
        </w:rPr>
        <w:lastRenderedPageBreak/>
        <w:t xml:space="preserve">data, a program’s final D/E rates, calculated using SSA earnings data, warrant revision.  To make the </w:t>
      </w:r>
      <w:r w:rsidR="00FE42EA" w:rsidRPr="00D140AB">
        <w:rPr>
          <w:rFonts w:ascii="Courier New" w:hAnsi="Courier New" w:cs="Courier New"/>
          <w:sz w:val="24"/>
          <w:szCs w:val="24"/>
        </w:rPr>
        <w:t xml:space="preserve">administrative </w:t>
      </w:r>
      <w:r w:rsidRPr="00D140AB">
        <w:rPr>
          <w:rFonts w:ascii="Courier New" w:hAnsi="Courier New" w:cs="Courier New"/>
          <w:sz w:val="24"/>
          <w:szCs w:val="24"/>
        </w:rPr>
        <w:t xml:space="preserve">appeal meaningful, we do not believe that institutions should be subject to the consequences of </w:t>
      </w:r>
      <w:r w:rsidR="002462E7" w:rsidRPr="00D140AB">
        <w:rPr>
          <w:rFonts w:ascii="Courier New" w:hAnsi="Courier New" w:cs="Courier New"/>
          <w:sz w:val="24"/>
          <w:szCs w:val="24"/>
        </w:rPr>
        <w:t xml:space="preserve">failing or zone </w:t>
      </w:r>
      <w:r w:rsidRPr="00D140AB">
        <w:rPr>
          <w:rFonts w:ascii="Courier New" w:hAnsi="Courier New" w:cs="Courier New"/>
          <w:sz w:val="24"/>
          <w:szCs w:val="24"/>
        </w:rPr>
        <w:t>D/E rates</w:t>
      </w:r>
      <w:r w:rsidR="00910BAE">
        <w:rPr>
          <w:rFonts w:ascii="Courier New" w:hAnsi="Courier New" w:cs="Courier New"/>
          <w:sz w:val="24"/>
          <w:szCs w:val="24"/>
        </w:rPr>
        <w:t xml:space="preserve"> </w:t>
      </w:r>
      <w:r w:rsidRPr="00D140AB">
        <w:rPr>
          <w:rFonts w:ascii="Courier New" w:hAnsi="Courier New" w:cs="Courier New"/>
          <w:sz w:val="24"/>
          <w:szCs w:val="24"/>
        </w:rPr>
        <w:t>during the limited appeal period.  We also believe it could potentially be confusing and harmful to students and prospective students to receive student warnings from an institution that is ultimately successful in its</w:t>
      </w:r>
      <w:r w:rsidR="00E611A3" w:rsidRPr="00D140AB">
        <w:rPr>
          <w:rFonts w:ascii="Courier New" w:hAnsi="Courier New" w:cs="Courier New"/>
          <w:sz w:val="24"/>
          <w:szCs w:val="24"/>
        </w:rPr>
        <w:t xml:space="preserve"> administrative</w:t>
      </w:r>
      <w:r w:rsidRPr="00D140AB">
        <w:rPr>
          <w:rFonts w:ascii="Courier New" w:hAnsi="Courier New" w:cs="Courier New"/>
          <w:sz w:val="24"/>
          <w:szCs w:val="24"/>
        </w:rPr>
        <w:t xml:space="preserve"> appeal.  We note that, under §668.405(g)(3) and §668.406(e)(2) of the final regulations, the Secretary may publish final D/E rates once they are issued pursuant to a notice of determination, with an annotation if those rates are under </w:t>
      </w:r>
      <w:r w:rsidR="00FE42EA" w:rsidRPr="00D140AB">
        <w:rPr>
          <w:rFonts w:ascii="Courier New" w:hAnsi="Courier New" w:cs="Courier New"/>
          <w:sz w:val="24"/>
          <w:szCs w:val="24"/>
        </w:rPr>
        <w:t xml:space="preserve">administrative </w:t>
      </w:r>
      <w:r w:rsidRPr="00D140AB">
        <w:rPr>
          <w:rFonts w:ascii="Courier New" w:hAnsi="Courier New" w:cs="Courier New"/>
          <w:sz w:val="24"/>
          <w:szCs w:val="24"/>
        </w:rPr>
        <w:t>appeal.  Accordingly, we expect that final D/E rates will be available to inform the decision</w:t>
      </w:r>
      <w:r w:rsidR="000D3497">
        <w:rPr>
          <w:rFonts w:ascii="Courier New" w:hAnsi="Courier New" w:cs="Courier New"/>
          <w:sz w:val="24"/>
          <w:szCs w:val="24"/>
        </w:rPr>
        <w:t xml:space="preserve"> </w:t>
      </w:r>
      <w:r w:rsidRPr="00D140AB">
        <w:rPr>
          <w:rFonts w:ascii="Courier New" w:hAnsi="Courier New" w:cs="Courier New"/>
          <w:sz w:val="24"/>
          <w:szCs w:val="24"/>
        </w:rPr>
        <w:t xml:space="preserve">making of students and prospective students, </w:t>
      </w:r>
      <w:r w:rsidR="002462E7" w:rsidRPr="00D140AB">
        <w:rPr>
          <w:rFonts w:ascii="Courier New" w:hAnsi="Courier New" w:cs="Courier New"/>
          <w:sz w:val="24"/>
          <w:szCs w:val="24"/>
        </w:rPr>
        <w:t>even during an</w:t>
      </w:r>
      <w:r w:rsidRPr="00D140AB">
        <w:rPr>
          <w:rFonts w:ascii="Courier New" w:hAnsi="Courier New" w:cs="Courier New"/>
          <w:sz w:val="24"/>
          <w:szCs w:val="24"/>
        </w:rPr>
        <w:t xml:space="preserve"> </w:t>
      </w:r>
      <w:r w:rsidR="00FE42EA" w:rsidRPr="00D140AB">
        <w:rPr>
          <w:rFonts w:ascii="Courier New" w:hAnsi="Courier New" w:cs="Courier New"/>
          <w:sz w:val="24"/>
          <w:szCs w:val="24"/>
        </w:rPr>
        <w:t xml:space="preserve">administrative </w:t>
      </w:r>
      <w:r w:rsidRPr="00D140AB">
        <w:rPr>
          <w:rFonts w:ascii="Courier New" w:hAnsi="Courier New" w:cs="Courier New"/>
          <w:sz w:val="24"/>
          <w:szCs w:val="24"/>
        </w:rPr>
        <w:t xml:space="preserve">appeal.   </w:t>
      </w:r>
    </w:p>
    <w:p w14:paraId="4269B35F" w14:textId="5E87C3C6"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In addition, we believe that a successful appeal should result in a change in a program’s final D/E rates.  The purpose of the alternate earnings appeal process is to </w:t>
      </w:r>
      <w:r w:rsidR="00E376C5" w:rsidRPr="00D140AB">
        <w:rPr>
          <w:rFonts w:ascii="Courier New" w:hAnsi="Courier New" w:cs="Courier New"/>
          <w:sz w:val="24"/>
          <w:szCs w:val="24"/>
        </w:rPr>
        <w:t xml:space="preserve">allow </w:t>
      </w:r>
      <w:r w:rsidRPr="00D140AB">
        <w:rPr>
          <w:rFonts w:ascii="Courier New" w:hAnsi="Courier New" w:cs="Courier New"/>
          <w:sz w:val="24"/>
          <w:szCs w:val="24"/>
        </w:rPr>
        <w:t xml:space="preserve">institutions to demonstrate that any difference between the mean or median annual earnings the Secretary obtained from SSA and the mean or median annual earnings from a survey or State-sponsored database warrants revision of the D/E rates.  If an institution is able to demonstrate that, with alternate earnings data, a program would have passed the D/E rates measure, the </w:t>
      </w:r>
      <w:r w:rsidRPr="00D140AB">
        <w:rPr>
          <w:rFonts w:ascii="Courier New" w:hAnsi="Courier New" w:cs="Courier New"/>
          <w:sz w:val="24"/>
          <w:szCs w:val="24"/>
        </w:rPr>
        <w:lastRenderedPageBreak/>
        <w:t>program should have all benefits of a passing program under the regulations.</w:t>
      </w:r>
    </w:p>
    <w:p w14:paraId="4269B360"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61" w14:textId="39A7A63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Two commenters asked the Department to provide institutions a period longer than three business days after the issuance of a program’s final D/E rates to give notice of intent to file an alternate earnings appeal.  One commenter proposed a period of 15 days after issuance of the final D/E rates.  The commenters believed that the time provided in the proposed regulations is not sufficient to complete review of a program’s D/E rates. </w:t>
      </w:r>
    </w:p>
    <w:p w14:paraId="4269B362" w14:textId="256DF51F"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Section 668.406(a)(5)(i)(A) of the proposed regulations provide</w:t>
      </w:r>
      <w:r w:rsidR="00D67F0A" w:rsidRPr="00D140AB">
        <w:rPr>
          <w:rFonts w:ascii="Courier New" w:hAnsi="Courier New" w:cs="Courier New"/>
          <w:sz w:val="24"/>
          <w:szCs w:val="24"/>
        </w:rPr>
        <w:t>d</w:t>
      </w:r>
      <w:r w:rsidRPr="00D140AB">
        <w:rPr>
          <w:rFonts w:ascii="Courier New" w:hAnsi="Courier New" w:cs="Courier New"/>
          <w:sz w:val="24"/>
          <w:szCs w:val="24"/>
        </w:rPr>
        <w:t xml:space="preserve"> that, to pursue an alternate earnings appeal, an institution would notify the Secretary of its intent to submit an appeal no earlier than the date the Secretary provides the institution with the GE program’s draft D/E rates and no later than three business days after the Secretary issues the program’s final D/E rates.  In other words, although an appeal is made based on a program’s final D/E rates, an institution can give notice of its intent to submit an appeal as soon as it receives draft D/E rates.  Under §668.405, a program’s final D/E rates are not issued until the later of the expiration of a 45-day period in which an institution may challenge the accuracy of the loan debt information the </w:t>
      </w:r>
      <w:r w:rsidRPr="00D140AB">
        <w:rPr>
          <w:rFonts w:ascii="Courier New" w:hAnsi="Courier New" w:cs="Courier New"/>
          <w:sz w:val="24"/>
          <w:szCs w:val="24"/>
        </w:rPr>
        <w:lastRenderedPageBreak/>
        <w:t xml:space="preserve">Secretary used to calculate the median loan debt for the program and the date on which any such challenge is resolved.  Accordingly, under the proposed regulations, the window during which an institution may submit notice of its intent to submit an alternate earnings appeal would not be, as suggested by the commenters, limited to the three-day period after the issuance of the final D/E rates.  Rather, an institution would have, at a minimum, the 48-day period after draft D/E rates are issued.  We believe that draft D/E rates provide an institution with sufficient information to determine whether to submit an alternate earnings appeal.  We also believe that a 48-day minimum period to give notice of intent to submit an appeal adequately balances the Department’s interests in ensuring that a program’s final D/E rates are available to prospective students and students at the earliest date possible and providing institutions with a meaningful opportunity to appeal.  Nonetheless, we appreciate that some institutions may not be able to give notice of intent to appeal until final D/E rates have been issued.  To provide institutions with adequate time to decide whether to pursue an alternate earnings appeal, and if so, to communicate that intention, while still ensuring that the Department can promptly disclose the program’s final D/E rates to the public, we </w:t>
      </w:r>
      <w:r w:rsidR="00002EF8" w:rsidRPr="00D140AB">
        <w:rPr>
          <w:rFonts w:ascii="Courier New" w:hAnsi="Courier New" w:cs="Courier New"/>
          <w:sz w:val="24"/>
          <w:szCs w:val="24"/>
        </w:rPr>
        <w:t>are</w:t>
      </w:r>
      <w:r w:rsidRPr="00D140AB">
        <w:rPr>
          <w:rFonts w:ascii="Courier New" w:hAnsi="Courier New" w:cs="Courier New"/>
          <w:sz w:val="24"/>
          <w:szCs w:val="24"/>
        </w:rPr>
        <w:t xml:space="preserve"> revis</w:t>
      </w:r>
      <w:r w:rsidR="00002EF8" w:rsidRPr="00D140AB">
        <w:rPr>
          <w:rFonts w:ascii="Courier New" w:hAnsi="Courier New" w:cs="Courier New"/>
          <w:sz w:val="24"/>
          <w:szCs w:val="24"/>
        </w:rPr>
        <w:t>ing</w:t>
      </w:r>
      <w:r w:rsidRPr="00D140AB">
        <w:rPr>
          <w:rFonts w:ascii="Courier New" w:hAnsi="Courier New" w:cs="Courier New"/>
          <w:sz w:val="24"/>
          <w:szCs w:val="24"/>
        </w:rPr>
        <w:t xml:space="preserve"> the regulations to provide that, as in the 2011 Prior Rule, an institution has until 14 days </w:t>
      </w:r>
      <w:r w:rsidRPr="00D140AB">
        <w:rPr>
          <w:rFonts w:ascii="Courier New" w:hAnsi="Courier New" w:cs="Courier New"/>
          <w:sz w:val="24"/>
          <w:szCs w:val="24"/>
        </w:rPr>
        <w:lastRenderedPageBreak/>
        <w:t xml:space="preserve">after final D/E rates have been issued to notify the Department of its intent to submit an appeal.  </w:t>
      </w:r>
    </w:p>
    <w:p w14:paraId="4269B363" w14:textId="60BF2DB1"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revised the provision in §668.406(e)(1)(i) of the final regulations</w:t>
      </w:r>
      <w:r w:rsidR="00002EF8" w:rsidRPr="00D140AB">
        <w:rPr>
          <w:rFonts w:ascii="Courier New" w:hAnsi="Courier New" w:cs="Courier New"/>
          <w:sz w:val="24"/>
          <w:szCs w:val="24"/>
        </w:rPr>
        <w:t xml:space="preserve"> (§668.406(a)(5)(i)(a) of the proposed regulations)</w:t>
      </w:r>
      <w:r w:rsidRPr="00D140AB">
        <w:rPr>
          <w:rFonts w:ascii="Courier New" w:hAnsi="Courier New" w:cs="Courier New"/>
          <w:sz w:val="24"/>
          <w:szCs w:val="24"/>
        </w:rPr>
        <w:t xml:space="preserve">, to require an institution to notify the Secretary of its intent to submit an alternate earnings appeal no later than 14 days after the </w:t>
      </w:r>
      <w:r w:rsidR="00002EF8" w:rsidRPr="00D140AB">
        <w:rPr>
          <w:rFonts w:ascii="Courier New" w:hAnsi="Courier New" w:cs="Courier New"/>
          <w:sz w:val="24"/>
          <w:szCs w:val="24"/>
        </w:rPr>
        <w:t>Secretary issues the notice of determination</w:t>
      </w:r>
      <w:r w:rsidRPr="00D140AB">
        <w:rPr>
          <w:rFonts w:ascii="Courier New" w:hAnsi="Courier New" w:cs="Courier New"/>
          <w:sz w:val="24"/>
          <w:szCs w:val="24"/>
        </w:rPr>
        <w:t>.</w:t>
      </w:r>
    </w:p>
    <w:p w14:paraId="4269B364"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Two commenters asked the Department to give institutions a period longer than 60 days after the issuance of a program’s final D/E rates to submit the documentation required for an alternate earnings appeal.  One of the commenters proposed 120 days.  The commenters believed that the time provided is not sufficient to meet the requirements of an appeal. </w:t>
      </w:r>
    </w:p>
    <w:p w14:paraId="4269B365" w14:textId="7FCAD689"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Under §668.405, a program’s final D/E rates are not issued until the later of the expiration of a 45-day period after draft D/E rates are issued, during which an institution may challenge the accuracy of the loan debt information used to calculate the median loan debt for the program, and the date on which any such challenge is resolved.  The period available to an institution to take all steps required to submit an alternate earnings appeal is not, as suggested by some of the commenters, limited to the 60-day period after the issuance of the final D/E </w:t>
      </w:r>
      <w:r w:rsidRPr="00D140AB">
        <w:rPr>
          <w:rFonts w:ascii="Courier New" w:hAnsi="Courier New" w:cs="Courier New"/>
          <w:sz w:val="24"/>
          <w:szCs w:val="24"/>
        </w:rPr>
        <w:lastRenderedPageBreak/>
        <w:t xml:space="preserve">rates.  As we note previously, draft D/E rates </w:t>
      </w:r>
      <w:r w:rsidR="00002EF8" w:rsidRPr="00D140AB">
        <w:rPr>
          <w:rFonts w:ascii="Courier New" w:hAnsi="Courier New" w:cs="Courier New"/>
          <w:sz w:val="24"/>
          <w:szCs w:val="24"/>
        </w:rPr>
        <w:t xml:space="preserve">should </w:t>
      </w:r>
      <w:r w:rsidRPr="00D140AB">
        <w:rPr>
          <w:rFonts w:ascii="Courier New" w:hAnsi="Courier New" w:cs="Courier New"/>
          <w:sz w:val="24"/>
          <w:szCs w:val="24"/>
        </w:rPr>
        <w:t xml:space="preserve">provide an institution with sufficient information to determine whether it intends to submit an alternate earnings appeal.  Consequently, an institution has, at a minimum, the 45-day period after draft D/E rates are issued, together with the 60 days after issuance of final D/E rates, or 105 days </w:t>
      </w:r>
      <w:r w:rsidR="009D35D4">
        <w:rPr>
          <w:rFonts w:ascii="Courier New" w:hAnsi="Courier New" w:cs="Courier New"/>
          <w:sz w:val="24"/>
          <w:szCs w:val="24"/>
        </w:rPr>
        <w:t xml:space="preserve">in total </w:t>
      </w:r>
      <w:r w:rsidRPr="00D140AB">
        <w:rPr>
          <w:rFonts w:ascii="Courier New" w:hAnsi="Courier New" w:cs="Courier New"/>
          <w:sz w:val="24"/>
          <w:szCs w:val="24"/>
        </w:rPr>
        <w:t xml:space="preserve">to submit the documentation required for an alternate earnings appeal.  </w:t>
      </w:r>
    </w:p>
    <w:p w14:paraId="4269B366" w14:textId="23955436"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rPr>
        <w:tab/>
        <w:t xml:space="preserve">An institution also has the option to begin its alternate earnings survey or collection of data from State-sponsored data systems well before the Secretary provides the institution with its draft D/E rates.  For example, assume that the first award year for which D/E rates could be issued is award year 2014-2015.  Those rates would be based on the outcomes of students who completed a GE program in award years 2010-2011 and 2011-2012 for a two-year cohort period, and 2008-2009, 2009-2010, 2010-2011, and 2011-2012 for a four-year cohort period.  SSA would provide to the Department data on the students’ earnings for calendar year 2014 in early 2016, approximately 13 months after the end of calendar year 2014.  Those earnings data would be used to calculate the D/E rates for award year 2014-2015, and draft rates would be issued shortly after the final earnings data are obtained from SSA.  Under our anticipated timeline, an institution that receives draft D/E rates that are in the zone or failing for award year 2014-2015 would receive those draft </w:t>
      </w:r>
      <w:r w:rsidRPr="00D140AB">
        <w:rPr>
          <w:rFonts w:ascii="Courier New" w:hAnsi="Courier New" w:cs="Courier New"/>
          <w:sz w:val="24"/>
          <w:szCs w:val="24"/>
        </w:rPr>
        <w:lastRenderedPageBreak/>
        <w:t xml:space="preserve">rates early in 2016.  An institution that wished to conduct a survey to support a potential alternate earnings appeal of its D/E rates for award year 2014-2015 would base its appeal on student earnings during calendar year 2014.  Students who completed the GE program would know by early 2015 how much they earned in 2014, and could be surveyed, as early as the beginning of 2015--more than a full year before the Department would issue final D/E rates for award year 2014-2015.  </w:t>
      </w:r>
    </w:p>
    <w:p w14:paraId="4269B367" w14:textId="750D804D" w:rsidR="001D71D1" w:rsidRPr="00D140AB" w:rsidRDefault="008D7E01" w:rsidP="002A0C7E">
      <w:pPr>
        <w:spacing w:after="0" w:line="480" w:lineRule="auto"/>
        <w:contextualSpacing/>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We believe the regulations provide sufficient time to permit an institution to conduct an earnings survey or collect State earnings data and submit an alternate earnings appeal.  To permit more time would further delay the receipt by students and prospective students of critical information about program outcomes and unnecessarily increase the risk that more students would invest their time and money, and their limited eligibility for title IV, HEA program funds, in a program that does not meet the minimum standards of the regulations.</w:t>
      </w:r>
    </w:p>
    <w:p w14:paraId="4269B368"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None.</w:t>
      </w:r>
    </w:p>
    <w:p w14:paraId="4269B369" w14:textId="77777777" w:rsidR="001D71D1" w:rsidRPr="00D140AB" w:rsidRDefault="001D71D1" w:rsidP="002A0C7E">
      <w:pPr>
        <w:spacing w:after="0" w:line="480" w:lineRule="auto"/>
        <w:rPr>
          <w:rFonts w:ascii="Courier New" w:hAnsi="Courier New" w:cs="Courier New"/>
          <w:sz w:val="24"/>
          <w:szCs w:val="24"/>
          <w:u w:val="single"/>
        </w:rPr>
      </w:pPr>
      <w:r w:rsidRPr="00D140AB">
        <w:rPr>
          <w:rFonts w:ascii="Courier New" w:hAnsi="Courier New" w:cs="Courier New"/>
          <w:sz w:val="24"/>
          <w:szCs w:val="24"/>
          <w:u w:val="single"/>
        </w:rPr>
        <w:t>Comments</w:t>
      </w:r>
      <w:r w:rsidRPr="00D140AB">
        <w:rPr>
          <w:rFonts w:ascii="Courier New" w:hAnsi="Courier New" w:cs="Courier New"/>
          <w:sz w:val="24"/>
          <w:szCs w:val="24"/>
        </w:rPr>
        <w:t>:  None.</w:t>
      </w:r>
    </w:p>
    <w:p w14:paraId="4269B36A" w14:textId="3EA5C64C"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Section 668.406(a)(3)(i) of the </w:t>
      </w:r>
      <w:r w:rsidR="00002EF8" w:rsidRPr="00D140AB">
        <w:rPr>
          <w:rFonts w:ascii="Courier New" w:hAnsi="Courier New" w:cs="Courier New"/>
          <w:sz w:val="24"/>
          <w:szCs w:val="24"/>
        </w:rPr>
        <w:t xml:space="preserve">proposed </w:t>
      </w:r>
      <w:r w:rsidRPr="00D140AB">
        <w:rPr>
          <w:rFonts w:ascii="Courier New" w:hAnsi="Courier New" w:cs="Courier New"/>
          <w:sz w:val="24"/>
          <w:szCs w:val="24"/>
        </w:rPr>
        <w:t>regulations provide</w:t>
      </w:r>
      <w:r w:rsidR="00002EF8" w:rsidRPr="00D140AB">
        <w:rPr>
          <w:rFonts w:ascii="Courier New" w:hAnsi="Courier New" w:cs="Courier New"/>
          <w:sz w:val="24"/>
          <w:szCs w:val="24"/>
        </w:rPr>
        <w:t>d</w:t>
      </w:r>
      <w:r w:rsidRPr="00D140AB">
        <w:rPr>
          <w:rFonts w:ascii="Courier New" w:hAnsi="Courier New" w:cs="Courier New"/>
          <w:sz w:val="24"/>
          <w:szCs w:val="24"/>
        </w:rPr>
        <w:t xml:space="preserve"> that NCES will develop a valid survey instrument targeted at the universe of applicable students who complete a program.  We have determined that a pilot-tested universe survey, rather than a field-tested sample survey, as provided in the proposed regulations, is the appropriate vehicle to understand the appropriateness of the survey items and the order in which they are presented.  While a field test implies a large-scale, nationally representative survey that is the precursor to a full-scale survey administration, and evaluates the operational aspects of a data collection as well as the survey items themselves, a pilot test is smaller and is more geared towards evaluating the survey items, rather than the operational procedures, as is more appropriate for these purposes. </w:t>
      </w:r>
    </w:p>
    <w:p w14:paraId="4269B36B" w14:textId="566B0DD0" w:rsidR="001D71D1" w:rsidRPr="00D140AB" w:rsidRDefault="008D7E01" w:rsidP="002A0C7E">
      <w:pPr>
        <w:spacing w:after="0" w:line="480" w:lineRule="auto"/>
        <w:rPr>
          <w:rFonts w:ascii="Courier New" w:hAnsi="Courier New" w:cs="Courier New"/>
          <w:color w:val="000000"/>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Although institutions are not required to use the exact Earnings Survey Form provided by NCES, we believe that institutions should use the same survey items and should present them in the same order as presented in the Earnings Survey Form to ensure that the pilot-tested survey items are effectively implemented.  We note that, </w:t>
      </w:r>
      <w:r w:rsidR="001D71D1" w:rsidRPr="00D140AB">
        <w:rPr>
          <w:rFonts w:ascii="Courier New" w:hAnsi="Courier New" w:cs="Courier New"/>
          <w:color w:val="000000"/>
          <w:sz w:val="24"/>
          <w:szCs w:val="24"/>
        </w:rPr>
        <w:t xml:space="preserve">as we stated in the NPRM, the NCES Earnings Survey Form will be made available for public comment before it is implemented in connection with the approval process under the Paperwork Reduction Act of 1995.  </w:t>
      </w:r>
    </w:p>
    <w:p w14:paraId="4269B36C" w14:textId="41F455D6"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revised the provision in §668.406(c)(1) of the final regulations</w:t>
      </w:r>
      <w:r w:rsidR="00002EF8" w:rsidRPr="00D140AB">
        <w:rPr>
          <w:rFonts w:ascii="Courier New" w:hAnsi="Courier New" w:cs="Courier New"/>
          <w:sz w:val="24"/>
          <w:szCs w:val="24"/>
        </w:rPr>
        <w:t xml:space="preserve"> (§668.406(a)(3)(i) of the proposed regulations)</w:t>
      </w:r>
      <w:r w:rsidRPr="00D140AB">
        <w:rPr>
          <w:rFonts w:ascii="Courier New" w:hAnsi="Courier New" w:cs="Courier New"/>
          <w:sz w:val="24"/>
          <w:szCs w:val="24"/>
        </w:rPr>
        <w:t xml:space="preserve">, to specify that the Earnings Survey Form will include a pilot-tested universe survey and provide that, although </w:t>
      </w:r>
      <w:r w:rsidRPr="00D140AB">
        <w:rPr>
          <w:rFonts w:ascii="Courier New" w:eastAsia="SimSun" w:hAnsi="Courier New" w:cs="Courier New"/>
          <w:sz w:val="24"/>
          <w:szCs w:val="24"/>
          <w:lang w:eastAsia="zh-CN"/>
        </w:rPr>
        <w:t xml:space="preserve">an institution is not required to use the Earnings Survey Form, in </w:t>
      </w:r>
      <w:r w:rsidR="00837D65">
        <w:rPr>
          <w:rFonts w:ascii="Courier New" w:eastAsia="SimSun" w:hAnsi="Courier New" w:cs="Courier New"/>
          <w:sz w:val="24"/>
          <w:szCs w:val="24"/>
          <w:lang w:eastAsia="zh-CN"/>
        </w:rPr>
        <w:t>conducting a</w:t>
      </w:r>
      <w:r w:rsidRPr="00D140AB">
        <w:rPr>
          <w:rFonts w:ascii="Courier New" w:eastAsia="SimSun" w:hAnsi="Courier New" w:cs="Courier New"/>
          <w:sz w:val="24"/>
          <w:szCs w:val="24"/>
          <w:lang w:eastAsia="zh-CN"/>
        </w:rPr>
        <w:t xml:space="preserve"> survey it must </w:t>
      </w:r>
      <w:r w:rsidR="00837D65">
        <w:rPr>
          <w:rFonts w:ascii="Courier New" w:eastAsia="SimSun" w:hAnsi="Courier New" w:cs="Courier New"/>
          <w:sz w:val="24"/>
          <w:szCs w:val="24"/>
          <w:lang w:eastAsia="zh-CN"/>
        </w:rPr>
        <w:t xml:space="preserve">adhere to the survey standards and </w:t>
      </w:r>
      <w:r w:rsidRPr="00D140AB">
        <w:rPr>
          <w:rFonts w:ascii="Courier New" w:eastAsia="SimSun" w:hAnsi="Courier New" w:cs="Courier New"/>
          <w:sz w:val="24"/>
          <w:szCs w:val="24"/>
          <w:lang w:eastAsia="zh-CN"/>
        </w:rPr>
        <w:t xml:space="preserve">present </w:t>
      </w:r>
      <w:r w:rsidR="00837D65">
        <w:rPr>
          <w:rFonts w:ascii="Courier New" w:eastAsia="SimSun" w:hAnsi="Courier New" w:cs="Courier New"/>
          <w:sz w:val="24"/>
          <w:szCs w:val="24"/>
          <w:lang w:eastAsia="zh-CN"/>
        </w:rPr>
        <w:t xml:space="preserve">to the survey respondent </w:t>
      </w:r>
      <w:r w:rsidRPr="00D140AB">
        <w:rPr>
          <w:rFonts w:ascii="Courier New" w:eastAsia="SimSun" w:hAnsi="Courier New" w:cs="Courier New"/>
          <w:sz w:val="24"/>
          <w:szCs w:val="24"/>
          <w:lang w:eastAsia="zh-CN"/>
        </w:rPr>
        <w:t>in the same order and same manner</w:t>
      </w:r>
      <w:r w:rsidR="00837D65">
        <w:rPr>
          <w:rFonts w:ascii="Courier New" w:eastAsia="SimSun" w:hAnsi="Courier New" w:cs="Courier New"/>
          <w:sz w:val="24"/>
          <w:szCs w:val="24"/>
          <w:lang w:eastAsia="zh-CN"/>
        </w:rPr>
        <w:t xml:space="preserve"> the same survey items</w:t>
      </w:r>
      <w:r w:rsidRPr="00D140AB">
        <w:rPr>
          <w:rFonts w:ascii="Courier New" w:eastAsia="SimSun" w:hAnsi="Courier New" w:cs="Courier New"/>
          <w:sz w:val="24"/>
          <w:szCs w:val="24"/>
          <w:lang w:eastAsia="zh-CN"/>
        </w:rPr>
        <w:t xml:space="preserve"> </w:t>
      </w:r>
      <w:r w:rsidR="00837D65">
        <w:rPr>
          <w:rFonts w:ascii="Courier New" w:eastAsia="SimSun" w:hAnsi="Courier New" w:cs="Courier New"/>
          <w:sz w:val="24"/>
          <w:szCs w:val="24"/>
          <w:lang w:eastAsia="zh-CN"/>
        </w:rPr>
        <w:t>included</w:t>
      </w:r>
      <w:r w:rsidRPr="00D140AB">
        <w:rPr>
          <w:rFonts w:ascii="Courier New" w:eastAsia="SimSun" w:hAnsi="Courier New" w:cs="Courier New"/>
          <w:sz w:val="24"/>
          <w:szCs w:val="24"/>
          <w:lang w:eastAsia="zh-CN"/>
        </w:rPr>
        <w:t xml:space="preserve"> in the Earnings Survey Form.</w:t>
      </w:r>
    </w:p>
    <w:p w14:paraId="4269B36D"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Several commenters noted that they were unable to evaluate whether the standards for alternate earnings appeals based on survey data are appropriate because the NCES Earnings Survey Form that will include the standards will not be released until a later date.  These commenters also questioned the fairness and expense of requiring institutions to submit an independent auditor’s report with the survey results.  Another commenter suggested that a survey-based alternate earnings appeal would be too costly for small institutions.</w:t>
      </w:r>
    </w:p>
    <w:p w14:paraId="4269B36E" w14:textId="77777777"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sz w:val="24"/>
          <w:szCs w:val="24"/>
        </w:rPr>
        <w:tab/>
        <w:t>On the other hand, one commenter argued that less rigorous survey standards would not be appropriate and recommended that the Department institute additional measures to ensure that institutions do not improperly influence survey results.  Specifically, the commenter suggested that the Department conduct audits of surveys to determine if there was improper influence and require an institution’s chief executive officer to include in the required certification a statement that no actions were taken to manipulate the survey results.</w:t>
      </w:r>
    </w:p>
    <w:p w14:paraId="4269B36F" w14:textId="77777777" w:rsidR="001D71D1" w:rsidRPr="00D140AB" w:rsidRDefault="001D71D1" w:rsidP="002A0C7E">
      <w:pPr>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u w:val="single"/>
        </w:rPr>
        <w:t>Discussion</w:t>
      </w:r>
      <w:r w:rsidRPr="00D140AB">
        <w:rPr>
          <w:rFonts w:ascii="Courier New" w:hAnsi="Courier New" w:cs="Courier New"/>
          <w:color w:val="000000"/>
          <w:sz w:val="24"/>
          <w:szCs w:val="24"/>
        </w:rPr>
        <w:t>:  We appreciate the commenters’ concerns and expect that the survey standards developed by NCES will balance the need for reliable data with our intent to provide a meaningful opportunity for appeal that is economically feasible even for smaller institutions.  As we stated in the NPRM, the NCES Earnings Survey Form, including the survey standards, will be made available for public comment before it is implemented as a part of the approval process under the Paperwork Reduction Act of 1995.  At such time, the public will be able to comment on the standards and any associated burden.</w:t>
      </w:r>
    </w:p>
    <w:p w14:paraId="4269B370" w14:textId="143310B9" w:rsidR="001D71D1" w:rsidRPr="00D140AB" w:rsidRDefault="002A0C7E" w:rsidP="002A0C7E">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1D71D1" w:rsidRPr="00D140AB">
        <w:rPr>
          <w:rFonts w:ascii="Courier New" w:hAnsi="Courier New" w:cs="Courier New"/>
          <w:color w:val="000000"/>
          <w:sz w:val="24"/>
          <w:szCs w:val="24"/>
        </w:rPr>
        <w:t xml:space="preserve">NCES fulfills a congressional mandate to collect, collate, analyze, and report complete statistics on the condition of American education and develops statistical guidelines and standards that ensure proper fieldwork and reporting guidelines are followed.  NCES standards are established through an independent process so that outside organizations can rely on these guidelines.  Although the standards have not been developed for public review and comment at this time, we are confident that NCES will provide a sufficient methodology under which accurate earnings can be reported and used in calculations for appeals. </w:t>
      </w:r>
    </w:p>
    <w:p w14:paraId="4269B371" w14:textId="512FCFF7" w:rsidR="001D71D1" w:rsidRPr="00D140AB" w:rsidRDefault="008D7E01" w:rsidP="002A0C7E">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1D71D1" w:rsidRPr="00D140AB">
        <w:rPr>
          <w:rFonts w:ascii="Courier New" w:hAnsi="Courier New" w:cs="Courier New"/>
          <w:color w:val="000000"/>
          <w:sz w:val="24"/>
          <w:szCs w:val="24"/>
        </w:rPr>
        <w:t xml:space="preserve">To ensure that surveys are conducted in accordance with the </w:t>
      </w:r>
      <w:r w:rsidR="001D71D1" w:rsidRPr="00166073">
        <w:rPr>
          <w:rFonts w:ascii="Courier New" w:hAnsi="Courier New"/>
          <w:color w:val="000000"/>
          <w:sz w:val="24"/>
        </w:rPr>
        <w:t>standards</w:t>
      </w:r>
      <w:r w:rsidR="008A6B8E" w:rsidRPr="00166073">
        <w:rPr>
          <w:rFonts w:ascii="Courier New" w:hAnsi="Courier New"/>
          <w:color w:val="000000"/>
          <w:sz w:val="24"/>
        </w:rPr>
        <w:t xml:space="preserve"> set for the NCES Earnings Form</w:t>
      </w:r>
      <w:r w:rsidR="001D71D1" w:rsidRPr="00D140AB">
        <w:rPr>
          <w:rFonts w:ascii="Courier New" w:hAnsi="Courier New" w:cs="Courier New"/>
          <w:color w:val="000000"/>
          <w:sz w:val="24"/>
          <w:szCs w:val="24"/>
        </w:rPr>
        <w:t xml:space="preserve">, we are requiring that institutions submit in connection with a survey-based appeal an attestation engagement report prepared by an independent auditor, certifying that the survey was conducted in accordance with those standards.  We note that independent auditor certification is required by section 435(a)(5) of the HEA in a similar context--the presentation of evidence that an institution is achieving academic or placement success for low-income students as proof that an institution’s failing iCDR should not result in loss of title IV, HEA program eligibility.  20 U.S.C. 1085(a)(5).  Given NCES’ experience in developing survey standards and this independent auditor requirement, we do not think additional audit or certification requirements are necessary.  </w:t>
      </w:r>
    </w:p>
    <w:p w14:paraId="4269B372" w14:textId="06154A06" w:rsidR="001D71D1" w:rsidRPr="00D140AB" w:rsidRDefault="002A0C7E" w:rsidP="002A0C7E">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1D71D1" w:rsidRPr="00D140AB">
        <w:rPr>
          <w:rFonts w:ascii="Courier New" w:hAnsi="Courier New" w:cs="Courier New"/>
          <w:color w:val="000000"/>
          <w:sz w:val="24"/>
          <w:szCs w:val="24"/>
        </w:rPr>
        <w:t xml:space="preserve">Although use of the Earnings Survey Form is not required, we believe use of the form will streamline the process for both the institution and the party preparing the attestation engagement report.  </w:t>
      </w:r>
    </w:p>
    <w:p w14:paraId="4269B373" w14:textId="77777777" w:rsidR="001D71D1" w:rsidRPr="00D140AB" w:rsidRDefault="001D71D1" w:rsidP="002A0C7E">
      <w:pPr>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u w:val="single"/>
        </w:rPr>
        <w:t>Changes</w:t>
      </w:r>
      <w:r w:rsidRPr="00D140AB">
        <w:rPr>
          <w:rFonts w:ascii="Courier New" w:hAnsi="Courier New" w:cs="Courier New"/>
          <w:color w:val="000000"/>
          <w:sz w:val="24"/>
          <w:szCs w:val="24"/>
        </w:rPr>
        <w:t>:  None.</w:t>
      </w:r>
    </w:p>
    <w:p w14:paraId="4269B374" w14:textId="77777777" w:rsidR="001D71D1" w:rsidRPr="00D140AB" w:rsidRDefault="001D71D1" w:rsidP="002A0C7E">
      <w:pPr>
        <w:spacing w:after="0" w:line="480" w:lineRule="auto"/>
        <w:rPr>
          <w:rFonts w:ascii="Courier New" w:hAnsi="Courier New" w:cs="Courier New"/>
          <w:b/>
          <w:bCs/>
          <w:color w:val="000000"/>
          <w:sz w:val="24"/>
          <w:szCs w:val="24"/>
        </w:rPr>
      </w:pPr>
      <w:r w:rsidRPr="00D140AB">
        <w:rPr>
          <w:rFonts w:ascii="Courier New" w:hAnsi="Courier New" w:cs="Courier New"/>
          <w:color w:val="000000"/>
          <w:sz w:val="24"/>
          <w:szCs w:val="24"/>
          <w:u w:val="single"/>
        </w:rPr>
        <w:t>Comments</w:t>
      </w:r>
      <w:r w:rsidRPr="00D140AB">
        <w:rPr>
          <w:rFonts w:ascii="Courier New" w:hAnsi="Courier New" w:cs="Courier New"/>
          <w:bCs/>
          <w:color w:val="000000"/>
          <w:sz w:val="24"/>
          <w:szCs w:val="24"/>
        </w:rPr>
        <w:t>:</w:t>
      </w:r>
      <w:r w:rsidRPr="00D140AB">
        <w:rPr>
          <w:rFonts w:ascii="Courier New" w:hAnsi="Courier New" w:cs="Courier New"/>
          <w:b/>
          <w:bCs/>
          <w:color w:val="000000"/>
          <w:sz w:val="24"/>
          <w:szCs w:val="24"/>
        </w:rPr>
        <w:t xml:space="preserve">  </w:t>
      </w:r>
      <w:r w:rsidRPr="00D140AB">
        <w:rPr>
          <w:rFonts w:ascii="Courier New" w:hAnsi="Courier New" w:cs="Courier New"/>
          <w:bCs/>
          <w:color w:val="000000"/>
          <w:sz w:val="24"/>
          <w:szCs w:val="24"/>
        </w:rPr>
        <w:t>Several commenters expressed support for the option to base an alternate earnings appeal on earnings data obtained from State-sponsored databases, noting that this option would increase the likelihood that an institution may successfully appeal a program’s D/E rates.  One commenter suggested that this option was particularly useful for programs that prepare students for employment in industries where earnings are often underreported.  However, another commenter questioned why the Department would include this appeal option given the flaws cited in the NPRM with this approach, such as the potential inaccessibility and incompleteness of these databases.</w:t>
      </w:r>
    </w:p>
    <w:p w14:paraId="4269B375" w14:textId="6D18349B" w:rsidR="001D71D1" w:rsidRPr="00D140AB" w:rsidRDefault="001D71D1" w:rsidP="002A0C7E">
      <w:pPr>
        <w:spacing w:after="0" w:line="480" w:lineRule="auto"/>
        <w:rPr>
          <w:rFonts w:ascii="Courier New" w:hAnsi="Courier New" w:cs="Courier New"/>
          <w:sz w:val="24"/>
          <w:szCs w:val="24"/>
        </w:rPr>
      </w:pPr>
      <w:r w:rsidRPr="00D140AB">
        <w:rPr>
          <w:rFonts w:ascii="Courier New" w:hAnsi="Courier New" w:cs="Courier New"/>
          <w:color w:val="000000"/>
          <w:sz w:val="24"/>
          <w:szCs w:val="24"/>
          <w:u w:val="single"/>
        </w:rPr>
        <w:t>Discussion</w:t>
      </w:r>
      <w:r w:rsidRPr="00D140AB">
        <w:rPr>
          <w:rFonts w:ascii="Courier New" w:hAnsi="Courier New" w:cs="Courier New"/>
          <w:color w:val="000000"/>
          <w:sz w:val="24"/>
          <w:szCs w:val="24"/>
        </w:rPr>
        <w:t xml:space="preserve">:  </w:t>
      </w:r>
      <w:r w:rsidRPr="00D140AB">
        <w:rPr>
          <w:rFonts w:ascii="Courier New" w:hAnsi="Courier New" w:cs="Courier New"/>
          <w:sz w:val="24"/>
          <w:szCs w:val="24"/>
        </w:rPr>
        <w:t xml:space="preserve">As one commenter noted, and as described in more detail in the NPRM, we believe that there are limitations of State earnings data, notably relating to accessibility and the lack of uniformity in data collected on a State-by-State basis.  However, as other commenters noted, the alternate earnings appeal using State earnings data provides institutions with a second appeal option.  </w:t>
      </w:r>
      <w:r w:rsidR="00BA0581" w:rsidRPr="00D140AB">
        <w:rPr>
          <w:rFonts w:ascii="Courier New" w:hAnsi="Courier New" w:cs="Courier New"/>
          <w:sz w:val="24"/>
          <w:szCs w:val="24"/>
        </w:rPr>
        <w:t>T</w:t>
      </w:r>
      <w:r w:rsidRPr="00D140AB">
        <w:rPr>
          <w:rFonts w:ascii="Courier New" w:hAnsi="Courier New" w:cs="Courier New"/>
          <w:sz w:val="24"/>
          <w:szCs w:val="24"/>
        </w:rPr>
        <w:t>his option may be useful to those institutions that already have, or may subsequently implement, processes and procedures to access State earnings data.  Further, we believe that the matching requirements of the State earnings appeal option will make it more likely that the earnings data on which the appeal is based are reliable and representative of student outcomes.</w:t>
      </w:r>
    </w:p>
    <w:p w14:paraId="4269B376" w14:textId="77777777" w:rsidR="001D71D1" w:rsidRPr="00D140AB" w:rsidRDefault="001D71D1" w:rsidP="002A0C7E">
      <w:pPr>
        <w:spacing w:after="0" w:line="480" w:lineRule="auto"/>
        <w:rPr>
          <w:rFonts w:ascii="Courier New" w:hAnsi="Courier New" w:cs="Courier New"/>
          <w:color w:val="000000"/>
          <w:sz w:val="24"/>
          <w:szCs w:val="24"/>
        </w:rPr>
      </w:pPr>
      <w:r w:rsidRPr="00D140AB">
        <w:rPr>
          <w:rFonts w:ascii="Courier New" w:hAnsi="Courier New" w:cs="Courier New"/>
          <w:color w:val="000000"/>
          <w:sz w:val="24"/>
          <w:szCs w:val="24"/>
          <w:u w:val="single"/>
        </w:rPr>
        <w:t>Changes</w:t>
      </w:r>
      <w:r w:rsidRPr="00D140AB">
        <w:rPr>
          <w:rFonts w:ascii="Courier New" w:hAnsi="Courier New" w:cs="Courier New"/>
          <w:color w:val="000000"/>
          <w:sz w:val="24"/>
          <w:szCs w:val="24"/>
        </w:rPr>
        <w:t>:  None.</w:t>
      </w:r>
    </w:p>
    <w:p w14:paraId="4269B377" w14:textId="6C90560C"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Comments</w:t>
      </w:r>
      <w:r w:rsidRPr="00D140AB">
        <w:rPr>
          <w:rFonts w:ascii="Courier New" w:hAnsi="Courier New" w:cs="Courier New"/>
          <w:sz w:val="24"/>
          <w:szCs w:val="24"/>
        </w:rPr>
        <w:t xml:space="preserve">:  We received a number of comments both in support of, and opposed to, our proposal to allow an institution to submit, for a program that is failing or in the zone under the D/E rates measure, a mitigating circumstances showing regarding the level of borrowing in the program.  As proposed in the NPRM, an institution would show that less than 50 percent of all individuals who completed the program during the cohort period, both those individuals who received title IV, HEA program funds and those who did not, incurred any loan debt for enrollment in the program.  A GE program that could make this showing successfully would be deemed to pass the D/E rates measure. </w:t>
      </w:r>
    </w:p>
    <w:p w14:paraId="4269B378" w14:textId="443402E7"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tab/>
        <w:t>Commenters who supported the showing of mitigating circumstances argued that programs for which fewer than 50 percent of individuals enrolled in the program incur debt pose low risk to students and taxpayers.  Further, these commenters urged the Department to go beyond a showing of mitigating circumstances and exempt such programs from evaluation under the accountability metrics altogether.  A subset of these commenters proposed other requirements that a program would have to meet to qualify for an up-front exemption based on borrowing levels, for example, requiring that tuition and fees are set below the maximum Pell Grant amount.  The commenters argued that an up-front exemption for “low risk” programs would lessen the burden on institutions and the Department.  These commenters stated that low-cost, open-access institutions serve high numbers of low-income students and generally have the fewest resources to meet new administratively burdensome regulations.  Without up-front relief for these programs, the commenters suggested that many of these institutions would elect to close programs or cease to participate in the title IV, HEA loan programs. </w:t>
      </w:r>
    </w:p>
    <w:p w14:paraId="4269B379" w14:textId="1124FD64"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rPr>
        <w:tab/>
        <w:t xml:space="preserve">Other commenters opposed the proposed showing of mitigating circumstances based on borrowing levels.  These commenters argued that such a showing, or the related exemption proposed by commenters, would inappropriately favor public institutions.  These commenters suggested that, although GE programs offered by public institutions may have lower rates of borrowing, such programs are not necessarily lower cost.  Rather, these commenters argued, public institutions, unlike for-profit institutions, benefit from State and local subsidies and do not pay taxes.  In this regard, one commenter noted that the showing of mitigating circumstances would result in inequitable treatment among public institutions in different States, where there is varying eligibility for State tuition assistance grants.  Another commenter argued that cost--as reflected in a low borrowing rate--should not be the only determinative factor of program quality, as it would permit programs with low completion rates, for example, to remain eligible for title IV, HEA program funds.  Other commenters contended that, particularly when only a fraction of programs offered by public institutions would fail the accountability metrics, it would be unjust to include individuals who did not receive title IV, HEA program funds for enrollment in a program in a showing of mitigating circumstances based on borrowing levels when the Department otherwise evaluates GE programs based solely on the outcomes of students who receive title IV, HEA program funds.  Some commenters noted that to do so would be at odds with the legal framework established by the Department in order to align the regulations with the court’s interpretation of relevant law in </w:t>
      </w:r>
      <w:r w:rsidRPr="00D140AB">
        <w:rPr>
          <w:rFonts w:ascii="Courier New" w:hAnsi="Courier New" w:cs="Courier New"/>
          <w:sz w:val="24"/>
          <w:szCs w:val="24"/>
          <w:u w:val="single"/>
        </w:rPr>
        <w:t>APSCU v. Duncan</w:t>
      </w:r>
      <w:r w:rsidR="00FE42EA" w:rsidRPr="00D140AB">
        <w:rPr>
          <w:rFonts w:ascii="Courier New" w:eastAsia="Times New Roman" w:hAnsi="Courier New" w:cs="Courier New"/>
          <w:sz w:val="24"/>
          <w:szCs w:val="24"/>
        </w:rPr>
        <w:t xml:space="preserve">, 930 F. Supp. 2d </w:t>
      </w:r>
      <w:r w:rsidR="00002EF8" w:rsidRPr="00D140AB">
        <w:rPr>
          <w:rFonts w:ascii="Courier New" w:eastAsia="Times New Roman" w:hAnsi="Courier New" w:cs="Courier New"/>
          <w:sz w:val="24"/>
          <w:szCs w:val="24"/>
        </w:rPr>
        <w:t>at</w:t>
      </w:r>
      <w:r w:rsidR="00FE42EA" w:rsidRPr="00D140AB">
        <w:rPr>
          <w:rFonts w:ascii="Courier New" w:eastAsia="Times New Roman" w:hAnsi="Courier New" w:cs="Courier New"/>
          <w:sz w:val="24"/>
          <w:szCs w:val="24"/>
        </w:rPr>
        <w:t xml:space="preserve"> 221</w:t>
      </w:r>
      <w:r w:rsidR="00EB6E91">
        <w:rPr>
          <w:rFonts w:ascii="Courier New" w:eastAsia="Times New Roman" w:hAnsi="Courier New" w:cs="Courier New"/>
          <w:sz w:val="24"/>
          <w:szCs w:val="24"/>
        </w:rPr>
        <w:t>,</w:t>
      </w:r>
      <w:r w:rsidR="00BF0C1A">
        <w:rPr>
          <w:rFonts w:ascii="Courier New" w:eastAsia="Times New Roman" w:hAnsi="Courier New" w:cs="Courier New"/>
          <w:sz w:val="24"/>
          <w:szCs w:val="24"/>
        </w:rPr>
        <w:t xml:space="preserve"> regarding student record systems</w:t>
      </w:r>
      <w:r w:rsidR="00FE42EA" w:rsidRPr="00D140AB">
        <w:rPr>
          <w:rFonts w:ascii="Courier New" w:eastAsia="Times New Roman" w:hAnsi="Courier New" w:cs="Courier New"/>
          <w:sz w:val="24"/>
          <w:szCs w:val="24"/>
        </w:rPr>
        <w:t>.</w:t>
      </w:r>
    </w:p>
    <w:p w14:paraId="4269B37A" w14:textId="5319A757"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Discussion</w:t>
      </w:r>
      <w:r w:rsidRPr="00D140AB">
        <w:rPr>
          <w:rFonts w:ascii="Courier New" w:hAnsi="Courier New" w:cs="Courier New"/>
          <w:sz w:val="24"/>
          <w:szCs w:val="24"/>
        </w:rPr>
        <w:t xml:space="preserve">:  As we discuss in detail in “668.401  Scope and Purpose,” in our discussion of the definition of “student,” we do not believe the commenters who supported a “low borrowing” appeal presented a sufficient justification for us to depart from the purpose of the regulations--to evaluate the outcomes of students receiving title IV, HEA program funds and a program’s continuing eligibility to receive title IV, HEA program funds based solely on those outcomes--even for the limited purpose of demonstrating that a program is “low risk.”  </w:t>
      </w:r>
    </w:p>
    <w:p w14:paraId="4269B37B" w14:textId="79C58039" w:rsidR="001D71D1" w:rsidRPr="00D140AB" w:rsidRDefault="002A0C7E" w:rsidP="002A0C7E">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 xml:space="preserve">We agree with the commenters who suggested that a program for which fewer than 50 percent of individuals borrow is not necessarily low risk to students and taxpayers.  Because the proposed showing of mitigating circumstances would be available to large programs with many students, and therefore there may be significant title IV, HEA program funds borrowed for a program, it is not clear that the program poses less risk simply because those students, when considered together with individuals who do not receive title IV, HEA program funds, compose no more than 49 percent of all students.  We also note that, if a program is indeed “low cost” or does not have a significant number of borrowers, it is very likely that the program will pass the D/E rates measure. </w:t>
      </w:r>
    </w:p>
    <w:p w14:paraId="4269B37C" w14:textId="28D505D1" w:rsidR="001D71D1" w:rsidRPr="00D140AB" w:rsidRDefault="002A0C7E" w:rsidP="002A0C7E">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For these reasons, we do not believe there is adequate justification to depart from the accountability framework establish</w:t>
      </w:r>
      <w:r w:rsidR="00002EF8" w:rsidRPr="00D140AB">
        <w:rPr>
          <w:rFonts w:ascii="Courier New" w:hAnsi="Courier New" w:cs="Courier New"/>
          <w:sz w:val="24"/>
          <w:szCs w:val="24"/>
        </w:rPr>
        <w:t>ed</w:t>
      </w:r>
      <w:r w:rsidR="001D71D1" w:rsidRPr="00D140AB">
        <w:rPr>
          <w:rFonts w:ascii="Courier New" w:hAnsi="Courier New" w:cs="Courier New"/>
          <w:sz w:val="24"/>
          <w:szCs w:val="24"/>
        </w:rPr>
        <w:t xml:space="preserve"> in the </w:t>
      </w:r>
      <w:r w:rsidR="00002EF8" w:rsidRPr="00D140AB">
        <w:rPr>
          <w:rFonts w:ascii="Courier New" w:hAnsi="Courier New" w:cs="Courier New"/>
          <w:sz w:val="24"/>
          <w:szCs w:val="24"/>
        </w:rPr>
        <w:t xml:space="preserve">proposed </w:t>
      </w:r>
      <w:r w:rsidR="001D71D1" w:rsidRPr="00D140AB">
        <w:rPr>
          <w:rFonts w:ascii="Courier New" w:hAnsi="Courier New" w:cs="Courier New"/>
          <w:sz w:val="24"/>
          <w:szCs w:val="24"/>
        </w:rPr>
        <w:t>regulations, by permitting consideration of the outcomes of individuals other than students who receive title IV, HEA program funds for enrollment in a program in determining whether a program has passed the D/E rates measure.  For the same reasons, we do not think there is justification to make an even greater departure from the regulatory framework to allow for an upfront exemption from the accountability framework based on borrowing levels.</w:t>
      </w:r>
    </w:p>
    <w:p w14:paraId="4269B37D" w14:textId="78F50D41" w:rsidR="001D71D1" w:rsidRPr="00D140AB" w:rsidRDefault="00C174F7" w:rsidP="002A0C7E">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     </w:t>
      </w:r>
      <w:r w:rsidR="001D71D1" w:rsidRPr="00D140AB">
        <w:rPr>
          <w:rFonts w:ascii="Courier New" w:hAnsi="Courier New" w:cs="Courier New"/>
          <w:sz w:val="24"/>
          <w:szCs w:val="24"/>
        </w:rPr>
        <w:t>We appreciate the commenters’ concerns about administrative burden.  As we discuss in more detail in “§668.401  Scope and Purpose,” in preparing these regulations, we have been mindful of the importance of minimizing administrative burden while also serving the important interests behind these regulations.</w:t>
      </w:r>
    </w:p>
    <w:p w14:paraId="4269B37E" w14:textId="13CBDB68" w:rsidR="001D71D1" w:rsidRPr="00D140AB" w:rsidRDefault="001D71D1" w:rsidP="002A0C7E">
      <w:pPr>
        <w:autoSpaceDE w:val="0"/>
        <w:autoSpaceDN w:val="0"/>
        <w:adjustRightInd w:val="0"/>
        <w:spacing w:after="0" w:line="480" w:lineRule="auto"/>
        <w:rPr>
          <w:rFonts w:ascii="Courier New" w:hAnsi="Courier New" w:cs="Courier New"/>
          <w:sz w:val="24"/>
          <w:szCs w:val="24"/>
        </w:rPr>
      </w:pPr>
      <w:r w:rsidRPr="00D140AB">
        <w:rPr>
          <w:rFonts w:ascii="Courier New" w:hAnsi="Courier New" w:cs="Courier New"/>
          <w:sz w:val="24"/>
          <w:szCs w:val="24"/>
          <w:u w:val="single"/>
        </w:rPr>
        <w:t>Changes</w:t>
      </w:r>
      <w:r w:rsidRPr="00D140AB">
        <w:rPr>
          <w:rFonts w:ascii="Courier New" w:hAnsi="Courier New" w:cs="Courier New"/>
          <w:sz w:val="24"/>
          <w:szCs w:val="24"/>
        </w:rPr>
        <w:t>:  We have eliminated from §668.406 the provisions relating to showings of mitigating circumstances.</w:t>
      </w:r>
      <w:r w:rsidRPr="00D140AB">
        <w:rPr>
          <w:rFonts w:ascii="Courier New" w:hAnsi="Courier New" w:cs="Courier New"/>
          <w:sz w:val="24"/>
          <w:szCs w:val="24"/>
        </w:rPr>
        <w:tab/>
      </w:r>
    </w:p>
    <w:p w14:paraId="55B11FFE" w14:textId="77777777" w:rsidR="00764FC4" w:rsidRPr="005020CE" w:rsidRDefault="00764FC4" w:rsidP="00764FC4">
      <w:pPr>
        <w:pStyle w:val="Heading1"/>
      </w:pPr>
      <w:r w:rsidRPr="005020CE">
        <w:t>§668.407  [Reserved]  (formerly §668.407  Calculating pCDR)</w:t>
      </w:r>
    </w:p>
    <w:p w14:paraId="072538CE" w14:textId="77777777" w:rsidR="00764FC4" w:rsidRDefault="00764FC4" w:rsidP="00764FC4">
      <w:pPr>
        <w:pStyle w:val="Heading1"/>
      </w:pPr>
      <w:r>
        <w:t>§668.408  [Reserved]  (formerly §668.408  Issuing and Calculating pCDR)</w:t>
      </w:r>
    </w:p>
    <w:p w14:paraId="3A00EF08" w14:textId="77777777" w:rsidR="00764FC4" w:rsidRPr="00610707" w:rsidRDefault="00764FC4" w:rsidP="00764FC4">
      <w:pPr>
        <w:pStyle w:val="Heading1"/>
      </w:pPr>
      <w:r>
        <w:t>Subpart R</w:t>
      </w:r>
    </w:p>
    <w:p w14:paraId="50DEE896" w14:textId="77777777" w:rsidR="00764FC4" w:rsidRDefault="00764FC4" w:rsidP="00764FC4">
      <w:pPr>
        <w:spacing w:after="0" w:line="480" w:lineRule="auto"/>
        <w:rPr>
          <w:rFonts w:ascii="Courier New" w:hAnsi="Courier New" w:cs="Courier New"/>
          <w:sz w:val="24"/>
          <w:szCs w:val="24"/>
        </w:rPr>
      </w:pPr>
      <w:r w:rsidRPr="00606A9A">
        <w:rPr>
          <w:rFonts w:ascii="Courier New" w:hAnsi="Courier New" w:cs="Courier New"/>
          <w:sz w:val="24"/>
          <w:szCs w:val="24"/>
          <w:u w:val="single"/>
        </w:rPr>
        <w:t>Comments</w:t>
      </w:r>
      <w:r w:rsidRPr="00606A9A">
        <w:rPr>
          <w:rFonts w:ascii="Courier New" w:hAnsi="Courier New" w:cs="Courier New"/>
          <w:sz w:val="24"/>
          <w:szCs w:val="24"/>
        </w:rPr>
        <w:t xml:space="preserve">:  Some commenters argued that </w:t>
      </w:r>
      <w:r>
        <w:rPr>
          <w:rFonts w:ascii="Courier New" w:hAnsi="Courier New" w:cs="Courier New"/>
          <w:sz w:val="24"/>
          <w:szCs w:val="24"/>
        </w:rPr>
        <w:t xml:space="preserve">the </w:t>
      </w:r>
      <w:r w:rsidRPr="00606A9A">
        <w:rPr>
          <w:rFonts w:ascii="Courier New" w:hAnsi="Courier New" w:cs="Courier New"/>
          <w:sz w:val="24"/>
          <w:szCs w:val="24"/>
        </w:rPr>
        <w:t xml:space="preserve">pCDR </w:t>
      </w:r>
      <w:r>
        <w:rPr>
          <w:rFonts w:ascii="Courier New" w:hAnsi="Courier New" w:cs="Courier New"/>
          <w:sz w:val="24"/>
          <w:szCs w:val="24"/>
        </w:rPr>
        <w:t xml:space="preserve">measure </w:t>
      </w:r>
      <w:r w:rsidRPr="00606A9A">
        <w:rPr>
          <w:rFonts w:ascii="Courier New" w:hAnsi="Courier New" w:cs="Courier New"/>
          <w:sz w:val="24"/>
          <w:szCs w:val="24"/>
        </w:rPr>
        <w:t>shou</w:t>
      </w:r>
      <w:r>
        <w:rPr>
          <w:rFonts w:ascii="Courier New" w:hAnsi="Courier New" w:cs="Courier New"/>
          <w:sz w:val="24"/>
          <w:szCs w:val="24"/>
        </w:rPr>
        <w:t>ld take into account only individuals</w:t>
      </w:r>
      <w:r w:rsidRPr="00606A9A">
        <w:rPr>
          <w:rFonts w:ascii="Courier New" w:hAnsi="Courier New" w:cs="Courier New"/>
          <w:sz w:val="24"/>
          <w:szCs w:val="24"/>
        </w:rPr>
        <w:t xml:space="preserve"> </w:t>
      </w:r>
      <w:r>
        <w:rPr>
          <w:rFonts w:ascii="Courier New" w:hAnsi="Courier New" w:cs="Courier New"/>
          <w:sz w:val="24"/>
          <w:szCs w:val="24"/>
        </w:rPr>
        <w:t>who received title IV, HEA program funds because the focus of the regulations</w:t>
      </w:r>
      <w:r w:rsidRPr="00606A9A">
        <w:rPr>
          <w:rFonts w:ascii="Courier New" w:hAnsi="Courier New" w:cs="Courier New"/>
          <w:sz w:val="24"/>
          <w:szCs w:val="24"/>
        </w:rPr>
        <w:t xml:space="preserve"> is assessing the likelihood that </w:t>
      </w:r>
      <w:r>
        <w:rPr>
          <w:rFonts w:ascii="Courier New" w:hAnsi="Courier New" w:cs="Courier New"/>
          <w:sz w:val="24"/>
          <w:szCs w:val="24"/>
        </w:rPr>
        <w:t>a</w:t>
      </w:r>
      <w:r w:rsidRPr="00606A9A">
        <w:rPr>
          <w:rFonts w:ascii="Courier New" w:hAnsi="Courier New" w:cs="Courier New"/>
          <w:sz w:val="24"/>
          <w:szCs w:val="24"/>
        </w:rPr>
        <w:t xml:space="preserve"> program will lead to gainful employment fo</w:t>
      </w:r>
      <w:r>
        <w:rPr>
          <w:rFonts w:ascii="Courier New" w:hAnsi="Courier New" w:cs="Courier New"/>
          <w:sz w:val="24"/>
          <w:szCs w:val="24"/>
        </w:rPr>
        <w:t>r those students</w:t>
      </w:r>
      <w:r w:rsidRPr="00606A9A">
        <w:rPr>
          <w:rFonts w:ascii="Courier New" w:hAnsi="Courier New" w:cs="Courier New"/>
          <w:sz w:val="24"/>
          <w:szCs w:val="24"/>
        </w:rPr>
        <w:t xml:space="preserve">.  Others objected </w:t>
      </w:r>
      <w:r>
        <w:rPr>
          <w:rFonts w:ascii="Courier New" w:hAnsi="Courier New" w:cs="Courier New"/>
          <w:sz w:val="24"/>
          <w:szCs w:val="24"/>
        </w:rPr>
        <w:t>to</w:t>
      </w:r>
      <w:r w:rsidRPr="00606A9A">
        <w:rPr>
          <w:rFonts w:ascii="Courier New" w:hAnsi="Courier New" w:cs="Courier New"/>
          <w:sz w:val="24"/>
          <w:szCs w:val="24"/>
        </w:rPr>
        <w:t xml:space="preserve"> limiting </w:t>
      </w:r>
      <w:r>
        <w:rPr>
          <w:rFonts w:ascii="Courier New" w:hAnsi="Courier New" w:cs="Courier New"/>
          <w:sz w:val="24"/>
          <w:szCs w:val="24"/>
        </w:rPr>
        <w:t>the pCDR measure to these students, other than</w:t>
      </w:r>
      <w:r w:rsidRPr="00606A9A">
        <w:rPr>
          <w:rFonts w:ascii="Courier New" w:hAnsi="Courier New" w:cs="Courier New"/>
          <w:sz w:val="24"/>
          <w:szCs w:val="24"/>
        </w:rPr>
        <w:t xml:space="preserve"> in a challenge or appeal based on </w:t>
      </w:r>
      <w:r>
        <w:rPr>
          <w:rFonts w:ascii="Courier New" w:hAnsi="Courier New" w:cs="Courier New"/>
          <w:sz w:val="24"/>
          <w:szCs w:val="24"/>
        </w:rPr>
        <w:t xml:space="preserve">a program’s </w:t>
      </w:r>
      <w:r w:rsidRPr="00606A9A">
        <w:rPr>
          <w:rFonts w:ascii="Courier New" w:hAnsi="Courier New" w:cs="Courier New"/>
          <w:sz w:val="24"/>
          <w:szCs w:val="24"/>
        </w:rPr>
        <w:t xml:space="preserve">participation rate index or </w:t>
      </w:r>
      <w:r>
        <w:rPr>
          <w:rFonts w:ascii="Courier New" w:hAnsi="Courier New" w:cs="Courier New"/>
          <w:sz w:val="24"/>
          <w:szCs w:val="24"/>
        </w:rPr>
        <w:t xml:space="preserve">economically </w:t>
      </w:r>
      <w:r w:rsidRPr="00606A9A">
        <w:rPr>
          <w:rFonts w:ascii="Courier New" w:hAnsi="Courier New" w:cs="Courier New"/>
          <w:sz w:val="24"/>
          <w:szCs w:val="24"/>
        </w:rPr>
        <w:t>disadvantaged student</w:t>
      </w:r>
      <w:r>
        <w:rPr>
          <w:rFonts w:ascii="Courier New" w:hAnsi="Courier New" w:cs="Courier New"/>
          <w:sz w:val="24"/>
          <w:szCs w:val="24"/>
        </w:rPr>
        <w:t xml:space="preserve"> population</w:t>
      </w:r>
      <w:r w:rsidRPr="00606A9A">
        <w:rPr>
          <w:rFonts w:ascii="Courier New" w:hAnsi="Courier New" w:cs="Courier New"/>
          <w:sz w:val="24"/>
          <w:szCs w:val="24"/>
        </w:rPr>
        <w:t xml:space="preserve">, </w:t>
      </w:r>
      <w:r>
        <w:rPr>
          <w:rFonts w:ascii="Courier New" w:hAnsi="Courier New" w:cs="Courier New"/>
          <w:sz w:val="24"/>
          <w:szCs w:val="24"/>
        </w:rPr>
        <w:t>because, according to the commenters, this would produce</w:t>
      </w:r>
      <w:r w:rsidRPr="00606A9A">
        <w:rPr>
          <w:rFonts w:ascii="Courier New" w:hAnsi="Courier New" w:cs="Courier New"/>
          <w:sz w:val="24"/>
          <w:szCs w:val="24"/>
        </w:rPr>
        <w:t xml:space="preserve"> </w:t>
      </w:r>
      <w:r>
        <w:rPr>
          <w:rFonts w:ascii="Courier New" w:hAnsi="Courier New" w:cs="Courier New"/>
          <w:sz w:val="24"/>
          <w:szCs w:val="24"/>
        </w:rPr>
        <w:t>distorted</w:t>
      </w:r>
      <w:r w:rsidRPr="00606A9A">
        <w:rPr>
          <w:rFonts w:ascii="Courier New" w:hAnsi="Courier New" w:cs="Courier New"/>
          <w:sz w:val="24"/>
          <w:szCs w:val="24"/>
        </w:rPr>
        <w:t xml:space="preserve"> </w:t>
      </w:r>
      <w:r>
        <w:rPr>
          <w:rFonts w:ascii="Courier New" w:hAnsi="Courier New" w:cs="Courier New"/>
          <w:sz w:val="24"/>
          <w:szCs w:val="24"/>
        </w:rPr>
        <w:t xml:space="preserve">assessments of </w:t>
      </w:r>
      <w:r w:rsidRPr="00606A9A">
        <w:rPr>
          <w:rFonts w:ascii="Courier New" w:hAnsi="Courier New" w:cs="Courier New"/>
          <w:sz w:val="24"/>
          <w:szCs w:val="24"/>
        </w:rPr>
        <w:t>program</w:t>
      </w:r>
      <w:r>
        <w:rPr>
          <w:rFonts w:ascii="Courier New" w:hAnsi="Courier New" w:cs="Courier New"/>
          <w:sz w:val="24"/>
          <w:szCs w:val="24"/>
        </w:rPr>
        <w:t xml:space="preserve"> outcomes.  These commenters argued that many of the students who receive title IV, HEA program funds</w:t>
      </w:r>
      <w:r w:rsidRPr="00606A9A">
        <w:rPr>
          <w:rFonts w:ascii="Courier New" w:hAnsi="Courier New" w:cs="Courier New"/>
          <w:sz w:val="24"/>
          <w:szCs w:val="24"/>
        </w:rPr>
        <w:t xml:space="preserve"> are both first-time borrowers and first-generation postsecondary students, who have historically been more likely to default than other borrowers.</w:t>
      </w:r>
    </w:p>
    <w:p w14:paraId="128DA4CD" w14:textId="77777777" w:rsidR="00764FC4" w:rsidRPr="00C713FC" w:rsidRDefault="00764FC4" w:rsidP="00764FC4">
      <w:pPr>
        <w:spacing w:after="0" w:line="480" w:lineRule="auto"/>
        <w:rPr>
          <w:rFonts w:ascii="Courier New" w:hAnsi="Courier New" w:cs="Courier New"/>
          <w:sz w:val="24"/>
          <w:szCs w:val="24"/>
        </w:rPr>
      </w:pPr>
      <w:r w:rsidRPr="00606A9A">
        <w:rPr>
          <w:rFonts w:ascii="Courier New" w:hAnsi="Courier New" w:cs="Courier New"/>
          <w:sz w:val="24"/>
          <w:szCs w:val="24"/>
          <w:u w:val="single"/>
        </w:rPr>
        <w:t>Discussion</w:t>
      </w:r>
      <w:r w:rsidRPr="00606A9A">
        <w:rPr>
          <w:rFonts w:ascii="Courier New" w:hAnsi="Courier New" w:cs="Courier New"/>
          <w:sz w:val="24"/>
          <w:szCs w:val="24"/>
        </w:rPr>
        <w:t xml:space="preserve">:  </w:t>
      </w:r>
      <w:r w:rsidRPr="00722656">
        <w:rPr>
          <w:rFonts w:ascii="Courier New" w:hAnsi="Courier New"/>
          <w:sz w:val="24"/>
        </w:rPr>
        <w:t>As discussed in “</w:t>
      </w:r>
      <w:r w:rsidRPr="00722656">
        <w:rPr>
          <w:rFonts w:ascii="Courier New" w:hAnsi="Courier New" w:cs="Courier New"/>
          <w:sz w:val="24"/>
        </w:rPr>
        <w:t>§</w:t>
      </w:r>
      <w:r w:rsidRPr="00722656">
        <w:rPr>
          <w:rFonts w:ascii="Courier New" w:hAnsi="Courier New"/>
          <w:sz w:val="24"/>
        </w:rPr>
        <w:t>668.403  Gainful Employment Program Framework</w:t>
      </w:r>
      <w:r w:rsidRPr="00722656">
        <w:rPr>
          <w:rFonts w:ascii="Courier New" w:hAnsi="Courier New" w:cs="Courier New"/>
          <w:sz w:val="24"/>
        </w:rPr>
        <w:t>,” we have</w:t>
      </w:r>
      <w:r>
        <w:rPr>
          <w:rFonts w:ascii="Courier New" w:hAnsi="Courier New" w:cs="Courier New"/>
          <w:sz w:val="24"/>
        </w:rPr>
        <w:t xml:space="preserve"> eliminated the pCDR measure as an accountability metric.  However, we have retained program cohort default rate as a possible item on the disclosure template.  Accordingly, we do not address the commenters’ concerns in the context of program eligibility.  </w:t>
      </w:r>
      <w:r>
        <w:rPr>
          <w:rFonts w:ascii="Courier New" w:hAnsi="Courier New" w:cs="Courier New"/>
          <w:sz w:val="24"/>
          <w:szCs w:val="24"/>
        </w:rPr>
        <w:t xml:space="preserve">We discuss comments regarding program cohort default rates as a disclosure item in </w:t>
      </w:r>
      <w:r>
        <w:rPr>
          <w:rFonts w:ascii="Courier New" w:hAnsi="Courier New" w:cs="Courier New"/>
          <w:sz w:val="24"/>
        </w:rPr>
        <w:t>“</w:t>
      </w:r>
      <w:r w:rsidRPr="00722656">
        <w:rPr>
          <w:rFonts w:ascii="Courier New" w:hAnsi="Courier New" w:cs="Courier New"/>
          <w:sz w:val="24"/>
        </w:rPr>
        <w:t>§</w:t>
      </w:r>
      <w:r>
        <w:rPr>
          <w:rFonts w:ascii="Courier New" w:hAnsi="Courier New"/>
          <w:sz w:val="24"/>
        </w:rPr>
        <w:t>668.412  Disclosure Requirements for GE Programs</w:t>
      </w:r>
      <w:r>
        <w:rPr>
          <w:rFonts w:ascii="Courier New" w:hAnsi="Courier New" w:cs="Courier New"/>
          <w:sz w:val="24"/>
        </w:rPr>
        <w:t>”</w:t>
      </w:r>
      <w:r>
        <w:rPr>
          <w:rFonts w:ascii="Courier New" w:hAnsi="Courier New" w:cs="Courier New"/>
          <w:sz w:val="24"/>
          <w:szCs w:val="24"/>
        </w:rPr>
        <w:t xml:space="preserve"> and “</w:t>
      </w:r>
      <w:r w:rsidRPr="00606A9A">
        <w:rPr>
          <w:rFonts w:ascii="Courier New" w:hAnsi="Courier New" w:cs="Courier New"/>
          <w:sz w:val="24"/>
          <w:szCs w:val="24"/>
        </w:rPr>
        <w:t>§668.4</w:t>
      </w:r>
      <w:r>
        <w:rPr>
          <w:rFonts w:ascii="Courier New" w:hAnsi="Courier New" w:cs="Courier New"/>
          <w:sz w:val="24"/>
          <w:szCs w:val="24"/>
        </w:rPr>
        <w:t xml:space="preserve">13  Calculating, Issuing, and Challenging Completion Rates, Withdrawal Rates, Repayment Rates, Median Loan Debt, Median Earnings, and Program Cohort Default Rates.”  Finally, </w:t>
      </w:r>
      <w:r>
        <w:rPr>
          <w:rFonts w:ascii="Courier New" w:hAnsi="Courier New" w:cs="Courier New"/>
          <w:sz w:val="24"/>
        </w:rPr>
        <w:t>as discussed in more detail in “</w:t>
      </w:r>
      <w:r w:rsidRPr="00722656">
        <w:rPr>
          <w:rFonts w:ascii="Courier New" w:hAnsi="Courier New" w:cs="Courier New"/>
          <w:sz w:val="24"/>
        </w:rPr>
        <w:t>§</w:t>
      </w:r>
      <w:r>
        <w:rPr>
          <w:rFonts w:ascii="Courier New" w:hAnsi="Courier New"/>
          <w:sz w:val="24"/>
        </w:rPr>
        <w:t>668.401</w:t>
      </w:r>
      <w:r w:rsidRPr="00722656">
        <w:rPr>
          <w:rFonts w:ascii="Courier New" w:hAnsi="Courier New"/>
          <w:sz w:val="24"/>
        </w:rPr>
        <w:t xml:space="preserve">  </w:t>
      </w:r>
      <w:r>
        <w:rPr>
          <w:rFonts w:ascii="Courier New" w:hAnsi="Courier New"/>
          <w:sz w:val="24"/>
        </w:rPr>
        <w:t>Scope and Purpose</w:t>
      </w:r>
      <w:r>
        <w:rPr>
          <w:rFonts w:ascii="Courier New" w:hAnsi="Courier New" w:cs="Courier New"/>
          <w:sz w:val="24"/>
        </w:rPr>
        <w:t>” and “</w:t>
      </w:r>
      <w:r w:rsidRPr="00722656">
        <w:rPr>
          <w:rFonts w:ascii="Courier New" w:hAnsi="Courier New" w:cs="Courier New"/>
          <w:sz w:val="24"/>
        </w:rPr>
        <w:t>§</w:t>
      </w:r>
      <w:r>
        <w:rPr>
          <w:rFonts w:ascii="Courier New" w:hAnsi="Courier New"/>
          <w:sz w:val="24"/>
        </w:rPr>
        <w:t>668.412  Disclosure Requirements for GE Programs,</w:t>
      </w:r>
      <w:r>
        <w:rPr>
          <w:rFonts w:ascii="Courier New" w:hAnsi="Courier New" w:cs="Courier New"/>
          <w:sz w:val="24"/>
        </w:rPr>
        <w:t xml:space="preserve">” the information that institutions must disclose about their programs will be based only on the outcomes of students who received title IV, HEA program funds so that </w:t>
      </w:r>
      <w:r w:rsidRPr="005C193C">
        <w:rPr>
          <w:rFonts w:ascii="Courier New" w:hAnsi="Courier New" w:cs="Courier New"/>
          <w:sz w:val="24"/>
          <w:szCs w:val="24"/>
        </w:rPr>
        <w:t xml:space="preserve">students and prospective students who are eligible for title IV, HEA program funds </w:t>
      </w:r>
      <w:r>
        <w:rPr>
          <w:rFonts w:ascii="Courier New" w:hAnsi="Courier New" w:cs="Courier New"/>
          <w:sz w:val="24"/>
          <w:szCs w:val="24"/>
        </w:rPr>
        <w:t xml:space="preserve">can learn about the outcomes of other students like themselves.  We believe that this </w:t>
      </w:r>
      <w:r w:rsidRPr="005C193C">
        <w:rPr>
          <w:rFonts w:ascii="Courier New" w:hAnsi="Courier New" w:cs="Courier New"/>
          <w:sz w:val="24"/>
          <w:szCs w:val="24"/>
        </w:rPr>
        <w:t xml:space="preserve">information will </w:t>
      </w:r>
      <w:r>
        <w:rPr>
          <w:rFonts w:ascii="Courier New" w:hAnsi="Courier New" w:cs="Courier New"/>
          <w:sz w:val="24"/>
          <w:szCs w:val="24"/>
        </w:rPr>
        <w:t>be more useful to these students in deciding</w:t>
      </w:r>
      <w:r w:rsidRPr="005C193C">
        <w:rPr>
          <w:rFonts w:ascii="Courier New" w:hAnsi="Courier New" w:cs="Courier New"/>
          <w:sz w:val="24"/>
          <w:szCs w:val="24"/>
        </w:rPr>
        <w:t xml:space="preserve"> where to invest their resources</w:t>
      </w:r>
      <w:r>
        <w:rPr>
          <w:rFonts w:ascii="Courier New" w:hAnsi="Courier New" w:cs="Courier New"/>
          <w:sz w:val="24"/>
          <w:szCs w:val="24"/>
        </w:rPr>
        <w:t>, including, for certain types of title IV, HEA program funds, the limited funds that they may be eligible for,</w:t>
      </w:r>
      <w:r w:rsidRPr="005C193C">
        <w:rPr>
          <w:rFonts w:ascii="Courier New" w:hAnsi="Courier New" w:cs="Courier New"/>
          <w:sz w:val="24"/>
          <w:szCs w:val="24"/>
        </w:rPr>
        <w:t xml:space="preserve"> </w:t>
      </w:r>
      <w:r>
        <w:rPr>
          <w:rFonts w:ascii="Courier New" w:hAnsi="Courier New" w:cs="Courier New"/>
          <w:sz w:val="24"/>
          <w:szCs w:val="24"/>
        </w:rPr>
        <w:t xml:space="preserve">rather than information that is based partly on the outcomes of dissimilar students.  </w:t>
      </w:r>
    </w:p>
    <w:p w14:paraId="5EF80BEF" w14:textId="77777777" w:rsidR="00764FC4" w:rsidRDefault="00764FC4" w:rsidP="00764FC4">
      <w:pPr>
        <w:spacing w:after="0" w:line="480" w:lineRule="auto"/>
        <w:rPr>
          <w:rFonts w:ascii="Courier New" w:hAnsi="Courier New" w:cs="Courier New"/>
          <w:sz w:val="24"/>
          <w:szCs w:val="24"/>
        </w:rPr>
      </w:pPr>
      <w:r w:rsidRPr="00606A9A">
        <w:rPr>
          <w:rFonts w:ascii="Courier New" w:hAnsi="Courier New" w:cs="Courier New"/>
          <w:sz w:val="24"/>
          <w:szCs w:val="24"/>
          <w:u w:val="single"/>
        </w:rPr>
        <w:t>Changes</w:t>
      </w:r>
      <w:r w:rsidRPr="00606A9A">
        <w:rPr>
          <w:rFonts w:ascii="Courier New" w:hAnsi="Courier New" w:cs="Courier New"/>
          <w:sz w:val="24"/>
          <w:szCs w:val="24"/>
        </w:rPr>
        <w:t xml:space="preserve">: </w:t>
      </w:r>
      <w:r>
        <w:rPr>
          <w:rFonts w:ascii="Courier New" w:hAnsi="Courier New" w:cs="Courier New"/>
          <w:sz w:val="24"/>
          <w:szCs w:val="24"/>
        </w:rPr>
        <w:t xml:space="preserve"> We have revised the regulations to remove pCDR as a measure for determining program eligibility.  We have removed the proposed provisions of </w:t>
      </w:r>
      <w:r w:rsidRPr="00606A9A">
        <w:rPr>
          <w:rFonts w:ascii="Courier New" w:hAnsi="Courier New" w:cs="Courier New"/>
          <w:sz w:val="24"/>
          <w:szCs w:val="24"/>
        </w:rPr>
        <w:t xml:space="preserve">§§668.407 and 668.408 </w:t>
      </w:r>
      <w:r>
        <w:rPr>
          <w:rFonts w:ascii="Courier New" w:hAnsi="Courier New" w:cs="Courier New"/>
          <w:sz w:val="24"/>
          <w:szCs w:val="24"/>
        </w:rPr>
        <w:t xml:space="preserve">and reserved those sections.  </w:t>
      </w:r>
    </w:p>
    <w:p w14:paraId="73921848" w14:textId="77777777" w:rsidR="00705E66" w:rsidRPr="009D79CF" w:rsidRDefault="00705E66" w:rsidP="00705E66">
      <w:pPr>
        <w:pStyle w:val="Heading1"/>
      </w:pPr>
      <w:r>
        <w:t>§668.409  Final Determination of D/E Rates Measure</w:t>
      </w:r>
    </w:p>
    <w:p w14:paraId="46BA75C5" w14:textId="77777777" w:rsidR="00705E66" w:rsidRDefault="00705E66" w:rsidP="00705E66">
      <w:pPr>
        <w:spacing w:after="0" w:line="480" w:lineRule="auto"/>
        <w:rPr>
          <w:rFonts w:ascii="Courier New" w:hAnsi="Courier New"/>
          <w:sz w:val="24"/>
          <w:szCs w:val="24"/>
        </w:rPr>
      </w:pPr>
      <w:r>
        <w:rPr>
          <w:rFonts w:ascii="Courier New" w:hAnsi="Courier New"/>
          <w:sz w:val="24"/>
          <w:szCs w:val="24"/>
          <w:u w:val="single"/>
        </w:rPr>
        <w:t>Comments</w:t>
      </w:r>
      <w:r>
        <w:rPr>
          <w:rFonts w:ascii="Courier New" w:hAnsi="Courier New"/>
          <w:sz w:val="24"/>
          <w:szCs w:val="24"/>
        </w:rPr>
        <w:t>:  One commenter requested that we synchronize the timing of the D/E rates measure and pCDR measure calculations, notices of determination, and student warning requirements to reduce the complexity of compliance.  The commenter proposed that the Secretary issue a single notice of determination that would include a program’s results under both measures.</w:t>
      </w:r>
    </w:p>
    <w:p w14:paraId="7A44EAE4" w14:textId="77777777" w:rsidR="00705E66" w:rsidRDefault="00705E66" w:rsidP="00705E66">
      <w:pPr>
        <w:spacing w:after="0" w:line="480" w:lineRule="auto"/>
        <w:rPr>
          <w:rFonts w:ascii="Courier New" w:hAnsi="Courier New"/>
          <w:sz w:val="24"/>
          <w:szCs w:val="24"/>
        </w:rPr>
      </w:pPr>
      <w:r>
        <w:rPr>
          <w:rFonts w:ascii="Courier New" w:hAnsi="Courier New"/>
          <w:sz w:val="24"/>
          <w:szCs w:val="24"/>
          <w:u w:val="single"/>
        </w:rPr>
        <w:t>Discussion</w:t>
      </w:r>
      <w:r>
        <w:rPr>
          <w:rFonts w:ascii="Courier New" w:hAnsi="Courier New"/>
          <w:sz w:val="24"/>
          <w:szCs w:val="24"/>
        </w:rPr>
        <w:t>:  As discussed in “</w:t>
      </w:r>
      <w:r>
        <w:rPr>
          <w:rFonts w:ascii="Courier New" w:hAnsi="Courier New" w:cs="Courier New"/>
          <w:sz w:val="24"/>
          <w:szCs w:val="24"/>
        </w:rPr>
        <w:t xml:space="preserve">§668.403  Gainful Employment Program Framework,” we have eliminated the pCDR measure as an </w:t>
      </w:r>
      <w:r w:rsidDel="00A84272">
        <w:rPr>
          <w:rFonts w:ascii="Courier New" w:hAnsi="Courier New" w:cs="Courier New"/>
          <w:sz w:val="24"/>
          <w:szCs w:val="24"/>
        </w:rPr>
        <w:t xml:space="preserve">accountability </w:t>
      </w:r>
      <w:r>
        <w:rPr>
          <w:rFonts w:ascii="Courier New" w:hAnsi="Courier New" w:cs="Courier New"/>
          <w:sz w:val="24"/>
          <w:szCs w:val="24"/>
        </w:rPr>
        <w:t xml:space="preserve">metric but retained </w:t>
      </w:r>
      <w:r>
        <w:rPr>
          <w:rFonts w:ascii="Courier New" w:hAnsi="Courier New" w:cs="Courier New"/>
          <w:sz w:val="24"/>
        </w:rPr>
        <w:t xml:space="preserve">program cohort default rates as a possible item on the disclosure template. </w:t>
      </w:r>
      <w:r>
        <w:rPr>
          <w:rFonts w:ascii="Courier New" w:hAnsi="Courier New"/>
          <w:sz w:val="24"/>
          <w:szCs w:val="24"/>
        </w:rPr>
        <w:t xml:space="preserve"> Accordingly, there is no reason to synchronize the D/E rates and program cohort default rates calculations because institutions will receive notices of determination under </w:t>
      </w:r>
      <w:r>
        <w:rPr>
          <w:rFonts w:ascii="Courier New" w:hAnsi="Courier New" w:cs="Courier New"/>
          <w:sz w:val="24"/>
          <w:szCs w:val="24"/>
        </w:rPr>
        <w:t>§</w:t>
      </w:r>
      <w:r>
        <w:rPr>
          <w:rFonts w:ascii="Courier New" w:hAnsi="Courier New"/>
          <w:sz w:val="24"/>
          <w:szCs w:val="24"/>
        </w:rPr>
        <w:t xml:space="preserve">668.409 with respect to the D/E rates measure only and there will be no student warning requirements tied to pCDR.  The Secretary will notify institutions of the draft and official program cohort default rates of their programs, along with related information, under the procedures in </w:t>
      </w:r>
      <w:r>
        <w:rPr>
          <w:rFonts w:ascii="Courier New" w:hAnsi="Courier New" w:cs="Courier New"/>
          <w:sz w:val="24"/>
          <w:szCs w:val="24"/>
        </w:rPr>
        <w:t>§</w:t>
      </w:r>
      <w:r>
        <w:rPr>
          <w:rFonts w:ascii="Courier New" w:hAnsi="Courier New"/>
          <w:sz w:val="24"/>
          <w:szCs w:val="24"/>
        </w:rPr>
        <w:t xml:space="preserve">668.413.  </w:t>
      </w:r>
    </w:p>
    <w:p w14:paraId="40F43559" w14:textId="77777777" w:rsidR="00705E66" w:rsidRDefault="00705E66" w:rsidP="00705E66">
      <w:pPr>
        <w:spacing w:after="0" w:line="480" w:lineRule="auto"/>
        <w:rPr>
          <w:rFonts w:ascii="Courier New" w:hAnsi="Courier New"/>
          <w:sz w:val="24"/>
          <w:szCs w:val="24"/>
        </w:rPr>
      </w:pPr>
      <w:r>
        <w:rPr>
          <w:rFonts w:ascii="Courier New" w:hAnsi="Courier New"/>
          <w:sz w:val="24"/>
          <w:szCs w:val="24"/>
          <w:u w:val="single"/>
        </w:rPr>
        <w:t>Changes</w:t>
      </w:r>
      <w:r>
        <w:rPr>
          <w:rFonts w:ascii="Courier New" w:hAnsi="Courier New"/>
          <w:sz w:val="24"/>
          <w:szCs w:val="24"/>
        </w:rPr>
        <w:t xml:space="preserve">:  We have revised </w:t>
      </w:r>
      <w:r>
        <w:rPr>
          <w:rFonts w:ascii="Courier New" w:hAnsi="Courier New" w:cs="Courier New"/>
          <w:sz w:val="24"/>
          <w:szCs w:val="24"/>
        </w:rPr>
        <w:t>§</w:t>
      </w:r>
      <w:r>
        <w:rPr>
          <w:rFonts w:ascii="Courier New" w:hAnsi="Courier New"/>
          <w:sz w:val="24"/>
          <w:szCs w:val="24"/>
        </w:rPr>
        <w:t>668.409 to eliminate references to the pCDR measure.</w:t>
      </w:r>
    </w:p>
    <w:p w14:paraId="73AF6F5F" w14:textId="77777777" w:rsidR="00705E66" w:rsidRDefault="00705E66" w:rsidP="00705E66">
      <w:pPr>
        <w:spacing w:after="0" w:line="480" w:lineRule="auto"/>
        <w:rPr>
          <w:rFonts w:ascii="Courier New" w:hAnsi="Courier New"/>
          <w:sz w:val="24"/>
          <w:szCs w:val="24"/>
        </w:rPr>
      </w:pPr>
      <w:r>
        <w:rPr>
          <w:rFonts w:ascii="Courier New" w:hAnsi="Courier New"/>
          <w:sz w:val="24"/>
          <w:szCs w:val="24"/>
          <w:u w:val="single"/>
        </w:rPr>
        <w:t>Comments</w:t>
      </w:r>
      <w:r>
        <w:rPr>
          <w:rFonts w:ascii="Courier New" w:hAnsi="Courier New"/>
          <w:sz w:val="24"/>
          <w:szCs w:val="24"/>
        </w:rPr>
        <w:t>:  One commenter recommended that a notice of determination be issued no later than one year after the Department obtains the data necessary to determine a program’s results under the D/E rates measure.  The commenter stated that such a requirement would allow sufficient time for challenges and appeals.</w:t>
      </w:r>
    </w:p>
    <w:p w14:paraId="2C5079C3" w14:textId="77777777" w:rsidR="00705E66" w:rsidRDefault="00705E66" w:rsidP="00705E66">
      <w:pPr>
        <w:spacing w:after="0" w:line="480" w:lineRule="auto"/>
        <w:rPr>
          <w:rFonts w:ascii="Courier New" w:hAnsi="Courier New"/>
          <w:sz w:val="24"/>
          <w:szCs w:val="24"/>
        </w:rPr>
      </w:pPr>
      <w:r>
        <w:rPr>
          <w:rFonts w:ascii="Courier New" w:hAnsi="Courier New"/>
          <w:sz w:val="24"/>
          <w:szCs w:val="24"/>
          <w:u w:val="single"/>
        </w:rPr>
        <w:t>Discussion</w:t>
      </w:r>
      <w:r>
        <w:rPr>
          <w:rFonts w:ascii="Courier New" w:hAnsi="Courier New"/>
          <w:sz w:val="24"/>
          <w:szCs w:val="24"/>
        </w:rPr>
        <w:t xml:space="preserve">:  The Department will issue a notice of determination under </w:t>
      </w:r>
      <w:r>
        <w:rPr>
          <w:rFonts w:ascii="Courier New" w:hAnsi="Courier New" w:cs="Courier New"/>
          <w:sz w:val="24"/>
          <w:szCs w:val="24"/>
        </w:rPr>
        <w:t>§</w:t>
      </w:r>
      <w:r>
        <w:rPr>
          <w:rFonts w:ascii="Courier New" w:hAnsi="Courier New"/>
          <w:sz w:val="24"/>
          <w:szCs w:val="24"/>
        </w:rPr>
        <w:t xml:space="preserve">668.409 when final D/E rates are determined under </w:t>
      </w:r>
      <w:r>
        <w:rPr>
          <w:rFonts w:ascii="Courier New" w:hAnsi="Courier New" w:cs="Courier New"/>
          <w:sz w:val="24"/>
          <w:szCs w:val="24"/>
        </w:rPr>
        <w:t>§§</w:t>
      </w:r>
      <w:r>
        <w:rPr>
          <w:rFonts w:ascii="Courier New" w:hAnsi="Courier New"/>
          <w:sz w:val="24"/>
          <w:szCs w:val="24"/>
        </w:rPr>
        <w:t xml:space="preserve">668.404 and 668.405 and, if a program’s D/E rates are recalculated after a successful alternate earnings appeal, under </w:t>
      </w:r>
      <w:r>
        <w:rPr>
          <w:rFonts w:ascii="Courier New" w:hAnsi="Courier New" w:cs="Courier New"/>
          <w:sz w:val="24"/>
          <w:szCs w:val="24"/>
        </w:rPr>
        <w:t>§</w:t>
      </w:r>
      <w:r>
        <w:rPr>
          <w:rFonts w:ascii="Courier New" w:hAnsi="Courier New"/>
          <w:sz w:val="24"/>
          <w:szCs w:val="24"/>
        </w:rPr>
        <w:t xml:space="preserve">668.406.  It is not clear whether the commenter intended for the one-year time limit to apply to a notice of determination of final D/E rates or recalculated D/E rates.  In either case, although we appreciate the concern, we do not believe that a time limit is necessary as the Department will work to issue notices of determination as quickly as possible but in some cases, resolution of an appeal may take longer than one year.    </w:t>
      </w:r>
    </w:p>
    <w:p w14:paraId="265BF732" w14:textId="77777777" w:rsidR="00705E66" w:rsidRPr="00FF5444" w:rsidRDefault="00705E66" w:rsidP="00705E66">
      <w:pPr>
        <w:spacing w:after="0" w:line="480" w:lineRule="auto"/>
        <w:rPr>
          <w:rFonts w:ascii="Courier New" w:hAnsi="Courier New"/>
          <w:sz w:val="24"/>
          <w:szCs w:val="24"/>
        </w:rPr>
      </w:pPr>
      <w:r>
        <w:rPr>
          <w:rFonts w:ascii="Courier New" w:hAnsi="Courier New"/>
          <w:sz w:val="24"/>
          <w:szCs w:val="24"/>
          <w:u w:val="single"/>
        </w:rPr>
        <w:t>Changes</w:t>
      </w:r>
      <w:r>
        <w:rPr>
          <w:rFonts w:ascii="Courier New" w:hAnsi="Courier New"/>
          <w:sz w:val="24"/>
          <w:szCs w:val="24"/>
        </w:rPr>
        <w:t>:  None.</w:t>
      </w:r>
    </w:p>
    <w:p w14:paraId="587058B5" w14:textId="77777777" w:rsidR="00AA25A4" w:rsidRPr="009D79CF" w:rsidRDefault="00AA25A4" w:rsidP="00AA25A4">
      <w:pPr>
        <w:pStyle w:val="Heading1"/>
      </w:pPr>
      <w:r>
        <w:t>§668.410  Consequences of the D/E Rates Measure</w:t>
      </w:r>
    </w:p>
    <w:p w14:paraId="6907F3EA"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Comments</w:t>
      </w:r>
      <w:r>
        <w:rPr>
          <w:rFonts w:ascii="Courier New" w:hAnsi="Courier New"/>
          <w:sz w:val="24"/>
          <w:szCs w:val="24"/>
        </w:rPr>
        <w:t xml:space="preserve">:  Commenters recommended that we eliminate the student warning requirement.  They suggested that, if an institution is required to give the student a warning about a program, it would be difficult or impossible to recruit new students and current students would be encouraged to transfer into other programs or withdraw from their program.  The commenters argued that, as a result, the student warning requirement effectively undermines the Department’s stated policy of permitting programs time and </w:t>
      </w:r>
      <w:r w:rsidRPr="003A6B1D">
        <w:rPr>
          <w:rFonts w:ascii="Courier New" w:hAnsi="Courier New"/>
          <w:sz w:val="24"/>
          <w:szCs w:val="24"/>
        </w:rPr>
        <w:t xml:space="preserve">opportunity to improve. </w:t>
      </w:r>
      <w:r>
        <w:rPr>
          <w:rFonts w:ascii="Courier New" w:hAnsi="Courier New"/>
          <w:sz w:val="24"/>
          <w:szCs w:val="24"/>
        </w:rPr>
        <w:t xml:space="preserve"> Another commenter proposed eliminating the student warning requirement on the grounds that, as a result of the warnings, States would be burdened with </w:t>
      </w:r>
      <w:r w:rsidRPr="00D57483">
        <w:rPr>
          <w:rFonts w:ascii="Courier New" w:hAnsi="Courier New"/>
          <w:sz w:val="24"/>
          <w:szCs w:val="24"/>
        </w:rPr>
        <w:t>“unwarranted” consumer complaints against institutions from students concerned that their program is about to lo</w:t>
      </w:r>
      <w:r>
        <w:rPr>
          <w:rFonts w:ascii="Courier New" w:hAnsi="Courier New"/>
          <w:sz w:val="24"/>
          <w:szCs w:val="24"/>
        </w:rPr>
        <w:t>s</w:t>
      </w:r>
      <w:r w:rsidRPr="00D57483">
        <w:rPr>
          <w:rFonts w:ascii="Courier New" w:hAnsi="Courier New"/>
          <w:sz w:val="24"/>
          <w:szCs w:val="24"/>
        </w:rPr>
        <w:t xml:space="preserve">e </w:t>
      </w:r>
      <w:r>
        <w:rPr>
          <w:rFonts w:ascii="Courier New" w:hAnsi="Courier New"/>
          <w:sz w:val="24"/>
          <w:szCs w:val="24"/>
        </w:rPr>
        <w:t>t</w:t>
      </w:r>
      <w:r w:rsidRPr="00D57483">
        <w:rPr>
          <w:rFonts w:ascii="Courier New" w:hAnsi="Courier New"/>
          <w:sz w:val="24"/>
          <w:szCs w:val="24"/>
        </w:rPr>
        <w:t>itle IV</w:t>
      </w:r>
      <w:r>
        <w:rPr>
          <w:rFonts w:ascii="Courier New" w:hAnsi="Courier New"/>
          <w:sz w:val="24"/>
          <w:szCs w:val="24"/>
        </w:rPr>
        <w:t xml:space="preserve">, HEA program </w:t>
      </w:r>
      <w:r w:rsidRPr="00D57483">
        <w:rPr>
          <w:rFonts w:ascii="Courier New" w:hAnsi="Courier New"/>
          <w:sz w:val="24"/>
          <w:szCs w:val="24"/>
        </w:rPr>
        <w:t>eligibility.</w:t>
      </w:r>
      <w:r>
        <w:rPr>
          <w:rFonts w:ascii="Courier New" w:hAnsi="Courier New"/>
          <w:sz w:val="24"/>
          <w:szCs w:val="24"/>
        </w:rPr>
        <w:t xml:space="preserve">   </w:t>
      </w:r>
    </w:p>
    <w:p w14:paraId="712541E1" w14:textId="77777777" w:rsidR="00AA25A4" w:rsidRPr="003A6B1D" w:rsidRDefault="00AA25A4" w:rsidP="00AA25A4">
      <w:pPr>
        <w:spacing w:after="0" w:line="480" w:lineRule="auto"/>
        <w:ind w:firstLine="720"/>
        <w:rPr>
          <w:rFonts w:ascii="Courier New" w:hAnsi="Courier New"/>
          <w:sz w:val="24"/>
          <w:szCs w:val="24"/>
        </w:rPr>
      </w:pPr>
      <w:r>
        <w:rPr>
          <w:rFonts w:ascii="Courier New" w:hAnsi="Courier New"/>
          <w:sz w:val="24"/>
          <w:szCs w:val="24"/>
        </w:rPr>
        <w:t>On the other hand, some commenters supported the proposed student warning requirements.</w:t>
      </w:r>
    </w:p>
    <w:p w14:paraId="3D5D47D4" w14:textId="6802D306" w:rsidR="00AA25A4" w:rsidRPr="00DB4E46" w:rsidRDefault="00AA25A4" w:rsidP="00AA25A4">
      <w:pPr>
        <w:spacing w:after="0" w:line="480" w:lineRule="auto"/>
        <w:rPr>
          <w:rFonts w:ascii="Courier New" w:hAnsi="Courier New" w:cs="Courier New"/>
          <w:sz w:val="24"/>
          <w:szCs w:val="24"/>
        </w:rPr>
      </w:pPr>
      <w:r w:rsidRPr="00DB4E46">
        <w:rPr>
          <w:rFonts w:ascii="Courier New" w:hAnsi="Courier New"/>
          <w:sz w:val="24"/>
          <w:szCs w:val="24"/>
          <w:u w:val="single"/>
        </w:rPr>
        <w:t>Discussion</w:t>
      </w:r>
      <w:r w:rsidRPr="00DB4E46">
        <w:rPr>
          <w:rFonts w:ascii="Courier New" w:hAnsi="Courier New"/>
          <w:sz w:val="24"/>
          <w:szCs w:val="24"/>
        </w:rPr>
        <w:t xml:space="preserve">:  A student enrolled in a program that loses its title IV, HEA program eligibility because of its D/E rates faces potentially serious consequences.  If the program loses eligibility before the student completes the program, the student </w:t>
      </w:r>
      <w:r w:rsidRPr="00DB4E46" w:rsidDel="0081533D">
        <w:rPr>
          <w:rFonts w:ascii="Courier New" w:hAnsi="Courier New"/>
          <w:sz w:val="24"/>
          <w:szCs w:val="24"/>
        </w:rPr>
        <w:t xml:space="preserve">may </w:t>
      </w:r>
      <w:r w:rsidRPr="00DB4E46">
        <w:rPr>
          <w:rFonts w:ascii="Courier New" w:hAnsi="Courier New"/>
          <w:sz w:val="24"/>
          <w:szCs w:val="24"/>
        </w:rPr>
        <w:t xml:space="preserve">need to transfer to an eligible program at the same or another institution to continue to receive title IV, HEA program funds.  Even if the program does not lose eligibility before the student completes the program, the student is, nonetheless, enrolled in </w:t>
      </w:r>
      <w:r w:rsidR="002102D4">
        <w:rPr>
          <w:rFonts w:ascii="Courier New" w:hAnsi="Courier New"/>
          <w:sz w:val="24"/>
          <w:szCs w:val="24"/>
        </w:rPr>
        <w:t xml:space="preserve">a </w:t>
      </w:r>
      <w:r w:rsidRPr="00DB4E46">
        <w:rPr>
          <w:rFonts w:ascii="Courier New" w:hAnsi="Courier New"/>
          <w:sz w:val="24"/>
          <w:szCs w:val="24"/>
        </w:rPr>
        <w:t xml:space="preserve">program that is failing or </w:t>
      </w:r>
      <w:r w:rsidR="002102D4">
        <w:rPr>
          <w:rFonts w:ascii="Courier New" w:hAnsi="Courier New"/>
          <w:sz w:val="24"/>
          <w:szCs w:val="24"/>
        </w:rPr>
        <w:t>consistently resulting in poor student outcomes</w:t>
      </w:r>
      <w:r w:rsidRPr="00DB4E46" w:rsidDel="008D6B2A">
        <w:rPr>
          <w:rFonts w:ascii="Courier New" w:hAnsi="Courier New"/>
          <w:sz w:val="24"/>
          <w:szCs w:val="24"/>
        </w:rPr>
        <w:t xml:space="preserve"> and</w:t>
      </w:r>
      <w:r w:rsidRPr="00DB4E46">
        <w:rPr>
          <w:rFonts w:ascii="Courier New" w:hAnsi="Courier New"/>
          <w:sz w:val="24"/>
          <w:szCs w:val="24"/>
        </w:rPr>
        <w:t xml:space="preserve"> </w:t>
      </w:r>
      <w:r w:rsidRPr="00DB4E46" w:rsidDel="008D6B2A">
        <w:rPr>
          <w:rFonts w:ascii="Courier New" w:hAnsi="Courier New"/>
          <w:sz w:val="24"/>
          <w:szCs w:val="24"/>
        </w:rPr>
        <w:t>could be</w:t>
      </w:r>
      <w:r w:rsidRPr="00DB4E46">
        <w:rPr>
          <w:rFonts w:ascii="Courier New" w:hAnsi="Courier New"/>
          <w:sz w:val="24"/>
          <w:szCs w:val="24"/>
        </w:rPr>
        <w:t xml:space="preserve"> </w:t>
      </w:r>
      <w:r w:rsidRPr="00DB4E46">
        <w:rPr>
          <w:rFonts w:ascii="Courier New" w:hAnsi="Courier New" w:cs="Courier New"/>
          <w:sz w:val="24"/>
          <w:szCs w:val="24"/>
        </w:rPr>
        <w:t xml:space="preserve">amassing unmanageable levels of debt.  Accordingly, we believe it is essential that students be warned about a program’s </w:t>
      </w:r>
      <w:r w:rsidR="002102D4">
        <w:rPr>
          <w:rFonts w:ascii="Courier New" w:hAnsi="Courier New" w:cs="Courier New"/>
          <w:sz w:val="24"/>
          <w:szCs w:val="24"/>
        </w:rPr>
        <w:t>potential loss of eligibility</w:t>
      </w:r>
      <w:r w:rsidR="002D78B1">
        <w:rPr>
          <w:rFonts w:ascii="Courier New" w:hAnsi="Courier New" w:cs="Courier New"/>
          <w:sz w:val="24"/>
          <w:szCs w:val="24"/>
        </w:rPr>
        <w:t xml:space="preserve"> based on its D/E rates</w:t>
      </w:r>
      <w:r w:rsidRPr="00DB4E46">
        <w:rPr>
          <w:rFonts w:ascii="Courier New" w:hAnsi="Courier New" w:cs="Courier New"/>
          <w:sz w:val="24"/>
          <w:szCs w:val="24"/>
        </w:rPr>
        <w:t>.  The student warning will provide currently enrolled students with important information about program outcomes and the potential effect of those outcomes on the program’s future eligibility for title IV, HEA program funds.  This information will also help prospective students make informed decisions about where to pursue their postsecondary education.  Some students who receive a warning may decide to transfer to another program or choose not to enroll in such a program.  Other students may decide to continue or enroll even after being made aware of the program’s poor performance.  In either scenario students will have received the information needed to make an informed decision.  We believe that ensuring that students have this information is necessary, even if it may be more difficult for programs that must issue student warnings to attract and retain students.  Institutions may mitigate the impact of the warnings on student enrollment by offering meaningful assurances and alternatives to the students who enroll in, or remain enrolled in, a program subject to the student warning requirements.</w:t>
      </w:r>
    </w:p>
    <w:p w14:paraId="3E9969DB" w14:textId="3A4E5359" w:rsidR="00AA25A4" w:rsidRPr="00DB4E46" w:rsidRDefault="00AA25A4" w:rsidP="00AA25A4">
      <w:pPr>
        <w:spacing w:after="0" w:line="480" w:lineRule="auto"/>
        <w:ind w:firstLine="720"/>
        <w:rPr>
          <w:rFonts w:ascii="Courier New" w:hAnsi="Courier New" w:cs="Courier New"/>
          <w:sz w:val="24"/>
          <w:szCs w:val="24"/>
        </w:rPr>
      </w:pPr>
      <w:r w:rsidRPr="00DB4E46">
        <w:rPr>
          <w:rFonts w:ascii="Courier New" w:hAnsi="Courier New" w:cs="Courier New"/>
          <w:sz w:val="24"/>
          <w:szCs w:val="24"/>
        </w:rPr>
        <w:t>As a result of the student warning requirements, we expect fewer students will make complaints with State consumer agencies about being misled and enroll</w:t>
      </w:r>
      <w:r w:rsidR="000119D9">
        <w:rPr>
          <w:rFonts w:ascii="Courier New" w:hAnsi="Courier New" w:cs="Courier New"/>
          <w:sz w:val="24"/>
          <w:szCs w:val="24"/>
        </w:rPr>
        <w:t>ing</w:t>
      </w:r>
      <w:r w:rsidRPr="00DB4E46">
        <w:rPr>
          <w:rFonts w:ascii="Courier New" w:hAnsi="Courier New" w:cs="Courier New"/>
          <w:sz w:val="24"/>
          <w:szCs w:val="24"/>
        </w:rPr>
        <w:t xml:space="preserve"> in a program that subsequently loses eligibility.  We also believe any additional burden that might be imposed on State agencies due to an increased number of complaints is outweighed by the benefits of providing the warnings.  </w:t>
      </w:r>
    </w:p>
    <w:p w14:paraId="1E7EC83C" w14:textId="77777777" w:rsidR="00AA25A4" w:rsidRPr="00DB4E46" w:rsidRDefault="00AA25A4" w:rsidP="00AA25A4">
      <w:pPr>
        <w:spacing w:after="0" w:line="480" w:lineRule="auto"/>
        <w:rPr>
          <w:rFonts w:ascii="Courier New" w:hAnsi="Courier New" w:cs="Courier New"/>
          <w:sz w:val="24"/>
          <w:szCs w:val="24"/>
        </w:rPr>
      </w:pPr>
      <w:r w:rsidRPr="00DB4E46">
        <w:rPr>
          <w:rFonts w:ascii="Courier New" w:hAnsi="Courier New" w:cs="Courier New"/>
          <w:sz w:val="24"/>
          <w:szCs w:val="24"/>
          <w:u w:val="single"/>
        </w:rPr>
        <w:t>Changes</w:t>
      </w:r>
      <w:r w:rsidRPr="00DB4E46">
        <w:rPr>
          <w:rFonts w:ascii="Courier New" w:hAnsi="Courier New" w:cs="Courier New"/>
          <w:sz w:val="24"/>
          <w:szCs w:val="24"/>
        </w:rPr>
        <w:t>:  None.</w:t>
      </w:r>
    </w:p>
    <w:p w14:paraId="00D458D4" w14:textId="77777777"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Comments</w:t>
      </w:r>
      <w:r w:rsidRPr="001E3A02">
        <w:rPr>
          <w:rFonts w:ascii="Courier New" w:hAnsi="Courier New" w:cs="Courier New"/>
          <w:sz w:val="24"/>
          <w:szCs w:val="24"/>
          <w:lang w:eastAsia="ja-JP"/>
        </w:rPr>
        <w:t>:  One commenter recommended that we use data regarding GE program performance previously collected by the Department in connection with the 2011 Prior Rule to identify high-risk programs and require those programs to issue student warnings and make other disclosures, effective upon the implementation of the regulations.</w:t>
      </w:r>
    </w:p>
    <w:p w14:paraId="6D6064E0" w14:textId="77777777"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Discussion</w:t>
      </w:r>
      <w:r w:rsidRPr="001E3A02">
        <w:rPr>
          <w:rFonts w:ascii="Courier New" w:hAnsi="Courier New" w:cs="Courier New"/>
          <w:sz w:val="24"/>
          <w:szCs w:val="24"/>
          <w:lang w:eastAsia="ja-JP"/>
        </w:rPr>
        <w:t xml:space="preserve">:  Although we appreciate the commenter’s interest in providing students with timely information, it is not feasible to implement the commenter’s proposal.  In the interest of fairness </w:t>
      </w:r>
      <w:r>
        <w:rPr>
          <w:rFonts w:ascii="Courier New" w:hAnsi="Courier New" w:cs="Courier New"/>
          <w:sz w:val="24"/>
          <w:szCs w:val="24"/>
          <w:lang w:eastAsia="ja-JP"/>
        </w:rPr>
        <w:t xml:space="preserve">and </w:t>
      </w:r>
      <w:r w:rsidRPr="001E3A02">
        <w:rPr>
          <w:rFonts w:ascii="Courier New" w:hAnsi="Courier New" w:cs="Courier New"/>
          <w:sz w:val="24"/>
          <w:szCs w:val="24"/>
          <w:lang w:eastAsia="ja-JP"/>
        </w:rPr>
        <w:t xml:space="preserve">due process, we have provided for a challenge and appeals process in the regulations.  The 2012 GE informational D/E rates are estimated results intended to inform this rulemaking that were not subject to institutional challenges or appeals.  As a result, using these results for accountability purposes would present fairness and due process concerns.  In addition, we would be unable to uniformly apply the commenter’s proposal because the Department does not have data for programs that were established after institutions reported information under the 2011 Prior Rule or for those programs that were in existence at that time but for which data were not reported because institutions lacked records for older cohorts, as may be the case with some medical and dental programs.   </w:t>
      </w:r>
    </w:p>
    <w:p w14:paraId="260AD77E" w14:textId="77777777"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Changes</w:t>
      </w:r>
      <w:r w:rsidRPr="001E3A02">
        <w:rPr>
          <w:rFonts w:ascii="Courier New" w:hAnsi="Courier New" w:cs="Courier New"/>
          <w:sz w:val="24"/>
          <w:szCs w:val="24"/>
          <w:lang w:eastAsia="ja-JP"/>
        </w:rPr>
        <w:t>:  None.</w:t>
      </w:r>
    </w:p>
    <w:p w14:paraId="08F9D45E" w14:textId="77777777"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Comments</w:t>
      </w:r>
      <w:r w:rsidRPr="001E3A02">
        <w:rPr>
          <w:rFonts w:ascii="Courier New" w:hAnsi="Courier New" w:cs="Courier New"/>
          <w:sz w:val="24"/>
          <w:szCs w:val="24"/>
          <w:lang w:eastAsia="ja-JP"/>
        </w:rPr>
        <w:t xml:space="preserve">:  One commenter suggested that an institution should not be required to deliver student warnings as a result of a failing program cohort default rate until the resolution of all related appeals. </w:t>
      </w:r>
    </w:p>
    <w:p w14:paraId="7354DA95" w14:textId="46678A9A"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As discussed in “§668.403  Gainful Employment Program Framework,” we have eliminated the program cohort default rate measure as an accountability metric.  Accordingly, the student warning requirement</w:t>
      </w:r>
      <w:r w:rsidR="000119D9">
        <w:rPr>
          <w:rFonts w:ascii="Courier New" w:eastAsia="Times New Roman" w:hAnsi="Courier New" w:cs="Courier New"/>
          <w:sz w:val="24"/>
          <w:szCs w:val="24"/>
        </w:rPr>
        <w:t>s</w:t>
      </w:r>
      <w:r w:rsidRPr="001E3A02">
        <w:rPr>
          <w:rFonts w:ascii="Courier New" w:eastAsia="Times New Roman" w:hAnsi="Courier New" w:cs="Courier New"/>
          <w:sz w:val="24"/>
          <w:szCs w:val="24"/>
        </w:rPr>
        <w:t xml:space="preserve"> will apply only to programs that </w:t>
      </w:r>
      <w:r w:rsidR="00542809">
        <w:rPr>
          <w:rFonts w:ascii="Courier New" w:eastAsia="Times New Roman" w:hAnsi="Courier New" w:cs="Courier New"/>
          <w:sz w:val="24"/>
          <w:szCs w:val="24"/>
        </w:rPr>
        <w:t>may lose eligibility based on the</w:t>
      </w:r>
      <w:r w:rsidR="000119D9">
        <w:rPr>
          <w:rFonts w:ascii="Courier New" w:eastAsia="Times New Roman" w:hAnsi="Courier New" w:cs="Courier New"/>
          <w:sz w:val="24"/>
          <w:szCs w:val="24"/>
        </w:rPr>
        <w:t>ir</w:t>
      </w:r>
      <w:r w:rsidR="00542809">
        <w:rPr>
          <w:rFonts w:ascii="Courier New" w:eastAsia="Times New Roman" w:hAnsi="Courier New" w:cs="Courier New"/>
          <w:sz w:val="24"/>
          <w:szCs w:val="24"/>
        </w:rPr>
        <w:t xml:space="preserve"> D/E rates for the following award year</w:t>
      </w:r>
      <w:r w:rsidRPr="001E3A02">
        <w:rPr>
          <w:rFonts w:ascii="Courier New" w:eastAsia="Times New Roman" w:hAnsi="Courier New" w:cs="Courier New"/>
          <w:sz w:val="24"/>
          <w:szCs w:val="24"/>
        </w:rPr>
        <w:t>.</w:t>
      </w:r>
    </w:p>
    <w:p w14:paraId="19528E6D" w14:textId="77777777"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Changes</w:t>
      </w:r>
      <w:r w:rsidRPr="001E3A02">
        <w:rPr>
          <w:rFonts w:ascii="Courier New" w:hAnsi="Courier New" w:cs="Courier New"/>
          <w:sz w:val="24"/>
          <w:szCs w:val="24"/>
          <w:lang w:eastAsia="ja-JP"/>
        </w:rPr>
        <w:t>:  None.</w:t>
      </w:r>
    </w:p>
    <w:p w14:paraId="0F2EAEA9" w14:textId="77777777" w:rsidR="00AA25A4" w:rsidRPr="001E3A02" w:rsidRDefault="00AA25A4" w:rsidP="00AA25A4">
      <w:pPr>
        <w:autoSpaceDE w:val="0"/>
        <w:autoSpaceDN w:val="0"/>
        <w:adjustRightInd w:val="0"/>
        <w:spacing w:after="0" w:line="480" w:lineRule="auto"/>
        <w:rPr>
          <w:rFonts w:ascii="Courier New" w:eastAsia="Times New Roman" w:hAnsi="Courier New" w:cs="Courier New"/>
          <w:color w:val="000000"/>
          <w:sz w:val="24"/>
          <w:szCs w:val="24"/>
        </w:rPr>
      </w:pPr>
      <w:r w:rsidRPr="001E3A02">
        <w:rPr>
          <w:rFonts w:ascii="Courier New" w:eastAsia="Times New Roman" w:hAnsi="Courier New" w:cs="Courier New"/>
          <w:color w:val="000000"/>
          <w:sz w:val="24"/>
          <w:szCs w:val="24"/>
          <w:u w:val="single"/>
        </w:rPr>
        <w:t>Comments</w:t>
      </w:r>
      <w:r w:rsidRPr="001E3A02">
        <w:rPr>
          <w:rFonts w:ascii="Courier New" w:eastAsia="Times New Roman" w:hAnsi="Courier New" w:cs="Courier New"/>
          <w:color w:val="000000"/>
          <w:sz w:val="24"/>
          <w:szCs w:val="24"/>
        </w:rPr>
        <w:t xml:space="preserve">:  Some commenters recommended that institutions be required to issue student warnings whenever a program fails or is in the zone under the D/E rates measure rather than just in the year before a program could become ineligible for title IV, HEA program funds, as provided in the proposed regulations.  These commenters reasoned that students and prospective students should be alerted to poor program performance as early as possible.  </w:t>
      </w:r>
    </w:p>
    <w:p w14:paraId="0CEF52AE" w14:textId="77777777" w:rsidR="00AA25A4" w:rsidRPr="001E3A02" w:rsidRDefault="00AA25A4" w:rsidP="00AA25A4">
      <w:pPr>
        <w:autoSpaceDE w:val="0"/>
        <w:autoSpaceDN w:val="0"/>
        <w:adjustRightInd w:val="0"/>
        <w:spacing w:after="0" w:line="480" w:lineRule="auto"/>
        <w:ind w:firstLine="720"/>
        <w:rPr>
          <w:rFonts w:ascii="Courier New" w:eastAsia="Times New Roman" w:hAnsi="Courier New" w:cs="Courier New"/>
          <w:color w:val="000000"/>
          <w:sz w:val="24"/>
          <w:szCs w:val="24"/>
        </w:rPr>
      </w:pPr>
      <w:r w:rsidRPr="001E3A02">
        <w:rPr>
          <w:rFonts w:ascii="Courier New" w:eastAsia="Times New Roman" w:hAnsi="Courier New" w:cs="Courier New"/>
          <w:color w:val="000000"/>
          <w:sz w:val="24"/>
          <w:szCs w:val="24"/>
        </w:rPr>
        <w:t xml:space="preserve">Other commenters, however, agreed with the Department’s proposal to require student warnings only if a program could become ineligible based upon its next set of final D/E rates.  They argued that it would be unfair to require student warnings based on only a single year’s results.   </w:t>
      </w:r>
    </w:p>
    <w:p w14:paraId="5443830C" w14:textId="77777777" w:rsidR="00AA25A4" w:rsidRPr="001E3A02" w:rsidRDefault="00AA25A4" w:rsidP="00AA25A4">
      <w:pPr>
        <w:autoSpaceDE w:val="0"/>
        <w:autoSpaceDN w:val="0"/>
        <w:adjustRightInd w:val="0"/>
        <w:spacing w:after="0" w:line="480" w:lineRule="auto"/>
        <w:ind w:firstLine="720"/>
        <w:rPr>
          <w:rFonts w:ascii="Courier New" w:eastAsia="Times New Roman" w:hAnsi="Courier New" w:cs="Courier New"/>
          <w:color w:val="000000"/>
          <w:sz w:val="24"/>
          <w:szCs w:val="24"/>
        </w:rPr>
      </w:pPr>
      <w:r w:rsidRPr="001E3A02">
        <w:rPr>
          <w:rFonts w:ascii="Courier New" w:eastAsia="Times New Roman" w:hAnsi="Courier New" w:cs="Courier New"/>
          <w:color w:val="000000"/>
          <w:sz w:val="24"/>
          <w:szCs w:val="24"/>
        </w:rPr>
        <w:t xml:space="preserve">One commenter asserted that it takes a long time to build or rebuild a quality academic program because an institution must develop and maintain courses and curricula and find and retain qualified faculty.  According to the commenter, requiring the student warning after one failing or zone result under the D/E rates measure would curtail enrollments, making it difficult to maintain program infrastructure and offerings and resulting in fewer GE programs available to students.  </w:t>
      </w:r>
    </w:p>
    <w:p w14:paraId="3D075926" w14:textId="7D8E2CD8"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xml:space="preserve">:  We agree with the commenters who argued that students and prospective students should receive a warning </w:t>
      </w:r>
      <w:r w:rsidR="00542809">
        <w:rPr>
          <w:rFonts w:ascii="Courier New" w:eastAsia="Times New Roman" w:hAnsi="Courier New" w:cs="Courier New"/>
          <w:sz w:val="24"/>
          <w:szCs w:val="24"/>
        </w:rPr>
        <w:t xml:space="preserve">when </w:t>
      </w:r>
      <w:r w:rsidR="00432130" w:rsidRPr="00166073">
        <w:rPr>
          <w:rFonts w:ascii="Courier New" w:eastAsia="Times New Roman" w:hAnsi="Courier New"/>
          <w:sz w:val="24"/>
        </w:rPr>
        <w:t xml:space="preserve">a </w:t>
      </w:r>
      <w:r w:rsidR="00093EA5" w:rsidRPr="00166073">
        <w:rPr>
          <w:rFonts w:ascii="Courier New" w:eastAsia="Times New Roman" w:hAnsi="Courier New"/>
          <w:sz w:val="24"/>
        </w:rPr>
        <w:t xml:space="preserve">program </w:t>
      </w:r>
      <w:r w:rsidR="00542809" w:rsidRPr="00166073">
        <w:rPr>
          <w:rFonts w:ascii="Courier New" w:eastAsia="Times New Roman" w:hAnsi="Courier New"/>
          <w:sz w:val="24"/>
        </w:rPr>
        <w:t>may lose eligibility in the following award year</w:t>
      </w:r>
      <w:r w:rsidR="00093EA5" w:rsidRPr="00166073">
        <w:rPr>
          <w:rFonts w:ascii="Courier New" w:eastAsia="Times New Roman" w:hAnsi="Courier New"/>
          <w:sz w:val="24"/>
        </w:rPr>
        <w:t xml:space="preserve"> based on its D/E rates</w:t>
      </w:r>
      <w:r w:rsidRPr="00166073">
        <w:rPr>
          <w:rFonts w:ascii="Courier New" w:eastAsia="Times New Roman" w:hAnsi="Courier New"/>
          <w:sz w:val="24"/>
        </w:rPr>
        <w:t>, rather than</w:t>
      </w:r>
      <w:r w:rsidRPr="001E3A02">
        <w:rPr>
          <w:rFonts w:ascii="Courier New" w:eastAsia="Times New Roman" w:hAnsi="Courier New" w:cs="Courier New"/>
          <w:sz w:val="24"/>
          <w:szCs w:val="24"/>
        </w:rPr>
        <w:t xml:space="preserve"> </w:t>
      </w:r>
      <w:r w:rsidR="00432130">
        <w:rPr>
          <w:rFonts w:ascii="Courier New" w:eastAsia="Times New Roman" w:hAnsi="Courier New"/>
          <w:sz w:val="24"/>
        </w:rPr>
        <w:t>at any time</w:t>
      </w:r>
      <w:r w:rsidRPr="001E3A02">
        <w:rPr>
          <w:rFonts w:ascii="Courier New" w:eastAsia="Times New Roman" w:hAnsi="Courier New" w:cs="Courier New"/>
          <w:sz w:val="24"/>
          <w:szCs w:val="24"/>
        </w:rPr>
        <w:t xml:space="preserve"> the program </w:t>
      </w:r>
      <w:r w:rsidR="00432130">
        <w:rPr>
          <w:rFonts w:ascii="Courier New" w:eastAsia="Times New Roman" w:hAnsi="Courier New" w:cs="Courier New"/>
          <w:sz w:val="24"/>
          <w:szCs w:val="24"/>
        </w:rPr>
        <w:t xml:space="preserve">is not passing under the </w:t>
      </w:r>
      <w:r w:rsidRPr="001E3A02" w:rsidDel="00542809">
        <w:rPr>
          <w:rFonts w:ascii="Courier New" w:eastAsia="Times New Roman" w:hAnsi="Courier New" w:cs="Courier New"/>
          <w:sz w:val="24"/>
          <w:szCs w:val="24"/>
        </w:rPr>
        <w:t>D/E rates</w:t>
      </w:r>
      <w:r w:rsidR="00432130">
        <w:rPr>
          <w:rFonts w:ascii="Courier New" w:eastAsia="Times New Roman" w:hAnsi="Courier New" w:cs="Courier New"/>
          <w:sz w:val="24"/>
          <w:szCs w:val="24"/>
        </w:rPr>
        <w:t xml:space="preserve"> measure</w:t>
      </w:r>
      <w:r w:rsidR="00542809">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We recognize that requiring an institution to provide the student warning after a program receives </w:t>
      </w:r>
      <w:r w:rsidR="00CA6EDA">
        <w:rPr>
          <w:rFonts w:ascii="Courier New" w:eastAsia="Times New Roman" w:hAnsi="Courier New" w:cs="Courier New"/>
          <w:sz w:val="24"/>
          <w:szCs w:val="24"/>
        </w:rPr>
        <w:t>D/E rates that are in the zone for the</w:t>
      </w:r>
      <w:r w:rsidRPr="001E3A02">
        <w:rPr>
          <w:rFonts w:ascii="Courier New" w:eastAsia="Times New Roman" w:hAnsi="Courier New" w:cs="Courier New"/>
          <w:sz w:val="24"/>
          <w:szCs w:val="24"/>
        </w:rPr>
        <w:t xml:space="preserve"> </w:t>
      </w:r>
      <w:r w:rsidR="00542809">
        <w:rPr>
          <w:rFonts w:ascii="Courier New" w:eastAsia="Times New Roman" w:hAnsi="Courier New" w:cs="Courier New"/>
          <w:sz w:val="24"/>
          <w:szCs w:val="24"/>
        </w:rPr>
        <w:t>first or second year</w:t>
      </w:r>
      <w:r w:rsidRPr="001E3A02">
        <w:rPr>
          <w:rFonts w:ascii="Courier New" w:eastAsia="Times New Roman" w:hAnsi="Courier New" w:cs="Courier New"/>
          <w:sz w:val="24"/>
          <w:szCs w:val="24"/>
        </w:rPr>
        <w:t xml:space="preserve"> may adversely affect the institution’s ability to improve the program’s performance.  We also appreciate that a program’s D/E rates may be atypical in any given year</w:t>
      </w:r>
      <w:r w:rsidR="00542809">
        <w:rPr>
          <w:rFonts w:ascii="Courier New" w:eastAsia="Times New Roman" w:hAnsi="Courier New" w:cs="Courier New"/>
          <w:sz w:val="24"/>
          <w:szCs w:val="24"/>
        </w:rPr>
        <w:t xml:space="preserve">, and deferring </w:t>
      </w:r>
      <w:r w:rsidR="00CA6EDA">
        <w:rPr>
          <w:rFonts w:ascii="Courier New" w:eastAsia="Times New Roman" w:hAnsi="Courier New" w:cs="Courier New"/>
          <w:sz w:val="24"/>
          <w:szCs w:val="24"/>
        </w:rPr>
        <w:t xml:space="preserve">the </w:t>
      </w:r>
      <w:r w:rsidR="00542809">
        <w:rPr>
          <w:rFonts w:ascii="Courier New" w:eastAsia="Times New Roman" w:hAnsi="Courier New" w:cs="Courier New"/>
          <w:sz w:val="24"/>
          <w:szCs w:val="24"/>
        </w:rPr>
        <w:t>warning until the program receives a failing rate or a third consecutive zone rate</w:t>
      </w:r>
      <w:r w:rsidR="0065158E">
        <w:rPr>
          <w:rFonts w:ascii="Courier New" w:eastAsia="Times New Roman" w:hAnsi="Courier New" w:cs="Courier New"/>
          <w:sz w:val="24"/>
          <w:szCs w:val="24"/>
        </w:rPr>
        <w:t xml:space="preserve"> </w:t>
      </w:r>
      <w:r w:rsidR="00CA6EDA">
        <w:rPr>
          <w:rFonts w:ascii="Courier New" w:eastAsia="Times New Roman" w:hAnsi="Courier New" w:cs="Courier New"/>
          <w:sz w:val="24"/>
          <w:szCs w:val="24"/>
        </w:rPr>
        <w:t>increases the likelihood that the warning is warranted</w:t>
      </w:r>
      <w:r w:rsidR="00E0658D">
        <w:rPr>
          <w:rFonts w:ascii="Courier New" w:eastAsia="Times New Roman" w:hAnsi="Courier New" w:cs="Courier New"/>
          <w:sz w:val="24"/>
          <w:szCs w:val="24"/>
        </w:rPr>
        <w:t>.  Until such time as the warning is required, information about the program’s performance under the D/E rates measure will, nonetheless, be available to students and prospective students</w:t>
      </w:r>
      <w:r w:rsidR="00A5206D">
        <w:rPr>
          <w:rFonts w:ascii="Courier New" w:eastAsia="Times New Roman" w:hAnsi="Courier New" w:cs="Courier New"/>
          <w:sz w:val="24"/>
          <w:szCs w:val="24"/>
        </w:rPr>
        <w:t>.</w:t>
      </w:r>
      <w:r w:rsidR="00E0658D">
        <w:rPr>
          <w:rFonts w:ascii="Courier New" w:eastAsia="Times New Roman" w:hAnsi="Courier New" w:cs="Courier New"/>
          <w:sz w:val="24"/>
          <w:szCs w:val="24"/>
        </w:rPr>
        <w:t xml:space="preserve"> </w:t>
      </w:r>
      <w:r w:rsidR="00A5206D">
        <w:rPr>
          <w:rFonts w:ascii="Courier New" w:eastAsia="Times New Roman" w:hAnsi="Courier New" w:cs="Courier New"/>
          <w:sz w:val="24"/>
          <w:szCs w:val="24"/>
        </w:rPr>
        <w:t xml:space="preserve"> T</w:t>
      </w:r>
      <w:r w:rsidR="00E0658D">
        <w:rPr>
          <w:rFonts w:ascii="Courier New" w:eastAsia="Times New Roman" w:hAnsi="Courier New" w:cs="Courier New"/>
          <w:sz w:val="24"/>
          <w:szCs w:val="24"/>
        </w:rPr>
        <w:t>he Department will publish the final D/E rates</w:t>
      </w:r>
      <w:r w:rsidR="00A5206D">
        <w:rPr>
          <w:rFonts w:ascii="Courier New" w:eastAsia="Times New Roman" w:hAnsi="Courier New" w:cs="Courier New"/>
          <w:sz w:val="24"/>
          <w:szCs w:val="24"/>
        </w:rPr>
        <w:t>,</w:t>
      </w:r>
      <w:r w:rsidR="00E0658D">
        <w:rPr>
          <w:rFonts w:ascii="Courier New" w:eastAsia="Times New Roman" w:hAnsi="Courier New" w:cs="Courier New"/>
          <w:sz w:val="24"/>
          <w:szCs w:val="24"/>
        </w:rPr>
        <w:t xml:space="preserve"> and a program’s disclosure template may include the annual earnings rates, as well as a host of other critical indicators of program performance.</w:t>
      </w:r>
      <w:r w:rsidR="0065158E">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 xml:space="preserve">  </w:t>
      </w:r>
    </w:p>
    <w:p w14:paraId="5DF3CEF6" w14:textId="7777777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We recognize that some students who receive a warning about a program may decide to transfer to another program or choose not to enroll in the program.  Other students may decide to continue or enroll even after being made aware of the program’s poor performance.  In either event, students will have the information necessary to make an informed decision.  Further, as discussed in “§668.403  Gainful Employment Framework,” while some programs will be unable to improve, we believe that many will and that institutions with passing programs will expand them or establish new programs.  Accordingly, we expect that most students who decide not to enroll or continue in a program will have other viable options to continue their education. </w:t>
      </w:r>
    </w:p>
    <w:p w14:paraId="6D578A22" w14:textId="387A6719"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We are making a number of revisions to the proposed text of the student warning.  In order to reduce complexity, we are revising §668.410(a) to provide for a single uniform warning for both enrolled and prospective students rather than, as was the case in the proposed regulations, warnings with varying language depending on whether the student is currently enrolled or a prospective student.  </w:t>
      </w:r>
      <w:r w:rsidRPr="00E0658D">
        <w:rPr>
          <w:rFonts w:ascii="Courier New" w:eastAsia="Times New Roman" w:hAnsi="Courier New"/>
          <w:sz w:val="24"/>
        </w:rPr>
        <w:t xml:space="preserve">We are also revising the text of the single warning to </w:t>
      </w:r>
      <w:r w:rsidRPr="001E3A02">
        <w:rPr>
          <w:rFonts w:ascii="Courier New" w:eastAsia="Times New Roman" w:hAnsi="Courier New" w:cs="Courier New"/>
          <w:sz w:val="24"/>
          <w:szCs w:val="24"/>
        </w:rPr>
        <w:t xml:space="preserve">make it more broadly applicable, easier to understand, and limited to statements of fact.  </w:t>
      </w:r>
    </w:p>
    <w:p w14:paraId="525B213A" w14:textId="1A4BF580"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First, we </w:t>
      </w:r>
      <w:r w:rsidR="002A2BD9">
        <w:rPr>
          <w:rFonts w:ascii="Courier New" w:eastAsia="Times New Roman" w:hAnsi="Courier New" w:cs="Courier New"/>
          <w:sz w:val="24"/>
          <w:szCs w:val="24"/>
        </w:rPr>
        <w:t>are</w:t>
      </w:r>
      <w:r w:rsidR="002A2BD9"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revis</w:t>
      </w:r>
      <w:r w:rsidR="002A2BD9">
        <w:rPr>
          <w:rFonts w:ascii="Courier New" w:eastAsia="Times New Roman" w:hAnsi="Courier New" w:cs="Courier New"/>
          <w:sz w:val="24"/>
          <w:szCs w:val="24"/>
        </w:rPr>
        <w:t>ing</w:t>
      </w:r>
      <w:r w:rsidRPr="001E3A02">
        <w:rPr>
          <w:rFonts w:ascii="Courier New" w:eastAsia="Times New Roman" w:hAnsi="Courier New" w:cs="Courier New"/>
          <w:sz w:val="24"/>
          <w:szCs w:val="24"/>
        </w:rPr>
        <w:t xml:space="preserve"> the text of the warning to reflect that students to whom the warning is provided may complete their program before a loss of eligibility occurs.  Second, we </w:t>
      </w:r>
      <w:r w:rsidR="002A2BD9">
        <w:rPr>
          <w:rFonts w:ascii="Courier New" w:eastAsia="Times New Roman" w:hAnsi="Courier New" w:cs="Courier New"/>
          <w:sz w:val="24"/>
          <w:szCs w:val="24"/>
        </w:rPr>
        <w:t>are</w:t>
      </w:r>
      <w:r w:rsidRPr="001E3A02">
        <w:rPr>
          <w:rFonts w:ascii="Courier New" w:eastAsia="Times New Roman" w:hAnsi="Courier New" w:cs="Courier New"/>
          <w:sz w:val="24"/>
          <w:szCs w:val="24"/>
        </w:rPr>
        <w:t xml:space="preserve"> revis</w:t>
      </w:r>
      <w:r w:rsidR="002A2BD9">
        <w:rPr>
          <w:rFonts w:ascii="Courier New" w:eastAsia="Times New Roman" w:hAnsi="Courier New" w:cs="Courier New"/>
          <w:sz w:val="24"/>
          <w:szCs w:val="24"/>
        </w:rPr>
        <w:t>ing</w:t>
      </w:r>
      <w:r w:rsidRPr="001E3A02">
        <w:rPr>
          <w:rFonts w:ascii="Courier New" w:eastAsia="Times New Roman" w:hAnsi="Courier New" w:cs="Courier New"/>
          <w:sz w:val="24"/>
          <w:szCs w:val="24"/>
        </w:rPr>
        <w:t xml:space="preserve"> the text to clarify that such a loss of eligibility by the program would affect only those students enrolled at the time a loss of eligibility occurs.  Third, because a program loses eligibility if it fails in two out of three consecutive years, we </w:t>
      </w:r>
      <w:r w:rsidR="002A2BD9">
        <w:rPr>
          <w:rFonts w:ascii="Courier New" w:eastAsia="Times New Roman" w:hAnsi="Courier New" w:cs="Courier New"/>
          <w:sz w:val="24"/>
          <w:szCs w:val="24"/>
        </w:rPr>
        <w:t>are</w:t>
      </w:r>
      <w:r w:rsidR="002A2BD9"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revis</w:t>
      </w:r>
      <w:r w:rsidR="002A2BD9">
        <w:rPr>
          <w:rFonts w:ascii="Courier New" w:eastAsia="Times New Roman" w:hAnsi="Courier New" w:cs="Courier New"/>
          <w:sz w:val="24"/>
          <w:szCs w:val="24"/>
        </w:rPr>
        <w:t>ing</w:t>
      </w:r>
      <w:r w:rsidRPr="001E3A02">
        <w:rPr>
          <w:rFonts w:ascii="Courier New" w:eastAsia="Times New Roman" w:hAnsi="Courier New" w:cs="Courier New"/>
          <w:sz w:val="24"/>
          <w:szCs w:val="24"/>
        </w:rPr>
        <w:t xml:space="preserve"> the text of the warning to reflect that a program that </w:t>
      </w:r>
      <w:r w:rsidR="0065158E">
        <w:rPr>
          <w:rFonts w:ascii="Courier New" w:eastAsia="Times New Roman" w:hAnsi="Courier New" w:cs="Courier New"/>
          <w:sz w:val="24"/>
          <w:szCs w:val="24"/>
        </w:rPr>
        <w:t xml:space="preserve">has failed the D/E rates measure </w:t>
      </w:r>
      <w:r w:rsidR="0085462C">
        <w:rPr>
          <w:rFonts w:ascii="Courier New" w:eastAsia="Times New Roman" w:hAnsi="Courier New" w:cs="Courier New"/>
          <w:sz w:val="24"/>
          <w:szCs w:val="24"/>
        </w:rPr>
        <w:t xml:space="preserve">in one year but passed the D/E </w:t>
      </w:r>
      <w:r w:rsidR="002A2BD9">
        <w:rPr>
          <w:rFonts w:ascii="Courier New" w:eastAsia="Times New Roman" w:hAnsi="Courier New" w:cs="Courier New"/>
          <w:sz w:val="24"/>
          <w:szCs w:val="24"/>
        </w:rPr>
        <w:t xml:space="preserve">rates measure in the </w:t>
      </w:r>
      <w:r w:rsidR="0085462C">
        <w:rPr>
          <w:rFonts w:ascii="Courier New" w:eastAsia="Times New Roman" w:hAnsi="Courier New" w:cs="Courier New"/>
          <w:sz w:val="24"/>
          <w:szCs w:val="24"/>
        </w:rPr>
        <w:t>following year</w:t>
      </w:r>
      <w:r w:rsidRPr="001E3A02">
        <w:rPr>
          <w:rFonts w:ascii="Courier New" w:eastAsia="Times New Roman" w:hAnsi="Courier New" w:cs="Courier New"/>
          <w:sz w:val="24"/>
          <w:szCs w:val="24"/>
        </w:rPr>
        <w:t xml:space="preserve"> </w:t>
      </w:r>
      <w:r w:rsidR="0085462C">
        <w:rPr>
          <w:rFonts w:ascii="Courier New" w:eastAsia="Times New Roman" w:hAnsi="Courier New" w:cs="Courier New"/>
          <w:sz w:val="24"/>
          <w:szCs w:val="24"/>
        </w:rPr>
        <w:t xml:space="preserve">still </w:t>
      </w:r>
      <w:r w:rsidRPr="001E3A02">
        <w:rPr>
          <w:rFonts w:ascii="Courier New" w:eastAsia="Times New Roman" w:hAnsi="Courier New" w:cs="Courier New"/>
          <w:sz w:val="24"/>
          <w:szCs w:val="24"/>
        </w:rPr>
        <w:t>face</w:t>
      </w:r>
      <w:r w:rsidR="0065158E">
        <w:rPr>
          <w:rFonts w:ascii="Courier New" w:eastAsia="Times New Roman" w:hAnsi="Courier New" w:cs="Courier New"/>
          <w:sz w:val="24"/>
          <w:szCs w:val="24"/>
        </w:rPr>
        <w:t>s</w:t>
      </w:r>
      <w:r w:rsidRPr="001E3A02">
        <w:rPr>
          <w:rFonts w:ascii="Courier New" w:eastAsia="Times New Roman" w:hAnsi="Courier New" w:cs="Courier New"/>
          <w:sz w:val="24"/>
          <w:szCs w:val="24"/>
        </w:rPr>
        <w:t xml:space="preserve"> loss of eligibility based on its D/E rates for the next award year. </w:t>
      </w:r>
    </w:p>
    <w:p w14:paraId="0D16970C" w14:textId="73D0DC76"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To convey a program’s status under the accountability framework to students and prospective students effectively, we </w:t>
      </w:r>
      <w:r w:rsidR="002A2BD9">
        <w:rPr>
          <w:rFonts w:ascii="Courier New" w:eastAsia="Times New Roman" w:hAnsi="Courier New" w:cs="Courier New"/>
          <w:sz w:val="24"/>
          <w:szCs w:val="24"/>
        </w:rPr>
        <w:t>are</w:t>
      </w:r>
      <w:r w:rsidR="002A2BD9"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revis</w:t>
      </w:r>
      <w:r w:rsidR="002A2BD9">
        <w:rPr>
          <w:rFonts w:ascii="Courier New" w:eastAsia="Times New Roman" w:hAnsi="Courier New" w:cs="Courier New"/>
          <w:sz w:val="24"/>
          <w:szCs w:val="24"/>
        </w:rPr>
        <w:t>ing</w:t>
      </w:r>
      <w:r w:rsidRPr="001E3A02">
        <w:rPr>
          <w:rFonts w:ascii="Courier New" w:eastAsia="Times New Roman" w:hAnsi="Courier New" w:cs="Courier New"/>
          <w:sz w:val="24"/>
          <w:szCs w:val="24"/>
        </w:rPr>
        <w:t xml:space="preserve"> the text of the warning so that it is accurate for both current and prospective students, yet succinct and simply worded.  We avoid, for example, </w:t>
      </w:r>
      <w:r w:rsidR="0085462C">
        <w:rPr>
          <w:rFonts w:ascii="Courier New" w:eastAsia="Times New Roman" w:hAnsi="Courier New" w:cs="Courier New"/>
          <w:sz w:val="24"/>
          <w:szCs w:val="24"/>
        </w:rPr>
        <w:t xml:space="preserve">any </w:t>
      </w:r>
      <w:r w:rsidRPr="001E3A02">
        <w:rPr>
          <w:rFonts w:ascii="Courier New" w:eastAsia="Times New Roman" w:hAnsi="Courier New" w:cs="Courier New"/>
          <w:sz w:val="24"/>
          <w:szCs w:val="24"/>
        </w:rPr>
        <w:t xml:space="preserve">explanation </w:t>
      </w:r>
      <w:r w:rsidR="002A2BD9">
        <w:rPr>
          <w:rFonts w:ascii="Courier New" w:eastAsia="Times New Roman" w:hAnsi="Courier New" w:cs="Courier New"/>
          <w:sz w:val="24"/>
          <w:szCs w:val="24"/>
        </w:rPr>
        <w:t>as to</w:t>
      </w:r>
      <w:r w:rsidRPr="001E3A02">
        <w:rPr>
          <w:rFonts w:ascii="Courier New" w:eastAsia="Times New Roman" w:hAnsi="Courier New" w:cs="Courier New"/>
          <w:sz w:val="24"/>
          <w:szCs w:val="24"/>
        </w:rPr>
        <w:t xml:space="preserve"> why a program with </w:t>
      </w:r>
      <w:r w:rsidR="002A2BD9">
        <w:rPr>
          <w:rFonts w:ascii="Courier New" w:eastAsia="Times New Roman" w:hAnsi="Courier New" w:cs="Courier New"/>
          <w:sz w:val="24"/>
          <w:szCs w:val="24"/>
        </w:rPr>
        <w:t>D/E rates that are</w:t>
      </w:r>
      <w:r w:rsidRPr="001E3A02">
        <w:rPr>
          <w:rFonts w:ascii="Courier New" w:eastAsia="Times New Roman" w:hAnsi="Courier New" w:cs="Courier New"/>
          <w:sz w:val="24"/>
          <w:szCs w:val="24"/>
        </w:rPr>
        <w:t xml:space="preserve"> passing </w:t>
      </w:r>
      <w:r w:rsidR="009F7871">
        <w:rPr>
          <w:rFonts w:ascii="Courier New" w:eastAsia="Times New Roman" w:hAnsi="Courier New" w:cs="Courier New"/>
          <w:sz w:val="24"/>
          <w:szCs w:val="24"/>
        </w:rPr>
        <w:t>in</w:t>
      </w:r>
      <w:r w:rsidR="009F7871"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 xml:space="preserve">the current year could nevertheless lose eligibility based on </w:t>
      </w:r>
      <w:r w:rsidR="002A2BD9">
        <w:rPr>
          <w:rFonts w:ascii="Courier New" w:eastAsia="Times New Roman" w:hAnsi="Courier New" w:cs="Courier New"/>
          <w:sz w:val="24"/>
          <w:szCs w:val="24"/>
        </w:rPr>
        <w:t>rates that are</w:t>
      </w:r>
      <w:r w:rsidRPr="001E3A02">
        <w:rPr>
          <w:rFonts w:ascii="Courier New" w:eastAsia="Times New Roman" w:hAnsi="Courier New" w:cs="Courier New"/>
          <w:sz w:val="24"/>
          <w:szCs w:val="24"/>
        </w:rPr>
        <w:t xml:space="preserve"> failing in the </w:t>
      </w:r>
      <w:r w:rsidR="002A2BD9">
        <w:rPr>
          <w:rFonts w:ascii="Courier New" w:eastAsia="Times New Roman" w:hAnsi="Courier New" w:cs="Courier New"/>
          <w:sz w:val="24"/>
          <w:szCs w:val="24"/>
        </w:rPr>
        <w:t>next</w:t>
      </w:r>
      <w:r w:rsidR="002A2BD9"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year</w:t>
      </w:r>
      <w:r w:rsidR="0085462C">
        <w:rPr>
          <w:rFonts w:ascii="Courier New" w:eastAsia="Times New Roman" w:hAnsi="Courier New" w:cs="Courier New"/>
          <w:sz w:val="24"/>
          <w:szCs w:val="24"/>
        </w:rPr>
        <w:t xml:space="preserve">, or why a program that has received no failing D/E rates </w:t>
      </w:r>
      <w:r w:rsidR="002A2BD9">
        <w:rPr>
          <w:rFonts w:ascii="Courier New" w:eastAsia="Times New Roman" w:hAnsi="Courier New" w:cs="Courier New"/>
          <w:sz w:val="24"/>
          <w:szCs w:val="24"/>
        </w:rPr>
        <w:t>c</w:t>
      </w:r>
      <w:r w:rsidR="0085462C">
        <w:rPr>
          <w:rFonts w:ascii="Courier New" w:eastAsia="Times New Roman" w:hAnsi="Courier New" w:cs="Courier New"/>
          <w:sz w:val="24"/>
          <w:szCs w:val="24"/>
        </w:rPr>
        <w:t xml:space="preserve">ould lose eligibility </w:t>
      </w:r>
      <w:r w:rsidR="002A2BD9">
        <w:rPr>
          <w:rFonts w:ascii="Courier New" w:eastAsia="Times New Roman" w:hAnsi="Courier New" w:cs="Courier New"/>
          <w:sz w:val="24"/>
          <w:szCs w:val="24"/>
        </w:rPr>
        <w:t>based on rates for the next year that are in the zone for the fourth</w:t>
      </w:r>
      <w:r w:rsidR="0085462C">
        <w:rPr>
          <w:rFonts w:ascii="Courier New" w:eastAsia="Times New Roman" w:hAnsi="Courier New" w:cs="Courier New"/>
          <w:sz w:val="24"/>
          <w:szCs w:val="24"/>
        </w:rPr>
        <w:t xml:space="preserve"> consecutive </w:t>
      </w:r>
      <w:r w:rsidR="002A2BD9">
        <w:rPr>
          <w:rFonts w:ascii="Courier New" w:eastAsia="Times New Roman" w:hAnsi="Courier New" w:cs="Courier New"/>
          <w:sz w:val="24"/>
          <w:szCs w:val="24"/>
        </w:rPr>
        <w:t>year</w:t>
      </w:r>
      <w:r w:rsidRPr="001E3A02">
        <w:rPr>
          <w:rFonts w:ascii="Courier New" w:eastAsia="Times New Roman" w:hAnsi="Courier New" w:cs="Courier New"/>
          <w:sz w:val="24"/>
          <w:szCs w:val="24"/>
        </w:rPr>
        <w:t xml:space="preserve">.  We therefore </w:t>
      </w:r>
      <w:r w:rsidR="009F7871">
        <w:rPr>
          <w:rFonts w:ascii="Courier New" w:eastAsia="Times New Roman" w:hAnsi="Courier New" w:cs="Courier New"/>
          <w:sz w:val="24"/>
          <w:szCs w:val="24"/>
        </w:rPr>
        <w:t>are</w:t>
      </w:r>
      <w:r w:rsidR="009F7871"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revis</w:t>
      </w:r>
      <w:r w:rsidR="009F7871">
        <w:rPr>
          <w:rFonts w:ascii="Courier New" w:eastAsia="Times New Roman" w:hAnsi="Courier New" w:cs="Courier New"/>
          <w:sz w:val="24"/>
          <w:szCs w:val="24"/>
        </w:rPr>
        <w:t>ing</w:t>
      </w:r>
      <w:r w:rsidRPr="001E3A02">
        <w:rPr>
          <w:rFonts w:ascii="Courier New" w:eastAsia="Times New Roman" w:hAnsi="Courier New" w:cs="Courier New"/>
          <w:sz w:val="24"/>
          <w:szCs w:val="24"/>
        </w:rPr>
        <w:t xml:space="preserve"> the text of the warning to describe the current status of the program in a manner that is accurate in all circumstances in which the warning is required:</w:t>
      </w:r>
      <w:r w:rsidR="00A5206D">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 xml:space="preserve"> that the program “has not passed” the standards (without identifying whether the statement refers to the current year or the immediately preceding year or years) and that loss of student aid eligibility may occur “if the program does not pass the standards in the future.”  Finally, we are revising the text to simply describe the kind of data on which the D/E rates measure is based.  </w:t>
      </w:r>
    </w:p>
    <w:p w14:paraId="36AD6D32" w14:textId="5A7248F9"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Changes</w:t>
      </w:r>
      <w:r w:rsidRPr="001E3A02">
        <w:rPr>
          <w:rFonts w:ascii="Courier New" w:eastAsia="Times New Roman" w:hAnsi="Courier New" w:cs="Courier New"/>
          <w:sz w:val="24"/>
          <w:szCs w:val="24"/>
        </w:rPr>
        <w:t>:  We have revised §668.410(a) to replace the separate warnings for enrolled students and for prospective students with a single warning for both groups</w:t>
      </w:r>
      <w:r w:rsidRPr="00166073">
        <w:rPr>
          <w:rFonts w:ascii="Courier New" w:eastAsia="Times New Roman" w:hAnsi="Courier New"/>
          <w:sz w:val="24"/>
        </w:rPr>
        <w:t>.</w:t>
      </w:r>
      <w:r w:rsidRPr="001E3A02">
        <w:rPr>
          <w:rFonts w:ascii="Courier New" w:eastAsia="Times New Roman" w:hAnsi="Courier New" w:cs="Courier New"/>
          <w:sz w:val="24"/>
          <w:szCs w:val="24"/>
        </w:rPr>
        <w:t xml:space="preserve">  We have revised the text of the warning to reflect th</w:t>
      </w:r>
      <w:r w:rsidR="009F7871">
        <w:rPr>
          <w:rFonts w:ascii="Courier New" w:eastAsia="Times New Roman" w:hAnsi="Courier New" w:cs="Courier New"/>
          <w:sz w:val="24"/>
          <w:szCs w:val="24"/>
        </w:rPr>
        <w:t>is</w:t>
      </w:r>
      <w:r w:rsidRPr="001E3A02">
        <w:rPr>
          <w:rFonts w:ascii="Courier New" w:eastAsia="Times New Roman" w:hAnsi="Courier New" w:cs="Courier New"/>
          <w:sz w:val="24"/>
          <w:szCs w:val="24"/>
        </w:rPr>
        <w:t xml:space="preserve"> change and to make the warning </w:t>
      </w:r>
      <w:r w:rsidR="009F7871">
        <w:rPr>
          <w:rFonts w:ascii="Courier New" w:eastAsia="Times New Roman" w:hAnsi="Courier New" w:cs="Courier New"/>
          <w:sz w:val="24"/>
          <w:szCs w:val="24"/>
        </w:rPr>
        <w:t xml:space="preserve">more broadly applicable, </w:t>
      </w:r>
      <w:r w:rsidRPr="001E3A02">
        <w:rPr>
          <w:rFonts w:ascii="Courier New" w:eastAsia="Times New Roman" w:hAnsi="Courier New" w:cs="Courier New"/>
          <w:sz w:val="24"/>
          <w:szCs w:val="24"/>
        </w:rPr>
        <w:t>easier to understand</w:t>
      </w:r>
      <w:r w:rsidR="009F7871">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and limited to statements of fact.  </w:t>
      </w:r>
    </w:p>
    <w:p w14:paraId="3642D5BB"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Comments</w:t>
      </w:r>
      <w:r w:rsidRPr="001E3A02">
        <w:rPr>
          <w:rFonts w:ascii="Courier New" w:eastAsia="Times New Roman" w:hAnsi="Courier New" w:cs="Courier New"/>
          <w:sz w:val="24"/>
          <w:szCs w:val="24"/>
        </w:rPr>
        <w:t xml:space="preserve">:  One commenter contended that, for shorter programs, even if a program becomes ineligible for title IV, HEA program funds in the next year, a student may be able to complete the program without any effect on the student’s ability to continue receiving financial aid.  The commenter recommended that in these circumstances, institutions should not be required to give a student warning or should be permitted to revise the content of the warning.  </w:t>
      </w:r>
    </w:p>
    <w:p w14:paraId="3D0E341C"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xml:space="preserve">:  We agree that at the time that a student receives the student warnings, loss of access to title IV, HEA program funds will be only a possibility rather than a certain result.  Accordingly, as discussed above, we have revised the text of the student warnings to state that if the program does not pass Department standards in the future, “students who are then enrolled may” lose access to title IV, HEA program funds to pay for the program.  </w:t>
      </w:r>
    </w:p>
    <w:p w14:paraId="64F1F375" w14:textId="575F26F0" w:rsidR="00AA25A4" w:rsidRPr="001E3A02" w:rsidRDefault="00AA25A4" w:rsidP="00AA25A4">
      <w:pPr>
        <w:spacing w:after="0" w:line="480" w:lineRule="auto"/>
        <w:contextualSpacing/>
        <w:rPr>
          <w:rFonts w:ascii="Courier New" w:hAnsi="Courier New" w:cs="Courier New"/>
          <w:sz w:val="24"/>
          <w:szCs w:val="24"/>
          <w:lang w:eastAsia="ja-JP"/>
        </w:rPr>
      </w:pPr>
      <w:r w:rsidRPr="001E3A02">
        <w:rPr>
          <w:rFonts w:ascii="Courier New" w:hAnsi="Courier New" w:cs="Courier New"/>
          <w:sz w:val="24"/>
          <w:szCs w:val="24"/>
          <w:u w:val="single"/>
          <w:lang w:eastAsia="ja-JP"/>
        </w:rPr>
        <w:t>Changes</w:t>
      </w:r>
      <w:r w:rsidRPr="001E3A02">
        <w:rPr>
          <w:rFonts w:ascii="Courier New" w:hAnsi="Courier New" w:cs="Courier New"/>
          <w:sz w:val="24"/>
          <w:szCs w:val="24"/>
          <w:lang w:eastAsia="ja-JP"/>
        </w:rPr>
        <w:t>:  As previously discussed, we have revised §668.410(a) to clarify in the student warning that loss of eligibility may occur in the future, and students then enrolled may lose access to title IV, HEA program funds.</w:t>
      </w:r>
    </w:p>
    <w:p w14:paraId="3115AED0" w14:textId="77777777" w:rsidR="00AA25A4" w:rsidRPr="001E3A02" w:rsidRDefault="00AA25A4" w:rsidP="00AA25A4">
      <w:pPr>
        <w:spacing w:after="0" w:line="480" w:lineRule="auto"/>
        <w:rPr>
          <w:rFonts w:ascii="Courier New" w:hAnsi="Courier New" w:cs="Courier New"/>
          <w:sz w:val="24"/>
          <w:szCs w:val="24"/>
        </w:rPr>
      </w:pPr>
      <w:r w:rsidRPr="001E3A02">
        <w:rPr>
          <w:rFonts w:ascii="Courier New" w:hAnsi="Courier New" w:cs="Courier New"/>
          <w:sz w:val="24"/>
          <w:szCs w:val="24"/>
          <w:u w:val="single"/>
        </w:rPr>
        <w:t>Comments</w:t>
      </w:r>
      <w:r w:rsidRPr="001E3A02">
        <w:rPr>
          <w:rFonts w:ascii="Courier New" w:hAnsi="Courier New" w:cs="Courier New"/>
          <w:sz w:val="24"/>
          <w:szCs w:val="24"/>
        </w:rPr>
        <w:t xml:space="preserve">:  One commenter asserted that the student warnings in the proposed regulations incorrectly state that programs provide Federal financial aid, when it is the Department that provides title IV, HEA program funds.  </w:t>
      </w:r>
    </w:p>
    <w:p w14:paraId="27E03D34" w14:textId="77777777" w:rsidR="00AA25A4" w:rsidRPr="001E3A02" w:rsidRDefault="00AA25A4" w:rsidP="00AA25A4">
      <w:pPr>
        <w:spacing w:after="0" w:line="480" w:lineRule="auto"/>
        <w:rPr>
          <w:rFonts w:ascii="Courier New" w:hAnsi="Courier New" w:cs="Courier New"/>
          <w:sz w:val="24"/>
          <w:szCs w:val="24"/>
        </w:rPr>
      </w:pPr>
      <w:r w:rsidRPr="001E3A02">
        <w:rPr>
          <w:rFonts w:ascii="Courier New" w:hAnsi="Courier New" w:cs="Courier New"/>
          <w:sz w:val="24"/>
          <w:szCs w:val="24"/>
          <w:u w:val="single"/>
        </w:rPr>
        <w:t>Discussion</w:t>
      </w:r>
      <w:r w:rsidRPr="001E3A02">
        <w:rPr>
          <w:rFonts w:ascii="Courier New" w:hAnsi="Courier New" w:cs="Courier New"/>
          <w:sz w:val="24"/>
          <w:szCs w:val="24"/>
        </w:rPr>
        <w:t xml:space="preserve">:  The commenter is correct that title IV, HEA program funds are not provided by a program.  </w:t>
      </w:r>
    </w:p>
    <w:p w14:paraId="6098ACFC" w14:textId="7B055E55" w:rsidR="00AA25A4" w:rsidRPr="001E3A02" w:rsidRDefault="00AA25A4" w:rsidP="00AA25A4">
      <w:pPr>
        <w:spacing w:after="0" w:line="480" w:lineRule="auto"/>
        <w:rPr>
          <w:rFonts w:ascii="Courier New" w:hAnsi="Courier New" w:cs="Courier New"/>
          <w:sz w:val="24"/>
          <w:szCs w:val="24"/>
          <w:u w:val="single"/>
        </w:rPr>
      </w:pPr>
      <w:r w:rsidRPr="001E3A02">
        <w:rPr>
          <w:rFonts w:ascii="Courier New" w:hAnsi="Courier New" w:cs="Courier New"/>
          <w:sz w:val="24"/>
          <w:szCs w:val="24"/>
          <w:u w:val="single"/>
        </w:rPr>
        <w:t>Changes</w:t>
      </w:r>
      <w:r w:rsidRPr="001E3A02">
        <w:rPr>
          <w:rFonts w:ascii="Courier New" w:hAnsi="Courier New" w:cs="Courier New"/>
          <w:sz w:val="24"/>
          <w:szCs w:val="24"/>
        </w:rPr>
        <w:t xml:space="preserve">:  We have revised </w:t>
      </w:r>
      <w:r w:rsidR="00DB6D45">
        <w:rPr>
          <w:rFonts w:ascii="Courier New" w:hAnsi="Courier New" w:cs="Courier New"/>
          <w:sz w:val="24"/>
          <w:szCs w:val="24"/>
        </w:rPr>
        <w:t xml:space="preserve">the text of the student warning in </w:t>
      </w:r>
      <w:r w:rsidRPr="001E3A02">
        <w:rPr>
          <w:rFonts w:ascii="Courier New" w:hAnsi="Courier New" w:cs="Courier New"/>
          <w:sz w:val="24"/>
          <w:szCs w:val="24"/>
        </w:rPr>
        <w:t>§668.410(a) to clarify that title IV, HEA program funds are provided by the Department.</w:t>
      </w:r>
    </w:p>
    <w:p w14:paraId="5C31291F"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Comments</w:t>
      </w:r>
      <w:r w:rsidRPr="001E3A02">
        <w:rPr>
          <w:rFonts w:ascii="Courier New" w:eastAsia="Times New Roman" w:hAnsi="Courier New" w:cs="Courier New"/>
          <w:sz w:val="24"/>
          <w:szCs w:val="24"/>
        </w:rPr>
        <w:t>:  One commenter recommended that, with respect to warnings to enrolled students, institutions should be required to specify the options that will be available if the program loses its eligibility for title IV, HEA program funds.</w:t>
      </w:r>
    </w:p>
    <w:p w14:paraId="6503617A" w14:textId="795CFD9C"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xml:space="preserve">:  The proposed regulations required that the warning </w:t>
      </w:r>
      <w:r w:rsidR="00DB6D45">
        <w:rPr>
          <w:rFonts w:ascii="Courier New" w:eastAsia="Times New Roman" w:hAnsi="Courier New" w:cs="Courier New"/>
          <w:sz w:val="24"/>
          <w:szCs w:val="24"/>
        </w:rPr>
        <w:t>to enrolled students</w:t>
      </w:r>
      <w:r w:rsidRPr="001E3A02">
        <w:rPr>
          <w:rFonts w:ascii="Courier New" w:eastAsia="Times New Roman" w:hAnsi="Courier New" w:cs="Courier New"/>
          <w:sz w:val="24"/>
          <w:szCs w:val="24"/>
        </w:rPr>
        <w:t xml:space="preserve"> must:</w:t>
      </w:r>
    </w:p>
    <w:p w14:paraId="4DBF6FA5" w14:textId="77777777" w:rsidR="00AA25A4" w:rsidRPr="001E3A02" w:rsidRDefault="00AA25A4" w:rsidP="00AA25A4">
      <w:pPr>
        <w:numPr>
          <w:ilvl w:val="0"/>
          <w:numId w:val="1"/>
        </w:num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rPr>
        <w:t>Describe the options available to students to continue their education at the institution, or at another institution, in the event that the program loses eligibility for title IV, HEA program funds; and</w:t>
      </w:r>
    </w:p>
    <w:p w14:paraId="442ADD1D" w14:textId="77777777" w:rsidR="00AA25A4" w:rsidRPr="001E3A02" w:rsidRDefault="00AA25A4" w:rsidP="00AA25A4">
      <w:pPr>
        <w:numPr>
          <w:ilvl w:val="0"/>
          <w:numId w:val="1"/>
        </w:num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rPr>
        <w:t>Indicate whether the institution will allow students to transfer to another program at the institution; continue to provide instruction in the program to allow students to complete the program; and refund the tuition, fees, and other required charges paid to the institution by, or on behalf of, students for enrollment in the program.</w:t>
      </w:r>
    </w:p>
    <w:p w14:paraId="3B718903" w14:textId="41A6300E" w:rsidR="00AA25A4" w:rsidRPr="001E3A02" w:rsidRDefault="0086068D" w:rsidP="0086068D">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AA25A4" w:rsidRPr="001E3A02">
        <w:rPr>
          <w:rFonts w:ascii="Courier New" w:eastAsia="Times New Roman" w:hAnsi="Courier New" w:cs="Courier New"/>
          <w:sz w:val="24"/>
          <w:szCs w:val="24"/>
        </w:rPr>
        <w:t xml:space="preserve">We are revising the regulations to require the warning </w:t>
      </w:r>
      <w:r w:rsidR="00DB6D45">
        <w:rPr>
          <w:rFonts w:ascii="Courier New" w:eastAsia="Times New Roman" w:hAnsi="Courier New" w:cs="Courier New"/>
          <w:sz w:val="24"/>
          <w:szCs w:val="24"/>
        </w:rPr>
        <w:t>to enrolled students</w:t>
      </w:r>
      <w:r w:rsidR="00AA25A4" w:rsidRPr="001E3A02">
        <w:rPr>
          <w:rFonts w:ascii="Courier New" w:eastAsia="Times New Roman" w:hAnsi="Courier New" w:cs="Courier New"/>
          <w:sz w:val="24"/>
          <w:szCs w:val="24"/>
        </w:rPr>
        <w:t xml:space="preserve"> to include additional details.  First, the institution must provide academic and financial information about transfer options</w:t>
      </w:r>
      <w:r w:rsidR="00336D5C">
        <w:rPr>
          <w:rFonts w:ascii="Courier New" w:eastAsia="Times New Roman" w:hAnsi="Courier New" w:cs="Courier New"/>
          <w:sz w:val="24"/>
          <w:szCs w:val="24"/>
        </w:rPr>
        <w:t xml:space="preserve"> available within the institution itself</w:t>
      </w:r>
      <w:r w:rsidR="00AA25A4" w:rsidRPr="001E3A02">
        <w:rPr>
          <w:rFonts w:ascii="Courier New" w:eastAsia="Times New Roman" w:hAnsi="Courier New" w:cs="Courier New"/>
          <w:sz w:val="24"/>
          <w:szCs w:val="24"/>
        </w:rPr>
        <w:t xml:space="preserve">.  </w:t>
      </w:r>
      <w:r w:rsidR="00336D5C">
        <w:rPr>
          <w:rFonts w:ascii="Courier New" w:eastAsia="Times New Roman" w:hAnsi="Courier New" w:cs="Courier New"/>
          <w:sz w:val="24"/>
          <w:szCs w:val="24"/>
        </w:rPr>
        <w:t>B</w:t>
      </w:r>
      <w:r w:rsidR="00AA25A4" w:rsidRPr="001E3A02">
        <w:rPr>
          <w:rFonts w:ascii="Courier New" w:eastAsia="Times New Roman" w:hAnsi="Courier New" w:cs="Courier New"/>
          <w:sz w:val="24"/>
          <w:szCs w:val="24"/>
        </w:rPr>
        <w:t xml:space="preserve">ecause there are often limitations on the transfer of credits from one program to another, institutions must </w:t>
      </w:r>
      <w:r w:rsidR="0044655A">
        <w:rPr>
          <w:rFonts w:ascii="Courier New" w:eastAsia="Times New Roman" w:hAnsi="Courier New" w:cs="Courier New"/>
          <w:sz w:val="24"/>
          <w:szCs w:val="24"/>
        </w:rPr>
        <w:t>also</w:t>
      </w:r>
      <w:r w:rsidR="00AA25A4" w:rsidRPr="001E3A02">
        <w:rPr>
          <w:rFonts w:ascii="Courier New" w:eastAsia="Times New Roman" w:hAnsi="Courier New" w:cs="Courier New"/>
          <w:sz w:val="24"/>
          <w:szCs w:val="24"/>
        </w:rPr>
        <w:t xml:space="preserve"> indicate which course credits would transfer to another program at the institution and whether the students could transfer credits earned in the program to another institution.  Finally, we are requiring that all student warnings refer students and prospective students to </w:t>
      </w:r>
      <w:r w:rsidR="00AA25A4" w:rsidRPr="001E3A02">
        <w:rPr>
          <w:rFonts w:ascii="Courier New" w:hAnsi="Courier New" w:cs="Courier New"/>
          <w:sz w:val="24"/>
          <w:szCs w:val="24"/>
        </w:rPr>
        <w:t xml:space="preserve">the Department’s College Navigator or other Federal resource for information about similar programs.  With this change, we have eliminated the obligation under proposed §668.410(a)(1)(ii) that the institution research, and advise the student, whether similar programs might be available at other institutions for a student who wishes to complete a program elsewhere. </w:t>
      </w:r>
      <w:r w:rsidR="00AA25A4" w:rsidRPr="001E3A02">
        <w:rPr>
          <w:rFonts w:ascii="Courier New" w:eastAsia="SimSun" w:hAnsi="Courier New" w:cs="Courier New"/>
          <w:sz w:val="24"/>
          <w:szCs w:val="24"/>
          <w:lang w:eastAsia="zh-CN"/>
        </w:rPr>
        <w:t xml:space="preserve"> </w:t>
      </w:r>
    </w:p>
    <w:p w14:paraId="0DA20C03" w14:textId="4C9FBFB0"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Changes</w:t>
      </w:r>
      <w:r w:rsidRPr="001E3A02">
        <w:rPr>
          <w:rFonts w:ascii="Courier New" w:eastAsia="Times New Roman" w:hAnsi="Courier New" w:cs="Courier New"/>
          <w:sz w:val="24"/>
          <w:szCs w:val="24"/>
        </w:rPr>
        <w:t xml:space="preserve">:  </w:t>
      </w:r>
      <w:r w:rsidR="00B86812">
        <w:rPr>
          <w:rFonts w:ascii="Courier New" w:eastAsia="Times New Roman" w:hAnsi="Courier New" w:cs="Courier New"/>
          <w:sz w:val="24"/>
          <w:szCs w:val="24"/>
        </w:rPr>
        <w:t>W</w:t>
      </w:r>
      <w:r w:rsidRPr="001E3A02">
        <w:rPr>
          <w:rFonts w:ascii="Courier New" w:eastAsia="Times New Roman" w:hAnsi="Courier New" w:cs="Courier New"/>
          <w:sz w:val="24"/>
          <w:szCs w:val="24"/>
        </w:rPr>
        <w:t>e have revised §668.410(a) to require institutions to provide students with information about their available financial and academic options at the institution, which course credits will transfer to another program at the institution, and whether program credits may be transferred to another institution.  For these programs we also have eliminated the requirement that institutions describe the options available to students at other institutions and, instead, have required that institutions include in all of their student warnings a reference to College Navigator for information about similar programs.</w:t>
      </w:r>
    </w:p>
    <w:p w14:paraId="1CB3935A"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Comments</w:t>
      </w:r>
      <w:r w:rsidRPr="001E3A02">
        <w:rPr>
          <w:rFonts w:ascii="Courier New" w:eastAsia="Times New Roman" w:hAnsi="Courier New" w:cs="Courier New"/>
          <w:sz w:val="24"/>
          <w:szCs w:val="24"/>
        </w:rPr>
        <w:t xml:space="preserve">:  One commenter stressed the importance of consumer testing of the content of the student warning and recommended that we develop the text of the warning in coordination with the Consumer Financial Protection Bureau, Federal Trade Commission, and State attorneys general.  Another commenter emphasized the importance of including students who are currently attending the programs most likely to be affected in any consumer testing, including students attending programs offered by for-profit institutions. </w:t>
      </w:r>
    </w:p>
    <w:p w14:paraId="3028A961"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xml:space="preserve">:  The regulations include text for the student warnings.  The Secretary will use consumer testing to inform any modifications to the text that have the potential to improve the warning’s effectiveness.  As a part of the consumer testing process, we will seek input from a wide variety of sources, which may include those suggested by the commenter.  </w:t>
      </w:r>
    </w:p>
    <w:p w14:paraId="22F6C53B"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Changes</w:t>
      </w:r>
      <w:r w:rsidRPr="001E3A02">
        <w:rPr>
          <w:rFonts w:ascii="Courier New" w:eastAsia="Times New Roman" w:hAnsi="Courier New" w:cs="Courier New"/>
          <w:sz w:val="24"/>
          <w:szCs w:val="24"/>
        </w:rPr>
        <w:t xml:space="preserve">:  None. </w:t>
      </w:r>
    </w:p>
    <w:p w14:paraId="6FF93DD9" w14:textId="77777777" w:rsidR="00AA25A4" w:rsidRPr="001E3A02" w:rsidRDefault="00AA25A4" w:rsidP="00AA25A4">
      <w:pPr>
        <w:autoSpaceDE w:val="0"/>
        <w:autoSpaceDN w:val="0"/>
        <w:adjustRightInd w:val="0"/>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Comments</w:t>
      </w:r>
      <w:r w:rsidRPr="001E3A02">
        <w:rPr>
          <w:rFonts w:ascii="Courier New" w:eastAsia="Times New Roman" w:hAnsi="Courier New" w:cs="Courier New"/>
          <w:sz w:val="24"/>
          <w:szCs w:val="24"/>
        </w:rPr>
        <w:t xml:space="preserve">:  Some commenters asserted that requiring an institution to give warnings to students and prospective students would violate the institution’s First Amendment rights and particularly its rights relating to commercial speech.  These commenters argued that the required warning is not purely factual and uncontroversial, but rather is an ideological statement reflecting a Department bias against the for-profit education industry.  Commenters stated that the Department should provide to students and prospective students any such warnings it considers necessary, rather than requiring the institution to do so.  </w:t>
      </w:r>
    </w:p>
    <w:p w14:paraId="47C6B0BB"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Discussion</w:t>
      </w:r>
      <w:r w:rsidRPr="001E3A02">
        <w:rPr>
          <w:rFonts w:ascii="Courier New" w:eastAsia="Times New Roman" w:hAnsi="Courier New" w:cs="Courier New"/>
          <w:sz w:val="24"/>
          <w:szCs w:val="24"/>
        </w:rPr>
        <w:t>:  We do not agree that it is a violation of an institution’s First Amendment rights to require it to give warnings to students and prospective students.  We discuss, first, the commenters’ objections to the content of the required warnings and, next, their objection to the requirement that the institution itself provide the warnings.</w:t>
      </w:r>
    </w:p>
    <w:p w14:paraId="2C76DC5D" w14:textId="55E43B6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As acknowledged by the commenters who objected to the required warnings, these regulations govern commercial speech, which is “expression related solely to the economic interests of the speaker and its audience, . . . speech proposing a commercial transaction”; “material representations about the efficacy, safety, and quality of the advertiser’s product, and other information asserted for the purpose of persuading the public to purchase the product also can qualify as commercial speech.”  </w:t>
      </w:r>
      <w:r w:rsidRPr="001E3A02">
        <w:rPr>
          <w:rFonts w:ascii="Courier New" w:eastAsia="Times New Roman" w:hAnsi="Courier New" w:cs="Courier New"/>
          <w:sz w:val="24"/>
          <w:szCs w:val="24"/>
          <w:u w:val="single"/>
        </w:rPr>
        <w:t>APSCU v. Duncan</w:t>
      </w:r>
      <w:r w:rsidRPr="001E3A02">
        <w:rPr>
          <w:rFonts w:ascii="Courier New" w:eastAsia="Times New Roman" w:hAnsi="Courier New" w:cs="Courier New"/>
          <w:sz w:val="24"/>
          <w:szCs w:val="24"/>
        </w:rPr>
        <w:t>, 681 F.3d 427, 455 (D.C. Cir. 2012)</w:t>
      </w:r>
      <w:r w:rsidR="004C3D13">
        <w:rPr>
          <w:rFonts w:ascii="Courier New" w:eastAsia="Times New Roman" w:hAnsi="Courier New" w:cs="Courier New"/>
          <w:sz w:val="24"/>
          <w:szCs w:val="24"/>
        </w:rPr>
        <w:t xml:space="preserve"> (citations omitted)</w:t>
      </w:r>
      <w:r w:rsidRPr="001E3A02">
        <w:rPr>
          <w:rFonts w:ascii="Courier New" w:eastAsia="Times New Roman" w:hAnsi="Courier New" w:cs="Courier New"/>
          <w:sz w:val="24"/>
          <w:szCs w:val="24"/>
        </w:rPr>
        <w:t>.  As the commenters also acknowledged, the case law recognizes that the government may regulate commercial speech, and that different tests apply depending on whether the government prohibits commercial speech or, as is the case with these regulations, merely requires disclosures.</w:t>
      </w:r>
      <w:r w:rsidRPr="001E3A02">
        <w:rPr>
          <w:rFonts w:ascii="Courier New" w:eastAsia="Times New Roman" w:hAnsi="Courier New" w:cs="Courier New"/>
          <w:sz w:val="24"/>
          <w:szCs w:val="24"/>
          <w:vertAlign w:val="superscript"/>
        </w:rPr>
        <w:footnoteReference w:id="170"/>
      </w:r>
      <w:r w:rsidRPr="001E3A02">
        <w:rPr>
          <w:rFonts w:ascii="Courier New" w:eastAsia="Times New Roman" w:hAnsi="Courier New" w:cs="Courier New"/>
          <w:sz w:val="24"/>
          <w:szCs w:val="24"/>
        </w:rPr>
        <w:t xml:space="preserve"> </w:t>
      </w:r>
    </w:p>
    <w:p w14:paraId="66F09ADF" w14:textId="4A618DBD"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Courts have required that laws regulating commercial speech must directly advance a significant government interest and must do so in a manner narrowly tailored to that goal.  </w:t>
      </w:r>
      <w:r w:rsidRPr="001E3A02">
        <w:rPr>
          <w:rFonts w:ascii="Courier New" w:eastAsia="Times New Roman" w:hAnsi="Courier New" w:cs="Courier New"/>
          <w:sz w:val="24"/>
          <w:szCs w:val="24"/>
          <w:u w:val="single"/>
        </w:rPr>
        <w:t>Central Hudson</w:t>
      </w:r>
      <w:r>
        <w:rPr>
          <w:rFonts w:ascii="Courier New" w:eastAsia="Times New Roman" w:hAnsi="Courier New" w:cs="Courier New"/>
          <w:sz w:val="24"/>
          <w:szCs w:val="24"/>
          <w:u w:val="single"/>
        </w:rPr>
        <w:t xml:space="preserve"> Gas and Elec</w:t>
      </w:r>
      <w:r w:rsidR="004C3D13">
        <w:rPr>
          <w:rFonts w:ascii="Courier New" w:eastAsia="Times New Roman" w:hAnsi="Courier New" w:cs="Courier New"/>
          <w:sz w:val="24"/>
          <w:szCs w:val="24"/>
          <w:u w:val="single"/>
        </w:rPr>
        <w:t>.</w:t>
      </w:r>
      <w:r>
        <w:rPr>
          <w:rFonts w:ascii="Courier New" w:eastAsia="Times New Roman" w:hAnsi="Courier New" w:cs="Courier New"/>
          <w:sz w:val="24"/>
          <w:szCs w:val="24"/>
          <w:u w:val="single"/>
        </w:rPr>
        <w:t xml:space="preserve"> Corp. v. Public Service Comm’n</w:t>
      </w:r>
      <w:r w:rsidR="004C3D13" w:rsidRPr="00A5206D">
        <w:rPr>
          <w:rFonts w:ascii="Courier New" w:eastAsia="Times New Roman" w:hAnsi="Courier New" w:cs="Courier New"/>
          <w:sz w:val="24"/>
          <w:szCs w:val="24"/>
          <w:u w:val="single"/>
        </w:rPr>
        <w:t xml:space="preserve"> of N.Y.</w:t>
      </w:r>
      <w:r w:rsidRPr="00A5206D">
        <w:rPr>
          <w:rFonts w:ascii="Courier New" w:eastAsia="Times New Roman" w:hAnsi="Courier New" w:cs="Courier New"/>
          <w:sz w:val="24"/>
          <w:szCs w:val="24"/>
        </w:rPr>
        <w:t xml:space="preserve">, </w:t>
      </w:r>
      <w:r w:rsidRPr="001E3A02">
        <w:rPr>
          <w:rFonts w:ascii="Courier New" w:eastAsia="Times New Roman" w:hAnsi="Courier New" w:cs="Courier New"/>
          <w:sz w:val="24"/>
          <w:szCs w:val="24"/>
        </w:rPr>
        <w:t xml:space="preserve">447 U.S. </w:t>
      </w:r>
      <w:r>
        <w:rPr>
          <w:rFonts w:ascii="Courier New" w:eastAsia="Times New Roman" w:hAnsi="Courier New" w:cs="Courier New"/>
          <w:sz w:val="24"/>
          <w:szCs w:val="24"/>
        </w:rPr>
        <w:t>557,</w:t>
      </w:r>
      <w:r w:rsidRPr="001E3A02">
        <w:rPr>
          <w:rFonts w:ascii="Courier New" w:eastAsia="Times New Roman" w:hAnsi="Courier New" w:cs="Courier New"/>
          <w:sz w:val="24"/>
          <w:szCs w:val="24"/>
        </w:rPr>
        <w:t xml:space="preserve"> 564</w:t>
      </w:r>
      <w:r>
        <w:rPr>
          <w:rFonts w:ascii="Courier New" w:eastAsia="Times New Roman" w:hAnsi="Courier New" w:cs="Courier New"/>
          <w:sz w:val="24"/>
          <w:szCs w:val="24"/>
        </w:rPr>
        <w:t xml:space="preserve"> (1980)</w:t>
      </w:r>
      <w:r w:rsidRPr="001E3A02">
        <w:rPr>
          <w:rFonts w:ascii="Courier New" w:eastAsia="Times New Roman" w:hAnsi="Courier New" w:cs="Courier New"/>
          <w:sz w:val="24"/>
          <w:szCs w:val="24"/>
        </w:rPr>
        <w:t xml:space="preserve">.   </w:t>
      </w:r>
    </w:p>
    <w:p w14:paraId="37725AF8" w14:textId="33C0DA84"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A government requirement that parties disclose “accurate, factual commercial information” does not violate the First Amendment if the requirement is “reasonably related” to a significant government interest, including not merely “preventing deception,” but other significant interests as well. </w:t>
      </w:r>
      <w:r w:rsidRPr="001E3A02">
        <w:rPr>
          <w:rFonts w:ascii="Courier New" w:eastAsia="Times New Roman" w:hAnsi="Courier New" w:cs="Courier New"/>
          <w:i/>
          <w:sz w:val="24"/>
          <w:szCs w:val="24"/>
        </w:rPr>
        <w:t xml:space="preserve"> </w:t>
      </w:r>
      <w:r w:rsidRPr="001E3A02">
        <w:rPr>
          <w:rFonts w:ascii="Courier New" w:eastAsia="Times New Roman" w:hAnsi="Courier New" w:cs="Courier New"/>
          <w:sz w:val="24"/>
          <w:szCs w:val="24"/>
          <w:u w:val="single"/>
        </w:rPr>
        <w:t>Am. Meat Inst. v. U.S. Dep't of Agric.</w:t>
      </w:r>
      <w:r w:rsidRPr="001E3A02">
        <w:rPr>
          <w:rFonts w:ascii="Courier New" w:eastAsia="Times New Roman" w:hAnsi="Courier New" w:cs="Courier New"/>
          <w:sz w:val="24"/>
          <w:szCs w:val="24"/>
        </w:rPr>
        <w:t xml:space="preserve">, </w:t>
      </w:r>
      <w:r w:rsidR="004C3D13">
        <w:rPr>
          <w:rFonts w:ascii="Courier New" w:eastAsia="Times New Roman" w:hAnsi="Courier New" w:cs="Courier New"/>
          <w:sz w:val="24"/>
          <w:szCs w:val="24"/>
        </w:rPr>
        <w:t>76 F.3d 18</w:t>
      </w:r>
      <w:r w:rsidRPr="001E3A02">
        <w:rPr>
          <w:rFonts w:ascii="Courier New" w:eastAsia="Times New Roman" w:hAnsi="Courier New" w:cs="Courier New"/>
          <w:sz w:val="24"/>
          <w:szCs w:val="24"/>
        </w:rPr>
        <w:t xml:space="preserve">(D.C. Cir. 2014).  In the context of gainful employment programs, as discussed in the NPRM, the government does indeed have an interest in preventing deceptive advertising.  Advertising that a service provides a benefit “without alerting consumers to its potential cost . . . is adequate to establish that the likelihood of deception . . . </w:t>
      </w:r>
      <w:r w:rsidR="004C3D13">
        <w:rPr>
          <w:rFonts w:ascii="Courier New" w:eastAsia="Times New Roman" w:hAnsi="Courier New" w:cs="Courier New"/>
          <w:sz w:val="24"/>
          <w:szCs w:val="24"/>
        </w:rPr>
        <w:t>‘</w:t>
      </w:r>
      <w:r w:rsidRPr="001E3A02">
        <w:rPr>
          <w:rFonts w:ascii="Courier New" w:eastAsia="Times New Roman" w:hAnsi="Courier New" w:cs="Courier New"/>
          <w:sz w:val="24"/>
          <w:szCs w:val="24"/>
        </w:rPr>
        <w:t>is hardly a speculative one</w:t>
      </w:r>
      <w:r w:rsidR="004C3D13">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u w:val="single"/>
        </w:rPr>
        <w:t>Milavetz, Gallop &amp; Milavetz, P.A. v. United States</w:t>
      </w:r>
      <w:r w:rsidRPr="001E3A02">
        <w:rPr>
          <w:rFonts w:ascii="Courier New" w:eastAsia="Times New Roman" w:hAnsi="Courier New" w:cs="Courier New"/>
          <w:sz w:val="24"/>
          <w:szCs w:val="24"/>
        </w:rPr>
        <w:t>, 559 U.S. 229, 251 (2010)</w:t>
      </w:r>
      <w:r w:rsidR="004C3D13">
        <w:rPr>
          <w:rFonts w:ascii="Courier New" w:eastAsia="Times New Roman" w:hAnsi="Courier New" w:cs="Courier New"/>
          <w:sz w:val="24"/>
          <w:szCs w:val="24"/>
        </w:rPr>
        <w:t xml:space="preserve"> (quoting </w:t>
      </w:r>
      <w:r w:rsidR="004C3D13">
        <w:rPr>
          <w:rFonts w:ascii="Courier New" w:eastAsia="Times New Roman" w:hAnsi="Courier New" w:cs="Courier New"/>
          <w:sz w:val="24"/>
          <w:szCs w:val="24"/>
          <w:u w:val="single"/>
        </w:rPr>
        <w:t>Zauderer</w:t>
      </w:r>
      <w:r w:rsidR="004C3D13">
        <w:rPr>
          <w:rFonts w:ascii="Courier New" w:eastAsia="Times New Roman" w:hAnsi="Courier New" w:cs="Courier New"/>
          <w:sz w:val="24"/>
          <w:szCs w:val="24"/>
        </w:rPr>
        <w:t>, 471 U.S. at 652</w:t>
      </w:r>
      <w:r w:rsidR="00515856">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However, the government has an interest in not just preventing deception, but an affirmative interest in providing consumers information about an institution’s educational benefits and the outcomes of its programs.  This interest is well within the range of interests that justify requiring a regulated entity to make disclosures about its products or services.  </w:t>
      </w:r>
      <w:r w:rsidRPr="00986E44">
        <w:rPr>
          <w:rFonts w:ascii="Courier New" w:eastAsia="Times New Roman" w:hAnsi="Courier New" w:cs="Courier New"/>
          <w:sz w:val="24"/>
          <w:szCs w:val="24"/>
          <w:u w:val="single"/>
        </w:rPr>
        <w:t>See</w:t>
      </w:r>
      <w:r w:rsidRPr="001E3A02">
        <w:rPr>
          <w:rFonts w:ascii="Courier New" w:eastAsia="Times New Roman" w:hAnsi="Courier New" w:cs="Courier New"/>
          <w:i/>
          <w:sz w:val="24"/>
          <w:szCs w:val="24"/>
        </w:rPr>
        <w:t xml:space="preserve"> </w:t>
      </w:r>
      <w:r w:rsidRPr="001E3A02">
        <w:rPr>
          <w:rFonts w:ascii="Courier New" w:eastAsia="Times New Roman" w:hAnsi="Courier New" w:cs="Courier New"/>
          <w:sz w:val="24"/>
          <w:szCs w:val="24"/>
          <w:u w:val="single"/>
        </w:rPr>
        <w:t>Am. Meat Inst.</w:t>
      </w:r>
      <w:r w:rsidRPr="001E3A02">
        <w:rPr>
          <w:rFonts w:ascii="Courier New" w:eastAsia="Times New Roman" w:hAnsi="Courier New" w:cs="Courier New"/>
          <w:sz w:val="24"/>
          <w:szCs w:val="24"/>
        </w:rPr>
        <w:t xml:space="preserve">, </w:t>
      </w:r>
      <w:r w:rsidR="004C3D13">
        <w:rPr>
          <w:rFonts w:ascii="Courier New" w:eastAsia="Times New Roman" w:hAnsi="Courier New" w:cs="Courier New"/>
          <w:sz w:val="24"/>
          <w:szCs w:val="24"/>
        </w:rPr>
        <w:t>760 F.3d at 27</w:t>
      </w:r>
      <w:r w:rsidRPr="001E3A02">
        <w:rPr>
          <w:rFonts w:ascii="Courier New" w:eastAsia="Times New Roman" w:hAnsi="Courier New" w:cs="Courier New"/>
          <w:sz w:val="24"/>
          <w:szCs w:val="24"/>
        </w:rPr>
        <w:t>.</w:t>
      </w:r>
    </w:p>
    <w:p w14:paraId="65E02FD3" w14:textId="4EC07B9F" w:rsidR="006D5035"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The warnings will provide consumers with information of the kind that Congress has already determined necessary to make an “informed judgment about the educational benefits available at a given institution.”  Pub. L. 101–542, §102, November 8, 1990, 104 Stat</w:t>
      </w:r>
      <w:r w:rsidR="004C3D13">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2381.  Moreover, the government’s continued interest over time in disclosures of this nature evidence the significance of its interest.  </w:t>
      </w:r>
      <w:r w:rsidR="004C3D13" w:rsidRPr="004C3D13">
        <w:rPr>
          <w:rFonts w:ascii="Courier New" w:eastAsia="Times New Roman" w:hAnsi="Courier New" w:cs="Courier New"/>
          <w:sz w:val="24"/>
          <w:szCs w:val="24"/>
          <w:u w:val="single"/>
        </w:rPr>
        <w:t>See</w:t>
      </w:r>
      <w:r w:rsidRPr="001E3A02">
        <w:rPr>
          <w:rFonts w:ascii="Courier New" w:eastAsia="Times New Roman" w:hAnsi="Courier New" w:cs="Courier New"/>
          <w:sz w:val="24"/>
          <w:szCs w:val="24"/>
        </w:rPr>
        <w:t xml:space="preserve"> </w:t>
      </w:r>
      <w:r w:rsidRPr="001E3A02">
        <w:rPr>
          <w:rFonts w:ascii="Courier New" w:eastAsia="Times New Roman" w:hAnsi="Courier New" w:cs="Courier New"/>
          <w:sz w:val="24"/>
          <w:szCs w:val="24"/>
          <w:u w:val="single"/>
        </w:rPr>
        <w:t>Am. Meat Inst.</w:t>
      </w:r>
      <w:r w:rsidRPr="001E3A02">
        <w:rPr>
          <w:rFonts w:ascii="Courier New" w:eastAsia="Times New Roman" w:hAnsi="Courier New" w:cs="Courier New"/>
          <w:i/>
          <w:sz w:val="24"/>
          <w:szCs w:val="24"/>
        </w:rPr>
        <w:t xml:space="preserve">, </w:t>
      </w:r>
      <w:r w:rsidR="004C3D13">
        <w:rPr>
          <w:rFonts w:ascii="Courier New" w:eastAsia="Times New Roman" w:hAnsi="Courier New" w:cs="Courier New"/>
          <w:sz w:val="24"/>
          <w:szCs w:val="24"/>
        </w:rPr>
        <w:t xml:space="preserve">760 F.3d at </w:t>
      </w:r>
      <w:r w:rsidR="006D5035">
        <w:rPr>
          <w:rFonts w:ascii="Courier New" w:eastAsia="Times New Roman" w:hAnsi="Courier New" w:cs="Courier New"/>
          <w:sz w:val="24"/>
          <w:szCs w:val="24"/>
        </w:rPr>
        <w:t>2</w:t>
      </w:r>
      <w:r w:rsidR="0038742C">
        <w:rPr>
          <w:rFonts w:ascii="Courier New" w:eastAsia="Times New Roman" w:hAnsi="Courier New" w:cs="Courier New"/>
          <w:sz w:val="24"/>
          <w:szCs w:val="24"/>
        </w:rPr>
        <w:t>3</w:t>
      </w:r>
      <w:r w:rsidR="004C3D13">
        <w:rPr>
          <w:rFonts w:ascii="Courier New" w:eastAsia="Times New Roman" w:hAnsi="Courier New" w:cs="Courier New"/>
          <w:sz w:val="24"/>
          <w:szCs w:val="24"/>
        </w:rPr>
        <w:t>-2</w:t>
      </w:r>
      <w:r w:rsidR="0038742C">
        <w:rPr>
          <w:rFonts w:ascii="Courier New" w:eastAsia="Times New Roman" w:hAnsi="Courier New" w:cs="Courier New"/>
          <w:sz w:val="24"/>
          <w:szCs w:val="24"/>
        </w:rPr>
        <w:t>4</w:t>
      </w:r>
      <w:r w:rsidRPr="001E3A02">
        <w:rPr>
          <w:rFonts w:ascii="Courier New" w:eastAsia="Times New Roman" w:hAnsi="Courier New" w:cs="Courier New"/>
          <w:sz w:val="24"/>
          <w:szCs w:val="24"/>
        </w:rPr>
        <w:t xml:space="preserve">.  </w:t>
      </w:r>
    </w:p>
    <w:p w14:paraId="426437B7" w14:textId="77777777" w:rsidR="006D5035" w:rsidRDefault="006D5035" w:rsidP="00AA25A4">
      <w:pPr>
        <w:spacing w:after="0" w:line="480" w:lineRule="auto"/>
        <w:ind w:firstLine="720"/>
        <w:rPr>
          <w:rFonts w:ascii="Courier New" w:eastAsia="Times New Roman" w:hAnsi="Courier New" w:cs="Courier New"/>
          <w:sz w:val="24"/>
          <w:szCs w:val="24"/>
        </w:rPr>
      </w:pPr>
    </w:p>
    <w:p w14:paraId="39189C88" w14:textId="64979262"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The particular warnings in these regulations are new, but, for more than thirty years, Congress has required institutions that receive title IV, HEA program funds to make numerous disclosures to current and prospective students akin to the disclosures required under these regulations.</w:t>
      </w:r>
      <w:r w:rsidRPr="001E3A02">
        <w:rPr>
          <w:rFonts w:ascii="Courier New" w:eastAsia="Times New Roman" w:hAnsi="Courier New" w:cs="Courier New"/>
          <w:sz w:val="24"/>
          <w:szCs w:val="24"/>
          <w:vertAlign w:val="superscript"/>
        </w:rPr>
        <w:footnoteReference w:id="171"/>
      </w:r>
      <w:r w:rsidRPr="001E3A02">
        <w:rPr>
          <w:rFonts w:ascii="Courier New" w:eastAsia="Times New Roman" w:hAnsi="Courier New" w:cs="Courier New"/>
          <w:sz w:val="24"/>
          <w:szCs w:val="24"/>
        </w:rPr>
        <w:t xml:space="preserve">  The statutory disclosure requirements were first enacted in 1980 and have been expanded repeatedly since then, most recently in 2013.  The warning requirements in these regulations are based on the same Federal interest in consumer disclosures demonstrated over these past decades, demonstrating that the interest underlying these regulations is a significant governmental interest.  </w:t>
      </w:r>
    </w:p>
    <w:p w14:paraId="0039EF57" w14:textId="0D3CC314"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Courts have found that the requirement that the disclosure is “narrowly tailored” to the governmental interest is “self-evidently satisfied” when the government requires an entity to “disclose </w:t>
      </w:r>
      <w:r w:rsidR="004C3D13">
        <w:rPr>
          <w:rFonts w:ascii="Courier New" w:eastAsia="Times New Roman" w:hAnsi="Courier New" w:cs="Courier New"/>
          <w:sz w:val="24"/>
          <w:szCs w:val="24"/>
        </w:rPr>
        <w:t>‘</w:t>
      </w:r>
      <w:r w:rsidRPr="001E3A02">
        <w:rPr>
          <w:rFonts w:ascii="Courier New" w:eastAsia="Times New Roman" w:hAnsi="Courier New" w:cs="Courier New"/>
          <w:sz w:val="24"/>
          <w:szCs w:val="24"/>
        </w:rPr>
        <w:t>purely factual and uncontroversial information</w:t>
      </w:r>
      <w:r w:rsidR="004C3D13">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about attributes of the product or service being offered.”  </w:t>
      </w:r>
      <w:r w:rsidRPr="001E3A02">
        <w:rPr>
          <w:rFonts w:ascii="Courier New" w:eastAsia="Times New Roman" w:hAnsi="Courier New" w:cs="Courier New"/>
          <w:sz w:val="24"/>
          <w:szCs w:val="24"/>
          <w:u w:val="single"/>
        </w:rPr>
        <w:t>Am. Meat Inst.</w:t>
      </w:r>
      <w:r w:rsidRPr="001E3A02">
        <w:rPr>
          <w:rFonts w:ascii="Courier New" w:eastAsia="Times New Roman" w:hAnsi="Courier New" w:cs="Courier New"/>
          <w:i/>
          <w:sz w:val="24"/>
          <w:szCs w:val="24"/>
        </w:rPr>
        <w:t xml:space="preserve">, </w:t>
      </w:r>
      <w:r w:rsidR="004C3D13">
        <w:rPr>
          <w:rFonts w:ascii="Courier New" w:eastAsia="Times New Roman" w:hAnsi="Courier New" w:cs="Courier New"/>
          <w:sz w:val="24"/>
          <w:szCs w:val="24"/>
        </w:rPr>
        <w:t>760 F.3d</w:t>
      </w:r>
      <w:r w:rsidRPr="001E3A02">
        <w:rPr>
          <w:rFonts w:ascii="Courier New" w:eastAsia="Times New Roman" w:hAnsi="Courier New" w:cs="Courier New"/>
          <w:sz w:val="24"/>
          <w:szCs w:val="24"/>
        </w:rPr>
        <w:t xml:space="preserve"> at </w:t>
      </w:r>
      <w:r w:rsidR="004C3D13">
        <w:rPr>
          <w:rFonts w:ascii="Courier New" w:eastAsia="Times New Roman" w:hAnsi="Courier New" w:cs="Courier New"/>
          <w:sz w:val="24"/>
          <w:szCs w:val="24"/>
        </w:rPr>
        <w:t>26 (citation omitted)</w:t>
      </w:r>
      <w:r w:rsidRPr="001E3A02">
        <w:rPr>
          <w:rFonts w:ascii="Courier New" w:eastAsia="Times New Roman" w:hAnsi="Courier New" w:cs="Courier New"/>
          <w:sz w:val="24"/>
          <w:szCs w:val="24"/>
        </w:rPr>
        <w:t>.</w:t>
      </w:r>
      <w:r w:rsidRPr="001E3A02" w:rsidDel="004405DA">
        <w:rPr>
          <w:rFonts w:ascii="Courier New" w:eastAsia="Times New Roman" w:hAnsi="Courier New" w:cs="Courier New"/>
          <w:sz w:val="24"/>
          <w:szCs w:val="24"/>
          <w:vertAlign w:val="superscript"/>
        </w:rPr>
        <w:t xml:space="preserve"> </w:t>
      </w:r>
      <w:r w:rsidRPr="001E3A02">
        <w:rPr>
          <w:rFonts w:ascii="Courier New" w:eastAsia="Times New Roman" w:hAnsi="Courier New" w:cs="Courier New"/>
          <w:sz w:val="24"/>
          <w:szCs w:val="24"/>
        </w:rPr>
        <w:t xml:space="preserve"> The commenters contended that the required warnings and disclosures are not “factual, uncontroversial information” and noted that the court in </w:t>
      </w:r>
      <w:r w:rsidRPr="001E3A02">
        <w:rPr>
          <w:rFonts w:ascii="Courier New" w:eastAsia="Times New Roman" w:hAnsi="Courier New" w:cs="Courier New"/>
          <w:sz w:val="24"/>
          <w:szCs w:val="24"/>
          <w:u w:val="single"/>
        </w:rPr>
        <w:t>APSCU v. Duncan</w:t>
      </w:r>
      <w:r w:rsidRPr="001E3A02">
        <w:rPr>
          <w:rFonts w:ascii="Courier New" w:eastAsia="Times New Roman" w:hAnsi="Courier New" w:cs="Courier New"/>
          <w:sz w:val="24"/>
          <w:szCs w:val="24"/>
        </w:rPr>
        <w:t xml:space="preserve"> indicated doubt that the language of the warning required under the 2011 Prior Rule would meet that test.  </w:t>
      </w:r>
      <w:r w:rsidRPr="001E3A02">
        <w:rPr>
          <w:rFonts w:ascii="Courier New" w:eastAsia="Times New Roman" w:hAnsi="Courier New" w:cs="Courier New"/>
          <w:sz w:val="24"/>
          <w:szCs w:val="24"/>
          <w:u w:val="single"/>
        </w:rPr>
        <w:t>APSCU v. Duncan</w:t>
      </w:r>
      <w:r w:rsidRPr="001E3A02">
        <w:rPr>
          <w:rFonts w:ascii="Courier New" w:eastAsia="Times New Roman" w:hAnsi="Courier New" w:cs="Courier New"/>
          <w:sz w:val="24"/>
          <w:szCs w:val="24"/>
        </w:rPr>
        <w:t>, 870 F.Supp.2d at 15</w:t>
      </w:r>
      <w:r w:rsidR="00C26145">
        <w:rPr>
          <w:rFonts w:ascii="Courier New" w:eastAsia="Times New Roman" w:hAnsi="Courier New" w:cs="Courier New"/>
          <w:sz w:val="24"/>
          <w:szCs w:val="24"/>
        </w:rPr>
        <w:t>5</w:t>
      </w:r>
      <w:r w:rsidRPr="001E3A02">
        <w:rPr>
          <w:rFonts w:ascii="Courier New" w:eastAsia="Times New Roman" w:hAnsi="Courier New" w:cs="Courier New"/>
          <w:sz w:val="24"/>
          <w:szCs w:val="24"/>
        </w:rPr>
        <w:t xml:space="preserve"> n.7.  They contended that the text of the warning proposed in §668.410(a) is similarly flawed. </w:t>
      </w:r>
    </w:p>
    <w:p w14:paraId="499F9F97" w14:textId="7777777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We do not agree that the text of the proposed warning was not factual and uncontroversial.  However, as discussed in this section, we have made a number of revisions to the proposed student warning text, and, accordingly, we consider here whether the student warning text in the final regulations is factual and not controversial.</w:t>
      </w:r>
    </w:p>
    <w:p w14:paraId="0BBA4C89" w14:textId="141A625F"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The text of the student warning contains a mixture of fact and explanation.  The purely factual component--that “this program has not passed standards established by the Department”--is not controversial at the time the warning is required because institutions will have had an opportunity to challenge or appeal the Department’s calculation of the relevant data.</w:t>
      </w:r>
      <w:r w:rsidRPr="001E3A02">
        <w:rPr>
          <w:rFonts w:ascii="Courier New" w:eastAsia="Times New Roman" w:hAnsi="Courier New" w:cs="Courier New"/>
          <w:sz w:val="24"/>
          <w:szCs w:val="24"/>
          <w:vertAlign w:val="superscript"/>
        </w:rPr>
        <w:footnoteReference w:id="172"/>
      </w:r>
      <w:r w:rsidRPr="001E3A02">
        <w:rPr>
          <w:rFonts w:ascii="Courier New" w:eastAsia="Times New Roman" w:hAnsi="Courier New" w:cs="Courier New"/>
          <w:sz w:val="24"/>
          <w:szCs w:val="24"/>
        </w:rPr>
        <w:t xml:space="preserve">  Similarly, the statement that “</w:t>
      </w:r>
      <w:r w:rsidRPr="001E3A02">
        <w:rPr>
          <w:rFonts w:ascii="Courier New" w:hAnsi="Courier New" w:cs="Courier New"/>
          <w:sz w:val="24"/>
          <w:szCs w:val="24"/>
        </w:rPr>
        <w:t>if in the future the program does not pass the standards, students who are then enrolled may not be able to use federal student grants or loans to pay for the program</w:t>
      </w:r>
      <w:r w:rsidRPr="001E3A02">
        <w:rPr>
          <w:rFonts w:ascii="Courier New" w:eastAsia="Times New Roman" w:hAnsi="Courier New" w:cs="Courier New"/>
          <w:sz w:val="24"/>
          <w:szCs w:val="24"/>
        </w:rPr>
        <w:t xml:space="preserve">” and may have to find other ways to pay for the program is simply a statement of what might happen if a program does not meet the standards and cannot be considered inaccurate or controversial.  The remainder of the warning text in the final regulations--which states that the Department </w:t>
      </w:r>
      <w:r w:rsidRPr="001E3A02">
        <w:rPr>
          <w:rFonts w:ascii="Courier New" w:hAnsi="Courier New" w:cs="Courier New"/>
          <w:sz w:val="24"/>
          <w:szCs w:val="24"/>
        </w:rPr>
        <w:t>based these standards on the amounts students borrow for enrollment in the program and their reported earnings--is also a factual statement.  No part of the student warning text</w:t>
      </w:r>
      <w:r w:rsidRPr="001E3A02">
        <w:rPr>
          <w:rFonts w:ascii="Courier New" w:eastAsia="Times New Roman" w:hAnsi="Courier New" w:cs="Courier New"/>
          <w:sz w:val="24"/>
          <w:szCs w:val="24"/>
        </w:rPr>
        <w:t xml:space="preserve"> conveys an ideological message or bias against for-profit institutions</w:t>
      </w:r>
      <w:r w:rsidR="004B3952">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given that all GE programs, whether they are offered by for-profit institutions or by public institutions, must provide the warnings in accordance with the regulations</w:t>
      </w:r>
      <w:r w:rsidR="004B3952">
        <w:rPr>
          <w:rFonts w:ascii="Courier New" w:eastAsia="Times New Roman" w:hAnsi="Courier New" w:cs="Courier New"/>
          <w:sz w:val="24"/>
          <w:szCs w:val="24"/>
        </w:rPr>
        <w:t>,</w:t>
      </w:r>
      <w:r w:rsidRPr="001E3A02">
        <w:rPr>
          <w:rFonts w:ascii="Courier New" w:eastAsia="Times New Roman" w:hAnsi="Courier New" w:cs="Courier New"/>
          <w:sz w:val="24"/>
          <w:szCs w:val="24"/>
        </w:rPr>
        <w:t xml:space="preserve"> and the warnings are composed solely of factual statements.    </w:t>
      </w:r>
    </w:p>
    <w:p w14:paraId="0516DC1F" w14:textId="7777777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In response to comments contending that the Department--rather than the institution--should issue warnings to the consumer on a Department Web site, such as College Navigator, or by direct mailings, we note that existing HEA disclosure requirements are based on congressional findings that having </w:t>
      </w:r>
      <w:r w:rsidRPr="001E3A02">
        <w:rPr>
          <w:rFonts w:ascii="Courier New" w:eastAsia="Times New Roman" w:hAnsi="Courier New" w:cs="Courier New"/>
          <w:sz w:val="24"/>
          <w:szCs w:val="24"/>
          <w:u w:val="single"/>
        </w:rPr>
        <w:t>the institution</w:t>
      </w:r>
      <w:r w:rsidRPr="001E3A02">
        <w:rPr>
          <w:rFonts w:ascii="Courier New" w:eastAsia="Times New Roman" w:hAnsi="Courier New" w:cs="Courier New"/>
          <w:sz w:val="24"/>
          <w:szCs w:val="24"/>
        </w:rPr>
        <w:t xml:space="preserve"> disclose “timely and accurate data is essential to any successful student assistance system.”  H. R. Rep. No. 733, 96th Cong., 2d Sess. (1980) at 52.</w:t>
      </w:r>
      <w:r w:rsidRPr="001E3A02">
        <w:rPr>
          <w:rFonts w:ascii="Courier New" w:eastAsia="Times New Roman" w:hAnsi="Courier New" w:cs="Courier New"/>
          <w:sz w:val="24"/>
          <w:szCs w:val="24"/>
          <w:vertAlign w:val="superscript"/>
        </w:rPr>
        <w:footnoteReference w:id="173"/>
      </w:r>
      <w:r w:rsidRPr="001E3A02">
        <w:rPr>
          <w:rFonts w:ascii="Courier New" w:eastAsia="Times New Roman" w:hAnsi="Courier New" w:cs="Courier New"/>
          <w:sz w:val="24"/>
          <w:szCs w:val="24"/>
        </w:rPr>
        <w:t xml:space="preserve">  These regulations similarly require the institution to disclose through the student warning the potential significance of a program’s D/E rates.  The mandate that institutions deliver the message on their Web sites is tailored to deliver the message in an effective manner, and the content of the message is tailored to provide the kind of information that consumers need to evaluate an individual program that the institution promotes as preparing students for gainful employment. </w:t>
      </w:r>
    </w:p>
    <w:p w14:paraId="59073527" w14:textId="7777777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Although the Department can post warnings for hundreds or even thousands of GE programs on a Department Web site, we do not consider such posting to be an effective means of reaching consumers.  We note that Congress has reached the same conclusion by requiring that institutions make numerous disclosures not only in their publications but, more recently, through “electronic media,” 20 U.S.C. 1092(a)(1), a term already interpreted by the Department to include posting on Internet Web sites, 34 CFR 668.41(b), and posting to the institution’s Web site, 20 U.S.C. 1015a(h)(3) (net price calculator).  These statutory requirements demonstrate a congressional determination that disclosure to the consumer by the institution itself is necessary to achieve the Federal objective of enabling consumers to make “informed choices.”</w:t>
      </w:r>
      <w:r w:rsidRPr="001E3A02">
        <w:rPr>
          <w:rFonts w:ascii="Courier New" w:eastAsia="Times New Roman" w:hAnsi="Courier New" w:cs="Courier New"/>
          <w:sz w:val="24"/>
          <w:szCs w:val="24"/>
          <w:vertAlign w:val="superscript"/>
        </w:rPr>
        <w:footnoteReference w:id="174"/>
      </w:r>
      <w:r w:rsidRPr="001E3A02">
        <w:rPr>
          <w:rFonts w:ascii="Courier New" w:eastAsia="Times New Roman" w:hAnsi="Courier New" w:cs="Courier New"/>
          <w:sz w:val="24"/>
          <w:szCs w:val="24"/>
        </w:rPr>
        <w:t xml:space="preserve">  Because the student warnings required by these regulations target a similar and often identical audience as the disclosures already required by the HEA, we believe the congressional mandate provides a sound basis for requiring institutions themselves to make the warnings in order to achieve the purpose of the regulations. </w:t>
      </w:r>
    </w:p>
    <w:p w14:paraId="048EF33C"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    The regulations require an institution to provide the warnings not only by including the warning on its Web site, but by delivering the warning directly to the consumer.  The latter method is also tailored to the objective of giving effective and timely information.  This is not the first instance in which regulations have required this kind of individual, direct communication by institutions with consumers about Federal aid:  section 454(a)(2) of the HEA authorizes the Department to require institutions to make disclosures of information about Direct Loans, and Direct Loan regulations require detailed explanations of terms and conditions that apply to borrowing and repaying Direct Loans.  The institution must provide this information in “loan counseling” given to every new Direct Loan borrower in an in-person entrance counseling session, on a separate form that must be signed and returned to the institution by the borrower, or by online or electronic delivery that assures borrower acknowledgement of receipt of the message.  34 CFR 685.304(a)(3).</w:t>
      </w:r>
      <w:r w:rsidRPr="001E3A02">
        <w:rPr>
          <w:rFonts w:ascii="Courier New" w:eastAsia="Times New Roman" w:hAnsi="Courier New" w:cs="Courier New"/>
          <w:sz w:val="24"/>
          <w:szCs w:val="24"/>
          <w:vertAlign w:val="superscript"/>
        </w:rPr>
        <w:footnoteReference w:id="175"/>
      </w:r>
      <w:r w:rsidRPr="001E3A02">
        <w:rPr>
          <w:rFonts w:ascii="Courier New" w:eastAsia="Times New Roman" w:hAnsi="Courier New" w:cs="Courier New"/>
          <w:sz w:val="24"/>
          <w:szCs w:val="24"/>
        </w:rPr>
        <w:t xml:space="preserve">  The requirement in those regulations closely resembles the requirements here that the institution provide the warnings directly to the affected consumers.  </w:t>
      </w:r>
    </w:p>
    <w:p w14:paraId="7B160502" w14:textId="77777777" w:rsidR="00AA25A4" w:rsidRPr="001E3A02" w:rsidRDefault="00AA25A4" w:rsidP="00AA25A4">
      <w:pPr>
        <w:spacing w:after="0" w:line="480" w:lineRule="auto"/>
        <w:ind w:firstLine="720"/>
        <w:rPr>
          <w:rFonts w:ascii="Courier New" w:eastAsia="Times New Roman" w:hAnsi="Courier New" w:cs="Courier New"/>
          <w:sz w:val="24"/>
          <w:szCs w:val="24"/>
        </w:rPr>
      </w:pPr>
      <w:r w:rsidRPr="001E3A02">
        <w:rPr>
          <w:rFonts w:ascii="Courier New" w:eastAsia="Times New Roman" w:hAnsi="Courier New" w:cs="Courier New"/>
          <w:sz w:val="24"/>
          <w:szCs w:val="24"/>
        </w:rPr>
        <w:t xml:space="preserve">Although we carefully considered the commenters’ concerns, we do not believe that there are any First Amendment issues raised by the student warning requirements in the final regulations.  Further, we weighed the concerns against the significant government interest in providing consumers an effective warning regarding a program’s performance and eligibility status.  In this situation, failure to disclose the potential for loss of eligibility and the consequences of that loss could be misleading and this information is critical to the informed educational decision making of students and prospective students. </w:t>
      </w:r>
    </w:p>
    <w:p w14:paraId="16CB111E" w14:textId="77777777" w:rsidR="00AA25A4" w:rsidRPr="001E3A02" w:rsidRDefault="00AA25A4" w:rsidP="00AA25A4">
      <w:pPr>
        <w:spacing w:after="0" w:line="480" w:lineRule="auto"/>
        <w:rPr>
          <w:rFonts w:ascii="Courier New" w:eastAsia="Times New Roman" w:hAnsi="Courier New" w:cs="Courier New"/>
          <w:sz w:val="24"/>
          <w:szCs w:val="24"/>
        </w:rPr>
      </w:pPr>
      <w:r w:rsidRPr="001E3A02">
        <w:rPr>
          <w:rFonts w:ascii="Courier New" w:eastAsia="Times New Roman" w:hAnsi="Courier New" w:cs="Courier New"/>
          <w:sz w:val="24"/>
          <w:szCs w:val="24"/>
          <w:u w:val="single"/>
        </w:rPr>
        <w:t>Changes</w:t>
      </w:r>
      <w:r w:rsidRPr="001E3A02">
        <w:rPr>
          <w:rFonts w:ascii="Courier New" w:eastAsia="Times New Roman" w:hAnsi="Courier New" w:cs="Courier New"/>
          <w:sz w:val="24"/>
          <w:szCs w:val="24"/>
        </w:rPr>
        <w:t>:   None.</w:t>
      </w:r>
    </w:p>
    <w:p w14:paraId="075C7B40" w14:textId="77777777" w:rsidR="00AA25A4" w:rsidRPr="001E3A02" w:rsidRDefault="00AA25A4" w:rsidP="00AA25A4">
      <w:pPr>
        <w:spacing w:after="0" w:line="480" w:lineRule="auto"/>
        <w:rPr>
          <w:rFonts w:ascii="Courier New" w:hAnsi="Courier New" w:cs="Courier New"/>
          <w:sz w:val="24"/>
          <w:szCs w:val="24"/>
        </w:rPr>
      </w:pPr>
      <w:r w:rsidRPr="001E3A02">
        <w:rPr>
          <w:rFonts w:ascii="Courier New" w:hAnsi="Courier New" w:cs="Courier New"/>
          <w:sz w:val="24"/>
          <w:szCs w:val="24"/>
          <w:u w:val="single"/>
        </w:rPr>
        <w:t>Comments</w:t>
      </w:r>
      <w:r w:rsidRPr="001E3A02">
        <w:rPr>
          <w:rFonts w:ascii="Courier New" w:hAnsi="Courier New" w:cs="Courier New"/>
          <w:sz w:val="24"/>
          <w:szCs w:val="24"/>
        </w:rPr>
        <w:t>:  We received a number of comments about when student warnings must be delivered to prospective students and who constitutes a “prospective student.”  First, commenters expressed concern that institutional obligations with respect to prospective students were unclear.  As discussed under “§668.401  Scope and Purpose,” commenters were confused about when an individual would be considered a “prospective student” for the purpose of the student warning requirements and when student warnings were first and subsequently required to be given to prospective students.  In this regard, commenters recommended that, to avoid undue administrative burden and compliance challenges, we eliminate the requirement that institutions provide student warnings upon first contact with a prospective student, given that student warnings are required before execution of an enrollment agreement and in connection with promotional materials.  Commenters also expressed concern that the burden associated with giving repeated warnings may outweigh the benefits.  Along these lines, some commenters recommended that we conduct consumer testing to determine the point at which student warnings would be most meaningful to prospective students.</w:t>
      </w:r>
    </w:p>
    <w:p w14:paraId="01F10771" w14:textId="77777777" w:rsidR="00AA25A4" w:rsidRDefault="00AA25A4" w:rsidP="00AA25A4">
      <w:pPr>
        <w:spacing w:after="0" w:line="480" w:lineRule="auto"/>
        <w:rPr>
          <w:rFonts w:ascii="Courier New" w:hAnsi="Courier New"/>
          <w:sz w:val="24"/>
          <w:szCs w:val="24"/>
        </w:rPr>
      </w:pPr>
      <w:r>
        <w:rPr>
          <w:rFonts w:ascii="Courier New" w:hAnsi="Courier New"/>
          <w:sz w:val="24"/>
          <w:szCs w:val="24"/>
        </w:rPr>
        <w:tab/>
        <w:t>As discussed in “</w:t>
      </w:r>
      <w:r>
        <w:rPr>
          <w:rFonts w:ascii="Courier New" w:hAnsi="Courier New" w:cs="Courier New"/>
          <w:sz w:val="24"/>
          <w:szCs w:val="24"/>
        </w:rPr>
        <w:t xml:space="preserve">§668.401  Scope and Purpose,” some commenters </w:t>
      </w:r>
      <w:r w:rsidRPr="005C193C">
        <w:rPr>
          <w:rFonts w:ascii="Courier New" w:hAnsi="Courier New" w:cs="Courier New"/>
          <w:sz w:val="24"/>
          <w:szCs w:val="24"/>
        </w:rPr>
        <w:t>recommended that</w:t>
      </w:r>
      <w:r>
        <w:rPr>
          <w:rFonts w:ascii="Courier New" w:hAnsi="Courier New" w:cs="Courier New"/>
          <w:sz w:val="24"/>
          <w:szCs w:val="24"/>
        </w:rPr>
        <w:t xml:space="preserve"> student warnings be given not just to “prospective students” as defined in the proposed regulations, but also to </w:t>
      </w:r>
      <w:r w:rsidRPr="005C193C">
        <w:rPr>
          <w:rFonts w:ascii="Courier New" w:hAnsi="Courier New" w:cs="Courier New"/>
          <w:sz w:val="24"/>
          <w:szCs w:val="24"/>
        </w:rPr>
        <w:t xml:space="preserve">family members, counselors, and others making enrollment inquiries on </w:t>
      </w:r>
      <w:r>
        <w:rPr>
          <w:rFonts w:ascii="Courier New" w:hAnsi="Courier New" w:cs="Courier New"/>
          <w:sz w:val="24"/>
          <w:szCs w:val="24"/>
        </w:rPr>
        <w:t xml:space="preserve">their </w:t>
      </w:r>
      <w:r w:rsidRPr="005C193C">
        <w:rPr>
          <w:rFonts w:ascii="Courier New" w:hAnsi="Courier New" w:cs="Courier New"/>
          <w:sz w:val="24"/>
          <w:szCs w:val="24"/>
        </w:rPr>
        <w:t>behalf.</w:t>
      </w:r>
    </w:p>
    <w:p w14:paraId="16B72E94"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Discussion</w:t>
      </w:r>
      <w:r>
        <w:rPr>
          <w:rFonts w:ascii="Courier New" w:hAnsi="Courier New"/>
          <w:sz w:val="24"/>
          <w:szCs w:val="24"/>
        </w:rPr>
        <w:t>:  We agree that the proposed regulations were not clear about how the definition of “prospective student” and the student warning requirements interacted.  As discussed under “</w:t>
      </w:r>
      <w:r>
        <w:rPr>
          <w:rFonts w:ascii="Courier New" w:hAnsi="Courier New" w:cs="Courier New"/>
          <w:sz w:val="24"/>
          <w:szCs w:val="24"/>
        </w:rPr>
        <w:t>§668.401 Scope and Purpose,” we have narrowed the definition of “prospective student.”</w:t>
      </w:r>
      <w:r>
        <w:rPr>
          <w:rFonts w:ascii="Courier New" w:hAnsi="Courier New"/>
          <w:sz w:val="24"/>
          <w:szCs w:val="24"/>
        </w:rPr>
        <w:t xml:space="preserve">  However, we agree with the commenter that a third party who makes the first contact with an institution, such as a parent or counselor, may play a significant advisory role in the educational decision-making process for a prospective student.  That individual</w:t>
      </w:r>
      <w:r>
        <w:rPr>
          <w:rFonts w:ascii="Courier New" w:hAnsi="Courier New" w:cs="Courier New"/>
          <w:sz w:val="24"/>
          <w:szCs w:val="24"/>
        </w:rPr>
        <w:t xml:space="preserve"> should be given the student warning to convey to the student and we are revising the regulations accordingly.  </w:t>
      </w:r>
      <w:r>
        <w:rPr>
          <w:rFonts w:ascii="Courier New" w:hAnsi="Courier New"/>
          <w:sz w:val="24"/>
          <w:szCs w:val="24"/>
        </w:rPr>
        <w:t>With these changes, we believe that it will be clear when and to whom student warnings must be delivered.</w:t>
      </w:r>
    </w:p>
    <w:p w14:paraId="0C82A3E9" w14:textId="77777777" w:rsidR="00AA25A4" w:rsidRDefault="00AA25A4" w:rsidP="00AA25A4">
      <w:pPr>
        <w:spacing w:after="0" w:line="480" w:lineRule="auto"/>
        <w:ind w:firstLine="720"/>
        <w:rPr>
          <w:rFonts w:ascii="Courier New" w:hAnsi="Courier New"/>
          <w:sz w:val="24"/>
          <w:szCs w:val="24"/>
        </w:rPr>
      </w:pPr>
      <w:r>
        <w:rPr>
          <w:rFonts w:ascii="Courier New" w:hAnsi="Courier New"/>
          <w:sz w:val="24"/>
          <w:szCs w:val="24"/>
        </w:rPr>
        <w:t>For prospective students, we continue to believe that student warnings should be required both upon first contact and prior to enrollment.  Although there will be situations in which contact is first made and a prospective student indicates his or her intent to enroll within a relatively short period of time after that, we believe that any redundancy in requiring delivery of the student warnings at both of these junctures is outweighed by the value in ensuring prospective students have this critical program information at times when they may most benefit from it.</w:t>
      </w:r>
    </w:p>
    <w:p w14:paraId="0AD6D859"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Changes</w:t>
      </w:r>
      <w:r>
        <w:rPr>
          <w:rFonts w:ascii="Courier New" w:hAnsi="Courier New"/>
          <w:sz w:val="24"/>
          <w:szCs w:val="24"/>
        </w:rPr>
        <w:t xml:space="preserve">:  We have clarified in </w:t>
      </w:r>
      <w:r>
        <w:rPr>
          <w:rFonts w:ascii="Courier New" w:hAnsi="Courier New" w:cs="Courier New"/>
          <w:sz w:val="24"/>
          <w:szCs w:val="24"/>
        </w:rPr>
        <w:t>§</w:t>
      </w:r>
      <w:r>
        <w:rPr>
          <w:rFonts w:ascii="Courier New" w:hAnsi="Courier New"/>
          <w:sz w:val="24"/>
          <w:szCs w:val="24"/>
        </w:rPr>
        <w:t>668.410(a)(6)(i) (</w:t>
      </w:r>
      <w:r>
        <w:rPr>
          <w:rFonts w:ascii="Courier New" w:hAnsi="Courier New" w:cs="Courier New"/>
          <w:sz w:val="24"/>
          <w:szCs w:val="24"/>
        </w:rPr>
        <w:t>§</w:t>
      </w:r>
      <w:r>
        <w:rPr>
          <w:rFonts w:ascii="Courier New" w:hAnsi="Courier New"/>
          <w:sz w:val="24"/>
          <w:szCs w:val="24"/>
        </w:rPr>
        <w:t xml:space="preserve">668.410(a)(2)(i) in the proposed regulations) that first contact about enrollment in a program, triggering the obligation to deliver the student warning, may be between a prospective student and a third party acting on behalf of an institution.  </w:t>
      </w:r>
      <w:r w:rsidRPr="003D3D83">
        <w:rPr>
          <w:rFonts w:ascii="Courier New" w:hAnsi="Courier New"/>
          <w:sz w:val="24"/>
        </w:rPr>
        <w:t xml:space="preserve">We have also </w:t>
      </w:r>
      <w:r>
        <w:rPr>
          <w:rFonts w:ascii="Courier New" w:hAnsi="Courier New"/>
          <w:sz w:val="24"/>
        </w:rPr>
        <w:t xml:space="preserve">clarified in the definition of “prospective student” in §668.402 </w:t>
      </w:r>
      <w:r w:rsidRPr="003D3D83">
        <w:rPr>
          <w:rFonts w:ascii="Courier New" w:hAnsi="Courier New"/>
          <w:sz w:val="24"/>
        </w:rPr>
        <w:t>that such first contact may be between a third party acting on behalf of a prospective student and an institution or its agent.</w:t>
      </w:r>
    </w:p>
    <w:p w14:paraId="6F36725F"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Comments</w:t>
      </w:r>
      <w:r>
        <w:rPr>
          <w:rFonts w:ascii="Courier New" w:hAnsi="Courier New"/>
          <w:sz w:val="24"/>
          <w:szCs w:val="24"/>
        </w:rPr>
        <w:t xml:space="preserve">:  Some commenters were concerned about the manner in which student warnings may be delivered to students and prospective students.  With respect to enrolled students, commenters expressed concern that institutions would bury the warning in a lot of other information to lessen the warning’s impact.  These commenters believed that the permitted methods of delivery--hand-delivery, group presentations, and electronic mail--allow for institutional abuse.  They suggested that the Department be more specific about the permitted methods of delivery, consider other ways in which student warnings could be delivered--for example, requiring posted warnings in classrooms and financial aid offices--and use consumer testing to determine the most effective means of delivery and format.  One commenter recommended that we require institutions to obtain student acknowledgement of receipt of the warning.  </w:t>
      </w:r>
    </w:p>
    <w:p w14:paraId="16CE8E84" w14:textId="77777777" w:rsidR="00AA25A4" w:rsidRDefault="00AA25A4" w:rsidP="00AA25A4">
      <w:pPr>
        <w:spacing w:after="0" w:line="480" w:lineRule="auto"/>
        <w:ind w:firstLine="720"/>
        <w:rPr>
          <w:rFonts w:ascii="Courier New" w:hAnsi="Courier New"/>
          <w:sz w:val="24"/>
          <w:szCs w:val="24"/>
        </w:rPr>
      </w:pPr>
      <w:r>
        <w:rPr>
          <w:rFonts w:ascii="Courier New" w:hAnsi="Courier New"/>
          <w:sz w:val="24"/>
          <w:szCs w:val="24"/>
        </w:rPr>
        <w:t xml:space="preserve">Other commenters recommended changes to the student warning requirements to lessen institutional burden and give institutions more flexibility.  Some of these commenters conflated the student warning and the disclosure template delivery requirements.  One commenter noted their differences and requested that we collapse the requirements into a single requirement.  For example, the proposed regulations require institutions to obtain written confirmation that a prospective student received a copy of the disclosure template; as noted by another commenter, there was no such requirement with respect to the student warning.  Some commenters recommended that email confirmation that students have received the student warning should satisfy the student warning requirements.  One commenter suggested that an institution should be able to meet the student warning requirements by delivering the disclosure template that includes the student warning to a prospective student as required under </w:t>
      </w:r>
      <w:r>
        <w:rPr>
          <w:rFonts w:ascii="Courier New" w:hAnsi="Courier New" w:cs="Courier New"/>
          <w:sz w:val="24"/>
          <w:szCs w:val="24"/>
        </w:rPr>
        <w:t>§</w:t>
      </w:r>
      <w:r>
        <w:rPr>
          <w:rFonts w:ascii="Courier New" w:hAnsi="Courier New"/>
          <w:sz w:val="24"/>
          <w:szCs w:val="24"/>
        </w:rPr>
        <w:t xml:space="preserve">668.412.  One commenter was unsure how institutions would deliver the required written student warning to prospective students who contact the institution by telephone about enrollment in a program, and one commenter proposed that oral warnings be permitted.  </w:t>
      </w:r>
    </w:p>
    <w:p w14:paraId="0D3E15EE"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Discussion</w:t>
      </w:r>
      <w:r>
        <w:rPr>
          <w:rFonts w:ascii="Courier New" w:hAnsi="Courier New"/>
          <w:sz w:val="24"/>
          <w:szCs w:val="24"/>
        </w:rPr>
        <w:t>:  We agree with the commenter who suggested the Department should more clearly specify the manner in which student warnings may be delivered.  To that end, we indicate in the final regulations the permitted methods of delivery of a student warning to each of:  (1) enrolled students, (2) prospective students upon first contact, and (3) prospective students prior to entering into an enrollment agreement.</w:t>
      </w:r>
    </w:p>
    <w:p w14:paraId="21DBF2E0" w14:textId="5336F69D" w:rsidR="00AA25A4" w:rsidRPr="00986E44" w:rsidRDefault="00AA25A4" w:rsidP="00AA25A4">
      <w:pPr>
        <w:spacing w:after="0" w:line="480" w:lineRule="auto"/>
        <w:rPr>
          <w:rFonts w:ascii="Courier New" w:hAnsi="Courier New" w:cs="Courier New"/>
          <w:sz w:val="24"/>
          <w:szCs w:val="24"/>
        </w:rPr>
      </w:pPr>
      <w:r>
        <w:rPr>
          <w:rFonts w:ascii="Courier New" w:hAnsi="Courier New"/>
          <w:sz w:val="24"/>
          <w:szCs w:val="24"/>
        </w:rPr>
        <w:tab/>
        <w:t xml:space="preserve">For enrolled students, as in the proposed regulations, the regulations permit delivery of the student warning in writing by hand-delivery or by email.  To ensure that the student warning is prominently displayed, and not lost within an abundance of other information, we are revising the regulations to clarify that any warning delivered by hand must be delivered as a separate document, as opposed to one page in a longer document; and any warning delivered by email </w:t>
      </w:r>
      <w:r>
        <w:rPr>
          <w:rFonts w:ascii="Courier New" w:hAnsi="Courier New" w:cs="Courier New"/>
          <w:sz w:val="24"/>
          <w:szCs w:val="24"/>
        </w:rPr>
        <w:t>must be the only substantive content of the email.  We recognize</w:t>
      </w:r>
      <w:r>
        <w:rPr>
          <w:rFonts w:ascii="Courier New" w:hAnsi="Courier New"/>
          <w:sz w:val="24"/>
          <w:szCs w:val="24"/>
        </w:rPr>
        <w:t xml:space="preserve"> that student warnings delivered by email may go unread by students and </w:t>
      </w:r>
      <w:r w:rsidRPr="00C346FE">
        <w:rPr>
          <w:rFonts w:ascii="Courier New" w:hAnsi="Courier New" w:cs="Courier New"/>
          <w:sz w:val="24"/>
          <w:szCs w:val="24"/>
        </w:rPr>
        <w:t xml:space="preserve">that there is a significant benefit to </w:t>
      </w:r>
      <w:r>
        <w:rPr>
          <w:rFonts w:ascii="Courier New" w:hAnsi="Courier New" w:cs="Courier New"/>
          <w:sz w:val="24"/>
          <w:szCs w:val="24"/>
        </w:rPr>
        <w:t xml:space="preserve">taking steps to help </w:t>
      </w:r>
      <w:r w:rsidRPr="00C346FE">
        <w:rPr>
          <w:rFonts w:ascii="Courier New" w:hAnsi="Courier New" w:cs="Courier New"/>
          <w:sz w:val="24"/>
          <w:szCs w:val="24"/>
        </w:rPr>
        <w:t>ensur</w:t>
      </w:r>
      <w:r>
        <w:rPr>
          <w:rFonts w:ascii="Courier New" w:hAnsi="Courier New" w:cs="Courier New"/>
          <w:sz w:val="24"/>
          <w:szCs w:val="24"/>
        </w:rPr>
        <w:t xml:space="preserve">e </w:t>
      </w:r>
      <w:r w:rsidRPr="00C346FE">
        <w:rPr>
          <w:rFonts w:ascii="Courier New" w:hAnsi="Courier New" w:cs="Courier New"/>
          <w:sz w:val="24"/>
          <w:szCs w:val="24"/>
        </w:rPr>
        <w:t>tha</w:t>
      </w:r>
      <w:r>
        <w:rPr>
          <w:rFonts w:ascii="Courier New" w:hAnsi="Courier New" w:cs="Courier New"/>
          <w:sz w:val="24"/>
          <w:szCs w:val="24"/>
        </w:rPr>
        <w:t>t</w:t>
      </w:r>
      <w:r w:rsidRPr="00C346FE">
        <w:rPr>
          <w:rFonts w:ascii="Courier New" w:hAnsi="Courier New" w:cs="Courier New"/>
          <w:sz w:val="24"/>
          <w:szCs w:val="24"/>
        </w:rPr>
        <w:t xml:space="preserve"> warnings</w:t>
      </w:r>
      <w:r>
        <w:rPr>
          <w:rFonts w:ascii="Courier New" w:hAnsi="Courier New" w:cs="Courier New"/>
          <w:sz w:val="24"/>
          <w:szCs w:val="24"/>
        </w:rPr>
        <w:t xml:space="preserve"> delivered by email</w:t>
      </w:r>
      <w:r w:rsidRPr="00C346FE">
        <w:rPr>
          <w:rFonts w:ascii="Courier New" w:hAnsi="Courier New" w:cs="Courier New"/>
          <w:sz w:val="24"/>
          <w:szCs w:val="24"/>
        </w:rPr>
        <w:t xml:space="preserve"> are actually read by the students. </w:t>
      </w:r>
      <w:r>
        <w:rPr>
          <w:rFonts w:ascii="Courier New" w:hAnsi="Courier New" w:cs="Courier New"/>
          <w:sz w:val="24"/>
          <w:szCs w:val="24"/>
        </w:rPr>
        <w:t xml:space="preserve"> </w:t>
      </w:r>
      <w:r>
        <w:rPr>
          <w:rFonts w:ascii="Courier New" w:hAnsi="Courier New"/>
          <w:sz w:val="24"/>
          <w:szCs w:val="24"/>
        </w:rPr>
        <w:t xml:space="preserve">Accordingly, as suggested by a commenter, </w:t>
      </w:r>
      <w:r>
        <w:rPr>
          <w:rFonts w:ascii="Courier New" w:hAnsi="Courier New" w:cs="Courier New"/>
          <w:sz w:val="24"/>
          <w:szCs w:val="24"/>
        </w:rPr>
        <w:t xml:space="preserve">we are revising §668.410(a) to require that, for a warning delivered by email, an institution must send the email to the primary email address used by the institution for communicating with the student about the program, and </w:t>
      </w:r>
      <w:r w:rsidR="00552B9E">
        <w:rPr>
          <w:rFonts w:ascii="Courier New" w:hAnsi="Courier New" w:cs="Courier New"/>
          <w:sz w:val="24"/>
          <w:szCs w:val="24"/>
        </w:rPr>
        <w:t>receive</w:t>
      </w:r>
      <w:r>
        <w:rPr>
          <w:rFonts w:ascii="Courier New" w:hAnsi="Courier New" w:cs="Courier New"/>
          <w:sz w:val="24"/>
          <w:szCs w:val="24"/>
        </w:rPr>
        <w:t xml:space="preserve"> electronic or other written </w:t>
      </w:r>
      <w:r w:rsidR="00552B9E">
        <w:rPr>
          <w:rFonts w:ascii="Courier New" w:hAnsi="Courier New" w:cs="Courier New"/>
          <w:sz w:val="24"/>
          <w:szCs w:val="24"/>
        </w:rPr>
        <w:t>acknowledgement</w:t>
      </w:r>
      <w:r>
        <w:rPr>
          <w:rFonts w:ascii="Courier New" w:hAnsi="Courier New" w:cs="Courier New"/>
          <w:sz w:val="24"/>
          <w:szCs w:val="24"/>
        </w:rPr>
        <w:t xml:space="preserve"> that the student has received the email.  If an institution receives a response indicating the email could not be delivered, the attempted delivery is not enough to meet the requirement in the regulations, and the institution must send the information using a different address or method of delivery.  An institution may satisfy the </w:t>
      </w:r>
      <w:r w:rsidR="006428AC">
        <w:rPr>
          <w:rFonts w:ascii="Courier New" w:hAnsi="Courier New" w:cs="Courier New"/>
          <w:sz w:val="24"/>
          <w:szCs w:val="24"/>
        </w:rPr>
        <w:t>acknowledgement</w:t>
      </w:r>
      <w:r>
        <w:rPr>
          <w:rFonts w:ascii="Courier New" w:hAnsi="Courier New" w:cs="Courier New"/>
          <w:sz w:val="24"/>
          <w:szCs w:val="24"/>
        </w:rPr>
        <w:t xml:space="preserve"> requirement through a variety of methods such as a pop-up window that requires students to acknowledge that they received the warning.  Institutions must maintain records of their efforts to deliver the warnings required under the regulations.  We believe that the burden on institutions to obtain this </w:t>
      </w:r>
      <w:r w:rsidR="006428AC">
        <w:rPr>
          <w:rFonts w:ascii="Courier New" w:hAnsi="Courier New" w:cs="Courier New"/>
          <w:sz w:val="24"/>
          <w:szCs w:val="24"/>
        </w:rPr>
        <w:t>acknowledgement</w:t>
      </w:r>
      <w:r>
        <w:rPr>
          <w:rFonts w:ascii="Courier New" w:hAnsi="Courier New" w:cs="Courier New"/>
          <w:sz w:val="24"/>
          <w:szCs w:val="24"/>
        </w:rPr>
        <w:t xml:space="preserve"> is outweighed by the increased likelihood that </w:t>
      </w:r>
      <w:r w:rsidR="00DE0F84">
        <w:rPr>
          <w:rFonts w:ascii="Courier New" w:hAnsi="Courier New" w:cs="Courier New"/>
          <w:sz w:val="24"/>
          <w:szCs w:val="24"/>
        </w:rPr>
        <w:t xml:space="preserve">in the course of, or as a result of, acknowledging receipt, </w:t>
      </w:r>
      <w:r w:rsidRPr="00C346FE">
        <w:rPr>
          <w:rFonts w:ascii="Courier New" w:hAnsi="Courier New" w:cs="Courier New"/>
          <w:sz w:val="24"/>
          <w:szCs w:val="24"/>
        </w:rPr>
        <w:t xml:space="preserve">students will </w:t>
      </w:r>
      <w:r>
        <w:rPr>
          <w:rFonts w:ascii="Courier New" w:hAnsi="Courier New" w:cs="Courier New"/>
          <w:sz w:val="24"/>
          <w:szCs w:val="24"/>
        </w:rPr>
        <w:t>read the warning</w:t>
      </w:r>
      <w:r w:rsidRPr="00C346FE">
        <w:rPr>
          <w:rFonts w:ascii="Courier New" w:hAnsi="Courier New" w:cs="Courier New"/>
          <w:sz w:val="24"/>
          <w:szCs w:val="24"/>
        </w:rPr>
        <w:t xml:space="preserve"> and take </w:t>
      </w:r>
      <w:r>
        <w:rPr>
          <w:rFonts w:ascii="Courier New" w:hAnsi="Courier New" w:cs="Courier New"/>
          <w:sz w:val="24"/>
          <w:szCs w:val="24"/>
        </w:rPr>
        <w:t>it</w:t>
      </w:r>
      <w:r w:rsidRPr="00C346FE">
        <w:rPr>
          <w:rFonts w:ascii="Courier New" w:hAnsi="Courier New" w:cs="Courier New"/>
          <w:sz w:val="24"/>
          <w:szCs w:val="24"/>
        </w:rPr>
        <w:t xml:space="preserve"> into account wh</w:t>
      </w:r>
      <w:r>
        <w:rPr>
          <w:rFonts w:ascii="Courier New" w:hAnsi="Courier New" w:cs="Courier New"/>
          <w:sz w:val="24"/>
          <w:szCs w:val="24"/>
        </w:rPr>
        <w:t>en</w:t>
      </w:r>
      <w:r w:rsidRPr="00C346FE">
        <w:rPr>
          <w:rFonts w:ascii="Courier New" w:hAnsi="Courier New" w:cs="Courier New"/>
          <w:sz w:val="24"/>
          <w:szCs w:val="24"/>
        </w:rPr>
        <w:t xml:space="preserve"> making </w:t>
      </w:r>
      <w:r>
        <w:rPr>
          <w:rFonts w:ascii="Courier New" w:hAnsi="Courier New" w:cs="Courier New"/>
          <w:sz w:val="24"/>
          <w:szCs w:val="24"/>
        </w:rPr>
        <w:t xml:space="preserve">educational and financial </w:t>
      </w:r>
      <w:r w:rsidRPr="00C346FE">
        <w:rPr>
          <w:rFonts w:ascii="Courier New" w:hAnsi="Courier New" w:cs="Courier New"/>
          <w:sz w:val="24"/>
          <w:szCs w:val="24"/>
        </w:rPr>
        <w:t xml:space="preserve">decisions.  </w:t>
      </w:r>
      <w:r>
        <w:rPr>
          <w:rFonts w:ascii="Courier New" w:hAnsi="Courier New" w:cs="Courier New"/>
          <w:sz w:val="24"/>
          <w:szCs w:val="24"/>
        </w:rPr>
        <w:t xml:space="preserve">We note that the requirement to obtain this kind of </w:t>
      </w:r>
      <w:r w:rsidR="006428AC">
        <w:rPr>
          <w:rFonts w:ascii="Courier New" w:hAnsi="Courier New" w:cs="Courier New"/>
          <w:sz w:val="24"/>
          <w:szCs w:val="24"/>
        </w:rPr>
        <w:t>acknowledgement</w:t>
      </w:r>
      <w:r>
        <w:rPr>
          <w:rFonts w:ascii="Courier New" w:hAnsi="Courier New" w:cs="Courier New"/>
          <w:sz w:val="24"/>
          <w:szCs w:val="24"/>
        </w:rPr>
        <w:t xml:space="preserve"> is no more burdensome than the requirement that institutions do so with regard to entrance counseling requirements.  </w:t>
      </w:r>
      <w:r w:rsidRPr="00986E44">
        <w:rPr>
          <w:rFonts w:ascii="Courier New" w:hAnsi="Courier New" w:cs="Courier New"/>
          <w:sz w:val="24"/>
          <w:szCs w:val="24"/>
          <w:u w:val="single"/>
        </w:rPr>
        <w:t>See</w:t>
      </w:r>
      <w:r>
        <w:rPr>
          <w:rFonts w:ascii="Courier New" w:hAnsi="Courier New" w:cs="Courier New"/>
          <w:sz w:val="24"/>
          <w:szCs w:val="24"/>
        </w:rPr>
        <w:t xml:space="preserve"> section </w:t>
      </w:r>
      <w:r w:rsidRPr="000B7714">
        <w:rPr>
          <w:rFonts w:ascii="Courier New" w:hAnsi="Courier New" w:cs="Courier New"/>
          <w:sz w:val="24"/>
          <w:szCs w:val="24"/>
        </w:rPr>
        <w:t>485(l)(2)</w:t>
      </w:r>
      <w:r>
        <w:rPr>
          <w:rFonts w:ascii="Courier New" w:hAnsi="Courier New" w:cs="Courier New"/>
          <w:sz w:val="24"/>
          <w:szCs w:val="24"/>
        </w:rPr>
        <w:t xml:space="preserve"> of the HEA</w:t>
      </w:r>
      <w:r w:rsidRPr="000B7714">
        <w:rPr>
          <w:rFonts w:ascii="Courier New" w:hAnsi="Courier New" w:cs="Courier New"/>
          <w:sz w:val="24"/>
          <w:szCs w:val="24"/>
        </w:rPr>
        <w:t xml:space="preserve"> </w:t>
      </w:r>
      <w:r>
        <w:rPr>
          <w:rFonts w:ascii="Courier New" w:hAnsi="Courier New" w:cs="Courier New"/>
          <w:sz w:val="24"/>
          <w:szCs w:val="24"/>
        </w:rPr>
        <w:t>(</w:t>
      </w:r>
      <w:r w:rsidRPr="000B7714">
        <w:rPr>
          <w:rFonts w:ascii="Courier New" w:hAnsi="Courier New" w:cs="Courier New"/>
          <w:sz w:val="24"/>
          <w:szCs w:val="24"/>
        </w:rPr>
        <w:t>20 USC 10</w:t>
      </w:r>
      <w:r w:rsidR="00C26145">
        <w:rPr>
          <w:rFonts w:ascii="Courier New" w:hAnsi="Courier New" w:cs="Courier New"/>
          <w:sz w:val="24"/>
          <w:szCs w:val="24"/>
        </w:rPr>
        <w:t>92</w:t>
      </w:r>
      <w:r w:rsidRPr="000B7714">
        <w:rPr>
          <w:rFonts w:ascii="Courier New" w:hAnsi="Courier New" w:cs="Courier New"/>
          <w:sz w:val="24"/>
          <w:szCs w:val="24"/>
        </w:rPr>
        <w:t>(l)(2)</w:t>
      </w:r>
      <w:r>
        <w:rPr>
          <w:rFonts w:ascii="Courier New" w:hAnsi="Courier New" w:cs="Courier New"/>
          <w:sz w:val="24"/>
          <w:szCs w:val="24"/>
        </w:rPr>
        <w:t>); 34 CFR 682.604(f)(3)</w:t>
      </w:r>
      <w:r w:rsidRPr="000B7714">
        <w:rPr>
          <w:rFonts w:ascii="Courier New" w:hAnsi="Courier New" w:cs="Courier New"/>
          <w:sz w:val="24"/>
          <w:szCs w:val="24"/>
        </w:rPr>
        <w:t>; 34 CFR 685.304(a)(3)(ii)-(iii)</w:t>
      </w:r>
      <w:r>
        <w:rPr>
          <w:rFonts w:ascii="Courier New" w:hAnsi="Courier New" w:cs="Courier New"/>
          <w:sz w:val="24"/>
          <w:szCs w:val="24"/>
        </w:rPr>
        <w:t xml:space="preserve"> </w:t>
      </w:r>
      <w:r w:rsidRPr="000B7714">
        <w:rPr>
          <w:rFonts w:ascii="Courier New" w:hAnsi="Courier New" w:cs="Courier New"/>
          <w:sz w:val="24"/>
          <w:szCs w:val="24"/>
        </w:rPr>
        <w:t>(requiring written or electronic receipt acknowledgment</w:t>
      </w:r>
      <w:r w:rsidRPr="00986E44">
        <w:rPr>
          <w:rFonts w:ascii="Courier New" w:hAnsi="Courier New" w:cs="Courier New"/>
          <w:sz w:val="24"/>
          <w:szCs w:val="24"/>
        </w:rPr>
        <w:t xml:space="preserve">). </w:t>
      </w:r>
    </w:p>
    <w:p w14:paraId="0E0143AF" w14:textId="77777777" w:rsidR="00AA25A4" w:rsidRDefault="00AA25A4" w:rsidP="00AA25A4">
      <w:pPr>
        <w:spacing w:after="0" w:line="480" w:lineRule="auto"/>
        <w:rPr>
          <w:rFonts w:ascii="Courier New" w:hAnsi="Courier New"/>
          <w:sz w:val="24"/>
          <w:szCs w:val="24"/>
        </w:rPr>
      </w:pPr>
      <w:r>
        <w:rPr>
          <w:rFonts w:ascii="Courier New" w:hAnsi="Courier New"/>
          <w:sz w:val="24"/>
          <w:szCs w:val="24"/>
        </w:rPr>
        <w:tab/>
        <w:t xml:space="preserve">For the requirement that an institution or its agent provide the student warning upon first contact with a prospective student or a third party acting on behalf of a prospective student, we are clarifying that the warning may be delivered in the same manner as the warning is delivered to enrolled students--by hand-delivery or by email--in accordance with the same requirements that apply to the delivery of warnings to enrolled students.  As proposed by a commenter, we are revising the student warning and disclosure template delivery requirements relating to prospective students to permit an institution to deliver the disclosure template with the student warning.  In this regard, we are moving the requirement that an institution update its disclosure template to include the student warning from </w:t>
      </w:r>
      <w:r>
        <w:rPr>
          <w:rFonts w:ascii="Courier New" w:hAnsi="Courier New" w:cs="Courier New"/>
          <w:sz w:val="24"/>
          <w:szCs w:val="24"/>
        </w:rPr>
        <w:t>§</w:t>
      </w:r>
      <w:r>
        <w:rPr>
          <w:rFonts w:ascii="Courier New" w:hAnsi="Courier New"/>
          <w:sz w:val="24"/>
          <w:szCs w:val="24"/>
        </w:rPr>
        <w:t xml:space="preserve">668.412 to </w:t>
      </w:r>
      <w:r>
        <w:rPr>
          <w:rFonts w:ascii="Courier New" w:hAnsi="Courier New" w:cs="Courier New"/>
          <w:sz w:val="24"/>
          <w:szCs w:val="24"/>
        </w:rPr>
        <w:t>§</w:t>
      </w:r>
      <w:r>
        <w:rPr>
          <w:rFonts w:ascii="Courier New" w:hAnsi="Courier New"/>
          <w:sz w:val="24"/>
          <w:szCs w:val="24"/>
        </w:rPr>
        <w:t xml:space="preserve">668.410(a)(7) in order to consolidate all of the requirements related to student warnings in one section of the regulations, although we continue to reference this requirement in </w:t>
      </w:r>
      <w:r>
        <w:rPr>
          <w:rFonts w:ascii="Courier New" w:hAnsi="Courier New" w:cs="Courier New"/>
          <w:sz w:val="24"/>
          <w:szCs w:val="24"/>
        </w:rPr>
        <w:t>§</w:t>
      </w:r>
      <w:r>
        <w:rPr>
          <w:rFonts w:ascii="Courier New" w:hAnsi="Courier New"/>
          <w:sz w:val="24"/>
          <w:szCs w:val="24"/>
        </w:rPr>
        <w:t>668.412.</w:t>
      </w:r>
    </w:p>
    <w:p w14:paraId="618E4EEA" w14:textId="77777777" w:rsidR="00AA25A4" w:rsidRDefault="00AA25A4" w:rsidP="00AA25A4">
      <w:pPr>
        <w:spacing w:after="0" w:line="480" w:lineRule="auto"/>
        <w:rPr>
          <w:rFonts w:ascii="Courier New" w:hAnsi="Courier New"/>
          <w:sz w:val="24"/>
          <w:szCs w:val="24"/>
        </w:rPr>
      </w:pPr>
      <w:r>
        <w:rPr>
          <w:rFonts w:ascii="Courier New" w:hAnsi="Courier New"/>
          <w:sz w:val="24"/>
          <w:szCs w:val="24"/>
        </w:rPr>
        <w:t xml:space="preserve">     We recognize that the first contact between an institution or its agent and a prospective student or a third party acting on the prospective student’s behalf may be made by telephone.  Although we continue to believe that a written warning is more effective than an oral warning, given that a prospective student will receive the student warning in writing prior to entering into an enrollment agreement, we are revising the regulations to permit an oral warning in these circumstances to lessen administrative burden for institutions, while at the same time ensuring that prospective students receive important information at a critical time in their decision-making process.</w:t>
      </w:r>
    </w:p>
    <w:p w14:paraId="2B7645A5" w14:textId="77777777" w:rsidR="00AA25A4" w:rsidRPr="008C51C9" w:rsidRDefault="00AA25A4" w:rsidP="00AA25A4">
      <w:pPr>
        <w:spacing w:after="0" w:line="480" w:lineRule="auto"/>
        <w:rPr>
          <w:rFonts w:ascii="Courier New" w:hAnsi="Courier New" w:cs="Courier New"/>
          <w:sz w:val="24"/>
          <w:szCs w:val="24"/>
        </w:rPr>
      </w:pPr>
      <w:r>
        <w:rPr>
          <w:rFonts w:ascii="Courier New" w:hAnsi="Courier New"/>
          <w:sz w:val="24"/>
          <w:szCs w:val="24"/>
        </w:rPr>
        <w:tab/>
        <w:t xml:space="preserve">For the student warning that must be delivered to a prospective student at least three, but not more than 30, days prior to entering into an enrollment agreement, we are clarifying that all the written methods of delivery permitted for student warnings upon first contact--but not oral delivery--are also permitted in this circumstance.  In this regard, we note that, in requiring that a written warning delivered by hand be in a separate document, an institution may not build the student warning into an enrollment or similar agreement </w:t>
      </w:r>
      <w:r w:rsidRPr="008C51C9">
        <w:rPr>
          <w:rFonts w:ascii="Courier New" w:hAnsi="Courier New" w:cs="Courier New"/>
          <w:sz w:val="24"/>
          <w:szCs w:val="24"/>
        </w:rPr>
        <w:t>where the information could be easily overlooked.</w:t>
      </w:r>
    </w:p>
    <w:p w14:paraId="735A8E39" w14:textId="77777777" w:rsidR="00AA25A4" w:rsidRDefault="00AA25A4" w:rsidP="00AA25A4">
      <w:pPr>
        <w:pStyle w:val="CommentText"/>
        <w:spacing w:after="0" w:line="480" w:lineRule="auto"/>
        <w:ind w:firstLine="720"/>
      </w:pPr>
      <w:r w:rsidRPr="008C51C9">
        <w:rPr>
          <w:rFonts w:ascii="Courier New" w:hAnsi="Courier New" w:cs="Courier New"/>
          <w:sz w:val="24"/>
          <w:szCs w:val="24"/>
        </w:rPr>
        <w:t xml:space="preserve">We believe that direct delivery of the warning to students and prospective students makes it most likely that students receive it and review it.  </w:t>
      </w:r>
      <w:r>
        <w:rPr>
          <w:rFonts w:ascii="Courier New" w:hAnsi="Courier New" w:cs="Courier New"/>
          <w:sz w:val="24"/>
          <w:szCs w:val="24"/>
        </w:rPr>
        <w:t>While w</w:t>
      </w:r>
      <w:r w:rsidRPr="008C51C9">
        <w:rPr>
          <w:rFonts w:ascii="Courier New" w:hAnsi="Courier New" w:cs="Courier New"/>
          <w:sz w:val="24"/>
          <w:szCs w:val="24"/>
        </w:rPr>
        <w:t xml:space="preserve">e encourage institutions to post the student warning in classrooms and financial aid offices, institutions </w:t>
      </w:r>
      <w:r>
        <w:rPr>
          <w:rFonts w:ascii="Courier New" w:hAnsi="Courier New" w:cs="Courier New"/>
          <w:sz w:val="24"/>
          <w:szCs w:val="24"/>
        </w:rPr>
        <w:t xml:space="preserve">will not be required </w:t>
      </w:r>
      <w:r w:rsidRPr="008C51C9">
        <w:rPr>
          <w:rFonts w:ascii="Courier New" w:hAnsi="Courier New" w:cs="Courier New"/>
          <w:sz w:val="24"/>
          <w:szCs w:val="24"/>
        </w:rPr>
        <w:t>to do so</w:t>
      </w:r>
      <w:r>
        <w:rPr>
          <w:rFonts w:ascii="Courier New" w:hAnsi="Courier New" w:cs="Courier New"/>
          <w:sz w:val="24"/>
          <w:szCs w:val="24"/>
        </w:rPr>
        <w:t xml:space="preserve"> as it is unclear whether the additional benefits of this beyond the other delivery requirements would outweigh the added burden</w:t>
      </w:r>
      <w:r>
        <w:t xml:space="preserve">.  </w:t>
      </w:r>
    </w:p>
    <w:p w14:paraId="740F2541" w14:textId="77777777" w:rsidR="00AA25A4" w:rsidRDefault="00AA25A4" w:rsidP="00AA25A4">
      <w:pPr>
        <w:spacing w:after="0" w:line="480" w:lineRule="auto"/>
        <w:ind w:firstLine="720"/>
        <w:rPr>
          <w:rFonts w:ascii="Courier New" w:hAnsi="Courier New"/>
          <w:sz w:val="24"/>
          <w:szCs w:val="24"/>
        </w:rPr>
      </w:pPr>
      <w:r>
        <w:rPr>
          <w:rFonts w:ascii="Courier New" w:hAnsi="Courier New"/>
          <w:sz w:val="24"/>
          <w:szCs w:val="24"/>
        </w:rPr>
        <w:t>As suggested by a commenter, we intend to solicit feedback on the most effective delivery methods</w:t>
      </w:r>
      <w:r w:rsidDel="00B76A47">
        <w:rPr>
          <w:rFonts w:ascii="Courier New" w:hAnsi="Courier New"/>
          <w:sz w:val="24"/>
          <w:szCs w:val="24"/>
        </w:rPr>
        <w:t xml:space="preserve"> </w:t>
      </w:r>
      <w:r>
        <w:rPr>
          <w:rFonts w:ascii="Courier New" w:hAnsi="Courier New"/>
          <w:sz w:val="24"/>
          <w:szCs w:val="24"/>
        </w:rPr>
        <w:t>through consumer testing.</w:t>
      </w:r>
    </w:p>
    <w:p w14:paraId="041514E5" w14:textId="77777777" w:rsidR="00AA25A4" w:rsidRDefault="00AA25A4" w:rsidP="00AA25A4">
      <w:pPr>
        <w:spacing w:after="0" w:line="480" w:lineRule="auto"/>
        <w:rPr>
          <w:rFonts w:ascii="Courier New" w:hAnsi="Courier New"/>
          <w:sz w:val="24"/>
          <w:szCs w:val="24"/>
        </w:rPr>
      </w:pPr>
      <w:r>
        <w:rPr>
          <w:rFonts w:ascii="Courier New" w:hAnsi="Courier New"/>
          <w:sz w:val="24"/>
          <w:szCs w:val="24"/>
          <w:u w:val="single"/>
        </w:rPr>
        <w:t>Changes</w:t>
      </w:r>
      <w:r>
        <w:rPr>
          <w:rFonts w:ascii="Courier New" w:hAnsi="Courier New"/>
          <w:sz w:val="24"/>
          <w:szCs w:val="24"/>
        </w:rPr>
        <w:t xml:space="preserve">:  We have clarified the methods by which an institution may deliver the required warnings to students and prospective students in </w:t>
      </w:r>
      <w:r>
        <w:rPr>
          <w:rFonts w:ascii="Courier New" w:hAnsi="Courier New" w:cs="Courier New"/>
          <w:sz w:val="24"/>
          <w:szCs w:val="24"/>
        </w:rPr>
        <w:t>§</w:t>
      </w:r>
      <w:r>
        <w:rPr>
          <w:rFonts w:ascii="Courier New" w:hAnsi="Courier New"/>
          <w:sz w:val="24"/>
          <w:szCs w:val="24"/>
        </w:rPr>
        <w:t xml:space="preserve">668.410(a)(5) and (a)(6).  In </w:t>
      </w:r>
      <w:r>
        <w:rPr>
          <w:rFonts w:ascii="Courier New" w:hAnsi="Courier New" w:cs="Courier New"/>
          <w:sz w:val="24"/>
          <w:szCs w:val="24"/>
        </w:rPr>
        <w:t>§</w:t>
      </w:r>
      <w:r>
        <w:rPr>
          <w:rFonts w:ascii="Courier New" w:hAnsi="Courier New"/>
          <w:sz w:val="24"/>
          <w:szCs w:val="24"/>
        </w:rPr>
        <w:t>668.410(a)(5), we have added the requirement that student warnings that are hand-delivered must be provided in a separate document.  We have also required that student warnings that are delivered by email must be the only substantive content of the email and the institution must receive an electronic or other written acknowledgement from the student that the student received the warning.  In addition, we have specified that if an institution receives a response that the email could not be delivered, the institution must use a different address or mode of delivery.  Finally, the regulations have been revised to require that an institution maintain records of its efforts to deliver the warning.</w:t>
      </w:r>
    </w:p>
    <w:p w14:paraId="37CF466C" w14:textId="77777777" w:rsidR="00AA25A4" w:rsidRDefault="00AA25A4" w:rsidP="00AA25A4">
      <w:pPr>
        <w:spacing w:after="0" w:line="480" w:lineRule="auto"/>
        <w:rPr>
          <w:rFonts w:ascii="Courier New" w:hAnsi="Courier New"/>
          <w:sz w:val="24"/>
          <w:szCs w:val="24"/>
        </w:rPr>
      </w:pPr>
      <w:r>
        <w:rPr>
          <w:rFonts w:ascii="Courier New" w:hAnsi="Courier New"/>
          <w:sz w:val="24"/>
          <w:szCs w:val="24"/>
        </w:rPr>
        <w:t xml:space="preserve">     In </w:t>
      </w:r>
      <w:r>
        <w:rPr>
          <w:rFonts w:ascii="Courier New" w:hAnsi="Courier New" w:cs="Courier New"/>
          <w:sz w:val="24"/>
          <w:szCs w:val="24"/>
        </w:rPr>
        <w:t>§</w:t>
      </w:r>
      <w:r>
        <w:rPr>
          <w:rFonts w:ascii="Courier New" w:hAnsi="Courier New"/>
          <w:sz w:val="24"/>
          <w:szCs w:val="24"/>
        </w:rPr>
        <w:t xml:space="preserve">668.410(a)(6), we have clarified that the methods of delivery specified for enrolled students, as revised, also apply to prospective students, and we have provided that student warnings may be delivered to a prospective student by providing the prospective student a disclosure template that has been updated to include the student warning.  The same requirements with respect to email delivery and acknowledgment of receipt that apply to the warnings to enrolled students will also apply to warnings delivered to prospective students or a third party acting on behalf of the prospective student.  </w:t>
      </w:r>
    </w:p>
    <w:p w14:paraId="25CD5DAD" w14:textId="77777777" w:rsidR="00AA25A4" w:rsidRDefault="00AA25A4" w:rsidP="00AA25A4">
      <w:pPr>
        <w:spacing w:after="0" w:line="480" w:lineRule="auto"/>
        <w:rPr>
          <w:rFonts w:ascii="Courier New" w:hAnsi="Courier New"/>
          <w:sz w:val="24"/>
          <w:szCs w:val="24"/>
        </w:rPr>
      </w:pPr>
      <w:r>
        <w:rPr>
          <w:rFonts w:ascii="Courier New" w:hAnsi="Courier New"/>
          <w:sz w:val="24"/>
          <w:szCs w:val="24"/>
        </w:rPr>
        <w:t xml:space="preserve">     We also have revised §668.410(a) to specify that an institution may deliver any required warning orally to a prospective student or third party except in the case of a warning that is required to be given before a prospective student enrolls in, registers, or makes a financial commitment with respect to a program.   </w:t>
      </w:r>
    </w:p>
    <w:p w14:paraId="528F716A" w14:textId="77777777" w:rsidR="00AA25A4" w:rsidRDefault="00AA25A4" w:rsidP="00AA25A4">
      <w:pPr>
        <w:spacing w:after="0" w:line="480" w:lineRule="auto"/>
        <w:rPr>
          <w:rFonts w:ascii="Courier New" w:hAnsi="Courier New" w:cs="Courier New"/>
          <w:sz w:val="24"/>
          <w:szCs w:val="24"/>
        </w:rPr>
      </w:pPr>
      <w:r w:rsidRPr="00DF4229">
        <w:rPr>
          <w:rFonts w:ascii="Courier New" w:hAnsi="Courier New" w:cs="Courier New"/>
          <w:sz w:val="24"/>
          <w:szCs w:val="24"/>
          <w:u w:val="single"/>
        </w:rPr>
        <w:t>Comments</w:t>
      </w:r>
      <w:r>
        <w:rPr>
          <w:rFonts w:ascii="Courier New" w:hAnsi="Courier New" w:cs="Courier New"/>
          <w:sz w:val="24"/>
          <w:szCs w:val="24"/>
        </w:rPr>
        <w:t xml:space="preserve">:  Some commenters </w:t>
      </w:r>
      <w:r w:rsidRPr="00552507">
        <w:rPr>
          <w:rFonts w:ascii="Courier New" w:hAnsi="Courier New" w:cs="Courier New"/>
          <w:sz w:val="24"/>
          <w:szCs w:val="24"/>
        </w:rPr>
        <w:t xml:space="preserve">contended that the requirement that student warnings be provided </w:t>
      </w:r>
      <w:r>
        <w:rPr>
          <w:rFonts w:ascii="Courier New" w:hAnsi="Courier New" w:cs="Courier New"/>
          <w:sz w:val="24"/>
          <w:szCs w:val="24"/>
        </w:rPr>
        <w:t xml:space="preserve">to the extent </w:t>
      </w:r>
      <w:r w:rsidRPr="00552507">
        <w:rPr>
          <w:rFonts w:ascii="Courier New" w:hAnsi="Courier New" w:cs="Courier New"/>
          <w:sz w:val="24"/>
          <w:szCs w:val="24"/>
        </w:rPr>
        <w:t>practica</w:t>
      </w:r>
      <w:r>
        <w:rPr>
          <w:rFonts w:ascii="Courier New" w:hAnsi="Courier New" w:cs="Courier New"/>
          <w:sz w:val="24"/>
          <w:szCs w:val="24"/>
        </w:rPr>
        <w:t>ble</w:t>
      </w:r>
      <w:r w:rsidRPr="00552507">
        <w:rPr>
          <w:rFonts w:ascii="Courier New" w:hAnsi="Courier New" w:cs="Courier New"/>
          <w:sz w:val="24"/>
          <w:szCs w:val="24"/>
        </w:rPr>
        <w:t xml:space="preserve"> </w:t>
      </w:r>
      <w:r>
        <w:rPr>
          <w:rFonts w:ascii="Courier New" w:hAnsi="Courier New" w:cs="Courier New"/>
          <w:sz w:val="24"/>
          <w:szCs w:val="24"/>
        </w:rPr>
        <w:t>in languages</w:t>
      </w:r>
      <w:r w:rsidRPr="00552507">
        <w:rPr>
          <w:rFonts w:ascii="Courier New" w:hAnsi="Courier New" w:cs="Courier New"/>
          <w:sz w:val="24"/>
          <w:szCs w:val="24"/>
        </w:rPr>
        <w:t xml:space="preserve"> other than English for students for whom English is not their first language</w:t>
      </w:r>
      <w:r>
        <w:rPr>
          <w:rFonts w:ascii="Courier New" w:hAnsi="Courier New" w:cs="Courier New"/>
          <w:sz w:val="24"/>
          <w:szCs w:val="24"/>
        </w:rPr>
        <w:t xml:space="preserve"> is unclear because the requirement does not indicate how a school would determine whether English is the first language of a student.   </w:t>
      </w:r>
    </w:p>
    <w:p w14:paraId="63FED8DB" w14:textId="77777777" w:rsidR="00AA25A4" w:rsidRDefault="00AA25A4" w:rsidP="00AA25A4">
      <w:pPr>
        <w:pStyle w:val="PlainText"/>
        <w:spacing w:line="480" w:lineRule="auto"/>
        <w:rPr>
          <w:rFonts w:ascii="Courier New" w:hAnsi="Courier New" w:cs="Courier New"/>
          <w:sz w:val="24"/>
          <w:szCs w:val="24"/>
        </w:rPr>
      </w:pPr>
      <w:r w:rsidRPr="00D936BA">
        <w:rPr>
          <w:rFonts w:ascii="Courier New" w:hAnsi="Courier New" w:cs="Courier New"/>
          <w:sz w:val="24"/>
          <w:szCs w:val="24"/>
          <w:u w:val="single"/>
        </w:rPr>
        <w:t>Discussion</w:t>
      </w:r>
      <w:r w:rsidRPr="00BD6E01">
        <w:rPr>
          <w:rFonts w:ascii="Courier New" w:hAnsi="Courier New" w:cs="Courier New"/>
          <w:sz w:val="24"/>
          <w:szCs w:val="24"/>
        </w:rPr>
        <w:t xml:space="preserve">: </w:t>
      </w:r>
      <w:r>
        <w:rPr>
          <w:rFonts w:ascii="Courier New" w:hAnsi="Courier New" w:cs="Courier New"/>
          <w:sz w:val="24"/>
          <w:szCs w:val="24"/>
        </w:rPr>
        <w:t xml:space="preserve"> Section</w:t>
      </w:r>
      <w:r w:rsidRPr="00BD6E01">
        <w:rPr>
          <w:rFonts w:ascii="Courier New" w:eastAsia="Times New Roman" w:hAnsi="Courier New" w:cs="Courier New"/>
          <w:sz w:val="24"/>
          <w:szCs w:val="24"/>
        </w:rPr>
        <w:t xml:space="preserve"> 668.410(</w:t>
      </w:r>
      <w:r>
        <w:rPr>
          <w:rFonts w:ascii="Courier New" w:eastAsia="Times New Roman" w:hAnsi="Courier New" w:cs="Courier New"/>
          <w:sz w:val="24"/>
          <w:szCs w:val="24"/>
        </w:rPr>
        <w:t>a</w:t>
      </w:r>
      <w:r w:rsidRPr="00BD6E01">
        <w:rPr>
          <w:rFonts w:ascii="Courier New" w:eastAsia="Times New Roman" w:hAnsi="Courier New" w:cs="Courier New"/>
          <w:sz w:val="24"/>
          <w:szCs w:val="24"/>
        </w:rPr>
        <w:t>)</w:t>
      </w:r>
      <w:r>
        <w:rPr>
          <w:rFonts w:ascii="Courier New" w:eastAsia="Times New Roman" w:hAnsi="Courier New" w:cs="Courier New"/>
          <w:sz w:val="24"/>
          <w:szCs w:val="24"/>
        </w:rPr>
        <w:t>(4) (§668.410(a)(3) in the proposed regulations)</w:t>
      </w:r>
      <w:r w:rsidRPr="00BD6E01">
        <w:rPr>
          <w:rFonts w:ascii="Courier New" w:eastAsia="Times New Roman" w:hAnsi="Courier New" w:cs="Courier New"/>
          <w:sz w:val="24"/>
          <w:szCs w:val="24"/>
        </w:rPr>
        <w:t xml:space="preserve"> require</w:t>
      </w:r>
      <w:r>
        <w:rPr>
          <w:rFonts w:ascii="Courier New" w:eastAsia="Times New Roman" w:hAnsi="Courier New" w:cs="Courier New"/>
          <w:sz w:val="24"/>
          <w:szCs w:val="24"/>
        </w:rPr>
        <w:t>s</w:t>
      </w:r>
      <w:r w:rsidRPr="00BD6E0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that an institution provide, “if practicable,” </w:t>
      </w:r>
      <w:r w:rsidRPr="00BD6E01">
        <w:rPr>
          <w:rFonts w:ascii="Courier New" w:eastAsia="Times New Roman" w:hAnsi="Courier New" w:cs="Courier New"/>
          <w:sz w:val="24"/>
          <w:szCs w:val="24"/>
        </w:rPr>
        <w:t xml:space="preserve">“alternatives to English-language </w:t>
      </w:r>
      <w:r>
        <w:rPr>
          <w:rFonts w:ascii="Courier New" w:eastAsia="Times New Roman" w:hAnsi="Courier New" w:cs="Courier New"/>
          <w:sz w:val="24"/>
          <w:szCs w:val="24"/>
        </w:rPr>
        <w:t>warnings</w:t>
      </w:r>
      <w:r w:rsidRPr="00BD6E01">
        <w:rPr>
          <w:rFonts w:ascii="Courier New" w:eastAsia="Times New Roman" w:hAnsi="Courier New" w:cs="Courier New"/>
          <w:sz w:val="24"/>
          <w:szCs w:val="24"/>
        </w:rPr>
        <w:t>” to those prospective students and current</w:t>
      </w:r>
      <w:r>
        <w:rPr>
          <w:rFonts w:ascii="Courier New" w:eastAsia="Times New Roman" w:hAnsi="Courier New" w:cs="Courier New"/>
          <w:sz w:val="24"/>
          <w:szCs w:val="24"/>
        </w:rPr>
        <w:t>ly enrolled</w:t>
      </w:r>
      <w:r w:rsidRPr="00BD6E01">
        <w:rPr>
          <w:rFonts w:ascii="Courier New" w:eastAsia="Times New Roman" w:hAnsi="Courier New" w:cs="Courier New"/>
          <w:sz w:val="24"/>
          <w:szCs w:val="24"/>
        </w:rPr>
        <w:t xml:space="preserve"> students for whom English is not their first language.  This requirement is not unconstitutionally vague.  </w:t>
      </w:r>
      <w:r>
        <w:rPr>
          <w:rFonts w:ascii="Courier New" w:eastAsia="Times New Roman" w:hAnsi="Courier New" w:cs="Courier New"/>
          <w:sz w:val="24"/>
          <w:szCs w:val="24"/>
        </w:rPr>
        <w:t>There are many</w:t>
      </w:r>
      <w:r w:rsidRPr="00BD6E01">
        <w:rPr>
          <w:rFonts w:ascii="Courier New" w:eastAsia="Times New Roman" w:hAnsi="Courier New" w:cs="Courier New"/>
          <w:sz w:val="24"/>
          <w:szCs w:val="24"/>
        </w:rPr>
        <w:t xml:space="preserve"> ways</w:t>
      </w:r>
      <w:r>
        <w:rPr>
          <w:rFonts w:ascii="Courier New" w:eastAsia="Times New Roman" w:hAnsi="Courier New" w:cs="Courier New"/>
          <w:sz w:val="24"/>
          <w:szCs w:val="24"/>
        </w:rPr>
        <w:t xml:space="preserve"> in which an institution could practicably</w:t>
      </w:r>
      <w:r w:rsidRPr="00BD6E01">
        <w:rPr>
          <w:rFonts w:ascii="Courier New" w:eastAsia="Times New Roman" w:hAnsi="Courier New" w:cs="Courier New"/>
          <w:sz w:val="24"/>
          <w:szCs w:val="24"/>
        </w:rPr>
        <w:t xml:space="preserve"> identify individuals for whom English may not be their first language</w:t>
      </w:r>
      <w:r>
        <w:rPr>
          <w:rFonts w:ascii="Courier New" w:eastAsia="Times New Roman" w:hAnsi="Courier New" w:cs="Courier New"/>
          <w:sz w:val="24"/>
          <w:szCs w:val="24"/>
        </w:rPr>
        <w:t>.  However,</w:t>
      </w:r>
      <w:r w:rsidRPr="00BD6E01">
        <w:rPr>
          <w:rFonts w:ascii="Courier New" w:eastAsia="Times New Roman" w:hAnsi="Courier New" w:cs="Courier New"/>
          <w:sz w:val="24"/>
          <w:szCs w:val="24"/>
        </w:rPr>
        <w:t xml:space="preserve"> we note one simple test generally applicable to consumer transactions</w:t>
      </w:r>
      <w:r>
        <w:rPr>
          <w:rFonts w:ascii="Courier New" w:eastAsia="Times New Roman" w:hAnsi="Courier New" w:cs="Courier New"/>
          <w:sz w:val="24"/>
          <w:szCs w:val="24"/>
        </w:rPr>
        <w:t xml:space="preserve"> that could be used by institutions in determining whether alternatives to non-English warnings are warranted.  That test is whether</w:t>
      </w:r>
      <w:r w:rsidRPr="00BD6E01">
        <w:rPr>
          <w:rFonts w:ascii="Courier New" w:eastAsia="Times New Roman" w:hAnsi="Courier New" w:cs="Courier New"/>
          <w:sz w:val="24"/>
          <w:szCs w:val="24"/>
        </w:rPr>
        <w:t xml:space="preserve"> the language principally us</w:t>
      </w:r>
      <w:r>
        <w:rPr>
          <w:rFonts w:ascii="Courier New" w:eastAsia="Times New Roman" w:hAnsi="Courier New" w:cs="Courier New"/>
          <w:sz w:val="24"/>
          <w:szCs w:val="24"/>
        </w:rPr>
        <w:t>ed in marketing and recruiting for the program was a language other than English</w:t>
      </w:r>
      <w:r w:rsidRPr="00BD6E01">
        <w:rPr>
          <w:rFonts w:ascii="Courier New" w:eastAsia="Times New Roman" w:hAnsi="Courier New" w:cs="Courier New"/>
          <w:sz w:val="24"/>
          <w:szCs w:val="24"/>
        </w:rPr>
        <w:t>.</w:t>
      </w:r>
      <w:r w:rsidRPr="00BD6E01">
        <w:rPr>
          <w:rStyle w:val="FootnoteReference"/>
          <w:rFonts w:ascii="Courier New" w:eastAsia="Times New Roman" w:hAnsi="Courier New" w:cs="Courier New"/>
          <w:sz w:val="24"/>
          <w:szCs w:val="24"/>
        </w:rPr>
        <w:footnoteReference w:id="176"/>
      </w:r>
      <w:r w:rsidRPr="00BD6E01">
        <w:rPr>
          <w:rFonts w:ascii="Courier New" w:eastAsia="Times New Roman" w:hAnsi="Courier New" w:cs="Courier New"/>
          <w:sz w:val="24"/>
          <w:szCs w:val="24"/>
        </w:rPr>
        <w:t xml:space="preserve">  Where i</w:t>
      </w:r>
      <w:r>
        <w:rPr>
          <w:rFonts w:ascii="Courier New" w:eastAsia="Times New Roman" w:hAnsi="Courier New" w:cs="Courier New"/>
          <w:sz w:val="24"/>
          <w:szCs w:val="24"/>
        </w:rPr>
        <w:t>nstitutional records show that a</w:t>
      </w:r>
      <w:r w:rsidRPr="00BD6E01">
        <w:rPr>
          <w:rFonts w:ascii="Courier New" w:eastAsia="Times New Roman" w:hAnsi="Courier New" w:cs="Courier New"/>
          <w:sz w:val="24"/>
          <w:szCs w:val="24"/>
        </w:rPr>
        <w:t xml:space="preserve"> student responded to an advertisement in a language other than English, or was recruited by an institutional representation in an oral presentation conducted in a language other than English, an institution may readily and practicably identify that student or </w:t>
      </w:r>
      <w:r>
        <w:rPr>
          <w:rFonts w:ascii="Courier New" w:eastAsia="Times New Roman" w:hAnsi="Courier New" w:cs="Courier New"/>
          <w:sz w:val="24"/>
          <w:szCs w:val="24"/>
        </w:rPr>
        <w:t>prospective student</w:t>
      </w:r>
      <w:r w:rsidRPr="00BD6E01">
        <w:rPr>
          <w:rFonts w:ascii="Courier New" w:eastAsia="Times New Roman" w:hAnsi="Courier New" w:cs="Courier New"/>
          <w:sz w:val="24"/>
          <w:szCs w:val="24"/>
        </w:rPr>
        <w:t xml:space="preserve"> as one whose first language is not English.  Other methods might also be practicable, but institutions should at a minimum already be familiar with the</w:t>
      </w:r>
      <w:r>
        <w:rPr>
          <w:rFonts w:ascii="Courier New" w:eastAsia="Times New Roman" w:hAnsi="Courier New" w:cs="Courier New"/>
          <w:sz w:val="24"/>
          <w:szCs w:val="24"/>
        </w:rPr>
        <w:t>ir</w:t>
      </w:r>
      <w:r w:rsidRPr="00BD6E0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obligations </w:t>
      </w:r>
      <w:r w:rsidRPr="00BD6E01">
        <w:rPr>
          <w:rFonts w:ascii="Courier New" w:eastAsia="Times New Roman" w:hAnsi="Courier New" w:cs="Courier New"/>
          <w:sz w:val="24"/>
          <w:szCs w:val="24"/>
        </w:rPr>
        <w:t xml:space="preserve">when they advertise in languages other than English. </w:t>
      </w:r>
      <w:r>
        <w:rPr>
          <w:rFonts w:ascii="Courier New" w:eastAsia="Times New Roman" w:hAnsi="Courier New" w:cs="Courier New"/>
          <w:sz w:val="24"/>
          <w:szCs w:val="24"/>
        </w:rPr>
        <w:t xml:space="preserve"> </w:t>
      </w:r>
      <w:r w:rsidRPr="00DF4229">
        <w:rPr>
          <w:rFonts w:ascii="Courier New" w:hAnsi="Courier New" w:cs="Courier New"/>
          <w:sz w:val="24"/>
          <w:szCs w:val="24"/>
        </w:rPr>
        <w:t>In addition, institutions should be mindful that Federa</w:t>
      </w:r>
      <w:r>
        <w:rPr>
          <w:rFonts w:ascii="Courier New" w:hAnsi="Courier New" w:cs="Courier New"/>
          <w:sz w:val="24"/>
          <w:szCs w:val="24"/>
        </w:rPr>
        <w:t>l civil rights laws (including t</w:t>
      </w:r>
      <w:r w:rsidRPr="00DF4229">
        <w:rPr>
          <w:rFonts w:ascii="Courier New" w:hAnsi="Courier New" w:cs="Courier New"/>
          <w:sz w:val="24"/>
          <w:szCs w:val="24"/>
        </w:rPr>
        <w:t>itle VI of the Civil Rights Act of 1964) require institutions to take appropriate measures to ensure that all segments of its community, including those with limited English proficiency, have meaningful access to all their programs and all vital information.</w:t>
      </w:r>
    </w:p>
    <w:p w14:paraId="42D2323C" w14:textId="77777777" w:rsidR="00AA25A4" w:rsidRPr="00DF4229" w:rsidRDefault="00AA25A4" w:rsidP="00AA25A4">
      <w:pPr>
        <w:pStyle w:val="PlainText"/>
        <w:spacing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14DDF81F"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With respect to the provision in proposed §668.412(b)(2) that would require institutions to update a program’s disclosure template to include the student warning, one commenter requested that institutions have 90 days from receipt of notice from the Secretary that student warnings are required to make the update, rather than 30 days as provided in the regulations.</w:t>
      </w:r>
    </w:p>
    <w:p w14:paraId="22848C50" w14:textId="5708B7EA" w:rsidR="00AA25A4" w:rsidRPr="007350CA" w:rsidRDefault="00AA25A4" w:rsidP="00AA25A4">
      <w:pPr>
        <w:spacing w:after="0" w:line="480" w:lineRule="auto"/>
        <w:rPr>
          <w:rFonts w:ascii="Courier New" w:hAnsi="Courier New"/>
          <w:sz w:val="24"/>
        </w:rPr>
      </w:pPr>
      <w:r w:rsidRPr="007350CA">
        <w:rPr>
          <w:rFonts w:ascii="Courier New" w:hAnsi="Courier New"/>
          <w:sz w:val="24"/>
          <w:u w:val="single"/>
        </w:rPr>
        <w:t>Discussion</w:t>
      </w:r>
      <w:r w:rsidRPr="007350CA">
        <w:rPr>
          <w:rFonts w:ascii="Courier New" w:hAnsi="Courier New"/>
          <w:sz w:val="24"/>
        </w:rPr>
        <w:t xml:space="preserve">:  Because the student warning will include critical information that students will need to consider as a part of their educational and financial decision making, we believe that the student warning must be conveyed as quickly as possible </w:t>
      </w:r>
      <w:r w:rsidR="003606DE" w:rsidRPr="007350CA">
        <w:rPr>
          <w:rFonts w:ascii="Courier New" w:hAnsi="Courier New"/>
          <w:sz w:val="24"/>
        </w:rPr>
        <w:t>once it has been determined that the program could become ineligible based on its D/E rates in the next award year</w:t>
      </w:r>
      <w:r w:rsidR="00DE0F84" w:rsidRPr="007350CA">
        <w:rPr>
          <w:rFonts w:ascii="Courier New" w:hAnsi="Courier New"/>
          <w:sz w:val="24"/>
        </w:rPr>
        <w:t>.</w:t>
      </w:r>
      <w:r w:rsidRPr="007350CA">
        <w:rPr>
          <w:rFonts w:ascii="Courier New" w:hAnsi="Courier New"/>
          <w:sz w:val="24"/>
        </w:rPr>
        <w:t xml:space="preserve">  As the Department will provide the text of the warning, and institutions should already be aware of or have ready access to any required additional information, we believe that 30 days is a reasonable amount of time to update the disclosure template with the warning.  Any burden that institutions might face in meeting this requirement is outweighed by the necessity that students receive this important information as promptly as possible. </w:t>
      </w:r>
    </w:p>
    <w:p w14:paraId="5207A4BD" w14:textId="77777777" w:rsidR="00AA25A4" w:rsidRPr="007350CA" w:rsidRDefault="00AA25A4" w:rsidP="00AA25A4">
      <w:pPr>
        <w:spacing w:after="0" w:line="480" w:lineRule="auto"/>
        <w:rPr>
          <w:rFonts w:ascii="Courier New" w:hAnsi="Courier New"/>
          <w:sz w:val="24"/>
          <w:highlight w:val="yellow"/>
        </w:rPr>
      </w:pPr>
      <w:r w:rsidRPr="007350CA">
        <w:rPr>
          <w:rFonts w:ascii="Courier New" w:hAnsi="Courier New"/>
          <w:sz w:val="24"/>
          <w:u w:val="single"/>
        </w:rPr>
        <w:t>Changes</w:t>
      </w:r>
      <w:r w:rsidRPr="007350CA">
        <w:rPr>
          <w:rFonts w:ascii="Courier New" w:hAnsi="Courier New"/>
          <w:sz w:val="24"/>
        </w:rPr>
        <w:t>:  We have moved the requirement that institutions update their disclosure templates to include any required student warning from §668.412(b)(2) to §668.410(a)(7), so that all of the requirements with respect to student warnings are in one place for the reader’s convenience.</w:t>
      </w:r>
    </w:p>
    <w:p w14:paraId="0A47D209"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Comments</w:t>
      </w:r>
      <w:r w:rsidRPr="00C346FE">
        <w:rPr>
          <w:rFonts w:ascii="Courier New" w:hAnsi="Courier New" w:cs="Courier New"/>
          <w:sz w:val="24"/>
          <w:szCs w:val="24"/>
        </w:rPr>
        <w:t xml:space="preserve">:  </w:t>
      </w:r>
      <w:r>
        <w:rPr>
          <w:rFonts w:ascii="Courier New" w:hAnsi="Courier New" w:cs="Courier New"/>
          <w:sz w:val="24"/>
          <w:szCs w:val="24"/>
        </w:rPr>
        <w:t xml:space="preserve">Several commenters opposed the provision prohibiting an institution from enrolling a prospective student before expiration of a three-day period following delivery of a required student warning.  The commenters argued that students are intelligent consumers who do not require a cooling-off period and that the provision is designed to discourage prospective students from enrolling by making enrollment inconvenient.  For the same reasons, one of the commenters asked that, if the Department retains the cooling-off period in the final regulations, it eliminate the requirement that a student warning be provided anew before a prospective student may be enrolled, if more than 30 days have passed since the student warning was last given.  </w:t>
      </w:r>
    </w:p>
    <w:p w14:paraId="005161EA" w14:textId="77777777" w:rsidR="00AA25A4" w:rsidRPr="00C346FE"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There is evidence that some institutions use high-pressure sales tactics that make it difficult for prospective students to make informed enrollment decisions.</w:t>
      </w:r>
      <w:r>
        <w:rPr>
          <w:rStyle w:val="FootnoteReference"/>
          <w:rFonts w:ascii="Courier New" w:hAnsi="Courier New" w:cs="Courier New"/>
          <w:sz w:val="24"/>
          <w:szCs w:val="24"/>
        </w:rPr>
        <w:footnoteReference w:id="177"/>
      </w:r>
      <w:r>
        <w:rPr>
          <w:rFonts w:ascii="Courier New" w:hAnsi="Courier New" w:cs="Courier New"/>
          <w:sz w:val="24"/>
          <w:szCs w:val="24"/>
        </w:rPr>
        <w:t xml:space="preserve">  We believe that the three-day </w:t>
      </w:r>
      <w:r w:rsidRPr="00C346FE">
        <w:rPr>
          <w:rFonts w:ascii="Courier New" w:hAnsi="Courier New" w:cs="Courier New"/>
          <w:sz w:val="24"/>
          <w:szCs w:val="24"/>
        </w:rPr>
        <w:t>cooling</w:t>
      </w:r>
      <w:r>
        <w:rPr>
          <w:rFonts w:ascii="Courier New" w:hAnsi="Courier New" w:cs="Courier New"/>
          <w:sz w:val="24"/>
          <w:szCs w:val="24"/>
        </w:rPr>
        <w:t>-</w:t>
      </w:r>
      <w:r w:rsidRPr="00C346FE">
        <w:rPr>
          <w:rFonts w:ascii="Courier New" w:hAnsi="Courier New" w:cs="Courier New"/>
          <w:sz w:val="24"/>
          <w:szCs w:val="24"/>
        </w:rPr>
        <w:t>off period</w:t>
      </w:r>
      <w:r>
        <w:rPr>
          <w:rFonts w:ascii="Courier New" w:hAnsi="Courier New" w:cs="Courier New"/>
          <w:sz w:val="24"/>
          <w:szCs w:val="24"/>
        </w:rPr>
        <w:t xml:space="preserve"> provided for in §668.410(a)(6)(ii) (§668.410(a)(2)(ii) of the proposed regulations) strikes the right balance between allowing sufficient time for prospective students to consider their educational and financial options outside of a potentially</w:t>
      </w:r>
      <w:r w:rsidRPr="00C346FE">
        <w:rPr>
          <w:rFonts w:ascii="Courier New" w:hAnsi="Courier New" w:cs="Courier New"/>
          <w:sz w:val="24"/>
          <w:szCs w:val="24"/>
        </w:rPr>
        <w:t xml:space="preserve"> </w:t>
      </w:r>
      <w:r>
        <w:rPr>
          <w:rFonts w:ascii="Courier New" w:hAnsi="Courier New" w:cs="Courier New"/>
          <w:sz w:val="24"/>
          <w:szCs w:val="24"/>
        </w:rPr>
        <w:t>coercive</w:t>
      </w:r>
      <w:r w:rsidRPr="00C346FE">
        <w:rPr>
          <w:rFonts w:ascii="Courier New" w:hAnsi="Courier New" w:cs="Courier New"/>
          <w:sz w:val="24"/>
          <w:szCs w:val="24"/>
        </w:rPr>
        <w:t xml:space="preserve"> </w:t>
      </w:r>
      <w:r>
        <w:rPr>
          <w:rFonts w:ascii="Courier New" w:hAnsi="Courier New" w:cs="Courier New"/>
          <w:sz w:val="24"/>
          <w:szCs w:val="24"/>
        </w:rPr>
        <w:t>environment, while ensuring that those prospective students who have had the opportunity to make an informed decision can enroll without having to wait an unreasonable amount of time.  We further believe that students are more likely to factor the information contained in the student warning into their financial and educational decisions if the warning is delivered when the student is in the process of making an enrollment decision.  We believe 30 days is a reasonable window before a student warning must be reissued.</w:t>
      </w:r>
      <w:r w:rsidRPr="00C346FE">
        <w:rPr>
          <w:rFonts w:ascii="Courier New" w:hAnsi="Courier New" w:cs="Courier New"/>
          <w:sz w:val="24"/>
          <w:szCs w:val="24"/>
        </w:rPr>
        <w:t xml:space="preserve">  </w:t>
      </w:r>
    </w:p>
    <w:p w14:paraId="4D25FBCA"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Changes</w:t>
      </w:r>
      <w:r w:rsidRPr="00C346FE">
        <w:rPr>
          <w:rFonts w:ascii="Courier New" w:hAnsi="Courier New" w:cs="Courier New"/>
          <w:sz w:val="24"/>
          <w:szCs w:val="24"/>
        </w:rPr>
        <w:t>:  None.</w:t>
      </w:r>
    </w:p>
    <w:p w14:paraId="45394D8D"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Comments</w:t>
      </w:r>
      <w:r w:rsidRPr="00C346FE">
        <w:rPr>
          <w:rFonts w:ascii="Courier New" w:hAnsi="Courier New" w:cs="Courier New"/>
          <w:sz w:val="24"/>
          <w:szCs w:val="24"/>
        </w:rPr>
        <w:t xml:space="preserve">:  </w:t>
      </w:r>
      <w:r>
        <w:rPr>
          <w:rFonts w:ascii="Courier New" w:hAnsi="Courier New" w:cs="Courier New"/>
          <w:sz w:val="24"/>
          <w:szCs w:val="24"/>
        </w:rPr>
        <w:t>Many</w:t>
      </w:r>
      <w:r w:rsidRPr="00C346FE">
        <w:rPr>
          <w:rFonts w:ascii="Courier New" w:hAnsi="Courier New" w:cs="Courier New"/>
          <w:sz w:val="24"/>
          <w:szCs w:val="24"/>
        </w:rPr>
        <w:t xml:space="preserve"> commenters</w:t>
      </w:r>
      <w:r>
        <w:rPr>
          <w:rFonts w:ascii="Courier New" w:hAnsi="Courier New" w:cs="Courier New"/>
          <w:sz w:val="24"/>
          <w:szCs w:val="24"/>
        </w:rPr>
        <w:t xml:space="preserve"> stated that GE programs that do not pass the D/E rates measure should be subject to limits on their enrollment of students who receive title IV, HEA program funds.</w:t>
      </w:r>
      <w:r w:rsidRPr="00C346FE">
        <w:rPr>
          <w:rFonts w:ascii="Courier New" w:hAnsi="Courier New" w:cs="Courier New"/>
          <w:sz w:val="24"/>
          <w:szCs w:val="24"/>
        </w:rPr>
        <w:t xml:space="preserve"> </w:t>
      </w:r>
      <w:r>
        <w:rPr>
          <w:rFonts w:ascii="Courier New" w:hAnsi="Courier New" w:cs="Courier New"/>
          <w:sz w:val="24"/>
          <w:szCs w:val="24"/>
        </w:rPr>
        <w:t xml:space="preserve"> Commenters variously proposed </w:t>
      </w:r>
      <w:r w:rsidRPr="00C346FE">
        <w:rPr>
          <w:rFonts w:ascii="Courier New" w:hAnsi="Courier New" w:cs="Courier New"/>
          <w:sz w:val="24"/>
          <w:szCs w:val="24"/>
        </w:rPr>
        <w:t xml:space="preserve">that we limit </w:t>
      </w:r>
      <w:r>
        <w:rPr>
          <w:rFonts w:ascii="Courier New" w:hAnsi="Courier New" w:cs="Courier New"/>
          <w:sz w:val="24"/>
          <w:szCs w:val="24"/>
        </w:rPr>
        <w:t>enrollment of students who receive title IV, HEA program funds</w:t>
      </w:r>
      <w:r w:rsidRPr="00C346FE">
        <w:rPr>
          <w:rFonts w:ascii="Courier New" w:hAnsi="Courier New" w:cs="Courier New"/>
          <w:sz w:val="24"/>
          <w:szCs w:val="24"/>
        </w:rPr>
        <w:t xml:space="preserve"> </w:t>
      </w:r>
      <w:r>
        <w:rPr>
          <w:rFonts w:ascii="Courier New" w:hAnsi="Courier New" w:cs="Courier New"/>
          <w:sz w:val="24"/>
          <w:szCs w:val="24"/>
        </w:rPr>
        <w:t>to</w:t>
      </w:r>
      <w:r w:rsidRPr="00C346FE">
        <w:rPr>
          <w:rFonts w:ascii="Courier New" w:hAnsi="Courier New" w:cs="Courier New"/>
          <w:sz w:val="24"/>
          <w:szCs w:val="24"/>
        </w:rPr>
        <w:t xml:space="preserve"> the number of students </w:t>
      </w:r>
      <w:r>
        <w:rPr>
          <w:rFonts w:ascii="Courier New" w:hAnsi="Courier New" w:cs="Courier New"/>
          <w:sz w:val="24"/>
          <w:szCs w:val="24"/>
        </w:rPr>
        <w:t>enrolled in the program in</w:t>
      </w:r>
      <w:r w:rsidRPr="00C346FE">
        <w:rPr>
          <w:rFonts w:ascii="Courier New" w:hAnsi="Courier New" w:cs="Courier New"/>
          <w:sz w:val="24"/>
          <w:szCs w:val="24"/>
        </w:rPr>
        <w:t xml:space="preserve"> the previous yea</w:t>
      </w:r>
      <w:r>
        <w:rPr>
          <w:rFonts w:ascii="Courier New" w:hAnsi="Courier New" w:cs="Courier New"/>
          <w:sz w:val="24"/>
          <w:szCs w:val="24"/>
        </w:rPr>
        <w:t>r</w:t>
      </w:r>
      <w:r w:rsidRPr="00C346FE">
        <w:rPr>
          <w:rFonts w:ascii="Courier New" w:hAnsi="Courier New" w:cs="Courier New"/>
          <w:sz w:val="24"/>
          <w:szCs w:val="24"/>
        </w:rPr>
        <w:t xml:space="preserve"> </w:t>
      </w:r>
      <w:r>
        <w:rPr>
          <w:rFonts w:ascii="Courier New" w:hAnsi="Courier New" w:cs="Courier New"/>
          <w:sz w:val="24"/>
          <w:szCs w:val="24"/>
        </w:rPr>
        <w:t xml:space="preserve">or </w:t>
      </w:r>
      <w:r w:rsidRPr="00C346FE">
        <w:rPr>
          <w:rFonts w:ascii="Courier New" w:hAnsi="Courier New" w:cs="Courier New"/>
          <w:sz w:val="24"/>
          <w:szCs w:val="24"/>
        </w:rPr>
        <w:t xml:space="preserve">to an average </w:t>
      </w:r>
      <w:r>
        <w:rPr>
          <w:rFonts w:ascii="Courier New" w:hAnsi="Courier New" w:cs="Courier New"/>
          <w:sz w:val="24"/>
          <w:szCs w:val="24"/>
        </w:rPr>
        <w:t xml:space="preserve">enrollment of students receiving title IV, HEA program funds </w:t>
      </w:r>
      <w:r w:rsidRPr="00C346FE">
        <w:rPr>
          <w:rFonts w:ascii="Courier New" w:hAnsi="Courier New" w:cs="Courier New"/>
          <w:sz w:val="24"/>
          <w:szCs w:val="24"/>
        </w:rPr>
        <w:t>o</w:t>
      </w:r>
      <w:r>
        <w:rPr>
          <w:rFonts w:ascii="Courier New" w:hAnsi="Courier New" w:cs="Courier New"/>
          <w:sz w:val="24"/>
          <w:szCs w:val="24"/>
        </w:rPr>
        <w:t>ver the previous three</w:t>
      </w:r>
      <w:r w:rsidRPr="00C346FE">
        <w:rPr>
          <w:rFonts w:ascii="Courier New" w:hAnsi="Courier New" w:cs="Courier New"/>
          <w:sz w:val="24"/>
          <w:szCs w:val="24"/>
        </w:rPr>
        <w:t xml:space="preserve"> years. </w:t>
      </w:r>
      <w:r>
        <w:rPr>
          <w:rFonts w:ascii="Courier New" w:hAnsi="Courier New" w:cs="Courier New"/>
          <w:sz w:val="24"/>
          <w:szCs w:val="24"/>
        </w:rPr>
        <w:t xml:space="preserve"> These commenters argued that enrollment limits would provide institutions with the incentive to improve programs more quickly and limit the potential risks to students and taxpayers.  According to these commenters, disclosures and student warnings do not provide sufficient protection for students and will not stop an institution from increasing the enrollment of a poorly performing program to maximize title IV, HEA program funds received before the program loses eligibility, at significant cost to students, taxpayers, and the Federal government.</w:t>
      </w:r>
    </w:p>
    <w:p w14:paraId="4260E1EE" w14:textId="77777777" w:rsidR="00AA25A4" w:rsidRPr="00C346FE"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ab/>
        <w:t>We also received a number of comments opposing limits on enrollment for programs that do not pass the D/E rates measure.  These commenters asserted that disclosures and student warnings are sufficient to provide students with the information they need to make their own educational decisions.  One commenter cited economic theory as supporting the proposition that, if parties are fully informed, imposing quotas or limitations creates market inefficiencies.  This commenter asked that we consider the costs to students who are not permitted to enroll in a program and compare those costs to the assumed benefits of not enrolling in a program that may or may not become ineligible.  The commenters argued that enrollment limits would significantly hinder efforts by institutions to improve programs and could lead to the premature closing of programs.</w:t>
      </w:r>
    </w:p>
    <w:p w14:paraId="19C83AC9" w14:textId="40239456" w:rsidR="00AA25A4" w:rsidRPr="00C346FE"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Discussion</w:t>
      </w:r>
      <w:r w:rsidRPr="00C346FE">
        <w:rPr>
          <w:rFonts w:ascii="Courier New" w:hAnsi="Courier New" w:cs="Courier New"/>
          <w:sz w:val="24"/>
          <w:szCs w:val="24"/>
        </w:rPr>
        <w:t xml:space="preserve">:  </w:t>
      </w:r>
      <w:r>
        <w:rPr>
          <w:rFonts w:ascii="Courier New" w:hAnsi="Courier New" w:cs="Courier New"/>
          <w:sz w:val="24"/>
          <w:szCs w:val="24"/>
        </w:rPr>
        <w:t>W</w:t>
      </w:r>
      <w:r w:rsidRPr="00C346FE">
        <w:rPr>
          <w:rFonts w:ascii="Courier New" w:hAnsi="Courier New" w:cs="Courier New"/>
          <w:sz w:val="24"/>
          <w:szCs w:val="24"/>
        </w:rPr>
        <w:t>e</w:t>
      </w:r>
      <w:r>
        <w:rPr>
          <w:rFonts w:ascii="Courier New" w:hAnsi="Courier New" w:cs="Courier New"/>
          <w:sz w:val="24"/>
          <w:szCs w:val="24"/>
        </w:rPr>
        <w:t xml:space="preserve"> agree that it is important</w:t>
      </w:r>
      <w:r w:rsidRPr="00C346FE">
        <w:rPr>
          <w:rFonts w:ascii="Courier New" w:hAnsi="Courier New" w:cs="Courier New"/>
          <w:sz w:val="24"/>
          <w:szCs w:val="24"/>
        </w:rPr>
        <w:t xml:space="preserve"> </w:t>
      </w:r>
      <w:r>
        <w:rPr>
          <w:rFonts w:ascii="Courier New" w:hAnsi="Courier New" w:cs="Courier New"/>
          <w:sz w:val="24"/>
          <w:szCs w:val="24"/>
        </w:rPr>
        <w:t xml:space="preserve">to protect students from enrolling in poorly performing programs and </w:t>
      </w:r>
      <w:r w:rsidRPr="00C346FE">
        <w:rPr>
          <w:rFonts w:ascii="Courier New" w:hAnsi="Courier New" w:cs="Courier New"/>
          <w:sz w:val="24"/>
          <w:szCs w:val="24"/>
        </w:rPr>
        <w:t xml:space="preserve">to protect the </w:t>
      </w:r>
      <w:r>
        <w:rPr>
          <w:rFonts w:ascii="Courier New" w:hAnsi="Courier New" w:cs="Courier New"/>
          <w:sz w:val="24"/>
          <w:szCs w:val="24"/>
        </w:rPr>
        <w:t>F</w:t>
      </w:r>
      <w:r w:rsidRPr="00C346FE">
        <w:rPr>
          <w:rFonts w:ascii="Courier New" w:hAnsi="Courier New" w:cs="Courier New"/>
          <w:sz w:val="24"/>
          <w:szCs w:val="24"/>
        </w:rPr>
        <w:t xml:space="preserve">ederal investment in </w:t>
      </w:r>
      <w:r>
        <w:rPr>
          <w:rFonts w:ascii="Courier New" w:hAnsi="Courier New" w:cs="Courier New"/>
          <w:sz w:val="24"/>
          <w:szCs w:val="24"/>
        </w:rPr>
        <w:t>GE</w:t>
      </w:r>
      <w:r w:rsidRPr="00C346FE">
        <w:rPr>
          <w:rFonts w:ascii="Courier New" w:hAnsi="Courier New" w:cs="Courier New"/>
          <w:sz w:val="24"/>
          <w:szCs w:val="24"/>
        </w:rPr>
        <w:t xml:space="preserve"> programs</w:t>
      </w:r>
      <w:r>
        <w:rPr>
          <w:rFonts w:ascii="Courier New" w:hAnsi="Courier New" w:cs="Courier New"/>
          <w:sz w:val="24"/>
          <w:szCs w:val="24"/>
        </w:rPr>
        <w:t>.</w:t>
      </w:r>
      <w:r w:rsidRPr="00C346FE">
        <w:rPr>
          <w:rFonts w:ascii="Courier New" w:hAnsi="Courier New" w:cs="Courier New"/>
          <w:sz w:val="24"/>
          <w:szCs w:val="24"/>
        </w:rPr>
        <w:t xml:space="preserve"> </w:t>
      </w:r>
      <w:r>
        <w:rPr>
          <w:rFonts w:ascii="Courier New" w:hAnsi="Courier New" w:cs="Courier New"/>
          <w:sz w:val="24"/>
          <w:szCs w:val="24"/>
        </w:rPr>
        <w:t xml:space="preserve"> However, we believe that the accountability framework, in which the D/E rates measure is used to determine a program’s continuing eligibility for title IV, HEA program funds, adequately safeguards the Federal investment and students, while allowing GE programs the opportunity to improve.  Further, we believe that </w:t>
      </w:r>
      <w:r w:rsidR="00877C30">
        <w:rPr>
          <w:rFonts w:ascii="Courier New" w:hAnsi="Courier New" w:cs="Courier New"/>
          <w:sz w:val="24"/>
          <w:szCs w:val="24"/>
        </w:rPr>
        <w:t>the</w:t>
      </w:r>
      <w:r>
        <w:rPr>
          <w:rFonts w:ascii="Courier New" w:hAnsi="Courier New" w:cs="Courier New"/>
          <w:sz w:val="24"/>
          <w:szCs w:val="24"/>
        </w:rPr>
        <w:t xml:space="preserve"> warnings to students and prospective students about programs that </w:t>
      </w:r>
      <w:r w:rsidR="00877C30" w:rsidRPr="00877C30">
        <w:rPr>
          <w:rFonts w:ascii="Courier New" w:hAnsi="Courier New" w:cs="Courier New"/>
          <w:sz w:val="24"/>
          <w:szCs w:val="24"/>
        </w:rPr>
        <w:t>coul</w:t>
      </w:r>
      <w:r w:rsidR="00877C30">
        <w:rPr>
          <w:rFonts w:ascii="Courier New" w:hAnsi="Courier New" w:cs="Courier New"/>
          <w:sz w:val="24"/>
          <w:szCs w:val="24"/>
        </w:rPr>
        <w:t>d become ineligible based on their</w:t>
      </w:r>
      <w:r w:rsidR="00877C30" w:rsidRPr="00877C30">
        <w:rPr>
          <w:rFonts w:ascii="Courier New" w:hAnsi="Courier New" w:cs="Courier New"/>
          <w:sz w:val="24"/>
          <w:szCs w:val="24"/>
        </w:rPr>
        <w:t xml:space="preserve"> D/E rates for the next award year</w:t>
      </w:r>
      <w:r w:rsidR="00877C30">
        <w:rPr>
          <w:rFonts w:ascii="Courier New" w:hAnsi="Courier New" w:cs="Courier New"/>
          <w:sz w:val="24"/>
          <w:szCs w:val="24"/>
        </w:rPr>
        <w:t>,</w:t>
      </w:r>
      <w:r>
        <w:rPr>
          <w:rFonts w:ascii="Courier New" w:hAnsi="Courier New" w:cs="Courier New"/>
          <w:sz w:val="24"/>
          <w:szCs w:val="24"/>
        </w:rPr>
        <w:t xml:space="preserve"> and the required disclosures, </w:t>
      </w:r>
      <w:r w:rsidR="00877C30">
        <w:rPr>
          <w:rFonts w:ascii="Courier New" w:hAnsi="Courier New" w:cs="Courier New"/>
          <w:sz w:val="24"/>
          <w:szCs w:val="24"/>
        </w:rPr>
        <w:t xml:space="preserve">are </w:t>
      </w:r>
      <w:r>
        <w:rPr>
          <w:rFonts w:ascii="Courier New" w:hAnsi="Courier New" w:cs="Courier New"/>
          <w:sz w:val="24"/>
          <w:szCs w:val="24"/>
        </w:rPr>
        <w:t xml:space="preserve">meaningful protections </w:t>
      </w:r>
      <w:r w:rsidR="00877C30">
        <w:rPr>
          <w:rFonts w:ascii="Courier New" w:hAnsi="Courier New" w:cs="Courier New"/>
          <w:sz w:val="24"/>
          <w:szCs w:val="24"/>
        </w:rPr>
        <w:t xml:space="preserve">that </w:t>
      </w:r>
      <w:r>
        <w:rPr>
          <w:rFonts w:ascii="Courier New" w:hAnsi="Courier New" w:cs="Courier New"/>
          <w:sz w:val="24"/>
          <w:szCs w:val="24"/>
        </w:rPr>
        <w:t>will enable students and their families to make informed decisions.</w:t>
      </w:r>
    </w:p>
    <w:p w14:paraId="3183E3E6" w14:textId="77777777" w:rsidR="00AA25A4" w:rsidRPr="00CA1499"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Changes</w:t>
      </w:r>
      <w:r w:rsidRPr="00C346FE">
        <w:rPr>
          <w:rFonts w:ascii="Courier New" w:hAnsi="Courier New" w:cs="Courier New"/>
          <w:sz w:val="24"/>
          <w:szCs w:val="24"/>
        </w:rPr>
        <w:t>:</w:t>
      </w:r>
      <w:r>
        <w:rPr>
          <w:rFonts w:ascii="Courier New" w:hAnsi="Courier New" w:cs="Courier New"/>
          <w:sz w:val="24"/>
          <w:szCs w:val="24"/>
        </w:rPr>
        <w:t xml:space="preserve"> </w:t>
      </w:r>
      <w:r w:rsidRPr="00C346FE">
        <w:rPr>
          <w:rFonts w:ascii="Courier New" w:hAnsi="Courier New" w:cs="Courier New"/>
          <w:sz w:val="24"/>
          <w:szCs w:val="24"/>
        </w:rPr>
        <w:t xml:space="preserve"> None. </w:t>
      </w:r>
    </w:p>
    <w:p w14:paraId="2BCAAED8" w14:textId="77777777" w:rsidR="00AA25A4" w:rsidRPr="00C346FE"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Comments</w:t>
      </w:r>
      <w:r w:rsidRPr="00C346FE">
        <w:rPr>
          <w:rFonts w:ascii="Courier New" w:hAnsi="Courier New" w:cs="Courier New"/>
          <w:sz w:val="24"/>
          <w:szCs w:val="24"/>
        </w:rPr>
        <w:t xml:space="preserve">:  Several commenters </w:t>
      </w:r>
      <w:r>
        <w:rPr>
          <w:rFonts w:ascii="Courier New" w:hAnsi="Courier New" w:cs="Courier New"/>
          <w:sz w:val="24"/>
          <w:szCs w:val="24"/>
        </w:rPr>
        <w:t>suggested</w:t>
      </w:r>
      <w:r w:rsidRPr="00C346FE">
        <w:rPr>
          <w:rFonts w:ascii="Courier New" w:hAnsi="Courier New" w:cs="Courier New"/>
          <w:sz w:val="24"/>
          <w:szCs w:val="24"/>
        </w:rPr>
        <w:t xml:space="preserve"> that </w:t>
      </w:r>
      <w:r>
        <w:rPr>
          <w:rFonts w:ascii="Courier New" w:hAnsi="Courier New" w:cs="Courier New"/>
          <w:sz w:val="24"/>
          <w:szCs w:val="24"/>
        </w:rPr>
        <w:t>institutions</w:t>
      </w:r>
      <w:r w:rsidRPr="00C346FE">
        <w:rPr>
          <w:rFonts w:ascii="Courier New" w:hAnsi="Courier New" w:cs="Courier New"/>
          <w:sz w:val="24"/>
          <w:szCs w:val="24"/>
        </w:rPr>
        <w:t xml:space="preserve"> should have the opportunity to pay down the debt of students and provide the students some relief </w:t>
      </w:r>
      <w:r>
        <w:rPr>
          <w:rFonts w:ascii="Courier New" w:hAnsi="Courier New" w:cs="Courier New"/>
          <w:sz w:val="24"/>
          <w:szCs w:val="24"/>
        </w:rPr>
        <w:t>while, at the same time,</w:t>
      </w:r>
      <w:r w:rsidRPr="00C346FE">
        <w:rPr>
          <w:rFonts w:ascii="Courier New" w:hAnsi="Courier New" w:cs="Courier New"/>
          <w:sz w:val="24"/>
          <w:szCs w:val="24"/>
        </w:rPr>
        <w:t xml:space="preserve"> </w:t>
      </w:r>
      <w:r>
        <w:rPr>
          <w:rFonts w:ascii="Courier New" w:hAnsi="Courier New" w:cs="Courier New"/>
          <w:sz w:val="24"/>
          <w:szCs w:val="24"/>
        </w:rPr>
        <w:t>improving</w:t>
      </w:r>
      <w:r w:rsidRPr="00C346FE">
        <w:rPr>
          <w:rFonts w:ascii="Courier New" w:hAnsi="Courier New" w:cs="Courier New"/>
          <w:sz w:val="24"/>
          <w:szCs w:val="24"/>
        </w:rPr>
        <w:t xml:space="preserve"> program </w:t>
      </w:r>
      <w:r>
        <w:rPr>
          <w:rFonts w:ascii="Courier New" w:hAnsi="Courier New" w:cs="Courier New"/>
          <w:sz w:val="24"/>
          <w:szCs w:val="24"/>
        </w:rPr>
        <w:t>performance under</w:t>
      </w:r>
      <w:r w:rsidRPr="00C346FE">
        <w:rPr>
          <w:rFonts w:ascii="Courier New" w:hAnsi="Courier New" w:cs="Courier New"/>
          <w:sz w:val="24"/>
          <w:szCs w:val="24"/>
        </w:rPr>
        <w:t xml:space="preserve"> the </w:t>
      </w:r>
      <w:r>
        <w:rPr>
          <w:rFonts w:ascii="Courier New" w:hAnsi="Courier New" w:cs="Courier New"/>
          <w:sz w:val="24"/>
          <w:szCs w:val="24"/>
        </w:rPr>
        <w:t>accountability metrics</w:t>
      </w:r>
      <w:r w:rsidRPr="00C346FE">
        <w:rPr>
          <w:rFonts w:ascii="Courier New" w:hAnsi="Courier New" w:cs="Courier New"/>
          <w:sz w:val="24"/>
          <w:szCs w:val="24"/>
        </w:rPr>
        <w:t xml:space="preserve">.  These commenters argued that </w:t>
      </w:r>
      <w:r>
        <w:rPr>
          <w:rFonts w:ascii="Courier New" w:hAnsi="Courier New" w:cs="Courier New"/>
          <w:sz w:val="24"/>
          <w:szCs w:val="24"/>
        </w:rPr>
        <w:t>a voluntary loan reduction plan would permit institutions a greater measure of control over program performance under the accountability metrics and benefit students, particularly those students who withdraw from, or fail, a program early in the program.</w:t>
      </w:r>
      <w:r w:rsidRPr="00C346FE">
        <w:rPr>
          <w:rFonts w:ascii="Courier New" w:hAnsi="Courier New" w:cs="Courier New"/>
          <w:sz w:val="24"/>
          <w:szCs w:val="24"/>
        </w:rPr>
        <w:t xml:space="preserve"> </w:t>
      </w:r>
      <w:r>
        <w:rPr>
          <w:rFonts w:ascii="Courier New" w:hAnsi="Courier New" w:cs="Courier New"/>
          <w:sz w:val="24"/>
          <w:szCs w:val="24"/>
        </w:rPr>
        <w:t xml:space="preserve"> The commenters proposed a number of specific terms for such a loan reduction plan, including giving institutions flexibility to determine the amount of institutional grants to be used to pay down student debt.</w:t>
      </w:r>
    </w:p>
    <w:p w14:paraId="19A26877" w14:textId="77777777" w:rsidR="00AA25A4" w:rsidRPr="00C346FE"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Discussion</w:t>
      </w:r>
      <w:r w:rsidRPr="00C346FE">
        <w:rPr>
          <w:rFonts w:ascii="Courier New" w:hAnsi="Courier New" w:cs="Courier New"/>
          <w:sz w:val="24"/>
          <w:szCs w:val="24"/>
        </w:rPr>
        <w:t xml:space="preserve">:  </w:t>
      </w:r>
      <w:r>
        <w:rPr>
          <w:rFonts w:ascii="Courier New" w:hAnsi="Courier New" w:cs="Courier New"/>
          <w:sz w:val="24"/>
          <w:szCs w:val="24"/>
        </w:rPr>
        <w:t>We acknowledge</w:t>
      </w:r>
      <w:r w:rsidRPr="00C346FE">
        <w:rPr>
          <w:rFonts w:ascii="Courier New" w:hAnsi="Courier New" w:cs="Courier New"/>
          <w:sz w:val="24"/>
          <w:szCs w:val="24"/>
        </w:rPr>
        <w:t xml:space="preserve"> the desire to ease the debt burden of students attending programs that become ineligible and </w:t>
      </w:r>
      <w:r>
        <w:rPr>
          <w:rFonts w:ascii="Courier New" w:hAnsi="Courier New" w:cs="Courier New"/>
          <w:sz w:val="24"/>
          <w:szCs w:val="24"/>
        </w:rPr>
        <w:t>to shift</w:t>
      </w:r>
      <w:r w:rsidRPr="00C346FE">
        <w:rPr>
          <w:rFonts w:ascii="Courier New" w:hAnsi="Courier New" w:cs="Courier New"/>
          <w:sz w:val="24"/>
          <w:szCs w:val="24"/>
        </w:rPr>
        <w:t xml:space="preserve"> the risk to the institutions that are enrolling students in these programs.  </w:t>
      </w:r>
      <w:r>
        <w:rPr>
          <w:rFonts w:ascii="Courier New" w:hAnsi="Courier New" w:cs="Courier New"/>
          <w:sz w:val="24"/>
          <w:szCs w:val="24"/>
        </w:rPr>
        <w:t xml:space="preserve">We also recognize that the loan reduction plan proposal would give institutions with the funds to institute such a program a greater measure of control over their performance under the D/E rates measure.  </w:t>
      </w:r>
      <w:r w:rsidRPr="00C346FE">
        <w:rPr>
          <w:rFonts w:ascii="Courier New" w:hAnsi="Courier New" w:cs="Courier New"/>
          <w:sz w:val="24"/>
          <w:szCs w:val="24"/>
        </w:rPr>
        <w:t xml:space="preserve">However, </w:t>
      </w:r>
      <w:r>
        <w:rPr>
          <w:rFonts w:ascii="Courier New" w:hAnsi="Courier New" w:cs="Courier New"/>
          <w:sz w:val="24"/>
          <w:szCs w:val="24"/>
        </w:rPr>
        <w:t xml:space="preserve">as stated in the NPRM, </w:t>
      </w:r>
      <w:r w:rsidRPr="00C346FE">
        <w:rPr>
          <w:rFonts w:ascii="Courier New" w:hAnsi="Courier New" w:cs="Courier New"/>
          <w:sz w:val="24"/>
          <w:szCs w:val="24"/>
        </w:rPr>
        <w:t>the discussions among the negotiators made it clear that the</w:t>
      </w:r>
      <w:r>
        <w:rPr>
          <w:rFonts w:ascii="Courier New" w:hAnsi="Courier New" w:cs="Courier New"/>
          <w:sz w:val="24"/>
          <w:szCs w:val="24"/>
        </w:rPr>
        <w:t>se</w:t>
      </w:r>
      <w:r w:rsidRPr="00C346FE">
        <w:rPr>
          <w:rFonts w:ascii="Courier New" w:hAnsi="Courier New" w:cs="Courier New"/>
          <w:sz w:val="24"/>
          <w:szCs w:val="24"/>
        </w:rPr>
        <w:t xml:space="preserve"> issues </w:t>
      </w:r>
      <w:r>
        <w:rPr>
          <w:rFonts w:ascii="Courier New" w:hAnsi="Courier New" w:cs="Courier New"/>
          <w:sz w:val="24"/>
          <w:szCs w:val="24"/>
        </w:rPr>
        <w:t>are</w:t>
      </w:r>
      <w:r w:rsidRPr="00C346FE">
        <w:rPr>
          <w:rFonts w:ascii="Courier New" w:hAnsi="Courier New" w:cs="Courier New"/>
          <w:sz w:val="24"/>
          <w:szCs w:val="24"/>
        </w:rPr>
        <w:t xml:space="preserve"> extremely complex, </w:t>
      </w:r>
      <w:r>
        <w:rPr>
          <w:rFonts w:ascii="Courier New" w:hAnsi="Courier New" w:cs="Courier New"/>
          <w:sz w:val="24"/>
          <w:szCs w:val="24"/>
        </w:rPr>
        <w:t>raising questions such as</w:t>
      </w:r>
      <w:r w:rsidRPr="00C346FE">
        <w:rPr>
          <w:rFonts w:ascii="Courier New" w:hAnsi="Courier New" w:cs="Courier New"/>
          <w:sz w:val="24"/>
          <w:szCs w:val="24"/>
        </w:rPr>
        <w:t xml:space="preserve"> the extent to which relief would be provided, what cohort of students would receive relief, and whether the proposals made by negotiators would be sufficient.  </w:t>
      </w:r>
      <w:r>
        <w:rPr>
          <w:rFonts w:ascii="Courier New" w:hAnsi="Courier New" w:cs="Courier New"/>
          <w:sz w:val="24"/>
          <w:szCs w:val="24"/>
        </w:rPr>
        <w:t>The comments we received confirm that this issue requires further consideration.  Accordingly, t</w:t>
      </w:r>
      <w:r w:rsidRPr="00C346FE">
        <w:rPr>
          <w:rFonts w:ascii="Courier New" w:hAnsi="Courier New" w:cs="Courier New"/>
          <w:sz w:val="24"/>
          <w:szCs w:val="24"/>
        </w:rPr>
        <w:t xml:space="preserve">he Department </w:t>
      </w:r>
      <w:r>
        <w:rPr>
          <w:rFonts w:ascii="Courier New" w:hAnsi="Courier New" w:cs="Courier New"/>
          <w:sz w:val="24"/>
          <w:szCs w:val="24"/>
        </w:rPr>
        <w:t>is</w:t>
      </w:r>
      <w:r w:rsidRPr="00C346FE">
        <w:rPr>
          <w:rFonts w:ascii="Courier New" w:hAnsi="Courier New" w:cs="Courier New"/>
          <w:sz w:val="24"/>
          <w:szCs w:val="24"/>
        </w:rPr>
        <w:t xml:space="preserve"> </w:t>
      </w:r>
      <w:r>
        <w:rPr>
          <w:rFonts w:ascii="Courier New" w:hAnsi="Courier New" w:cs="Courier New"/>
          <w:sz w:val="24"/>
          <w:szCs w:val="24"/>
        </w:rPr>
        <w:t xml:space="preserve">not </w:t>
      </w:r>
      <w:r w:rsidRPr="00C346FE">
        <w:rPr>
          <w:rFonts w:ascii="Courier New" w:hAnsi="Courier New" w:cs="Courier New"/>
          <w:sz w:val="24"/>
          <w:szCs w:val="24"/>
        </w:rPr>
        <w:t>address</w:t>
      </w:r>
      <w:r>
        <w:rPr>
          <w:rFonts w:ascii="Courier New" w:hAnsi="Courier New" w:cs="Courier New"/>
          <w:sz w:val="24"/>
          <w:szCs w:val="24"/>
        </w:rPr>
        <w:t>ing</w:t>
      </w:r>
      <w:r w:rsidRPr="00C346FE">
        <w:rPr>
          <w:rFonts w:ascii="Courier New" w:hAnsi="Courier New" w:cs="Courier New"/>
          <w:sz w:val="24"/>
          <w:szCs w:val="24"/>
        </w:rPr>
        <w:t xml:space="preserve"> these concerns in the </w:t>
      </w:r>
      <w:r>
        <w:rPr>
          <w:rFonts w:ascii="Courier New" w:hAnsi="Courier New" w:cs="Courier New"/>
          <w:sz w:val="24"/>
          <w:szCs w:val="24"/>
        </w:rPr>
        <w:t xml:space="preserve">final regulations, and </w:t>
      </w:r>
      <w:r w:rsidRPr="00C346FE">
        <w:rPr>
          <w:rFonts w:ascii="Courier New" w:hAnsi="Courier New" w:cs="Courier New"/>
          <w:sz w:val="24"/>
          <w:szCs w:val="24"/>
        </w:rPr>
        <w:t xml:space="preserve">will continue to explore ways </w:t>
      </w:r>
      <w:r>
        <w:rPr>
          <w:rFonts w:ascii="Courier New" w:hAnsi="Courier New" w:cs="Courier New"/>
          <w:sz w:val="24"/>
          <w:szCs w:val="24"/>
        </w:rPr>
        <w:t>to provide debt relief to students in future regulations</w:t>
      </w:r>
      <w:r w:rsidRPr="00C346FE">
        <w:rPr>
          <w:rFonts w:ascii="Courier New" w:hAnsi="Courier New" w:cs="Courier New"/>
          <w:sz w:val="24"/>
          <w:szCs w:val="24"/>
        </w:rPr>
        <w:t xml:space="preserve">. </w:t>
      </w:r>
    </w:p>
    <w:p w14:paraId="068E6876"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Changes</w:t>
      </w:r>
      <w:r w:rsidRPr="00C346FE">
        <w:rPr>
          <w:rFonts w:ascii="Courier New" w:hAnsi="Courier New" w:cs="Courier New"/>
          <w:sz w:val="24"/>
          <w:szCs w:val="24"/>
        </w:rPr>
        <w:t xml:space="preserve">: </w:t>
      </w:r>
      <w:r>
        <w:rPr>
          <w:rFonts w:ascii="Courier New" w:hAnsi="Courier New" w:cs="Courier New"/>
          <w:sz w:val="24"/>
          <w:szCs w:val="24"/>
        </w:rPr>
        <w:t xml:space="preserve"> </w:t>
      </w:r>
      <w:r w:rsidRPr="00C346FE">
        <w:rPr>
          <w:rFonts w:ascii="Courier New" w:hAnsi="Courier New" w:cs="Courier New"/>
          <w:sz w:val="24"/>
          <w:szCs w:val="24"/>
        </w:rPr>
        <w:t xml:space="preserve">None. </w:t>
      </w:r>
    </w:p>
    <w:p w14:paraId="204A386F" w14:textId="0ED75280"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Comments</w:t>
      </w:r>
      <w:r w:rsidRPr="00C346FE">
        <w:rPr>
          <w:rFonts w:ascii="Courier New" w:hAnsi="Courier New" w:cs="Courier New"/>
          <w:sz w:val="24"/>
          <w:szCs w:val="24"/>
        </w:rPr>
        <w:t xml:space="preserve">:  </w:t>
      </w:r>
      <w:r>
        <w:rPr>
          <w:rFonts w:ascii="Courier New" w:hAnsi="Courier New" w:cs="Courier New"/>
          <w:sz w:val="24"/>
          <w:szCs w:val="24"/>
        </w:rPr>
        <w:t>Many commenters urged the Department to directly offer debt relief to students enrolled in programs that lose eligibility for title IV, HEA program funds under the GE regulations, as well as to students enrolled in programs that are not passing under the D/E rates measure,</w:t>
      </w:r>
      <w:r w:rsidRPr="00C346FE">
        <w:rPr>
          <w:rFonts w:ascii="Courier New" w:hAnsi="Courier New" w:cs="Courier New"/>
          <w:sz w:val="24"/>
          <w:szCs w:val="24"/>
        </w:rPr>
        <w:t xml:space="preserve"> so that students are not </w:t>
      </w:r>
      <w:r>
        <w:rPr>
          <w:rFonts w:ascii="Courier New" w:hAnsi="Courier New" w:cs="Courier New"/>
          <w:sz w:val="24"/>
          <w:szCs w:val="24"/>
        </w:rPr>
        <w:t xml:space="preserve">burdened with sole </w:t>
      </w:r>
      <w:r w:rsidRPr="00C346FE">
        <w:rPr>
          <w:rFonts w:ascii="Courier New" w:hAnsi="Courier New" w:cs="Courier New"/>
          <w:sz w:val="24"/>
          <w:szCs w:val="24"/>
        </w:rPr>
        <w:t>responsib</w:t>
      </w:r>
      <w:r>
        <w:rPr>
          <w:rFonts w:ascii="Courier New" w:hAnsi="Courier New" w:cs="Courier New"/>
          <w:sz w:val="24"/>
          <w:szCs w:val="24"/>
        </w:rPr>
        <w:t>ility</w:t>
      </w:r>
      <w:r w:rsidRPr="00C346FE">
        <w:rPr>
          <w:rFonts w:ascii="Courier New" w:hAnsi="Courier New" w:cs="Courier New"/>
          <w:sz w:val="24"/>
          <w:szCs w:val="24"/>
        </w:rPr>
        <w:t xml:space="preserve"> for debts accumulated at programs that did not prepare them </w:t>
      </w:r>
      <w:r>
        <w:rPr>
          <w:rFonts w:ascii="Courier New" w:hAnsi="Courier New" w:cs="Courier New"/>
          <w:sz w:val="24"/>
          <w:szCs w:val="24"/>
        </w:rPr>
        <w:t>for employment</w:t>
      </w:r>
      <w:r w:rsidRPr="00C346FE">
        <w:rPr>
          <w:rFonts w:ascii="Courier New" w:hAnsi="Courier New" w:cs="Courier New"/>
          <w:sz w:val="24"/>
          <w:szCs w:val="24"/>
        </w:rPr>
        <w:t xml:space="preserve"> in their respective fields.</w:t>
      </w:r>
      <w:r>
        <w:rPr>
          <w:rFonts w:ascii="Courier New" w:hAnsi="Courier New" w:cs="Courier New"/>
          <w:sz w:val="24"/>
          <w:szCs w:val="24"/>
        </w:rPr>
        <w:t xml:space="preserve">  They argued that affected students should be “made whole” through</w:t>
      </w:r>
      <w:r w:rsidRPr="00C346FE">
        <w:rPr>
          <w:rFonts w:ascii="Courier New" w:hAnsi="Courier New" w:cs="Courier New"/>
          <w:sz w:val="24"/>
          <w:szCs w:val="24"/>
        </w:rPr>
        <w:t xml:space="preserve"> discharges of their </w:t>
      </w:r>
      <w:r>
        <w:rPr>
          <w:rFonts w:ascii="Courier New" w:hAnsi="Courier New" w:cs="Courier New"/>
          <w:sz w:val="24"/>
          <w:szCs w:val="24"/>
        </w:rPr>
        <w:t xml:space="preserve">title IV, HEA program loans from the Department and reinstatement of their lost Pell </w:t>
      </w:r>
      <w:r w:rsidR="006A7B07">
        <w:rPr>
          <w:rFonts w:ascii="Courier New" w:hAnsi="Courier New" w:cs="Courier New"/>
          <w:sz w:val="24"/>
          <w:szCs w:val="24"/>
        </w:rPr>
        <w:t>G</w:t>
      </w:r>
      <w:r>
        <w:rPr>
          <w:rFonts w:ascii="Courier New" w:hAnsi="Courier New" w:cs="Courier New"/>
          <w:sz w:val="24"/>
          <w:szCs w:val="24"/>
        </w:rPr>
        <w:t>rant eligibility.</w:t>
      </w:r>
      <w:r w:rsidRPr="00C346FE">
        <w:rPr>
          <w:rFonts w:ascii="Courier New" w:hAnsi="Courier New" w:cs="Courier New"/>
          <w:sz w:val="24"/>
          <w:szCs w:val="24"/>
        </w:rPr>
        <w:t xml:space="preserve"> </w:t>
      </w:r>
      <w:r>
        <w:rPr>
          <w:rFonts w:ascii="Courier New" w:hAnsi="Courier New" w:cs="Courier New"/>
          <w:sz w:val="24"/>
          <w:szCs w:val="24"/>
        </w:rPr>
        <w:t xml:space="preserve"> The Department, the commenters said, could then pursue from the institutions collection of the discharged funds.</w:t>
      </w:r>
      <w:r w:rsidRPr="00C346FE">
        <w:rPr>
          <w:rFonts w:ascii="Courier New" w:hAnsi="Courier New" w:cs="Courier New"/>
          <w:sz w:val="24"/>
          <w:szCs w:val="24"/>
        </w:rPr>
        <w:t xml:space="preserve"> </w:t>
      </w:r>
      <w:r>
        <w:rPr>
          <w:rFonts w:ascii="Courier New" w:hAnsi="Courier New" w:cs="Courier New"/>
          <w:sz w:val="24"/>
          <w:szCs w:val="24"/>
        </w:rPr>
        <w:t xml:space="preserve">They reasoned that such relief would be fair to students, provide institutions with incentive for improvement, and reallocate risk from students to institutions, which are in a better position to assume it.  The commenters asserted that students should not be subject to potentially severe financial consequences from borrowing title IV, HEA program funds to attend programs that the Department permitted to operate with its approval, despite not achieving program outcomes deemed acceptable under the D/E rates measure.  According to the commenters, provisions for borrower relief would allow affected students to pursue educational opportunities that offered value, and institutions would be held accountable for the costs to taxpayers of poorly spent title IV, HEA program funds.  </w:t>
      </w:r>
    </w:p>
    <w:p w14:paraId="5A63AB53" w14:textId="77777777" w:rsidR="00AA25A4" w:rsidRDefault="00AA25A4" w:rsidP="00AA25A4">
      <w:pPr>
        <w:spacing w:after="0" w:line="480" w:lineRule="auto"/>
        <w:ind w:firstLine="720"/>
        <w:contextualSpacing/>
        <w:rPr>
          <w:rFonts w:ascii="Courier New" w:hAnsi="Courier New" w:cs="Courier New"/>
          <w:sz w:val="24"/>
          <w:szCs w:val="24"/>
        </w:rPr>
      </w:pPr>
      <w:r>
        <w:rPr>
          <w:rFonts w:ascii="Courier New" w:hAnsi="Courier New" w:cs="Courier New"/>
          <w:sz w:val="24"/>
          <w:szCs w:val="24"/>
        </w:rPr>
        <w:t>One commenter contended that, in the context of borrower relief, the Department was placing undue emphasis on supporting institutions and avoiding litigation, and not enough emphasis on protecting students and their families.  The commenter proposed that the Department could phase in borrower relief for students over the transition period, with programs not passing the D/E rates measure subject only to student warnings in the first year after implementation of the regulations and enrollment limits and borrower relief provisions taking effect in subsequent years of the transition period.</w:t>
      </w:r>
    </w:p>
    <w:p w14:paraId="3CB0876A"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ab/>
        <w:t>Many of the commenters who supported full debt relief for borrowers in affected programs requested that, if full relief is not possible, student borrowers be provided partial relief, in the form presented by the Department during the negotiated rulemaking sessions where an institution with a program facing ineligibility in the next year would be required to make available to the Department, for example, through a letter of credit, sufficient funds to reduce the debt burden of students who attended the program during that year if the program became ineligible.</w:t>
      </w:r>
    </w:p>
    <w:p w14:paraId="5B47B570" w14:textId="77777777" w:rsidR="00AA25A4" w:rsidRPr="00C346FE"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ab/>
        <w:t>We also received general comments opposing any borrower relief provisions in the regulations.</w:t>
      </w:r>
    </w:p>
    <w:p w14:paraId="690871E9"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Discussion</w:t>
      </w:r>
      <w:r w:rsidRPr="00C346FE">
        <w:rPr>
          <w:rFonts w:ascii="Courier New" w:hAnsi="Courier New" w:cs="Courier New"/>
          <w:sz w:val="24"/>
          <w:szCs w:val="24"/>
        </w:rPr>
        <w:t xml:space="preserve">:  The Department acknowledges the concern that borrowers attending </w:t>
      </w:r>
      <w:r>
        <w:rPr>
          <w:rFonts w:ascii="Courier New" w:hAnsi="Courier New" w:cs="Courier New"/>
          <w:sz w:val="24"/>
          <w:szCs w:val="24"/>
        </w:rPr>
        <w:t xml:space="preserve">programs that are determined </w:t>
      </w:r>
      <w:r w:rsidRPr="00C346FE">
        <w:rPr>
          <w:rFonts w:ascii="Courier New" w:hAnsi="Courier New" w:cs="Courier New"/>
          <w:sz w:val="24"/>
          <w:szCs w:val="24"/>
        </w:rPr>
        <w:t xml:space="preserve">ineligible </w:t>
      </w:r>
      <w:r>
        <w:rPr>
          <w:rFonts w:ascii="Courier New" w:hAnsi="Courier New" w:cs="Courier New"/>
          <w:sz w:val="24"/>
          <w:szCs w:val="24"/>
        </w:rPr>
        <w:t>will remain responsible for the debt they accumulated.  However, as explained in the NPRM, none of the circumstances under which the Department has the authority to discharge title IV, HEA loans under the HEA as a result of ineligibility are applicable to these regulations.  20 U.S.C. 1087(c)(1).  This discharge authority does not extend to loans obtained by borrowers who met properly administered admission standards for enrollment in a program or at an institution that was not eligible.</w:t>
      </w:r>
      <w:r>
        <w:rPr>
          <w:rStyle w:val="FootnoteReference"/>
          <w:rFonts w:ascii="Courier New" w:hAnsi="Courier New"/>
          <w:sz w:val="24"/>
          <w:szCs w:val="24"/>
        </w:rPr>
        <w:footnoteReference w:id="178"/>
      </w:r>
      <w:r>
        <w:rPr>
          <w:rFonts w:ascii="Courier New" w:hAnsi="Courier New" w:cs="Courier New"/>
          <w:sz w:val="24"/>
          <w:szCs w:val="24"/>
        </w:rPr>
        <w:t xml:space="preserve">  We also acknowledge the commenters’ interest in excluding those periods in which a student may have received a Pell Grant for attendance at a GE program that did not pass the D/E rates measure from limits otherwise applicable to Pell Grant eligibility.  However, section 401(c)(5) of the HEA provides that the period during which a student may receive Federal Pell Grants “shall not exceed 12 semesters.”  20 U.S.C. §1070a(c)(5).  We read this provision as leaving the Department no authority to exclude specific time periods from that limit. </w:t>
      </w:r>
    </w:p>
    <w:p w14:paraId="0406EAE3"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 xml:space="preserve">     With respect to the other borrower relief proposals that commenters offered, as we have previously stated, these proposals raise important but complex issues that the Department will continue to consider outside of this rulemaking.</w:t>
      </w:r>
    </w:p>
    <w:p w14:paraId="186DC7E1" w14:textId="77777777" w:rsidR="00AA25A4" w:rsidRDefault="00AA25A4" w:rsidP="00AA25A4">
      <w:pPr>
        <w:spacing w:after="0" w:line="480" w:lineRule="auto"/>
        <w:contextualSpacing/>
        <w:rPr>
          <w:rFonts w:ascii="Courier New" w:hAnsi="Courier New" w:cs="Courier New"/>
          <w:sz w:val="24"/>
          <w:szCs w:val="24"/>
        </w:rPr>
      </w:pPr>
      <w:r w:rsidRPr="00C346FE">
        <w:rPr>
          <w:rFonts w:ascii="Courier New" w:hAnsi="Courier New" w:cs="Courier New"/>
          <w:sz w:val="24"/>
          <w:szCs w:val="24"/>
          <w:u w:val="single"/>
        </w:rPr>
        <w:t>Changes</w:t>
      </w:r>
      <w:r w:rsidRPr="00C346FE">
        <w:rPr>
          <w:rFonts w:ascii="Courier New" w:hAnsi="Courier New" w:cs="Courier New"/>
          <w:sz w:val="24"/>
          <w:szCs w:val="24"/>
        </w:rPr>
        <w:t xml:space="preserve">: </w:t>
      </w:r>
      <w:r>
        <w:rPr>
          <w:rFonts w:ascii="Courier New" w:hAnsi="Courier New" w:cs="Courier New"/>
          <w:sz w:val="24"/>
          <w:szCs w:val="24"/>
        </w:rPr>
        <w:t xml:space="preserve"> </w:t>
      </w:r>
      <w:r w:rsidRPr="00C346FE">
        <w:rPr>
          <w:rFonts w:ascii="Courier New" w:hAnsi="Courier New" w:cs="Courier New"/>
          <w:sz w:val="24"/>
          <w:szCs w:val="24"/>
        </w:rPr>
        <w:t xml:space="preserve">None. </w:t>
      </w:r>
    </w:p>
    <w:p w14:paraId="4699CC2B"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One commenter recommended that we revise §668.410(b)(1), which generally prohibits disbursement of title IV, HEA program funds to a student enrolled in a program that has lost eligibility under the regulations, to permit disbursement of such funds until the student completes the program.</w:t>
      </w:r>
    </w:p>
    <w:p w14:paraId="153A67C3" w14:textId="7584B198"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decline to adopt the commenter’s proposal.  </w:t>
      </w:r>
      <w:r>
        <w:rPr>
          <w:rFonts w:ascii="Courier New" w:eastAsia="Times New Roman" w:hAnsi="Courier New" w:cs="Courier New"/>
          <w:sz w:val="24"/>
          <w:szCs w:val="24"/>
        </w:rPr>
        <w:t>A</w:t>
      </w:r>
      <w:r w:rsidRPr="00C2468E">
        <w:rPr>
          <w:rFonts w:ascii="Courier New" w:eastAsia="Times New Roman" w:hAnsi="Courier New"/>
          <w:sz w:val="24"/>
        </w:rPr>
        <w:t xml:space="preserve"> GE </w:t>
      </w:r>
      <w:r w:rsidRPr="00C2468E">
        <w:rPr>
          <w:rFonts w:ascii="Courier New" w:eastAsia="Times New Roman" w:hAnsi="Courier New" w:cs="Courier New"/>
          <w:sz w:val="24"/>
          <w:szCs w:val="24"/>
        </w:rPr>
        <w:t>program</w:t>
      </w:r>
      <w:r>
        <w:rPr>
          <w:rFonts w:ascii="Courier New" w:eastAsia="Times New Roman" w:hAnsi="Courier New" w:cs="Courier New"/>
          <w:sz w:val="24"/>
          <w:szCs w:val="24"/>
        </w:rPr>
        <w:t>’s</w:t>
      </w:r>
      <w:r w:rsidRPr="00C2468E">
        <w:rPr>
          <w:rFonts w:ascii="Courier New" w:eastAsia="Times New Roman" w:hAnsi="Courier New" w:cs="Courier New"/>
          <w:sz w:val="24"/>
          <w:szCs w:val="24"/>
        </w:rPr>
        <w:t xml:space="preserve"> los</w:t>
      </w:r>
      <w:r>
        <w:rPr>
          <w:rFonts w:ascii="Courier New" w:eastAsia="Times New Roman" w:hAnsi="Courier New" w:cs="Courier New"/>
          <w:sz w:val="24"/>
          <w:szCs w:val="24"/>
        </w:rPr>
        <w:t>s of</w:t>
      </w:r>
      <w:r w:rsidRPr="00C2468E">
        <w:rPr>
          <w:rFonts w:ascii="Courier New" w:eastAsia="Times New Roman" w:hAnsi="Courier New"/>
          <w:sz w:val="24"/>
        </w:rPr>
        <w:t xml:space="preserve"> eligibility is effective, under 34 CFR §668.409(b), on the date specified in the notice of final determination.  </w:t>
      </w:r>
      <w:r>
        <w:rPr>
          <w:rFonts w:ascii="Courier New" w:hAnsi="Courier New" w:cs="Courier New"/>
          <w:sz w:val="24"/>
          <w:szCs w:val="24"/>
        </w:rPr>
        <w:t>Section 668.410(b)(1) adopts by explicit reference the general rule in §668.26(d), which the Department applies in all instances in which an institution’s participation in the title IV, HEA programs ends.  Section 668.26(d)(1), consistent with §600.41(d), provides that after a GE program loses eligibility, an institution may make no new commitments f</w:t>
      </w:r>
      <w:r w:rsidRPr="00C2468E">
        <w:rPr>
          <w:rFonts w:ascii="Courier New" w:hAnsi="Courier New" w:cs="Courier New"/>
          <w:sz w:val="24"/>
          <w:szCs w:val="24"/>
        </w:rPr>
        <w:t>or</w:t>
      </w:r>
      <w:r>
        <w:rPr>
          <w:rFonts w:ascii="Courier New" w:hAnsi="Courier New" w:cs="Courier New"/>
          <w:sz w:val="24"/>
          <w:szCs w:val="24"/>
        </w:rPr>
        <w:t xml:space="preserve"> title IV, HEA program funds, but may fund the remainder of certain commitments of grant and loan aid.  These provisions apply the loss of eligibility to students then enrolled in the program in a way that modestly defers the effect of that loss as it affects their ability to meet their financial commitments and provides some time to make alternative arrangements or transition to another program or institution. </w:t>
      </w:r>
      <w:r w:rsidRPr="00C2468E">
        <w:rPr>
          <w:rFonts w:ascii="Courier New" w:hAnsi="Courier New" w:cs="Courier New"/>
          <w:sz w:val="24"/>
          <w:szCs w:val="24"/>
        </w:rPr>
        <w:t xml:space="preserve"> </w:t>
      </w:r>
      <w:r>
        <w:rPr>
          <w:rFonts w:ascii="Courier New" w:hAnsi="Courier New" w:cs="Courier New"/>
          <w:sz w:val="24"/>
          <w:szCs w:val="24"/>
        </w:rPr>
        <w:t>Students may therefore continue to receive title IV, HEA program funds for attendance at a program that has lost eligibility through the end of any ongoing loan period or payment period, which periods could include a full award year.</w:t>
      </w:r>
      <w:r>
        <w:rPr>
          <w:rStyle w:val="FootnoteReference"/>
          <w:rFonts w:ascii="Courier New" w:hAnsi="Courier New"/>
          <w:sz w:val="24"/>
          <w:szCs w:val="24"/>
        </w:rPr>
        <w:footnoteReference w:id="179"/>
      </w:r>
      <w:r>
        <w:rPr>
          <w:rFonts w:ascii="Courier New" w:hAnsi="Courier New" w:cs="Courier New"/>
          <w:sz w:val="24"/>
          <w:szCs w:val="24"/>
        </w:rPr>
        <w:t xml:space="preserve">  Even if we were to interpret the HEA to permit extending the period during which students could receive title IV, HEA program funds to attend an ineligible program beyond these long-established limits, we see no valid reason to do so.  To further extend the period during which students may continue to receive title IV, HEA program funds to attend an ineligible program would encourage students to invest more time, money, and limited Pell </w:t>
      </w:r>
      <w:r w:rsidR="006A7B07">
        <w:rPr>
          <w:rFonts w:ascii="Courier New" w:hAnsi="Courier New" w:cs="Courier New"/>
          <w:sz w:val="24"/>
          <w:szCs w:val="24"/>
        </w:rPr>
        <w:t>G</w:t>
      </w:r>
      <w:r>
        <w:rPr>
          <w:rFonts w:ascii="Courier New" w:hAnsi="Courier New" w:cs="Courier New"/>
          <w:sz w:val="24"/>
          <w:szCs w:val="24"/>
        </w:rPr>
        <w:t>rant eligibility in programs that produce unacceptable student outcomes.</w:t>
      </w:r>
      <w:r w:rsidRPr="00676B80">
        <w:rPr>
          <w:rFonts w:ascii="Courier New" w:hAnsi="Courier New" w:cs="Courier New"/>
          <w:sz w:val="24"/>
          <w:szCs w:val="24"/>
        </w:rPr>
        <w:t xml:space="preserve"> </w:t>
      </w:r>
      <w:r>
        <w:rPr>
          <w:rFonts w:ascii="Courier New" w:hAnsi="Courier New" w:cs="Courier New"/>
          <w:sz w:val="24"/>
          <w:szCs w:val="24"/>
        </w:rPr>
        <w:t xml:space="preserve"> The commenter offers no reason to treat a loss of eligibility under these regulations differently than any other loss of eligibility, and we see none.</w:t>
      </w:r>
    </w:p>
    <w:p w14:paraId="7CAB6B05" w14:textId="77777777" w:rsidR="00AA25A4" w:rsidRDefault="00AA25A4" w:rsidP="00AA25A4">
      <w:pPr>
        <w:spacing w:after="0" w:line="480" w:lineRule="auto"/>
        <w:contextualSpacing/>
        <w:rPr>
          <w:rFonts w:ascii="Courier New" w:hAnsi="Courier New" w:cs="Courier New"/>
          <w:sz w:val="24"/>
          <w:szCs w:val="24"/>
          <w:u w:val="single"/>
        </w:rPr>
      </w:pPr>
      <w:r>
        <w:rPr>
          <w:rFonts w:ascii="Courier New" w:hAnsi="Courier New" w:cs="Courier New"/>
          <w:sz w:val="24"/>
          <w:szCs w:val="24"/>
          <w:u w:val="single"/>
        </w:rPr>
        <w:t>Changes</w:t>
      </w:r>
      <w:r>
        <w:rPr>
          <w:rFonts w:ascii="Courier New" w:hAnsi="Courier New" w:cs="Courier New"/>
          <w:sz w:val="24"/>
          <w:szCs w:val="24"/>
        </w:rPr>
        <w:t>:  None.</w:t>
      </w:r>
    </w:p>
    <w:p w14:paraId="57358E15"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One commenter suggested that we revise §668.410(b)(2), which provides for a three-year period of ineligibility for programs that are failing or in the zone and that are voluntarily discontinued, to more clearly indicate when the period of ineligibility begins and ends.  The commenter recommended revisions based on language in the iCDR regulations in 34 CFR 668.206.</w:t>
      </w:r>
    </w:p>
    <w:p w14:paraId="3C98B1CB" w14:textId="77777777" w:rsidR="00AA25A4" w:rsidRPr="007F0783" w:rsidRDefault="00AA25A4" w:rsidP="00AA25A4">
      <w:pPr>
        <w:spacing w:after="0" w:line="480" w:lineRule="auto"/>
        <w:contextualSpacing/>
        <w:rPr>
          <w:rFonts w:ascii="Courier New" w:hAnsi="Courier New" w:cs="Courier New"/>
          <w:sz w:val="24"/>
          <w:szCs w:val="24"/>
        </w:rPr>
      </w:pPr>
      <w:r w:rsidRPr="007F0783">
        <w:rPr>
          <w:rFonts w:ascii="Courier New" w:hAnsi="Courier New" w:cs="Courier New"/>
          <w:sz w:val="24"/>
          <w:szCs w:val="24"/>
          <w:u w:val="single"/>
        </w:rPr>
        <w:t>Discussion</w:t>
      </w:r>
      <w:r w:rsidRPr="007F0783">
        <w:rPr>
          <w:rFonts w:ascii="Courier New" w:hAnsi="Courier New" w:cs="Courier New"/>
          <w:sz w:val="24"/>
          <w:szCs w:val="24"/>
        </w:rPr>
        <w:t xml:space="preserve">:  </w:t>
      </w:r>
      <w:r>
        <w:rPr>
          <w:rFonts w:ascii="Courier New" w:hAnsi="Courier New" w:cs="Courier New"/>
          <w:sz w:val="24"/>
          <w:szCs w:val="24"/>
        </w:rPr>
        <w:t>We appreciate the commenter’s suggestion and are revising the provision to indicate more clearly when the three-year period of ineligibility begins.</w:t>
      </w:r>
    </w:p>
    <w:p w14:paraId="48E97D61" w14:textId="77777777" w:rsidR="00AA25A4" w:rsidRPr="00701990" w:rsidRDefault="00AA25A4" w:rsidP="00AA25A4">
      <w:pPr>
        <w:spacing w:after="0" w:line="480" w:lineRule="auto"/>
        <w:contextualSpacing/>
        <w:rPr>
          <w:rFonts w:ascii="Courier New" w:hAnsi="Courier New" w:cs="Courier New"/>
          <w:sz w:val="24"/>
          <w:szCs w:val="24"/>
        </w:rPr>
      </w:pPr>
      <w:r w:rsidRPr="007F0783">
        <w:rPr>
          <w:rFonts w:ascii="Courier New" w:hAnsi="Courier New" w:cs="Courier New"/>
          <w:sz w:val="24"/>
          <w:szCs w:val="24"/>
          <w:u w:val="single"/>
        </w:rPr>
        <w:t>Changes</w:t>
      </w:r>
      <w:r>
        <w:rPr>
          <w:rFonts w:ascii="Courier New" w:hAnsi="Courier New" w:cs="Courier New"/>
          <w:sz w:val="24"/>
          <w:szCs w:val="24"/>
        </w:rPr>
        <w:t>:  We have revised §668.410(b)(2) to clarify that the three-year period of ineligibility begins, as applicable, on the date specified in the notice of determination informing the institution of a program’s ineligibility or on the date the institution discontinued a failing or zone program.</w:t>
      </w:r>
    </w:p>
    <w:p w14:paraId="407BDAC3" w14:textId="77777777" w:rsidR="00AA25A4" w:rsidRPr="004F1141"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One commenter suggested that we revise §668.410(b)(2) and (b)(3), which provide for a three-year period of ineligibility for programs that are failing or in the zone and that are voluntarily discontinued, to capture programs that are voluntarily discontinued after the institution receives draft D/E rates that would be failing or in the zone if they were final.  In such cases, the commenter recommended that the Department should, despite the program’s discontinuance, calculate its final D/E rates and, if those final D/E rates are failing or in the zone, impose the three-year ineligibility period as provided in §668.410(b)(2) on that program and any substantially similar programs.  The commenter suggested that, without the proposed revision, there would be a “loophole” that institutions could exploit to avoid the three-year ineligibility period.</w:t>
      </w:r>
    </w:p>
    <w:p w14:paraId="6A845396"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agree with the commenter that we should not permit an institution to avoid the three-year ineligibility period by discontinuing a poorly performing program after the issuance of draft D/E rates that are failing or in the zone, but before the issuance of final D/E rates.  Accordingly, the final regulations provide that, if an institution discontinues a program after receiving draft D/E rates that are failing or in the zone, the institution may not seek to reestablish that program, or establish a substantially similar program, until final D/E rates have been issued for that program, and only then if the final D/E rates are passing or the three-year period of ineligibility has expired.  In the event there is a three-year period of ineligibility that is triggered by the final D/E rates, the period will begin on the date that the program was discontinued, and not the date the final D/E rates were issued, so that the ineligibility period is no longer than the three years that would apply to any other zone or failing program that is voluntarily discontinued.  </w:t>
      </w:r>
    </w:p>
    <w:p w14:paraId="71879F25"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We have revised §668.410(b)(2) to provide that a program that was discontinued after receiving draft D/E rates that are failing or in the zone, but before receiving final D/E rates, is ineligible, and the institution may not seek to establish a substantially similar program, unless the program’s final D/E rates are determined to be passing or, if its final D/E rates are also failing or in the zone, the three-year ineligibility period, dating from the institution’s discontinuance of the program, has expired.  We also have revised this section to clarify that the provision regarding determination of the date a program is voluntarily discontinued applies to programs discontinued before their final D/E rates are issued. </w:t>
      </w:r>
    </w:p>
    <w:p w14:paraId="7AF13FBB"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We received a number of comments about the definition of “substantially similar” programs and the limitations on an institution’s ability to start a program that is substantially similar to an ineligible program.  </w:t>
      </w:r>
    </w:p>
    <w:p w14:paraId="1426DB5A"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ab/>
        <w:t>Several commenters expressed concern that the definition of “substantially similar” is not broad enough to capture all of the similar programs that an institution may seek to establish in the place of a poorly performing program in order to avoid accountability.  These commenters said that the definition should not require that programs share the same credential level in order to be considered substantially similar.  These commenters were concerned that, for example, an institution could simply convert an ineligible certificate program into a new associate degree program, without complying with the three-year ineligibility period and taking any action to improve the program.  Similarly, commenters were also concerned that the requirement that substantially similar programs share the first four digits of a CIP code is too narrow.  They argued that there is sufficient overlap between four-digit CIP codes such that institutions could avoid the restriction on establishing a program that is substantially similar to a program that became ineligible within the most recent three years by using another four-digit CIP code that aligns with the same curriculum.  These commenters suggested that we define programs as “substantially similar” if they share the same two-digit CIP codes.  Alternatively, the commenters recommended that the Department evaluate on a case-by-case basis whether programs with the same two-digit CIP code are substantially similar, and require documentation that a new program within the same two-digit CIP code will meet the D/E rates measure.</w:t>
      </w:r>
    </w:p>
    <w:p w14:paraId="31B9CD42"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rPr>
        <w:tab/>
        <w:t>Other commenters suggested that we treat programs as substantially similar only if they share the same four-digit CIP code and credential level.  These commenters also recommended that we permit the establishment of programs that are substantially similar to an ineligible program if the institution has other substantially similar programs that are passing the D/E rates measure.  For example, the commenters explained, if an institution offers multiple substantially similar programs and at least 50 percent of those programs are passing the D/E rates measure, an institution would be permitted to establish a substantially similar program.</w:t>
      </w:r>
    </w:p>
    <w:p w14:paraId="40043458" w14:textId="77777777" w:rsidR="00AA25A4" w:rsidRDefault="00AA25A4" w:rsidP="00AA25A4">
      <w:pPr>
        <w:spacing w:after="0" w:line="480" w:lineRule="auto"/>
        <w:contextualSpacing/>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agree with the commenters who recommended that programs should not be required to share the same credential level in order to be considered substantially similar and that a definition of “substantially similar” that considers credential level would permit institutions to avoid accountability by changing program length.  </w:t>
      </w:r>
    </w:p>
    <w:p w14:paraId="7C58E5DD" w14:textId="1BFCD1EE" w:rsidR="00AA25A4" w:rsidRPr="008E05B3" w:rsidRDefault="00AA25A4" w:rsidP="00AA25A4">
      <w:pPr>
        <w:spacing w:after="0" w:line="480" w:lineRule="auto"/>
        <w:ind w:firstLine="720"/>
        <w:contextualSpacing/>
        <w:rPr>
          <w:rFonts w:ascii="Courier New" w:hAnsi="Courier New" w:cs="Courier New"/>
          <w:sz w:val="24"/>
          <w:szCs w:val="24"/>
        </w:rPr>
      </w:pPr>
      <w:r>
        <w:rPr>
          <w:rFonts w:ascii="Courier New" w:hAnsi="Courier New" w:cs="Courier New"/>
          <w:sz w:val="24"/>
          <w:szCs w:val="24"/>
        </w:rPr>
        <w:t xml:space="preserve">However, we do not agree that the definition of substantially similar should be broadened to encompass all programs within a two-digit CIP code as substantially similar or that it is necessary to establish a process to evaluate for each new program whether the assigned four-digit CIP code best represents the program content.  We are removing the phrase “substantially similar” from the definition of CIP code and </w:t>
      </w:r>
      <w:r w:rsidRPr="003F4FF4">
        <w:rPr>
          <w:rFonts w:ascii="Courier New" w:eastAsia="Times New Roman" w:hAnsi="Courier New" w:cs="Courier New"/>
          <w:sz w:val="24"/>
          <w:szCs w:val="24"/>
        </w:rPr>
        <w:t xml:space="preserve">establishing in §668.410 that </w:t>
      </w:r>
      <w:r w:rsidR="000970D9">
        <w:rPr>
          <w:rFonts w:ascii="Courier New" w:eastAsia="Times New Roman" w:hAnsi="Courier New" w:cs="Courier New"/>
          <w:sz w:val="24"/>
          <w:szCs w:val="24"/>
        </w:rPr>
        <w:t>two programs are substantially similar to one another if they share the same four</w:t>
      </w:r>
      <w:r w:rsidR="00C5381A">
        <w:rPr>
          <w:rFonts w:ascii="Courier New" w:eastAsia="Times New Roman" w:hAnsi="Courier New" w:cs="Courier New"/>
          <w:sz w:val="24"/>
          <w:szCs w:val="24"/>
        </w:rPr>
        <w:t>-digit CIP code.</w:t>
      </w:r>
      <w:r>
        <w:rPr>
          <w:rFonts w:ascii="Courier New" w:eastAsia="Times New Roman" w:hAnsi="Courier New"/>
          <w:sz w:val="24"/>
        </w:rPr>
        <w:t xml:space="preserve"> </w:t>
      </w:r>
      <w:r w:rsidRPr="003F4FF4">
        <w:rPr>
          <w:rFonts w:ascii="Courier New" w:eastAsia="Times New Roman" w:hAnsi="Courier New"/>
          <w:sz w:val="24"/>
        </w:rPr>
        <w:t xml:space="preserve"> </w:t>
      </w:r>
      <w:r w:rsidR="007A71B5">
        <w:rPr>
          <w:rFonts w:ascii="Courier New" w:hAnsi="Courier New" w:cs="Courier New"/>
          <w:sz w:val="24"/>
          <w:szCs w:val="24"/>
        </w:rPr>
        <w:t>Institutions may not establish a new program that shares the same four</w:t>
      </w:r>
      <w:r w:rsidR="00C5381A">
        <w:rPr>
          <w:rFonts w:ascii="Courier New" w:hAnsi="Courier New" w:cs="Courier New"/>
          <w:sz w:val="24"/>
          <w:szCs w:val="24"/>
        </w:rPr>
        <w:t>-</w:t>
      </w:r>
      <w:r w:rsidR="007A71B5">
        <w:rPr>
          <w:rFonts w:ascii="Courier New" w:hAnsi="Courier New" w:cs="Courier New"/>
          <w:sz w:val="24"/>
          <w:szCs w:val="24"/>
        </w:rPr>
        <w:t xml:space="preserve">digit CIP code as a program that became ineligible or was voluntarily discontinued when it was in the zone or failing within the last three years.  </w:t>
      </w:r>
      <w:r w:rsidR="00D302D9">
        <w:rPr>
          <w:rFonts w:ascii="Courier New" w:hAnsi="Courier New" w:cs="Courier New"/>
          <w:sz w:val="24"/>
          <w:szCs w:val="24"/>
        </w:rPr>
        <w:t xml:space="preserve">An institution may establish a new program </w:t>
      </w:r>
      <w:r w:rsidR="002A15BC">
        <w:rPr>
          <w:rFonts w:ascii="Courier New" w:hAnsi="Courier New" w:cs="Courier New"/>
          <w:sz w:val="24"/>
          <w:szCs w:val="24"/>
        </w:rPr>
        <w:t>with a different four-digit CIP code</w:t>
      </w:r>
      <w:r w:rsidR="00D302D9">
        <w:rPr>
          <w:rFonts w:ascii="Courier New" w:hAnsi="Courier New" w:cs="Courier New"/>
          <w:sz w:val="24"/>
          <w:szCs w:val="24"/>
        </w:rPr>
        <w:t xml:space="preserve"> that is not substantially similar to an ineligible or discontinued program, and provide an explanation of how the new program is different when it submits the certification for the new program.  </w:t>
      </w:r>
      <w:r w:rsidR="00DE5852">
        <w:rPr>
          <w:rFonts w:ascii="Courier New" w:hAnsi="Courier New" w:cs="Courier New"/>
          <w:sz w:val="24"/>
          <w:szCs w:val="24"/>
        </w:rPr>
        <w:t>We presume based on that submission that the new program is not substantially similar to the ineligible or discontinued program, but the information may be reviewed on a case by case basis to ensure a new program is not substantially similar to the other program.</w:t>
      </w:r>
      <w:r w:rsidR="00347EB3">
        <w:rPr>
          <w:rFonts w:ascii="Courier New" w:hAnsi="Courier New" w:cs="Courier New"/>
          <w:sz w:val="24"/>
          <w:szCs w:val="24"/>
        </w:rPr>
        <w:t xml:space="preserve">  </w:t>
      </w:r>
    </w:p>
    <w:p w14:paraId="79773D94" w14:textId="14652D5E" w:rsidR="00AA25A4" w:rsidRDefault="00AA25A4" w:rsidP="00AA25A4">
      <w:pPr>
        <w:spacing w:after="0" w:line="480" w:lineRule="auto"/>
        <w:ind w:firstLine="720"/>
        <w:contextualSpacing/>
        <w:rPr>
          <w:rFonts w:ascii="Courier New" w:hAnsi="Courier New" w:cs="Courier New"/>
          <w:sz w:val="24"/>
          <w:szCs w:val="24"/>
        </w:rPr>
      </w:pPr>
      <w:r>
        <w:rPr>
          <w:rFonts w:ascii="Courier New" w:hAnsi="Courier New" w:cs="Courier New"/>
          <w:sz w:val="24"/>
          <w:szCs w:val="24"/>
        </w:rPr>
        <w:t xml:space="preserve">We believe that these revisions strike an appropriate balance between </w:t>
      </w:r>
      <w:r w:rsidR="00B165EA">
        <w:rPr>
          <w:rFonts w:ascii="Courier New" w:hAnsi="Courier New" w:cs="Courier New"/>
          <w:sz w:val="24"/>
          <w:szCs w:val="24"/>
        </w:rPr>
        <w:t xml:space="preserve">preventing </w:t>
      </w:r>
      <w:r>
        <w:rPr>
          <w:rFonts w:ascii="Courier New" w:hAnsi="Courier New" w:cs="Courier New"/>
          <w:sz w:val="24"/>
          <w:szCs w:val="24"/>
        </w:rPr>
        <w:t xml:space="preserve">institutions from closing and restarting a poorly performing program to avoid accountability and ensuring that institutions are not prevented from establishing </w:t>
      </w:r>
      <w:r w:rsidR="00B17800">
        <w:rPr>
          <w:rFonts w:ascii="Courier New" w:hAnsi="Courier New" w:cs="Courier New"/>
          <w:sz w:val="24"/>
          <w:szCs w:val="24"/>
        </w:rPr>
        <w:t xml:space="preserve">different </w:t>
      </w:r>
      <w:r>
        <w:rPr>
          <w:rFonts w:ascii="Courier New" w:hAnsi="Courier New" w:cs="Courier New"/>
          <w:sz w:val="24"/>
          <w:szCs w:val="24"/>
        </w:rPr>
        <w:t xml:space="preserve">programs </w:t>
      </w:r>
      <w:r w:rsidR="00B165EA">
        <w:rPr>
          <w:rFonts w:ascii="Courier New" w:hAnsi="Courier New" w:cs="Courier New"/>
          <w:sz w:val="24"/>
          <w:szCs w:val="24"/>
        </w:rPr>
        <w:t xml:space="preserve">to </w:t>
      </w:r>
      <w:r>
        <w:rPr>
          <w:rFonts w:ascii="Courier New" w:hAnsi="Courier New" w:cs="Courier New"/>
          <w:sz w:val="24"/>
          <w:szCs w:val="24"/>
        </w:rPr>
        <w:t xml:space="preserve">provide training in fields where there is demand.  </w:t>
      </w:r>
    </w:p>
    <w:p w14:paraId="6E823EFD" w14:textId="24B313BB" w:rsidR="00AA25A4" w:rsidRPr="009B3BFA" w:rsidRDefault="00AA25A4" w:rsidP="00AA25A4">
      <w:pPr>
        <w:spacing w:after="0" w:line="480" w:lineRule="auto"/>
        <w:ind w:firstLine="720"/>
        <w:contextualSpacing/>
        <w:rPr>
          <w:rFonts w:ascii="Courier New" w:hAnsi="Courier New" w:cs="Courier New"/>
          <w:sz w:val="24"/>
          <w:szCs w:val="24"/>
        </w:rPr>
      </w:pPr>
      <w:r>
        <w:rPr>
          <w:rFonts w:ascii="Courier New" w:hAnsi="Courier New" w:cs="Courier New"/>
          <w:sz w:val="24"/>
          <w:szCs w:val="24"/>
        </w:rPr>
        <w:t xml:space="preserve">We believe that it is appropriate to require an institution </w:t>
      </w:r>
      <w:r w:rsidR="00A66887">
        <w:rPr>
          <w:rFonts w:ascii="Courier New" w:hAnsi="Courier New" w:cs="Courier New"/>
          <w:sz w:val="24"/>
          <w:szCs w:val="24"/>
        </w:rPr>
        <w:t>that is</w:t>
      </w:r>
      <w:r>
        <w:rPr>
          <w:rFonts w:ascii="Courier New" w:hAnsi="Courier New" w:cs="Courier New"/>
          <w:sz w:val="24"/>
          <w:szCs w:val="24"/>
        </w:rPr>
        <w:t xml:space="preserve"> establish</w:t>
      </w:r>
      <w:r w:rsidR="00A66887">
        <w:rPr>
          <w:rFonts w:ascii="Courier New" w:hAnsi="Courier New" w:cs="Courier New"/>
          <w:sz w:val="24"/>
          <w:szCs w:val="24"/>
        </w:rPr>
        <w:t>ing</w:t>
      </w:r>
      <w:r>
        <w:rPr>
          <w:rFonts w:ascii="Courier New" w:hAnsi="Courier New" w:cs="Courier New"/>
          <w:sz w:val="24"/>
          <w:szCs w:val="24"/>
        </w:rPr>
        <w:t xml:space="preserve"> a new program to provide a certification under §668.414 that includes an explanation of how the new program is not substantially similar to each program offered by the institution that, in the prior three years, became ineligible under the regulations’ accountability provisions or was voluntarily discontinued by the institution when the program was failing, or in the zone with respect to, the D/E rates measure.  We </w:t>
      </w:r>
      <w:r w:rsidR="00A66887">
        <w:rPr>
          <w:rFonts w:ascii="Courier New" w:hAnsi="Courier New" w:cs="Courier New"/>
          <w:sz w:val="24"/>
          <w:szCs w:val="24"/>
        </w:rPr>
        <w:t>also</w:t>
      </w:r>
      <w:r>
        <w:rPr>
          <w:rFonts w:ascii="Courier New" w:hAnsi="Courier New" w:cs="Courier New"/>
          <w:sz w:val="24"/>
          <w:szCs w:val="24"/>
        </w:rPr>
        <w:t xml:space="preserve"> discuss this change in “§668.414  Certification Requirements for GE Programs.”  </w:t>
      </w:r>
    </w:p>
    <w:p w14:paraId="15B7633A" w14:textId="63A15BA7" w:rsidR="00AA25A4" w:rsidRDefault="00AA25A4" w:rsidP="00AA25A4">
      <w:pPr>
        <w:spacing w:after="0" w:line="480" w:lineRule="auto"/>
      </w:pPr>
      <w:r w:rsidRPr="00C346FE">
        <w:rPr>
          <w:rFonts w:ascii="Courier New" w:hAnsi="Courier New"/>
          <w:sz w:val="24"/>
          <w:szCs w:val="24"/>
          <w:u w:val="single"/>
        </w:rPr>
        <w:t>Changes</w:t>
      </w:r>
      <w:r w:rsidRPr="00C346FE">
        <w:rPr>
          <w:rFonts w:ascii="Courier New" w:hAnsi="Courier New"/>
          <w:sz w:val="24"/>
          <w:szCs w:val="24"/>
        </w:rPr>
        <w:t>:</w:t>
      </w:r>
      <w:r>
        <w:rPr>
          <w:rFonts w:ascii="Courier New" w:hAnsi="Courier New"/>
          <w:sz w:val="24"/>
          <w:szCs w:val="24"/>
        </w:rPr>
        <w:t xml:space="preserve"> </w:t>
      </w:r>
      <w:r w:rsidRPr="00562A60">
        <w:rPr>
          <w:rFonts w:ascii="Courier New" w:hAnsi="Courier New"/>
          <w:sz w:val="24"/>
          <w:szCs w:val="24"/>
        </w:rPr>
        <w:t xml:space="preserve"> </w:t>
      </w:r>
      <w:r>
        <w:rPr>
          <w:rFonts w:ascii="Courier New" w:hAnsi="Courier New" w:cs="Courier New"/>
          <w:sz w:val="24"/>
          <w:szCs w:val="24"/>
        </w:rPr>
        <w:t>We have revised §668.410 to provide that</w:t>
      </w:r>
      <w:r w:rsidRPr="00E33288">
        <w:rPr>
          <w:rFonts w:ascii="Courier New" w:hAnsi="Courier New" w:cs="Courier New"/>
          <w:sz w:val="24"/>
          <w:szCs w:val="24"/>
        </w:rPr>
        <w:t xml:space="preserve"> </w:t>
      </w:r>
      <w:r>
        <w:rPr>
          <w:rFonts w:ascii="Courier New" w:hAnsi="Courier New" w:cs="Courier New"/>
          <w:sz w:val="24"/>
          <w:szCs w:val="24"/>
        </w:rPr>
        <w:t xml:space="preserve">a program is substantially similar to another </w:t>
      </w:r>
      <w:r w:rsidR="00923B7B">
        <w:rPr>
          <w:rFonts w:ascii="Courier New" w:hAnsi="Courier New" w:cs="Courier New"/>
          <w:sz w:val="24"/>
          <w:szCs w:val="24"/>
        </w:rPr>
        <w:t xml:space="preserve">program </w:t>
      </w:r>
      <w:r>
        <w:rPr>
          <w:rFonts w:ascii="Courier New" w:hAnsi="Courier New" w:cs="Courier New"/>
          <w:sz w:val="24"/>
          <w:szCs w:val="24"/>
        </w:rPr>
        <w:t>if the programs share the first four digits of a CIP code</w:t>
      </w:r>
      <w:r w:rsidR="00923B7B">
        <w:rPr>
          <w:rFonts w:ascii="Courier New" w:hAnsi="Courier New" w:cs="Courier New"/>
          <w:sz w:val="24"/>
          <w:szCs w:val="24"/>
        </w:rPr>
        <w:t>.  We also have revised this section to provide that</w:t>
      </w:r>
      <w:r>
        <w:rPr>
          <w:rFonts w:ascii="Courier New" w:hAnsi="Courier New" w:cs="Courier New"/>
          <w:sz w:val="24"/>
          <w:szCs w:val="24"/>
        </w:rPr>
        <w:t xml:space="preserve"> </w:t>
      </w:r>
      <w:r w:rsidR="00923B7B">
        <w:rPr>
          <w:rFonts w:ascii="Courier New" w:hAnsi="Courier New" w:cs="Courier New"/>
          <w:sz w:val="24"/>
          <w:szCs w:val="24"/>
        </w:rPr>
        <w:t>the Secretary</w:t>
      </w:r>
      <w:r>
        <w:rPr>
          <w:rFonts w:ascii="Courier New" w:hAnsi="Courier New" w:cs="Courier New"/>
          <w:sz w:val="24"/>
          <w:szCs w:val="24"/>
        </w:rPr>
        <w:t xml:space="preserve"> presume</w:t>
      </w:r>
      <w:r w:rsidR="00923B7B">
        <w:rPr>
          <w:rFonts w:ascii="Courier New" w:hAnsi="Courier New" w:cs="Courier New"/>
          <w:sz w:val="24"/>
          <w:szCs w:val="24"/>
        </w:rPr>
        <w:t>s a program is</w:t>
      </w:r>
      <w:r>
        <w:rPr>
          <w:rFonts w:ascii="Courier New" w:hAnsi="Courier New" w:cs="Courier New"/>
          <w:sz w:val="24"/>
          <w:szCs w:val="24"/>
        </w:rPr>
        <w:t xml:space="preserve"> not substantially similar </w:t>
      </w:r>
      <w:r w:rsidR="00D471DB">
        <w:rPr>
          <w:rFonts w:ascii="Courier New" w:hAnsi="Courier New" w:cs="Courier New"/>
          <w:sz w:val="24"/>
          <w:szCs w:val="24"/>
        </w:rPr>
        <w:t xml:space="preserve">to another program </w:t>
      </w:r>
      <w:r>
        <w:rPr>
          <w:rFonts w:ascii="Courier New" w:hAnsi="Courier New" w:cs="Courier New"/>
          <w:sz w:val="24"/>
          <w:szCs w:val="24"/>
        </w:rPr>
        <w:t xml:space="preserve">if the programs do not share </w:t>
      </w:r>
      <w:r w:rsidR="007C130C">
        <w:rPr>
          <w:rFonts w:ascii="Courier New" w:hAnsi="Courier New" w:cs="Courier New"/>
          <w:sz w:val="24"/>
          <w:szCs w:val="24"/>
        </w:rPr>
        <w:t>a four-</w:t>
      </w:r>
      <w:r>
        <w:rPr>
          <w:rFonts w:ascii="Courier New" w:hAnsi="Courier New" w:cs="Courier New"/>
          <w:sz w:val="24"/>
          <w:szCs w:val="24"/>
        </w:rPr>
        <w:t>digit CIP code</w:t>
      </w:r>
      <w:r w:rsidR="00C5381A">
        <w:rPr>
          <w:rFonts w:ascii="Courier New" w:hAnsi="Courier New" w:cs="Courier New"/>
          <w:sz w:val="24"/>
          <w:szCs w:val="24"/>
        </w:rPr>
        <w:t>.</w:t>
      </w:r>
      <w:r w:rsidR="007C130C">
        <w:rPr>
          <w:rFonts w:ascii="Courier New" w:hAnsi="Courier New" w:cs="Courier New"/>
          <w:sz w:val="24"/>
          <w:szCs w:val="24"/>
        </w:rPr>
        <w:t xml:space="preserve"> </w:t>
      </w:r>
      <w:r w:rsidR="00C5381A">
        <w:rPr>
          <w:rFonts w:ascii="Courier New" w:hAnsi="Courier New" w:cs="Courier New"/>
          <w:sz w:val="24"/>
          <w:szCs w:val="24"/>
        </w:rPr>
        <w:t xml:space="preserve"> T</w:t>
      </w:r>
      <w:r w:rsidR="007C130C">
        <w:rPr>
          <w:rFonts w:ascii="Courier New" w:hAnsi="Courier New" w:cs="Courier New"/>
          <w:sz w:val="24"/>
          <w:szCs w:val="24"/>
        </w:rPr>
        <w:t xml:space="preserve">he </w:t>
      </w:r>
      <w:r w:rsidR="00923B7B">
        <w:rPr>
          <w:rFonts w:ascii="Courier New" w:hAnsi="Courier New" w:cs="Courier New"/>
          <w:sz w:val="24"/>
          <w:szCs w:val="24"/>
        </w:rPr>
        <w:t xml:space="preserve">institution must submit an explanation of how the new program is not substantially similar to the ineligible or voluntarily discontinued </w:t>
      </w:r>
      <w:r w:rsidR="007C130C">
        <w:rPr>
          <w:rFonts w:ascii="Courier New" w:hAnsi="Courier New" w:cs="Courier New"/>
          <w:sz w:val="24"/>
          <w:szCs w:val="24"/>
        </w:rPr>
        <w:t>program</w:t>
      </w:r>
      <w:r>
        <w:rPr>
          <w:rFonts w:ascii="Courier New" w:hAnsi="Courier New" w:cs="Courier New"/>
          <w:sz w:val="24"/>
          <w:szCs w:val="24"/>
        </w:rPr>
        <w:t xml:space="preserve">.  </w:t>
      </w:r>
      <w:r w:rsidRPr="003F4FF4">
        <w:rPr>
          <w:rFonts w:ascii="Courier New" w:hAnsi="Courier New" w:cs="Courier New"/>
          <w:sz w:val="24"/>
          <w:szCs w:val="24"/>
        </w:rPr>
        <w:t xml:space="preserve">  </w:t>
      </w:r>
      <w:r>
        <w:rPr>
          <w:rFonts w:ascii="Courier New" w:hAnsi="Courier New" w:cs="Courier New"/>
          <w:sz w:val="24"/>
          <w:szCs w:val="24"/>
        </w:rPr>
        <w:t>In §668.410(b)(3), we have also corrected the reference to §668.414(b) to §668.414(c).</w:t>
      </w:r>
      <w:r>
        <w:t xml:space="preserve"> </w:t>
      </w:r>
    </w:p>
    <w:p w14:paraId="7436624F" w14:textId="77777777" w:rsidR="003528E5" w:rsidRDefault="003528E5" w:rsidP="003528E5">
      <w:pPr>
        <w:pStyle w:val="Heading1"/>
      </w:pPr>
      <w:r>
        <w:t>§668.411  Reporting Requirements for GE P</w:t>
      </w:r>
      <w:r w:rsidRPr="00C04E94">
        <w:t>rograms</w:t>
      </w:r>
    </w:p>
    <w:p w14:paraId="656654A7"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Numerous commenters asserted that institutions with low borrowing rates or low cohort default rates sho</w:t>
      </w:r>
      <w:r w:rsidRPr="008121FA">
        <w:rPr>
          <w:rFonts w:ascii="Courier New" w:hAnsi="Courier New" w:cs="Courier New"/>
          <w:sz w:val="24"/>
          <w:szCs w:val="24"/>
        </w:rPr>
        <w:t>u</w:t>
      </w:r>
      <w:r>
        <w:rPr>
          <w:rFonts w:ascii="Courier New" w:hAnsi="Courier New" w:cs="Courier New"/>
          <w:sz w:val="24"/>
          <w:szCs w:val="24"/>
        </w:rPr>
        <w:t xml:space="preserve">ld be exempt from the reporting requirements, arguing that such programs do not pose a high risk to students or taxpayers.  For example, some commenters recommended exempting a program from the reporting requirements where an institution certifies that:  (1) less than fifty percent of the students in the program took out loans for the two most recent academic years, (2) fewer than 20 students receiving title IV, HEA program funds completed the program during the most recent two academic years, and (3) the default rate falls below a reasonable threshold for two consecutive years.  These commenters proposed that a program should be subject to the reporting requirements for a minimum of two years at the point that it does not meet one of these three exemption requirements for two consecutive years.  Other commenters proposed variations of this approach, such as exempting from the reporting requirements institutions with an institutional cohort default rate of less than fifteen percent.  Similarly, one commenter said that foreign schools should be exempt from the reporting requirements, asserting that certificate programs at foreign institutions are of low risk to American taxpayers since those programs have relatively few American students compared to the entire enrollment in the program.      </w:t>
      </w:r>
    </w:p>
    <w:p w14:paraId="21CA707F"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We do not agree that a program, foreign or domestic, should be exempt from the reporting requirements because it has a low borrowing rate, low institutional cohort default rate, or low number of students who receive title IV, HEA program funds.  The information that institutions must report is necessary to calculate the D/E rates and to calculate or determine many of the disclosure items as provided in §668.413.  (</w:t>
      </w:r>
      <w:r w:rsidRPr="001E1482">
        <w:rPr>
          <w:rFonts w:ascii="Courier New" w:hAnsi="Courier New" w:cs="Courier New"/>
          <w:sz w:val="24"/>
          <w:szCs w:val="24"/>
          <w:u w:val="single"/>
        </w:rPr>
        <w:t>See</w:t>
      </w:r>
      <w:r>
        <w:rPr>
          <w:rFonts w:ascii="Courier New" w:hAnsi="Courier New" w:cs="Courier New"/>
          <w:sz w:val="24"/>
          <w:szCs w:val="24"/>
        </w:rPr>
        <w:t xml:space="preserve"> “§668.413  Calculating, Issuing, and Challenging Completion Rates, Withdrawal Rates, Repayment Rates, Median Loan Debt, Median Earnings, and Program Cohort Default Rates” for a discussion of the disclosure items that the Department will calculate.)  Exempting some institutions from the reporting requirements, whether partially or fully, would undermine the effectiveness of both the accountability and transparency frameworks of the regulations because the Department would be unable to assess the outcomes of many programs.  In addition, students would not be able to access relevant information about these programs and compare outcomes across multiple metrics.  Further, a policy that allowed exemptions from reporting, accountability, and transparency, regardless of the basis, in some years but not others would be impossible to implement.  Without consistent annual reporting, the Department would, in many cases, be unable to calculate the D/E rates or disclosures in non-exempted years as these calculations require data from prior years when the exemption may have applied.    </w:t>
      </w:r>
    </w:p>
    <w:p w14:paraId="6E4A8C34"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w:t>
      </w:r>
    </w:p>
    <w:p w14:paraId="3CF19F73" w14:textId="77777777"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A few commenters recommended requiring institutions to report additional items to the Department.  Specifically, some commenters argued that the Department should collect and make public job placement rates to enable the Department, States, researchers, and consumers to easily access this information to compare programs at different schools.  The commenters also asserted that requiring institutions to report these rates at the student level would improve compliance at institutions that are currently required to calculate job placement rates but do not do so. </w:t>
      </w:r>
    </w:p>
    <w:p w14:paraId="1C7EE2A9" w14:textId="77777777" w:rsidR="003528E5" w:rsidRDefault="003528E5" w:rsidP="003528E5">
      <w:pPr>
        <w:spacing w:after="0" w:line="480" w:lineRule="auto"/>
        <w:rPr>
          <w:rFonts w:ascii="Courier New" w:hAnsi="Courier New" w:cs="Courier New"/>
          <w:sz w:val="24"/>
          <w:szCs w:val="24"/>
        </w:rPr>
      </w:pPr>
      <w:r>
        <w:rPr>
          <w:rFonts w:ascii="Courier New" w:hAnsi="Courier New" w:cs="Courier New"/>
          <w:sz w:val="24"/>
          <w:szCs w:val="24"/>
        </w:rPr>
        <w:t xml:space="preserve">     Other commenters recommended that institutions be required to report the SOC codes associated with their programs.  These commenters disagreed with the Department’s assertion in the NPRM that it would not be appropriate to collect SOC codes at the student level.  They argued that requiring institutions to report the SOC codes that they must disclose under §668.412 would strengthen the Department’s ability to monitor whether programs have the necessary accreditation or other requirements for State licensing and would support more accurate and realistic disclosure of the SOC codes associated with a program’s CIP code.  </w:t>
      </w:r>
    </w:p>
    <w:p w14:paraId="4ACA25BE" w14:textId="77777777"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We agree that allowing the Department, States, researchers, and consumers to access job placement information will be beneficial.  Accordingly, we are adding a requirement for institutions to report job placement rates at the program level if the institution is required by its accrediting agency or State to calculate a placement rate for either the institution or the program using the State’s or agency’s required methodology and to report the name of the State or accrediting agency.  For additional information about job placement rates, see the discussion under “§668.412  Disclosure Requirements for GE Programs.”  While all other required reporting for the initial reporting period must be made by July 31, 2015, due to operational issues, institutions will report job placement rates at a later date and in such manner as prescribed by the Secretary in a notice published in the </w:t>
      </w:r>
      <w:r w:rsidRPr="00BC1B8D">
        <w:rPr>
          <w:rFonts w:ascii="Courier New" w:hAnsi="Courier New" w:cs="Courier New"/>
          <w:sz w:val="24"/>
          <w:szCs w:val="24"/>
          <w:u w:val="single"/>
        </w:rPr>
        <w:t>Federal Register</w:t>
      </w:r>
      <w:r>
        <w:rPr>
          <w:rFonts w:ascii="Courier New" w:hAnsi="Courier New" w:cs="Courier New"/>
          <w:sz w:val="24"/>
          <w:szCs w:val="24"/>
        </w:rPr>
        <w:t>.</w:t>
      </w:r>
    </w:p>
    <w:p w14:paraId="4816B447" w14:textId="77777777" w:rsidR="003528E5" w:rsidRPr="00C04E94" w:rsidRDefault="003528E5" w:rsidP="003528E5">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Department already identifies SOC codes for GE programs as part of each institution’s PPA.  We will continue to consider requirements for updating and monitoring SOC codes to improve oversight while limiting the reporting burden on institutions. </w:t>
      </w:r>
    </w:p>
    <w:p w14:paraId="2A0EE1DC" w14:textId="0F1E5C8F"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We have added a requirement in §668.411(a)(3) that institutions must report to the Department a</w:t>
      </w:r>
      <w:r w:rsidRPr="00280162">
        <w:rPr>
          <w:rFonts w:ascii="Courier New" w:hAnsi="Courier New" w:cs="Courier New"/>
          <w:sz w:val="24"/>
          <w:szCs w:val="24"/>
        </w:rPr>
        <w:t xml:space="preserve"> placement rate for </w:t>
      </w:r>
      <w:r>
        <w:rPr>
          <w:rFonts w:ascii="Courier New" w:hAnsi="Courier New" w:cs="Courier New"/>
          <w:sz w:val="24"/>
          <w:szCs w:val="24"/>
        </w:rPr>
        <w:t>each GE</w:t>
      </w:r>
      <w:r w:rsidRPr="00280162">
        <w:rPr>
          <w:rFonts w:ascii="Courier New" w:hAnsi="Courier New" w:cs="Courier New"/>
          <w:sz w:val="24"/>
          <w:szCs w:val="24"/>
        </w:rPr>
        <w:t xml:space="preserve"> program, if the institution is required by its accrediting agency or State to calculate a placement rate for </w:t>
      </w:r>
      <w:r w:rsidR="004776DC">
        <w:rPr>
          <w:rFonts w:ascii="Courier New" w:hAnsi="Courier New" w:cs="Courier New"/>
          <w:sz w:val="24"/>
          <w:szCs w:val="24"/>
        </w:rPr>
        <w:t xml:space="preserve">either </w:t>
      </w:r>
      <w:r w:rsidRPr="00280162">
        <w:rPr>
          <w:rFonts w:ascii="Courier New" w:hAnsi="Courier New" w:cs="Courier New"/>
          <w:sz w:val="24"/>
          <w:szCs w:val="24"/>
        </w:rPr>
        <w:t>the institution or the program</w:t>
      </w:r>
      <w:r w:rsidRPr="00280162" w:rsidDel="003953BF">
        <w:rPr>
          <w:rFonts w:ascii="Courier New" w:hAnsi="Courier New" w:cs="Courier New"/>
          <w:sz w:val="24"/>
          <w:szCs w:val="24"/>
        </w:rPr>
        <w:t xml:space="preserve">, </w:t>
      </w:r>
      <w:r w:rsidR="004776DC">
        <w:rPr>
          <w:rFonts w:ascii="Courier New" w:hAnsi="Courier New" w:cs="Courier New"/>
          <w:sz w:val="24"/>
          <w:szCs w:val="24"/>
        </w:rPr>
        <w:t>or both,</w:t>
      </w:r>
      <w:r w:rsidRPr="00280162" w:rsidDel="003953BF">
        <w:rPr>
          <w:rFonts w:ascii="Courier New" w:hAnsi="Courier New" w:cs="Courier New"/>
          <w:sz w:val="24"/>
          <w:szCs w:val="24"/>
        </w:rPr>
        <w:t xml:space="preserve"> </w:t>
      </w:r>
      <w:r w:rsidRPr="00280162">
        <w:rPr>
          <w:rFonts w:ascii="Courier New" w:hAnsi="Courier New" w:cs="Courier New"/>
          <w:sz w:val="24"/>
          <w:szCs w:val="24"/>
        </w:rPr>
        <w:t>using the methodology</w:t>
      </w:r>
      <w:r w:rsidRPr="00280162" w:rsidDel="00BA18B9">
        <w:rPr>
          <w:rFonts w:ascii="Courier New" w:hAnsi="Courier New" w:cs="Courier New"/>
          <w:sz w:val="24"/>
          <w:szCs w:val="24"/>
        </w:rPr>
        <w:t xml:space="preserve"> </w:t>
      </w:r>
      <w:r w:rsidR="004776DC">
        <w:rPr>
          <w:rFonts w:ascii="Courier New" w:hAnsi="Courier New" w:cs="Courier New"/>
          <w:sz w:val="24"/>
          <w:szCs w:val="24"/>
        </w:rPr>
        <w:t>required by</w:t>
      </w:r>
      <w:r>
        <w:rPr>
          <w:rFonts w:ascii="Courier New" w:hAnsi="Courier New" w:cs="Courier New"/>
          <w:sz w:val="24"/>
          <w:szCs w:val="24"/>
        </w:rPr>
        <w:t xml:space="preserve"> that accredit</w:t>
      </w:r>
      <w:r w:rsidR="004776DC">
        <w:rPr>
          <w:rFonts w:ascii="Courier New" w:hAnsi="Courier New" w:cs="Courier New"/>
          <w:sz w:val="24"/>
          <w:szCs w:val="24"/>
        </w:rPr>
        <w:t>ing agency</w:t>
      </w:r>
      <w:r>
        <w:rPr>
          <w:rFonts w:ascii="Courier New" w:hAnsi="Courier New" w:cs="Courier New"/>
          <w:sz w:val="24"/>
          <w:szCs w:val="24"/>
        </w:rPr>
        <w:t xml:space="preserve"> or State</w:t>
      </w:r>
      <w:r w:rsidRPr="00280162">
        <w:rPr>
          <w:rFonts w:ascii="Courier New" w:hAnsi="Courier New" w:cs="Courier New"/>
          <w:sz w:val="24"/>
          <w:szCs w:val="24"/>
        </w:rPr>
        <w:t xml:space="preserve">, and </w:t>
      </w:r>
      <w:r>
        <w:rPr>
          <w:rFonts w:ascii="Courier New" w:hAnsi="Courier New" w:cs="Courier New"/>
          <w:sz w:val="24"/>
          <w:szCs w:val="24"/>
        </w:rPr>
        <w:t xml:space="preserve">the name of that </w:t>
      </w:r>
      <w:r w:rsidR="004776DC">
        <w:rPr>
          <w:rFonts w:ascii="Courier New" w:hAnsi="Courier New" w:cs="Courier New"/>
          <w:sz w:val="24"/>
          <w:szCs w:val="24"/>
        </w:rPr>
        <w:t xml:space="preserve">accrediting agency </w:t>
      </w:r>
      <w:r>
        <w:rPr>
          <w:rFonts w:ascii="Courier New" w:hAnsi="Courier New" w:cs="Courier New"/>
          <w:sz w:val="24"/>
          <w:szCs w:val="24"/>
        </w:rPr>
        <w:t xml:space="preserve">or State.  We have also renumbered the paragraphs that follow this reporting requirement.  In §668.411(b)(1), we have clarified that the July 31 reporting deadline does not apply to </w:t>
      </w:r>
      <w:r w:rsidDel="0058733D">
        <w:rPr>
          <w:rFonts w:ascii="Courier New" w:hAnsi="Courier New" w:cs="Courier New"/>
          <w:sz w:val="24"/>
          <w:szCs w:val="24"/>
        </w:rPr>
        <w:t xml:space="preserve">the </w:t>
      </w:r>
      <w:r>
        <w:rPr>
          <w:rFonts w:ascii="Courier New" w:hAnsi="Courier New" w:cs="Courier New"/>
          <w:sz w:val="24"/>
          <w:szCs w:val="24"/>
        </w:rPr>
        <w:t xml:space="preserve">reporting </w:t>
      </w:r>
      <w:r w:rsidDel="0058733D">
        <w:rPr>
          <w:rFonts w:ascii="Courier New" w:hAnsi="Courier New" w:cs="Courier New"/>
          <w:sz w:val="24"/>
          <w:szCs w:val="24"/>
        </w:rPr>
        <w:t xml:space="preserve">of </w:t>
      </w:r>
      <w:r>
        <w:rPr>
          <w:rFonts w:ascii="Courier New" w:hAnsi="Courier New" w:cs="Courier New"/>
          <w:sz w:val="24"/>
          <w:szCs w:val="24"/>
        </w:rPr>
        <w:t xml:space="preserve">placement rates but rather that reporting </w:t>
      </w:r>
      <w:r w:rsidDel="0058733D">
        <w:rPr>
          <w:rFonts w:ascii="Courier New" w:hAnsi="Courier New" w:cs="Courier New"/>
          <w:sz w:val="24"/>
          <w:szCs w:val="24"/>
        </w:rPr>
        <w:t>on that item will be on</w:t>
      </w:r>
      <w:r>
        <w:rPr>
          <w:rFonts w:ascii="Courier New" w:hAnsi="Courier New" w:cs="Courier New"/>
          <w:sz w:val="24"/>
          <w:szCs w:val="24"/>
        </w:rPr>
        <w:t xml:space="preserve"> a date and in a manner announced by the Secretary in a notice published in the </w:t>
      </w:r>
      <w:r w:rsidRPr="00835804">
        <w:rPr>
          <w:rFonts w:ascii="Courier New" w:hAnsi="Courier New" w:cs="Courier New"/>
          <w:sz w:val="24"/>
          <w:szCs w:val="24"/>
          <w:u w:val="single"/>
        </w:rPr>
        <w:t>Federal Register</w:t>
      </w:r>
      <w:r>
        <w:rPr>
          <w:rFonts w:ascii="Courier New" w:hAnsi="Courier New" w:cs="Courier New"/>
          <w:sz w:val="24"/>
          <w:szCs w:val="24"/>
        </w:rPr>
        <w:t xml:space="preserve">. </w:t>
      </w:r>
    </w:p>
    <w:p w14:paraId="17FB7523"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  Several commenters raised concerns that the reporting requirements would be very burdensome for institutions and that the Department underestimated</w:t>
      </w:r>
      <w:r>
        <w:rPr>
          <w:rFonts w:ascii="Courier New" w:hAnsi="Courier New" w:cs="Courier New"/>
          <w:sz w:val="24"/>
          <w:szCs w:val="24"/>
        </w:rPr>
        <w:t xml:space="preserve"> in the NPRM</w:t>
      </w:r>
      <w:r w:rsidRPr="00C04E94">
        <w:rPr>
          <w:rFonts w:ascii="Courier New" w:hAnsi="Courier New" w:cs="Courier New"/>
          <w:sz w:val="24"/>
          <w:szCs w:val="24"/>
        </w:rPr>
        <w:t xml:space="preserve"> the burden </w:t>
      </w:r>
      <w:r>
        <w:rPr>
          <w:rFonts w:ascii="Courier New" w:hAnsi="Courier New" w:cs="Courier New"/>
          <w:sz w:val="24"/>
          <w:szCs w:val="24"/>
        </w:rPr>
        <w:t xml:space="preserve">and cost </w:t>
      </w:r>
      <w:r w:rsidRPr="00C04E94">
        <w:rPr>
          <w:rFonts w:ascii="Courier New" w:hAnsi="Courier New" w:cs="Courier New"/>
          <w:sz w:val="24"/>
          <w:szCs w:val="24"/>
        </w:rPr>
        <w:t xml:space="preserve">to implement these provisions.  In particular, some commenters argued that the </w:t>
      </w:r>
      <w:r>
        <w:rPr>
          <w:rFonts w:ascii="Courier New" w:hAnsi="Courier New" w:cs="Courier New"/>
          <w:sz w:val="24"/>
          <w:szCs w:val="24"/>
        </w:rPr>
        <w:t>reporting requirements would duplicate</w:t>
      </w:r>
      <w:r w:rsidRPr="00C04E94">
        <w:rPr>
          <w:rFonts w:ascii="Courier New" w:hAnsi="Courier New" w:cs="Courier New"/>
          <w:sz w:val="24"/>
          <w:szCs w:val="24"/>
        </w:rPr>
        <w:t xml:space="preserve"> reporting that institutions already </w:t>
      </w:r>
      <w:r>
        <w:rPr>
          <w:rFonts w:ascii="Courier New" w:hAnsi="Courier New" w:cs="Courier New"/>
          <w:sz w:val="24"/>
          <w:szCs w:val="24"/>
        </w:rPr>
        <w:t>provide</w:t>
      </w:r>
      <w:r w:rsidRPr="00C04E94">
        <w:rPr>
          <w:rFonts w:ascii="Courier New" w:hAnsi="Courier New" w:cs="Courier New"/>
          <w:sz w:val="24"/>
          <w:szCs w:val="24"/>
        </w:rPr>
        <w:t xml:space="preserve"> and that the additional compliance burden and paperwork hours would lead to higher costs for students. </w:t>
      </w:r>
      <w:r>
        <w:rPr>
          <w:rFonts w:ascii="Courier New" w:hAnsi="Courier New" w:cs="Courier New"/>
          <w:sz w:val="24"/>
          <w:szCs w:val="24"/>
        </w:rPr>
        <w:t xml:space="preserve"> Another commenter said that they would need to hire additional staff to comply with the reporting requirements.</w:t>
      </w:r>
    </w:p>
    <w:p w14:paraId="24C98CBE" w14:textId="77777777"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Any burden on institutions to meet the reporting requirements is outweighed by the benefits of the accountability and transparency frameworks of the regulations to students, prospective students, and their families.  The Department requires the reporting under the regulations to calculate D/E rates, as provided in §§668.404 and 668.405, and to calculate or determine many of the disclosure items, as provided in §668.413.  (</w:t>
      </w:r>
      <w:r w:rsidRPr="00A77EC8">
        <w:rPr>
          <w:rFonts w:ascii="Courier New" w:hAnsi="Courier New" w:cs="Courier New"/>
          <w:sz w:val="24"/>
          <w:szCs w:val="24"/>
          <w:u w:val="single"/>
        </w:rPr>
        <w:t>See</w:t>
      </w:r>
      <w:r>
        <w:rPr>
          <w:rFonts w:ascii="Courier New" w:hAnsi="Courier New" w:cs="Courier New"/>
          <w:sz w:val="24"/>
          <w:szCs w:val="24"/>
        </w:rPr>
        <w:t xml:space="preserve"> “§668.413  Calculating, Issuing, and Challenging Completion Rates, Withdrawal Rates, Repayment Rates, Median Loan Debt, Median Earnings, and Program Cohort Default Rate” for a discussion of the disclosure items that the Department will calculate.)  Although there is some overlap with current enrollment reporting and reporting for the purposes of the 150 percent Direct Subsidized Loan Limits, those data do not include award years prior to 2014-2015, nor do they include several data elements required for the calculation of D/E rates, including institutional debt, private education loan debt, tuition and fees, and allowance for books and supplies.  </w:t>
      </w:r>
    </w:p>
    <w:p w14:paraId="6329245F" w14:textId="77777777" w:rsidR="003528E5" w:rsidRDefault="003528E5" w:rsidP="003528E5">
      <w:pPr>
        <w:spacing w:after="0" w:line="480" w:lineRule="auto"/>
        <w:rPr>
          <w:rFonts w:ascii="Courier New" w:hAnsi="Courier New" w:cs="Courier New"/>
          <w:sz w:val="24"/>
          <w:szCs w:val="24"/>
        </w:rPr>
      </w:pPr>
      <w:r>
        <w:rPr>
          <w:rFonts w:ascii="Courier New" w:hAnsi="Courier New" w:cs="Courier New"/>
          <w:sz w:val="24"/>
          <w:szCs w:val="24"/>
        </w:rPr>
        <w:t xml:space="preserve">     We believe that our estimates of the burden of the reporting requirements are accurate.  As an initial matter, the commenters did not submit any data to show that the Department’s estimates are inaccurate.  The Department’s estimates are based on average anticipated costs and the actual burden may be higher for some institutions and lower for others.  Various factors, such as the sophistication of an institution’s systems, the size of the institution and the number of GE programs that it has, whether or not the institution’s operations are centralized, and whether the institution can update existing systems to meet the reporting requirements will affect the level of burden for any particular institution.  (</w:t>
      </w:r>
      <w:r w:rsidRPr="00121571">
        <w:rPr>
          <w:rFonts w:ascii="Courier New" w:hAnsi="Courier New"/>
          <w:sz w:val="24"/>
        </w:rPr>
        <w:t>See</w:t>
      </w:r>
      <w:r>
        <w:rPr>
          <w:rFonts w:ascii="Courier New" w:hAnsi="Courier New" w:cs="Courier New"/>
          <w:sz w:val="24"/>
          <w:szCs w:val="24"/>
        </w:rPr>
        <w:t xml:space="preserve"> </w:t>
      </w:r>
      <w:r w:rsidRPr="00053345">
        <w:rPr>
          <w:rFonts w:ascii="Courier New" w:hAnsi="Courier New" w:cs="Courier New"/>
          <w:sz w:val="24"/>
          <w:szCs w:val="24"/>
          <w:u w:val="single"/>
        </w:rPr>
        <w:t>Paperwork Reduction Act of 1995</w:t>
      </w:r>
      <w:r>
        <w:rPr>
          <w:rFonts w:ascii="Courier New" w:hAnsi="Courier New" w:cs="Courier New"/>
          <w:sz w:val="24"/>
          <w:szCs w:val="24"/>
        </w:rPr>
        <w:t xml:space="preserve"> for a more detailed discussion of the Department’s burden estimates</w:t>
      </w:r>
      <w:r w:rsidRPr="00B02B57">
        <w:rPr>
          <w:rFonts w:ascii="Courier New" w:hAnsi="Courier New"/>
          <w:sz w:val="24"/>
        </w:rPr>
        <w:t>.</w:t>
      </w:r>
      <w:r>
        <w:rPr>
          <w:rFonts w:ascii="Courier New" w:hAnsi="Courier New" w:cs="Courier New"/>
          <w:sz w:val="24"/>
          <w:szCs w:val="24"/>
        </w:rPr>
        <w:t xml:space="preserve">)    </w:t>
      </w:r>
    </w:p>
    <w:p w14:paraId="3C653810" w14:textId="77777777" w:rsidR="003528E5" w:rsidRDefault="003528E5" w:rsidP="003528E5">
      <w:pPr>
        <w:spacing w:after="0" w:line="480" w:lineRule="auto"/>
        <w:ind w:firstLine="720"/>
        <w:rPr>
          <w:rFonts w:ascii="Courier New" w:hAnsi="Courier New" w:cs="Courier New"/>
          <w:sz w:val="24"/>
          <w:szCs w:val="24"/>
        </w:rPr>
      </w:pPr>
      <w:r>
        <w:rPr>
          <w:rFonts w:ascii="Courier New" w:hAnsi="Courier New" w:cs="Courier New"/>
          <w:sz w:val="24"/>
          <w:szCs w:val="24"/>
        </w:rPr>
        <w:t>We</w:t>
      </w:r>
      <w:r w:rsidRPr="00724CB0">
        <w:rPr>
          <w:rFonts w:ascii="Courier New" w:hAnsi="Courier New" w:cs="Courier New"/>
          <w:sz w:val="24"/>
          <w:szCs w:val="24"/>
        </w:rPr>
        <w:t xml:space="preserve"> have not estimated </w:t>
      </w:r>
      <w:r>
        <w:rPr>
          <w:rFonts w:ascii="Courier New" w:hAnsi="Courier New" w:cs="Courier New"/>
          <w:sz w:val="24"/>
          <w:szCs w:val="24"/>
        </w:rPr>
        <w:t xml:space="preserve">whether or </w:t>
      </w:r>
      <w:r w:rsidRPr="00724CB0">
        <w:rPr>
          <w:rFonts w:ascii="Courier New" w:hAnsi="Courier New" w:cs="Courier New"/>
          <w:sz w:val="24"/>
          <w:szCs w:val="24"/>
        </w:rPr>
        <w:t xml:space="preserve">how many new personnel may be needed to </w:t>
      </w:r>
      <w:r>
        <w:rPr>
          <w:rFonts w:ascii="Courier New" w:hAnsi="Courier New" w:cs="Courier New"/>
          <w:sz w:val="24"/>
          <w:szCs w:val="24"/>
        </w:rPr>
        <w:t>comply with the reporting requirements</w:t>
      </w:r>
      <w:r w:rsidRPr="00724CB0">
        <w:rPr>
          <w:rFonts w:ascii="Courier New" w:hAnsi="Courier New" w:cs="Courier New"/>
          <w:sz w:val="24"/>
          <w:szCs w:val="24"/>
        </w:rPr>
        <w:t xml:space="preserve">.  </w:t>
      </w:r>
      <w:r>
        <w:rPr>
          <w:rFonts w:ascii="Courier New" w:hAnsi="Courier New" w:cs="Courier New"/>
          <w:sz w:val="24"/>
          <w:szCs w:val="24"/>
        </w:rPr>
        <w:t xml:space="preserve">Allocating resources to meet the reporting requirements </w:t>
      </w:r>
      <w:r w:rsidRPr="00724CB0">
        <w:rPr>
          <w:rFonts w:ascii="Courier New" w:hAnsi="Courier New" w:cs="Courier New"/>
          <w:sz w:val="24"/>
          <w:szCs w:val="24"/>
        </w:rPr>
        <w:t>is an individual institution</w:t>
      </w:r>
      <w:r>
        <w:rPr>
          <w:rFonts w:ascii="Courier New" w:hAnsi="Courier New" w:cs="Courier New"/>
          <w:sz w:val="24"/>
          <w:szCs w:val="24"/>
        </w:rPr>
        <w:t>’</w:t>
      </w:r>
      <w:r w:rsidRPr="00724CB0">
        <w:rPr>
          <w:rFonts w:ascii="Courier New" w:hAnsi="Courier New" w:cs="Courier New"/>
          <w:sz w:val="24"/>
          <w:szCs w:val="24"/>
        </w:rPr>
        <w:t xml:space="preserve">s administrative decision.  </w:t>
      </w:r>
      <w:r>
        <w:rPr>
          <w:rFonts w:ascii="Courier New" w:hAnsi="Courier New" w:cs="Courier New"/>
          <w:sz w:val="24"/>
          <w:szCs w:val="24"/>
        </w:rPr>
        <w:t>S</w:t>
      </w:r>
      <w:r w:rsidRPr="00724CB0">
        <w:rPr>
          <w:rFonts w:ascii="Courier New" w:hAnsi="Courier New" w:cs="Courier New"/>
          <w:sz w:val="24"/>
          <w:szCs w:val="24"/>
        </w:rPr>
        <w:t xml:space="preserve">ome institutions may </w:t>
      </w:r>
      <w:r>
        <w:rPr>
          <w:rFonts w:ascii="Courier New" w:hAnsi="Courier New" w:cs="Courier New"/>
          <w:sz w:val="24"/>
          <w:szCs w:val="24"/>
        </w:rPr>
        <w:t xml:space="preserve">need to </w:t>
      </w:r>
      <w:r w:rsidRPr="00724CB0">
        <w:rPr>
          <w:rFonts w:ascii="Courier New" w:hAnsi="Courier New" w:cs="Courier New"/>
          <w:sz w:val="24"/>
          <w:szCs w:val="24"/>
        </w:rPr>
        <w:t xml:space="preserve">hire </w:t>
      </w:r>
      <w:r>
        <w:rPr>
          <w:rFonts w:ascii="Courier New" w:hAnsi="Courier New" w:cs="Courier New"/>
          <w:sz w:val="24"/>
          <w:szCs w:val="24"/>
        </w:rPr>
        <w:t xml:space="preserve">new </w:t>
      </w:r>
      <w:r w:rsidRPr="00724CB0">
        <w:rPr>
          <w:rFonts w:ascii="Courier New" w:hAnsi="Courier New" w:cs="Courier New"/>
          <w:sz w:val="24"/>
          <w:szCs w:val="24"/>
        </w:rPr>
        <w:t>staff</w:t>
      </w:r>
      <w:r>
        <w:rPr>
          <w:rFonts w:ascii="Courier New" w:hAnsi="Courier New" w:cs="Courier New"/>
          <w:sz w:val="24"/>
          <w:szCs w:val="24"/>
        </w:rPr>
        <w:t>,</w:t>
      </w:r>
      <w:r w:rsidRPr="00724CB0">
        <w:rPr>
          <w:rFonts w:ascii="Courier New" w:hAnsi="Courier New" w:cs="Courier New"/>
          <w:sz w:val="24"/>
          <w:szCs w:val="24"/>
        </w:rPr>
        <w:t xml:space="preserve"> </w:t>
      </w:r>
      <w:r>
        <w:rPr>
          <w:rFonts w:ascii="Courier New" w:hAnsi="Courier New" w:cs="Courier New"/>
          <w:sz w:val="24"/>
          <w:szCs w:val="24"/>
        </w:rPr>
        <w:t>others will redirect</w:t>
      </w:r>
      <w:r w:rsidRPr="00724CB0">
        <w:rPr>
          <w:rFonts w:ascii="Courier New" w:hAnsi="Courier New" w:cs="Courier New"/>
          <w:sz w:val="24"/>
          <w:szCs w:val="24"/>
        </w:rPr>
        <w:t xml:space="preserve"> </w:t>
      </w:r>
      <w:r>
        <w:rPr>
          <w:rFonts w:ascii="Courier New" w:hAnsi="Courier New" w:cs="Courier New"/>
          <w:sz w:val="24"/>
          <w:szCs w:val="24"/>
        </w:rPr>
        <w:t xml:space="preserve">existing </w:t>
      </w:r>
      <w:r w:rsidRPr="00724CB0">
        <w:rPr>
          <w:rFonts w:ascii="Courier New" w:hAnsi="Courier New" w:cs="Courier New"/>
          <w:sz w:val="24"/>
          <w:szCs w:val="24"/>
        </w:rPr>
        <w:t>staff</w:t>
      </w:r>
      <w:r>
        <w:rPr>
          <w:rFonts w:ascii="Courier New" w:hAnsi="Courier New" w:cs="Courier New"/>
          <w:sz w:val="24"/>
          <w:szCs w:val="24"/>
        </w:rPr>
        <w:t>,</w:t>
      </w:r>
      <w:r w:rsidRPr="00724CB0">
        <w:rPr>
          <w:rFonts w:ascii="Courier New" w:hAnsi="Courier New" w:cs="Courier New"/>
          <w:sz w:val="24"/>
          <w:szCs w:val="24"/>
        </w:rPr>
        <w:t xml:space="preserve"> and still other</w:t>
      </w:r>
      <w:r>
        <w:rPr>
          <w:rFonts w:ascii="Courier New" w:hAnsi="Courier New" w:cs="Courier New"/>
          <w:sz w:val="24"/>
          <w:szCs w:val="24"/>
        </w:rPr>
        <w:t>s</w:t>
      </w:r>
      <w:r w:rsidRPr="00724CB0">
        <w:rPr>
          <w:rFonts w:ascii="Courier New" w:hAnsi="Courier New" w:cs="Courier New"/>
          <w:sz w:val="24"/>
          <w:szCs w:val="24"/>
        </w:rPr>
        <w:t xml:space="preserve"> will not </w:t>
      </w:r>
      <w:r>
        <w:rPr>
          <w:rFonts w:ascii="Courier New" w:hAnsi="Courier New" w:cs="Courier New"/>
          <w:sz w:val="24"/>
          <w:szCs w:val="24"/>
        </w:rPr>
        <w:t>need to make</w:t>
      </w:r>
      <w:r w:rsidRPr="00724CB0">
        <w:rPr>
          <w:rFonts w:ascii="Courier New" w:hAnsi="Courier New" w:cs="Courier New"/>
          <w:sz w:val="24"/>
          <w:szCs w:val="24"/>
        </w:rPr>
        <w:t xml:space="preserve"> staffing</w:t>
      </w:r>
      <w:r>
        <w:rPr>
          <w:rFonts w:ascii="Courier New" w:hAnsi="Courier New" w:cs="Courier New"/>
          <w:sz w:val="24"/>
          <w:szCs w:val="24"/>
        </w:rPr>
        <w:t xml:space="preserve"> changes because they have highly automated reporting systems</w:t>
      </w:r>
      <w:r w:rsidRPr="00724CB0">
        <w:rPr>
          <w:rFonts w:ascii="Courier New" w:hAnsi="Courier New" w:cs="Courier New"/>
          <w:sz w:val="24"/>
          <w:szCs w:val="24"/>
        </w:rPr>
        <w:t>. </w:t>
      </w:r>
    </w:p>
    <w:p w14:paraId="122498B4" w14:textId="77777777" w:rsidR="003528E5" w:rsidRPr="00C04E94" w:rsidRDefault="003528E5" w:rsidP="003528E5">
      <w:pPr>
        <w:spacing w:after="0" w:line="480" w:lineRule="auto"/>
        <w:ind w:firstLine="720"/>
        <w:rPr>
          <w:rFonts w:ascii="Courier New" w:hAnsi="Courier New" w:cs="Courier New"/>
          <w:sz w:val="24"/>
          <w:szCs w:val="24"/>
        </w:rPr>
      </w:pPr>
      <w:r>
        <w:rPr>
          <w:rFonts w:ascii="Courier New" w:hAnsi="Courier New" w:cs="Courier New"/>
          <w:sz w:val="24"/>
          <w:szCs w:val="24"/>
        </w:rPr>
        <w:t>In order to minimize burden, the Department will provide training to institutions on the new reporting requirements, provide a format for reporting, and, so that institutions have sufficient time to submit their data for the first reporting period, enable NSLDS to accept reporting from institutions beginning several months prior to the July 31, 2015, deadline.  Additionally, we will consider other ways to simplify our reporting systems.</w:t>
      </w:r>
      <w:r w:rsidRPr="00724CB0">
        <w:rPr>
          <w:rFonts w:eastAsiaTheme="minorHAnsi" w:cs="Calibri"/>
          <w:color w:val="1F497D"/>
        </w:rPr>
        <w:t xml:space="preserve"> </w:t>
      </w:r>
      <w:r>
        <w:rPr>
          <w:rFonts w:eastAsiaTheme="minorHAnsi" w:cs="Calibri"/>
          <w:color w:val="1F497D"/>
        </w:rPr>
        <w:t xml:space="preserve"> </w:t>
      </w:r>
    </w:p>
    <w:p w14:paraId="2102F188"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w:t>
      </w:r>
    </w:p>
    <w:p w14:paraId="08F8B478"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 xml:space="preserve">:  </w:t>
      </w:r>
      <w:r>
        <w:rPr>
          <w:rFonts w:ascii="Courier New" w:hAnsi="Courier New" w:cs="Courier New"/>
          <w:sz w:val="24"/>
          <w:szCs w:val="24"/>
        </w:rPr>
        <w:t>One</w:t>
      </w:r>
      <w:r w:rsidRPr="00C04E94">
        <w:rPr>
          <w:rFonts w:ascii="Courier New" w:hAnsi="Courier New" w:cs="Courier New"/>
          <w:sz w:val="24"/>
          <w:szCs w:val="24"/>
        </w:rPr>
        <w:t xml:space="preserve"> commenter recommended that institutions should only </w:t>
      </w:r>
      <w:r>
        <w:rPr>
          <w:rFonts w:ascii="Courier New" w:hAnsi="Courier New" w:cs="Courier New"/>
          <w:sz w:val="24"/>
          <w:szCs w:val="24"/>
        </w:rPr>
        <w:t>be required</w:t>
      </w:r>
      <w:r w:rsidRPr="00C04E94">
        <w:rPr>
          <w:rFonts w:ascii="Courier New" w:hAnsi="Courier New" w:cs="Courier New"/>
          <w:sz w:val="24"/>
          <w:szCs w:val="24"/>
        </w:rPr>
        <w:t xml:space="preserve"> to report data they have currently available in an electronic format.  The commenter believed that some institutions may not have</w:t>
      </w:r>
      <w:r>
        <w:rPr>
          <w:rFonts w:ascii="Courier New" w:hAnsi="Courier New" w:cs="Courier New"/>
          <w:sz w:val="24"/>
          <w:szCs w:val="24"/>
        </w:rPr>
        <w:t xml:space="preserve">, </w:t>
      </w:r>
      <w:r w:rsidRPr="00C04E94">
        <w:rPr>
          <w:rFonts w:ascii="Courier New" w:hAnsi="Courier New" w:cs="Courier New"/>
          <w:sz w:val="24"/>
          <w:szCs w:val="24"/>
        </w:rPr>
        <w:t>in easily accessible formats</w:t>
      </w:r>
      <w:r>
        <w:rPr>
          <w:rFonts w:ascii="Courier New" w:hAnsi="Courier New" w:cs="Courier New"/>
          <w:sz w:val="24"/>
          <w:szCs w:val="24"/>
        </w:rPr>
        <w:t>,</w:t>
      </w:r>
      <w:r w:rsidRPr="00C04E94">
        <w:rPr>
          <w:rFonts w:ascii="Courier New" w:hAnsi="Courier New" w:cs="Courier New"/>
          <w:sz w:val="24"/>
          <w:szCs w:val="24"/>
        </w:rPr>
        <w:t xml:space="preserve"> the older data that the Department would need to calculate rates in the first few years </w:t>
      </w:r>
      <w:r>
        <w:rPr>
          <w:rFonts w:ascii="Courier New" w:hAnsi="Courier New" w:cs="Courier New"/>
          <w:sz w:val="24"/>
          <w:szCs w:val="24"/>
        </w:rPr>
        <w:t xml:space="preserve">after implementation </w:t>
      </w:r>
      <w:r w:rsidRPr="00C04E94">
        <w:rPr>
          <w:rFonts w:ascii="Courier New" w:hAnsi="Courier New" w:cs="Courier New"/>
          <w:sz w:val="24"/>
          <w:szCs w:val="24"/>
        </w:rPr>
        <w:t>of the r</w:t>
      </w:r>
      <w:r>
        <w:rPr>
          <w:rFonts w:ascii="Courier New" w:hAnsi="Courier New" w:cs="Courier New"/>
          <w:sz w:val="24"/>
          <w:szCs w:val="24"/>
        </w:rPr>
        <w:t>egulations</w:t>
      </w:r>
      <w:r w:rsidRPr="00C04E94">
        <w:rPr>
          <w:rFonts w:ascii="Courier New" w:hAnsi="Courier New" w:cs="Courier New"/>
          <w:sz w:val="24"/>
          <w:szCs w:val="24"/>
        </w:rPr>
        <w:t xml:space="preserve"> due to migrations to new data systems and the rapid changes in student information systems</w:t>
      </w:r>
      <w:r>
        <w:rPr>
          <w:rFonts w:ascii="Courier New" w:hAnsi="Courier New" w:cs="Courier New"/>
          <w:sz w:val="24"/>
          <w:szCs w:val="24"/>
        </w:rPr>
        <w:t xml:space="preserve"> in recent years</w:t>
      </w:r>
      <w:r w:rsidRPr="00C04E94">
        <w:rPr>
          <w:rFonts w:ascii="Courier New" w:hAnsi="Courier New" w:cs="Courier New"/>
          <w:sz w:val="24"/>
          <w:szCs w:val="24"/>
        </w:rPr>
        <w:t>.</w:t>
      </w:r>
    </w:p>
    <w:p w14:paraId="48300CB3"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w:t>
      </w:r>
      <w:r w:rsidRPr="002A26EE">
        <w:rPr>
          <w:rFonts w:ascii="Courier New" w:hAnsi="Courier New" w:cs="Courier New"/>
          <w:sz w:val="24"/>
          <w:szCs w:val="24"/>
        </w:rPr>
        <w:t>In accordance with the record retenti</w:t>
      </w:r>
      <w:r>
        <w:rPr>
          <w:rFonts w:ascii="Courier New" w:hAnsi="Courier New" w:cs="Courier New"/>
          <w:sz w:val="24"/>
          <w:szCs w:val="24"/>
        </w:rPr>
        <w:t>on requirements under §668.24(e)</w:t>
      </w:r>
      <w:r w:rsidRPr="002A26EE">
        <w:rPr>
          <w:rFonts w:ascii="Courier New" w:hAnsi="Courier New" w:cs="Courier New"/>
          <w:sz w:val="24"/>
          <w:szCs w:val="24"/>
        </w:rPr>
        <w:t xml:space="preserve">, most institutions should have </w:t>
      </w:r>
      <w:r>
        <w:rPr>
          <w:rFonts w:ascii="Courier New" w:hAnsi="Courier New" w:cs="Courier New"/>
          <w:sz w:val="24"/>
          <w:szCs w:val="24"/>
        </w:rPr>
        <w:t xml:space="preserve">retained </w:t>
      </w:r>
      <w:r w:rsidRPr="002A26EE">
        <w:rPr>
          <w:rFonts w:ascii="Courier New" w:hAnsi="Courier New" w:cs="Courier New"/>
          <w:sz w:val="24"/>
          <w:szCs w:val="24"/>
        </w:rPr>
        <w:t>the information</w:t>
      </w:r>
      <w:r>
        <w:rPr>
          <w:rFonts w:ascii="Courier New" w:hAnsi="Courier New" w:cs="Courier New"/>
          <w:sz w:val="24"/>
          <w:szCs w:val="24"/>
        </w:rPr>
        <w:t xml:space="preserve"> regarding older cohorts of students that must be reported in the initial years of the regulations</w:t>
      </w:r>
      <w:r w:rsidRPr="002A26EE">
        <w:rPr>
          <w:rFonts w:ascii="Courier New" w:hAnsi="Courier New" w:cs="Courier New"/>
          <w:sz w:val="24"/>
          <w:szCs w:val="24"/>
        </w:rPr>
        <w:t xml:space="preserve">, even if </w:t>
      </w:r>
      <w:r>
        <w:rPr>
          <w:rFonts w:ascii="Courier New" w:hAnsi="Courier New" w:cs="Courier New"/>
          <w:sz w:val="24"/>
          <w:szCs w:val="24"/>
        </w:rPr>
        <w:t>the</w:t>
      </w:r>
      <w:r w:rsidRPr="002A26EE">
        <w:rPr>
          <w:rFonts w:ascii="Courier New" w:hAnsi="Courier New" w:cs="Courier New"/>
          <w:sz w:val="24"/>
          <w:szCs w:val="24"/>
        </w:rPr>
        <w:t xml:space="preserve"> data are maintained in </w:t>
      </w:r>
      <w:r>
        <w:rPr>
          <w:rFonts w:ascii="Courier New" w:hAnsi="Courier New" w:cs="Courier New"/>
          <w:sz w:val="24"/>
          <w:szCs w:val="24"/>
        </w:rPr>
        <w:t>multiple</w:t>
      </w:r>
      <w:r w:rsidRPr="002A26EE">
        <w:rPr>
          <w:rFonts w:ascii="Courier New" w:hAnsi="Courier New" w:cs="Courier New"/>
          <w:sz w:val="24"/>
          <w:szCs w:val="24"/>
        </w:rPr>
        <w:t xml:space="preserve"> systems or formats.  </w:t>
      </w:r>
      <w:r>
        <w:rPr>
          <w:rFonts w:ascii="Courier New" w:hAnsi="Courier New" w:cs="Courier New"/>
          <w:sz w:val="24"/>
          <w:szCs w:val="24"/>
        </w:rPr>
        <w:t>Further, m</w:t>
      </w:r>
      <w:r w:rsidRPr="002A26EE">
        <w:rPr>
          <w:rFonts w:ascii="Courier New" w:hAnsi="Courier New" w:cs="Courier New"/>
          <w:sz w:val="24"/>
          <w:szCs w:val="24"/>
        </w:rPr>
        <w:t xml:space="preserve">any institutions may have </w:t>
      </w:r>
      <w:r>
        <w:rPr>
          <w:rFonts w:ascii="Courier New" w:hAnsi="Courier New" w:cs="Courier New"/>
          <w:sz w:val="24"/>
          <w:szCs w:val="24"/>
        </w:rPr>
        <w:t>a policy of retaining</w:t>
      </w:r>
      <w:r w:rsidRPr="002A26EE">
        <w:rPr>
          <w:rFonts w:ascii="Courier New" w:hAnsi="Courier New" w:cs="Courier New"/>
          <w:sz w:val="24"/>
          <w:szCs w:val="24"/>
        </w:rPr>
        <w:t xml:space="preserve"> student records for longer periods, or do so </w:t>
      </w:r>
      <w:r>
        <w:rPr>
          <w:rFonts w:ascii="Courier New" w:hAnsi="Courier New" w:cs="Courier New"/>
          <w:sz w:val="24"/>
          <w:szCs w:val="24"/>
        </w:rPr>
        <w:t>as a result of</w:t>
      </w:r>
      <w:r w:rsidRPr="002A26EE">
        <w:rPr>
          <w:rFonts w:ascii="Courier New" w:hAnsi="Courier New" w:cs="Courier New"/>
          <w:sz w:val="24"/>
          <w:szCs w:val="24"/>
        </w:rPr>
        <w:t xml:space="preserve"> State or accredit</w:t>
      </w:r>
      <w:r>
        <w:rPr>
          <w:rFonts w:ascii="Courier New" w:hAnsi="Courier New" w:cs="Courier New"/>
          <w:sz w:val="24"/>
          <w:szCs w:val="24"/>
        </w:rPr>
        <w:t xml:space="preserve">or requirements.  Nonetheless, we understand that some institutions may no longer have records for years prior to the required retention period under §668.24(e).  Pursuant to the 2011 Final Rules, institutions were similarly required to report information from several years prior to the reporting deadline.  The vast majority of institutions were able to comply with the requirements of the 2011 Final Rules, and we again anticipate that cases where data are completely unavailable will be limited.  In those instances, an institution may, under §668.411, </w:t>
      </w:r>
      <w:r w:rsidRPr="00280162">
        <w:rPr>
          <w:rFonts w:ascii="Courier New" w:hAnsi="Courier New" w:cs="Courier New"/>
          <w:sz w:val="24"/>
          <w:szCs w:val="24"/>
        </w:rPr>
        <w:t>provide an explanation acceptable to the Secretary</w:t>
      </w:r>
      <w:r>
        <w:rPr>
          <w:rFonts w:ascii="Courier New" w:hAnsi="Courier New" w:cs="Courier New"/>
          <w:sz w:val="24"/>
          <w:szCs w:val="24"/>
        </w:rPr>
        <w:t xml:space="preserve"> for</w:t>
      </w:r>
      <w:r w:rsidRPr="00280162">
        <w:rPr>
          <w:rFonts w:ascii="Courier New" w:hAnsi="Courier New" w:cs="Courier New"/>
          <w:sz w:val="24"/>
          <w:szCs w:val="24"/>
        </w:rPr>
        <w:t xml:space="preserve"> </w:t>
      </w:r>
      <w:r>
        <w:rPr>
          <w:rFonts w:ascii="Courier New" w:hAnsi="Courier New" w:cs="Courier New"/>
          <w:sz w:val="24"/>
          <w:szCs w:val="24"/>
        </w:rPr>
        <w:t>the</w:t>
      </w:r>
      <w:r w:rsidRPr="00280162">
        <w:rPr>
          <w:rFonts w:ascii="Courier New" w:hAnsi="Courier New" w:cs="Courier New"/>
          <w:sz w:val="24"/>
          <w:szCs w:val="24"/>
        </w:rPr>
        <w:t xml:space="preserve"> institution</w:t>
      </w:r>
      <w:r>
        <w:rPr>
          <w:rFonts w:ascii="Courier New" w:hAnsi="Courier New" w:cs="Courier New"/>
          <w:sz w:val="24"/>
          <w:szCs w:val="24"/>
        </w:rPr>
        <w:t>’s</w:t>
      </w:r>
      <w:r w:rsidRPr="00280162">
        <w:rPr>
          <w:rFonts w:ascii="Courier New" w:hAnsi="Courier New" w:cs="Courier New"/>
          <w:sz w:val="24"/>
          <w:szCs w:val="24"/>
        </w:rPr>
        <w:t xml:space="preserve"> </w:t>
      </w:r>
      <w:r>
        <w:rPr>
          <w:rFonts w:ascii="Courier New" w:hAnsi="Courier New" w:cs="Courier New"/>
          <w:sz w:val="24"/>
          <w:szCs w:val="24"/>
        </w:rPr>
        <w:t>inability</w:t>
      </w:r>
      <w:r w:rsidRPr="00280162">
        <w:rPr>
          <w:rFonts w:ascii="Courier New" w:hAnsi="Courier New" w:cs="Courier New"/>
          <w:sz w:val="24"/>
          <w:szCs w:val="24"/>
        </w:rPr>
        <w:t xml:space="preserve"> to comply with </w:t>
      </w:r>
      <w:r>
        <w:rPr>
          <w:rFonts w:ascii="Courier New" w:hAnsi="Courier New" w:cs="Courier New"/>
          <w:sz w:val="24"/>
          <w:szCs w:val="24"/>
        </w:rPr>
        <w:t>part</w:t>
      </w:r>
      <w:r w:rsidRPr="00280162">
        <w:rPr>
          <w:rFonts w:ascii="Courier New" w:hAnsi="Courier New" w:cs="Courier New"/>
          <w:sz w:val="24"/>
          <w:szCs w:val="24"/>
        </w:rPr>
        <w:t xml:space="preserve"> of the reporting requirements</w:t>
      </w:r>
      <w:r>
        <w:rPr>
          <w:rFonts w:ascii="Courier New" w:hAnsi="Courier New" w:cs="Courier New"/>
          <w:sz w:val="24"/>
          <w:szCs w:val="24"/>
        </w:rPr>
        <w:t xml:space="preserve">.    </w:t>
      </w:r>
    </w:p>
    <w:p w14:paraId="76641633"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w:t>
      </w:r>
    </w:p>
    <w:p w14:paraId="78B4A74C" w14:textId="77777777"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Some commenters recommended adding an alpha-numeric program identifier as an optional reporting requirement so that institutions could report program information separately for individual program locations or formats (e.g. on-line program, part-time program, evening, or weekend program).  The commenters asserted that calculating the disclosure items separately in this way would give students and prospective students more meaningful information about program outcomes for their particular location or format. </w:t>
      </w:r>
    </w:p>
    <w:p w14:paraId="458309B7" w14:textId="1AD19585"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Although we will permit an institution to disaggregate some disclosure items, such as tuition and fees and the percentage of students who borrowed to attend the program by program length, location or format, other disclosures, such as the D/E rates and the items that the Department calculates for institutions under §668.413, will be made at the six-digit OPEID, CIP code, and credential level and may not be disaggregated.  Therefore, adding this optional reporting field is unnecessary.  </w:t>
      </w:r>
      <w:r w:rsidRPr="00A77EC8">
        <w:rPr>
          <w:rFonts w:ascii="Courier New" w:hAnsi="Courier New" w:cs="Courier New"/>
          <w:sz w:val="24"/>
          <w:szCs w:val="24"/>
          <w:u w:val="single"/>
        </w:rPr>
        <w:t>See</w:t>
      </w:r>
      <w:r>
        <w:rPr>
          <w:rFonts w:ascii="Courier New" w:hAnsi="Courier New" w:cs="Courier New"/>
          <w:sz w:val="24"/>
          <w:szCs w:val="24"/>
        </w:rPr>
        <w:t xml:space="preserve"> “§668.412  Disclosure R</w:t>
      </w:r>
      <w:r w:rsidRPr="00417764">
        <w:rPr>
          <w:rFonts w:ascii="Courier New" w:hAnsi="Courier New" w:cs="Courier New"/>
          <w:sz w:val="24"/>
          <w:szCs w:val="24"/>
        </w:rPr>
        <w:t>equirements</w:t>
      </w:r>
      <w:r>
        <w:rPr>
          <w:rFonts w:ascii="Courier New" w:hAnsi="Courier New" w:cs="Courier New"/>
          <w:sz w:val="24"/>
          <w:szCs w:val="24"/>
        </w:rPr>
        <w:t xml:space="preserve"> for GE P</w:t>
      </w:r>
      <w:r w:rsidRPr="00417764">
        <w:rPr>
          <w:rFonts w:ascii="Courier New" w:hAnsi="Courier New" w:cs="Courier New"/>
          <w:sz w:val="24"/>
          <w:szCs w:val="24"/>
        </w:rPr>
        <w:t>rograms</w:t>
      </w:r>
      <w:r>
        <w:rPr>
          <w:rFonts w:ascii="Courier New" w:hAnsi="Courier New" w:cs="Courier New"/>
          <w:sz w:val="24"/>
          <w:szCs w:val="24"/>
        </w:rPr>
        <w:t xml:space="preserve">” for a more detailed discussion of whether and when an institution may disaggregate its disclosures. </w:t>
      </w:r>
    </w:p>
    <w:p w14:paraId="4F189C1A"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w:t>
      </w:r>
    </w:p>
    <w:p w14:paraId="7E297D7D"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Some commenters requested clarification and additional information about how institutions should report and track students’ enrollment in GE programs.  They noted that students often switch programs mid-course or enroll in multiple programs at once, particularly at community colleges.  </w:t>
      </w:r>
    </w:p>
    <w:p w14:paraId="18C021C5" w14:textId="77777777" w:rsidR="003528E5" w:rsidRPr="00C04E94"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We intend to revise the </w:t>
      </w:r>
      <w:r w:rsidRPr="00AE25FF">
        <w:rPr>
          <w:rFonts w:ascii="Courier New" w:hAnsi="Courier New" w:cs="Courier New"/>
          <w:sz w:val="24"/>
          <w:szCs w:val="24"/>
        </w:rPr>
        <w:t>GE Operations Manual</w:t>
      </w:r>
      <w:r>
        <w:rPr>
          <w:rFonts w:ascii="Courier New" w:hAnsi="Courier New" w:cs="Courier New"/>
          <w:sz w:val="24"/>
          <w:szCs w:val="24"/>
        </w:rPr>
        <w:t xml:space="preserve"> and the </w:t>
      </w:r>
      <w:r w:rsidRPr="00AE25FF">
        <w:rPr>
          <w:rFonts w:ascii="Courier New" w:hAnsi="Courier New" w:cs="Courier New"/>
          <w:sz w:val="24"/>
          <w:szCs w:val="24"/>
        </w:rPr>
        <w:t>NSLDS GE User Guide</w:t>
      </w:r>
      <w:r>
        <w:rPr>
          <w:rFonts w:ascii="Courier New" w:hAnsi="Courier New" w:cs="Courier New"/>
          <w:sz w:val="24"/>
          <w:szCs w:val="24"/>
        </w:rPr>
        <w:t xml:space="preserve"> to reflect the regulations.  In updating these resources, we will provide additional guidance on tracking student enrollment.  Additionally, we will provide ongoing technical support to institutions regarding compliance with the reporting requirements. </w:t>
      </w:r>
    </w:p>
    <w:p w14:paraId="1DDC31B3" w14:textId="77777777" w:rsidR="003528E5" w:rsidRDefault="003528E5" w:rsidP="003528E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w:t>
      </w:r>
    </w:p>
    <w:p w14:paraId="236B5D2C" w14:textId="77777777" w:rsidR="003528E5" w:rsidRDefault="003528E5" w:rsidP="003528E5">
      <w:pPr>
        <w:spacing w:after="0" w:line="480" w:lineRule="auto"/>
        <w:rPr>
          <w:rFonts w:ascii="Courier New" w:hAnsi="Courier New" w:cs="Courier New"/>
          <w:sz w:val="24"/>
          <w:szCs w:val="24"/>
        </w:rPr>
      </w:pPr>
      <w:r w:rsidRPr="008562A0">
        <w:rPr>
          <w:rFonts w:ascii="Courier New" w:hAnsi="Courier New"/>
          <w:sz w:val="24"/>
          <w:u w:val="single"/>
        </w:rPr>
        <w:t>Comments</w:t>
      </w:r>
      <w:r>
        <w:rPr>
          <w:rFonts w:ascii="Courier New" w:hAnsi="Courier New" w:cs="Courier New"/>
          <w:sz w:val="24"/>
          <w:szCs w:val="24"/>
        </w:rPr>
        <w:t xml:space="preserve">:  One commenter argued that the reporting requirements in §668.411 would violate section 134 of the HEA (20 U.S.C. 1015c), which prohibits the creation of new student unit record databases.  The commenter asserted that the new requirements under the regulations for institutions to report private education loan data and other personal data on individuals who receive title IV, HEA program funds and for the Department to retain this newly required data in NSLDS would constitute such a drastic expansion of NSLDS as to constitute a new database in violation of the statutory prohibition against such an expansion of an existing database.  </w:t>
      </w:r>
      <w:r w:rsidRPr="008562A0">
        <w:rPr>
          <w:rFonts w:ascii="Courier New" w:hAnsi="Courier New"/>
          <w:sz w:val="24"/>
          <w:u w:val="single"/>
        </w:rPr>
        <w:t>APSCU v. Duncan</w:t>
      </w:r>
      <w:r>
        <w:rPr>
          <w:rFonts w:ascii="Courier New" w:hAnsi="Courier New" w:cs="Courier New"/>
          <w:sz w:val="24"/>
          <w:szCs w:val="24"/>
        </w:rPr>
        <w:t>, 930 F.Supp.2d at 220, 221.  The commenter further contended that the Department has the burden of proving that gathering personally identifiable information pursuant to these regulations does not create a new database under section 134 of the HEA even if that collection were limited to data on individuals receiving title IV, HEA program funds.</w:t>
      </w:r>
    </w:p>
    <w:p w14:paraId="68E21CDA" w14:textId="77777777" w:rsidR="003528E5" w:rsidRDefault="003528E5" w:rsidP="003528E5">
      <w:pPr>
        <w:spacing w:after="0" w:line="480" w:lineRule="auto"/>
        <w:rPr>
          <w:rFonts w:ascii="Courier New" w:hAnsi="Courier New" w:cs="Courier New"/>
          <w:sz w:val="24"/>
          <w:szCs w:val="24"/>
        </w:rPr>
      </w:pPr>
      <w:r w:rsidRPr="008562A0">
        <w:rPr>
          <w:rFonts w:ascii="Courier New" w:hAnsi="Courier New"/>
          <w:sz w:val="24"/>
          <w:u w:val="single"/>
        </w:rPr>
        <w:t>Discussion</w:t>
      </w:r>
      <w:r>
        <w:rPr>
          <w:rFonts w:ascii="Courier New" w:hAnsi="Courier New" w:cs="Courier New"/>
          <w:sz w:val="24"/>
          <w:szCs w:val="24"/>
        </w:rPr>
        <w:t xml:space="preserve">:  As explained previously, in response to the court’s interpretation of relevant law in </w:t>
      </w:r>
      <w:r w:rsidRPr="008562A0">
        <w:rPr>
          <w:rFonts w:ascii="Courier New" w:hAnsi="Courier New" w:cs="Courier New"/>
          <w:sz w:val="24"/>
          <w:szCs w:val="24"/>
          <w:u w:val="single"/>
        </w:rPr>
        <w:t>APSCU v.</w:t>
      </w:r>
      <w:r w:rsidRPr="008562A0">
        <w:rPr>
          <w:rFonts w:ascii="Courier New" w:hAnsi="Courier New"/>
          <w:sz w:val="24"/>
          <w:u w:val="single"/>
        </w:rPr>
        <w:t xml:space="preserve"> Duncan</w:t>
      </w:r>
      <w:r>
        <w:rPr>
          <w:rFonts w:ascii="Courier New" w:hAnsi="Courier New" w:cs="Courier New"/>
          <w:sz w:val="24"/>
          <w:szCs w:val="24"/>
        </w:rPr>
        <w:t>, the Department has changed the reporting and accountability determinations in these regulations such that they pertain only to individuals receiving title IV, HEA program funds.  The 2011 Prior Rule required institutions to report data on all individuals enrolled in a GE program, including those who did not receive title IV, HEA program funds; the Department retained that data in NSLDS.  The court found that retaining data on individuals who did not receive title IV, HEA program funds was an improper creation of a new database.</w:t>
      </w:r>
      <w:r>
        <w:rPr>
          <w:rStyle w:val="FootnoteReference"/>
          <w:rFonts w:ascii="Courier New" w:hAnsi="Courier New"/>
          <w:sz w:val="24"/>
          <w:szCs w:val="24"/>
        </w:rPr>
        <w:footnoteReference w:id="180"/>
      </w:r>
      <w:r>
        <w:rPr>
          <w:rFonts w:ascii="Courier New" w:hAnsi="Courier New" w:cs="Courier New"/>
          <w:sz w:val="24"/>
          <w:szCs w:val="24"/>
        </w:rPr>
        <w:t xml:space="preserve">  Importantly, the court disavowed any view that it was ruling that 20 U.S.C. 1015c barred the Department from gathering and retaining in NSLDS new data not previously collected on individuals who received title IV, HEA program funds.  Accordingly, the commenter’s assertion that the court considered 20 U.S.C. 1015c to bar the addition of new data to NSLDS on individuals receiving title IV, HEA funds is unsupportable.  </w:t>
      </w:r>
    </w:p>
    <w:p w14:paraId="4579B60E" w14:textId="098B8B61" w:rsidR="003528E5" w:rsidRDefault="003528E5" w:rsidP="003528E5">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objection that the Department fails to demonstrate that adding to the NSLDS new data title IV, HEA program funds recipients does not create a new database disregards the essential purposes for gathering this added data: </w:t>
      </w:r>
      <w:r w:rsidR="00AD4E49">
        <w:rPr>
          <w:rFonts w:ascii="Courier New" w:hAnsi="Courier New" w:cs="Courier New"/>
          <w:sz w:val="24"/>
          <w:szCs w:val="24"/>
        </w:rPr>
        <w:t xml:space="preserve"> </w:t>
      </w:r>
      <w:r>
        <w:rPr>
          <w:rFonts w:ascii="Courier New" w:hAnsi="Courier New" w:cs="Courier New"/>
          <w:sz w:val="24"/>
          <w:szCs w:val="24"/>
        </w:rPr>
        <w:t>to determine GE program eligibility, and to provide “accurate and comparable information</w:t>
      </w:r>
      <w:r w:rsidR="00C26145">
        <w:rPr>
          <w:rFonts w:ascii="Courier New" w:hAnsi="Courier New" w:cs="Courier New"/>
          <w:sz w:val="24"/>
          <w:szCs w:val="24"/>
        </w:rPr>
        <w:t>”</w:t>
      </w:r>
      <w:r>
        <w:rPr>
          <w:rFonts w:ascii="Courier New" w:hAnsi="Courier New" w:cs="Courier New"/>
          <w:sz w:val="24"/>
          <w:szCs w:val="24"/>
        </w:rPr>
        <w:t xml:space="preserve"> to </w:t>
      </w:r>
      <w:r w:rsidR="00C26145">
        <w:rPr>
          <w:rFonts w:ascii="Courier New" w:hAnsi="Courier New" w:cs="Courier New"/>
          <w:sz w:val="24"/>
          <w:szCs w:val="24"/>
        </w:rPr>
        <w:t>“</w:t>
      </w:r>
      <w:r>
        <w:rPr>
          <w:rFonts w:ascii="Courier New" w:hAnsi="Courier New" w:cs="Courier New"/>
          <w:sz w:val="24"/>
          <w:szCs w:val="24"/>
        </w:rPr>
        <w:t xml:space="preserve">students, prospective students, and their </w:t>
      </w:r>
      <w:r w:rsidR="00C26145">
        <w:rPr>
          <w:rFonts w:ascii="Courier New" w:hAnsi="Courier New" w:cs="Courier New"/>
          <w:sz w:val="24"/>
          <w:szCs w:val="24"/>
        </w:rPr>
        <w:t>families</w:t>
      </w:r>
      <w:r>
        <w:rPr>
          <w:rFonts w:ascii="Courier New" w:hAnsi="Courier New" w:cs="Courier New"/>
          <w:sz w:val="24"/>
          <w:szCs w:val="24"/>
        </w:rPr>
        <w:t xml:space="preserve">.”  79 FR </w:t>
      </w:r>
      <w:r w:rsidR="00C26145">
        <w:rPr>
          <w:rFonts w:ascii="Courier New" w:hAnsi="Courier New" w:cs="Courier New"/>
          <w:sz w:val="24"/>
          <w:szCs w:val="24"/>
        </w:rPr>
        <w:t xml:space="preserve">16426, </w:t>
      </w:r>
      <w:r>
        <w:rPr>
          <w:rFonts w:ascii="Courier New" w:hAnsi="Courier New" w:cs="Courier New"/>
          <w:sz w:val="24"/>
          <w:szCs w:val="24"/>
        </w:rPr>
        <w:t xml:space="preserve">16488.  Each of these objectives is distinct, and therefore the Department intended each to operate if the other were found to be unenforceable.  </w:t>
      </w:r>
      <w:r w:rsidRPr="009B56AE">
        <w:rPr>
          <w:rFonts w:ascii="Courier New" w:hAnsi="Courier New"/>
          <w:sz w:val="24"/>
          <w:u w:val="single"/>
        </w:rPr>
        <w:t>Id</w:t>
      </w:r>
      <w:r>
        <w:rPr>
          <w:rFonts w:ascii="Courier New" w:hAnsi="Courier New" w:cs="Courier New"/>
          <w:sz w:val="24"/>
          <w:szCs w:val="24"/>
        </w:rPr>
        <w:t>.  Section 134 of the HEA allows us to use current NSLDS data, and to add data to NSLDS, for both purposes under section 134 because both are “necessary for the operation of programs authorized by . . . title.”  20 U.S.C. 1015c(b)(1).  Section 134 does not define what uses are “necessary for operation of the title IV programs,” nor does the HEA statute articulate a list of those functions for which the Department can use NSLDS.  Whether a use is “necessary” is left to the Department’s discretion, in light of statutory mandates, duly-authorized regulations, or simple practical necessity.  For example, from its inception in 1993, the Department has used NSLDS as to determine institutional eligibility by reason of an institution’s CDR, a purpose almost identical to determining GE program eligibility.  Nothing in section 435 of the HEA, which controls calculation of iCDR, mentions NSLDS or directs the Department to use NSLDS to calculate iCDR.  Nevertheless, the Department has consistently used NSLDS to calculate iCDR for purposes of section 435(a).  Similarly, the Department has by regulation since 1989 terminated eligibility of an institution with a single year iCDR exceeding 40 percent or more.  34 CFR 668.</w:t>
      </w:r>
      <w:r w:rsidR="0048583B">
        <w:rPr>
          <w:rFonts w:ascii="Courier New" w:hAnsi="Courier New" w:cs="Courier New"/>
          <w:sz w:val="24"/>
          <w:szCs w:val="24"/>
        </w:rPr>
        <w:t>206</w:t>
      </w:r>
      <w:r>
        <w:rPr>
          <w:rFonts w:ascii="Courier New" w:hAnsi="Courier New" w:cs="Courier New"/>
          <w:sz w:val="24"/>
          <w:szCs w:val="24"/>
        </w:rPr>
        <w:t>(</w:t>
      </w:r>
      <w:r w:rsidR="0048583B">
        <w:rPr>
          <w:rFonts w:ascii="Courier New" w:hAnsi="Courier New" w:cs="Courier New"/>
          <w:sz w:val="24"/>
          <w:szCs w:val="24"/>
        </w:rPr>
        <w:t>a</w:t>
      </w:r>
      <w:r>
        <w:rPr>
          <w:rFonts w:ascii="Courier New" w:hAnsi="Courier New" w:cs="Courier New"/>
          <w:sz w:val="24"/>
          <w:szCs w:val="24"/>
        </w:rPr>
        <w:t xml:space="preserve">)(1), 54 FR </w:t>
      </w:r>
      <w:r w:rsidR="00C26145">
        <w:rPr>
          <w:rFonts w:ascii="Courier New" w:hAnsi="Courier New" w:cs="Courier New"/>
          <w:sz w:val="24"/>
          <w:szCs w:val="24"/>
        </w:rPr>
        <w:t xml:space="preserve">24114, </w:t>
      </w:r>
      <w:r>
        <w:rPr>
          <w:rFonts w:ascii="Courier New" w:hAnsi="Courier New" w:cs="Courier New"/>
          <w:sz w:val="24"/>
          <w:szCs w:val="24"/>
        </w:rPr>
        <w:t xml:space="preserve">24116 (June 5, 1989).  The Department has used NSLDS for that regulatory eligibility determination as well.  </w:t>
      </w:r>
      <w:r w:rsidRPr="00A77EC8">
        <w:rPr>
          <w:rFonts w:ascii="Courier New" w:hAnsi="Courier New" w:cs="Courier New"/>
          <w:sz w:val="24"/>
          <w:szCs w:val="24"/>
          <w:u w:val="single"/>
        </w:rPr>
        <w:t>See</w:t>
      </w:r>
      <w:r>
        <w:rPr>
          <w:rFonts w:ascii="Courier New" w:hAnsi="Courier New" w:cs="Courier New"/>
          <w:sz w:val="24"/>
          <w:szCs w:val="24"/>
        </w:rPr>
        <w:t xml:space="preserve"> Notice of a New System of Records, 59 FR 65532 (Dec. 20, 1994) 18-40-0039, Purpose (2), Routine Use (a)(2).</w:t>
      </w:r>
      <w:r>
        <w:rPr>
          <w:rStyle w:val="FootnoteReference"/>
          <w:rFonts w:ascii="Courier New" w:hAnsi="Courier New"/>
          <w:sz w:val="24"/>
          <w:szCs w:val="24"/>
        </w:rPr>
        <w:footnoteReference w:id="181"/>
      </w:r>
      <w:r>
        <w:rPr>
          <w:rFonts w:ascii="Courier New" w:hAnsi="Courier New" w:cs="Courier New"/>
          <w:sz w:val="24"/>
          <w:szCs w:val="24"/>
        </w:rPr>
        <w:t xml:space="preserve">  Accordingly, use of NSLDS data to determine programmatic eligibility under these regulations involves the identical kind of eligibility determination as the iCDR determination process used for NSLDS over the past 20 years.  Section 485 of the HEA authorizes the Department to maintain in NSLDS information that “shall include (but is not limited to) . . . the </w:t>
      </w:r>
      <w:r w:rsidR="00C26145">
        <w:rPr>
          <w:rFonts w:ascii="Courier New" w:hAnsi="Courier New" w:cs="Courier New"/>
          <w:sz w:val="24"/>
          <w:szCs w:val="24"/>
        </w:rPr>
        <w:t>eligible</w:t>
      </w:r>
      <w:r>
        <w:rPr>
          <w:rFonts w:ascii="Courier New" w:hAnsi="Courier New" w:cs="Courier New"/>
          <w:sz w:val="24"/>
          <w:szCs w:val="24"/>
        </w:rPr>
        <w:t xml:space="preserve"> institution in which the student was enrolled. . .”  20 U.S.C. 1092b(a)(6).  Because the court upheld the Department’s authority to determine whether a program in fact prepared students for gainful employment, the Department is adding data to the existing NSLDS database as needed to make a programmatic eligibility determination.  Adding data regarding recipients of title IV student financial assistance in order to make this eligibility determination does not change NSLDS into a new database.  </w:t>
      </w:r>
    </w:p>
    <w:p w14:paraId="694A0F46" w14:textId="727B2357" w:rsidR="003528E5" w:rsidRDefault="003528E5" w:rsidP="003528E5">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Court further concluded that requiring disclosures was well within the Department’s authority.  </w:t>
      </w:r>
      <w:r w:rsidRPr="001E1482">
        <w:rPr>
          <w:rFonts w:ascii="Courier New" w:hAnsi="Courier New" w:cs="Courier New"/>
          <w:sz w:val="24"/>
          <w:szCs w:val="24"/>
          <w:u w:val="single"/>
        </w:rPr>
        <w:t>APSCU v. Duncan</w:t>
      </w:r>
      <w:r>
        <w:rPr>
          <w:rFonts w:ascii="Courier New" w:hAnsi="Courier New" w:cs="Courier New"/>
          <w:sz w:val="24"/>
          <w:szCs w:val="24"/>
        </w:rPr>
        <w:t xml:space="preserve">, 870 F.Supp.2d at 156.  Doing so is, in the judgment of the Department, necessary for the </w:t>
      </w:r>
      <w:r w:rsidR="001933B1">
        <w:rPr>
          <w:rFonts w:ascii="Courier New" w:hAnsi="Courier New" w:cs="Courier New"/>
          <w:sz w:val="24"/>
          <w:szCs w:val="24"/>
        </w:rPr>
        <w:t xml:space="preserve">operation of the title IV, HEA </w:t>
      </w:r>
      <w:r>
        <w:rPr>
          <w:rFonts w:ascii="Courier New" w:hAnsi="Courier New" w:cs="Courier New"/>
          <w:sz w:val="24"/>
          <w:szCs w:val="24"/>
        </w:rPr>
        <w:t xml:space="preserve">programs.  Adding data on individuals who have received title IV, HEA program funds to NSLDS in order to facilitate these disclosures similarly does not change NSLDS into a new database. </w:t>
      </w:r>
    </w:p>
    <w:p w14:paraId="5938E89D" w14:textId="77777777" w:rsidR="003528E5" w:rsidRDefault="003528E5" w:rsidP="003528E5">
      <w:pPr>
        <w:spacing w:after="0" w:line="480" w:lineRule="auto"/>
        <w:rPr>
          <w:rFonts w:ascii="Courier New" w:hAnsi="Courier New" w:cs="Courier New"/>
          <w:sz w:val="24"/>
          <w:szCs w:val="24"/>
        </w:rPr>
      </w:pPr>
      <w:r w:rsidRPr="00A77EC8">
        <w:rPr>
          <w:rFonts w:ascii="Courier New" w:hAnsi="Courier New" w:cs="Courier New"/>
          <w:sz w:val="24"/>
          <w:szCs w:val="24"/>
          <w:u w:val="single"/>
        </w:rPr>
        <w:t>Changes</w:t>
      </w:r>
      <w:r>
        <w:rPr>
          <w:rFonts w:ascii="Courier New" w:hAnsi="Courier New" w:cs="Courier New"/>
          <w:sz w:val="24"/>
          <w:szCs w:val="24"/>
        </w:rPr>
        <w:t>:  None.</w:t>
      </w:r>
    </w:p>
    <w:p w14:paraId="40B45CCC" w14:textId="77777777" w:rsidR="001168B5" w:rsidRDefault="001168B5" w:rsidP="001168B5">
      <w:pPr>
        <w:pStyle w:val="Heading1"/>
      </w:pPr>
      <w:r>
        <w:t>§668.412  Disclosure Requirements for GE Programs</w:t>
      </w:r>
    </w:p>
    <w:p w14:paraId="6258CDC2" w14:textId="77777777" w:rsidR="001168B5" w:rsidRPr="00251D2F" w:rsidRDefault="001168B5" w:rsidP="001168B5">
      <w:pPr>
        <w:spacing w:after="0" w:line="480" w:lineRule="auto"/>
        <w:rPr>
          <w:rFonts w:ascii="Courier New" w:hAnsi="Courier New" w:cs="Courier New"/>
          <w:sz w:val="24"/>
          <w:szCs w:val="24"/>
          <w:u w:val="single"/>
        </w:rPr>
      </w:pPr>
      <w:r>
        <w:rPr>
          <w:rFonts w:ascii="Courier New" w:hAnsi="Courier New" w:cs="Courier New"/>
          <w:sz w:val="24"/>
          <w:szCs w:val="24"/>
          <w:u w:val="single"/>
        </w:rPr>
        <w:t>General</w:t>
      </w:r>
    </w:p>
    <w:p w14:paraId="03DA688B" w14:textId="026F4466" w:rsidR="001168B5" w:rsidRPr="00C04E94" w:rsidRDefault="001168B5" w:rsidP="001168B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Several commenters recommended that the Department include some but not all of the proposed disclosure items in the final regulations.  They argued that including all of the information would overwhelm students.  Although commenters identified varying disclosure items that they believed prospective and enrolled students would find most helpful, they generally agreed that the most critical information for students includes information about how long it takes to complete a program, how much the program costs, the likelihood that students would find employment in their field of study, and their likely earnings in that field.  </w:t>
      </w:r>
      <w:r w:rsidR="00AE46E1">
        <w:rPr>
          <w:rFonts w:ascii="Courier New" w:hAnsi="Courier New" w:cs="Courier New"/>
          <w:sz w:val="24"/>
          <w:szCs w:val="24"/>
        </w:rPr>
        <w:t>Another commenter suggested that the Department survey students about the types of information they would find helpful in choosing an academic program or college.</w:t>
      </w:r>
    </w:p>
    <w:p w14:paraId="6CE94089" w14:textId="77777777" w:rsidR="001168B5" w:rsidRPr="00C04E94" w:rsidRDefault="001168B5" w:rsidP="001168B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We believe that all of the proposed disclosures would provide useful and relevant information to prospective and enrolled students.  However, we agree with the commenters that it is critical to provide prospective and enrolled students with the information that they would find most helpful in evaluating a program when determining whether to enroll or to continue in the program.  As we discussed in the NPRM, we do not intend to include all of the disclosure items listed in §668.412 on the disclosure template each year.  We will use consumer testing to identify a subset of possible disclosure items that will be most meaningful for students. </w:t>
      </w:r>
    </w:p>
    <w:p w14:paraId="4B5DAFC5" w14:textId="77777777" w:rsidR="001168B5" w:rsidRDefault="001168B5" w:rsidP="001168B5">
      <w:pPr>
        <w:spacing w:after="0" w:line="480" w:lineRule="auto"/>
        <w:rPr>
          <w:rFonts w:ascii="Courier New" w:hAnsi="Courier New" w:cs="Courier New"/>
          <w:sz w:val="24"/>
          <w:szCs w:val="24"/>
        </w:rPr>
      </w:pPr>
      <w:r w:rsidRPr="00C04E94">
        <w:rPr>
          <w:rFonts w:ascii="Courier New" w:hAnsi="Courier New" w:cs="Courier New"/>
          <w:sz w:val="24"/>
          <w:szCs w:val="24"/>
          <w:u w:val="single"/>
        </w:rPr>
        <w:t>Changes</w:t>
      </w:r>
      <w:r w:rsidRPr="00C04E94">
        <w:rPr>
          <w:rFonts w:ascii="Courier New" w:hAnsi="Courier New" w:cs="Courier New"/>
          <w:sz w:val="24"/>
          <w:szCs w:val="24"/>
        </w:rPr>
        <w:t>:</w:t>
      </w:r>
      <w:r>
        <w:rPr>
          <w:rFonts w:ascii="Courier New" w:hAnsi="Courier New" w:cs="Courier New"/>
          <w:sz w:val="24"/>
          <w:szCs w:val="24"/>
        </w:rPr>
        <w:t xml:space="preserve">  None.  </w:t>
      </w:r>
    </w:p>
    <w:p w14:paraId="642CF6E6" w14:textId="77777777" w:rsidR="001168B5" w:rsidRPr="00C04E94" w:rsidRDefault="001168B5" w:rsidP="001168B5">
      <w:pPr>
        <w:spacing w:after="0" w:line="480" w:lineRule="auto"/>
        <w:rPr>
          <w:rFonts w:ascii="Courier New" w:hAnsi="Courier New" w:cs="Courier New"/>
          <w:sz w:val="24"/>
          <w:szCs w:val="24"/>
        </w:rPr>
      </w:pPr>
      <w:r w:rsidRPr="00C04E94">
        <w:rPr>
          <w:rFonts w:ascii="Courier New" w:hAnsi="Courier New" w:cs="Courier New"/>
          <w:sz w:val="24"/>
          <w:szCs w:val="24"/>
          <w:u w:val="single"/>
        </w:rPr>
        <w:t>Comments</w:t>
      </w:r>
      <w:r w:rsidRPr="00C04E94">
        <w:rPr>
          <w:rFonts w:ascii="Courier New" w:hAnsi="Courier New" w:cs="Courier New"/>
          <w:sz w:val="24"/>
          <w:szCs w:val="24"/>
        </w:rPr>
        <w:t>:</w:t>
      </w:r>
      <w:r>
        <w:rPr>
          <w:rFonts w:ascii="Courier New" w:hAnsi="Courier New" w:cs="Courier New"/>
          <w:sz w:val="24"/>
          <w:szCs w:val="24"/>
        </w:rPr>
        <w:t xml:space="preserve">  Several commenters supported having robust disclosures, and they recommended requiring additional disclosures on the disclosure template.  In particular, commenters recommended requiring institutions to disclose the names and qualifications of a program’s instructors, the institution’s most recent accreditation findings (e.g., self-studies, accreditation visiting team action reports and action letters), compliance audits, financial statements, and the institution’s application for Federal funds to the Department.  Commenters also recommended that the Department post each institution’s program participation agreement (PPA) online for public inspection or, at a minimum, require institutions to publicly post the GE-related portions of the institution’s PPA so that the public can review the information regarding its GE programs certified by the institution under §668.414.  Some of the commenters argued that even robust disclosures would be inadequate to protect consumers and that the disclosures should work in conjunction with other substantive protections like strong debt metrics and certification requirements, provisions for borrower relief, and enrollment caps.  </w:t>
      </w:r>
    </w:p>
    <w:p w14:paraId="2C08C9B2" w14:textId="77777777" w:rsidR="001168B5" w:rsidRDefault="001168B5" w:rsidP="001168B5">
      <w:pPr>
        <w:spacing w:after="0" w:line="480" w:lineRule="auto"/>
        <w:rPr>
          <w:rFonts w:ascii="Courier New" w:hAnsi="Courier New" w:cs="Courier New"/>
          <w:sz w:val="24"/>
          <w:szCs w:val="24"/>
        </w:rPr>
      </w:pPr>
      <w:r w:rsidRPr="00C04E94">
        <w:rPr>
          <w:rFonts w:ascii="Courier New" w:hAnsi="Courier New" w:cs="Courier New"/>
          <w:sz w:val="24"/>
          <w:szCs w:val="24"/>
          <w:u w:val="single"/>
        </w:rPr>
        <w:t>Discussion</w:t>
      </w:r>
      <w:r w:rsidRPr="00C04E94">
        <w:rPr>
          <w:rFonts w:ascii="Courier New" w:hAnsi="Courier New" w:cs="Courier New"/>
          <w:sz w:val="24"/>
          <w:szCs w:val="24"/>
        </w:rPr>
        <w:t>:</w:t>
      </w:r>
      <w:r>
        <w:rPr>
          <w:rFonts w:ascii="Courier New" w:hAnsi="Courier New" w:cs="Courier New"/>
          <w:sz w:val="24"/>
          <w:szCs w:val="24"/>
        </w:rPr>
        <w:t xml:space="preserve">  In determining which pieces of information to require institutions to disclose, we have focused on identifying the information that will be most helpful to prospective and enrolled students, and we have built flexibility into the regulations to allow for modifications based on consumer testing and student feedback.  Although access to accrediting agency documentation or Federal compliance audits of institutions is valuable and institutions may opt to disclose this information independently, including this information on the disclosure template may not be useful to prospective and enrolled students.  Nonetheless, if consumer testing or other sources of evidence show that prospective and enrolled students would benefit from this information, we would consider adding these items to the disclosure template in the future through a notice published in the </w:t>
      </w:r>
      <w:r w:rsidRPr="009533EA">
        <w:rPr>
          <w:rFonts w:ascii="Courier New" w:hAnsi="Courier New"/>
          <w:sz w:val="24"/>
          <w:u w:val="single"/>
        </w:rPr>
        <w:t>Federal Register</w:t>
      </w:r>
      <w:r>
        <w:rPr>
          <w:rFonts w:ascii="Courier New" w:hAnsi="Courier New" w:cs="Courier New"/>
          <w:sz w:val="24"/>
          <w:szCs w:val="24"/>
        </w:rPr>
        <w:t xml:space="preserve">.  </w:t>
      </w:r>
    </w:p>
    <w:p w14:paraId="682E79F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As discussed under “§668.414  Certification Requirements for GE P</w:t>
      </w:r>
      <w:r w:rsidRPr="009904FA">
        <w:rPr>
          <w:rFonts w:ascii="Courier New" w:hAnsi="Courier New" w:cs="Courier New"/>
          <w:sz w:val="24"/>
          <w:szCs w:val="24"/>
        </w:rPr>
        <w:t>rograms,</w:t>
      </w:r>
      <w:r>
        <w:rPr>
          <w:rFonts w:ascii="Courier New" w:hAnsi="Courier New" w:cs="Courier New"/>
          <w:sz w:val="24"/>
          <w:szCs w:val="24"/>
        </w:rPr>
        <w:t xml:space="preserve">” institutions will be required to certify that the GE programs listed on their PPA meet applicable accreditation, licensure, and certification requirements.  The PPA is a standardized document that largely mirrors the requirements in 34 CFR §668.14.  Unless an institution has a provisional PPA, the PPA for one institution will be nearly identical to that of another except for the list of the institution’s GE programs.  Because PPAs do not generally contain unique information about institutions, we do not believe that it would be helpful to consumers for the Department to begin publishing institutions’ PPAs or requiring institutions to publish the GE-related portions of their PPAs.  We note, however, that we would provide a copy of an institution’s PPA upon request through the Freedom of Information Act process. </w:t>
      </w:r>
    </w:p>
    <w:p w14:paraId="5A0A03CC"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Lastly, as discussed in the NPRM and in these regulations, </w:t>
      </w:r>
      <w:r w:rsidDel="00C80B74">
        <w:rPr>
          <w:rFonts w:ascii="Courier New" w:hAnsi="Courier New" w:cs="Courier New"/>
          <w:sz w:val="24"/>
          <w:szCs w:val="24"/>
        </w:rPr>
        <w:t xml:space="preserve">we believe that </w:t>
      </w:r>
      <w:r>
        <w:rPr>
          <w:rFonts w:ascii="Courier New" w:hAnsi="Courier New" w:cs="Courier New"/>
          <w:sz w:val="24"/>
          <w:szCs w:val="24"/>
        </w:rPr>
        <w:t>the disclosure requirements, combined with the accountability metrics</w:t>
      </w:r>
      <w:r w:rsidRPr="00DD1261">
        <w:rPr>
          <w:rFonts w:ascii="Courier New" w:hAnsi="Courier New" w:cs="Courier New"/>
          <w:sz w:val="24"/>
          <w:szCs w:val="24"/>
        </w:rPr>
        <w:t xml:space="preserve">, the </w:t>
      </w:r>
      <w:r>
        <w:rPr>
          <w:rFonts w:ascii="Courier New" w:hAnsi="Courier New" w:cs="Courier New"/>
          <w:sz w:val="24"/>
          <w:szCs w:val="24"/>
        </w:rPr>
        <w:t xml:space="preserve">certification requirements, and </w:t>
      </w:r>
      <w:r w:rsidRPr="005453C1">
        <w:rPr>
          <w:rFonts w:ascii="Courier New" w:hAnsi="Courier New" w:cs="Courier New"/>
          <w:sz w:val="24"/>
          <w:szCs w:val="24"/>
        </w:rPr>
        <w:t>the student warnings</w:t>
      </w:r>
      <w:r w:rsidRPr="00DD1261">
        <w:rPr>
          <w:rFonts w:ascii="Courier New" w:hAnsi="Courier New" w:cs="Courier New"/>
          <w:sz w:val="24"/>
          <w:szCs w:val="24"/>
        </w:rPr>
        <w:t>,</w:t>
      </w:r>
      <w:r w:rsidRPr="00E91426">
        <w:rPr>
          <w:rFonts w:ascii="Courier New" w:hAnsi="Courier New" w:cs="Courier New"/>
          <w:sz w:val="24"/>
          <w:szCs w:val="24"/>
        </w:rPr>
        <w:t xml:space="preserve"> </w:t>
      </w:r>
      <w:r>
        <w:rPr>
          <w:rFonts w:ascii="Courier New" w:hAnsi="Courier New" w:cs="Courier New"/>
          <w:sz w:val="24"/>
          <w:szCs w:val="24"/>
        </w:rPr>
        <w:t>will be effective in supporting and protecting consumers.  We address in “§668.410  Consequences of the D/E Rates Measure” comments suggesting we adopt enrollment limits and borrower relief provisions.</w:t>
      </w:r>
    </w:p>
    <w:p w14:paraId="4D4087BE" w14:textId="77777777" w:rsidR="001168B5" w:rsidRDefault="001168B5" w:rsidP="001168B5">
      <w:pPr>
        <w:spacing w:after="0" w:line="480" w:lineRule="auto"/>
        <w:rPr>
          <w:rFonts w:ascii="Courier New" w:hAnsi="Courier New" w:cs="Courier New"/>
          <w:sz w:val="24"/>
          <w:szCs w:val="24"/>
        </w:rPr>
      </w:pPr>
      <w:r w:rsidRPr="00A056AF">
        <w:rPr>
          <w:rFonts w:ascii="Courier New" w:hAnsi="Courier New" w:cs="Courier New"/>
          <w:sz w:val="24"/>
          <w:szCs w:val="24"/>
          <w:u w:val="single"/>
        </w:rPr>
        <w:t>Changes</w:t>
      </w:r>
      <w:r w:rsidRPr="00A056AF">
        <w:rPr>
          <w:rFonts w:ascii="Courier New" w:hAnsi="Courier New" w:cs="Courier New"/>
          <w:sz w:val="24"/>
          <w:szCs w:val="24"/>
        </w:rPr>
        <w:t>:  None.</w:t>
      </w:r>
    </w:p>
    <w:p w14:paraId="3FA46DAC" w14:textId="77777777" w:rsidR="001168B5" w:rsidRDefault="001168B5" w:rsidP="001168B5">
      <w:pPr>
        <w:spacing w:after="0" w:line="480" w:lineRule="auto"/>
        <w:rPr>
          <w:rFonts w:ascii="Courier New" w:hAnsi="Courier New" w:cs="Courier New"/>
          <w:sz w:val="24"/>
          <w:szCs w:val="24"/>
        </w:rPr>
      </w:pPr>
      <w:r w:rsidRPr="00C54988">
        <w:rPr>
          <w:rFonts w:ascii="Courier New" w:hAnsi="Courier New"/>
          <w:sz w:val="24"/>
          <w:u w:val="single"/>
        </w:rPr>
        <w:t>Comments</w:t>
      </w:r>
      <w:r>
        <w:rPr>
          <w:rFonts w:ascii="Courier New" w:hAnsi="Courier New" w:cs="Courier New"/>
          <w:sz w:val="24"/>
          <w:szCs w:val="24"/>
        </w:rPr>
        <w:t xml:space="preserve">:  A commenter stated that institutions should be allowed to disclose </w:t>
      </w:r>
      <w:r w:rsidDel="001D5BB5">
        <w:rPr>
          <w:rFonts w:ascii="Courier New" w:hAnsi="Courier New" w:cs="Courier New"/>
          <w:sz w:val="24"/>
          <w:szCs w:val="24"/>
        </w:rPr>
        <w:t>multiple</w:t>
      </w:r>
      <w:r>
        <w:rPr>
          <w:rFonts w:ascii="Courier New" w:hAnsi="Courier New" w:cs="Courier New"/>
          <w:sz w:val="24"/>
          <w:szCs w:val="24"/>
        </w:rPr>
        <w:t xml:space="preserve"> SOC codes that match a program’s CIP code.</w:t>
      </w:r>
    </w:p>
    <w:p w14:paraId="22103DAC" w14:textId="77777777" w:rsidR="001168B5" w:rsidRDefault="001168B5" w:rsidP="001168B5">
      <w:pPr>
        <w:spacing w:after="0" w:line="480" w:lineRule="auto"/>
        <w:rPr>
          <w:rFonts w:ascii="Courier New" w:hAnsi="Courier New" w:cs="Courier New"/>
          <w:sz w:val="24"/>
          <w:szCs w:val="24"/>
        </w:rPr>
      </w:pPr>
      <w:r w:rsidRPr="00C54988">
        <w:rPr>
          <w:rFonts w:ascii="Courier New" w:hAnsi="Courier New"/>
          <w:sz w:val="24"/>
          <w:u w:val="single"/>
        </w:rPr>
        <w:t>Discussion</w:t>
      </w:r>
      <w:r>
        <w:rPr>
          <w:rFonts w:ascii="Courier New" w:hAnsi="Courier New" w:cs="Courier New"/>
          <w:sz w:val="24"/>
          <w:szCs w:val="24"/>
        </w:rPr>
        <w:t xml:space="preserve">:  We agree that a program may </w:t>
      </w:r>
      <w:r w:rsidDel="001D5BB5">
        <w:rPr>
          <w:rFonts w:ascii="Courier New" w:hAnsi="Courier New" w:cs="Courier New"/>
          <w:sz w:val="24"/>
          <w:szCs w:val="24"/>
        </w:rPr>
        <w:t>be designed to lead to</w:t>
      </w:r>
      <w:r>
        <w:rPr>
          <w:rFonts w:ascii="Courier New" w:hAnsi="Courier New" w:cs="Courier New"/>
          <w:sz w:val="24"/>
          <w:szCs w:val="24"/>
        </w:rPr>
        <w:t xml:space="preserve"> several occupations </w:t>
      </w:r>
      <w:r w:rsidDel="00F40D06">
        <w:rPr>
          <w:rFonts w:ascii="Courier New" w:hAnsi="Courier New" w:cs="Courier New"/>
          <w:sz w:val="24"/>
          <w:szCs w:val="24"/>
        </w:rPr>
        <w:t>as indicated</w:t>
      </w:r>
      <w:r>
        <w:rPr>
          <w:rFonts w:ascii="Courier New" w:hAnsi="Courier New" w:cs="Courier New"/>
          <w:sz w:val="24"/>
          <w:szCs w:val="24"/>
        </w:rPr>
        <w:t xml:space="preserve"> by Department of Labor SOC codes.  For this reason, allowing institutions to select one or multiple SOC codes for inclusion on the disclosure template is among the disclosures that were required under the 2011 Final Rules and the potential disclosures under these regulations.   </w:t>
      </w:r>
    </w:p>
    <w:p w14:paraId="641AAF52" w14:textId="77777777" w:rsidR="001168B5" w:rsidRDefault="001168B5" w:rsidP="001168B5">
      <w:pPr>
        <w:spacing w:after="0" w:line="480" w:lineRule="auto"/>
        <w:rPr>
          <w:rFonts w:ascii="Courier New" w:hAnsi="Courier New" w:cs="Courier New"/>
          <w:sz w:val="24"/>
          <w:szCs w:val="24"/>
        </w:rPr>
      </w:pPr>
      <w:r w:rsidRPr="00C54988">
        <w:rPr>
          <w:rFonts w:ascii="Courier New" w:hAnsi="Courier New"/>
          <w:sz w:val="24"/>
          <w:u w:val="single"/>
        </w:rPr>
        <w:t>Changes</w:t>
      </w:r>
      <w:r>
        <w:rPr>
          <w:rFonts w:ascii="Courier New" w:hAnsi="Courier New" w:cs="Courier New"/>
          <w:sz w:val="24"/>
          <w:szCs w:val="24"/>
        </w:rPr>
        <w:t>:  None.</w:t>
      </w:r>
    </w:p>
    <w:p w14:paraId="6EC4D3B3" w14:textId="77777777" w:rsidR="001168B5" w:rsidRDefault="001168B5" w:rsidP="001168B5">
      <w:pPr>
        <w:spacing w:after="0" w:line="480" w:lineRule="auto"/>
        <w:rPr>
          <w:rFonts w:ascii="Courier New" w:hAnsi="Courier New" w:cs="Courier New"/>
          <w:sz w:val="24"/>
          <w:szCs w:val="24"/>
        </w:rPr>
      </w:pPr>
      <w:r w:rsidRPr="00E91426">
        <w:rPr>
          <w:rFonts w:ascii="Courier New" w:hAnsi="Courier New" w:cs="Courier New"/>
          <w:sz w:val="24"/>
          <w:szCs w:val="24"/>
          <w:u w:val="single"/>
        </w:rPr>
        <w:t>Comments</w:t>
      </w:r>
      <w:r>
        <w:rPr>
          <w:rFonts w:ascii="Courier New" w:hAnsi="Courier New" w:cs="Courier New"/>
          <w:sz w:val="24"/>
          <w:szCs w:val="24"/>
        </w:rPr>
        <w:t>:  Several commenters compared the disclosure requirements of the proposed regulations to those of the current regulations.  One commenter believed that adding new disclosures to the current requirements without coordinating them would be administratively burdensome for institutions and confusing for students.  Some commenters noted that, as under the current regulations, some programs will have too few students to make some of the disclosures because of privacy concerns.  These commenters recommended incorporating existing sub-regulatory guidance from the Department into the final regulations that directs institutions to refrain from disclosing information, such as median loan debt, where ten or fewer students completed the program.  Some commenters argued that the current disclosures are adequate and should be retained in the final regulations without any changes.  Lastly, one commenter noted that the NPRM did not describe the impact of the current disclosure requirements or whether they are achieving their purpose.</w:t>
      </w:r>
    </w:p>
    <w:p w14:paraId="0FFA5DFC"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Although the disclosures in §668.6(b) of the 2011 Final Rules are useful, the additional disclosures in these regulations will make additional valuable information available to students and prospective students.  Further, the current disclosure requirements are limiting because §668.6(b) does not give the Department the flexibility to change the items as it learns more about the information students find most useful.  We agree with the commenters that we must carefully consider how to transition from the current disclosure requirements to the requirements of the final regulations without confusing or overwhelming students, and we will use consumer testing to identify the best way to do this.  We will also provide guidance and technical assistance to institutions to help them transition to the new disclosures.  We will be evaluating the impact of the disclosures we are establishing in these regulations.  </w:t>
      </w:r>
    </w:p>
    <w:p w14:paraId="12F44C04"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Because it will take some time for the Department to conduct consumer testing regarding the disclosure template and to seek comment on the disclosure template pursuant to the Paperwork Reduction Act of 1995, we are providing in the regulations that institutions must comply with the requirements in this section beginning on January 1, 2017.  To ensure that institutions continue to disclose information about their GE programs, we are retaining and revising §668.6(b) to provide that institutions must comply with those disclosure requirements until December 31, 2016. </w:t>
      </w:r>
    </w:p>
    <w:p w14:paraId="4114E329" w14:textId="496ED14B"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With respect to the privacy concerns raised by the commenters, for the 2011 Final Rule</w:t>
      </w:r>
      <w:r w:rsidDel="00835F8D">
        <w:rPr>
          <w:rFonts w:ascii="Courier New" w:hAnsi="Courier New" w:cs="Courier New"/>
          <w:sz w:val="24"/>
          <w:szCs w:val="24"/>
        </w:rPr>
        <w:t>s</w:t>
      </w:r>
      <w:r>
        <w:rPr>
          <w:rFonts w:ascii="Courier New" w:hAnsi="Courier New" w:cs="Courier New"/>
          <w:sz w:val="24"/>
          <w:szCs w:val="24"/>
        </w:rPr>
        <w:t>, the Department provided sub-regulatory guidance to institutions instructing them not to disclose median loan debt, the on-time completion rate, or the placement rate (unless the institution’s State or accrediting agency methodology requires otherwise) for a program if fewer than 10 students completed the program in the most recently completed award year.  This guidance remains in effect.  Further, we are revising §§668.412 to reflect this guidance.</w:t>
      </w:r>
    </w:p>
    <w:p w14:paraId="595B6E17" w14:textId="28159646"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We have revised §§668.412 to specify that an institution may not include on the disclosure template information about completion or withdrawal rates, the number of individuals enrolled in the program during the most recently completed award year, loan repayment rates, placement rates, the number of individuals </w:t>
      </w:r>
      <w:r w:rsidR="00AF6F86">
        <w:rPr>
          <w:rFonts w:ascii="Courier New" w:hAnsi="Courier New" w:cs="Courier New"/>
          <w:sz w:val="24"/>
          <w:szCs w:val="24"/>
        </w:rPr>
        <w:t xml:space="preserve">enrolled in the program </w:t>
      </w:r>
      <w:r>
        <w:rPr>
          <w:rFonts w:ascii="Courier New" w:hAnsi="Courier New" w:cs="Courier New"/>
          <w:sz w:val="24"/>
          <w:szCs w:val="24"/>
        </w:rPr>
        <w:t xml:space="preserve">who </w:t>
      </w:r>
      <w:r w:rsidR="00AF6F86">
        <w:rPr>
          <w:rFonts w:ascii="Courier New" w:hAnsi="Courier New" w:cs="Courier New"/>
          <w:sz w:val="24"/>
          <w:szCs w:val="24"/>
        </w:rPr>
        <w:t>received title IV loans or private loans</w:t>
      </w:r>
      <w:r>
        <w:rPr>
          <w:rFonts w:ascii="Courier New" w:hAnsi="Courier New" w:cs="Courier New"/>
          <w:sz w:val="24"/>
          <w:szCs w:val="24"/>
        </w:rPr>
        <w:t xml:space="preserve"> for enrollment in the program, median loan debt, mean or median earnings, program cohort default rates, or the program’s most recent D/E rates if that information is based on fewer than 10 students.  </w:t>
      </w:r>
    </w:p>
    <w:p w14:paraId="239B4C29"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We also have revised §668.412 to specify that institutions must begin complying with the disclosure requirements beginning on January 1, 2017.  We also have revised §668.6(b) to provide that institutions must comply with those disclosure requirements through December 31, 2016.</w:t>
      </w:r>
    </w:p>
    <w:p w14:paraId="17C598A3" w14:textId="77777777" w:rsidR="001168B5" w:rsidRDefault="001168B5" w:rsidP="001168B5">
      <w:pPr>
        <w:spacing w:after="0" w:line="480" w:lineRule="auto"/>
        <w:rPr>
          <w:rFonts w:ascii="Courier New" w:hAnsi="Courier New" w:cs="Courier New"/>
          <w:sz w:val="24"/>
          <w:szCs w:val="24"/>
        </w:rPr>
      </w:pPr>
      <w:r w:rsidRPr="001D42A9">
        <w:rPr>
          <w:rFonts w:ascii="Courier New" w:hAnsi="Courier New" w:cs="Courier New"/>
          <w:sz w:val="24"/>
          <w:szCs w:val="24"/>
          <w:u w:val="single"/>
        </w:rPr>
        <w:t>Comments</w:t>
      </w:r>
      <w:r w:rsidRPr="001D42A9">
        <w:rPr>
          <w:rFonts w:ascii="Courier New" w:hAnsi="Courier New" w:cs="Courier New"/>
          <w:sz w:val="24"/>
          <w:szCs w:val="24"/>
        </w:rPr>
        <w:t>:</w:t>
      </w:r>
      <w:r>
        <w:rPr>
          <w:rFonts w:ascii="Courier New" w:hAnsi="Courier New" w:cs="Courier New"/>
          <w:sz w:val="24"/>
          <w:szCs w:val="24"/>
        </w:rPr>
        <w:t xml:space="preserve">  Commenters raised general concerns about the burden associated with the disclosure requirements.  In particular, some commenters were concerned that the potential for annual changes in the content and format of the disclosures would create uncertainty and significant administrative burden for institutions.  One commenter recommended that the Department study how students use information before establishing the disclosure requirements.  The commenter suggested that the Department calculate simple measures and publish relevant information on College Navigator while conducting this study.  Other commenters objected that disclosure requirements were vague and burdensome by, for example, requiring disclosure of the total cost of tuition, fees, books, supplies, and equipment that would be incurred to complete the program within its stated term. </w:t>
      </w:r>
    </w:p>
    <w:p w14:paraId="127D739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believe that the benefits of disclosure items for consumers outweigh the increase in institutional burden.  In addition, the Department does not intend to require institutions to make all of the disclosures each year.  The regulations allow the Department flexibility to adjust the disclosures as we learn more about what information will be most helpful to students and prospective students.  However, we do not expect that the disclosure template will vary dramatically from year to year, and so in most years, there will be little added burden because of this provision.  We will publish changes to the items to be disclosed in the </w:t>
      </w:r>
      <w:r w:rsidRPr="005124B9">
        <w:rPr>
          <w:rFonts w:ascii="Courier New" w:hAnsi="Courier New" w:cs="Courier New"/>
          <w:sz w:val="24"/>
          <w:szCs w:val="24"/>
          <w:u w:val="single"/>
        </w:rPr>
        <w:t>Federal Register</w:t>
      </w:r>
      <w:r>
        <w:rPr>
          <w:rFonts w:ascii="Courier New" w:hAnsi="Courier New" w:cs="Courier New"/>
          <w:sz w:val="24"/>
          <w:szCs w:val="24"/>
        </w:rPr>
        <w:t xml:space="preserve">, providing an opportunity for the public, specifically institutions and consumers, to provide us with feedback about those changes.   </w:t>
      </w:r>
    </w:p>
    <w:p w14:paraId="71C8418B"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Further, we have included provisions to minimize the burden associated with the disclosures as much as possible.  We recognize that an institution may not know precisely the cost that a prospective student would incur to attend and complete a GE program, as must be disclosed but the institution must already gather much of the same data to comply with the disclosure obligations imposed by section 1132(h) of the HEA, and the solution adopted there is applicable here:  if the institution is not certain of the amount of those costs, the institution shall include a disclaimer advising that the data are estimates.</w:t>
      </w:r>
      <w:r>
        <w:rPr>
          <w:rStyle w:val="FootnoteReference"/>
          <w:rFonts w:ascii="Courier New" w:hAnsi="Courier New"/>
          <w:sz w:val="24"/>
          <w:szCs w:val="24"/>
        </w:rPr>
        <w:footnoteReference w:id="182"/>
      </w:r>
      <w:r>
        <w:rPr>
          <w:rFonts w:ascii="Courier New" w:hAnsi="Courier New" w:cs="Courier New"/>
          <w:sz w:val="24"/>
          <w:szCs w:val="24"/>
        </w:rPr>
        <w:t xml:space="preserve">  </w:t>
      </w:r>
    </w:p>
    <w:p w14:paraId="2A875B99"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In addition, the Department, rather than institutions, will calculate the bulk of the disclosure items, as discussed under “§668.413  Calculating, Issuing, and Challenging Completion Rates, Withdrawal Rates, Repayment Rates, Median Loan Debt, Median E</w:t>
      </w:r>
      <w:r w:rsidRPr="005124B9">
        <w:rPr>
          <w:rFonts w:ascii="Courier New" w:hAnsi="Courier New" w:cs="Courier New"/>
          <w:sz w:val="24"/>
          <w:szCs w:val="24"/>
        </w:rPr>
        <w:t>arnings</w:t>
      </w:r>
      <w:r>
        <w:rPr>
          <w:rFonts w:ascii="Courier New" w:hAnsi="Courier New" w:cs="Courier New"/>
          <w:sz w:val="24"/>
          <w:szCs w:val="24"/>
        </w:rPr>
        <w:t>, and Program Cohort D</w:t>
      </w:r>
      <w:r w:rsidRPr="005124B9">
        <w:rPr>
          <w:rFonts w:ascii="Courier New" w:hAnsi="Courier New" w:cs="Courier New"/>
          <w:sz w:val="24"/>
          <w:szCs w:val="24"/>
        </w:rPr>
        <w:t>efault</w:t>
      </w:r>
      <w:r>
        <w:rPr>
          <w:rFonts w:ascii="Courier New" w:hAnsi="Courier New" w:cs="Courier New"/>
          <w:sz w:val="24"/>
          <w:szCs w:val="24"/>
        </w:rPr>
        <w:t xml:space="preserve"> R</w:t>
      </w:r>
      <w:r w:rsidRPr="005124B9">
        <w:rPr>
          <w:rFonts w:ascii="Courier New" w:hAnsi="Courier New" w:cs="Courier New"/>
          <w:sz w:val="24"/>
          <w:szCs w:val="24"/>
        </w:rPr>
        <w:t>ates</w:t>
      </w:r>
      <w:r>
        <w:rPr>
          <w:rFonts w:ascii="Courier New" w:hAnsi="Courier New" w:cs="Courier New"/>
          <w:sz w:val="24"/>
          <w:szCs w:val="24"/>
        </w:rPr>
        <w:t>.”  As we implement the regulations, we will continue to analyze the burden associated with the disclosure requirements and consider ways to minimize that burden.</w:t>
      </w:r>
    </w:p>
    <w:p w14:paraId="25D1B7DA" w14:textId="77777777" w:rsidR="001168B5" w:rsidRPr="00391A7C" w:rsidRDefault="001168B5" w:rsidP="001168B5">
      <w:pPr>
        <w:spacing w:after="0" w:line="480" w:lineRule="auto"/>
        <w:rPr>
          <w:rFonts w:ascii="Courier New" w:hAnsi="Courier New" w:cs="Courier New"/>
          <w:sz w:val="24"/>
          <w:szCs w:val="24"/>
        </w:rPr>
      </w:pPr>
      <w:r w:rsidRPr="00391A7C">
        <w:rPr>
          <w:rFonts w:ascii="Courier New" w:hAnsi="Courier New" w:cs="Courier New"/>
          <w:sz w:val="24"/>
          <w:szCs w:val="24"/>
          <w:u w:val="single"/>
        </w:rPr>
        <w:t>Changes</w:t>
      </w:r>
      <w:r w:rsidRPr="00391A7C">
        <w:rPr>
          <w:rFonts w:ascii="Courier New" w:hAnsi="Courier New" w:cs="Courier New"/>
          <w:sz w:val="24"/>
          <w:szCs w:val="24"/>
        </w:rPr>
        <w:t xml:space="preserve">:  </w:t>
      </w:r>
      <w:r>
        <w:rPr>
          <w:rFonts w:ascii="Courier New" w:hAnsi="Courier New" w:cs="Courier New"/>
          <w:sz w:val="24"/>
          <w:szCs w:val="24"/>
        </w:rPr>
        <w:t>None.</w:t>
      </w:r>
    </w:p>
    <w:p w14:paraId="7986F3AB" w14:textId="70375149"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Some commenters raised concerns about how the proposed disclosure requirements would affect or be affected by other existing or planned efforts and initiatives such as the college ratings system, College Navigator, and College Scorecard.  One commenter suggested that the disclosures should be coordinated with the planned college ratings system.  Other commenters noted that institutions already disclose graduation rates, costs, and other information through College Navigator and the College Scorecard, and argued that requiring additional disclosures that use similar data points but measure different cohorts of students would not be helpful to prospective students.  Some of the commenters suggested that modifying College Navigator and College Scorecard to provide students and families with meaningful information with respect to all programs and all institutions would be less burdensome and more effective.  </w:t>
      </w:r>
    </w:p>
    <w:p w14:paraId="493EE04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In addition to these concerns, one commenter suggested that the Department utilize College Navigator, the College Scorecard, and the College Affordability and Transparency Center to disclose when an institution’s GE program is in the zone to ensure that students and other users have access to information about programs in jeopardy of losing their eligibility.</w:t>
      </w:r>
    </w:p>
    <w:p w14:paraId="0C2EF90F"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The College Navigator and the College Scorecard are useful for consumers and we intend for the planned college ratings system to provide additional helpful information.  But, we do not agree that they make the GE disclosures unnecessary.  First, these three tools provide, or in the case of the college ratings system will provide, consumers with information at an institutional level.  They do not provide information about the graduation rates, debt, or employment and earnings outcomes of particular GE programs.  Second, College Navigator and the College Scorecard are, and the college ratings system will be, accessible through the Department’s Web site, whereas institutions will be required to publish the disclosures required by these regulations where students are not only more likely to see them, but also more likely to see them early in their search process--on the institutions’ own Web sites and additionally, in informational materials such as brochures.  Accordingly, </w:t>
      </w:r>
      <w:r w:rsidDel="002E0460">
        <w:rPr>
          <w:rFonts w:ascii="Courier New" w:hAnsi="Courier New" w:cs="Courier New"/>
          <w:sz w:val="24"/>
          <w:szCs w:val="24"/>
        </w:rPr>
        <w:t xml:space="preserve">we believe that </w:t>
      </w:r>
      <w:r>
        <w:rPr>
          <w:rFonts w:ascii="Courier New" w:hAnsi="Courier New" w:cs="Courier New"/>
          <w:sz w:val="24"/>
          <w:szCs w:val="24"/>
        </w:rPr>
        <w:t>the disclosures required by these regulations will be more effective in ensuring that students and prospective students obtain critical information about program-level student outcomes.  We note that this approach is consistent with long-standing provisions in the HEA requiring institutions to publish consumer information on their Web sites under the assumption that students and families are likely to look on those Web sites for that information.</w:t>
      </w:r>
    </w:p>
    <w:p w14:paraId="01157232"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With respect to the suggestion that the Department use College Navigator, the College Scorecard, and the College Affordability and Transparency Center to alert prospective students and families when an institution has a GE program in the zone under the D/E rates</w:t>
      </w:r>
      <w:r w:rsidRPr="009B3E15">
        <w:rPr>
          <w:rFonts w:ascii="Courier New" w:hAnsi="Courier New" w:cs="Courier New"/>
          <w:sz w:val="24"/>
          <w:szCs w:val="24"/>
        </w:rPr>
        <w:t>,</w:t>
      </w:r>
      <w:r>
        <w:rPr>
          <w:rFonts w:ascii="Courier New" w:hAnsi="Courier New" w:cs="Courier New"/>
          <w:sz w:val="24"/>
          <w:szCs w:val="24"/>
        </w:rPr>
        <w:t xml:space="preserve"> the Department intends to make this information publicly available and may choose to use one of these or another vehicle to do so.     </w:t>
      </w:r>
    </w:p>
    <w:p w14:paraId="2ECA8F0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2BDEC9FB"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Several commenters argued that all institutions participating in the title IV, HEA programs should be required to make the disclosures for all of their programs.  They contended that it is unfair and discriminatory to apply the transparency framework only to GE programs.  The commenters asserted that the disclosures would not be meaningful and could be misleading to students because of a lack of comparability across institutions in different sectors, noting that a program at a proprietary institution would be subject to the regulations while the same program at a public institution might not.  </w:t>
      </w:r>
    </w:p>
    <w:p w14:paraId="1CF76283"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As discussed under “§668.401  Scope and P</w:t>
      </w:r>
      <w:r w:rsidRPr="009F5E54">
        <w:rPr>
          <w:rFonts w:ascii="Courier New" w:hAnsi="Courier New" w:cs="Courier New"/>
          <w:sz w:val="24"/>
          <w:szCs w:val="24"/>
        </w:rPr>
        <w:t>urpose</w:t>
      </w:r>
      <w:r w:rsidRPr="00B63C81">
        <w:rPr>
          <w:rFonts w:ascii="Courier New" w:hAnsi="Courier New" w:cs="Courier New"/>
          <w:sz w:val="24"/>
          <w:szCs w:val="24"/>
        </w:rPr>
        <w:t>,</w:t>
      </w:r>
      <w:r>
        <w:rPr>
          <w:rFonts w:ascii="Courier New" w:hAnsi="Courier New" w:cs="Courier New"/>
          <w:sz w:val="24"/>
          <w:szCs w:val="24"/>
        </w:rPr>
        <w:t>”</w:t>
      </w:r>
      <w:r w:rsidRPr="007B5367">
        <w:rPr>
          <w:rFonts w:ascii="Courier New" w:hAnsi="Courier New" w:cs="Courier New"/>
          <w:sz w:val="24"/>
          <w:szCs w:val="24"/>
        </w:rPr>
        <w:t xml:space="preserve"> </w:t>
      </w:r>
      <w:r>
        <w:rPr>
          <w:rFonts w:ascii="Courier New" w:hAnsi="Courier New" w:cs="Courier New"/>
          <w:sz w:val="24"/>
          <w:szCs w:val="24"/>
        </w:rPr>
        <w:t xml:space="preserve">these regulations apply to programs that are required, under the HEA, to prepare students for gainful employment in a recognized occupation in order to be eligible to participate in the title IV, HEA programs.  The regulations do not establish requirements for non-GE programs.  </w:t>
      </w:r>
    </w:p>
    <w:p w14:paraId="598AFFE3"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The disclosures will be valuable even though they do not apply to all programs at all institutions because, we believe, that information about program performance and student outcomes have value in and of themselves.  Prospective students will be able to evaluate the information contained in a particular program’s disclosures against their own goals and reasons for pursuing postsecondary education regardless of whether they have comparable information for programs at other institutions.  For example, they can consider whether a program will lead to the earnings they desire, and whether the debt that other students who attended that program incurred would be manageable for them.  Further, students will have access to comparable information for</w:t>
      </w:r>
      <w:r w:rsidRPr="00B140AF">
        <w:rPr>
          <w:rFonts w:ascii="Courier New" w:hAnsi="Courier New" w:cs="Courier New"/>
          <w:sz w:val="24"/>
          <w:szCs w:val="24"/>
        </w:rPr>
        <w:t xml:space="preserve"> </w:t>
      </w:r>
      <w:r>
        <w:rPr>
          <w:rFonts w:ascii="Courier New" w:hAnsi="Courier New" w:cs="Courier New"/>
          <w:sz w:val="24"/>
          <w:szCs w:val="24"/>
        </w:rPr>
        <w:t xml:space="preserve">all </w:t>
      </w:r>
      <w:r w:rsidRPr="00B140AF">
        <w:rPr>
          <w:rFonts w:ascii="Courier New" w:hAnsi="Courier New" w:cs="Courier New"/>
          <w:sz w:val="24"/>
          <w:szCs w:val="24"/>
        </w:rPr>
        <w:t>programs</w:t>
      </w:r>
      <w:r>
        <w:rPr>
          <w:rFonts w:ascii="Courier New" w:hAnsi="Courier New" w:cs="Courier New"/>
          <w:sz w:val="24"/>
          <w:szCs w:val="24"/>
        </w:rPr>
        <w:t xml:space="preserve"> leading to certificates or other non-degree credentials since these programs will be subject to the disclosure requirements regardless of the institution’s sector.  We acknowledge that students will have less ability to compare degree programs because only degree programs offered by for-profit institutions will be subject to these regulations.  We do not believe this significantly diminishes the value of the disclosures as students will nonetheless have the ability to compare programs across the for-profit sector.  </w:t>
      </w:r>
    </w:p>
    <w:p w14:paraId="448783D0" w14:textId="77777777" w:rsidR="001168B5" w:rsidRPr="00F33C94" w:rsidRDefault="001168B5" w:rsidP="001168B5">
      <w:pPr>
        <w:spacing w:after="0" w:line="480" w:lineRule="auto"/>
        <w:rPr>
          <w:rFonts w:ascii="Courier New" w:hAnsi="Courier New" w:cs="Courier New"/>
          <w:sz w:val="24"/>
          <w:szCs w:val="24"/>
        </w:rPr>
      </w:pPr>
      <w:r w:rsidRPr="00F33C94">
        <w:rPr>
          <w:rFonts w:ascii="Courier New" w:hAnsi="Courier New" w:cs="Courier New"/>
          <w:sz w:val="24"/>
          <w:szCs w:val="24"/>
          <w:u w:val="single"/>
        </w:rPr>
        <w:t>Changes</w:t>
      </w:r>
      <w:r w:rsidRPr="00F33C94">
        <w:rPr>
          <w:rFonts w:ascii="Courier New" w:hAnsi="Courier New" w:cs="Courier New"/>
          <w:sz w:val="24"/>
          <w:szCs w:val="24"/>
        </w:rPr>
        <w:t>:  None.</w:t>
      </w:r>
    </w:p>
    <w:p w14:paraId="1DD8AAB7" w14:textId="77777777" w:rsidR="001168B5" w:rsidRPr="00F33C94" w:rsidRDefault="001168B5" w:rsidP="001168B5">
      <w:pPr>
        <w:autoSpaceDE w:val="0"/>
        <w:autoSpaceDN w:val="0"/>
        <w:adjustRightInd w:val="0"/>
        <w:spacing w:after="0" w:line="480" w:lineRule="auto"/>
        <w:rPr>
          <w:rFonts w:ascii="Courier New" w:hAnsi="Courier New"/>
          <w:sz w:val="24"/>
          <w:szCs w:val="24"/>
        </w:rPr>
      </w:pPr>
      <w:r w:rsidRPr="00F33C94">
        <w:rPr>
          <w:rFonts w:ascii="Courier New" w:hAnsi="Courier New"/>
          <w:sz w:val="24"/>
          <w:szCs w:val="24"/>
          <w:u w:val="single"/>
        </w:rPr>
        <w:t>Comments</w:t>
      </w:r>
      <w:r w:rsidRPr="00F33C94">
        <w:rPr>
          <w:rFonts w:ascii="Courier New" w:hAnsi="Courier New"/>
          <w:sz w:val="24"/>
          <w:szCs w:val="24"/>
        </w:rPr>
        <w:t>:  S</w:t>
      </w:r>
      <w:r w:rsidRPr="00F33C94">
        <w:rPr>
          <w:rFonts w:ascii="Courier New" w:eastAsia="Times New Roman" w:hAnsi="Courier New" w:cs="Courier New"/>
          <w:sz w:val="24"/>
          <w:szCs w:val="24"/>
        </w:rPr>
        <w:t xml:space="preserve">ome commenters asserted that requiring an institution to make the disclosures required under </w:t>
      </w:r>
      <w:r w:rsidRPr="00F33C94">
        <w:rPr>
          <w:rFonts w:ascii="Courier New" w:hAnsi="Courier New"/>
          <w:sz w:val="24"/>
          <w:szCs w:val="24"/>
        </w:rPr>
        <w:t xml:space="preserve">§668.412 </w:t>
      </w:r>
      <w:r w:rsidRPr="00F33C94">
        <w:rPr>
          <w:rFonts w:ascii="Courier New" w:eastAsia="Times New Roman" w:hAnsi="Courier New" w:cs="Courier New"/>
          <w:sz w:val="24"/>
          <w:szCs w:val="24"/>
        </w:rPr>
        <w:t xml:space="preserve">would violate the institution’s First Amendment rights.  They made similar arguments to those made by some commenters in </w:t>
      </w:r>
      <w:r w:rsidRPr="00F33C94">
        <w:rPr>
          <w:rFonts w:ascii="Courier New" w:hAnsi="Courier New"/>
          <w:sz w:val="24"/>
          <w:szCs w:val="24"/>
        </w:rPr>
        <w:t>connection with the student warning requirements under §668.410.</w:t>
      </w:r>
    </w:p>
    <w:p w14:paraId="1C19F464" w14:textId="77777777" w:rsidR="001168B5" w:rsidRPr="00F33C94" w:rsidRDefault="001168B5" w:rsidP="001168B5">
      <w:pPr>
        <w:spacing w:after="0" w:line="480" w:lineRule="auto"/>
        <w:rPr>
          <w:rFonts w:ascii="Courier New" w:eastAsia="Times New Roman" w:hAnsi="Courier New" w:cs="Courier New"/>
          <w:sz w:val="24"/>
          <w:szCs w:val="24"/>
        </w:rPr>
      </w:pPr>
      <w:r w:rsidRPr="00F33C94">
        <w:rPr>
          <w:rFonts w:ascii="Courier New" w:hAnsi="Courier New"/>
          <w:sz w:val="24"/>
          <w:szCs w:val="24"/>
          <w:u w:val="single"/>
        </w:rPr>
        <w:t>Discussion</w:t>
      </w:r>
      <w:r w:rsidRPr="00F33C94">
        <w:rPr>
          <w:rFonts w:ascii="Courier New" w:hAnsi="Courier New"/>
          <w:sz w:val="24"/>
          <w:szCs w:val="24"/>
        </w:rPr>
        <w:t xml:space="preserve">:  </w:t>
      </w:r>
      <w:r w:rsidRPr="000A3E8E">
        <w:rPr>
          <w:rFonts w:ascii="Courier New" w:hAnsi="Courier New"/>
          <w:sz w:val="24"/>
        </w:rPr>
        <w:t>See</w:t>
      </w:r>
      <w:r w:rsidRPr="00F33C94">
        <w:rPr>
          <w:rFonts w:ascii="Courier New" w:hAnsi="Courier New"/>
          <w:sz w:val="24"/>
          <w:szCs w:val="24"/>
        </w:rPr>
        <w:t xml:space="preserve"> “</w:t>
      </w:r>
      <w:r w:rsidRPr="00F33C94">
        <w:rPr>
          <w:rFonts w:ascii="Courier New" w:hAnsi="Courier New" w:cs="Courier New"/>
          <w:sz w:val="24"/>
          <w:szCs w:val="24"/>
        </w:rPr>
        <w:t>§</w:t>
      </w:r>
      <w:r w:rsidRPr="00F33C94">
        <w:rPr>
          <w:rFonts w:ascii="Courier New" w:hAnsi="Courier New"/>
          <w:sz w:val="24"/>
          <w:szCs w:val="24"/>
        </w:rPr>
        <w:t>668.410  Consequences of the D/E Rates Measure” for a discussion of the relevant law with respect to laws that mandate disclosures to consumers and potential consumers.  As with the student warnings, t</w:t>
      </w:r>
      <w:r w:rsidRPr="00F33C94">
        <w:rPr>
          <w:rFonts w:ascii="Courier New" w:eastAsia="Times New Roman" w:hAnsi="Courier New" w:cs="Courier New"/>
          <w:sz w:val="24"/>
          <w:szCs w:val="24"/>
        </w:rPr>
        <w:t>he disclosure requirements directly advance a significant government interest--both preventing deceptive advertising about GE programs and providing consumers information about an institution’s educational benefits and the outcomes of its programs.  The disclosure requirements too are based on the same significant Federal interest in consumer disclosures evidenced in more than thirty years of statutory disclosure requirements for institutions that receive title IV, HEA program funds akin to the disclosures required under these regulations.</w:t>
      </w:r>
      <w:r w:rsidRPr="00F33C94">
        <w:rPr>
          <w:rFonts w:ascii="Courier New" w:eastAsia="Times New Roman" w:hAnsi="Courier New" w:cs="Courier New"/>
          <w:sz w:val="24"/>
          <w:szCs w:val="24"/>
          <w:vertAlign w:val="superscript"/>
        </w:rPr>
        <w:footnoteReference w:id="183"/>
      </w:r>
      <w:r w:rsidRPr="00F33C94">
        <w:rPr>
          <w:rFonts w:ascii="Courier New" w:eastAsia="Times New Roman" w:hAnsi="Courier New" w:cs="Courier New"/>
          <w:sz w:val="24"/>
          <w:szCs w:val="24"/>
        </w:rPr>
        <w:t xml:space="preserve">  As with the student warnings, the disclosures required under §668.412 are purely factual and will not be controversial when disclosed, as institutions will have had the opportunity to challenge or appeal the disclosures calculated or determined by the Department.</w:t>
      </w:r>
      <w:r w:rsidRPr="00F33C94">
        <w:rPr>
          <w:rFonts w:ascii="Courier New" w:eastAsia="Times New Roman" w:hAnsi="Courier New" w:cs="Courier New"/>
          <w:sz w:val="24"/>
          <w:szCs w:val="24"/>
          <w:vertAlign w:val="superscript"/>
        </w:rPr>
        <w:footnoteReference w:id="184"/>
      </w:r>
      <w:r w:rsidRPr="00F33C94">
        <w:rPr>
          <w:rFonts w:ascii="Courier New" w:eastAsia="Times New Roman" w:hAnsi="Courier New" w:cs="Courier New"/>
          <w:sz w:val="24"/>
          <w:szCs w:val="24"/>
        </w:rPr>
        <w:t xml:space="preserve">  Finally, the individual disclosure items listed in §668.412 have been narrowly tailored to provide students and prospective students with the information the Department considers most critical in their educational decision making, and the Department will use consumer testing to inform its determination of those items it will require on the disclosure template.  As with the student warnings, we believe that requiring an institution to both include the disclosure template on its program Web site and directly distribute the template to prospective students is the most effective manner of advancing our significant government interest.</w:t>
      </w:r>
    </w:p>
    <w:p w14:paraId="2AC165DD" w14:textId="77777777" w:rsidR="001168B5" w:rsidRPr="00F33C94" w:rsidRDefault="001168B5" w:rsidP="001168B5">
      <w:pPr>
        <w:spacing w:after="0" w:line="480" w:lineRule="auto"/>
        <w:ind w:firstLine="720"/>
        <w:rPr>
          <w:rFonts w:ascii="Courier New" w:eastAsia="Times New Roman" w:hAnsi="Courier New" w:cs="Courier New"/>
          <w:sz w:val="24"/>
          <w:szCs w:val="24"/>
        </w:rPr>
      </w:pPr>
      <w:r w:rsidRPr="00F33C94">
        <w:rPr>
          <w:rFonts w:ascii="Courier New" w:eastAsia="Times New Roman" w:hAnsi="Courier New" w:cs="Courier New"/>
          <w:sz w:val="24"/>
          <w:szCs w:val="24"/>
        </w:rPr>
        <w:t>The fact that Congress has already required, in section 485 of the HEA, that institutions disclose data such as completion rates and cost of attendance does not mean that the disclosures required by these regulations would cause confusion.  The HEA requires disclosures about the institution as a whole, for example, the completion, graduation, and retention rates of all its students, disaggregated by such characteristics as gender, race, and type of grant or loan assistance received, but not by program.  34 CFR 668.45(a)(6).  Far from creating consumer confusion, the regulations here address a significant gap in those disclosures:  the characteristics of individual GE programs.  Particularly for consumers who enroll in a program in order to be trained for particular occupations, this program-level information can reasonably be expected to be far more useful than information on the institution as a whole.</w:t>
      </w:r>
    </w:p>
    <w:p w14:paraId="586D9857" w14:textId="77777777" w:rsidR="001168B5" w:rsidRPr="00F33C94" w:rsidRDefault="001168B5" w:rsidP="001168B5">
      <w:pPr>
        <w:autoSpaceDE w:val="0"/>
        <w:autoSpaceDN w:val="0"/>
        <w:adjustRightInd w:val="0"/>
        <w:spacing w:after="0" w:line="480" w:lineRule="auto"/>
        <w:rPr>
          <w:rFonts w:ascii="Courier New" w:eastAsia="Times New Roman" w:hAnsi="Courier New" w:cs="Courier New"/>
          <w:sz w:val="24"/>
          <w:szCs w:val="24"/>
        </w:rPr>
      </w:pPr>
      <w:r w:rsidRPr="00F33C94">
        <w:rPr>
          <w:rFonts w:ascii="Courier New" w:hAnsi="Courier New"/>
          <w:sz w:val="24"/>
          <w:szCs w:val="24"/>
          <w:u w:val="single"/>
        </w:rPr>
        <w:t>Changes</w:t>
      </w:r>
      <w:r w:rsidRPr="00F33C94">
        <w:rPr>
          <w:rFonts w:ascii="Courier New" w:hAnsi="Courier New"/>
          <w:sz w:val="24"/>
          <w:szCs w:val="24"/>
        </w:rPr>
        <w:t>:  None.</w:t>
      </w:r>
    </w:p>
    <w:p w14:paraId="7F7A1F43" w14:textId="77777777" w:rsidR="001168B5" w:rsidRPr="00F33C94" w:rsidRDefault="001168B5" w:rsidP="001168B5">
      <w:pPr>
        <w:pStyle w:val="Heading1"/>
        <w:rPr>
          <w:rFonts w:eastAsia="Times New Roman"/>
        </w:rPr>
      </w:pPr>
      <w:r w:rsidRPr="00F33C94">
        <w:t>Specific Disclosures</w:t>
      </w:r>
    </w:p>
    <w:p w14:paraId="0B0E4F7E" w14:textId="77777777" w:rsidR="001168B5" w:rsidRPr="005F55AD" w:rsidRDefault="001168B5" w:rsidP="001168B5">
      <w:pPr>
        <w:spacing w:after="0" w:line="480" w:lineRule="auto"/>
        <w:rPr>
          <w:rFonts w:ascii="Courier New" w:hAnsi="Courier New" w:cs="Courier New"/>
          <w:sz w:val="24"/>
          <w:szCs w:val="24"/>
        </w:rPr>
      </w:pPr>
      <w:r w:rsidRPr="00A056AF">
        <w:rPr>
          <w:rFonts w:ascii="Courier New" w:hAnsi="Courier New" w:cs="Courier New"/>
          <w:sz w:val="24"/>
          <w:szCs w:val="24"/>
          <w:u w:val="single"/>
        </w:rPr>
        <w:t>Comments</w:t>
      </w:r>
      <w:r w:rsidRPr="00A056AF">
        <w:rPr>
          <w:rFonts w:ascii="Courier New" w:hAnsi="Courier New" w:cs="Courier New"/>
          <w:sz w:val="24"/>
          <w:szCs w:val="24"/>
        </w:rPr>
        <w:t>:  Several commenters</w:t>
      </w:r>
      <w:r>
        <w:rPr>
          <w:rFonts w:ascii="Courier New" w:hAnsi="Courier New" w:cs="Courier New"/>
          <w:sz w:val="24"/>
          <w:szCs w:val="24"/>
        </w:rPr>
        <w:t xml:space="preserve"> raised concerns that because the 100 percent of normal time completion rate disclosure is calculated on a calendar time basis, it does not align with the time period (award years) over which the D/E rates are calculated.  One of these commenters also questioned how </w:t>
      </w:r>
      <w:r w:rsidDel="00C42745">
        <w:rPr>
          <w:rFonts w:ascii="Courier New" w:hAnsi="Courier New" w:cs="Courier New"/>
          <w:sz w:val="24"/>
          <w:szCs w:val="24"/>
        </w:rPr>
        <w:t>an institution that offers programs measured</w:t>
      </w:r>
      <w:r>
        <w:rPr>
          <w:rFonts w:ascii="Courier New" w:hAnsi="Courier New" w:cs="Courier New"/>
          <w:sz w:val="24"/>
          <w:szCs w:val="24"/>
        </w:rPr>
        <w:t xml:space="preserve"> in clock hours </w:t>
      </w:r>
      <w:r w:rsidDel="00E9496C">
        <w:rPr>
          <w:rFonts w:ascii="Courier New" w:hAnsi="Courier New" w:cs="Courier New"/>
          <w:sz w:val="24"/>
          <w:szCs w:val="24"/>
        </w:rPr>
        <w:t xml:space="preserve">would determine the length of the program in </w:t>
      </w:r>
      <w:r>
        <w:rPr>
          <w:rFonts w:ascii="Courier New" w:hAnsi="Courier New" w:cs="Courier New"/>
          <w:sz w:val="24"/>
          <w:szCs w:val="24"/>
        </w:rPr>
        <w:t xml:space="preserve">weeks, months, or years. </w:t>
      </w:r>
    </w:p>
    <w:p w14:paraId="3F0C5BE1"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Del="00A04CF5">
        <w:rPr>
          <w:rFonts w:ascii="Courier New" w:hAnsi="Courier New" w:cs="Courier New"/>
          <w:sz w:val="24"/>
          <w:szCs w:val="24"/>
        </w:rPr>
        <w:t xml:space="preserve">We </w:t>
      </w:r>
      <w:r>
        <w:rPr>
          <w:rFonts w:ascii="Courier New" w:hAnsi="Courier New" w:cs="Courier New"/>
          <w:sz w:val="24"/>
          <w:szCs w:val="24"/>
        </w:rPr>
        <w:t xml:space="preserve">continue to </w:t>
      </w:r>
      <w:r w:rsidDel="00A04CF5">
        <w:rPr>
          <w:rFonts w:ascii="Courier New" w:hAnsi="Courier New" w:cs="Courier New"/>
          <w:sz w:val="24"/>
          <w:szCs w:val="24"/>
        </w:rPr>
        <w:t>believe that completion rate</w:t>
      </w:r>
      <w:r>
        <w:rPr>
          <w:rFonts w:ascii="Courier New" w:hAnsi="Courier New" w:cs="Courier New"/>
          <w:sz w:val="24"/>
          <w:szCs w:val="24"/>
        </w:rPr>
        <w:t>s</w:t>
      </w:r>
      <w:r w:rsidDel="00A04CF5">
        <w:rPr>
          <w:rFonts w:ascii="Courier New" w:hAnsi="Courier New" w:cs="Courier New"/>
          <w:sz w:val="24"/>
          <w:szCs w:val="24"/>
        </w:rPr>
        <w:t xml:space="preserve"> should be disclosed on a calendar</w:t>
      </w:r>
      <w:r>
        <w:rPr>
          <w:rFonts w:ascii="Courier New" w:hAnsi="Courier New" w:cs="Courier New"/>
          <w:sz w:val="24"/>
          <w:szCs w:val="24"/>
        </w:rPr>
        <w:t xml:space="preserve"> time</w:t>
      </w:r>
      <w:r w:rsidDel="00A04CF5">
        <w:rPr>
          <w:rFonts w:ascii="Courier New" w:hAnsi="Courier New" w:cs="Courier New"/>
          <w:sz w:val="24"/>
          <w:szCs w:val="24"/>
        </w:rPr>
        <w:t xml:space="preserve"> basis rather than on an academic or award year basis for the purposes of the disclosures.  </w:t>
      </w:r>
      <w:r>
        <w:rPr>
          <w:rFonts w:ascii="Courier New" w:hAnsi="Courier New" w:cs="Courier New"/>
          <w:sz w:val="24"/>
          <w:szCs w:val="24"/>
        </w:rPr>
        <w:t xml:space="preserve">For example, for a program that is 18 months in length, an institution will disclose the percentage of students that completed the program within 18 months. </w:t>
      </w:r>
      <w:r w:rsidDel="00A04CF5">
        <w:rPr>
          <w:rFonts w:ascii="Courier New" w:hAnsi="Courier New" w:cs="Courier New"/>
          <w:sz w:val="24"/>
          <w:szCs w:val="24"/>
        </w:rPr>
        <w:t xml:space="preserve">This disclosure is intended to help prospective and enrolled students understand how long it might take them to complete a program.  </w:t>
      </w:r>
      <w:r>
        <w:rPr>
          <w:rFonts w:ascii="Courier New" w:hAnsi="Courier New" w:cs="Courier New"/>
          <w:sz w:val="24"/>
          <w:szCs w:val="24"/>
        </w:rPr>
        <w:t>C</w:t>
      </w:r>
      <w:r w:rsidDel="00A04CF5">
        <w:rPr>
          <w:rFonts w:ascii="Courier New" w:hAnsi="Courier New" w:cs="Courier New"/>
          <w:sz w:val="24"/>
          <w:szCs w:val="24"/>
        </w:rPr>
        <w:t>onsumers</w:t>
      </w:r>
      <w:r>
        <w:rPr>
          <w:rFonts w:ascii="Courier New" w:hAnsi="Courier New" w:cs="Courier New"/>
          <w:sz w:val="24"/>
          <w:szCs w:val="24"/>
        </w:rPr>
        <w:t xml:space="preserve"> </w:t>
      </w:r>
      <w:r w:rsidDel="00A04CF5">
        <w:rPr>
          <w:rFonts w:ascii="Courier New" w:hAnsi="Courier New" w:cs="Courier New"/>
          <w:sz w:val="24"/>
          <w:szCs w:val="24"/>
        </w:rPr>
        <w:t xml:space="preserve">understand </w:t>
      </w:r>
      <w:r>
        <w:rPr>
          <w:rFonts w:ascii="Courier New" w:hAnsi="Courier New" w:cs="Courier New"/>
          <w:sz w:val="24"/>
          <w:szCs w:val="24"/>
        </w:rPr>
        <w:t xml:space="preserve">time in terms of </w:t>
      </w:r>
      <w:r w:rsidDel="00A04CF5">
        <w:rPr>
          <w:rFonts w:ascii="Courier New" w:hAnsi="Courier New" w:cs="Courier New"/>
          <w:sz w:val="24"/>
          <w:szCs w:val="24"/>
        </w:rPr>
        <w:t xml:space="preserve">calendar years, months, and weeks </w:t>
      </w:r>
      <w:r w:rsidDel="00C6346A">
        <w:rPr>
          <w:rFonts w:ascii="Courier New" w:hAnsi="Courier New" w:cs="Courier New"/>
          <w:sz w:val="24"/>
          <w:szCs w:val="24"/>
        </w:rPr>
        <w:t>much more readily</w:t>
      </w:r>
      <w:r w:rsidDel="00A04CF5">
        <w:rPr>
          <w:rFonts w:ascii="Courier New" w:hAnsi="Courier New" w:cs="Courier New"/>
          <w:sz w:val="24"/>
          <w:szCs w:val="24"/>
        </w:rPr>
        <w:t xml:space="preserve"> than </w:t>
      </w:r>
      <w:r w:rsidDel="00C6346A">
        <w:rPr>
          <w:rFonts w:ascii="Courier New" w:hAnsi="Courier New" w:cs="Courier New"/>
          <w:sz w:val="24"/>
          <w:szCs w:val="24"/>
        </w:rPr>
        <w:t xml:space="preserve">they understand time </w:t>
      </w:r>
      <w:r w:rsidDel="00A04CF5">
        <w:rPr>
          <w:rFonts w:ascii="Courier New" w:hAnsi="Courier New" w:cs="Courier New"/>
          <w:sz w:val="24"/>
          <w:szCs w:val="24"/>
        </w:rPr>
        <w:t xml:space="preserve">in terms of an “academic year” or “award year” as defined under the title IV, HEA program regulations. </w:t>
      </w:r>
      <w:r>
        <w:rPr>
          <w:rFonts w:ascii="Courier New" w:hAnsi="Courier New" w:cs="Courier New"/>
          <w:sz w:val="24"/>
          <w:szCs w:val="24"/>
        </w:rPr>
        <w:t xml:space="preserve"> Several title IV, HEA program regulations, including the disclosure provisions of the current regulations that have been in effect since July 1, 2011, already require that institutions determine the length of a program in calendar time.  In addition, institutions must provide the program length, in weeks, months, or years, for all title IV, HEA programs to NSLDS for enrollment reporting.</w:t>
      </w:r>
    </w:p>
    <w:p w14:paraId="582DAF0A" w14:textId="77777777" w:rsidR="001168B5" w:rsidRDefault="001168B5" w:rsidP="001168B5">
      <w:pPr>
        <w:spacing w:after="0" w:line="480" w:lineRule="auto"/>
        <w:rPr>
          <w:rFonts w:ascii="Courier New" w:hAnsi="Courier New" w:cs="Courier New"/>
          <w:sz w:val="24"/>
          <w:szCs w:val="24"/>
        </w:rPr>
      </w:pPr>
      <w:r w:rsidRPr="007C13F1">
        <w:rPr>
          <w:rFonts w:ascii="Courier New" w:hAnsi="Courier New" w:cs="Courier New"/>
          <w:sz w:val="24"/>
          <w:szCs w:val="24"/>
          <w:u w:val="single"/>
        </w:rPr>
        <w:t>Changes</w:t>
      </w:r>
      <w:r>
        <w:rPr>
          <w:rFonts w:ascii="Courier New" w:hAnsi="Courier New" w:cs="Courier New"/>
          <w:sz w:val="24"/>
          <w:szCs w:val="24"/>
        </w:rPr>
        <w:t>:  None.</w:t>
      </w:r>
    </w:p>
    <w:p w14:paraId="6BA0E67A"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None.</w:t>
      </w:r>
    </w:p>
    <w:p w14:paraId="16B6B9FA"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Section 668.412(a)(4) of the proposed regulations would have required institutions to disclose t</w:t>
      </w:r>
      <w:r w:rsidRPr="00280162">
        <w:rPr>
          <w:rFonts w:ascii="Courier New" w:hAnsi="Courier New" w:cs="Courier New"/>
          <w:sz w:val="24"/>
          <w:szCs w:val="24"/>
        </w:rPr>
        <w:t xml:space="preserve">he number of clock or credit hours, as applicable, </w:t>
      </w:r>
      <w:r>
        <w:rPr>
          <w:rFonts w:ascii="Courier New" w:hAnsi="Courier New" w:cs="Courier New"/>
          <w:sz w:val="24"/>
          <w:szCs w:val="24"/>
        </w:rPr>
        <w:t>necessary to complete the</w:t>
      </w:r>
      <w:r w:rsidRPr="00280162">
        <w:rPr>
          <w:rFonts w:ascii="Courier New" w:hAnsi="Courier New" w:cs="Courier New"/>
          <w:sz w:val="24"/>
          <w:szCs w:val="24"/>
        </w:rPr>
        <w:t xml:space="preserve"> program</w:t>
      </w:r>
      <w:r>
        <w:rPr>
          <w:rFonts w:ascii="Courier New" w:hAnsi="Courier New" w:cs="Courier New"/>
          <w:sz w:val="24"/>
          <w:szCs w:val="24"/>
        </w:rPr>
        <w:t xml:space="preserve">.  However, in some cases, competency-based and direct-assessment programs are not measured in clock or credit hours for academic purposes.  Accordingly, we are adding language that would allow an institution to disclose the amount of work necessary to complete such programs in terms of a unit of measurement that is the equivalent of a clock or credit hour.  </w:t>
      </w:r>
    </w:p>
    <w:p w14:paraId="7B0975C5"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In §668.412(a)(4), we have added the words “or equivalent.”</w:t>
      </w:r>
    </w:p>
    <w:p w14:paraId="34F8117C"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Numerous commenters urged the Department to develop a standardized placement rate that would apply to all </w:t>
      </w:r>
      <w:r w:rsidDel="00856118">
        <w:rPr>
          <w:rFonts w:ascii="Courier New" w:hAnsi="Courier New" w:cs="Courier New"/>
          <w:sz w:val="24"/>
          <w:szCs w:val="24"/>
        </w:rPr>
        <w:t xml:space="preserve">GE </w:t>
      </w:r>
      <w:r>
        <w:rPr>
          <w:rFonts w:ascii="Courier New" w:hAnsi="Courier New" w:cs="Courier New"/>
          <w:sz w:val="24"/>
          <w:szCs w:val="24"/>
        </w:rPr>
        <w:t xml:space="preserve">programs, arguing that it would provide important information to students.  The commenters criticized the approach in the proposed regulations of requiring an institution to calculate a placement rate only if required to do so by its accrediting agency or State, arguing that it would lead to inconsistent disclosures because not all programs would have placement rates and because institutions would use differing methodologies.  The commenters believed that developing a national placement rate methodology, even if the rate itself is not verifiable, would allow students to compare placement rates across programs and would protect against manipulation and misrepresentation of placement rates.  They believed that standardizing the rate by specifying, for example, how soon after graduation a student must be employed, how long a student must be employed, and whether a student must be working in the field for which </w:t>
      </w:r>
      <w:r w:rsidDel="00856118">
        <w:rPr>
          <w:rFonts w:ascii="Courier New" w:hAnsi="Courier New" w:cs="Courier New"/>
          <w:sz w:val="24"/>
          <w:szCs w:val="24"/>
        </w:rPr>
        <w:t>he or she was trained</w:t>
      </w:r>
      <w:r>
        <w:rPr>
          <w:rFonts w:ascii="Courier New" w:hAnsi="Courier New" w:cs="Courier New"/>
          <w:sz w:val="24"/>
          <w:szCs w:val="24"/>
        </w:rPr>
        <w:t xml:space="preserve"> to be considered “placed” would improve the reliability and comparability of the rates. </w:t>
      </w:r>
    </w:p>
    <w:p w14:paraId="2BC392E5" w14:textId="76A91FA9"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Some of the commenters suggested alternatives to developing a standardized placement rate methodology.  For instance, a few commenters suggested that the Department use the placement rate under §668.513 for the purposes of the disclosures.  Another commenter suggested that, if requiring all institutions to calculate placement rates using a standardized methodology for all of their programs would be overly burdensome for institutions not already required to calculate a placement rate, the Department should require only institutions already required to calculate a placement rate by their accredit</w:t>
      </w:r>
      <w:r w:rsidR="000E253A">
        <w:rPr>
          <w:rFonts w:ascii="Courier New" w:hAnsi="Courier New" w:cs="Courier New"/>
          <w:sz w:val="24"/>
          <w:szCs w:val="24"/>
        </w:rPr>
        <w:t>ing agency</w:t>
      </w:r>
      <w:r>
        <w:rPr>
          <w:rFonts w:ascii="Courier New" w:hAnsi="Courier New" w:cs="Courier New"/>
          <w:sz w:val="24"/>
          <w:szCs w:val="24"/>
        </w:rPr>
        <w:t xml:space="preserve"> or State to disclose a placement rate calculated using a national methodology.</w:t>
      </w:r>
    </w:p>
    <w:p w14:paraId="08E734A9" w14:textId="77777777" w:rsidR="001168B5" w:rsidRDefault="001168B5" w:rsidP="001168B5">
      <w:pPr>
        <w:spacing w:after="0" w:line="480" w:lineRule="auto"/>
        <w:rPr>
          <w:rFonts w:ascii="Courier New" w:hAnsi="Courier New" w:cs="Courier New"/>
          <w:sz w:val="24"/>
          <w:szCs w:val="24"/>
          <w:u w:val="single"/>
        </w:rPr>
      </w:pPr>
      <w:r>
        <w:rPr>
          <w:rFonts w:ascii="Courier New" w:hAnsi="Courier New" w:cs="Courier New"/>
          <w:sz w:val="24"/>
          <w:szCs w:val="24"/>
          <w:u w:val="single"/>
        </w:rPr>
        <w:t>Discussion</w:t>
      </w:r>
      <w:r w:rsidRPr="003766D8">
        <w:rPr>
          <w:rFonts w:ascii="Courier New" w:hAnsi="Courier New" w:cs="Courier New"/>
          <w:sz w:val="24"/>
          <w:szCs w:val="24"/>
        </w:rPr>
        <w:t xml:space="preserve">:  We appreciate the commenters’ suggestion to develop a national placement rate methodology, and we agree that this would be a useful tool for prospective and enrolled students, researchers, policymakers, and the public.  However, </w:t>
      </w:r>
      <w:r w:rsidRPr="003766D8" w:rsidDel="0045325B">
        <w:rPr>
          <w:rFonts w:ascii="Courier New" w:hAnsi="Courier New" w:cs="Courier New"/>
          <w:sz w:val="24"/>
          <w:szCs w:val="24"/>
        </w:rPr>
        <w:t>we are</w:t>
      </w:r>
      <w:r w:rsidRPr="003766D8">
        <w:rPr>
          <w:rFonts w:ascii="Courier New" w:hAnsi="Courier New" w:cs="Courier New"/>
          <w:sz w:val="24"/>
          <w:szCs w:val="24"/>
        </w:rPr>
        <w:t xml:space="preserve"> not prepared at this </w:t>
      </w:r>
      <w:r>
        <w:rPr>
          <w:rFonts w:ascii="Courier New" w:hAnsi="Courier New" w:cs="Courier New"/>
          <w:sz w:val="24"/>
          <w:szCs w:val="24"/>
        </w:rPr>
        <w:t>time</w:t>
      </w:r>
      <w:r w:rsidRPr="003766D8">
        <w:rPr>
          <w:rFonts w:ascii="Courier New" w:hAnsi="Courier New" w:cs="Courier New"/>
          <w:sz w:val="24"/>
          <w:szCs w:val="24"/>
        </w:rPr>
        <w:t xml:space="preserve"> to include such a methodology in these regulations.  We will continue to consider developing a national placement rate methodology </w:t>
      </w:r>
      <w:r w:rsidRPr="003766D8" w:rsidDel="0045325B">
        <w:rPr>
          <w:rFonts w:ascii="Courier New" w:hAnsi="Courier New" w:cs="Courier New"/>
          <w:sz w:val="24"/>
          <w:szCs w:val="24"/>
        </w:rPr>
        <w:t xml:space="preserve">in </w:t>
      </w:r>
      <w:r w:rsidRPr="003766D8">
        <w:rPr>
          <w:rFonts w:ascii="Courier New" w:hAnsi="Courier New" w:cs="Courier New"/>
          <w:sz w:val="24"/>
          <w:szCs w:val="24"/>
        </w:rPr>
        <w:t>the future.</w:t>
      </w:r>
      <w:r>
        <w:rPr>
          <w:rFonts w:ascii="Courier New" w:hAnsi="Courier New" w:cs="Courier New"/>
          <w:sz w:val="24"/>
          <w:szCs w:val="24"/>
        </w:rPr>
        <w:t xml:space="preserve"> </w:t>
      </w:r>
    </w:p>
    <w:p w14:paraId="28DBE63A" w14:textId="77777777" w:rsidR="001168B5" w:rsidRPr="00E66A6B" w:rsidRDefault="001168B5" w:rsidP="001168B5">
      <w:pPr>
        <w:spacing w:after="0" w:line="480" w:lineRule="auto"/>
        <w:rPr>
          <w:rFonts w:ascii="Courier New" w:hAnsi="Courier New" w:cs="Courier New"/>
          <w:sz w:val="24"/>
          <w:szCs w:val="24"/>
        </w:rPr>
      </w:pPr>
      <w:r w:rsidRPr="00E66A6B">
        <w:rPr>
          <w:rFonts w:ascii="Courier New" w:hAnsi="Courier New" w:cs="Courier New"/>
          <w:sz w:val="24"/>
          <w:szCs w:val="24"/>
          <w:u w:val="single"/>
        </w:rPr>
        <w:t>Changes</w:t>
      </w:r>
      <w:r w:rsidRPr="00E66A6B">
        <w:rPr>
          <w:rFonts w:ascii="Courier New" w:hAnsi="Courier New" w:cs="Courier New"/>
          <w:sz w:val="24"/>
          <w:szCs w:val="24"/>
        </w:rPr>
        <w:t xml:space="preserve">: </w:t>
      </w:r>
      <w:r>
        <w:rPr>
          <w:rFonts w:ascii="Courier New" w:hAnsi="Courier New" w:cs="Courier New"/>
          <w:sz w:val="24"/>
          <w:szCs w:val="24"/>
        </w:rPr>
        <w:t xml:space="preserve"> </w:t>
      </w:r>
      <w:r w:rsidRPr="00E66A6B">
        <w:rPr>
          <w:rFonts w:ascii="Courier New" w:hAnsi="Courier New" w:cs="Courier New"/>
          <w:sz w:val="24"/>
          <w:szCs w:val="24"/>
        </w:rPr>
        <w:t>None</w:t>
      </w:r>
      <w:r>
        <w:rPr>
          <w:rFonts w:ascii="Courier New" w:hAnsi="Courier New" w:cs="Courier New"/>
          <w:sz w:val="24"/>
          <w:szCs w:val="24"/>
        </w:rPr>
        <w:t>.</w:t>
      </w:r>
    </w:p>
    <w:p w14:paraId="171C06B4" w14:textId="77777777" w:rsidR="001168B5" w:rsidRDefault="001168B5" w:rsidP="001168B5">
      <w:pPr>
        <w:spacing w:after="0" w:line="480" w:lineRule="auto"/>
        <w:rPr>
          <w:rFonts w:ascii="Courier New" w:hAnsi="Courier New" w:cs="Courier New"/>
          <w:sz w:val="24"/>
          <w:szCs w:val="24"/>
          <w:u w:val="single"/>
        </w:rPr>
      </w:pPr>
      <w:r w:rsidRPr="003451FF">
        <w:rPr>
          <w:rFonts w:ascii="Courier New" w:hAnsi="Courier New" w:cs="Courier New"/>
          <w:sz w:val="24"/>
          <w:szCs w:val="24"/>
          <w:u w:val="single"/>
        </w:rPr>
        <w:t>Comments</w:t>
      </w:r>
      <w:r w:rsidRPr="003451FF">
        <w:rPr>
          <w:rFonts w:ascii="Courier New" w:hAnsi="Courier New" w:cs="Courier New"/>
          <w:sz w:val="24"/>
          <w:szCs w:val="24"/>
        </w:rPr>
        <w:t xml:space="preserve">:  </w:t>
      </w:r>
      <w:r>
        <w:rPr>
          <w:rFonts w:ascii="Courier New" w:hAnsi="Courier New" w:cs="Courier New"/>
          <w:sz w:val="24"/>
          <w:szCs w:val="24"/>
        </w:rPr>
        <w:t>Some commenters argued that if the Department does not establish a uniform methodology, it should require institutions subject to existing placement rate disclosure requirements from their State or accrediting agency to disclose the lowest placement rate of the rates they are required to calculate.  Other commenters suggested that the Department require institutions to disclose under these regulations each of the placement rates that they are required to disclose by other entities.  These commenters believed that including all of the calculated rates on the disclosure template would provide prospective students and other stakeholders a more comprehensive picture of student outcomes.</w:t>
      </w:r>
    </w:p>
    <w:p w14:paraId="2939F3BF" w14:textId="77777777" w:rsidR="001168B5" w:rsidRDefault="001168B5" w:rsidP="001168B5">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w:t>
      </w:r>
      <w:r>
        <w:rPr>
          <w:rFonts w:ascii="Courier New" w:hAnsi="Courier New" w:cs="Courier New"/>
          <w:sz w:val="24"/>
          <w:szCs w:val="24"/>
        </w:rPr>
        <w:t xml:space="preserve">The regulations in §668.412 provide that job placement rates must be disclosed </w:t>
      </w:r>
      <w:r w:rsidDel="000B3F1E">
        <w:rPr>
          <w:rFonts w:ascii="Courier New" w:hAnsi="Courier New" w:cs="Courier New"/>
          <w:sz w:val="24"/>
          <w:szCs w:val="24"/>
        </w:rPr>
        <w:t xml:space="preserve">if </w:t>
      </w:r>
      <w:r>
        <w:rPr>
          <w:rFonts w:ascii="Courier New" w:hAnsi="Courier New" w:cs="Courier New"/>
          <w:sz w:val="24"/>
          <w:szCs w:val="24"/>
        </w:rPr>
        <w:t xml:space="preserve">an institution is required to calculate such rates by a State or accrediting agency.  This requirement applies to all placement rate calculations that a State or accrediting agency may require.  </w:t>
      </w:r>
    </w:p>
    <w:p w14:paraId="2F489D63" w14:textId="77777777" w:rsidR="001168B5" w:rsidRPr="003766D8"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We are revising </w:t>
      </w:r>
      <w:r w:rsidRPr="003766D8">
        <w:rPr>
          <w:rFonts w:ascii="Courier New" w:hAnsi="Courier New" w:cs="Courier New"/>
          <w:sz w:val="24"/>
          <w:szCs w:val="24"/>
        </w:rPr>
        <w:t>§668</w:t>
      </w:r>
      <w:r>
        <w:rPr>
          <w:rFonts w:ascii="Courier New" w:hAnsi="Courier New" w:cs="Courier New"/>
          <w:sz w:val="24"/>
          <w:szCs w:val="24"/>
        </w:rPr>
        <w:t xml:space="preserve">.412(a)(8) to clarify that, as in the 2011 Final Rules, an institution is required to disclose a program’s placement rate if it is required by an accrediting agency or State to calculate the placement rate at the institutional level, the program level, or both.  If the State or accrediting agency requirements apply only at the institutional level, under these regulations, the institution must use the required institution level methodology to calculate a program level placement rate for each of its programs.  As in the 2011 Final Rules, a “State” is any </w:t>
      </w:r>
      <w:r w:rsidRPr="003766D8">
        <w:rPr>
          <w:rFonts w:ascii="Courier New" w:hAnsi="Courier New" w:cs="Courier New"/>
          <w:sz w:val="24"/>
          <w:szCs w:val="24"/>
        </w:rPr>
        <w:t>State authority with jurisdiction over the institution</w:t>
      </w:r>
      <w:r>
        <w:rPr>
          <w:rFonts w:ascii="Courier New" w:hAnsi="Courier New" w:cs="Courier New"/>
          <w:sz w:val="24"/>
          <w:szCs w:val="24"/>
        </w:rPr>
        <w:t>, including</w:t>
      </w:r>
      <w:r w:rsidRPr="003766D8">
        <w:rPr>
          <w:rFonts w:ascii="Courier New" w:hAnsi="Courier New" w:cs="Courier New"/>
          <w:sz w:val="24"/>
          <w:szCs w:val="24"/>
        </w:rPr>
        <w:t xml:space="preserve"> a State court or a State agency, and the requirement</w:t>
      </w:r>
      <w:r>
        <w:rPr>
          <w:rFonts w:ascii="Courier New" w:hAnsi="Courier New" w:cs="Courier New"/>
          <w:sz w:val="24"/>
          <w:szCs w:val="24"/>
        </w:rPr>
        <w:t xml:space="preserve"> to calculate a placement rate</w:t>
      </w:r>
      <w:r w:rsidRPr="003766D8">
        <w:rPr>
          <w:rFonts w:ascii="Courier New" w:hAnsi="Courier New" w:cs="Courier New"/>
          <w:sz w:val="24"/>
          <w:szCs w:val="24"/>
        </w:rPr>
        <w:t xml:space="preserve"> </w:t>
      </w:r>
      <w:r>
        <w:rPr>
          <w:rFonts w:ascii="Courier New" w:hAnsi="Courier New" w:cs="Courier New"/>
          <w:sz w:val="24"/>
          <w:szCs w:val="24"/>
        </w:rPr>
        <w:t>under these regulations may</w:t>
      </w:r>
      <w:r w:rsidRPr="003766D8">
        <w:rPr>
          <w:rFonts w:ascii="Courier New" w:hAnsi="Courier New" w:cs="Courier New"/>
          <w:sz w:val="24"/>
          <w:szCs w:val="24"/>
        </w:rPr>
        <w:t xml:space="preserve"> </w:t>
      </w:r>
      <w:r>
        <w:rPr>
          <w:rFonts w:ascii="Courier New" w:hAnsi="Courier New" w:cs="Courier New"/>
          <w:sz w:val="24"/>
          <w:szCs w:val="24"/>
        </w:rPr>
        <w:t xml:space="preserve">stem from requirements </w:t>
      </w:r>
      <w:r w:rsidRPr="003766D8">
        <w:rPr>
          <w:rFonts w:ascii="Courier New" w:hAnsi="Courier New" w:cs="Courier New"/>
          <w:sz w:val="24"/>
          <w:szCs w:val="24"/>
        </w:rPr>
        <w:t xml:space="preserve">imposed by the authority directly or agreed to by the institution in an agreement with the State authority.  </w:t>
      </w:r>
    </w:p>
    <w:p w14:paraId="0FCA9EE2" w14:textId="0B56C56E"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sidRPr="003766D8">
        <w:rPr>
          <w:rFonts w:ascii="Courier New" w:hAnsi="Courier New" w:cs="Courier New"/>
          <w:sz w:val="24"/>
          <w:szCs w:val="24"/>
        </w:rPr>
        <w:t xml:space="preserve">: </w:t>
      </w:r>
      <w:r>
        <w:rPr>
          <w:rFonts w:ascii="Courier New" w:hAnsi="Courier New" w:cs="Courier New"/>
          <w:sz w:val="24"/>
          <w:szCs w:val="24"/>
        </w:rPr>
        <w:t xml:space="preserve"> We have revised </w:t>
      </w:r>
      <w:r w:rsidRPr="003766D8">
        <w:rPr>
          <w:rFonts w:ascii="Courier New" w:hAnsi="Courier New" w:cs="Courier New"/>
          <w:sz w:val="24"/>
          <w:szCs w:val="24"/>
        </w:rPr>
        <w:t>§668</w:t>
      </w:r>
      <w:r>
        <w:rPr>
          <w:rFonts w:ascii="Courier New" w:hAnsi="Courier New" w:cs="Courier New"/>
          <w:sz w:val="24"/>
          <w:szCs w:val="24"/>
        </w:rPr>
        <w:t xml:space="preserve">.412(a)(8) to clarify that an institution must disclose a program’s placement rate if it is required by an accrediting agency or State to calculate the placement rate </w:t>
      </w:r>
      <w:r w:rsidR="00907B39">
        <w:rPr>
          <w:rFonts w:ascii="Courier New" w:hAnsi="Courier New" w:cs="Courier New"/>
          <w:sz w:val="24"/>
          <w:szCs w:val="24"/>
        </w:rPr>
        <w:t>either for</w:t>
      </w:r>
      <w:r>
        <w:rPr>
          <w:rFonts w:ascii="Courier New" w:hAnsi="Courier New" w:cs="Courier New"/>
          <w:sz w:val="24"/>
          <w:szCs w:val="24"/>
        </w:rPr>
        <w:t xml:space="preserve"> the institution, the program, or both, using the </w:t>
      </w:r>
      <w:r w:rsidR="00907B39">
        <w:rPr>
          <w:rFonts w:ascii="Courier New" w:hAnsi="Courier New" w:cs="Courier New"/>
          <w:sz w:val="24"/>
          <w:szCs w:val="24"/>
        </w:rPr>
        <w:t xml:space="preserve">required methodology of the </w:t>
      </w:r>
      <w:r>
        <w:rPr>
          <w:rFonts w:ascii="Courier New" w:hAnsi="Courier New" w:cs="Courier New"/>
          <w:sz w:val="24"/>
          <w:szCs w:val="24"/>
        </w:rPr>
        <w:t xml:space="preserve">State or accrediting agency.  </w:t>
      </w:r>
    </w:p>
    <w:p w14:paraId="6B3DF541"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Some commenters recommended requiring institutions to disclose the mean or the median earnings of graduates of </w:t>
      </w:r>
      <w:r w:rsidDel="004717FB">
        <w:rPr>
          <w:rFonts w:ascii="Courier New" w:hAnsi="Courier New" w:cs="Courier New"/>
          <w:sz w:val="24"/>
          <w:szCs w:val="24"/>
        </w:rPr>
        <w:t>the GE</w:t>
      </w:r>
      <w:r>
        <w:rPr>
          <w:rFonts w:ascii="Courier New" w:hAnsi="Courier New" w:cs="Courier New"/>
          <w:sz w:val="24"/>
          <w:szCs w:val="24"/>
        </w:rPr>
        <w:t xml:space="preserve"> program.  </w:t>
      </w:r>
    </w:p>
    <w:p w14:paraId="42F69E72" w14:textId="77777777" w:rsidR="001168B5" w:rsidRDefault="001168B5" w:rsidP="001168B5">
      <w:pPr>
        <w:spacing w:after="0" w:line="480" w:lineRule="auto"/>
        <w:rPr>
          <w:rFonts w:ascii="Courier New" w:hAnsi="Courier New" w:cs="Courier New"/>
          <w:sz w:val="24"/>
          <w:szCs w:val="24"/>
        </w:rPr>
      </w:pPr>
      <w:r w:rsidRPr="008D522D">
        <w:rPr>
          <w:rFonts w:ascii="Courier New" w:hAnsi="Courier New" w:cs="Courier New"/>
          <w:sz w:val="24"/>
          <w:szCs w:val="24"/>
          <w:u w:val="single"/>
        </w:rPr>
        <w:t>Discussion</w:t>
      </w:r>
      <w:r w:rsidRPr="008D522D">
        <w:rPr>
          <w:rFonts w:ascii="Courier New" w:hAnsi="Courier New" w:cs="Courier New"/>
          <w:sz w:val="24"/>
          <w:szCs w:val="24"/>
        </w:rPr>
        <w:t>:</w:t>
      </w:r>
      <w:r>
        <w:rPr>
          <w:rFonts w:ascii="Courier New" w:hAnsi="Courier New" w:cs="Courier New"/>
          <w:sz w:val="24"/>
          <w:szCs w:val="24"/>
        </w:rPr>
        <w:t xml:space="preserve">  We agree with the commenters that either of the mean or median earnings of a program would be useful information for prospective students and enrolled students.  </w:t>
      </w:r>
    </w:p>
    <w:p w14:paraId="0A29618C" w14:textId="77777777" w:rsidR="001168B5" w:rsidRPr="0080785F" w:rsidRDefault="001168B5" w:rsidP="001168B5">
      <w:pPr>
        <w:spacing w:after="0" w:line="480" w:lineRule="auto"/>
        <w:rPr>
          <w:rFonts w:ascii="Courier New" w:hAnsi="Courier New" w:cs="Courier New"/>
          <w:sz w:val="24"/>
          <w:szCs w:val="24"/>
          <w:u w:val="single"/>
        </w:rPr>
      </w:pPr>
      <w:r w:rsidRPr="005453C1">
        <w:rPr>
          <w:rFonts w:ascii="Courier New" w:hAnsi="Courier New" w:cs="Courier New"/>
          <w:sz w:val="24"/>
          <w:szCs w:val="24"/>
          <w:u w:val="single"/>
        </w:rPr>
        <w:t>Changes</w:t>
      </w:r>
      <w:r w:rsidRPr="005453C1">
        <w:rPr>
          <w:rFonts w:ascii="Courier New" w:hAnsi="Courier New" w:cs="Courier New"/>
          <w:sz w:val="24"/>
          <w:szCs w:val="24"/>
        </w:rPr>
        <w:t xml:space="preserve">:  We have revised §668.412(a)(11) to add the mean, in addition to median, earnings as a possible disclosure item to be included on the disclosure template. </w:t>
      </w:r>
    </w:p>
    <w:p w14:paraId="708FDB13" w14:textId="7E3CEE60"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We received a number of comments regarding the requirement that institutions disclose whether a program satisfies applicable professional licensure requirements and </w:t>
      </w:r>
      <w:r w:rsidDel="00960F51">
        <w:rPr>
          <w:rFonts w:ascii="Courier New" w:hAnsi="Courier New" w:cs="Courier New"/>
          <w:sz w:val="24"/>
          <w:szCs w:val="24"/>
        </w:rPr>
        <w:t xml:space="preserve">whether the program </w:t>
      </w:r>
      <w:r>
        <w:rPr>
          <w:rFonts w:ascii="Courier New" w:hAnsi="Courier New" w:cs="Courier New"/>
          <w:sz w:val="24"/>
          <w:szCs w:val="24"/>
        </w:rPr>
        <w:t>holds any necessary programmatic accreditations.  Commenters recommended that</w:t>
      </w:r>
      <w:r w:rsidR="00E45DCF">
        <w:rPr>
          <w:rFonts w:ascii="Courier New" w:hAnsi="Courier New" w:cs="Courier New"/>
          <w:sz w:val="24"/>
          <w:szCs w:val="24"/>
        </w:rPr>
        <w:t xml:space="preserve"> we require</w:t>
      </w:r>
      <w:r>
        <w:rPr>
          <w:rFonts w:ascii="Courier New" w:hAnsi="Courier New" w:cs="Courier New"/>
          <w:sz w:val="24"/>
          <w:szCs w:val="24"/>
        </w:rPr>
        <w:t xml:space="preserve"> institutions to disclose the applicable educational prerequisites for professional licensure in the State in which the institution is located and in any other State </w:t>
      </w:r>
      <w:r w:rsidDel="00960F51">
        <w:rPr>
          <w:rFonts w:ascii="Courier New" w:hAnsi="Courier New" w:cs="Courier New"/>
          <w:sz w:val="24"/>
          <w:szCs w:val="24"/>
        </w:rPr>
        <w:t>included in</w:t>
      </w:r>
      <w:r>
        <w:rPr>
          <w:rFonts w:ascii="Courier New" w:hAnsi="Courier New" w:cs="Courier New"/>
          <w:sz w:val="24"/>
          <w:szCs w:val="24"/>
        </w:rPr>
        <w:t xml:space="preserve"> the institution’s MSA rather than just whether the program satisfies them.  Some commenters questioned the value of including disclosures regarding licensure, certification, and accreditation, noting that a program would not be eligible for title IV, HEA program funds if it could not certify under §668.414 that it meets the licensure, certification, and accreditation requirements</w:t>
      </w:r>
      <w:r w:rsidRPr="00513629">
        <w:rPr>
          <w:rFonts w:ascii="Courier New" w:hAnsi="Courier New" w:cs="Courier New"/>
          <w:sz w:val="24"/>
          <w:szCs w:val="24"/>
        </w:rPr>
        <w:t>.  These commenters urged the Department to maintain and strengthen the certification requirements under “§668.414  Certification Requirements for GE Programs.”</w:t>
      </w:r>
      <w:r>
        <w:rPr>
          <w:rFonts w:ascii="Courier New" w:hAnsi="Courier New" w:cs="Courier New"/>
          <w:sz w:val="24"/>
          <w:szCs w:val="24"/>
        </w:rPr>
        <w:t xml:space="preserve">  They also recommended that if the certification requirements are removed, </w:t>
      </w:r>
      <w:r w:rsidDel="00276963">
        <w:rPr>
          <w:rFonts w:ascii="Courier New" w:hAnsi="Courier New" w:cs="Courier New"/>
          <w:sz w:val="24"/>
          <w:szCs w:val="24"/>
        </w:rPr>
        <w:t xml:space="preserve">then </w:t>
      </w:r>
      <w:r>
        <w:rPr>
          <w:rFonts w:ascii="Courier New" w:hAnsi="Courier New" w:cs="Courier New"/>
          <w:sz w:val="24"/>
          <w:szCs w:val="24"/>
        </w:rPr>
        <w:t xml:space="preserve">an institution should be required to clearly and prominently disclose </w:t>
      </w:r>
      <w:r w:rsidDel="00896829">
        <w:rPr>
          <w:rFonts w:ascii="Courier New" w:hAnsi="Courier New" w:cs="Courier New"/>
          <w:sz w:val="24"/>
          <w:szCs w:val="24"/>
        </w:rPr>
        <w:t xml:space="preserve">if a </w:t>
      </w:r>
      <w:r w:rsidDel="00276963">
        <w:rPr>
          <w:rFonts w:ascii="Courier New" w:hAnsi="Courier New" w:cs="Courier New"/>
          <w:sz w:val="24"/>
          <w:szCs w:val="24"/>
        </w:rPr>
        <w:t xml:space="preserve">GE </w:t>
      </w:r>
      <w:r w:rsidDel="00896829">
        <w:rPr>
          <w:rFonts w:ascii="Courier New" w:hAnsi="Courier New" w:cs="Courier New"/>
          <w:sz w:val="24"/>
          <w:szCs w:val="24"/>
        </w:rPr>
        <w:t>program does not have the necessary programmatic accreditation</w:t>
      </w:r>
      <w:r>
        <w:rPr>
          <w:rFonts w:ascii="Courier New" w:hAnsi="Courier New" w:cs="Courier New"/>
          <w:sz w:val="24"/>
          <w:szCs w:val="24"/>
        </w:rPr>
        <w:t xml:space="preserve">.  These commenters asserted that where a program does meet certain requirements, it is typically easy to find disclosures indicating this information, but that it is often much more difficult to find disclosures </w:t>
      </w:r>
      <w:r w:rsidDel="00896829">
        <w:rPr>
          <w:rFonts w:ascii="Courier New" w:hAnsi="Courier New" w:cs="Courier New"/>
          <w:sz w:val="24"/>
          <w:szCs w:val="24"/>
        </w:rPr>
        <w:t>indicating that</w:t>
      </w:r>
      <w:r w:rsidDel="002D2493">
        <w:rPr>
          <w:rFonts w:ascii="Courier New" w:hAnsi="Courier New" w:cs="Courier New"/>
          <w:sz w:val="24"/>
          <w:szCs w:val="24"/>
        </w:rPr>
        <w:t xml:space="preserve"> </w:t>
      </w:r>
      <w:r>
        <w:rPr>
          <w:rFonts w:ascii="Courier New" w:hAnsi="Courier New" w:cs="Courier New"/>
          <w:sz w:val="24"/>
          <w:szCs w:val="24"/>
        </w:rPr>
        <w:t xml:space="preserve">a program does not meet particular requirements and that provide information on the consequences of failing to do so.   </w:t>
      </w:r>
    </w:p>
    <w:p w14:paraId="59D44FFA"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Several commenters recommended that the disclosures be broadened to reflect the circumstances in the location where a prospective student lives, rather than the State in which the institution is located.  (See the more detailed discussion of this issue under “§668.414  Certification Requirements for GE P</w:t>
      </w:r>
      <w:r w:rsidRPr="00681977">
        <w:rPr>
          <w:rFonts w:ascii="Courier New" w:hAnsi="Courier New" w:cs="Courier New"/>
          <w:sz w:val="24"/>
          <w:szCs w:val="24"/>
        </w:rPr>
        <w:t>rograms</w:t>
      </w:r>
      <w:r>
        <w:rPr>
          <w:rFonts w:ascii="Courier New" w:hAnsi="Courier New" w:cs="Courier New"/>
          <w:sz w:val="24"/>
          <w:szCs w:val="24"/>
        </w:rPr>
        <w:t xml:space="preserve">.”)  </w:t>
      </w:r>
    </w:p>
    <w:p w14:paraId="410D0F33"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 xml:space="preserve">Other commenters argued that the disclosure requirements are overly broad and that it would be extremely burdensome for institutions to determine whether a program holds proper programmatic accreditation.  They believed that such a determination would be subjective and that it would be almost impossible to meet this requirement using a standardized template.      </w:t>
      </w:r>
    </w:p>
    <w:p w14:paraId="2D0CE827" w14:textId="0291D88F"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Some commenters asserted that, if a program does not meet the requirements in §668.414, for consistency purposes, the institution should be required to disclose that students are unable to use title IV, HEA program funds to enroll in the program.  </w:t>
      </w:r>
    </w:p>
    <w:p w14:paraId="6332E4BA" w14:textId="18E2E996"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Some commenters suggested that the Department use consumer testing, as well as consult with other agencies and parties such as the CFPB, FTC, accrediting agencies, and State attorneys general</w:t>
      </w:r>
      <w:r w:rsidR="00E45DCF">
        <w:rPr>
          <w:rFonts w:ascii="Courier New" w:hAnsi="Courier New" w:cs="Courier New"/>
          <w:sz w:val="24"/>
          <w:szCs w:val="24"/>
        </w:rPr>
        <w:t>,</w:t>
      </w:r>
      <w:r>
        <w:rPr>
          <w:rFonts w:ascii="Courier New" w:hAnsi="Courier New" w:cs="Courier New"/>
          <w:sz w:val="24"/>
          <w:szCs w:val="24"/>
        </w:rPr>
        <w:t xml:space="preserve"> to specify the text and format of the programmatic accreditation disclosure.  Along these lines, some commenters were concerned that describing criteria as “required” or “necessary” would be ineffective without adding clarifying text to make it clear that the programmatic accreditation is needed to qualify to take an exam without additional qualifications such as a minimum number of years working in the field of study.</w:t>
      </w:r>
    </w:p>
    <w:p w14:paraId="1C9A0743" w14:textId="46E77E2E" w:rsidR="008A05A8" w:rsidRDefault="001168B5" w:rsidP="001168B5">
      <w:pPr>
        <w:spacing w:after="0" w:line="480" w:lineRule="auto"/>
        <w:rPr>
          <w:rFonts w:ascii="Courier New" w:hAnsi="Courier New" w:cs="Courier New"/>
          <w:sz w:val="24"/>
          <w:szCs w:val="24"/>
        </w:rPr>
      </w:pPr>
      <w:r w:rsidRPr="00761DEB">
        <w:rPr>
          <w:rFonts w:ascii="Courier New" w:hAnsi="Courier New" w:cs="Courier New"/>
          <w:sz w:val="24"/>
          <w:szCs w:val="24"/>
          <w:u w:val="single"/>
        </w:rPr>
        <w:t>Discussion</w:t>
      </w:r>
      <w:r w:rsidRPr="00761DEB">
        <w:rPr>
          <w:rFonts w:ascii="Courier New" w:hAnsi="Courier New" w:cs="Courier New"/>
          <w:sz w:val="24"/>
          <w:szCs w:val="24"/>
        </w:rPr>
        <w:t>:</w:t>
      </w:r>
      <w:r>
        <w:rPr>
          <w:rFonts w:ascii="Courier New" w:hAnsi="Courier New" w:cs="Courier New"/>
          <w:sz w:val="24"/>
          <w:szCs w:val="24"/>
        </w:rPr>
        <w:t xml:space="preserve">  We agree with the commenters that students and prospective students should know whether </w:t>
      </w:r>
      <w:r w:rsidR="00494334">
        <w:rPr>
          <w:rFonts w:ascii="Courier New" w:hAnsi="Courier New" w:cs="Courier New"/>
          <w:sz w:val="24"/>
          <w:szCs w:val="24"/>
        </w:rPr>
        <w:t>a</w:t>
      </w:r>
      <w:r>
        <w:rPr>
          <w:rFonts w:ascii="Courier New" w:hAnsi="Courier New" w:cs="Courier New"/>
          <w:sz w:val="24"/>
          <w:szCs w:val="24"/>
        </w:rPr>
        <w:t xml:space="preserve"> program</w:t>
      </w:r>
      <w:r w:rsidR="00907B39">
        <w:rPr>
          <w:rFonts w:ascii="Courier New" w:hAnsi="Courier New" w:cs="Courier New"/>
          <w:sz w:val="24"/>
          <w:szCs w:val="24"/>
        </w:rPr>
        <w:t xml:space="preserve"> </w:t>
      </w:r>
      <w:r>
        <w:rPr>
          <w:rFonts w:ascii="Courier New" w:hAnsi="Courier New" w:cs="Courier New"/>
          <w:sz w:val="24"/>
          <w:szCs w:val="24"/>
        </w:rPr>
        <w:t>satisf</w:t>
      </w:r>
      <w:r w:rsidR="00494334">
        <w:rPr>
          <w:rFonts w:ascii="Courier New" w:hAnsi="Courier New" w:cs="Courier New"/>
          <w:sz w:val="24"/>
          <w:szCs w:val="24"/>
        </w:rPr>
        <w:t>ies</w:t>
      </w:r>
      <w:r>
        <w:rPr>
          <w:rFonts w:ascii="Courier New" w:hAnsi="Courier New" w:cs="Courier New"/>
          <w:sz w:val="24"/>
          <w:szCs w:val="24"/>
        </w:rPr>
        <w:t xml:space="preserve"> the applicable educational prerequisites for professional licensure required by the State in which the institution is located and in any other State </w:t>
      </w:r>
      <w:r w:rsidR="009B56AE">
        <w:rPr>
          <w:rFonts w:ascii="Courier New" w:hAnsi="Courier New" w:cs="Courier New"/>
          <w:sz w:val="24"/>
          <w:szCs w:val="24"/>
        </w:rPr>
        <w:t xml:space="preserve">within </w:t>
      </w:r>
      <w:r>
        <w:rPr>
          <w:rFonts w:ascii="Courier New" w:hAnsi="Courier New" w:cs="Courier New"/>
          <w:sz w:val="24"/>
          <w:szCs w:val="24"/>
        </w:rPr>
        <w:t xml:space="preserve">the MSA </w:t>
      </w:r>
      <w:r w:rsidR="009B56AE">
        <w:rPr>
          <w:rFonts w:ascii="Courier New" w:hAnsi="Courier New" w:cs="Courier New"/>
          <w:sz w:val="24"/>
          <w:szCs w:val="24"/>
        </w:rPr>
        <w:t>in which</w:t>
      </w:r>
      <w:r>
        <w:rPr>
          <w:rFonts w:ascii="Courier New" w:hAnsi="Courier New" w:cs="Courier New"/>
          <w:sz w:val="24"/>
          <w:szCs w:val="24"/>
        </w:rPr>
        <w:t xml:space="preserve"> the institution is located</w:t>
      </w:r>
      <w:r w:rsidR="00907B39">
        <w:rPr>
          <w:rFonts w:ascii="Courier New" w:hAnsi="Courier New" w:cs="Courier New"/>
          <w:sz w:val="24"/>
          <w:szCs w:val="24"/>
        </w:rPr>
        <w:t xml:space="preserve"> </w:t>
      </w:r>
      <w:r>
        <w:rPr>
          <w:rFonts w:ascii="Courier New" w:hAnsi="Courier New" w:cs="Courier New"/>
          <w:sz w:val="24"/>
          <w:szCs w:val="24"/>
        </w:rPr>
        <w:t xml:space="preserve">and whether a program </w:t>
      </w:r>
      <w:r w:rsidR="00907B39">
        <w:rPr>
          <w:rFonts w:ascii="Courier New" w:hAnsi="Courier New" w:cs="Courier New"/>
          <w:sz w:val="24"/>
          <w:szCs w:val="24"/>
        </w:rPr>
        <w:t>is</w:t>
      </w:r>
      <w:r>
        <w:rPr>
          <w:rFonts w:ascii="Courier New" w:hAnsi="Courier New" w:cs="Courier New"/>
          <w:sz w:val="24"/>
          <w:szCs w:val="24"/>
        </w:rPr>
        <w:t xml:space="preserve"> programmatic</w:t>
      </w:r>
      <w:r w:rsidR="00907B39">
        <w:rPr>
          <w:rFonts w:ascii="Courier New" w:hAnsi="Courier New" w:cs="Courier New"/>
          <w:sz w:val="24"/>
          <w:szCs w:val="24"/>
        </w:rPr>
        <w:t>ally</w:t>
      </w:r>
      <w:r>
        <w:rPr>
          <w:rFonts w:ascii="Courier New" w:hAnsi="Courier New" w:cs="Courier New"/>
          <w:sz w:val="24"/>
          <w:szCs w:val="24"/>
        </w:rPr>
        <w:t xml:space="preserve"> accredit</w:t>
      </w:r>
      <w:r w:rsidR="00907B39">
        <w:rPr>
          <w:rFonts w:ascii="Courier New" w:hAnsi="Courier New" w:cs="Courier New"/>
          <w:sz w:val="24"/>
          <w:szCs w:val="24"/>
        </w:rPr>
        <w:t>ed</w:t>
      </w:r>
      <w:r>
        <w:rPr>
          <w:rFonts w:ascii="Courier New" w:hAnsi="Courier New" w:cs="Courier New"/>
          <w:sz w:val="24"/>
          <w:szCs w:val="24"/>
        </w:rPr>
        <w:t xml:space="preserve">.  </w:t>
      </w:r>
      <w:r w:rsidR="008A05A8">
        <w:rPr>
          <w:rFonts w:ascii="Courier New" w:hAnsi="Courier New" w:cs="Courier New"/>
          <w:sz w:val="24"/>
          <w:szCs w:val="24"/>
        </w:rPr>
        <w:t xml:space="preserve">Because students may seek employment outside of their </w:t>
      </w:r>
      <w:r w:rsidR="0012768D">
        <w:rPr>
          <w:rFonts w:ascii="Courier New" w:hAnsi="Courier New" w:cs="Courier New"/>
          <w:sz w:val="24"/>
          <w:szCs w:val="24"/>
        </w:rPr>
        <w:t xml:space="preserve">State or </w:t>
      </w:r>
      <w:r w:rsidR="008A05A8">
        <w:rPr>
          <w:rFonts w:ascii="Courier New" w:hAnsi="Courier New" w:cs="Courier New"/>
          <w:sz w:val="24"/>
          <w:szCs w:val="24"/>
        </w:rPr>
        <w:t xml:space="preserve">MSA, however, we believe it would also be helpful to students to know of any other States for which the institution has determined whether the program meets licensure and certification requirements and those States for which the institution has not made any such determination.  We are revising the regulations accordingly.  </w:t>
      </w:r>
    </w:p>
    <w:p w14:paraId="67490A66" w14:textId="48961047" w:rsidR="0020332E" w:rsidRDefault="008A05A8" w:rsidP="001168B5">
      <w:pPr>
        <w:spacing w:after="0" w:line="480" w:lineRule="auto"/>
        <w:rPr>
          <w:rFonts w:ascii="Courier New" w:hAnsi="Courier New" w:cs="Courier New"/>
          <w:sz w:val="24"/>
          <w:szCs w:val="24"/>
        </w:rPr>
      </w:pPr>
      <w:r>
        <w:rPr>
          <w:rFonts w:ascii="Courier New" w:hAnsi="Courier New" w:cs="Courier New"/>
          <w:sz w:val="24"/>
          <w:szCs w:val="24"/>
        </w:rPr>
        <w:t xml:space="preserve">     We </w:t>
      </w:r>
      <w:r w:rsidR="00F20899">
        <w:rPr>
          <w:rFonts w:ascii="Courier New" w:hAnsi="Courier New" w:cs="Courier New"/>
          <w:sz w:val="24"/>
          <w:szCs w:val="24"/>
        </w:rPr>
        <w:t>decline to require institutions to disclose th</w:t>
      </w:r>
      <w:r w:rsidR="0020332E">
        <w:rPr>
          <w:rFonts w:ascii="Courier New" w:hAnsi="Courier New" w:cs="Courier New"/>
          <w:sz w:val="24"/>
          <w:szCs w:val="24"/>
        </w:rPr>
        <w:t>e actua</w:t>
      </w:r>
      <w:r w:rsidR="00F20899">
        <w:rPr>
          <w:rFonts w:ascii="Courier New" w:hAnsi="Courier New" w:cs="Courier New"/>
          <w:sz w:val="24"/>
          <w:szCs w:val="24"/>
        </w:rPr>
        <w:t>l licensure or certification requirements that are met given the burden this would impose on institutions</w:t>
      </w:r>
      <w:r w:rsidR="008746DF">
        <w:rPr>
          <w:rFonts w:ascii="Courier New" w:hAnsi="Courier New" w:cs="Courier New"/>
          <w:sz w:val="24"/>
          <w:szCs w:val="24"/>
        </w:rPr>
        <w:t>.</w:t>
      </w:r>
      <w:r w:rsidR="00F20899">
        <w:rPr>
          <w:rFonts w:ascii="Courier New" w:hAnsi="Courier New" w:cs="Courier New"/>
          <w:sz w:val="24"/>
          <w:szCs w:val="24"/>
        </w:rPr>
        <w:t xml:space="preserve"> </w:t>
      </w:r>
      <w:r w:rsidR="008746DF">
        <w:rPr>
          <w:rFonts w:ascii="Courier New" w:hAnsi="Courier New" w:cs="Courier New"/>
          <w:sz w:val="24"/>
          <w:szCs w:val="24"/>
        </w:rPr>
        <w:t xml:space="preserve"> We believe</w:t>
      </w:r>
      <w:r w:rsidR="00F20899">
        <w:rPr>
          <w:rFonts w:ascii="Courier New" w:hAnsi="Courier New" w:cs="Courier New"/>
          <w:sz w:val="24"/>
          <w:szCs w:val="24"/>
        </w:rPr>
        <w:t xml:space="preserve"> that </w:t>
      </w:r>
      <w:r w:rsidR="0012768D">
        <w:rPr>
          <w:rFonts w:ascii="Courier New" w:hAnsi="Courier New" w:cs="Courier New"/>
          <w:sz w:val="24"/>
          <w:szCs w:val="24"/>
        </w:rPr>
        <w:t xml:space="preserve">the </w:t>
      </w:r>
      <w:r w:rsidR="00F20899">
        <w:rPr>
          <w:rFonts w:ascii="Courier New" w:hAnsi="Courier New" w:cs="Courier New"/>
          <w:sz w:val="24"/>
          <w:szCs w:val="24"/>
        </w:rPr>
        <w:t>more critical information for students is whether or not the program satisfies the applicable requirements</w:t>
      </w:r>
      <w:r w:rsidR="008746DF">
        <w:rPr>
          <w:rFonts w:ascii="Courier New" w:hAnsi="Courier New" w:cs="Courier New"/>
          <w:sz w:val="24"/>
          <w:szCs w:val="24"/>
        </w:rPr>
        <w:t>.</w:t>
      </w:r>
      <w:r w:rsidR="00F20899">
        <w:rPr>
          <w:rFonts w:ascii="Courier New" w:hAnsi="Courier New" w:cs="Courier New"/>
          <w:sz w:val="24"/>
          <w:szCs w:val="24"/>
        </w:rPr>
        <w:t xml:space="preserve">  </w:t>
      </w:r>
    </w:p>
    <w:p w14:paraId="16CED980" w14:textId="5E029591" w:rsidR="001168B5" w:rsidRDefault="0020332E" w:rsidP="008A05A8">
      <w:pPr>
        <w:spacing w:after="0" w:line="480" w:lineRule="auto"/>
        <w:rPr>
          <w:rFonts w:ascii="Courier New" w:hAnsi="Courier New" w:cs="Courier New"/>
          <w:sz w:val="24"/>
          <w:szCs w:val="24"/>
        </w:rPr>
      </w:pPr>
      <w:r>
        <w:rPr>
          <w:rFonts w:ascii="Courier New" w:hAnsi="Courier New" w:cs="Courier New"/>
          <w:sz w:val="24"/>
          <w:szCs w:val="24"/>
        </w:rPr>
        <w:t xml:space="preserve">     </w:t>
      </w:r>
      <w:r w:rsidR="007E51DD">
        <w:rPr>
          <w:rFonts w:ascii="Courier New" w:hAnsi="Courier New" w:cs="Courier New"/>
          <w:sz w:val="24"/>
          <w:szCs w:val="24"/>
        </w:rPr>
        <w:t>The disclosure requirements regarding programmatic accreditation in the proposed regulations were not overly broad, burdensome, or subjective.  However, we are simplifying these requirements to make the disclosures more effective for consumers and to facilitate institutional compliance.  We are revising §668.412(a)(15) to require institutions to disclose, if required on the disclosure template, simply whether the program is programmatically accredited.</w:t>
      </w:r>
      <w:r w:rsidR="008A05A8">
        <w:rPr>
          <w:rFonts w:ascii="Courier New" w:hAnsi="Courier New" w:cs="Courier New"/>
          <w:sz w:val="24"/>
          <w:szCs w:val="24"/>
        </w:rPr>
        <w:t xml:space="preserve">  </w:t>
      </w:r>
      <w:r w:rsidR="007E51DD">
        <w:rPr>
          <w:rFonts w:ascii="Courier New" w:hAnsi="Courier New" w:cs="Courier New"/>
          <w:sz w:val="24"/>
          <w:szCs w:val="24"/>
        </w:rPr>
        <w:t xml:space="preserve">Under §668.414, an institution is already required to certify that a program is </w:t>
      </w:r>
      <w:r w:rsidR="007E51DD" w:rsidRPr="00280162">
        <w:rPr>
          <w:rFonts w:ascii="Courier New" w:hAnsi="Courier New" w:cs="Courier New"/>
          <w:sz w:val="24"/>
          <w:szCs w:val="24"/>
        </w:rPr>
        <w:t>programmatically accredited, if such accreditation is required by a Federal governmental entity or by a governmental entity in the State in which the institution is located</w:t>
      </w:r>
      <w:r w:rsidR="007E51DD">
        <w:rPr>
          <w:rFonts w:ascii="Courier New" w:hAnsi="Courier New" w:cs="Courier New"/>
          <w:sz w:val="24"/>
          <w:szCs w:val="24"/>
        </w:rPr>
        <w:t xml:space="preserve"> or in which the institution is otherwise required to obtain State approval under 34 CFR 600.9.  Accordingly, i</w:t>
      </w:r>
      <w:r w:rsidR="001168B5">
        <w:rPr>
          <w:rFonts w:ascii="Courier New" w:hAnsi="Courier New" w:cs="Courier New"/>
          <w:sz w:val="24"/>
          <w:szCs w:val="24"/>
        </w:rPr>
        <w:t>nstitutions should already have obtained the</w:t>
      </w:r>
      <w:r w:rsidR="007E51DD">
        <w:rPr>
          <w:rFonts w:ascii="Courier New" w:hAnsi="Courier New" w:cs="Courier New"/>
          <w:sz w:val="24"/>
          <w:szCs w:val="24"/>
        </w:rPr>
        <w:t>se</w:t>
      </w:r>
      <w:r w:rsidR="001168B5">
        <w:rPr>
          <w:rFonts w:ascii="Courier New" w:hAnsi="Courier New" w:cs="Courier New"/>
          <w:sz w:val="24"/>
          <w:szCs w:val="24"/>
        </w:rPr>
        <w:t xml:space="preserve"> necessary programmatic accreditations.  </w:t>
      </w:r>
      <w:r w:rsidR="007E51DD">
        <w:rPr>
          <w:rFonts w:ascii="Courier New" w:hAnsi="Courier New" w:cs="Courier New"/>
          <w:sz w:val="24"/>
          <w:szCs w:val="24"/>
        </w:rPr>
        <w:t>For any other programmatic accreditation, t</w:t>
      </w:r>
      <w:r w:rsidR="001168B5" w:rsidDel="00761DEB">
        <w:rPr>
          <w:rFonts w:ascii="Courier New" w:hAnsi="Courier New" w:cs="Courier New"/>
          <w:sz w:val="24"/>
          <w:szCs w:val="24"/>
        </w:rPr>
        <w:t xml:space="preserve">he regulations </w:t>
      </w:r>
      <w:r w:rsidR="001168B5">
        <w:rPr>
          <w:rFonts w:ascii="Courier New" w:hAnsi="Courier New" w:cs="Courier New"/>
          <w:sz w:val="24"/>
          <w:szCs w:val="24"/>
        </w:rPr>
        <w:t xml:space="preserve">merely require disclosure of this information.  </w:t>
      </w:r>
      <w:r w:rsidR="007E51DD">
        <w:rPr>
          <w:rFonts w:ascii="Courier New" w:hAnsi="Courier New" w:cs="Courier New"/>
          <w:sz w:val="24"/>
          <w:szCs w:val="24"/>
        </w:rPr>
        <w:t xml:space="preserve">It will be to an institution’s benefit to disclose any programmatic accreditation it has obtained beyond the accreditation required under §668.414.  </w:t>
      </w:r>
      <w:r w:rsidR="001168B5">
        <w:rPr>
          <w:rFonts w:ascii="Courier New" w:hAnsi="Courier New" w:cs="Courier New"/>
          <w:sz w:val="24"/>
          <w:szCs w:val="24"/>
        </w:rPr>
        <w:t xml:space="preserve">Finally, we do not agree that the </w:t>
      </w:r>
      <w:r w:rsidR="007E51DD">
        <w:rPr>
          <w:rFonts w:ascii="Courier New" w:hAnsi="Courier New" w:cs="Courier New"/>
          <w:sz w:val="24"/>
          <w:szCs w:val="24"/>
        </w:rPr>
        <w:t xml:space="preserve">proposed </w:t>
      </w:r>
      <w:r w:rsidR="001168B5">
        <w:rPr>
          <w:rFonts w:ascii="Courier New" w:hAnsi="Courier New" w:cs="Courier New"/>
          <w:sz w:val="24"/>
          <w:szCs w:val="24"/>
        </w:rPr>
        <w:t xml:space="preserve">requirements </w:t>
      </w:r>
      <w:r w:rsidR="007E51DD">
        <w:rPr>
          <w:rFonts w:ascii="Courier New" w:hAnsi="Courier New" w:cs="Courier New"/>
          <w:sz w:val="24"/>
          <w:szCs w:val="24"/>
        </w:rPr>
        <w:t xml:space="preserve">were </w:t>
      </w:r>
      <w:r w:rsidR="001168B5">
        <w:rPr>
          <w:rFonts w:ascii="Courier New" w:hAnsi="Courier New" w:cs="Courier New"/>
          <w:sz w:val="24"/>
          <w:szCs w:val="24"/>
        </w:rPr>
        <w:t>subjective</w:t>
      </w:r>
      <w:r w:rsidR="007E51DD">
        <w:rPr>
          <w:rFonts w:ascii="Courier New" w:hAnsi="Courier New" w:cs="Courier New"/>
          <w:sz w:val="24"/>
          <w:szCs w:val="24"/>
        </w:rPr>
        <w:t xml:space="preserve">, but we have, nonetheless, revised the requirement to avoid </w:t>
      </w:r>
      <w:r w:rsidR="00596045">
        <w:rPr>
          <w:rFonts w:ascii="Courier New" w:hAnsi="Courier New" w:cs="Courier New"/>
          <w:sz w:val="24"/>
          <w:szCs w:val="24"/>
        </w:rPr>
        <w:t>reference to “necessary”</w:t>
      </w:r>
      <w:r w:rsidR="007E51DD">
        <w:rPr>
          <w:rFonts w:ascii="Courier New" w:hAnsi="Courier New" w:cs="Courier New"/>
          <w:sz w:val="24"/>
          <w:szCs w:val="24"/>
        </w:rPr>
        <w:t xml:space="preserve"> programmatic accreditation.  As revised, institutions are required only to disclose whether they have</w:t>
      </w:r>
      <w:r w:rsidR="00BC3B2E">
        <w:rPr>
          <w:rFonts w:ascii="Courier New" w:hAnsi="Courier New" w:cs="Courier New"/>
          <w:sz w:val="24"/>
          <w:szCs w:val="24"/>
        </w:rPr>
        <w:t xml:space="preserve"> the programmatic </w:t>
      </w:r>
      <w:r w:rsidR="00596045">
        <w:rPr>
          <w:rFonts w:ascii="Courier New" w:hAnsi="Courier New" w:cs="Courier New"/>
          <w:sz w:val="24"/>
          <w:szCs w:val="24"/>
        </w:rPr>
        <w:t>accreditation</w:t>
      </w:r>
      <w:r w:rsidR="001168B5">
        <w:rPr>
          <w:rFonts w:ascii="Courier New" w:hAnsi="Courier New" w:cs="Courier New"/>
          <w:sz w:val="24"/>
          <w:szCs w:val="24"/>
        </w:rPr>
        <w:t xml:space="preserve">.  </w:t>
      </w:r>
      <w:r w:rsidR="0012768D">
        <w:rPr>
          <w:rFonts w:ascii="Courier New" w:hAnsi="Courier New" w:cs="Courier New"/>
          <w:sz w:val="24"/>
          <w:szCs w:val="24"/>
        </w:rPr>
        <w:t xml:space="preserve">We are </w:t>
      </w:r>
      <w:r w:rsidR="007E51DD">
        <w:rPr>
          <w:rFonts w:ascii="Courier New" w:hAnsi="Courier New" w:cs="Courier New"/>
          <w:sz w:val="24"/>
          <w:szCs w:val="24"/>
        </w:rPr>
        <w:t>also</w:t>
      </w:r>
      <w:r w:rsidR="0012768D">
        <w:rPr>
          <w:rFonts w:ascii="Courier New" w:hAnsi="Courier New" w:cs="Courier New"/>
          <w:sz w:val="24"/>
          <w:szCs w:val="24"/>
        </w:rPr>
        <w:t xml:space="preserve"> revising the regulations to require an institution to disclose the name of the accrediting agency </w:t>
      </w:r>
      <w:r w:rsidR="00E54CF0">
        <w:rPr>
          <w:rFonts w:ascii="Courier New" w:hAnsi="Courier New" w:cs="Courier New"/>
          <w:sz w:val="24"/>
          <w:szCs w:val="24"/>
        </w:rPr>
        <w:t>or agencies</w:t>
      </w:r>
      <w:r w:rsidR="0012768D">
        <w:rPr>
          <w:rFonts w:ascii="Courier New" w:hAnsi="Courier New" w:cs="Courier New"/>
          <w:sz w:val="24"/>
          <w:szCs w:val="24"/>
        </w:rPr>
        <w:t xml:space="preserve"> providing the programmatic accreditation so that students </w:t>
      </w:r>
      <w:r w:rsidR="00B85C94">
        <w:rPr>
          <w:rFonts w:ascii="Courier New" w:hAnsi="Courier New" w:cs="Courier New"/>
          <w:sz w:val="24"/>
          <w:szCs w:val="24"/>
        </w:rPr>
        <w:t>have this important information.</w:t>
      </w:r>
      <w:r w:rsidR="0012768D">
        <w:rPr>
          <w:rFonts w:ascii="Courier New" w:hAnsi="Courier New" w:cs="Courier New"/>
          <w:sz w:val="24"/>
          <w:szCs w:val="24"/>
        </w:rPr>
        <w:t xml:space="preserve">  </w:t>
      </w:r>
      <w:r w:rsidR="001168B5">
        <w:rPr>
          <w:rFonts w:ascii="Courier New" w:hAnsi="Courier New" w:cs="Courier New"/>
          <w:sz w:val="24"/>
          <w:szCs w:val="24"/>
        </w:rPr>
        <w:t xml:space="preserve">  </w:t>
      </w:r>
    </w:p>
    <w:p w14:paraId="375DC557" w14:textId="3FD43D1D" w:rsidR="009A0682" w:rsidRPr="009A0682" w:rsidRDefault="009A0682" w:rsidP="009A0682">
      <w:pPr>
        <w:pStyle w:val="CommentText"/>
        <w:spacing w:after="0" w:line="480" w:lineRule="auto"/>
        <w:rPr>
          <w:rFonts w:ascii="Courier New" w:hAnsi="Courier New" w:cs="Courier New"/>
          <w:sz w:val="24"/>
          <w:szCs w:val="24"/>
        </w:rPr>
      </w:pPr>
      <w:r>
        <w:rPr>
          <w:rFonts w:ascii="Courier New" w:hAnsi="Courier New" w:cs="Courier New"/>
          <w:sz w:val="24"/>
          <w:szCs w:val="24"/>
        </w:rPr>
        <w:t xml:space="preserve">     </w:t>
      </w:r>
      <w:r w:rsidRPr="009A0682">
        <w:rPr>
          <w:rFonts w:ascii="Courier New" w:hAnsi="Courier New" w:cs="Courier New"/>
          <w:sz w:val="24"/>
          <w:szCs w:val="24"/>
        </w:rPr>
        <w:t xml:space="preserve">It is not necessary </w:t>
      </w:r>
      <w:r>
        <w:rPr>
          <w:rFonts w:ascii="Courier New" w:hAnsi="Courier New" w:cs="Courier New"/>
          <w:sz w:val="24"/>
          <w:szCs w:val="24"/>
        </w:rPr>
        <w:t xml:space="preserve">to require </w:t>
      </w:r>
      <w:r w:rsidRPr="009A0682">
        <w:rPr>
          <w:rFonts w:ascii="Courier New" w:hAnsi="Courier New" w:cs="Courier New"/>
          <w:sz w:val="24"/>
          <w:szCs w:val="24"/>
        </w:rPr>
        <w:t>institution</w:t>
      </w:r>
      <w:r>
        <w:rPr>
          <w:rFonts w:ascii="Courier New" w:hAnsi="Courier New" w:cs="Courier New"/>
          <w:sz w:val="24"/>
          <w:szCs w:val="24"/>
        </w:rPr>
        <w:t>s to disclose</w:t>
      </w:r>
      <w:r w:rsidRPr="009A0682">
        <w:rPr>
          <w:rFonts w:ascii="Courier New" w:hAnsi="Courier New" w:cs="Courier New"/>
          <w:sz w:val="24"/>
          <w:szCs w:val="24"/>
        </w:rPr>
        <w:t xml:space="preserve"> that students are unable to use title IV, HEA program funds to enroll in </w:t>
      </w:r>
      <w:r>
        <w:rPr>
          <w:rFonts w:ascii="Courier New" w:hAnsi="Courier New" w:cs="Courier New"/>
          <w:sz w:val="24"/>
          <w:szCs w:val="24"/>
        </w:rPr>
        <w:t>a</w:t>
      </w:r>
      <w:r w:rsidRPr="009A0682">
        <w:rPr>
          <w:rFonts w:ascii="Courier New" w:hAnsi="Courier New" w:cs="Courier New"/>
          <w:sz w:val="24"/>
          <w:szCs w:val="24"/>
        </w:rPr>
        <w:t xml:space="preserve"> program </w:t>
      </w:r>
      <w:r w:rsidR="00BC3B2E">
        <w:rPr>
          <w:rFonts w:ascii="Courier New" w:hAnsi="Courier New" w:cs="Courier New"/>
          <w:sz w:val="24"/>
          <w:szCs w:val="24"/>
        </w:rPr>
        <w:t xml:space="preserve">if </w:t>
      </w:r>
      <w:r w:rsidRPr="009A0682">
        <w:rPr>
          <w:rFonts w:ascii="Courier New" w:hAnsi="Courier New" w:cs="Courier New"/>
          <w:sz w:val="24"/>
          <w:szCs w:val="24"/>
        </w:rPr>
        <w:t>the program does not meet the requirements</w:t>
      </w:r>
      <w:r>
        <w:rPr>
          <w:rFonts w:ascii="Courier New" w:hAnsi="Courier New" w:cs="Courier New"/>
          <w:sz w:val="24"/>
          <w:szCs w:val="24"/>
        </w:rPr>
        <w:t xml:space="preserve"> in §668.414.  If a program does not meet those requirements, then it is not considered a GE program and therefore would not be required to make any disclosures under these regulations.  </w:t>
      </w:r>
    </w:p>
    <w:p w14:paraId="187AB40E" w14:textId="483B48F6"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 xml:space="preserve">As we have discussed, we will conduct consumer testing to learn more about how to convey information to students and prospective students.  However, we believe that there is sufficient explanation within the description of the disclosure items </w:t>
      </w:r>
      <w:r w:rsidR="0098291A">
        <w:rPr>
          <w:rFonts w:ascii="Courier New" w:hAnsi="Courier New" w:cs="Courier New"/>
          <w:sz w:val="24"/>
          <w:szCs w:val="24"/>
        </w:rPr>
        <w:t xml:space="preserve">for institutions to know what needs to be disclosed and when </w:t>
      </w:r>
      <w:r w:rsidR="009B56AE">
        <w:rPr>
          <w:rFonts w:ascii="Courier New" w:hAnsi="Courier New" w:cs="Courier New"/>
          <w:sz w:val="24"/>
          <w:szCs w:val="24"/>
        </w:rPr>
        <w:t>S</w:t>
      </w:r>
      <w:r w:rsidR="0098291A">
        <w:rPr>
          <w:rFonts w:ascii="Courier New" w:hAnsi="Courier New" w:cs="Courier New"/>
          <w:sz w:val="24"/>
          <w:szCs w:val="24"/>
        </w:rPr>
        <w:t xml:space="preserve">tate or </w:t>
      </w:r>
      <w:r w:rsidR="009B56AE">
        <w:rPr>
          <w:rFonts w:ascii="Courier New" w:hAnsi="Courier New" w:cs="Courier New"/>
          <w:sz w:val="24"/>
          <w:szCs w:val="24"/>
        </w:rPr>
        <w:t>F</w:t>
      </w:r>
      <w:r w:rsidR="0098291A">
        <w:rPr>
          <w:rFonts w:ascii="Courier New" w:hAnsi="Courier New" w:cs="Courier New"/>
          <w:sz w:val="24"/>
          <w:szCs w:val="24"/>
        </w:rPr>
        <w:t xml:space="preserve">ederal licensing and certification requirements </w:t>
      </w:r>
      <w:r w:rsidR="008A05A8">
        <w:rPr>
          <w:rFonts w:ascii="Courier New" w:hAnsi="Courier New" w:cs="Courier New"/>
          <w:sz w:val="24"/>
          <w:szCs w:val="24"/>
        </w:rPr>
        <w:t>have been met or whether a program has been</w:t>
      </w:r>
      <w:r w:rsidR="0098291A">
        <w:rPr>
          <w:rFonts w:ascii="Courier New" w:hAnsi="Courier New" w:cs="Courier New"/>
          <w:sz w:val="24"/>
          <w:szCs w:val="24"/>
        </w:rPr>
        <w:t xml:space="preserve"> programmatic</w:t>
      </w:r>
      <w:r w:rsidR="008A05A8">
        <w:rPr>
          <w:rFonts w:ascii="Courier New" w:hAnsi="Courier New" w:cs="Courier New"/>
          <w:sz w:val="24"/>
          <w:szCs w:val="24"/>
        </w:rPr>
        <w:t>ally</w:t>
      </w:r>
      <w:r w:rsidR="0098291A">
        <w:rPr>
          <w:rFonts w:ascii="Courier New" w:hAnsi="Courier New" w:cs="Courier New"/>
          <w:sz w:val="24"/>
          <w:szCs w:val="24"/>
        </w:rPr>
        <w:t xml:space="preserve"> accredit</w:t>
      </w:r>
      <w:r w:rsidR="008A05A8">
        <w:rPr>
          <w:rFonts w:ascii="Courier New" w:hAnsi="Courier New" w:cs="Courier New"/>
          <w:sz w:val="24"/>
          <w:szCs w:val="24"/>
        </w:rPr>
        <w:t>ed</w:t>
      </w:r>
      <w:r w:rsidR="0098291A">
        <w:rPr>
          <w:rFonts w:ascii="Courier New" w:hAnsi="Courier New" w:cs="Courier New"/>
          <w:sz w:val="24"/>
          <w:szCs w:val="24"/>
        </w:rPr>
        <w:t>.</w:t>
      </w:r>
    </w:p>
    <w:p w14:paraId="5214FE10" w14:textId="4F87F820" w:rsidR="001168B5" w:rsidRPr="00EB7C60" w:rsidRDefault="001168B5" w:rsidP="001168B5">
      <w:pPr>
        <w:spacing w:after="0" w:line="480" w:lineRule="auto"/>
        <w:rPr>
          <w:rFonts w:ascii="Courier New" w:hAnsi="Courier New" w:cs="Courier New"/>
          <w:sz w:val="24"/>
          <w:szCs w:val="24"/>
          <w:highlight w:val="yellow"/>
        </w:rPr>
      </w:pPr>
      <w:r w:rsidRPr="00EB7C60">
        <w:rPr>
          <w:rFonts w:ascii="Courier New" w:hAnsi="Courier New" w:cs="Courier New"/>
          <w:sz w:val="24"/>
          <w:szCs w:val="24"/>
          <w:u w:val="single"/>
        </w:rPr>
        <w:t>Changes</w:t>
      </w:r>
      <w:r w:rsidRPr="00EB7C60">
        <w:rPr>
          <w:rFonts w:ascii="Courier New" w:hAnsi="Courier New" w:cs="Courier New"/>
          <w:sz w:val="24"/>
          <w:szCs w:val="24"/>
        </w:rPr>
        <w:t>:  We have revised §668.412(a)(14) to</w:t>
      </w:r>
      <w:r w:rsidRPr="007F1722">
        <w:rPr>
          <w:rFonts w:ascii="Courier New" w:hAnsi="Courier New" w:cs="Courier New"/>
          <w:sz w:val="24"/>
          <w:szCs w:val="24"/>
        </w:rPr>
        <w:t xml:space="preserve"> </w:t>
      </w:r>
      <w:r w:rsidRPr="004B5C64">
        <w:rPr>
          <w:rFonts w:ascii="Courier New" w:hAnsi="Courier New" w:cs="Courier New"/>
          <w:sz w:val="24"/>
          <w:szCs w:val="24"/>
        </w:rPr>
        <w:t xml:space="preserve">require that an institution indicate </w:t>
      </w:r>
      <w:r w:rsidR="00C177A9">
        <w:rPr>
          <w:rFonts w:ascii="Courier New" w:hAnsi="Courier New" w:cs="Courier New"/>
          <w:sz w:val="24"/>
          <w:szCs w:val="24"/>
        </w:rPr>
        <w:t>whether</w:t>
      </w:r>
      <w:r w:rsidR="00C177A9" w:rsidRPr="004B5C64">
        <w:rPr>
          <w:rFonts w:ascii="Courier New" w:hAnsi="Courier New" w:cs="Courier New"/>
          <w:sz w:val="24"/>
          <w:szCs w:val="24"/>
        </w:rPr>
        <w:t xml:space="preserve"> </w:t>
      </w:r>
      <w:r w:rsidR="008A05A8">
        <w:rPr>
          <w:rFonts w:ascii="Courier New" w:hAnsi="Courier New" w:cs="Courier New"/>
          <w:sz w:val="24"/>
          <w:szCs w:val="24"/>
        </w:rPr>
        <w:t xml:space="preserve">the GE program </w:t>
      </w:r>
      <w:r w:rsidRPr="004B5C64">
        <w:rPr>
          <w:rFonts w:ascii="Courier New" w:hAnsi="Courier New" w:cs="Courier New"/>
          <w:sz w:val="24"/>
          <w:szCs w:val="24"/>
        </w:rPr>
        <w:t>meets the licensure</w:t>
      </w:r>
      <w:r w:rsidR="00814BCB">
        <w:rPr>
          <w:rFonts w:ascii="Courier New" w:hAnsi="Courier New" w:cs="Courier New"/>
          <w:sz w:val="24"/>
          <w:szCs w:val="24"/>
        </w:rPr>
        <w:t xml:space="preserve"> and</w:t>
      </w:r>
      <w:r w:rsidRPr="004B5C64">
        <w:rPr>
          <w:rFonts w:ascii="Courier New" w:hAnsi="Courier New" w:cs="Courier New"/>
          <w:sz w:val="24"/>
          <w:szCs w:val="24"/>
        </w:rPr>
        <w:t xml:space="preserve"> certification requirements of </w:t>
      </w:r>
      <w:r w:rsidR="00814BCB">
        <w:rPr>
          <w:rFonts w:ascii="Courier New" w:hAnsi="Courier New" w:cs="Courier New"/>
          <w:sz w:val="24"/>
          <w:szCs w:val="24"/>
        </w:rPr>
        <w:t xml:space="preserve">each </w:t>
      </w:r>
      <w:r w:rsidR="00520695">
        <w:rPr>
          <w:rFonts w:ascii="Courier New" w:hAnsi="Courier New" w:cs="Courier New"/>
          <w:sz w:val="24"/>
          <w:szCs w:val="24"/>
        </w:rPr>
        <w:t>S</w:t>
      </w:r>
      <w:r w:rsidR="00814BCB">
        <w:rPr>
          <w:rFonts w:ascii="Courier New" w:hAnsi="Courier New" w:cs="Courier New"/>
          <w:sz w:val="24"/>
          <w:szCs w:val="24"/>
        </w:rPr>
        <w:t>tate within the institution’s MSA</w:t>
      </w:r>
      <w:r w:rsidRPr="004B5C64">
        <w:rPr>
          <w:rFonts w:ascii="Courier New" w:hAnsi="Courier New" w:cs="Courier New"/>
          <w:sz w:val="24"/>
          <w:szCs w:val="24"/>
        </w:rPr>
        <w:t xml:space="preserve">, </w:t>
      </w:r>
      <w:r w:rsidR="008A05A8">
        <w:rPr>
          <w:rFonts w:ascii="Courier New" w:hAnsi="Courier New" w:cs="Courier New"/>
          <w:sz w:val="24"/>
          <w:szCs w:val="24"/>
        </w:rPr>
        <w:t xml:space="preserve">and any other State in which the institution has made a determination regarding those requirements.  </w:t>
      </w:r>
      <w:r w:rsidRPr="004B5C64">
        <w:rPr>
          <w:rFonts w:ascii="Courier New" w:hAnsi="Courier New" w:cs="Courier New"/>
          <w:sz w:val="24"/>
          <w:szCs w:val="24"/>
        </w:rPr>
        <w:t xml:space="preserve">We have also revised the regulations to require that the </w:t>
      </w:r>
      <w:r w:rsidR="00520695">
        <w:rPr>
          <w:rFonts w:ascii="Courier New" w:hAnsi="Courier New" w:cs="Courier New"/>
          <w:sz w:val="24"/>
          <w:szCs w:val="24"/>
        </w:rPr>
        <w:t xml:space="preserve">institution include a statement that the </w:t>
      </w:r>
      <w:r w:rsidR="00520695" w:rsidRPr="004B5C64">
        <w:rPr>
          <w:rFonts w:ascii="Courier New" w:hAnsi="Courier New" w:cs="Courier New"/>
          <w:sz w:val="24"/>
          <w:szCs w:val="24"/>
        </w:rPr>
        <w:t xml:space="preserve">institution </w:t>
      </w:r>
      <w:r w:rsidR="00520695">
        <w:rPr>
          <w:rFonts w:ascii="Courier New" w:hAnsi="Courier New" w:cs="Courier New"/>
          <w:sz w:val="24"/>
          <w:szCs w:val="24"/>
        </w:rPr>
        <w:t xml:space="preserve">has not made a determination with respect to the licensure or certification requirements of </w:t>
      </w:r>
      <w:r w:rsidR="008A05A8">
        <w:rPr>
          <w:rFonts w:ascii="Courier New" w:hAnsi="Courier New" w:cs="Courier New"/>
          <w:sz w:val="24"/>
          <w:szCs w:val="24"/>
        </w:rPr>
        <w:t xml:space="preserve">other States not already identified.  </w:t>
      </w:r>
      <w:r w:rsidR="00814BCB">
        <w:rPr>
          <w:rFonts w:ascii="Courier New" w:hAnsi="Courier New" w:cs="Courier New"/>
          <w:sz w:val="24"/>
          <w:szCs w:val="24"/>
        </w:rPr>
        <w:t xml:space="preserve">We have revised </w:t>
      </w:r>
      <w:r w:rsidR="00814BCB" w:rsidRPr="00EB7C60">
        <w:rPr>
          <w:rFonts w:ascii="Courier New" w:hAnsi="Courier New" w:cs="Courier New"/>
          <w:sz w:val="24"/>
          <w:szCs w:val="24"/>
        </w:rPr>
        <w:t>§668.412(a)(1</w:t>
      </w:r>
      <w:r w:rsidR="00814BCB">
        <w:rPr>
          <w:rFonts w:ascii="Courier New" w:hAnsi="Courier New" w:cs="Courier New"/>
          <w:sz w:val="24"/>
          <w:szCs w:val="24"/>
        </w:rPr>
        <w:t>5) to</w:t>
      </w:r>
      <w:r w:rsidR="00C177A9">
        <w:rPr>
          <w:rFonts w:ascii="Courier New" w:hAnsi="Courier New" w:cs="Courier New"/>
          <w:sz w:val="24"/>
          <w:szCs w:val="24"/>
        </w:rPr>
        <w:t xml:space="preserve"> simplify the require</w:t>
      </w:r>
      <w:r w:rsidR="00BC287B">
        <w:rPr>
          <w:rFonts w:ascii="Courier New" w:hAnsi="Courier New" w:cs="Courier New"/>
          <w:sz w:val="24"/>
          <w:szCs w:val="24"/>
        </w:rPr>
        <w:t>d</w:t>
      </w:r>
      <w:r w:rsidR="00C177A9">
        <w:rPr>
          <w:rFonts w:ascii="Courier New" w:hAnsi="Courier New" w:cs="Courier New"/>
          <w:sz w:val="24"/>
          <w:szCs w:val="24"/>
        </w:rPr>
        <w:t xml:space="preserve"> disclosure and</w:t>
      </w:r>
      <w:r w:rsidR="00814BCB">
        <w:rPr>
          <w:rFonts w:ascii="Courier New" w:hAnsi="Courier New" w:cs="Courier New"/>
          <w:sz w:val="24"/>
          <w:szCs w:val="24"/>
        </w:rPr>
        <w:t xml:space="preserve"> to require institutions to disclose</w:t>
      </w:r>
      <w:r w:rsidR="008A05A8">
        <w:rPr>
          <w:rFonts w:ascii="Courier New" w:hAnsi="Courier New" w:cs="Courier New"/>
          <w:sz w:val="24"/>
          <w:szCs w:val="24"/>
        </w:rPr>
        <w:t xml:space="preserve">, in addition to </w:t>
      </w:r>
      <w:r w:rsidR="00814BCB">
        <w:rPr>
          <w:rFonts w:ascii="Courier New" w:hAnsi="Courier New" w:cs="Courier New"/>
          <w:sz w:val="24"/>
          <w:szCs w:val="24"/>
        </w:rPr>
        <w:t>whether the program is programmatically accredited</w:t>
      </w:r>
      <w:r w:rsidR="008A05A8">
        <w:rPr>
          <w:rFonts w:ascii="Courier New" w:hAnsi="Courier New" w:cs="Courier New"/>
          <w:sz w:val="24"/>
          <w:szCs w:val="24"/>
        </w:rPr>
        <w:t>,</w:t>
      </w:r>
      <w:r w:rsidR="00814BCB">
        <w:rPr>
          <w:rFonts w:ascii="Courier New" w:hAnsi="Courier New" w:cs="Courier New"/>
          <w:sz w:val="24"/>
          <w:szCs w:val="24"/>
        </w:rPr>
        <w:t xml:space="preserve"> the name of the accrediting agency. </w:t>
      </w:r>
    </w:p>
    <w:p w14:paraId="0A63854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None.</w:t>
      </w:r>
    </w:p>
    <w:p w14:paraId="26FCC9FD"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The proposed regulations provided that the disclosure template must include a link to the Department’s </w:t>
      </w:r>
      <w:r w:rsidRPr="00280162">
        <w:rPr>
          <w:rFonts w:ascii="Courier New" w:hAnsi="Courier New" w:cs="Courier New"/>
          <w:sz w:val="24"/>
          <w:szCs w:val="24"/>
        </w:rPr>
        <w:t>College Navigator Web site</w:t>
      </w:r>
      <w:r w:rsidRPr="00280162">
        <w:rPr>
          <w:rFonts w:ascii="Courier New" w:hAnsi="Courier New" w:cs="Courier New"/>
          <w:sz w:val="24"/>
          <w:szCs w:val="24"/>
        </w:rPr>
        <w:fldChar w:fldCharType="begin"/>
      </w:r>
      <w:r w:rsidRPr="00280162">
        <w:rPr>
          <w:rFonts w:ascii="Courier New" w:hAnsi="Courier New" w:cs="Courier New"/>
          <w:sz w:val="24"/>
          <w:szCs w:val="24"/>
        </w:rPr>
        <w:instrText>"http://nces.ed.gov/collegenavigator/"</w:instrText>
      </w:r>
      <w:r w:rsidRPr="00280162">
        <w:rPr>
          <w:rFonts w:ascii="Courier New" w:hAnsi="Courier New" w:cs="Courier New"/>
          <w:sz w:val="24"/>
          <w:szCs w:val="24"/>
        </w:rPr>
        <w:fldChar w:fldCharType="separate"/>
      </w:r>
      <w:r w:rsidRPr="00280162">
        <w:rPr>
          <w:rFonts w:ascii="Courier New" w:hAnsi="Courier New" w:cs="Courier New"/>
          <w:sz w:val="24"/>
          <w:szCs w:val="24"/>
          <w:u w:val="single"/>
        </w:rPr>
        <w:t>http://nces.ed.gov/collegenavigator/</w:t>
      </w:r>
      <w:r w:rsidRPr="00280162">
        <w:rPr>
          <w:rFonts w:ascii="Courier New" w:hAnsi="Courier New" w:cs="Courier New"/>
          <w:sz w:val="24"/>
          <w:szCs w:val="24"/>
        </w:rPr>
        <w:fldChar w:fldCharType="end"/>
      </w:r>
      <w:r w:rsidRPr="00280162">
        <w:rPr>
          <w:rFonts w:ascii="Courier New" w:hAnsi="Courier New" w:cs="Courier New"/>
          <w:sz w:val="24"/>
          <w:szCs w:val="24"/>
        </w:rPr>
        <w:t>, or its successor site</w:t>
      </w:r>
      <w:r>
        <w:rPr>
          <w:rFonts w:ascii="Courier New" w:hAnsi="Courier New" w:cs="Courier New"/>
          <w:sz w:val="24"/>
          <w:szCs w:val="24"/>
        </w:rPr>
        <w:t xml:space="preserve">, so that students and prospective students have an easy reference to a resource that permits easy comparison among similar programs.  As the Department or another Federal agency may in the future develop a better tool that serves prospective students in this regard, we are revising §668.412(a)(16) to refer to College Navigator, its successor site, or another similar Federal resource, which would be designated by the Secretary in a notice published in the </w:t>
      </w:r>
      <w:r>
        <w:rPr>
          <w:rFonts w:ascii="Courier New" w:hAnsi="Courier New" w:cs="Courier New"/>
          <w:sz w:val="24"/>
          <w:szCs w:val="24"/>
          <w:u w:val="single"/>
        </w:rPr>
        <w:t>Federal Register</w:t>
      </w:r>
      <w:r>
        <w:rPr>
          <w:rFonts w:ascii="Courier New" w:hAnsi="Courier New" w:cs="Courier New"/>
          <w:sz w:val="24"/>
          <w:szCs w:val="24"/>
        </w:rPr>
        <w:t>.</w:t>
      </w:r>
    </w:p>
    <w:p w14:paraId="4ADDB68B" w14:textId="2E46CBDA"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We have added in §668.412(a)(16) a reference to other similar Federal resource.</w:t>
      </w:r>
    </w:p>
    <w:p w14:paraId="36B0BED9"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None.</w:t>
      </w:r>
    </w:p>
    <w:p w14:paraId="35966832"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Del="00275E95">
        <w:rPr>
          <w:rFonts w:ascii="Courier New" w:hAnsi="Courier New" w:cs="Courier New"/>
          <w:sz w:val="24"/>
          <w:szCs w:val="24"/>
        </w:rPr>
        <w:t>For the readers’ convenience</w:t>
      </w:r>
      <w:r>
        <w:rPr>
          <w:rFonts w:ascii="Courier New" w:hAnsi="Courier New" w:cs="Courier New"/>
          <w:sz w:val="24"/>
          <w:szCs w:val="24"/>
        </w:rPr>
        <w:t>, we have consolidated the requirements relating to student warnings in §668.410(a), including the requirement that institutions include the student warning on the disclosure template.  Although we are removing the substantive provisions of this requirement from §668.412(b)(2), we are adding a cross-reference to the requirement in §668.410(a).</w:t>
      </w:r>
    </w:p>
    <w:p w14:paraId="66280613"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We have revised §668.412(b)(2) to provide that an institution must update the disclosure template with the student warning </w:t>
      </w:r>
      <w:r w:rsidRPr="00280162">
        <w:rPr>
          <w:rFonts w:ascii="Courier New" w:hAnsi="Courier New" w:cs="Courier New"/>
          <w:sz w:val="24"/>
          <w:szCs w:val="24"/>
        </w:rPr>
        <w:t>as required under §668.410(a)(</w:t>
      </w:r>
      <w:r>
        <w:rPr>
          <w:rFonts w:ascii="Courier New" w:hAnsi="Courier New" w:cs="Courier New"/>
          <w:sz w:val="24"/>
          <w:szCs w:val="24"/>
        </w:rPr>
        <w:t>7</w:t>
      </w:r>
      <w:r w:rsidRPr="00280162">
        <w:rPr>
          <w:rFonts w:ascii="Courier New" w:hAnsi="Courier New" w:cs="Courier New"/>
          <w:sz w:val="24"/>
          <w:szCs w:val="24"/>
        </w:rPr>
        <w:t>)</w:t>
      </w:r>
      <w:r>
        <w:rPr>
          <w:rFonts w:ascii="Courier New" w:hAnsi="Courier New" w:cs="Courier New"/>
          <w:sz w:val="24"/>
          <w:szCs w:val="24"/>
        </w:rPr>
        <w:t>.</w:t>
      </w:r>
    </w:p>
    <w:p w14:paraId="287E04C9" w14:textId="77777777" w:rsidR="001168B5" w:rsidRDefault="001168B5" w:rsidP="001168B5">
      <w:pPr>
        <w:pStyle w:val="Heading1"/>
      </w:pPr>
      <w:r>
        <w:t>Program Web Pages and Promotional Materials</w:t>
      </w:r>
    </w:p>
    <w:p w14:paraId="058A4C7E" w14:textId="77777777" w:rsidR="001168B5" w:rsidRPr="000A3370" w:rsidRDefault="001168B5" w:rsidP="001168B5">
      <w:pPr>
        <w:spacing w:after="0" w:line="480" w:lineRule="auto"/>
        <w:rPr>
          <w:rFonts w:ascii="Courier New" w:eastAsia="Times New Roman" w:hAnsi="Courier New" w:cs="Courier New"/>
          <w:sz w:val="24"/>
          <w:szCs w:val="24"/>
        </w:rPr>
      </w:pPr>
      <w:r w:rsidRPr="00E23C20">
        <w:rPr>
          <w:rFonts w:ascii="Courier New" w:eastAsia="Times New Roman" w:hAnsi="Courier New" w:cs="Courier New"/>
          <w:sz w:val="24"/>
          <w:szCs w:val="24"/>
          <w:u w:val="single"/>
        </w:rPr>
        <w:t>Comment</w:t>
      </w:r>
      <w:r>
        <w:rPr>
          <w:rFonts w:ascii="Courier New" w:eastAsia="Times New Roman" w:hAnsi="Courier New" w:cs="Courier New"/>
          <w:sz w:val="24"/>
          <w:szCs w:val="24"/>
          <w:u w:val="single"/>
        </w:rPr>
        <w:t>s</w:t>
      </w:r>
      <w:r w:rsidRPr="000A3370">
        <w:rPr>
          <w:rFonts w:ascii="Courier New" w:eastAsia="Times New Roman" w:hAnsi="Courier New" w:cs="Courier New"/>
          <w:sz w:val="24"/>
          <w:szCs w:val="24"/>
        </w:rPr>
        <w:t xml:space="preserve">:  A commenter objected to the provision that would require the institution </w:t>
      </w:r>
      <w:r w:rsidRPr="000A3370">
        <w:rPr>
          <w:rFonts w:ascii="Courier New" w:hAnsi="Courier New" w:cs="Courier New"/>
          <w:sz w:val="24"/>
          <w:szCs w:val="24"/>
        </w:rPr>
        <w:t xml:space="preserve">to change its </w:t>
      </w:r>
      <w:r>
        <w:rPr>
          <w:rFonts w:ascii="Courier New" w:hAnsi="Courier New" w:cs="Courier New"/>
          <w:sz w:val="24"/>
          <w:szCs w:val="24"/>
        </w:rPr>
        <w:t>Web site</w:t>
      </w:r>
      <w:r w:rsidRPr="000A3370">
        <w:rPr>
          <w:rFonts w:ascii="Courier New" w:hAnsi="Courier New" w:cs="Courier New"/>
          <w:sz w:val="24"/>
          <w:szCs w:val="24"/>
        </w:rPr>
        <w:t xml:space="preserve"> if the Department were to determine that the required link to the disclosure template is not sufficiently prominent, on the ground that this restricted its First Amendment rights. </w:t>
      </w:r>
    </w:p>
    <w:p w14:paraId="25A53D77" w14:textId="77777777" w:rsidR="001168B5" w:rsidRPr="000A3370" w:rsidRDefault="001168B5" w:rsidP="001168B5">
      <w:pPr>
        <w:spacing w:after="0" w:line="480" w:lineRule="auto"/>
        <w:rPr>
          <w:rFonts w:ascii="Courier New" w:eastAsia="Times New Roman" w:hAnsi="Courier New" w:cs="Courier New"/>
          <w:sz w:val="24"/>
          <w:szCs w:val="24"/>
        </w:rPr>
      </w:pPr>
      <w:r w:rsidRPr="00E23C20">
        <w:rPr>
          <w:rFonts w:ascii="Courier New" w:eastAsia="Times New Roman" w:hAnsi="Courier New" w:cs="Courier New"/>
          <w:sz w:val="24"/>
          <w:szCs w:val="24"/>
          <w:u w:val="single"/>
        </w:rPr>
        <w:t>Discussion</w:t>
      </w:r>
      <w:r w:rsidRPr="000A3370">
        <w:rPr>
          <w:rFonts w:ascii="Courier New" w:eastAsia="Times New Roman" w:hAnsi="Courier New" w:cs="Courier New"/>
          <w:sz w:val="24"/>
          <w:szCs w:val="24"/>
        </w:rPr>
        <w:t xml:space="preserve">:  </w:t>
      </w:r>
      <w:r>
        <w:rPr>
          <w:rFonts w:ascii="Courier New" w:eastAsia="Times New Roman" w:hAnsi="Courier New" w:cs="Courier New"/>
          <w:sz w:val="24"/>
          <w:szCs w:val="24"/>
        </w:rPr>
        <w:t>Section 668.412(c)</w:t>
      </w:r>
      <w:r w:rsidRPr="000A3370">
        <w:rPr>
          <w:rFonts w:ascii="Courier New" w:eastAsia="Times New Roman" w:hAnsi="Courier New" w:cs="Courier New"/>
          <w:sz w:val="24"/>
          <w:szCs w:val="24"/>
        </w:rPr>
        <w:t xml:space="preserve"> require</w:t>
      </w:r>
      <w:r>
        <w:rPr>
          <w:rFonts w:ascii="Courier New" w:eastAsia="Times New Roman" w:hAnsi="Courier New" w:cs="Courier New"/>
          <w:sz w:val="24"/>
          <w:szCs w:val="24"/>
        </w:rPr>
        <w:t>s</w:t>
      </w:r>
      <w:r w:rsidRPr="000A3370">
        <w:rPr>
          <w:rFonts w:ascii="Courier New" w:eastAsia="Times New Roman" w:hAnsi="Courier New" w:cs="Courier New"/>
          <w:sz w:val="24"/>
          <w:szCs w:val="24"/>
        </w:rPr>
        <w:t xml:space="preserve"> </w:t>
      </w:r>
      <w:r>
        <w:rPr>
          <w:rFonts w:ascii="Courier New" w:eastAsia="Times New Roman" w:hAnsi="Courier New" w:cs="Courier New"/>
          <w:sz w:val="24"/>
          <w:szCs w:val="24"/>
        </w:rPr>
        <w:t>an</w:t>
      </w:r>
      <w:r w:rsidRPr="000A3370">
        <w:rPr>
          <w:rFonts w:ascii="Courier New" w:eastAsia="Times New Roman" w:hAnsi="Courier New" w:cs="Courier New"/>
          <w:sz w:val="24"/>
          <w:szCs w:val="24"/>
        </w:rPr>
        <w:t xml:space="preserve"> institution to “provide a prominent, readily accessible, clear, conspicuous and direct link to the disclosure template for the program” on variou</w:t>
      </w:r>
      <w:r>
        <w:rPr>
          <w:rFonts w:ascii="Courier New" w:eastAsia="Times New Roman" w:hAnsi="Courier New" w:cs="Courier New"/>
          <w:sz w:val="24"/>
          <w:szCs w:val="24"/>
        </w:rPr>
        <w:t>s Web pages</w:t>
      </w:r>
      <w:r w:rsidRPr="000A3370">
        <w:rPr>
          <w:rFonts w:ascii="Courier New" w:eastAsia="Times New Roman" w:hAnsi="Courier New" w:cs="Courier New"/>
          <w:sz w:val="24"/>
          <w:szCs w:val="24"/>
        </w:rPr>
        <w:t xml:space="preserve">, and to “modify” its </w:t>
      </w:r>
      <w:r>
        <w:rPr>
          <w:rFonts w:ascii="Courier New" w:eastAsia="Times New Roman" w:hAnsi="Courier New" w:cs="Courier New"/>
          <w:sz w:val="24"/>
          <w:szCs w:val="24"/>
        </w:rPr>
        <w:t>Web site</w:t>
      </w:r>
      <w:r w:rsidRPr="000A3370">
        <w:rPr>
          <w:rFonts w:ascii="Courier New" w:eastAsia="Times New Roman" w:hAnsi="Courier New" w:cs="Courier New"/>
          <w:sz w:val="24"/>
          <w:szCs w:val="24"/>
        </w:rPr>
        <w:t xml:space="preserve"> if the Department determines that the required link is not “prominent, readily accessible, clear, conspicuous and</w:t>
      </w:r>
      <w:r>
        <w:rPr>
          <w:rFonts w:ascii="Courier New" w:eastAsia="Times New Roman" w:hAnsi="Courier New" w:cs="Courier New"/>
          <w:sz w:val="24"/>
          <w:szCs w:val="24"/>
        </w:rPr>
        <w:t xml:space="preserve"> direct.”  This provision</w:t>
      </w:r>
      <w:r w:rsidRPr="000A3370">
        <w:rPr>
          <w:rFonts w:ascii="Courier New" w:eastAsia="Times New Roman" w:hAnsi="Courier New" w:cs="Courier New"/>
          <w:sz w:val="24"/>
          <w:szCs w:val="24"/>
        </w:rPr>
        <w:t xml:space="preserve"> does not</w:t>
      </w:r>
      <w:r w:rsidRPr="000A3370" w:rsidDel="00ED176E">
        <w:rPr>
          <w:rFonts w:ascii="Courier New" w:eastAsia="Times New Roman" w:hAnsi="Courier New" w:cs="Courier New"/>
          <w:sz w:val="24"/>
          <w:szCs w:val="24"/>
        </w:rPr>
        <w:t>,</w:t>
      </w:r>
      <w:r w:rsidRPr="000A3370">
        <w:rPr>
          <w:rFonts w:ascii="Courier New" w:eastAsia="Times New Roman" w:hAnsi="Courier New" w:cs="Courier New"/>
          <w:sz w:val="24"/>
          <w:szCs w:val="24"/>
        </w:rPr>
        <w:t xml:space="preserve"> </w:t>
      </w:r>
      <w:r w:rsidRPr="000A3370" w:rsidDel="00ED176E">
        <w:rPr>
          <w:rFonts w:ascii="Courier New" w:eastAsia="Times New Roman" w:hAnsi="Courier New" w:cs="Courier New"/>
          <w:sz w:val="24"/>
          <w:szCs w:val="24"/>
        </w:rPr>
        <w:t xml:space="preserve">as </w:t>
      </w:r>
      <w:r w:rsidDel="00ED176E">
        <w:rPr>
          <w:rFonts w:ascii="Courier New" w:eastAsia="Times New Roman" w:hAnsi="Courier New" w:cs="Courier New"/>
          <w:sz w:val="24"/>
          <w:szCs w:val="24"/>
        </w:rPr>
        <w:t xml:space="preserve">the </w:t>
      </w:r>
      <w:r w:rsidRPr="000A3370" w:rsidDel="00ED176E">
        <w:rPr>
          <w:rFonts w:ascii="Courier New" w:eastAsia="Times New Roman" w:hAnsi="Courier New" w:cs="Courier New"/>
          <w:sz w:val="24"/>
          <w:szCs w:val="24"/>
        </w:rPr>
        <w:t xml:space="preserve">commenter suggests, </w:t>
      </w:r>
      <w:r w:rsidRPr="000A3370">
        <w:rPr>
          <w:rFonts w:ascii="Courier New" w:eastAsia="Times New Roman" w:hAnsi="Courier New" w:cs="Courier New"/>
          <w:sz w:val="24"/>
          <w:szCs w:val="24"/>
        </w:rPr>
        <w:t xml:space="preserve">give the Department free rein to dictate the content of the institution’s </w:t>
      </w:r>
      <w:r>
        <w:rPr>
          <w:rFonts w:ascii="Courier New" w:eastAsia="Times New Roman" w:hAnsi="Courier New" w:cs="Courier New"/>
          <w:sz w:val="24"/>
          <w:szCs w:val="24"/>
        </w:rPr>
        <w:t>Web site</w:t>
      </w:r>
      <w:r w:rsidRPr="000A3370">
        <w:rPr>
          <w:rFonts w:ascii="Courier New" w:eastAsia="Times New Roman" w:hAnsi="Courier New" w:cs="Courier New"/>
          <w:sz w:val="24"/>
          <w:szCs w:val="24"/>
        </w:rPr>
        <w:t xml:space="preserve"> in derogation of the institution’s First Amendment rights.  The Department’s authority reaches no further than necessary to cure a failure by the institution to display the required link adequately.  Requirements that consumer disclosures be “clear and conspicuous” are not unusual in Federal law, and the Federal Trade Commission</w:t>
      </w:r>
      <w:r>
        <w:rPr>
          <w:rFonts w:ascii="Courier New" w:eastAsia="Times New Roman" w:hAnsi="Courier New" w:cs="Courier New"/>
          <w:sz w:val="24"/>
          <w:szCs w:val="24"/>
        </w:rPr>
        <w:t xml:space="preserve"> (FTC)</w:t>
      </w:r>
      <w:r w:rsidRPr="000A3370">
        <w:rPr>
          <w:rFonts w:ascii="Courier New" w:eastAsia="Times New Roman" w:hAnsi="Courier New" w:cs="Courier New"/>
          <w:sz w:val="24"/>
          <w:szCs w:val="24"/>
        </w:rPr>
        <w:t xml:space="preserve">, for </w:t>
      </w:r>
      <w:r>
        <w:rPr>
          <w:rFonts w:ascii="Courier New" w:eastAsia="Times New Roman" w:hAnsi="Courier New" w:cs="Courier New"/>
          <w:sz w:val="24"/>
          <w:szCs w:val="24"/>
        </w:rPr>
        <w:t>example</w:t>
      </w:r>
      <w:r w:rsidRPr="000A3370">
        <w:rPr>
          <w:rFonts w:ascii="Courier New" w:eastAsia="Times New Roman" w:hAnsi="Courier New" w:cs="Courier New"/>
          <w:sz w:val="24"/>
          <w:szCs w:val="24"/>
        </w:rPr>
        <w:t>, has provided extensive guidance on how required disclosures are to be made in electronic form in a manner that meets a requirement that information be presented in a “cle</w:t>
      </w:r>
      <w:r>
        <w:rPr>
          <w:rFonts w:ascii="Courier New" w:eastAsia="Times New Roman" w:hAnsi="Courier New" w:cs="Courier New"/>
          <w:sz w:val="24"/>
          <w:szCs w:val="24"/>
        </w:rPr>
        <w:t>ar and conspicuous” manner.</w:t>
      </w:r>
      <w:r w:rsidRPr="000A3370">
        <w:rPr>
          <w:rStyle w:val="FootnoteReference"/>
          <w:rFonts w:ascii="Courier New" w:eastAsia="Times New Roman" w:hAnsi="Courier New" w:cs="Courier New"/>
          <w:sz w:val="24"/>
          <w:szCs w:val="24"/>
        </w:rPr>
        <w:footnoteReference w:id="185"/>
      </w:r>
      <w:r w:rsidRPr="000A3370">
        <w:rPr>
          <w:rFonts w:ascii="Courier New" w:eastAsia="Times New Roman" w:hAnsi="Courier New" w:cs="Courier New"/>
          <w:sz w:val="24"/>
          <w:szCs w:val="24"/>
        </w:rPr>
        <w:t xml:space="preserve">   </w:t>
      </w:r>
      <w:r>
        <w:rPr>
          <w:rFonts w:ascii="Courier New" w:eastAsia="Times New Roman" w:hAnsi="Courier New" w:cs="Courier New"/>
          <w:sz w:val="24"/>
          <w:szCs w:val="24"/>
        </w:rPr>
        <w:t>The Department would require a</w:t>
      </w:r>
      <w:r w:rsidRPr="000A3370">
        <w:rPr>
          <w:rFonts w:ascii="Courier New" w:eastAsia="Times New Roman" w:hAnsi="Courier New" w:cs="Courier New"/>
          <w:sz w:val="24"/>
          <w:szCs w:val="24"/>
        </w:rPr>
        <w:t xml:space="preserve">ny corrective action </w:t>
      </w:r>
      <w:r>
        <w:rPr>
          <w:rFonts w:ascii="Courier New" w:eastAsia="Times New Roman" w:hAnsi="Courier New" w:cs="Courier New"/>
          <w:sz w:val="24"/>
          <w:szCs w:val="24"/>
        </w:rPr>
        <w:t>based</w:t>
      </w:r>
      <w:r w:rsidRPr="000A3370">
        <w:rPr>
          <w:rFonts w:ascii="Courier New" w:eastAsia="Times New Roman" w:hAnsi="Courier New" w:cs="Courier New"/>
          <w:sz w:val="24"/>
          <w:szCs w:val="24"/>
        </w:rPr>
        <w:t xml:space="preserve"> on the kind</w:t>
      </w:r>
      <w:r>
        <w:rPr>
          <w:rFonts w:ascii="Courier New" w:eastAsia="Times New Roman" w:hAnsi="Courier New" w:cs="Courier New"/>
          <w:sz w:val="24"/>
          <w:szCs w:val="24"/>
        </w:rPr>
        <w:t>s</w:t>
      </w:r>
      <w:r w:rsidRPr="000A3370">
        <w:rPr>
          <w:rFonts w:ascii="Courier New" w:eastAsia="Times New Roman" w:hAnsi="Courier New" w:cs="Courier New"/>
          <w:sz w:val="24"/>
          <w:szCs w:val="24"/>
        </w:rPr>
        <w:t xml:space="preserve"> of considerations listed by the FTC in this guidance</w:t>
      </w:r>
      <w:r>
        <w:rPr>
          <w:rFonts w:ascii="Courier New" w:eastAsia="Times New Roman" w:hAnsi="Courier New" w:cs="Courier New"/>
          <w:sz w:val="24"/>
          <w:szCs w:val="24"/>
        </w:rPr>
        <w:t>.  We believe</w:t>
      </w:r>
      <w:r w:rsidRPr="000A3370">
        <w:rPr>
          <w:rFonts w:ascii="Courier New" w:eastAsia="Times New Roman" w:hAnsi="Courier New" w:cs="Courier New"/>
          <w:sz w:val="24"/>
          <w:szCs w:val="24"/>
        </w:rPr>
        <w:t xml:space="preserve"> the regulation</w:t>
      </w:r>
      <w:r>
        <w:rPr>
          <w:rFonts w:ascii="Courier New" w:eastAsia="Times New Roman" w:hAnsi="Courier New" w:cs="Courier New"/>
          <w:sz w:val="24"/>
          <w:szCs w:val="24"/>
        </w:rPr>
        <w:t>s</w:t>
      </w:r>
      <w:r w:rsidRPr="000A3370">
        <w:rPr>
          <w:rFonts w:ascii="Courier New" w:eastAsia="Times New Roman" w:hAnsi="Courier New" w:cs="Courier New"/>
          <w:sz w:val="24"/>
          <w:szCs w:val="24"/>
        </w:rPr>
        <w:t xml:space="preserve"> give the institution </w:t>
      </w:r>
      <w:r>
        <w:rPr>
          <w:rFonts w:ascii="Courier New" w:eastAsia="Times New Roman" w:hAnsi="Courier New" w:cs="Courier New"/>
          <w:sz w:val="24"/>
          <w:szCs w:val="24"/>
        </w:rPr>
        <w:t xml:space="preserve">sufficient </w:t>
      </w:r>
      <w:r w:rsidRPr="000A3370">
        <w:rPr>
          <w:rFonts w:ascii="Courier New" w:eastAsia="Times New Roman" w:hAnsi="Courier New" w:cs="Courier New"/>
          <w:sz w:val="24"/>
          <w:szCs w:val="24"/>
        </w:rPr>
        <w:t>flexibility to design</w:t>
      </w:r>
      <w:r>
        <w:rPr>
          <w:rFonts w:ascii="Courier New" w:eastAsia="Times New Roman" w:hAnsi="Courier New" w:cs="Courier New"/>
          <w:sz w:val="24"/>
          <w:szCs w:val="24"/>
        </w:rPr>
        <w:t>, manage,</w:t>
      </w:r>
      <w:r w:rsidRPr="000A3370">
        <w:rPr>
          <w:rFonts w:ascii="Courier New" w:eastAsia="Times New Roman" w:hAnsi="Courier New" w:cs="Courier New"/>
          <w:sz w:val="24"/>
          <w:szCs w:val="24"/>
        </w:rPr>
        <w:t xml:space="preserve"> and modify, as n</w:t>
      </w:r>
      <w:r>
        <w:rPr>
          <w:rFonts w:ascii="Courier New" w:eastAsia="Times New Roman" w:hAnsi="Courier New" w:cs="Courier New"/>
          <w:sz w:val="24"/>
          <w:szCs w:val="24"/>
        </w:rPr>
        <w:t>eeded, the content of its W</w:t>
      </w:r>
      <w:r w:rsidRPr="000A3370">
        <w:rPr>
          <w:rFonts w:ascii="Courier New" w:eastAsia="Times New Roman" w:hAnsi="Courier New" w:cs="Courier New"/>
          <w:sz w:val="24"/>
          <w:szCs w:val="24"/>
        </w:rPr>
        <w:t>eb</w:t>
      </w:r>
      <w:r>
        <w:rPr>
          <w:rFonts w:ascii="Courier New" w:eastAsia="Times New Roman" w:hAnsi="Courier New" w:cs="Courier New"/>
          <w:sz w:val="24"/>
          <w:szCs w:val="24"/>
        </w:rPr>
        <w:t xml:space="preserve"> </w:t>
      </w:r>
      <w:r w:rsidRPr="000A3370">
        <w:rPr>
          <w:rFonts w:ascii="Courier New" w:eastAsia="Times New Roman" w:hAnsi="Courier New" w:cs="Courier New"/>
          <w:sz w:val="24"/>
          <w:szCs w:val="24"/>
        </w:rPr>
        <w:t xml:space="preserve">page </w:t>
      </w:r>
      <w:r>
        <w:rPr>
          <w:rFonts w:ascii="Courier New" w:eastAsia="Times New Roman" w:hAnsi="Courier New" w:cs="Courier New"/>
          <w:sz w:val="24"/>
          <w:szCs w:val="24"/>
        </w:rPr>
        <w:t>as</w:t>
      </w:r>
      <w:r w:rsidRPr="000A3370">
        <w:rPr>
          <w:rFonts w:ascii="Courier New" w:eastAsia="Times New Roman" w:hAnsi="Courier New" w:cs="Courier New"/>
          <w:sz w:val="24"/>
          <w:szCs w:val="24"/>
        </w:rPr>
        <w:t xml:space="preserve"> long as it makes the link </w:t>
      </w:r>
      <w:r>
        <w:rPr>
          <w:rFonts w:ascii="Courier New" w:eastAsia="Times New Roman" w:hAnsi="Courier New" w:cs="Courier New"/>
          <w:sz w:val="24"/>
          <w:szCs w:val="24"/>
        </w:rPr>
        <w:t>sufficiently</w:t>
      </w:r>
      <w:r w:rsidRPr="000A3370">
        <w:rPr>
          <w:rFonts w:ascii="Courier New" w:eastAsia="Times New Roman" w:hAnsi="Courier New" w:cs="Courier New"/>
          <w:sz w:val="24"/>
          <w:szCs w:val="24"/>
        </w:rPr>
        <w:t xml:space="preserve"> prominent.  </w:t>
      </w:r>
      <w:r w:rsidRPr="000A3370" w:rsidDel="00D35F43">
        <w:rPr>
          <w:rFonts w:ascii="Courier New" w:eastAsia="Times New Roman" w:hAnsi="Courier New" w:cs="Courier New"/>
          <w:sz w:val="24"/>
          <w:szCs w:val="24"/>
        </w:rPr>
        <w:t>The regulation</w:t>
      </w:r>
      <w:r w:rsidDel="00D35F43">
        <w:rPr>
          <w:rFonts w:ascii="Courier New" w:eastAsia="Times New Roman" w:hAnsi="Courier New" w:cs="Courier New"/>
          <w:sz w:val="24"/>
          <w:szCs w:val="24"/>
        </w:rPr>
        <w:t>s</w:t>
      </w:r>
      <w:r w:rsidRPr="000A3370" w:rsidDel="00D35F43">
        <w:rPr>
          <w:rFonts w:ascii="Courier New" w:eastAsia="Times New Roman" w:hAnsi="Courier New" w:cs="Courier New"/>
          <w:sz w:val="24"/>
          <w:szCs w:val="24"/>
        </w:rPr>
        <w:t xml:space="preserve"> do not authorize the </w:t>
      </w:r>
      <w:r w:rsidDel="00D35F43">
        <w:rPr>
          <w:rFonts w:ascii="Courier New" w:eastAsia="Times New Roman" w:hAnsi="Courier New" w:cs="Courier New"/>
          <w:sz w:val="24"/>
          <w:szCs w:val="24"/>
        </w:rPr>
        <w:t>D</w:t>
      </w:r>
      <w:r w:rsidRPr="000A3370" w:rsidDel="00D35F43">
        <w:rPr>
          <w:rFonts w:ascii="Courier New" w:eastAsia="Times New Roman" w:hAnsi="Courier New" w:cs="Courier New"/>
          <w:sz w:val="24"/>
          <w:szCs w:val="24"/>
        </w:rPr>
        <w:t>epartment to require an institution to remove or modify any content include</w:t>
      </w:r>
      <w:r w:rsidDel="00D35F43">
        <w:rPr>
          <w:rFonts w:ascii="Courier New" w:eastAsia="Times New Roman" w:hAnsi="Courier New" w:cs="Courier New"/>
          <w:sz w:val="24"/>
          <w:szCs w:val="24"/>
        </w:rPr>
        <w:t>d on the pertinent W</w:t>
      </w:r>
      <w:r w:rsidRPr="000A3370" w:rsidDel="00D35F43">
        <w:rPr>
          <w:rFonts w:ascii="Courier New" w:eastAsia="Times New Roman" w:hAnsi="Courier New" w:cs="Courier New"/>
          <w:sz w:val="24"/>
          <w:szCs w:val="24"/>
        </w:rPr>
        <w:t>eb</w:t>
      </w:r>
      <w:r w:rsidDel="00D35F43">
        <w:rPr>
          <w:rFonts w:ascii="Courier New" w:eastAsia="Times New Roman" w:hAnsi="Courier New" w:cs="Courier New"/>
          <w:sz w:val="24"/>
          <w:szCs w:val="24"/>
        </w:rPr>
        <w:t xml:space="preserve"> </w:t>
      </w:r>
      <w:r w:rsidRPr="000A3370" w:rsidDel="00D35F43">
        <w:rPr>
          <w:rFonts w:ascii="Courier New" w:eastAsia="Times New Roman" w:hAnsi="Courier New" w:cs="Courier New"/>
          <w:sz w:val="24"/>
          <w:szCs w:val="24"/>
        </w:rPr>
        <w:t xml:space="preserve">page.  </w:t>
      </w:r>
      <w:r w:rsidDel="00D35F43">
        <w:rPr>
          <w:rFonts w:ascii="Courier New" w:eastAsia="Times New Roman" w:hAnsi="Courier New" w:cs="Courier New"/>
          <w:sz w:val="24"/>
          <w:szCs w:val="24"/>
        </w:rPr>
        <w:t>Rather, the</w:t>
      </w:r>
      <w:r w:rsidRPr="000A3370" w:rsidDel="00D35F43">
        <w:rPr>
          <w:rFonts w:ascii="Courier New" w:eastAsia="Times New Roman" w:hAnsi="Courier New" w:cs="Courier New"/>
          <w:sz w:val="24"/>
          <w:szCs w:val="24"/>
        </w:rPr>
        <w:t xml:space="preserve"> institution</w:t>
      </w:r>
      <w:r w:rsidDel="00D35F43">
        <w:rPr>
          <w:rFonts w:ascii="Courier New" w:eastAsia="Times New Roman" w:hAnsi="Courier New" w:cs="Courier New"/>
          <w:sz w:val="24"/>
          <w:szCs w:val="24"/>
        </w:rPr>
        <w:t xml:space="preserve"> is required</w:t>
      </w:r>
      <w:r w:rsidRPr="000A3370" w:rsidDel="00D35F43">
        <w:rPr>
          <w:rFonts w:ascii="Courier New" w:eastAsia="Times New Roman" w:hAnsi="Courier New" w:cs="Courier New"/>
          <w:sz w:val="24"/>
          <w:szCs w:val="24"/>
        </w:rPr>
        <w:t xml:space="preserve"> to make</w:t>
      </w:r>
      <w:r w:rsidDel="00D35F43">
        <w:rPr>
          <w:rFonts w:ascii="Courier New" w:eastAsia="Times New Roman" w:hAnsi="Courier New" w:cs="Courier New"/>
          <w:sz w:val="24"/>
          <w:szCs w:val="24"/>
        </w:rPr>
        <w:t xml:space="preserve"> only</w:t>
      </w:r>
      <w:r w:rsidRPr="000A3370" w:rsidDel="00D35F43">
        <w:rPr>
          <w:rFonts w:ascii="Courier New" w:eastAsia="Times New Roman" w:hAnsi="Courier New" w:cs="Courier New"/>
          <w:sz w:val="24"/>
          <w:szCs w:val="24"/>
        </w:rPr>
        <w:t xml:space="preserve"> those changes needed to make the required link stand out to the consumer.</w:t>
      </w:r>
      <w:r w:rsidRPr="000A3370">
        <w:rPr>
          <w:rFonts w:ascii="Courier New" w:eastAsia="Times New Roman" w:hAnsi="Courier New" w:cs="Courier New"/>
          <w:sz w:val="24"/>
          <w:szCs w:val="24"/>
        </w:rPr>
        <w:t xml:space="preserve">    </w:t>
      </w:r>
    </w:p>
    <w:p w14:paraId="4F33C0D7" w14:textId="77777777" w:rsidR="001168B5" w:rsidRDefault="001168B5" w:rsidP="001168B5">
      <w:pPr>
        <w:spacing w:after="0" w:line="480" w:lineRule="auto"/>
        <w:rPr>
          <w:rFonts w:ascii="Courier New" w:hAnsi="Courier New" w:cs="Courier New"/>
          <w:sz w:val="24"/>
          <w:szCs w:val="24"/>
        </w:rPr>
      </w:pPr>
      <w:r w:rsidRPr="000A3370">
        <w:rPr>
          <w:rFonts w:ascii="Courier New" w:hAnsi="Courier New" w:cs="Courier New"/>
          <w:sz w:val="24"/>
          <w:szCs w:val="24"/>
          <w:u w:val="single"/>
        </w:rPr>
        <w:t>Changes</w:t>
      </w:r>
      <w:r>
        <w:rPr>
          <w:rFonts w:ascii="Courier New" w:hAnsi="Courier New" w:cs="Courier New"/>
          <w:sz w:val="24"/>
          <w:szCs w:val="24"/>
        </w:rPr>
        <w:t>:  None.</w:t>
      </w:r>
    </w:p>
    <w:p w14:paraId="0F79E44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Several commenters supported the provisions designed to ensure that the link to a program’s disclosure template is easily found and accessible from multiple access points on a program’s Web site.  However, the commenters urged the Department to provide examples of a link that is “prominent, readily accessible, clear, conspicuous, and direct.”  Some of the commenters advised conducting consumer testing with the types of individuals who are a part of the target audience for these templates, including prospective students and those advising them on which program to attend, as well as consulting with the Consumer Financial Protection Bureau (CFPB), FTC, and State attorneys general.  They argued that these efforts would help to ensure that the template will be easily found and that complicated terms like “repayment rates” and “default” that consumers might not readily understand will be adequately explained. </w:t>
      </w:r>
      <w:r w:rsidRPr="006D18D7">
        <w:rPr>
          <w:rFonts w:ascii="Courier New" w:hAnsi="Courier New" w:cs="Courier New"/>
          <w:sz w:val="24"/>
          <w:szCs w:val="24"/>
        </w:rPr>
        <w:t xml:space="preserve"> </w:t>
      </w:r>
      <w:r>
        <w:rPr>
          <w:rFonts w:ascii="Courier New" w:hAnsi="Courier New" w:cs="Courier New"/>
          <w:sz w:val="24"/>
          <w:szCs w:val="24"/>
        </w:rPr>
        <w:t>One commenter recommended that the disclosures be incorporated directly into program Web sites so that prospective students will be able to find them easily.</w:t>
      </w:r>
    </w:p>
    <w:p w14:paraId="523842E6"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We will test the format and content of the disclosure template with consumers and other relevant groups, and will provide examples of acceptable ways to make a link easy to find and accessible based on the results of that testing. </w:t>
      </w:r>
    </w:p>
    <w:p w14:paraId="536B651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ab/>
        <w:t>We agree that, in lieu of providing on a program’s Web page a link to the disclosure template, an institution should be able to include the disclosure template itself.</w:t>
      </w:r>
    </w:p>
    <w:p w14:paraId="5A122701"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We have revised §668.412(c) to clarify that an institution may include the disclosure template or a link to the disclosure template on a program’s Web page.</w:t>
      </w:r>
    </w:p>
    <w:p w14:paraId="056F30AD"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ab/>
        <w:t xml:space="preserve">We have also clarified in this section that the provisions relating to a program’s Web page apply without regard to whether the Web page is maintained by the institution or by a third party on the institution’s behalf.  To improve the organization of the regulations, we have moved the provisions relating to providing separate disclosure templates for different program locations or formats to new paragraph (f).  </w:t>
      </w:r>
    </w:p>
    <w:p w14:paraId="15AB1220"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A few commenters provided suggestions regarding the requirement that institutions include the disclosure template or a link to the disclosure template in all promotional materials.  One commenter urged the Department to increase enforcement of these requirements, noting that many institutions are not in compliance with the current regulations in §668.6(b)(2)(i).  The commenter recommended that the Department consult with the CFPB, FTC, and State attorneys general to identify effective enforcement mechanisms related to disclosures.  Other commenters argued that the Department should specify that the links to the disclosure template from promotional materials should also be prominent, clear, and conspicuous, because predatory schools will hide this information by using illegible type.  The commenters urged the Department to provide clear examples of links on promotional materials that would be considered acceptably prominent or clear and conspicuous, noting that the FTC and FCC have issued this type of information.  Another commenter urged the Department to address situations where a student’s first point of contact with a program is through a lead generating company.  The commenter recommended requiring institutions to post disclosures prominently in any venue likely to serve as a student’s first point of interaction with the institution, including lead generation outlets, and also to require lead generation companies that work with GE programs and institutions to provide clear and conspicuous notice to students that they should consult with the Department for information about GE programs, costs, outcomes, and other pertinent information.     </w:t>
      </w:r>
    </w:p>
    <w:p w14:paraId="5EE30EB8" w14:textId="77777777" w:rsidR="001168B5" w:rsidRDefault="001168B5" w:rsidP="001168B5">
      <w:pPr>
        <w:spacing w:after="0" w:line="480" w:lineRule="auto"/>
        <w:rPr>
          <w:rFonts w:ascii="Courier New" w:hAnsi="Courier New" w:cs="Courier New"/>
          <w:sz w:val="24"/>
          <w:szCs w:val="24"/>
        </w:rPr>
      </w:pPr>
      <w:r w:rsidRPr="006706FA">
        <w:rPr>
          <w:rFonts w:ascii="Courier New" w:hAnsi="Courier New" w:cs="Courier New"/>
          <w:sz w:val="24"/>
          <w:szCs w:val="24"/>
          <w:u w:val="single"/>
        </w:rPr>
        <w:t>Discussion</w:t>
      </w:r>
      <w:r w:rsidRPr="006706FA">
        <w:rPr>
          <w:rFonts w:ascii="Courier New" w:hAnsi="Courier New" w:cs="Courier New"/>
          <w:sz w:val="24"/>
          <w:szCs w:val="24"/>
        </w:rPr>
        <w:t>:</w:t>
      </w:r>
      <w:r>
        <w:rPr>
          <w:rFonts w:ascii="Courier New" w:hAnsi="Courier New" w:cs="Courier New"/>
          <w:sz w:val="24"/>
          <w:szCs w:val="24"/>
        </w:rPr>
        <w:t xml:space="preserve">  We appreciate the commenters’ suggestion to consult with and learn from other enforcement-focused agencies to improve and strengthen our enforcement efforts.  We note that under §668.412(c)(2), the Secretary has the authority to require an institution to modify a Web page if it provides a link to the disclosure template that is not prominent, readily accessible, clear, conspicuous, and direct.  This provision will strengthen our ability to enforce these provisions by giving us a way to prompt institutions to make changes without requiring a full program review.     </w:t>
      </w:r>
    </w:p>
    <w:p w14:paraId="47B8926B"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We agree with the commenters who suggested requiring that links to the disclosure template from promotional materials be prominent, clear, and conspicuous.  We believe that this will make it clear that institutions may not undermine the intent of this provision by including in their promotional materials a link in a size, location, or, in the case of a verbal promotion, speed that will be difficult to find or understand.  We are revising the regulations to make this clear.  We intend to issue guidance consistent with the guidance provided by the FTC on what we would consider to be a prominent, readily accessible, clear, conspicuous, and direct link to the disclosure template on promotional materials.</w:t>
      </w:r>
    </w:p>
    <w:p w14:paraId="0ED5EA17"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With regard to lead generating companies, we are clarifying in the regulations that institutions will be responsible for ensuring that all of their promotional materials, including those provided by a third party retained by the institution, contain the required disclosures or a direct link to the disclosure template, as required under §668.412(d)(1).  </w:t>
      </w:r>
    </w:p>
    <w:p w14:paraId="3F823851" w14:textId="77777777" w:rsidR="001168B5" w:rsidRDefault="001168B5" w:rsidP="001168B5">
      <w:pPr>
        <w:spacing w:after="0" w:line="480" w:lineRule="auto"/>
        <w:rPr>
          <w:rFonts w:ascii="Courier New" w:hAnsi="Courier New" w:cs="Courier New"/>
          <w:sz w:val="24"/>
          <w:szCs w:val="24"/>
        </w:rPr>
      </w:pPr>
      <w:r w:rsidRPr="00216622">
        <w:rPr>
          <w:rFonts w:ascii="Courier New" w:hAnsi="Courier New"/>
          <w:sz w:val="24"/>
          <w:u w:val="single"/>
        </w:rPr>
        <w:t>Changes</w:t>
      </w:r>
      <w:r w:rsidRPr="00216622">
        <w:rPr>
          <w:rFonts w:ascii="Courier New" w:hAnsi="Courier New"/>
          <w:sz w:val="24"/>
        </w:rPr>
        <w:t>:</w:t>
      </w:r>
      <w:r>
        <w:rPr>
          <w:rFonts w:ascii="Courier New" w:hAnsi="Courier New" w:cs="Courier New"/>
          <w:sz w:val="24"/>
          <w:szCs w:val="24"/>
        </w:rPr>
        <w:t xml:space="preserve">  We have revised §668.412(d)(1) to make clear that the requirements apply to promotional materials made available to prospective students by a third party on behalf of an institution.  We have also revised §668.412(d)(1)(ii) to require that all links from promotional materials to the disclosure template be prominent, readily accessible, clear, conspicuous, and direct. </w:t>
      </w:r>
    </w:p>
    <w:p w14:paraId="01B74B9A" w14:textId="77777777" w:rsidR="001168B5" w:rsidRDefault="001168B5" w:rsidP="001168B5">
      <w:pPr>
        <w:pStyle w:val="Heading1"/>
      </w:pPr>
      <w:r>
        <w:t>Format and Delivery</w:t>
      </w:r>
    </w:p>
    <w:p w14:paraId="6FDC140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None.</w:t>
      </w:r>
    </w:p>
    <w:p w14:paraId="68FA575E" w14:textId="69544491"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As discussed in “§668.401  Scope and Purpose,” we </w:t>
      </w:r>
      <w:r w:rsidRPr="005C193C">
        <w:rPr>
          <w:rFonts w:ascii="Courier New" w:hAnsi="Courier New" w:cs="Courier New"/>
          <w:sz w:val="24"/>
          <w:szCs w:val="24"/>
        </w:rPr>
        <w:t>are simplifying the definition</w:t>
      </w:r>
      <w:r>
        <w:rPr>
          <w:rFonts w:ascii="Courier New" w:hAnsi="Courier New" w:cs="Courier New"/>
          <w:sz w:val="24"/>
          <w:szCs w:val="24"/>
        </w:rPr>
        <w:t xml:space="preserve"> of “credential level”</w:t>
      </w:r>
      <w:r w:rsidRPr="005C193C">
        <w:rPr>
          <w:rFonts w:ascii="Courier New" w:hAnsi="Courier New" w:cs="Courier New"/>
          <w:sz w:val="24"/>
          <w:szCs w:val="24"/>
        </w:rPr>
        <w:t xml:space="preserve"> by treating all of an institution’s undergraduate programs with the same CIP code and credential level as one “GE program,” without regard to program length, rather than breaking down the undergraduate credential levels according to the length of the program as we proposed in the NPRM.</w:t>
      </w:r>
      <w:r>
        <w:rPr>
          <w:rFonts w:ascii="Courier New" w:hAnsi="Courier New" w:cs="Courier New"/>
          <w:sz w:val="24"/>
          <w:szCs w:val="24"/>
        </w:rPr>
        <w:t xml:space="preserve">  For the purpose of the accountability framework, </w:t>
      </w:r>
      <w:r w:rsidRPr="005C193C">
        <w:rPr>
          <w:rFonts w:ascii="Courier New" w:hAnsi="Courier New" w:cs="Courier New"/>
          <w:sz w:val="24"/>
          <w:szCs w:val="24"/>
        </w:rPr>
        <w:t xml:space="preserve">we believe </w:t>
      </w:r>
      <w:r>
        <w:rPr>
          <w:rFonts w:ascii="Courier New" w:hAnsi="Courier New" w:cs="Courier New"/>
          <w:sz w:val="24"/>
          <w:szCs w:val="24"/>
        </w:rPr>
        <w:t xml:space="preserve">the benefits of </w:t>
      </w:r>
      <w:r w:rsidRPr="005C193C">
        <w:rPr>
          <w:rFonts w:ascii="Courier New" w:hAnsi="Courier New" w:cs="Courier New"/>
          <w:sz w:val="24"/>
          <w:szCs w:val="24"/>
        </w:rPr>
        <w:t>reducing reporting and administ</w:t>
      </w:r>
      <w:r>
        <w:rPr>
          <w:rFonts w:ascii="Courier New" w:hAnsi="Courier New" w:cs="Courier New"/>
          <w:sz w:val="24"/>
          <w:szCs w:val="24"/>
        </w:rPr>
        <w:t>rative complexity outweigh</w:t>
      </w:r>
      <w:r w:rsidRPr="005C193C">
        <w:rPr>
          <w:rFonts w:ascii="Courier New" w:hAnsi="Courier New" w:cs="Courier New"/>
          <w:sz w:val="24"/>
          <w:szCs w:val="24"/>
        </w:rPr>
        <w:t xml:space="preserve"> the incremental value </w:t>
      </w:r>
      <w:r>
        <w:rPr>
          <w:rFonts w:ascii="Courier New" w:hAnsi="Courier New" w:cs="Courier New"/>
          <w:sz w:val="24"/>
          <w:szCs w:val="24"/>
        </w:rPr>
        <w:t>that could be gained from distinguishing among programs of different length</w:t>
      </w:r>
      <w:r w:rsidRPr="005C193C">
        <w:rPr>
          <w:rFonts w:ascii="Courier New" w:hAnsi="Courier New" w:cs="Courier New"/>
          <w:sz w:val="24"/>
          <w:szCs w:val="24"/>
        </w:rPr>
        <w:t>.</w:t>
      </w:r>
      <w:r>
        <w:rPr>
          <w:rFonts w:ascii="Courier New" w:hAnsi="Courier New" w:cs="Courier New"/>
          <w:sz w:val="24"/>
          <w:szCs w:val="24"/>
        </w:rPr>
        <w:t xml:space="preserve">  For the purposes of the transparency framework, however, there are not the same issues of </w:t>
      </w:r>
      <w:r w:rsidRPr="005C193C">
        <w:rPr>
          <w:rFonts w:ascii="Courier New" w:hAnsi="Courier New" w:cs="Courier New"/>
          <w:sz w:val="24"/>
          <w:szCs w:val="24"/>
        </w:rPr>
        <w:t>reporting and administrative complexity</w:t>
      </w:r>
      <w:r>
        <w:rPr>
          <w:rFonts w:ascii="Courier New" w:hAnsi="Courier New" w:cs="Courier New"/>
          <w:sz w:val="24"/>
          <w:szCs w:val="24"/>
        </w:rPr>
        <w:t xml:space="preserve">.  Further, we believe that prospective students and students will benefit from having </w:t>
      </w:r>
      <w:r w:rsidRPr="005C193C">
        <w:rPr>
          <w:rFonts w:ascii="Courier New" w:hAnsi="Courier New" w:cs="Courier New"/>
          <w:sz w:val="24"/>
          <w:szCs w:val="24"/>
        </w:rPr>
        <w:t>information available to make distinctions between programs of different lengths</w:t>
      </w:r>
      <w:r>
        <w:rPr>
          <w:rFonts w:ascii="Courier New" w:hAnsi="Courier New" w:cs="Courier New"/>
          <w:sz w:val="24"/>
          <w:szCs w:val="24"/>
        </w:rPr>
        <w:t xml:space="preserve">.  We are revising §668.412(f) to </w:t>
      </w:r>
      <w:r w:rsidR="00E2121E">
        <w:rPr>
          <w:rFonts w:ascii="Courier New" w:hAnsi="Courier New" w:cs="Courier New"/>
          <w:sz w:val="24"/>
          <w:szCs w:val="24"/>
        </w:rPr>
        <w:t>require</w:t>
      </w:r>
      <w:r>
        <w:rPr>
          <w:rFonts w:ascii="Courier New" w:hAnsi="Courier New" w:cs="Courier New"/>
          <w:sz w:val="24"/>
          <w:szCs w:val="24"/>
        </w:rPr>
        <w:t xml:space="preserve"> institutions to provide a separate disclosure template for</w:t>
      </w:r>
      <w:r w:rsidRPr="005C193C">
        <w:rPr>
          <w:rFonts w:ascii="Courier New" w:hAnsi="Courier New" w:cs="Courier New"/>
          <w:sz w:val="24"/>
          <w:szCs w:val="24"/>
        </w:rPr>
        <w:t xml:space="preserve"> </w:t>
      </w:r>
      <w:r>
        <w:rPr>
          <w:rFonts w:ascii="Courier New" w:hAnsi="Courier New" w:cs="Courier New"/>
          <w:sz w:val="24"/>
          <w:szCs w:val="24"/>
        </w:rPr>
        <w:t>each length of the program.  The institution will be allowed to disaggregate only those items specified in §668.412(f)(3), which were discussed in connection with disaggregation by location and format.</w:t>
      </w:r>
    </w:p>
    <w:p w14:paraId="66F6B2D9" w14:textId="1717F9C6" w:rsidR="001168B5" w:rsidRPr="008E2D2B"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We have revised §668.412(f)(1) to </w:t>
      </w:r>
      <w:r w:rsidR="00C028C6">
        <w:rPr>
          <w:rFonts w:ascii="Courier New" w:hAnsi="Courier New" w:cs="Courier New"/>
          <w:sz w:val="24"/>
          <w:szCs w:val="24"/>
        </w:rPr>
        <w:t xml:space="preserve">require </w:t>
      </w:r>
      <w:r>
        <w:rPr>
          <w:rFonts w:ascii="Courier New" w:hAnsi="Courier New" w:cs="Courier New"/>
          <w:sz w:val="24"/>
          <w:szCs w:val="24"/>
        </w:rPr>
        <w:t>institutions to provide a separate disclosure template for each length of the program, and specified in §668.412(f)(3) the disclosure items that may be disaggregated on the separate disclosure templates.</w:t>
      </w:r>
    </w:p>
    <w:p w14:paraId="213818C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Some commenters argued that the Department should not permit institutions to disaggregate the disclosures that the Department calculates under §668.413 by location or format, as provided in §668.412(c)(2) of the proposed regulations.  The commenters noted that this could undermine the Department’s intention to avoid inaccuracies and distortions in the relevant data.  These commenters were also concerned that if more information is disaggregated by location or format, it will be very difficult for consumers to find and understand that information.  The commenters recommended that the Department test whether disaggregated data would provide better, clearer, and more accessible information and, if testing shows positive results, revise the regulations in the future to provide this option.</w:t>
      </w:r>
    </w:p>
    <w:p w14:paraId="001B845B"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Other commenters recommended that the Department calculate separate rates for the disclosures under §668.413 for different locations or formats of a program if an institution opted to distinguish its programs in reporting to the Department.  As discussed under “§668.411  Reporting Requirements for GE P</w:t>
      </w:r>
      <w:r w:rsidRPr="00D95CC3">
        <w:rPr>
          <w:rFonts w:ascii="Courier New" w:hAnsi="Courier New" w:cs="Courier New"/>
          <w:sz w:val="24"/>
          <w:szCs w:val="24"/>
        </w:rPr>
        <w:t>rograms</w:t>
      </w:r>
      <w:r>
        <w:rPr>
          <w:rFonts w:ascii="Courier New" w:hAnsi="Courier New" w:cs="Courier New"/>
          <w:sz w:val="24"/>
          <w:szCs w:val="24"/>
        </w:rPr>
        <w:t xml:space="preserve">,” these commenters suggested allowing institutions to use an optional program identifier to instruct the Department to disaggregate the disclosure calculations based on different locations or formats of a program. </w:t>
      </w:r>
    </w:p>
    <w:p w14:paraId="3AB1466A" w14:textId="1DB65C3E"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Because there are several disclosure items that may vary significantly depending on where the program is located or how it is offered, allowing institutions to disaggregate some of their disclosures will provide consumers with a more accurate picture of program costs and outcomes.  For example, a program that is offered in multiple States may be subject to placement rate requirements by more than one State or accrediting agency with differing methodologies.  </w:t>
      </w:r>
    </w:p>
    <w:p w14:paraId="3DE7228E" w14:textId="1586D0DD"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However, we agree with the commenters who were concerned that allowing institutions to disaggregate the disclosures calculated by the Secretary could be counterproductive.  We did not intend in the proposed regulations for institutions to be able to disaggregate the disclosure rates calculated under §668.413, and we have revised the regulations to make this more clear by specifying which of the disclosure items institutions may disaggregate.  The following chart identifies the disclosure items that institutions </w:t>
      </w:r>
      <w:r w:rsidR="00E005F1">
        <w:rPr>
          <w:rFonts w:ascii="Courier New" w:hAnsi="Courier New" w:cs="Courier New"/>
          <w:sz w:val="24"/>
          <w:szCs w:val="24"/>
        </w:rPr>
        <w:t xml:space="preserve">must </w:t>
      </w:r>
      <w:r>
        <w:rPr>
          <w:rFonts w:ascii="Courier New" w:hAnsi="Courier New" w:cs="Courier New"/>
          <w:sz w:val="24"/>
          <w:szCs w:val="24"/>
        </w:rPr>
        <w:t>disaggregate if they provide separate disclosures by program, based on the length of the program or location or format, and those items that may not be disaggregated under any circumstances.  We note that, regardless of whether institutions choose to disaggregate certain disclosure items, programs will still be evaluated at the six-digit OPEID, CIP code, and credential level.</w:t>
      </w:r>
    </w:p>
    <w:p w14:paraId="672585D7" w14:textId="77777777" w:rsidR="001168B5" w:rsidRDefault="001168B5" w:rsidP="001168B5">
      <w:pPr>
        <w:spacing w:after="0" w:line="480" w:lineRule="auto"/>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5323"/>
      </w:tblGrid>
      <w:tr w:rsidR="001168B5" w:rsidRPr="00805F4E" w14:paraId="439C58EA" w14:textId="77777777" w:rsidTr="001168B5">
        <w:tc>
          <w:tcPr>
            <w:tcW w:w="3335" w:type="dxa"/>
            <w:shd w:val="clear" w:color="auto" w:fill="auto"/>
          </w:tcPr>
          <w:p w14:paraId="258C644C" w14:textId="32422449" w:rsidR="001168B5" w:rsidRPr="00805F4E" w:rsidRDefault="001168B5" w:rsidP="006C4684">
            <w:pPr>
              <w:spacing w:after="0" w:line="240" w:lineRule="auto"/>
              <w:jc w:val="center"/>
              <w:rPr>
                <w:rFonts w:ascii="Courier New" w:hAnsi="Courier New" w:cs="Courier New"/>
                <w:sz w:val="24"/>
                <w:szCs w:val="24"/>
              </w:rPr>
            </w:pPr>
            <w:r>
              <w:rPr>
                <w:rFonts w:ascii="Courier New" w:hAnsi="Courier New" w:cs="Courier New"/>
                <w:sz w:val="24"/>
                <w:szCs w:val="24"/>
              </w:rPr>
              <w:t>If an institution disaggregate</w:t>
            </w:r>
            <w:r w:rsidR="00CD71B4">
              <w:rPr>
                <w:rFonts w:ascii="Courier New" w:hAnsi="Courier New" w:cs="Courier New"/>
                <w:sz w:val="24"/>
                <w:szCs w:val="24"/>
              </w:rPr>
              <w:t>s</w:t>
            </w:r>
            <w:r>
              <w:rPr>
                <w:rFonts w:ascii="Courier New" w:hAnsi="Courier New" w:cs="Courier New"/>
                <w:sz w:val="24"/>
                <w:szCs w:val="24"/>
              </w:rPr>
              <w:t xml:space="preserve"> by length of the program</w:t>
            </w:r>
            <w:r w:rsidR="00CD71B4">
              <w:rPr>
                <w:rFonts w:ascii="Courier New" w:hAnsi="Courier New" w:cs="Courier New"/>
                <w:sz w:val="24"/>
                <w:szCs w:val="24"/>
              </w:rPr>
              <w:t xml:space="preserve"> or chooses to disaggregate</w:t>
            </w:r>
            <w:r>
              <w:rPr>
                <w:rFonts w:ascii="Courier New" w:hAnsi="Courier New" w:cs="Courier New"/>
                <w:sz w:val="24"/>
                <w:szCs w:val="24"/>
              </w:rPr>
              <w:t xml:space="preserve"> by location or by format, the following disclosures </w:t>
            </w:r>
            <w:r w:rsidR="006C4684">
              <w:rPr>
                <w:rFonts w:ascii="Courier New" w:hAnsi="Courier New" w:cs="Courier New"/>
                <w:sz w:val="24"/>
                <w:szCs w:val="24"/>
              </w:rPr>
              <w:t xml:space="preserve">must </w:t>
            </w:r>
            <w:r>
              <w:rPr>
                <w:rFonts w:ascii="Courier New" w:hAnsi="Courier New" w:cs="Courier New"/>
                <w:sz w:val="24"/>
                <w:szCs w:val="24"/>
              </w:rPr>
              <w:t xml:space="preserve">be disaggregated by length of the program, location, or format, as applicable. </w:t>
            </w:r>
            <w:r w:rsidRPr="00805F4E">
              <w:rPr>
                <w:rFonts w:ascii="Courier New" w:hAnsi="Courier New" w:cs="Courier New"/>
                <w:sz w:val="24"/>
                <w:szCs w:val="24"/>
              </w:rPr>
              <w:t xml:space="preserve"> </w:t>
            </w:r>
          </w:p>
        </w:tc>
        <w:tc>
          <w:tcPr>
            <w:tcW w:w="5323" w:type="dxa"/>
            <w:shd w:val="clear" w:color="auto" w:fill="auto"/>
          </w:tcPr>
          <w:p w14:paraId="15F06D43" w14:textId="77777777" w:rsidR="001168B5" w:rsidRPr="00805F4E" w:rsidRDefault="001168B5" w:rsidP="001168B5">
            <w:pPr>
              <w:spacing w:after="0" w:line="240" w:lineRule="auto"/>
              <w:jc w:val="center"/>
              <w:rPr>
                <w:rFonts w:ascii="Courier New" w:hAnsi="Courier New" w:cs="Courier New"/>
                <w:sz w:val="24"/>
                <w:szCs w:val="24"/>
              </w:rPr>
            </w:pPr>
            <w:r w:rsidRPr="00805F4E">
              <w:rPr>
                <w:rFonts w:ascii="Courier New" w:hAnsi="Courier New" w:cs="Courier New"/>
                <w:sz w:val="24"/>
                <w:szCs w:val="24"/>
              </w:rPr>
              <w:t xml:space="preserve">Disclosure items institutions </w:t>
            </w:r>
            <w:r w:rsidRPr="00805F4E">
              <w:rPr>
                <w:rFonts w:ascii="Courier New" w:hAnsi="Courier New" w:cs="Courier New"/>
                <w:b/>
                <w:sz w:val="24"/>
                <w:szCs w:val="24"/>
              </w:rPr>
              <w:t>may not</w:t>
            </w:r>
            <w:r w:rsidRPr="00805F4E">
              <w:rPr>
                <w:rFonts w:ascii="Courier New" w:hAnsi="Courier New" w:cs="Courier New"/>
                <w:sz w:val="24"/>
                <w:szCs w:val="24"/>
              </w:rPr>
              <w:t xml:space="preserve"> disaggregate by location or format</w:t>
            </w:r>
            <w:r>
              <w:rPr>
                <w:rFonts w:ascii="Courier New" w:hAnsi="Courier New" w:cs="Courier New"/>
                <w:sz w:val="24"/>
                <w:szCs w:val="24"/>
              </w:rPr>
              <w:t xml:space="preserve"> under any circumstances</w:t>
            </w:r>
          </w:p>
        </w:tc>
      </w:tr>
      <w:tr w:rsidR="001168B5" w:rsidRPr="00805F4E" w14:paraId="02A9FB5D" w14:textId="77777777" w:rsidTr="001168B5">
        <w:tc>
          <w:tcPr>
            <w:tcW w:w="3335" w:type="dxa"/>
            <w:shd w:val="clear" w:color="auto" w:fill="auto"/>
          </w:tcPr>
          <w:p w14:paraId="600BDDFA" w14:textId="442F4827" w:rsidR="001168B5" w:rsidRPr="00805F4E" w:rsidRDefault="001168B5" w:rsidP="001168B5">
            <w:pPr>
              <w:spacing w:after="0" w:line="240" w:lineRule="auto"/>
              <w:rPr>
                <w:rFonts w:ascii="Courier New" w:hAnsi="Courier New" w:cs="Courier New"/>
                <w:sz w:val="24"/>
                <w:szCs w:val="24"/>
              </w:rPr>
            </w:pPr>
          </w:p>
        </w:tc>
        <w:tc>
          <w:tcPr>
            <w:tcW w:w="5323" w:type="dxa"/>
            <w:shd w:val="clear" w:color="auto" w:fill="auto"/>
          </w:tcPr>
          <w:p w14:paraId="424F98E9"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 – primary occupations program prepares students to enter</w:t>
            </w:r>
          </w:p>
        </w:tc>
      </w:tr>
      <w:tr w:rsidR="001168B5" w:rsidRPr="00805F4E" w14:paraId="697B6DFB" w14:textId="77777777" w:rsidTr="001168B5">
        <w:tc>
          <w:tcPr>
            <w:tcW w:w="3335" w:type="dxa"/>
            <w:shd w:val="clear" w:color="auto" w:fill="auto"/>
          </w:tcPr>
          <w:p w14:paraId="4E1CD4A8"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§668.412(a)(4) – number of clock or credit hours or equivalent, as applicable</w:t>
            </w:r>
          </w:p>
        </w:tc>
        <w:tc>
          <w:tcPr>
            <w:tcW w:w="5323" w:type="dxa"/>
            <w:shd w:val="clear" w:color="auto" w:fill="auto"/>
          </w:tcPr>
          <w:p w14:paraId="431721E0"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§668.412(a)(2) – completion and withdrawal rates</w:t>
            </w:r>
          </w:p>
        </w:tc>
      </w:tr>
      <w:tr w:rsidR="001168B5" w:rsidRPr="00805F4E" w14:paraId="464A5C4A" w14:textId="77777777" w:rsidTr="001168B5">
        <w:tc>
          <w:tcPr>
            <w:tcW w:w="3335" w:type="dxa"/>
            <w:shd w:val="clear" w:color="auto" w:fill="auto"/>
          </w:tcPr>
          <w:p w14:paraId="3F372DB2"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§668.412(a)(5) – total number of individuals enrolled in the program during the most recently completed award year</w:t>
            </w:r>
          </w:p>
        </w:tc>
        <w:tc>
          <w:tcPr>
            <w:tcW w:w="5323" w:type="dxa"/>
            <w:shd w:val="clear" w:color="auto" w:fill="auto"/>
          </w:tcPr>
          <w:p w14:paraId="42E0D4A3"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§668.412(a)(6) – loan repayment rate</w:t>
            </w:r>
          </w:p>
        </w:tc>
      </w:tr>
      <w:tr w:rsidR="001168B5" w:rsidRPr="00805F4E" w14:paraId="3B5DB183" w14:textId="77777777" w:rsidTr="001168B5">
        <w:tc>
          <w:tcPr>
            <w:tcW w:w="3335" w:type="dxa"/>
            <w:shd w:val="clear" w:color="auto" w:fill="auto"/>
          </w:tcPr>
          <w:p w14:paraId="2DC34C04"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§668.412(a)(7) – total cost of tuition and fees and total cost of books, supplies, and equipment incurred for completing the program within the length of the program</w:t>
            </w:r>
          </w:p>
        </w:tc>
        <w:tc>
          <w:tcPr>
            <w:tcW w:w="5323" w:type="dxa"/>
            <w:shd w:val="clear" w:color="auto" w:fill="auto"/>
          </w:tcPr>
          <w:p w14:paraId="3847F3B8"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§668.412(a)(10) – median loan debt</w:t>
            </w:r>
          </w:p>
        </w:tc>
      </w:tr>
      <w:tr w:rsidR="001168B5" w:rsidRPr="00805F4E" w14:paraId="20FA6024" w14:textId="77777777" w:rsidTr="001168B5">
        <w:tc>
          <w:tcPr>
            <w:tcW w:w="3335" w:type="dxa"/>
            <w:shd w:val="clear" w:color="auto" w:fill="auto"/>
          </w:tcPr>
          <w:p w14:paraId="146FB600"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 xml:space="preserve">§668.412(a)(8) – program placement rate </w:t>
            </w:r>
          </w:p>
        </w:tc>
        <w:tc>
          <w:tcPr>
            <w:tcW w:w="5323" w:type="dxa"/>
            <w:shd w:val="clear" w:color="auto" w:fill="auto"/>
          </w:tcPr>
          <w:p w14:paraId="1CA5D573"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§668.412(a)(11) – mean or median earnings</w:t>
            </w:r>
          </w:p>
        </w:tc>
      </w:tr>
      <w:tr w:rsidR="001168B5" w:rsidRPr="00805F4E" w14:paraId="7688FFDA" w14:textId="77777777" w:rsidTr="001168B5">
        <w:tc>
          <w:tcPr>
            <w:tcW w:w="3335" w:type="dxa"/>
            <w:shd w:val="clear" w:color="auto" w:fill="auto"/>
          </w:tcPr>
          <w:p w14:paraId="404703DE" w14:textId="1AE2FAA1"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 xml:space="preserve">§668.412(a)(9) – the percentage of individuals enrolled during the most recently completed award year that </w:t>
            </w:r>
            <w:r w:rsidR="00FF3B6F">
              <w:rPr>
                <w:rFonts w:ascii="Courier New" w:hAnsi="Courier New" w:cs="Courier New"/>
                <w:sz w:val="24"/>
                <w:szCs w:val="24"/>
              </w:rPr>
              <w:t xml:space="preserve">received </w:t>
            </w:r>
            <w:r w:rsidR="003B5233">
              <w:rPr>
                <w:rFonts w:ascii="Courier New" w:hAnsi="Courier New" w:cs="Courier New"/>
                <w:sz w:val="24"/>
                <w:szCs w:val="24"/>
              </w:rPr>
              <w:t xml:space="preserve">a </w:t>
            </w:r>
            <w:r w:rsidR="00FF3B6F">
              <w:rPr>
                <w:rFonts w:ascii="Courier New" w:hAnsi="Courier New" w:cs="Courier New"/>
                <w:sz w:val="24"/>
                <w:szCs w:val="24"/>
              </w:rPr>
              <w:t xml:space="preserve">title IV </w:t>
            </w:r>
            <w:r w:rsidR="003B5233">
              <w:rPr>
                <w:rFonts w:ascii="Courier New" w:hAnsi="Courier New" w:cs="Courier New"/>
                <w:sz w:val="24"/>
                <w:szCs w:val="24"/>
              </w:rPr>
              <w:t xml:space="preserve">loan </w:t>
            </w:r>
            <w:r w:rsidR="00FF3B6F">
              <w:rPr>
                <w:rFonts w:ascii="Courier New" w:hAnsi="Courier New" w:cs="Courier New"/>
                <w:sz w:val="24"/>
                <w:szCs w:val="24"/>
              </w:rPr>
              <w:t xml:space="preserve">or </w:t>
            </w:r>
            <w:r w:rsidR="003B5233">
              <w:rPr>
                <w:rFonts w:ascii="Courier New" w:hAnsi="Courier New" w:cs="Courier New"/>
                <w:sz w:val="24"/>
                <w:szCs w:val="24"/>
              </w:rPr>
              <w:t xml:space="preserve">a </w:t>
            </w:r>
            <w:r w:rsidR="00FF3B6F">
              <w:rPr>
                <w:rFonts w:ascii="Courier New" w:hAnsi="Courier New" w:cs="Courier New"/>
                <w:sz w:val="24"/>
                <w:szCs w:val="24"/>
              </w:rPr>
              <w:t>private loan</w:t>
            </w:r>
            <w:r w:rsidRPr="00805F4E">
              <w:rPr>
                <w:rFonts w:ascii="Courier New" w:hAnsi="Courier New" w:cs="Courier New"/>
                <w:sz w:val="24"/>
                <w:szCs w:val="24"/>
              </w:rPr>
              <w:t xml:space="preserve"> for enrollment</w:t>
            </w:r>
          </w:p>
        </w:tc>
        <w:tc>
          <w:tcPr>
            <w:tcW w:w="5323" w:type="dxa"/>
            <w:shd w:val="clear" w:color="auto" w:fill="auto"/>
          </w:tcPr>
          <w:p w14:paraId="7F6C3DBA"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§668.412(a)(12) – program cohort default rate</w:t>
            </w:r>
          </w:p>
        </w:tc>
      </w:tr>
      <w:tr w:rsidR="001168B5" w:rsidRPr="00805F4E" w14:paraId="3070AF36" w14:textId="77777777" w:rsidTr="001168B5">
        <w:tc>
          <w:tcPr>
            <w:tcW w:w="3335" w:type="dxa"/>
            <w:shd w:val="clear" w:color="auto" w:fill="auto"/>
          </w:tcPr>
          <w:p w14:paraId="00CC54FF" w14:textId="7730C14A"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 xml:space="preserve">§668.412(a)(14) – </w:t>
            </w:r>
            <w:r w:rsidR="0045486E">
              <w:rPr>
                <w:rFonts w:ascii="Courier New" w:hAnsi="Courier New" w:cs="Courier New"/>
                <w:sz w:val="24"/>
                <w:szCs w:val="24"/>
              </w:rPr>
              <w:t xml:space="preserve">whether the program satisfies </w:t>
            </w:r>
            <w:r w:rsidR="0045486E" w:rsidRPr="00805F4E">
              <w:rPr>
                <w:rFonts w:ascii="Courier New" w:hAnsi="Courier New" w:cs="Courier New"/>
                <w:sz w:val="24"/>
                <w:szCs w:val="24"/>
              </w:rPr>
              <w:t>applicable</w:t>
            </w:r>
            <w:r w:rsidR="0045486E">
              <w:rPr>
                <w:rFonts w:ascii="Courier New" w:hAnsi="Courier New" w:cs="Courier New"/>
                <w:sz w:val="24"/>
                <w:szCs w:val="24"/>
              </w:rPr>
              <w:t xml:space="preserve"> e</w:t>
            </w:r>
            <w:r w:rsidR="0045486E" w:rsidRPr="00805F4E">
              <w:rPr>
                <w:rFonts w:ascii="Courier New" w:hAnsi="Courier New" w:cs="Courier New"/>
                <w:sz w:val="24"/>
                <w:szCs w:val="24"/>
              </w:rPr>
              <w:t>ducational prerequisites for professional licensure or certification</w:t>
            </w:r>
            <w:r w:rsidR="0045486E">
              <w:rPr>
                <w:rFonts w:ascii="Courier New" w:hAnsi="Courier New" w:cs="Courier New"/>
                <w:sz w:val="24"/>
                <w:szCs w:val="24"/>
              </w:rPr>
              <w:t xml:space="preserve"> in </w:t>
            </w:r>
            <w:r w:rsidRPr="00805F4E">
              <w:rPr>
                <w:rFonts w:ascii="Courier New" w:hAnsi="Courier New" w:cs="Courier New"/>
                <w:sz w:val="24"/>
                <w:szCs w:val="24"/>
              </w:rPr>
              <w:t xml:space="preserve">States within the institution’s MSA </w:t>
            </w:r>
            <w:r w:rsidR="0045486E">
              <w:rPr>
                <w:rFonts w:ascii="Courier New" w:hAnsi="Courier New" w:cs="Courier New"/>
                <w:sz w:val="24"/>
                <w:szCs w:val="24"/>
              </w:rPr>
              <w:t xml:space="preserve">or other States for which </w:t>
            </w:r>
            <w:r w:rsidR="00684A75">
              <w:rPr>
                <w:rFonts w:ascii="Courier New" w:hAnsi="Courier New" w:cs="Courier New"/>
                <w:sz w:val="24"/>
                <w:szCs w:val="24"/>
              </w:rPr>
              <w:t xml:space="preserve">the </w:t>
            </w:r>
            <w:r w:rsidR="0045486E">
              <w:rPr>
                <w:rFonts w:ascii="Courier New" w:hAnsi="Courier New" w:cs="Courier New"/>
                <w:sz w:val="24"/>
                <w:szCs w:val="24"/>
              </w:rPr>
              <w:t>institution has made that determination and a statement indicating that the institution has not made that determination for other States not previously identified</w:t>
            </w:r>
          </w:p>
        </w:tc>
        <w:tc>
          <w:tcPr>
            <w:tcW w:w="5323" w:type="dxa"/>
            <w:shd w:val="clear" w:color="auto" w:fill="auto"/>
          </w:tcPr>
          <w:p w14:paraId="39E5656C"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§668.412(a)(13) – annual earnings rate</w:t>
            </w:r>
          </w:p>
        </w:tc>
      </w:tr>
      <w:tr w:rsidR="001168B5" w:rsidRPr="00805F4E" w14:paraId="254491EB" w14:textId="77777777" w:rsidTr="001168B5">
        <w:tc>
          <w:tcPr>
            <w:tcW w:w="3335" w:type="dxa"/>
            <w:shd w:val="clear" w:color="auto" w:fill="auto"/>
          </w:tcPr>
          <w:p w14:paraId="6DFE7ACA" w14:textId="70E4A5CE" w:rsidR="001168B5" w:rsidRPr="00805F4E" w:rsidRDefault="001168B5" w:rsidP="001168B5">
            <w:pPr>
              <w:spacing w:after="0" w:line="240" w:lineRule="auto"/>
              <w:rPr>
                <w:rStyle w:val="CommentReference"/>
              </w:rPr>
            </w:pPr>
          </w:p>
        </w:tc>
        <w:tc>
          <w:tcPr>
            <w:tcW w:w="5323" w:type="dxa"/>
            <w:shd w:val="clear" w:color="auto" w:fill="auto"/>
          </w:tcPr>
          <w:p w14:paraId="33394639" w14:textId="77777777" w:rsidR="00D64362" w:rsidRDefault="00D64362" w:rsidP="001168B5">
            <w:pPr>
              <w:spacing w:after="0" w:line="240" w:lineRule="auto"/>
              <w:rPr>
                <w:rFonts w:ascii="Courier New" w:hAnsi="Courier New" w:cs="Courier New"/>
                <w:sz w:val="24"/>
                <w:szCs w:val="24"/>
              </w:rPr>
            </w:pPr>
            <w:r w:rsidRPr="00805F4E">
              <w:rPr>
                <w:rFonts w:ascii="Courier New" w:hAnsi="Courier New" w:cs="Courier New"/>
                <w:sz w:val="24"/>
                <w:szCs w:val="24"/>
              </w:rPr>
              <w:t xml:space="preserve">§668.412(a)(15) – </w:t>
            </w:r>
            <w:r>
              <w:rPr>
                <w:rFonts w:ascii="Courier New" w:hAnsi="Courier New" w:cs="Courier New"/>
                <w:sz w:val="24"/>
                <w:szCs w:val="24"/>
              </w:rPr>
              <w:t>whether the program is programmatically accredited and the name of the accrediting agency</w:t>
            </w:r>
            <w:r w:rsidRPr="00805F4E">
              <w:rPr>
                <w:rFonts w:ascii="Courier New" w:hAnsi="Courier New" w:cs="Courier New"/>
                <w:sz w:val="24"/>
                <w:szCs w:val="24"/>
              </w:rPr>
              <w:t xml:space="preserve"> </w:t>
            </w:r>
          </w:p>
          <w:p w14:paraId="58BE5E08" w14:textId="77777777" w:rsidR="00D64362" w:rsidRDefault="00D64362" w:rsidP="001168B5">
            <w:pPr>
              <w:spacing w:after="0" w:line="240" w:lineRule="auto"/>
              <w:rPr>
                <w:rFonts w:ascii="Courier New" w:hAnsi="Courier New" w:cs="Courier New"/>
                <w:sz w:val="24"/>
                <w:szCs w:val="24"/>
              </w:rPr>
            </w:pPr>
          </w:p>
          <w:p w14:paraId="1A2A3B24" w14:textId="77777777" w:rsidR="00D64362" w:rsidRDefault="00D64362" w:rsidP="001168B5">
            <w:pPr>
              <w:spacing w:after="0" w:line="240" w:lineRule="auto"/>
              <w:rPr>
                <w:rFonts w:ascii="Courier New" w:hAnsi="Courier New" w:cs="Courier New"/>
                <w:sz w:val="24"/>
                <w:szCs w:val="24"/>
              </w:rPr>
            </w:pPr>
          </w:p>
          <w:p w14:paraId="56B97EDC" w14:textId="77777777" w:rsidR="001168B5" w:rsidRPr="00805F4E" w:rsidRDefault="001168B5" w:rsidP="001168B5">
            <w:pPr>
              <w:spacing w:after="0" w:line="240" w:lineRule="auto"/>
              <w:rPr>
                <w:rFonts w:ascii="Courier New" w:hAnsi="Courier New" w:cs="Courier New"/>
                <w:sz w:val="24"/>
                <w:szCs w:val="24"/>
              </w:rPr>
            </w:pPr>
            <w:r w:rsidRPr="00805F4E">
              <w:rPr>
                <w:rFonts w:ascii="Courier New" w:hAnsi="Courier New" w:cs="Courier New"/>
                <w:sz w:val="24"/>
                <w:szCs w:val="24"/>
              </w:rPr>
              <w:t>§668.412(a)(16) – link to College Navigator</w:t>
            </w:r>
          </w:p>
        </w:tc>
      </w:tr>
    </w:tbl>
    <w:p w14:paraId="529EAF99" w14:textId="77777777" w:rsidR="001168B5" w:rsidRDefault="001168B5" w:rsidP="001168B5">
      <w:pPr>
        <w:spacing w:after="0" w:line="480" w:lineRule="auto"/>
        <w:rPr>
          <w:rFonts w:ascii="Courier New" w:hAnsi="Courier New" w:cs="Courier New"/>
          <w:sz w:val="24"/>
          <w:szCs w:val="24"/>
        </w:rPr>
      </w:pPr>
    </w:p>
    <w:p w14:paraId="2CC36882" w14:textId="0AD3D45A"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We have renumbered the applicable regulations.  The provisions permitting an institution to publish a separate disclosure template for each location or format of a program are in §668.412(f)(2) of the final regulations.  In §668.412(f)(3), we have specified the disclosure items that an institution </w:t>
      </w:r>
      <w:r w:rsidR="009A0682">
        <w:rPr>
          <w:rFonts w:ascii="Courier New" w:hAnsi="Courier New" w:cs="Courier New"/>
          <w:sz w:val="24"/>
          <w:szCs w:val="24"/>
        </w:rPr>
        <w:t>must</w:t>
      </w:r>
      <w:r>
        <w:rPr>
          <w:rFonts w:ascii="Courier New" w:hAnsi="Courier New" w:cs="Courier New"/>
          <w:sz w:val="24"/>
          <w:szCs w:val="24"/>
        </w:rPr>
        <w:t xml:space="preserve"> disaggregate if it </w:t>
      </w:r>
      <w:r w:rsidR="009A0682">
        <w:rPr>
          <w:rFonts w:ascii="Courier New" w:hAnsi="Courier New" w:cs="Courier New"/>
          <w:sz w:val="24"/>
          <w:szCs w:val="24"/>
        </w:rPr>
        <w:t xml:space="preserve">uses a separate disclosure template for the length of the program or if it </w:t>
      </w:r>
      <w:r>
        <w:rPr>
          <w:rFonts w:ascii="Courier New" w:hAnsi="Courier New" w:cs="Courier New"/>
          <w:sz w:val="24"/>
          <w:szCs w:val="24"/>
        </w:rPr>
        <w:t xml:space="preserve">chooses to use separate disclosure templates based on </w:t>
      </w:r>
      <w:r w:rsidR="00734373">
        <w:rPr>
          <w:rFonts w:ascii="Courier New" w:hAnsi="Courier New" w:cs="Courier New"/>
          <w:sz w:val="24"/>
          <w:szCs w:val="24"/>
        </w:rPr>
        <w:t xml:space="preserve">the </w:t>
      </w:r>
      <w:r>
        <w:rPr>
          <w:rFonts w:ascii="Courier New" w:hAnsi="Courier New" w:cs="Courier New"/>
          <w:sz w:val="24"/>
          <w:szCs w:val="24"/>
        </w:rPr>
        <w:t>location or format of the program.</w:t>
      </w:r>
    </w:p>
    <w:p w14:paraId="5F8D1A97"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xml:space="preserve">:  We received a number of suggestions for how we could improve the disclosure template from an operational perspective.  For example, some of the commenters recommended adding skip logic to the template application so that fields for which there is no information to disclose can be skipped.  These commenters further suggested that the template instructions should clarify that institutions should enter only information for students enrolled in programs for a given CIP code, not for students enrolled in other non-GE credential level programs in the same CIP code.  The commenters also recommended the template be designed to ensure cohorts are designated appropriately and to allow institutions to enter different time increments instead of weeks, months, or years.  Additionally, some commenters recommended ensuring that the template is compliant with the Americans with Disabilities Act.  </w:t>
      </w:r>
      <w:r w:rsidDel="0096080D">
        <w:rPr>
          <w:rFonts w:ascii="Courier New" w:hAnsi="Courier New" w:cs="Courier New"/>
          <w:sz w:val="24"/>
          <w:szCs w:val="24"/>
        </w:rPr>
        <w:t>Another</w:t>
      </w:r>
      <w:r>
        <w:rPr>
          <w:rFonts w:ascii="Courier New" w:hAnsi="Courier New" w:cs="Courier New"/>
          <w:sz w:val="24"/>
          <w:szCs w:val="24"/>
        </w:rPr>
        <w:t xml:space="preserve"> commenter argued that the disclosure template should be a “fill-in-the-blank” document in a common Microsoft Word file for easy incorporation into Web sites.       </w:t>
      </w:r>
    </w:p>
    <w:p w14:paraId="43420B1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sidRPr="007A6FAB">
        <w:rPr>
          <w:rFonts w:ascii="Courier New" w:hAnsi="Courier New" w:cs="Courier New"/>
          <w:sz w:val="24"/>
          <w:szCs w:val="24"/>
        </w:rPr>
        <w:t>:</w:t>
      </w:r>
      <w:r>
        <w:rPr>
          <w:rFonts w:ascii="Courier New" w:hAnsi="Courier New" w:cs="Courier New"/>
          <w:sz w:val="24"/>
          <w:szCs w:val="24"/>
        </w:rPr>
        <w:t xml:space="preserve">  We will continue to improve the template to make it easier for institutions to complete and display it as well as to make it more useful for students and prospective students.  We appreciate the suggestions offered by the commenters and will consider them as we revise the template to reflect these final regulations.</w:t>
      </w:r>
    </w:p>
    <w:p w14:paraId="57B145D4"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We note that we have already addressed several of the recommendations in the current template.  For instance, we have incorporated skip logic so that institutions </w:t>
      </w:r>
      <w:r w:rsidDel="00FE7BBA">
        <w:rPr>
          <w:rFonts w:ascii="Courier New" w:hAnsi="Courier New" w:cs="Courier New"/>
          <w:sz w:val="24"/>
          <w:szCs w:val="24"/>
        </w:rPr>
        <w:t>will not be asked to disclose certain information if fewer than 10 students completed the applicable GE program</w:t>
      </w:r>
      <w:r>
        <w:rPr>
          <w:rFonts w:ascii="Courier New" w:hAnsi="Courier New" w:cs="Courier New"/>
          <w:sz w:val="24"/>
          <w:szCs w:val="24"/>
        </w:rPr>
        <w:t xml:space="preserve">.  The template also meets all accessibility requirements.  Further, we have refined our Gainful Employment Disclosure Template Quick Start Guides and the instructions within the template to provide greater clarity.  </w:t>
      </w:r>
    </w:p>
    <w:p w14:paraId="46D0BE3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With respect to the suggestion to allow institutions more flexibility to use different increments of time besides weeks, months, and years, we note that we have selected these units intentionally to match the program lengths used for the purposes of the 150 percent Subsidized Loan Limit and NSLDS Enrollment reporting requirements.  Further, we believe that calendar time is most easily understood by consumers.  </w:t>
      </w:r>
    </w:p>
    <w:p w14:paraId="511F1D66"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Regarding the suggestion to provide a fill-in-the-blank disclosure document for institutions to complete and incorporate into their Web site, we disagree that this approach would be appropriate.  We believe that the disclosure template is effective because it is standardized in its appearance.  Although a Word document may be easier to use, it would result in a lack of consistency in presentation across programs.  We believe that requiring an easy-to-find link and description of the disclosures, combined with our ability to work with institutions to make changes to improve the placement and visibility of the disclosures, will offset any perceived disadvantage to using an application to create the template.</w:t>
      </w:r>
    </w:p>
    <w:p w14:paraId="31B7B9D5"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None.  </w:t>
      </w:r>
    </w:p>
    <w:p w14:paraId="7060E9CE"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Comments</w:t>
      </w:r>
      <w:r>
        <w:rPr>
          <w:rFonts w:ascii="Courier New" w:hAnsi="Courier New" w:cs="Courier New"/>
          <w:sz w:val="24"/>
          <w:szCs w:val="24"/>
        </w:rPr>
        <w:t>:  We received suggestions from numerous commenters on proposed §668.412(e) regarding the direct distribution of disclosures to prospective students, particularly on how the disclosures must be provided, when the disclosures must be provided, and how institutions should document that  students received the disclosures.</w:t>
      </w:r>
    </w:p>
    <w:p w14:paraId="50F68456"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Several commenters provided feedback about how institutions should provide the disclosures.  Specifically, some commenters opposed the proposed requirement for institutions to provide the disclosures as a stand-alone document that student must sign, while others supported requiring the disclosures to be made clearly and directly, with text specified by the Department.  Other commenters recommended exploring other means of distributing the disclosures to students, such as providing a video to each school to use or posting a video on YouTube that describes the disclosure information.  Some commenters stressed the need to consult with the CFPB, FTC, and State attorneys general to determine whether prospective students should be asked to sign a document confirming that they received a copy of the disclosure template and, if so, what it should say and when and how it should be conveyed to maximize the effectiveness of the disclosures.</w:t>
      </w:r>
    </w:p>
    <w:p w14:paraId="1C3FC4DD"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We also received several comments about the requirement that institutions provide the disclosures </w:t>
      </w:r>
      <w:r w:rsidRPr="00261654">
        <w:rPr>
          <w:rFonts w:ascii="Courier New" w:hAnsi="Courier New" w:cs="Courier New"/>
          <w:sz w:val="24"/>
          <w:szCs w:val="24"/>
          <w:u w:val="single"/>
        </w:rPr>
        <w:t>before</w:t>
      </w:r>
      <w:r>
        <w:rPr>
          <w:rFonts w:ascii="Courier New" w:hAnsi="Courier New" w:cs="Courier New"/>
          <w:sz w:val="24"/>
          <w:szCs w:val="24"/>
        </w:rPr>
        <w:t xml:space="preserve"> a prospective student signs an enrollment agreement, completes registration, or makes a financial commitment to the institution.  Some commenters recommended allowing institutions to obtain written confirmation from a student that they received a copy of the disclosure template at the same time as when the student signs an enrollment agreement, provided that new students are not penalized if they fail to attend any course sessions after the first seven days of the beginning of the term.  Other commenters, in contrast, argued that the Department should specify a minimum length of time before students can enroll or make a financial commitment to the institution after receiving the disclosure template.  Some of these commenters recommended instituting a minimum waiting period of three days after providing a prospective student with the disclosures before enrolling the student in order to provide students with sufficient time to review and understand the intricacies of their enrollment contracts.</w:t>
      </w:r>
    </w:p>
    <w:p w14:paraId="55702228"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 xml:space="preserve">     Several commenters recommended allowing institutions to use a variety of means to confirm that the disclosures were provided to prospective students, including email messages, telephone calls, or other means that can be documented.  The commenters argued that requiring written confirmation could complicate students’ planning and would pose significant compliance challenges for institutions.  The commenters also noted that students often enroll at community colleges without selecting their course of study or program and that the regulations should reflect this reality.</w:t>
      </w:r>
    </w:p>
    <w:p w14:paraId="49DB4A7F" w14:textId="52955B99" w:rsidR="001168B5" w:rsidRPr="00F14CEE" w:rsidRDefault="001168B5" w:rsidP="001168B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We agree with the commenters who stated that it is important that prospective students receive the information in the disclosure template directly and clearly prior to enrolling in a program.  We recognize, however, that not all enrollment processes will take place in person, and that hand</w:t>
      </w:r>
      <w:r w:rsidR="00F75B0C">
        <w:rPr>
          <w:rFonts w:ascii="Courier New" w:hAnsi="Courier New" w:cs="Courier New"/>
          <w:sz w:val="24"/>
          <w:szCs w:val="24"/>
        </w:rPr>
        <w:t>-</w:t>
      </w:r>
      <w:r>
        <w:rPr>
          <w:rFonts w:ascii="Courier New" w:hAnsi="Courier New" w:cs="Courier New"/>
          <w:sz w:val="24"/>
          <w:szCs w:val="24"/>
        </w:rPr>
        <w:t>delivering the disclosure template as a written, stand-alone document may not be feasible in all situations.  In addition, in light of commenter confusion about how the student warning and disclosure template delivery requirements worked together in the proposed regulations, we believe that it would facilitate institutional compliance if the delivery requirements aligned, to the extent possible.  Accordingly, we are revising §668.412(e) to provide that the same written delivery methods may be used to deliver the disclosure template as may be used to deliver student warnings.  Specifically, t</w:t>
      </w:r>
      <w:r w:rsidRPr="00280162">
        <w:rPr>
          <w:rFonts w:ascii="Courier New" w:hAnsi="Courier New" w:cs="Courier New"/>
          <w:sz w:val="24"/>
          <w:szCs w:val="24"/>
        </w:rPr>
        <w:t xml:space="preserve">he disclosure template may be provided to </w:t>
      </w:r>
      <w:r w:rsidR="00F75B0C">
        <w:rPr>
          <w:rFonts w:ascii="Courier New" w:hAnsi="Courier New" w:cs="Courier New"/>
          <w:sz w:val="24"/>
          <w:szCs w:val="24"/>
        </w:rPr>
        <w:t xml:space="preserve">a </w:t>
      </w:r>
      <w:r w:rsidRPr="00280162">
        <w:rPr>
          <w:rFonts w:ascii="Courier New" w:hAnsi="Courier New" w:cs="Courier New"/>
          <w:sz w:val="24"/>
          <w:szCs w:val="24"/>
        </w:rPr>
        <w:t xml:space="preserve">prospective student </w:t>
      </w:r>
      <w:r>
        <w:rPr>
          <w:rFonts w:ascii="Courier New" w:hAnsi="Courier New" w:cs="Courier New"/>
          <w:sz w:val="24"/>
          <w:szCs w:val="24"/>
        </w:rPr>
        <w:t xml:space="preserve">or a third party acting on behalf of the </w:t>
      </w:r>
      <w:r w:rsidR="00F75B0C">
        <w:rPr>
          <w:rFonts w:ascii="Courier New" w:hAnsi="Courier New" w:cs="Courier New"/>
          <w:sz w:val="24"/>
          <w:szCs w:val="24"/>
        </w:rPr>
        <w:t>prospective</w:t>
      </w:r>
      <w:r>
        <w:rPr>
          <w:rFonts w:ascii="Courier New" w:hAnsi="Courier New" w:cs="Courier New"/>
          <w:sz w:val="24"/>
          <w:szCs w:val="24"/>
        </w:rPr>
        <w:t xml:space="preserve"> student </w:t>
      </w:r>
      <w:r w:rsidRPr="00280162">
        <w:rPr>
          <w:rFonts w:ascii="Courier New" w:hAnsi="Courier New" w:cs="Courier New"/>
          <w:sz w:val="24"/>
          <w:szCs w:val="24"/>
        </w:rPr>
        <w:t xml:space="preserve">by hand-delivering the disclosure template to the </w:t>
      </w:r>
      <w:r w:rsidR="009F7316">
        <w:rPr>
          <w:rFonts w:ascii="Courier New" w:hAnsi="Courier New" w:cs="Courier New"/>
          <w:sz w:val="24"/>
          <w:szCs w:val="24"/>
        </w:rPr>
        <w:t xml:space="preserve">prospective </w:t>
      </w:r>
      <w:r w:rsidRPr="00280162">
        <w:rPr>
          <w:rFonts w:ascii="Courier New" w:hAnsi="Courier New" w:cs="Courier New"/>
          <w:sz w:val="24"/>
          <w:szCs w:val="24"/>
        </w:rPr>
        <w:t xml:space="preserve">student </w:t>
      </w:r>
      <w:r>
        <w:rPr>
          <w:rFonts w:ascii="Courier New" w:hAnsi="Courier New" w:cs="Courier New"/>
          <w:sz w:val="24"/>
          <w:szCs w:val="24"/>
        </w:rPr>
        <w:t xml:space="preserve">or third party </w:t>
      </w:r>
      <w:r w:rsidRPr="00280162">
        <w:rPr>
          <w:rFonts w:ascii="Courier New" w:hAnsi="Courier New" w:cs="Courier New"/>
          <w:sz w:val="24"/>
          <w:szCs w:val="24"/>
        </w:rPr>
        <w:t xml:space="preserve">individually or as part of a group presentation or sending the disclosure template as the only substantive content in an email to the primary email address used by the institution for communicating with the </w:t>
      </w:r>
      <w:r w:rsidR="00BC287B">
        <w:rPr>
          <w:rFonts w:ascii="Courier New" w:hAnsi="Courier New" w:cs="Courier New"/>
          <w:sz w:val="24"/>
          <w:szCs w:val="24"/>
        </w:rPr>
        <w:t xml:space="preserve">prospective </w:t>
      </w:r>
      <w:r w:rsidRPr="00280162">
        <w:rPr>
          <w:rFonts w:ascii="Courier New" w:hAnsi="Courier New" w:cs="Courier New"/>
          <w:sz w:val="24"/>
          <w:szCs w:val="24"/>
        </w:rPr>
        <w:t xml:space="preserve">student </w:t>
      </w:r>
      <w:r>
        <w:rPr>
          <w:rFonts w:ascii="Courier New" w:hAnsi="Courier New" w:cs="Courier New"/>
          <w:sz w:val="24"/>
          <w:szCs w:val="24"/>
        </w:rPr>
        <w:t xml:space="preserve">or third party </w:t>
      </w:r>
      <w:r w:rsidRPr="00280162">
        <w:rPr>
          <w:rFonts w:ascii="Courier New" w:hAnsi="Courier New" w:cs="Courier New"/>
          <w:sz w:val="24"/>
          <w:szCs w:val="24"/>
        </w:rPr>
        <w:t>about the program.</w:t>
      </w:r>
      <w:r>
        <w:rPr>
          <w:rFonts w:ascii="Courier New" w:hAnsi="Courier New" w:cs="Courier New"/>
          <w:sz w:val="24"/>
          <w:szCs w:val="24"/>
        </w:rPr>
        <w:t xml:space="preserve">  As provided in the proposed regulations, the institution must obtain acknowledgement that the student or third party has received a copy of the disclosure template.  If the disclosure template is delivered by hand, the </w:t>
      </w:r>
      <w:r w:rsidR="006428AC">
        <w:rPr>
          <w:rFonts w:ascii="Courier New" w:hAnsi="Courier New" w:cs="Courier New"/>
          <w:sz w:val="24"/>
          <w:szCs w:val="24"/>
        </w:rPr>
        <w:t>acknowledgement</w:t>
      </w:r>
      <w:r>
        <w:rPr>
          <w:rFonts w:ascii="Courier New" w:hAnsi="Courier New" w:cs="Courier New"/>
          <w:sz w:val="24"/>
          <w:szCs w:val="24"/>
        </w:rPr>
        <w:t xml:space="preserve"> must be in writing.  If the disclosure template is sent by email to a prospective student</w:t>
      </w:r>
      <w:r w:rsidR="009F7316">
        <w:rPr>
          <w:rFonts w:ascii="Courier New" w:hAnsi="Courier New" w:cs="Courier New"/>
          <w:sz w:val="24"/>
          <w:szCs w:val="24"/>
        </w:rPr>
        <w:t xml:space="preserve"> or third party</w:t>
      </w:r>
      <w:r>
        <w:rPr>
          <w:rFonts w:ascii="Courier New" w:hAnsi="Courier New" w:cs="Courier New"/>
          <w:sz w:val="24"/>
          <w:szCs w:val="24"/>
        </w:rPr>
        <w:t xml:space="preserve">, an institution may satisfy the </w:t>
      </w:r>
      <w:r w:rsidR="006428AC">
        <w:rPr>
          <w:rFonts w:ascii="Courier New" w:hAnsi="Courier New" w:cs="Courier New"/>
          <w:sz w:val="24"/>
          <w:szCs w:val="24"/>
        </w:rPr>
        <w:t xml:space="preserve">acknowledgement </w:t>
      </w:r>
      <w:r>
        <w:rPr>
          <w:rFonts w:ascii="Courier New" w:hAnsi="Courier New" w:cs="Courier New"/>
          <w:sz w:val="24"/>
          <w:szCs w:val="24"/>
        </w:rPr>
        <w:t xml:space="preserve">requirement through a variety of methods such as a pop-screen that asks the student to click “continue” or “I understand” before proceeding.  Requiring these types of acknowledgements </w:t>
      </w:r>
      <w:r w:rsidRPr="00C346FE">
        <w:rPr>
          <w:rFonts w:ascii="Courier New" w:hAnsi="Courier New" w:cs="Courier New"/>
          <w:sz w:val="24"/>
          <w:szCs w:val="24"/>
        </w:rPr>
        <w:t>does not impose a significant burden</w:t>
      </w:r>
      <w:r>
        <w:rPr>
          <w:rFonts w:ascii="Courier New" w:hAnsi="Courier New" w:cs="Courier New"/>
          <w:sz w:val="24"/>
          <w:szCs w:val="24"/>
        </w:rPr>
        <w:t xml:space="preserve"> on institutions or </w:t>
      </w:r>
      <w:r w:rsidR="009F7316">
        <w:rPr>
          <w:rFonts w:ascii="Courier New" w:hAnsi="Courier New" w:cs="Courier New"/>
          <w:sz w:val="24"/>
          <w:szCs w:val="24"/>
        </w:rPr>
        <w:t xml:space="preserve">prospective </w:t>
      </w:r>
      <w:r>
        <w:rPr>
          <w:rFonts w:ascii="Courier New" w:hAnsi="Courier New" w:cs="Courier New"/>
          <w:sz w:val="24"/>
          <w:szCs w:val="24"/>
        </w:rPr>
        <w:t>students, yet</w:t>
      </w:r>
      <w:r w:rsidRPr="00C346FE">
        <w:rPr>
          <w:rFonts w:ascii="Courier New" w:hAnsi="Courier New" w:cs="Courier New"/>
          <w:sz w:val="24"/>
          <w:szCs w:val="24"/>
        </w:rPr>
        <w:t xml:space="preserve"> </w:t>
      </w:r>
      <w:r>
        <w:rPr>
          <w:rFonts w:ascii="Courier New" w:hAnsi="Courier New" w:cs="Courier New"/>
          <w:sz w:val="24"/>
          <w:szCs w:val="24"/>
        </w:rPr>
        <w:t>provides adequate assurance that a prospective student has received important information about the program</w:t>
      </w:r>
      <w:r w:rsidRPr="00C346FE">
        <w:rPr>
          <w:rFonts w:ascii="Courier New" w:hAnsi="Courier New" w:cs="Courier New"/>
          <w:sz w:val="24"/>
          <w:szCs w:val="24"/>
        </w:rPr>
        <w:t>.</w:t>
      </w:r>
      <w:r>
        <w:rPr>
          <w:rFonts w:ascii="Courier New" w:hAnsi="Courier New" w:cs="Courier New"/>
          <w:sz w:val="24"/>
          <w:szCs w:val="24"/>
        </w:rPr>
        <w:t xml:space="preserve">  Institutions must also maintain records of their efforts to provide the disclosure template.</w:t>
      </w:r>
    </w:p>
    <w:p w14:paraId="7CC5CE8A" w14:textId="77777777"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ab/>
        <w:t>We appreciate the commenters’ suggestions about additional and alternative methods for delivering the disclosure template to prospective students.  Although we encourage institutions to consider innovative ways to deliver information about program outcomes to students, we believe that, to facilitate institutional compliance, it is preferable to have one, clear delivery requirement in the regulations.  As discussed in the NPRM and elsewhere in this document, we will conduct consumer testing to test the manner of delivery of the disclosure template.  In the course of consumer testing, we may also consult with one or more of the entities recommended by the commenters.</w:t>
      </w:r>
    </w:p>
    <w:p w14:paraId="4B916D42" w14:textId="14D0D149" w:rsidR="001168B5" w:rsidRDefault="001168B5" w:rsidP="001168B5">
      <w:pPr>
        <w:spacing w:after="0" w:line="480" w:lineRule="auto"/>
        <w:rPr>
          <w:rFonts w:ascii="Courier New" w:hAnsi="Courier New" w:cs="Courier New"/>
          <w:sz w:val="24"/>
          <w:szCs w:val="24"/>
        </w:rPr>
      </w:pPr>
      <w:r>
        <w:rPr>
          <w:rFonts w:ascii="Courier New" w:hAnsi="Courier New" w:cs="Courier New"/>
          <w:sz w:val="24"/>
          <w:szCs w:val="24"/>
        </w:rPr>
        <w:tab/>
        <w:t xml:space="preserve">It is critical that prospective students receive the disclosure template before enrolling in a program so that the information on the template can inform their decision about whether to enroll in the program.  Although we believe it is imperative that, for programs that are subject to the student warning requirement, prospective students have a cooling-off period between receiving the warning and enrolling in the program, it is not necessary for programs that are </w:t>
      </w:r>
      <w:r w:rsidR="00F75B0C">
        <w:rPr>
          <w:rFonts w:ascii="Courier New" w:hAnsi="Courier New" w:cs="Courier New"/>
          <w:sz w:val="24"/>
          <w:szCs w:val="24"/>
        </w:rPr>
        <w:t>not at risk of losing eligibility based on their D/E rates for the next award year.</w:t>
      </w:r>
      <w:r w:rsidDel="00F75B0C">
        <w:rPr>
          <w:rFonts w:ascii="Courier New" w:hAnsi="Courier New" w:cs="Courier New"/>
          <w:sz w:val="24"/>
          <w:szCs w:val="24"/>
        </w:rPr>
        <w:t xml:space="preserve"> </w:t>
      </w:r>
      <w:r w:rsidR="00F75B0C">
        <w:rPr>
          <w:rFonts w:ascii="Courier New" w:hAnsi="Courier New" w:cs="Courier New"/>
          <w:sz w:val="24"/>
          <w:szCs w:val="24"/>
        </w:rPr>
        <w:t xml:space="preserve"> </w:t>
      </w:r>
      <w:r>
        <w:rPr>
          <w:rFonts w:ascii="Courier New" w:hAnsi="Courier New" w:cs="Courier New"/>
          <w:sz w:val="24"/>
          <w:szCs w:val="24"/>
        </w:rPr>
        <w:t>In all cases, students will be able to access the information on the disclosure template through the program’s Web site and via its promotional materials prior to receiving the disclosure template directly from the institution.</w:t>
      </w:r>
    </w:p>
    <w:p w14:paraId="251950D3" w14:textId="77777777" w:rsidR="001168B5" w:rsidRDefault="001168B5" w:rsidP="001168B5">
      <w:pPr>
        <w:spacing w:after="0" w:line="480" w:lineRule="auto"/>
        <w:ind w:firstLine="720"/>
        <w:rPr>
          <w:rFonts w:ascii="Courier New" w:hAnsi="Courier New" w:cs="Courier New"/>
          <w:sz w:val="24"/>
          <w:szCs w:val="24"/>
        </w:rPr>
      </w:pPr>
      <w:r>
        <w:rPr>
          <w:rFonts w:ascii="Courier New" w:hAnsi="Courier New" w:cs="Courier New"/>
          <w:sz w:val="24"/>
          <w:szCs w:val="24"/>
        </w:rPr>
        <w:t>Lastly, students must enroll in an eligible program in order to be eligible for title IV, HEA program funds.  Any prospective student who has indicated that he or she intends to enroll in a GE program must be provided these disclosures.</w:t>
      </w:r>
    </w:p>
    <w:p w14:paraId="573E6BF1" w14:textId="7F6342FD" w:rsidR="001168B5" w:rsidRPr="00F14CEE" w:rsidRDefault="001168B5" w:rsidP="00675EBB">
      <w:pPr>
        <w:spacing w:after="0" w:line="480" w:lineRule="auto"/>
        <w:contextualSpacing/>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We have revised §668.412(e) to specify that the disclosure template may be delivered to prospective students or a third party acting on behalf of the student by hand</w:t>
      </w:r>
      <w:r w:rsidR="00675EBB">
        <w:rPr>
          <w:rFonts w:ascii="Courier New" w:hAnsi="Courier New" w:cs="Courier New"/>
          <w:sz w:val="24"/>
          <w:szCs w:val="24"/>
        </w:rPr>
        <w:t>-</w:t>
      </w:r>
      <w:r w:rsidR="00675EBB" w:rsidRPr="00280162">
        <w:rPr>
          <w:rFonts w:ascii="Courier New" w:hAnsi="Courier New" w:cs="Courier New"/>
          <w:sz w:val="24"/>
          <w:szCs w:val="24"/>
        </w:rPr>
        <w:t xml:space="preserve">delivering the disclosure template to the </w:t>
      </w:r>
      <w:r w:rsidR="00675EBB">
        <w:rPr>
          <w:rFonts w:ascii="Courier New" w:hAnsi="Courier New" w:cs="Courier New"/>
          <w:sz w:val="24"/>
          <w:szCs w:val="24"/>
        </w:rPr>
        <w:t xml:space="preserve">prospective </w:t>
      </w:r>
      <w:r w:rsidR="00675EBB" w:rsidRPr="00280162">
        <w:rPr>
          <w:rFonts w:ascii="Courier New" w:hAnsi="Courier New" w:cs="Courier New"/>
          <w:sz w:val="24"/>
          <w:szCs w:val="24"/>
        </w:rPr>
        <w:t xml:space="preserve">student </w:t>
      </w:r>
      <w:r w:rsidR="00675EBB">
        <w:rPr>
          <w:rFonts w:ascii="Courier New" w:hAnsi="Courier New" w:cs="Courier New"/>
          <w:sz w:val="24"/>
          <w:szCs w:val="24"/>
        </w:rPr>
        <w:t xml:space="preserve">or third party </w:t>
      </w:r>
      <w:r w:rsidR="00675EBB" w:rsidRPr="00280162">
        <w:rPr>
          <w:rFonts w:ascii="Courier New" w:hAnsi="Courier New" w:cs="Courier New"/>
          <w:sz w:val="24"/>
          <w:szCs w:val="24"/>
        </w:rPr>
        <w:t>individually or as part of a group pr</w:t>
      </w:r>
      <w:r w:rsidR="00675EBB">
        <w:rPr>
          <w:rFonts w:ascii="Courier New" w:hAnsi="Courier New" w:cs="Courier New"/>
          <w:sz w:val="24"/>
          <w:szCs w:val="24"/>
        </w:rPr>
        <w:t>esentation or s</w:t>
      </w:r>
      <w:r w:rsidR="00675EBB" w:rsidRPr="00280162">
        <w:rPr>
          <w:rFonts w:ascii="Courier New" w:hAnsi="Courier New" w:cs="Courier New"/>
          <w:sz w:val="24"/>
          <w:szCs w:val="24"/>
        </w:rPr>
        <w:t xml:space="preserve">ending the disclosure template to the primary email address used by the institution for communicating with the </w:t>
      </w:r>
      <w:r w:rsidR="00675EBB">
        <w:rPr>
          <w:rFonts w:ascii="Courier New" w:hAnsi="Courier New" w:cs="Courier New"/>
          <w:sz w:val="24"/>
          <w:szCs w:val="24"/>
        </w:rPr>
        <w:t xml:space="preserve">prospective </w:t>
      </w:r>
      <w:r w:rsidR="00675EBB" w:rsidRPr="00280162">
        <w:rPr>
          <w:rFonts w:ascii="Courier New" w:hAnsi="Courier New" w:cs="Courier New"/>
          <w:sz w:val="24"/>
          <w:szCs w:val="24"/>
        </w:rPr>
        <w:t xml:space="preserve">student </w:t>
      </w:r>
      <w:r w:rsidR="00675EBB">
        <w:rPr>
          <w:rFonts w:ascii="Courier New" w:hAnsi="Courier New" w:cs="Courier New"/>
          <w:sz w:val="24"/>
          <w:szCs w:val="24"/>
        </w:rPr>
        <w:t>or third party about the program.  We have also revised the regulations to require that, if the disclosure template is provided by email, the template must be the only substantive content in the email,</w:t>
      </w:r>
      <w:r w:rsidDel="00675EBB">
        <w:rPr>
          <w:rFonts w:ascii="Courier New" w:hAnsi="Courier New" w:cs="Courier New"/>
          <w:sz w:val="24"/>
          <w:szCs w:val="24"/>
        </w:rPr>
        <w:t xml:space="preserve"> </w:t>
      </w:r>
      <w:r>
        <w:rPr>
          <w:rFonts w:ascii="Courier New" w:hAnsi="Courier New" w:cs="Courier New"/>
          <w:sz w:val="24"/>
          <w:szCs w:val="24"/>
        </w:rPr>
        <w:t xml:space="preserve">the institution must </w:t>
      </w:r>
      <w:r w:rsidR="00675EBB">
        <w:rPr>
          <w:rFonts w:ascii="Courier New" w:hAnsi="Courier New" w:cs="Courier New"/>
          <w:sz w:val="24"/>
          <w:szCs w:val="24"/>
        </w:rPr>
        <w:t>receive</w:t>
      </w:r>
      <w:r>
        <w:rPr>
          <w:rFonts w:ascii="Courier New" w:hAnsi="Courier New" w:cs="Courier New"/>
          <w:sz w:val="24"/>
          <w:szCs w:val="24"/>
        </w:rPr>
        <w:t xml:space="preserve"> written or other electronic </w:t>
      </w:r>
      <w:r w:rsidR="00675EBB">
        <w:rPr>
          <w:rFonts w:ascii="Courier New" w:hAnsi="Courier New" w:cs="Courier New"/>
          <w:sz w:val="24"/>
          <w:szCs w:val="24"/>
        </w:rPr>
        <w:t xml:space="preserve">acknowledgement </w:t>
      </w:r>
      <w:r>
        <w:rPr>
          <w:rFonts w:ascii="Courier New" w:hAnsi="Courier New" w:cs="Courier New"/>
          <w:sz w:val="24"/>
          <w:szCs w:val="24"/>
        </w:rPr>
        <w:t>of the prospective student’s or third party’s receipt of the disclosure template</w:t>
      </w:r>
      <w:r w:rsidR="00675EBB">
        <w:rPr>
          <w:rFonts w:ascii="Courier New" w:hAnsi="Courier New" w:cs="Courier New"/>
          <w:sz w:val="24"/>
          <w:szCs w:val="24"/>
        </w:rPr>
        <w:t>, and the institution must send the disclosure template using a different address or method of delivery if the institution receives a response that the email could not be delivered</w:t>
      </w:r>
      <w:r>
        <w:rPr>
          <w:rFonts w:ascii="Courier New" w:hAnsi="Courier New" w:cs="Courier New"/>
          <w:sz w:val="24"/>
          <w:szCs w:val="24"/>
        </w:rPr>
        <w:t>.  We also have revised the regulations to require institutions to maintain records of their efforts to provide the disclosure template.</w:t>
      </w:r>
    </w:p>
    <w:p w14:paraId="33387BA3" w14:textId="77777777" w:rsidR="001933B1" w:rsidRPr="003451FF" w:rsidRDefault="001933B1" w:rsidP="001933B1">
      <w:pPr>
        <w:pStyle w:val="Heading1"/>
        <w:rPr>
          <w:rFonts w:eastAsia="Times New Roman"/>
        </w:rPr>
      </w:pPr>
      <w:r w:rsidRPr="003451FF">
        <w:rPr>
          <w:rFonts w:eastAsia="Times New Roman"/>
        </w:rPr>
        <w:t>§668.413  Calculating, Issuing, and Challenging Completion Rates, Withdrawal Rates, Repayment Rates, Median Loan Debt, Median Earnings, and Program Cohort Default Rates</w:t>
      </w:r>
    </w:p>
    <w:p w14:paraId="18EBF190" w14:textId="77777777" w:rsidR="001933B1" w:rsidRPr="003451FF" w:rsidRDefault="001933B1" w:rsidP="001933B1">
      <w:pPr>
        <w:pStyle w:val="Heading1"/>
      </w:pPr>
      <w:r w:rsidRPr="003451FF">
        <w:t xml:space="preserve">Completion and Withdrawal Rates </w:t>
      </w:r>
    </w:p>
    <w:p w14:paraId="2E9ED085"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A commenter contended that students who are excluded from the D/E rates calculation under §668.404(e) should similarly be excluded from the completion and withdrawal rate calculations. </w:t>
      </w:r>
    </w:p>
    <w:p w14:paraId="1DB2426E"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In calculating the D/E rates and the repayment rate for a program, as provided in §668.404(e) and §668.413(b)(3)(vi) respectively, we exclude a student if he or she (1) has a loan that was in a military deferment status, (2) has a loan that may be discharged based on total and permanent disability, (3) was enrolled in an</w:t>
      </w:r>
      <w:r>
        <w:rPr>
          <w:rFonts w:ascii="Courier New" w:eastAsia="Times New Roman" w:hAnsi="Courier New" w:cs="Courier New"/>
          <w:sz w:val="24"/>
          <w:szCs w:val="24"/>
        </w:rPr>
        <w:t>other</w:t>
      </w:r>
      <w:r w:rsidRPr="003451FF">
        <w:rPr>
          <w:rFonts w:ascii="Courier New" w:eastAsia="Times New Roman" w:hAnsi="Courier New" w:cs="Courier New"/>
          <w:sz w:val="24"/>
          <w:szCs w:val="24"/>
        </w:rPr>
        <w:t xml:space="preserve"> eligible program at the institution for which these rates are calculated or at another institution, or (4) died.  We exclude these students because a student’s ability to work and have earnings or repay a loan could be diminished under any of the circumstances</w:t>
      </w:r>
      <w:r>
        <w:rPr>
          <w:rFonts w:ascii="Courier New" w:eastAsia="Times New Roman" w:hAnsi="Courier New" w:cs="Courier New"/>
          <w:sz w:val="24"/>
          <w:szCs w:val="24"/>
        </w:rPr>
        <w:t xml:space="preserve"> listed</w:t>
      </w:r>
      <w:r w:rsidRPr="003451FF">
        <w:rPr>
          <w:rFonts w:ascii="Courier New" w:eastAsia="Times New Roman" w:hAnsi="Courier New" w:cs="Courier New"/>
          <w:sz w:val="24"/>
          <w:szCs w:val="24"/>
        </w:rPr>
        <w:t xml:space="preserve">, which </w:t>
      </w:r>
      <w:r>
        <w:rPr>
          <w:rFonts w:ascii="Courier New" w:eastAsia="Times New Roman" w:hAnsi="Courier New" w:cs="Courier New"/>
          <w:sz w:val="24"/>
          <w:szCs w:val="24"/>
        </w:rPr>
        <w:t>c</w:t>
      </w:r>
      <w:r w:rsidRPr="003451FF">
        <w:rPr>
          <w:rFonts w:ascii="Courier New" w:eastAsia="Times New Roman" w:hAnsi="Courier New" w:cs="Courier New"/>
          <w:sz w:val="24"/>
          <w:szCs w:val="24"/>
        </w:rPr>
        <w:t xml:space="preserve">ould adversely </w:t>
      </w:r>
      <w:r>
        <w:rPr>
          <w:rFonts w:ascii="Courier New" w:eastAsia="Times New Roman" w:hAnsi="Courier New" w:cs="Courier New"/>
          <w:sz w:val="24"/>
          <w:szCs w:val="24"/>
        </w:rPr>
        <w:t>affect</w:t>
      </w:r>
      <w:r w:rsidRPr="003451FF">
        <w:rPr>
          <w:rFonts w:ascii="Courier New" w:eastAsia="Times New Roman" w:hAnsi="Courier New" w:cs="Courier New"/>
          <w:sz w:val="24"/>
          <w:szCs w:val="24"/>
        </w:rPr>
        <w:t xml:space="preserve"> a program’s results, even though the circumstances are the result of student choices or unfortunate events that have nothing to do with program performance.  Of these circumstances, </w:t>
      </w:r>
      <w:r w:rsidRPr="004B5C64">
        <w:rPr>
          <w:rFonts w:ascii="Courier New" w:eastAsia="Times New Roman" w:hAnsi="Courier New" w:cs="Courier New"/>
          <w:sz w:val="24"/>
          <w:szCs w:val="24"/>
        </w:rPr>
        <w:t>only two are reasonably appropriate for holding an institution harmless for the purpose of determining completion and withdrawal rates</w:t>
      </w:r>
      <w:r>
        <w:rPr>
          <w:rFonts w:ascii="Courier New" w:eastAsia="Times New Roman" w:hAnsi="Courier New" w:cs="Courier New"/>
          <w:sz w:val="24"/>
          <w:szCs w:val="24"/>
        </w:rPr>
        <w:t>--</w:t>
      </w:r>
      <w:r w:rsidRPr="003451FF">
        <w:rPr>
          <w:rFonts w:ascii="Courier New" w:eastAsia="Times New Roman" w:hAnsi="Courier New" w:cs="Courier New"/>
          <w:sz w:val="24"/>
          <w:szCs w:val="24"/>
        </w:rPr>
        <w:t xml:space="preserve">if the student died or became </w:t>
      </w:r>
      <w:r>
        <w:rPr>
          <w:rFonts w:ascii="Courier New" w:eastAsia="Times New Roman" w:hAnsi="Courier New" w:cs="Courier New"/>
          <w:sz w:val="24"/>
          <w:szCs w:val="24"/>
        </w:rPr>
        <w:t xml:space="preserve">totally and permanently </w:t>
      </w:r>
      <w:r w:rsidRPr="003451FF">
        <w:rPr>
          <w:rFonts w:ascii="Courier New" w:eastAsia="Times New Roman" w:hAnsi="Courier New" w:cs="Courier New"/>
          <w:sz w:val="24"/>
          <w:szCs w:val="24"/>
        </w:rPr>
        <w:t xml:space="preserve">disabled while he or she was enrolled in the program.  Therefore, as a general matter we agree to account for students </w:t>
      </w:r>
      <w:r>
        <w:rPr>
          <w:rFonts w:ascii="Courier New" w:eastAsia="Times New Roman" w:hAnsi="Courier New" w:cs="Courier New"/>
          <w:sz w:val="24"/>
          <w:szCs w:val="24"/>
        </w:rPr>
        <w:t xml:space="preserve">in these two groups </w:t>
      </w:r>
      <w:r w:rsidRPr="003451FF">
        <w:rPr>
          <w:rFonts w:ascii="Courier New" w:eastAsia="Times New Roman" w:hAnsi="Courier New" w:cs="Courier New"/>
          <w:sz w:val="24"/>
          <w:szCs w:val="24"/>
        </w:rPr>
        <w:t xml:space="preserve">by excluding them from the completion and withdrawal rates. </w:t>
      </w:r>
    </w:p>
    <w:p w14:paraId="5AAB2DB5" w14:textId="78FD1121" w:rsidR="001933B1" w:rsidRPr="003451FF" w:rsidRDefault="001933B1" w:rsidP="001933B1">
      <w:pPr>
        <w:spacing w:after="0" w:line="480" w:lineRule="auto"/>
        <w:ind w:firstLine="720"/>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However, our ability to identify these individuals is limited.  For a student who borrowed, we may learn of a disability if the student has applied for </w:t>
      </w:r>
      <w:r>
        <w:rPr>
          <w:rFonts w:ascii="Courier New" w:eastAsia="Times New Roman" w:hAnsi="Courier New" w:cs="Courier New"/>
          <w:sz w:val="24"/>
          <w:szCs w:val="24"/>
        </w:rPr>
        <w:t xml:space="preserve">or received </w:t>
      </w:r>
      <w:r w:rsidRPr="003451FF">
        <w:rPr>
          <w:rFonts w:ascii="Courier New" w:eastAsia="Times New Roman" w:hAnsi="Courier New" w:cs="Courier New"/>
          <w:sz w:val="24"/>
          <w:szCs w:val="24"/>
        </w:rPr>
        <w:t>a disability discharge of a loan</w:t>
      </w:r>
      <w:r>
        <w:rPr>
          <w:rFonts w:ascii="Courier New" w:eastAsia="Times New Roman" w:hAnsi="Courier New" w:cs="Courier New"/>
          <w:sz w:val="24"/>
          <w:szCs w:val="24"/>
        </w:rPr>
        <w:t xml:space="preserve">.  </w:t>
      </w:r>
      <w:r w:rsidRPr="003451FF">
        <w:rPr>
          <w:rFonts w:ascii="Courier New" w:eastAsia="Times New Roman" w:hAnsi="Courier New" w:cs="Courier New"/>
          <w:sz w:val="24"/>
          <w:szCs w:val="24"/>
        </w:rPr>
        <w:t>However, in instances where the individual seeks that discharge after the draft rates are calculated, or where we are not aware of a borrower’s death, the institution will have to provide relevant documentation during the challenge process described in §668.413(d) to support the exclusion.  For a student who does not borrow,</w:t>
      </w:r>
      <w:r>
        <w:rPr>
          <w:rFonts w:ascii="Courier New" w:eastAsia="Times New Roman" w:hAnsi="Courier New" w:cs="Courier New"/>
          <w:sz w:val="24"/>
          <w:szCs w:val="24"/>
        </w:rPr>
        <w:t xml:space="preserve"> i.e., receives a Pell </w:t>
      </w:r>
      <w:r w:rsidR="006A7B07">
        <w:rPr>
          <w:rFonts w:ascii="Courier New" w:eastAsia="Times New Roman" w:hAnsi="Courier New" w:cs="Courier New"/>
          <w:sz w:val="24"/>
          <w:szCs w:val="24"/>
        </w:rPr>
        <w:t>G</w:t>
      </w:r>
      <w:r>
        <w:rPr>
          <w:rFonts w:ascii="Courier New" w:eastAsia="Times New Roman" w:hAnsi="Courier New" w:cs="Courier New"/>
          <w:sz w:val="24"/>
          <w:szCs w:val="24"/>
        </w:rPr>
        <w:t>rant only,</w:t>
      </w:r>
      <w:r w:rsidRPr="003451FF">
        <w:rPr>
          <w:rFonts w:ascii="Courier New" w:eastAsia="Times New Roman" w:hAnsi="Courier New" w:cs="Courier New"/>
          <w:sz w:val="24"/>
          <w:szCs w:val="24"/>
        </w:rPr>
        <w:t xml:space="preserve"> we would not typically know if the student becomes disabled or dies while enrolled in the program.  Again, the institution will have to identify and provide documentation to support the exclusion of these students during the challenge process described in §668.413(d).  </w:t>
      </w:r>
    </w:p>
    <w:p w14:paraId="740557FC" w14:textId="77777777" w:rsidR="001933B1" w:rsidRPr="003451FF" w:rsidRDefault="001933B1" w:rsidP="001933B1">
      <w:pPr>
        <w:spacing w:after="0" w:line="480" w:lineRule="auto"/>
        <w:ind w:firstLine="720"/>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For </w:t>
      </w:r>
      <w:r>
        <w:rPr>
          <w:rFonts w:ascii="Courier New" w:eastAsia="Times New Roman" w:hAnsi="Courier New" w:cs="Courier New"/>
          <w:sz w:val="24"/>
          <w:szCs w:val="24"/>
        </w:rPr>
        <w:t>instances where an institution identifies</w:t>
      </w:r>
      <w:r w:rsidRPr="003451FF">
        <w:rPr>
          <w:rFonts w:ascii="Courier New" w:eastAsia="Times New Roman" w:hAnsi="Courier New" w:cs="Courier New"/>
          <w:sz w:val="24"/>
          <w:szCs w:val="24"/>
        </w:rPr>
        <w:t xml:space="preserve"> a student who borrowed but has not applied for a disability discharge of a loan before the draft completion and withdrawal rates are calculated, or for a student who does not borrow, we will assess whether the student may be excluded from the calculation of the rates on the basis of a medical condition by applying the standard we use in §668.404(e)(2) to determine if the disability exclusion applies for the purpose of the D/E rates measure.  Specifically, under 34 CFR 682.402(c)(5)-(6)</w:t>
      </w:r>
      <w:r w:rsidRPr="004A4D71">
        <w:rPr>
          <w:rFonts w:ascii="Courier New" w:hAnsi="Courier New" w:cs="Courier New"/>
          <w:color w:val="FF0000"/>
          <w:sz w:val="24"/>
          <w:szCs w:val="24"/>
        </w:rPr>
        <w:t xml:space="preserve"> </w:t>
      </w:r>
      <w:r w:rsidRPr="0073481F">
        <w:rPr>
          <w:rFonts w:ascii="Courier New" w:hAnsi="Courier New" w:cs="Courier New"/>
          <w:sz w:val="24"/>
          <w:szCs w:val="24"/>
        </w:rPr>
        <w:t>and 34 CFR 685.213(b)(6)-(7)</w:t>
      </w:r>
      <w:r w:rsidRPr="003451FF">
        <w:rPr>
          <w:rFonts w:ascii="Courier New" w:eastAsia="Times New Roman" w:hAnsi="Courier New" w:cs="Courier New"/>
          <w:sz w:val="24"/>
          <w:szCs w:val="24"/>
        </w:rPr>
        <w:t xml:space="preserve">, the Department reinstates a loan previously discharged on the basis of total and permanent disability if the borrower receives a </w:t>
      </w:r>
      <w:r>
        <w:rPr>
          <w:rFonts w:ascii="Courier New" w:eastAsia="Times New Roman" w:hAnsi="Courier New" w:cs="Courier New"/>
          <w:sz w:val="24"/>
          <w:szCs w:val="24"/>
        </w:rPr>
        <w:t>loan</w:t>
      </w:r>
      <w:r w:rsidRPr="003451FF">
        <w:rPr>
          <w:rFonts w:ascii="Courier New" w:eastAsia="Times New Roman" w:hAnsi="Courier New" w:cs="Courier New"/>
          <w:sz w:val="24"/>
          <w:szCs w:val="24"/>
        </w:rPr>
        <w:t xml:space="preserve"> after that previous loan was discharged.  To be eligible for a loan, an individual must be enrolled to attend postsecondary school on at least a half-time basis.  34 CFR 685.200(a)(1).  That is, the existing regulations infer that an individual who is able to attend school on at least a half-time basis is not totally and permanently disabled. </w:t>
      </w:r>
    </w:p>
    <w:p w14:paraId="0C0D5995" w14:textId="77777777" w:rsidR="001933B1" w:rsidRPr="003451FF" w:rsidRDefault="001933B1" w:rsidP="001933B1">
      <w:pPr>
        <w:spacing w:after="0" w:line="480" w:lineRule="auto"/>
        <w:ind w:firstLine="720"/>
        <w:rPr>
          <w:rFonts w:ascii="Courier New" w:eastAsia="Times New Roman" w:hAnsi="Courier New" w:cs="Courier New"/>
          <w:sz w:val="24"/>
          <w:szCs w:val="24"/>
        </w:rPr>
      </w:pPr>
      <w:r w:rsidRPr="003451FF">
        <w:rPr>
          <w:rFonts w:ascii="Courier New" w:eastAsia="Times New Roman" w:hAnsi="Courier New" w:cs="Courier New"/>
          <w:sz w:val="24"/>
          <w:szCs w:val="24"/>
        </w:rPr>
        <w:t>Accordingly, we are providing in §668.413(</w:t>
      </w:r>
      <w:r>
        <w:rPr>
          <w:rFonts w:ascii="Courier New" w:eastAsia="Times New Roman" w:hAnsi="Courier New" w:cs="Courier New"/>
          <w:sz w:val="24"/>
          <w:szCs w:val="24"/>
        </w:rPr>
        <w:t>a</w:t>
      </w:r>
      <w:r w:rsidRPr="003451FF">
        <w:rPr>
          <w:rFonts w:ascii="Courier New" w:eastAsia="Times New Roman" w:hAnsi="Courier New" w:cs="Courier New"/>
          <w:sz w:val="24"/>
          <w:szCs w:val="24"/>
        </w:rPr>
        <w:t>)(</w:t>
      </w:r>
      <w:r>
        <w:rPr>
          <w:rFonts w:ascii="Courier New" w:eastAsia="Times New Roman" w:hAnsi="Courier New" w:cs="Courier New"/>
          <w:sz w:val="24"/>
          <w:szCs w:val="24"/>
        </w:rPr>
        <w:t>2</w:t>
      </w:r>
      <w:r w:rsidRPr="003451FF">
        <w:rPr>
          <w:rFonts w:ascii="Courier New" w:eastAsia="Times New Roman" w:hAnsi="Courier New" w:cs="Courier New"/>
          <w:sz w:val="24"/>
          <w:szCs w:val="24"/>
        </w:rPr>
        <w:t>)(ii) that a student may be excluded from the calculation of the completion rates or withdrawal rates, as applicable, if</w:t>
      </w:r>
      <w:r w:rsidRPr="003451FF">
        <w:rPr>
          <w:rFonts w:ascii="Courier New" w:hAnsi="Courier New" w:cs="Courier New"/>
          <w:sz w:val="24"/>
          <w:szCs w:val="24"/>
        </w:rPr>
        <w:t xml:space="preserve"> the student became totally and permanently disabled </w:t>
      </w:r>
      <w:r>
        <w:rPr>
          <w:rFonts w:ascii="Courier New" w:hAnsi="Courier New" w:cs="Courier New"/>
          <w:sz w:val="24"/>
          <w:szCs w:val="24"/>
        </w:rPr>
        <w:t xml:space="preserve">while enrolled in the program </w:t>
      </w:r>
      <w:r w:rsidRPr="003451FF">
        <w:rPr>
          <w:rFonts w:ascii="Courier New" w:hAnsi="Courier New" w:cs="Courier New"/>
          <w:sz w:val="24"/>
          <w:szCs w:val="24"/>
        </w:rPr>
        <w:t>and unable to continue enrollment on at least a half-time basis.</w:t>
      </w:r>
    </w:p>
    <w:p w14:paraId="7732667E" w14:textId="37587E2F"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We have revised §668.413(b) to provide that a student who died </w:t>
      </w:r>
      <w:r w:rsidR="00B73017">
        <w:rPr>
          <w:rFonts w:ascii="Courier New" w:eastAsia="Times New Roman" w:hAnsi="Courier New" w:cs="Courier New"/>
          <w:sz w:val="24"/>
          <w:szCs w:val="24"/>
        </w:rPr>
        <w:t xml:space="preserve">while enrolled in the program </w:t>
      </w:r>
      <w:r>
        <w:rPr>
          <w:rFonts w:ascii="Courier New" w:eastAsia="Times New Roman" w:hAnsi="Courier New" w:cs="Courier New"/>
          <w:sz w:val="24"/>
          <w:szCs w:val="24"/>
        </w:rPr>
        <w:t xml:space="preserve">is </w:t>
      </w:r>
      <w:r w:rsidRPr="003451FF">
        <w:rPr>
          <w:rFonts w:ascii="Courier New" w:eastAsia="Times New Roman" w:hAnsi="Courier New" w:cs="Courier New"/>
          <w:sz w:val="24"/>
          <w:szCs w:val="24"/>
        </w:rPr>
        <w:t xml:space="preserve">excluded from the enrollment cohort </w:t>
      </w:r>
      <w:r>
        <w:rPr>
          <w:rFonts w:ascii="Courier New" w:eastAsia="Times New Roman" w:hAnsi="Courier New" w:cs="Courier New"/>
          <w:sz w:val="24"/>
          <w:szCs w:val="24"/>
        </w:rPr>
        <w:t xml:space="preserve">used </w:t>
      </w:r>
      <w:r w:rsidRPr="003451FF">
        <w:rPr>
          <w:rFonts w:ascii="Courier New" w:eastAsia="Times New Roman" w:hAnsi="Courier New" w:cs="Courier New"/>
          <w:sz w:val="24"/>
          <w:szCs w:val="24"/>
        </w:rPr>
        <w:t>for calculating completion and withdrawal rates</w:t>
      </w:r>
      <w:r>
        <w:rPr>
          <w:rFonts w:ascii="Courier New" w:eastAsia="Times New Roman" w:hAnsi="Courier New" w:cs="Courier New"/>
          <w:sz w:val="24"/>
          <w:szCs w:val="24"/>
        </w:rPr>
        <w:t xml:space="preserve">.  We have also provided in this section that a student who </w:t>
      </w:r>
      <w:r w:rsidRPr="003451FF">
        <w:rPr>
          <w:rFonts w:ascii="Courier New" w:eastAsia="Times New Roman" w:hAnsi="Courier New" w:cs="Courier New"/>
          <w:sz w:val="24"/>
          <w:szCs w:val="24"/>
        </w:rPr>
        <w:t>became totally and permanently disabled</w:t>
      </w:r>
      <w:r>
        <w:rPr>
          <w:rFonts w:ascii="Courier New" w:eastAsia="Times New Roman" w:hAnsi="Courier New" w:cs="Courier New"/>
          <w:sz w:val="24"/>
          <w:szCs w:val="24"/>
        </w:rPr>
        <w:t>, while enrolled in the program, and who was</w:t>
      </w:r>
      <w:r w:rsidRPr="003451FF">
        <w:rPr>
          <w:rFonts w:ascii="Courier New" w:eastAsia="Times New Roman" w:hAnsi="Courier New" w:cs="Courier New"/>
          <w:sz w:val="24"/>
          <w:szCs w:val="24"/>
        </w:rPr>
        <w:t xml:space="preserve"> unable to </w:t>
      </w:r>
      <w:r>
        <w:rPr>
          <w:rFonts w:ascii="Courier New" w:eastAsia="Times New Roman" w:hAnsi="Courier New" w:cs="Courier New"/>
          <w:sz w:val="24"/>
          <w:szCs w:val="24"/>
        </w:rPr>
        <w:t xml:space="preserve">continue enrollment in </w:t>
      </w:r>
      <w:r w:rsidRPr="003451FF">
        <w:rPr>
          <w:rFonts w:ascii="Courier New" w:eastAsia="Times New Roman" w:hAnsi="Courier New" w:cs="Courier New"/>
          <w:sz w:val="24"/>
          <w:szCs w:val="24"/>
        </w:rPr>
        <w:t xml:space="preserve">school on at least a half-time basis, </w:t>
      </w:r>
      <w:r>
        <w:rPr>
          <w:rFonts w:ascii="Courier New" w:eastAsia="Times New Roman" w:hAnsi="Courier New" w:cs="Courier New"/>
          <w:sz w:val="24"/>
          <w:szCs w:val="24"/>
        </w:rPr>
        <w:t>is</w:t>
      </w:r>
      <w:r w:rsidRPr="003451FF">
        <w:rPr>
          <w:rFonts w:ascii="Courier New" w:eastAsia="Times New Roman" w:hAnsi="Courier New" w:cs="Courier New"/>
          <w:sz w:val="24"/>
          <w:szCs w:val="24"/>
        </w:rPr>
        <w:t xml:space="preserve"> excluded from the enrollment cohort </w:t>
      </w:r>
      <w:r>
        <w:rPr>
          <w:rFonts w:ascii="Courier New" w:eastAsia="Times New Roman" w:hAnsi="Courier New" w:cs="Courier New"/>
          <w:sz w:val="24"/>
          <w:szCs w:val="24"/>
        </w:rPr>
        <w:t xml:space="preserve">used </w:t>
      </w:r>
      <w:r w:rsidRPr="003451FF">
        <w:rPr>
          <w:rFonts w:ascii="Courier New" w:eastAsia="Times New Roman" w:hAnsi="Courier New" w:cs="Courier New"/>
          <w:sz w:val="24"/>
          <w:szCs w:val="24"/>
        </w:rPr>
        <w:t xml:space="preserve">for calculating completion and withdrawal rates. </w:t>
      </w:r>
    </w:p>
    <w:p w14:paraId="6392E6E8"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Some commenters expressed concern that disclosing four different completion rates would be excessive and potentially overwhelming for prospective students.</w:t>
      </w:r>
      <w:r w:rsidRPr="003451FF" w:rsidDel="00B7105A">
        <w:rPr>
          <w:rFonts w:ascii="Courier New" w:eastAsia="Times New Roman" w:hAnsi="Courier New" w:cs="Courier New"/>
          <w:sz w:val="24"/>
          <w:szCs w:val="24"/>
        </w:rPr>
        <w:t xml:space="preserve"> </w:t>
      </w:r>
    </w:p>
    <w:p w14:paraId="15B14B4B"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Although we believe that the various completion rates would capture the experience of full-time and part-time students in a way that would be beneficial to both enrolled and prospective students, as well as institutions as they work to improve student outcomes, we agree that providing four completion rates on the disclosure template may be overwhelming for students and prospective students.  Accordingly, as was the case in the NPRM, we have provided that we will use consumer testing to assess which of the disclosures, including the various options for completion and withdrawal rates, are most meaningful for students and prospective students.  The disclosure template will include only those items identified by the Secretary as required disclosures for a particular year.</w:t>
      </w:r>
    </w:p>
    <w:p w14:paraId="4DA23D22"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None.  </w:t>
      </w:r>
    </w:p>
    <w:p w14:paraId="641026BA"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Commenters asked the Department to clarify the methodology for calculating completion rates and withdrawal rates.  Specifically, some commenters asked that we define the cohort of students for whom completion rates and withdrawal rates are calculated and address whether the cohort includes all students who received title IV, HEA program funds in a particular award year, or at any time in the past.  </w:t>
      </w:r>
    </w:p>
    <w:p w14:paraId="5AAAA48E" w14:textId="77777777" w:rsidR="001933B1" w:rsidRDefault="001933B1" w:rsidP="001933B1">
      <w:pPr>
        <w:spacing w:after="0" w:line="480" w:lineRule="auto"/>
        <w:ind w:firstLine="720"/>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A number of commenters suggested that, for the purpose of calculating completion rates, we determine a student’s enrollment status at a fixed point after the start of a term, rather than on the first day of the student’s enrollment in the program, because many students may subsequently change their enrollment status.  </w:t>
      </w:r>
      <w:r>
        <w:rPr>
          <w:rFonts w:ascii="Courier New" w:eastAsia="Times New Roman" w:hAnsi="Courier New" w:cs="Courier New"/>
          <w:sz w:val="24"/>
          <w:szCs w:val="24"/>
        </w:rPr>
        <w:t>Another commenter suggested that institutions, and not the Department, calculate the completion and withdrawal rates that will be included in the disclosures.</w:t>
      </w:r>
    </w:p>
    <w:p w14:paraId="5F77C682" w14:textId="77777777" w:rsidR="001933B1" w:rsidRDefault="001933B1" w:rsidP="001933B1">
      <w:pPr>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Discussion</w:t>
      </w:r>
      <w:r w:rsidRPr="0041683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The Department will calculate the disclosure items indicated in </w:t>
      </w:r>
      <w:r w:rsidRPr="003451FF">
        <w:rPr>
          <w:rFonts w:ascii="Courier New" w:eastAsia="Times New Roman" w:hAnsi="Courier New" w:cs="Courier New"/>
          <w:sz w:val="24"/>
          <w:szCs w:val="24"/>
        </w:rPr>
        <w:t>§</w:t>
      </w:r>
      <w:r>
        <w:rPr>
          <w:rFonts w:ascii="Courier New" w:eastAsia="Times New Roman" w:hAnsi="Courier New" w:cs="Courier New"/>
          <w:sz w:val="24"/>
          <w:szCs w:val="24"/>
        </w:rPr>
        <w:t>668.413</w:t>
      </w:r>
      <w:r w:rsidRPr="0041683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in order to ensure </w:t>
      </w:r>
      <w:r w:rsidRPr="00416831">
        <w:rPr>
          <w:rFonts w:ascii="Courier New" w:eastAsia="Times New Roman" w:hAnsi="Courier New" w:cs="Courier New"/>
          <w:sz w:val="24"/>
          <w:szCs w:val="24"/>
        </w:rPr>
        <w:t xml:space="preserve">accuracy and consistency </w:t>
      </w:r>
      <w:r>
        <w:rPr>
          <w:rFonts w:ascii="Courier New" w:eastAsia="Times New Roman" w:hAnsi="Courier New" w:cs="Courier New"/>
          <w:sz w:val="24"/>
          <w:szCs w:val="24"/>
        </w:rPr>
        <w:t>in the calculations</w:t>
      </w:r>
      <w:r w:rsidRPr="00416831">
        <w:rPr>
          <w:rFonts w:ascii="Courier New" w:eastAsia="Times New Roman" w:hAnsi="Courier New" w:cs="Courier New"/>
          <w:sz w:val="24"/>
          <w:szCs w:val="24"/>
        </w:rPr>
        <w:t>.</w:t>
      </w:r>
      <w:r>
        <w:rPr>
          <w:rFonts w:ascii="Courier New" w:eastAsia="Times New Roman" w:hAnsi="Courier New" w:cs="Courier New"/>
          <w:sz w:val="24"/>
          <w:szCs w:val="24"/>
          <w:u w:val="single"/>
        </w:rPr>
        <w:t xml:space="preserve"> </w:t>
      </w:r>
    </w:p>
    <w:p w14:paraId="11074AC9" w14:textId="1AC2A47D" w:rsidR="001933B1" w:rsidRPr="00C67B5F" w:rsidRDefault="001933B1" w:rsidP="001933B1">
      <w:pPr>
        <w:spacing w:after="0" w:line="480" w:lineRule="auto"/>
        <w:ind w:firstLine="720"/>
        <w:rPr>
          <w:rFonts w:ascii="Courier New" w:eastAsia="Times New Roman" w:hAnsi="Courier New" w:cs="Courier New"/>
          <w:sz w:val="24"/>
          <w:szCs w:val="24"/>
          <w:lang w:eastAsia="ja-JP"/>
        </w:rPr>
      </w:pPr>
      <w:r w:rsidRPr="00C67B5F">
        <w:rPr>
          <w:rFonts w:ascii="Courier New" w:eastAsia="Times New Roman" w:hAnsi="Courier New" w:cs="Courier New"/>
          <w:sz w:val="24"/>
          <w:szCs w:val="24"/>
          <w:lang w:eastAsia="ja-JP"/>
        </w:rPr>
        <w:t xml:space="preserve">With regard to the comments about the cohort used to calculate the completion and withdrawal rates, we clarify that the “enrollment cohort” is comprised of all the students who began enrollment in a GE program during a particular award year, where students are those individuals receiving title IV, HEA program funds.  For example, all students who </w:t>
      </w:r>
      <w:r w:rsidR="00517CD1">
        <w:rPr>
          <w:rFonts w:ascii="Courier New" w:eastAsia="Times New Roman" w:hAnsi="Courier New" w:cs="Courier New"/>
          <w:sz w:val="24"/>
          <w:szCs w:val="24"/>
          <w:lang w:eastAsia="ja-JP"/>
        </w:rPr>
        <w:t>began enrollment</w:t>
      </w:r>
      <w:r w:rsidRPr="00C67B5F">
        <w:rPr>
          <w:rFonts w:ascii="Courier New" w:eastAsia="Times New Roman" w:hAnsi="Courier New" w:cs="Courier New"/>
          <w:sz w:val="24"/>
          <w:szCs w:val="24"/>
          <w:lang w:eastAsia="ja-JP"/>
        </w:rPr>
        <w:t xml:space="preserve"> in a GE program at any time during the 2011-</w:t>
      </w:r>
      <w:r>
        <w:rPr>
          <w:rFonts w:ascii="Courier New" w:eastAsia="Times New Roman" w:hAnsi="Courier New" w:cs="Courier New"/>
          <w:sz w:val="24"/>
          <w:szCs w:val="24"/>
          <w:lang w:eastAsia="ja-JP"/>
        </w:rPr>
        <w:t>20</w:t>
      </w:r>
      <w:r w:rsidRPr="00C67B5F">
        <w:rPr>
          <w:rFonts w:ascii="Courier New" w:eastAsia="Times New Roman" w:hAnsi="Courier New" w:cs="Courier New"/>
          <w:sz w:val="24"/>
          <w:szCs w:val="24"/>
          <w:lang w:eastAsia="ja-JP"/>
        </w:rPr>
        <w:t>12 award year comprise the enrollment cohort for that award year.  The Department will track the students in the enrollment cohort to calculate a completion rate at the end of the calendar date for each measurement period, i.e., at 100, 150, 200, and 300 percent</w:t>
      </w:r>
      <w:r>
        <w:rPr>
          <w:rFonts w:ascii="Courier New" w:eastAsia="Times New Roman" w:hAnsi="Courier New" w:cs="Courier New"/>
          <w:sz w:val="24"/>
          <w:szCs w:val="24"/>
          <w:lang w:eastAsia="ja-JP"/>
        </w:rPr>
        <w:t xml:space="preserve"> of the length of the program</w:t>
      </w:r>
      <w:r w:rsidRPr="00C67B5F">
        <w:rPr>
          <w:rFonts w:ascii="Courier New" w:eastAsia="Times New Roman" w:hAnsi="Courier New" w:cs="Courier New"/>
          <w:sz w:val="24"/>
          <w:szCs w:val="24"/>
          <w:lang w:eastAsia="ja-JP"/>
        </w:rPr>
        <w:t>.  We will apply the same process for the next enrollment cohort for the program-</w:t>
      </w:r>
      <w:r w:rsidR="00C26145">
        <w:rPr>
          <w:rFonts w:ascii="Courier New" w:eastAsia="Times New Roman" w:hAnsi="Courier New" w:cs="Courier New"/>
          <w:sz w:val="24"/>
          <w:szCs w:val="24"/>
          <w:lang w:eastAsia="ja-JP"/>
        </w:rPr>
        <w:t>-</w:t>
      </w:r>
      <w:r w:rsidRPr="00C67B5F">
        <w:rPr>
          <w:rFonts w:ascii="Courier New" w:eastAsia="Times New Roman" w:hAnsi="Courier New" w:cs="Courier New"/>
          <w:sz w:val="24"/>
          <w:szCs w:val="24"/>
          <w:lang w:eastAsia="ja-JP"/>
        </w:rPr>
        <w:t>the students who began enrollment during the 2012-</w:t>
      </w:r>
      <w:r>
        <w:rPr>
          <w:rFonts w:ascii="Courier New" w:eastAsia="Times New Roman" w:hAnsi="Courier New" w:cs="Courier New"/>
          <w:sz w:val="24"/>
          <w:szCs w:val="24"/>
          <w:lang w:eastAsia="ja-JP"/>
        </w:rPr>
        <w:t>20</w:t>
      </w:r>
      <w:r w:rsidRPr="00C67B5F">
        <w:rPr>
          <w:rFonts w:ascii="Courier New" w:eastAsia="Times New Roman" w:hAnsi="Courier New" w:cs="Courier New"/>
          <w:sz w:val="24"/>
          <w:szCs w:val="24"/>
          <w:lang w:eastAsia="ja-JP"/>
        </w:rPr>
        <w:t>13 award year-</w:t>
      </w:r>
      <w:r w:rsidR="00C26145">
        <w:rPr>
          <w:rFonts w:ascii="Courier New" w:eastAsia="Times New Roman" w:hAnsi="Courier New" w:cs="Courier New"/>
          <w:sz w:val="24"/>
          <w:szCs w:val="24"/>
          <w:lang w:eastAsia="ja-JP"/>
        </w:rPr>
        <w:t>-</w:t>
      </w:r>
      <w:r w:rsidRPr="00C67B5F">
        <w:rPr>
          <w:rFonts w:ascii="Courier New" w:eastAsia="Times New Roman" w:hAnsi="Courier New" w:cs="Courier New"/>
          <w:sz w:val="24"/>
          <w:szCs w:val="24"/>
          <w:lang w:eastAsia="ja-JP"/>
        </w:rPr>
        <w:t xml:space="preserve">and for every subsequent enrollment cohort for that program.  </w:t>
      </w:r>
    </w:p>
    <w:p w14:paraId="5FCCC787" w14:textId="77777777" w:rsidR="001933B1" w:rsidRDefault="001933B1" w:rsidP="001933B1">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lang w:eastAsia="ja-JP"/>
        </w:rPr>
        <w:t xml:space="preserve">     </w:t>
      </w:r>
      <w:r w:rsidRPr="004B5C64">
        <w:rPr>
          <w:rFonts w:ascii="Courier New" w:eastAsia="Times New Roman" w:hAnsi="Courier New" w:cs="Courier New"/>
          <w:sz w:val="24"/>
          <w:szCs w:val="24"/>
          <w:lang w:eastAsia="ja-JP"/>
        </w:rPr>
        <w:t>However, because students may enroll in a program at any time during an award year,</w:t>
      </w:r>
      <w:r>
        <w:rPr>
          <w:rFonts w:ascii="Courier New" w:eastAsia="Times New Roman" w:hAnsi="Courier New" w:cs="Courier New"/>
          <w:sz w:val="24"/>
          <w:szCs w:val="24"/>
          <w:lang w:eastAsia="ja-JP"/>
        </w:rPr>
        <w:t xml:space="preserve"> </w:t>
      </w:r>
      <w:r w:rsidRPr="004B5C64">
        <w:rPr>
          <w:rFonts w:ascii="Courier New" w:eastAsia="Times New Roman" w:hAnsi="Courier New" w:cs="Courier New"/>
          <w:sz w:val="24"/>
          <w:szCs w:val="24"/>
          <w:lang w:eastAsia="ja-JP"/>
        </w:rPr>
        <w:t xml:space="preserve">we will determine on a student-by-student basis whether a student completed the program within the length of the program or the applicable multiple of the program.  As an example, consider the calculation of the 100 percent of normal time completion rate associated with a two-year program for the students that enrolled in the program during the 2011-2012 award year, assuming that 100 students began enrollment in the program at various times during that award year.  We will determine for each student individually whether </w:t>
      </w:r>
      <w:r>
        <w:rPr>
          <w:rFonts w:ascii="Courier New" w:eastAsia="Times New Roman" w:hAnsi="Courier New" w:cs="Courier New"/>
          <w:sz w:val="24"/>
          <w:szCs w:val="24"/>
          <w:lang w:eastAsia="ja-JP"/>
        </w:rPr>
        <w:t>he or she</w:t>
      </w:r>
      <w:r w:rsidRPr="004B5C64">
        <w:rPr>
          <w:rFonts w:ascii="Courier New" w:eastAsia="Times New Roman" w:hAnsi="Courier New" w:cs="Courier New"/>
          <w:sz w:val="24"/>
          <w:szCs w:val="24"/>
          <w:lang w:eastAsia="ja-JP"/>
        </w:rPr>
        <w:t xml:space="preserve"> completed the program within two years by comparing for each student, the date the student began enrollment in the program to the date they completed the program.  If, for example, 75 of those students completed the program within two years of when they began enrollment, the 100 percent of normal time completion rate for the 2011-2012 enrollment cohort would be 75 percent.  Both completion and withdrawal rates under the regulations will be calculated using this methodology.</w:t>
      </w:r>
      <w:r>
        <w:rPr>
          <w:rFonts w:ascii="Courier New" w:eastAsia="Times New Roman" w:hAnsi="Courier New" w:cs="Courier New"/>
          <w:sz w:val="24"/>
          <w:szCs w:val="24"/>
          <w:lang w:eastAsia="ja-JP"/>
        </w:rPr>
        <w:t xml:space="preserve">  </w:t>
      </w:r>
    </w:p>
    <w:p w14:paraId="4E0F5CF6"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We have revised §668.413(b)(1) to clarify that the enrollment cohort for an award year represents the students who began the GE program at any time during that award year.  </w:t>
      </w:r>
    </w:p>
    <w:p w14:paraId="3E6E17D1" w14:textId="77777777" w:rsidR="001933B1" w:rsidRPr="003451FF" w:rsidRDefault="001933B1" w:rsidP="001933B1">
      <w:pPr>
        <w:pStyle w:val="Heading1"/>
      </w:pPr>
      <w:r w:rsidRPr="003451FF">
        <w:t>Repayment Rate</w:t>
      </w:r>
    </w:p>
    <w:p w14:paraId="72097FE1" w14:textId="77777777" w:rsidR="001933B1" w:rsidRPr="003451FF" w:rsidRDefault="001933B1" w:rsidP="001933B1">
      <w:pPr>
        <w:spacing w:after="0" w:line="480" w:lineRule="auto"/>
        <w:rPr>
          <w:rFonts w:ascii="Courier New" w:hAnsi="Courier New" w:cs="Courier New"/>
          <w:sz w:val="24"/>
          <w:szCs w:val="24"/>
        </w:rPr>
      </w:pPr>
      <w:r w:rsidRPr="00416831">
        <w:rPr>
          <w:rFonts w:ascii="Courier New" w:hAnsi="Courier New" w:cs="Courier New"/>
          <w:sz w:val="24"/>
          <w:szCs w:val="24"/>
          <w:u w:val="single"/>
        </w:rPr>
        <w:t>Comments</w:t>
      </w:r>
      <w:r>
        <w:rPr>
          <w:rFonts w:ascii="Courier New" w:hAnsi="Courier New" w:cs="Courier New"/>
          <w:sz w:val="24"/>
          <w:szCs w:val="24"/>
        </w:rPr>
        <w:t xml:space="preserve">:  Some commenters asked </w:t>
      </w:r>
      <w:r w:rsidRPr="003451FF">
        <w:rPr>
          <w:rFonts w:ascii="Courier New" w:hAnsi="Courier New" w:cs="Courier New"/>
          <w:sz w:val="24"/>
          <w:szCs w:val="24"/>
        </w:rPr>
        <w:t xml:space="preserve">whether there is a distinction made </w:t>
      </w:r>
      <w:r>
        <w:rPr>
          <w:rFonts w:ascii="Courier New" w:hAnsi="Courier New" w:cs="Courier New"/>
          <w:sz w:val="24"/>
          <w:szCs w:val="24"/>
        </w:rPr>
        <w:t>for</w:t>
      </w:r>
      <w:r w:rsidRPr="003451FF">
        <w:rPr>
          <w:rFonts w:ascii="Courier New" w:hAnsi="Courier New" w:cs="Courier New"/>
          <w:sz w:val="24"/>
          <w:szCs w:val="24"/>
        </w:rPr>
        <w:t xml:space="preserve"> the </w:t>
      </w:r>
      <w:r>
        <w:rPr>
          <w:rFonts w:ascii="Courier New" w:hAnsi="Courier New" w:cs="Courier New"/>
          <w:sz w:val="24"/>
          <w:szCs w:val="24"/>
        </w:rPr>
        <w:t xml:space="preserve">repayment rate calculation </w:t>
      </w:r>
      <w:r w:rsidRPr="003451FF">
        <w:rPr>
          <w:rFonts w:ascii="Courier New" w:hAnsi="Courier New" w:cs="Courier New"/>
          <w:sz w:val="24"/>
          <w:szCs w:val="24"/>
        </w:rPr>
        <w:t xml:space="preserve">cohort </w:t>
      </w:r>
      <w:r>
        <w:rPr>
          <w:rFonts w:ascii="Courier New" w:hAnsi="Courier New" w:cs="Courier New"/>
          <w:sz w:val="24"/>
          <w:szCs w:val="24"/>
        </w:rPr>
        <w:t xml:space="preserve">period </w:t>
      </w:r>
      <w:r w:rsidRPr="003451FF">
        <w:rPr>
          <w:rFonts w:ascii="Courier New" w:hAnsi="Courier New" w:cs="Courier New"/>
          <w:sz w:val="24"/>
          <w:szCs w:val="24"/>
        </w:rPr>
        <w:t>for medical</w:t>
      </w:r>
      <w:r>
        <w:rPr>
          <w:rFonts w:ascii="Courier New" w:hAnsi="Courier New" w:cs="Courier New"/>
          <w:sz w:val="24"/>
          <w:szCs w:val="24"/>
        </w:rPr>
        <w:t xml:space="preserve"> or </w:t>
      </w:r>
      <w:r w:rsidRPr="003451FF">
        <w:rPr>
          <w:rFonts w:ascii="Courier New" w:hAnsi="Courier New" w:cs="Courier New"/>
          <w:sz w:val="24"/>
          <w:szCs w:val="24"/>
        </w:rPr>
        <w:t>dental programs that require a residency.</w:t>
      </w:r>
    </w:p>
    <w:p w14:paraId="717BBF4A"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w:t>
      </w:r>
      <w:r>
        <w:rPr>
          <w:rFonts w:ascii="Courier New" w:hAnsi="Courier New" w:cs="Courier New"/>
          <w:sz w:val="24"/>
          <w:szCs w:val="24"/>
        </w:rPr>
        <w:t>We</w:t>
      </w:r>
      <w:r w:rsidRPr="003451FF">
        <w:rPr>
          <w:rFonts w:ascii="Courier New" w:hAnsi="Courier New" w:cs="Courier New"/>
          <w:sz w:val="24"/>
          <w:szCs w:val="24"/>
        </w:rPr>
        <w:t xml:space="preserve"> see no reason to </w:t>
      </w:r>
      <w:r>
        <w:rPr>
          <w:rFonts w:ascii="Courier New" w:hAnsi="Courier New" w:cs="Courier New"/>
          <w:sz w:val="24"/>
          <w:szCs w:val="24"/>
        </w:rPr>
        <w:t>make a distinction in the cohort period for medical and dental programs that require a residency</w:t>
      </w:r>
      <w:r w:rsidRPr="003451FF">
        <w:rPr>
          <w:rFonts w:ascii="Courier New" w:hAnsi="Courier New" w:cs="Courier New"/>
          <w:sz w:val="24"/>
          <w:szCs w:val="24"/>
        </w:rPr>
        <w:t xml:space="preserve">.  For the D/E rates calculation, we adjust the cohort period because we would not expect students, while in a residency or other type of required training, to have earnings at a level that is reflective of the training they received.  In comparison, we do expect borrowers to repay their loans while in residency or other training.  Consequently, modifying the cohort period would not be appropriate.   </w:t>
      </w:r>
    </w:p>
    <w:p w14:paraId="33667118"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Changes</w:t>
      </w:r>
      <w:r w:rsidRPr="003451FF">
        <w:rPr>
          <w:rFonts w:ascii="Courier New" w:hAnsi="Courier New" w:cs="Courier New"/>
          <w:sz w:val="24"/>
          <w:szCs w:val="24"/>
        </w:rPr>
        <w:t xml:space="preserve">:  </w:t>
      </w:r>
      <w:r>
        <w:rPr>
          <w:rFonts w:ascii="Courier New" w:hAnsi="Courier New" w:cs="Courier New"/>
          <w:sz w:val="24"/>
          <w:szCs w:val="24"/>
        </w:rPr>
        <w:t>None.</w:t>
      </w:r>
    </w:p>
    <w:p w14:paraId="7C0D7F41"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Comments</w:t>
      </w:r>
      <w:r w:rsidRPr="003451FF">
        <w:rPr>
          <w:rFonts w:ascii="Courier New" w:hAnsi="Courier New" w:cs="Courier New"/>
          <w:sz w:val="24"/>
          <w:szCs w:val="24"/>
        </w:rPr>
        <w:t xml:space="preserve">:  With respect to the repayment rate methodology in §668.413(b)(3), some commenters objected to the breadth of the exclusion for students enrolled in another eligible program at the institution or another institution, specifically noting the absence of any requirement that the institution provide documentation to validate the exclusion.  On the other hand, some commenters supported the exclusion for borrowers currently enrolled in an eligible program regardless of whether it is the same program as that in which they originally enrolled, and for borrowers in military deferment.  These commenters suggested expanding the exclusion to include other borrowers in deferment status, other than deferments for unemployment or economic hardship, including students working in the Peace Corps.  </w:t>
      </w:r>
    </w:p>
    <w:p w14:paraId="2CD7E324"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The repayment rate disclosure </w:t>
      </w:r>
      <w:r>
        <w:rPr>
          <w:rFonts w:ascii="Courier New" w:hAnsi="Courier New" w:cs="Courier New"/>
          <w:sz w:val="24"/>
          <w:szCs w:val="24"/>
        </w:rPr>
        <w:t>will</w:t>
      </w:r>
      <w:r w:rsidRPr="003451FF">
        <w:rPr>
          <w:rFonts w:ascii="Courier New" w:hAnsi="Courier New" w:cs="Courier New"/>
          <w:sz w:val="24"/>
          <w:szCs w:val="24"/>
        </w:rPr>
        <w:t xml:space="preserve"> show consumers how effectively those who are expected to repay their loans are actually repaying them and, from that information, allow consumers to evaluate program performance.  We exclude from the repayment rate calculation, as well as the D/E rates calculation, students who are in school or in military deferment because those statuses are reflective of individual choices that have little to do with the effectiveness of the program (</w:t>
      </w:r>
      <w:r>
        <w:rPr>
          <w:rFonts w:ascii="Courier New" w:hAnsi="Courier New" w:cs="Courier New"/>
          <w:sz w:val="24"/>
          <w:szCs w:val="24"/>
        </w:rPr>
        <w:t>s</w:t>
      </w:r>
      <w:r w:rsidRPr="003451FF">
        <w:rPr>
          <w:rFonts w:ascii="Courier New" w:hAnsi="Courier New" w:cs="Courier New"/>
          <w:sz w:val="24"/>
          <w:szCs w:val="24"/>
        </w:rPr>
        <w:t>ee §668.412(a)(13) and §668.404(d)(3)).  We decline to add an exclusion for borrowers in the Peace Corps</w:t>
      </w:r>
      <w:r>
        <w:rPr>
          <w:rFonts w:ascii="Courier New" w:hAnsi="Courier New" w:cs="Courier New"/>
          <w:sz w:val="24"/>
          <w:szCs w:val="24"/>
        </w:rPr>
        <w:t xml:space="preserve"> </w:t>
      </w:r>
      <w:r w:rsidRPr="003451FF">
        <w:rPr>
          <w:rFonts w:ascii="Courier New" w:hAnsi="Courier New" w:cs="Courier New"/>
          <w:sz w:val="24"/>
          <w:szCs w:val="24"/>
        </w:rPr>
        <w:t xml:space="preserve">because there is no longer a separate deferment in the title IV, HEA program regulations for such borrowers, </w:t>
      </w:r>
      <w:r w:rsidRPr="003451FF" w:rsidDel="0017029A">
        <w:rPr>
          <w:rFonts w:ascii="Courier New" w:hAnsi="Courier New" w:cs="Courier New"/>
          <w:sz w:val="24"/>
          <w:szCs w:val="24"/>
        </w:rPr>
        <w:t xml:space="preserve">and, therefore, </w:t>
      </w:r>
      <w:r w:rsidRPr="003451FF">
        <w:rPr>
          <w:rFonts w:ascii="Courier New" w:hAnsi="Courier New" w:cs="Courier New"/>
          <w:sz w:val="24"/>
          <w:szCs w:val="24"/>
        </w:rPr>
        <w:t>there would be no way to easily identify these students</w:t>
      </w:r>
      <w:r w:rsidRPr="003451FF" w:rsidDel="00FA75BB">
        <w:rPr>
          <w:rFonts w:ascii="Courier New" w:hAnsi="Courier New" w:cs="Courier New"/>
          <w:sz w:val="24"/>
          <w:szCs w:val="24"/>
        </w:rPr>
        <w:t xml:space="preserve"> from </w:t>
      </w:r>
      <w:r w:rsidRPr="003451FF">
        <w:rPr>
          <w:rFonts w:ascii="Courier New" w:hAnsi="Courier New" w:cs="Courier New"/>
          <w:sz w:val="24"/>
          <w:szCs w:val="24"/>
        </w:rPr>
        <w:t xml:space="preserve">other students with an economic hardship deferment. </w:t>
      </w:r>
      <w:r w:rsidRPr="003451FF" w:rsidDel="0017029A">
        <w:rPr>
          <w:rFonts w:ascii="Courier New" w:hAnsi="Courier New" w:cs="Courier New"/>
          <w:sz w:val="24"/>
          <w:szCs w:val="24"/>
        </w:rPr>
        <w:t>As we do not expect the number of borrowers with an economic hardship deferment due to Peace Corps service to be significant</w:t>
      </w:r>
      <w:r>
        <w:rPr>
          <w:rFonts w:ascii="Courier New" w:hAnsi="Courier New" w:cs="Courier New"/>
          <w:sz w:val="24"/>
          <w:szCs w:val="24"/>
        </w:rPr>
        <w:t>,</w:t>
      </w:r>
      <w:r w:rsidRPr="003451FF" w:rsidDel="008E3E30">
        <w:rPr>
          <w:rFonts w:ascii="Courier New" w:hAnsi="Courier New" w:cs="Courier New"/>
          <w:sz w:val="24"/>
          <w:szCs w:val="24"/>
        </w:rPr>
        <w:t xml:space="preserve"> we believe the advantage to consumers of including all students in economic hardship status in the repayment rate calculation greatly outweighs any benefit from excluding all such students because they may include Peace Corps volunteers.</w:t>
      </w:r>
    </w:p>
    <w:p w14:paraId="71319FBC"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Changes</w:t>
      </w:r>
      <w:r w:rsidRPr="003451FF">
        <w:rPr>
          <w:rFonts w:ascii="Courier New" w:hAnsi="Courier New" w:cs="Courier New"/>
          <w:sz w:val="24"/>
          <w:szCs w:val="24"/>
        </w:rPr>
        <w:t>:  None.</w:t>
      </w:r>
    </w:p>
    <w:p w14:paraId="17C9F054"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Comments</w:t>
      </w:r>
      <w:r w:rsidRPr="003451FF">
        <w:rPr>
          <w:rFonts w:ascii="Courier New" w:hAnsi="Courier New" w:cs="Courier New"/>
          <w:sz w:val="24"/>
          <w:szCs w:val="24"/>
        </w:rPr>
        <w:t>:  Some commenters asserted that rehabilitated loans, which are defaulted loans subsequently paid in full or defaulted loans that returned to active repayment status, should not be treated as defaulted loans for the purpose of calculating loan repayment rates.</w:t>
      </w:r>
    </w:p>
    <w:p w14:paraId="391571E6"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We disagree that rehabilitated loans that were once in default should not be considered defaulted for the purpose of the repayment rate calculation.  The repayment rate is intended to assess whether a program’s borrowers are able to manage their debt.  A borrower’s default on a loan at some previous time, even if the loan is no longer in </w:t>
      </w:r>
      <w:r>
        <w:rPr>
          <w:rFonts w:ascii="Courier New" w:hAnsi="Courier New" w:cs="Courier New"/>
          <w:sz w:val="24"/>
          <w:szCs w:val="24"/>
        </w:rPr>
        <w:t xml:space="preserve">default </w:t>
      </w:r>
      <w:r w:rsidRPr="003451FF">
        <w:rPr>
          <w:rFonts w:ascii="Courier New" w:hAnsi="Courier New" w:cs="Courier New"/>
          <w:sz w:val="24"/>
          <w:szCs w:val="24"/>
        </w:rPr>
        <w:t xml:space="preserve">status, indicates that the borrower was unable to manage his or her debt burden.  This information should be reflected in a program’s repayment rate.   </w:t>
      </w:r>
    </w:p>
    <w:p w14:paraId="06BF64EB"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Changes</w:t>
      </w:r>
      <w:r w:rsidRPr="003451FF">
        <w:rPr>
          <w:rFonts w:ascii="Courier New" w:hAnsi="Courier New" w:cs="Courier New"/>
          <w:sz w:val="24"/>
          <w:szCs w:val="24"/>
        </w:rPr>
        <w:t>:  None.</w:t>
      </w:r>
    </w:p>
    <w:p w14:paraId="778F2F1C"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Comments</w:t>
      </w:r>
      <w:r w:rsidRPr="003451FF">
        <w:rPr>
          <w:rFonts w:ascii="Courier New" w:hAnsi="Courier New" w:cs="Courier New"/>
          <w:sz w:val="24"/>
          <w:szCs w:val="24"/>
        </w:rPr>
        <w:t>:  One commenter contended that the determination of the outstanding balance for each of a borrower’s loans at the beginning and end of the award year is unduly complicated</w:t>
      </w:r>
      <w:r>
        <w:rPr>
          <w:rFonts w:ascii="Courier New" w:hAnsi="Courier New" w:cs="Courier New"/>
          <w:sz w:val="24"/>
          <w:szCs w:val="24"/>
        </w:rPr>
        <w:t xml:space="preserve"> because</w:t>
      </w:r>
      <w:r w:rsidRPr="003451FF">
        <w:rPr>
          <w:rFonts w:ascii="Courier New" w:hAnsi="Courier New" w:cs="Courier New"/>
          <w:sz w:val="24"/>
          <w:szCs w:val="24"/>
        </w:rPr>
        <w:t xml:space="preserve"> </w:t>
      </w:r>
      <w:r>
        <w:rPr>
          <w:rFonts w:ascii="Courier New" w:hAnsi="Courier New" w:cs="Courier New"/>
          <w:sz w:val="24"/>
          <w:szCs w:val="24"/>
        </w:rPr>
        <w:t xml:space="preserve">of </w:t>
      </w:r>
      <w:r w:rsidRPr="003451FF">
        <w:rPr>
          <w:rFonts w:ascii="Courier New" w:hAnsi="Courier New" w:cs="Courier New"/>
          <w:sz w:val="24"/>
          <w:szCs w:val="24"/>
        </w:rPr>
        <w:t xml:space="preserve">the need to prorate payments for the reporting of consolidated or multiple loans in a borrower’s loan profile.  Further, the commenter suggested that measurement of active repayment of a borrower’s entire portfolio, possibly using a “weighted” method of calculating a student’s loan portfolio based on the amount of debt, would be more accurate and solve the potential problem of negative outcomes of simple proration for those earning higher degrees. </w:t>
      </w:r>
    </w:p>
    <w:p w14:paraId="4B0F37A9"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We do not believe that the loan repayment rate calculations are overly complex.  If a borrower has made a payment sufficient to reduce the outstanding balance of a consolidation loan</w:t>
      </w:r>
      <w:r>
        <w:rPr>
          <w:rFonts w:ascii="Courier New" w:hAnsi="Courier New" w:cs="Courier New"/>
          <w:sz w:val="24"/>
          <w:szCs w:val="24"/>
        </w:rPr>
        <w:t xml:space="preserve"> during the measurement period</w:t>
      </w:r>
      <w:r w:rsidRPr="003451FF">
        <w:rPr>
          <w:rFonts w:ascii="Courier New" w:hAnsi="Courier New" w:cs="Courier New"/>
          <w:sz w:val="24"/>
          <w:szCs w:val="24"/>
        </w:rPr>
        <w:t xml:space="preserve">, the borrower is included as a borrower in active repayment.  A consolidation loan may have been used to pay off one or more original loans obtained for the program being measured, for that program and other programs offered by the same institution, or for that program and programs offered by other institutions.  There is no practicable way to allocate payments made by a borrower among the components of the consolidation debt corresponding to the original loans, and the commenter proposed no reasonable basis to allocate payments made among a borrower’s original loan and other loans associated with other programs or other institutions.  Regardless, the Department, and not the institution, calculates a program’s repayment rate using data already reported by the institution, </w:t>
      </w:r>
      <w:r>
        <w:rPr>
          <w:rFonts w:ascii="Courier New" w:hAnsi="Courier New" w:cs="Courier New"/>
          <w:sz w:val="24"/>
          <w:szCs w:val="24"/>
        </w:rPr>
        <w:t xml:space="preserve">so the burden of calculating the rates will fall on the Department, rather than the institution.  </w:t>
      </w:r>
      <w:r w:rsidRPr="003451FF">
        <w:rPr>
          <w:rFonts w:ascii="Courier New" w:hAnsi="Courier New" w:cs="Courier New"/>
          <w:sz w:val="24"/>
          <w:szCs w:val="24"/>
        </w:rPr>
        <w:t xml:space="preserve">  </w:t>
      </w:r>
    </w:p>
    <w:p w14:paraId="21D73D37" w14:textId="77777777" w:rsidR="001933B1" w:rsidRPr="003451FF" w:rsidRDefault="001933B1" w:rsidP="001933B1">
      <w:pPr>
        <w:spacing w:after="0" w:line="480" w:lineRule="auto"/>
        <w:rPr>
          <w:rFonts w:ascii="Courier New" w:eastAsia="Times New Roman" w:hAnsi="Courier New" w:cs="Courier New"/>
          <w:b/>
          <w:sz w:val="24"/>
          <w:szCs w:val="24"/>
        </w:rPr>
      </w:pPr>
      <w:r w:rsidRPr="003451FF">
        <w:rPr>
          <w:rFonts w:ascii="Courier New" w:hAnsi="Courier New" w:cs="Courier New"/>
          <w:sz w:val="24"/>
          <w:szCs w:val="24"/>
          <w:u w:val="single"/>
        </w:rPr>
        <w:t>Changes</w:t>
      </w:r>
      <w:r w:rsidRPr="003451FF">
        <w:rPr>
          <w:rFonts w:ascii="Courier New" w:hAnsi="Courier New" w:cs="Courier New"/>
          <w:sz w:val="24"/>
          <w:szCs w:val="24"/>
        </w:rPr>
        <w:t>:  None.</w:t>
      </w:r>
    </w:p>
    <w:p w14:paraId="59543342"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Comments</w:t>
      </w:r>
      <w:r w:rsidRPr="003451FF">
        <w:rPr>
          <w:rFonts w:ascii="Courier New" w:hAnsi="Courier New" w:cs="Courier New"/>
          <w:sz w:val="24"/>
          <w:szCs w:val="24"/>
        </w:rPr>
        <w:t xml:space="preserve">:  Some commenters asserted that a borrower making full payments in an income-driven repayment plan, such as Income Based Repayment, Income Contingent Repayment, and Pay As You Earn, should count positively towards the program’s repayment rate by being included in the numerator of the calculation even if the borrower’s principal year-end balance is not reduced.  These commenters argued that because the Department has made income-driven repayment plans available to borrowers to assist them in managing their debt, programs should not be penalized if a student takes advantage of such a plan as the institution does not have control over whether the plan will result in negative amortization.   </w:t>
      </w:r>
    </w:p>
    <w:p w14:paraId="0E3F415F"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The loan repayment rate presents a simple measurement:  the proportion of borrowers who are expected to be repaying their loans during a given year who are actually paying enough during that year to owe less at the end of the year than they owed at the start of the year (i.e. paid all interest and at least </w:t>
      </w:r>
      <w:r>
        <w:rPr>
          <w:rFonts w:ascii="Courier New" w:hAnsi="Courier New" w:cs="Courier New"/>
          <w:sz w:val="24"/>
          <w:szCs w:val="24"/>
        </w:rPr>
        <w:t>one dollar</w:t>
      </w:r>
      <w:r w:rsidRPr="003451FF">
        <w:rPr>
          <w:rFonts w:ascii="Courier New" w:hAnsi="Courier New" w:cs="Courier New"/>
          <w:sz w:val="24"/>
          <w:szCs w:val="24"/>
        </w:rPr>
        <w:t xml:space="preserve"> of principal).  Income-driven plans are available to assist borrowers whose loan debt in relation to their income places them in a “partial financial hardship”; a program where many borrowers are forced to enroll in such plans is not leading to good outcomes.  As a result, a repayment rate disclosure that treated such borrowers as in “active repayment” would not provide meaningful information to consumers about a program’s student outcomes and, worse, may give prospective students unrealistic expectations about the likely outcomes of their investment in such a program.</w:t>
      </w:r>
      <w:r w:rsidRPr="003451FF">
        <w:rPr>
          <w:rFonts w:ascii="Courier New" w:hAnsi="Courier New" w:cs="Courier New"/>
          <w:b/>
          <w:sz w:val="24"/>
          <w:szCs w:val="24"/>
        </w:rPr>
        <w:t xml:space="preserve"> </w:t>
      </w:r>
    </w:p>
    <w:p w14:paraId="2BBB9D8C"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hAnsi="Courier New" w:cs="Courier New"/>
          <w:sz w:val="24"/>
          <w:szCs w:val="24"/>
          <w:u w:val="single"/>
        </w:rPr>
        <w:t>Changes</w:t>
      </w:r>
      <w:r w:rsidRPr="003451FF">
        <w:rPr>
          <w:rFonts w:ascii="Courier New" w:hAnsi="Courier New" w:cs="Courier New"/>
          <w:sz w:val="24"/>
          <w:szCs w:val="24"/>
        </w:rPr>
        <w:t>:  None.</w:t>
      </w:r>
    </w:p>
    <w:p w14:paraId="5797DB00" w14:textId="77777777" w:rsidR="001933B1" w:rsidRPr="003451FF" w:rsidRDefault="001933B1" w:rsidP="001933B1">
      <w:pPr>
        <w:pStyle w:val="Heading1"/>
        <w:rPr>
          <w:b/>
        </w:rPr>
      </w:pPr>
      <w:r w:rsidRPr="003451FF">
        <w:t>Program Cohort Default Rate</w:t>
      </w:r>
    </w:p>
    <w:p w14:paraId="77B9725A"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None.</w:t>
      </w:r>
    </w:p>
    <w:p w14:paraId="2064E15B"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As discussed in “§668.403  Gainful Employment Program Framework,” program cohort default rates will be used in the regulations as a potential disclosure under §668.412 only, rather than as a standard for determining program eligibility.  To reflect that change, we are </w:t>
      </w:r>
      <w:r>
        <w:rPr>
          <w:rFonts w:ascii="Courier New" w:eastAsia="Times New Roman" w:hAnsi="Courier New" w:cs="Courier New"/>
          <w:sz w:val="24"/>
          <w:szCs w:val="24"/>
        </w:rPr>
        <w:t>re</w:t>
      </w:r>
      <w:r w:rsidRPr="003451FF">
        <w:rPr>
          <w:rFonts w:ascii="Courier New" w:eastAsia="Times New Roman" w:hAnsi="Courier New" w:cs="Courier New"/>
          <w:sz w:val="24"/>
          <w:szCs w:val="24"/>
        </w:rPr>
        <w:t xml:space="preserve">moving from §§668.407, 668.408, and 668.409 the provisions that established that the Secretary will use the methodology and procedures, including challenge procedures, in subpart R to calculate program cohort default rates; the provisions relating to the notice to institutions of their draft program cohort default rates; and the provisions relating to the issuance and publication of an official program cohort default rate.  </w:t>
      </w:r>
    </w:p>
    <w:p w14:paraId="592620DF" w14:textId="77777777" w:rsidR="001933B1" w:rsidRPr="003451FF" w:rsidRDefault="001933B1" w:rsidP="001933B1">
      <w:pPr>
        <w:spacing w:after="0" w:line="480" w:lineRule="auto"/>
        <w:rPr>
          <w:rFonts w:ascii="Courier New" w:eastAsia="Times New Roman" w:hAnsi="Courier New" w:cs="Courier New"/>
          <w:sz w:val="24"/>
          <w:szCs w:val="24"/>
          <w:u w:val="single"/>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We have revised §§668.413(b)-(f) to:  establish that the Secretary will use the methodology and procedures, including challenge procedures, in subpart R to calculate program cohort default rates; and to incorporate provisions relating to the notice to institutions of their draft program cohort default rates and relating to the issuance and publication of an official program cohort default rate.</w:t>
      </w:r>
    </w:p>
    <w:p w14:paraId="26C7E96C"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None.</w:t>
      </w:r>
    </w:p>
    <w:p w14:paraId="5E52A8FA" w14:textId="33A3D65C"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As discussed in “§668.403  Gainful Employment Program Framework,” program cohort default rates will be used in the regulations as a potential disclosure under §668.412 only, rather than as a standard for determining program eligibility, and we will use the procedures in subpart R to calculate the rate.  </w:t>
      </w:r>
      <w:r>
        <w:rPr>
          <w:rFonts w:ascii="Courier New" w:eastAsia="Times New Roman" w:hAnsi="Courier New" w:cs="Courier New"/>
          <w:sz w:val="24"/>
          <w:szCs w:val="24"/>
        </w:rPr>
        <w:t xml:space="preserve">However, certain sections of subpart R pertained to eligibility and are not necessary for these final regulations and we are removing </w:t>
      </w:r>
      <w:r w:rsidR="003C1CAE">
        <w:rPr>
          <w:rFonts w:ascii="Courier New" w:eastAsia="Times New Roman" w:hAnsi="Courier New" w:cs="Courier New"/>
          <w:sz w:val="24"/>
          <w:szCs w:val="24"/>
        </w:rPr>
        <w:t xml:space="preserve">those sections </w:t>
      </w:r>
      <w:r>
        <w:rPr>
          <w:rFonts w:ascii="Courier New" w:eastAsia="Times New Roman" w:hAnsi="Courier New" w:cs="Courier New"/>
          <w:sz w:val="24"/>
          <w:szCs w:val="24"/>
        </w:rPr>
        <w:t>from the final regulations.  Specifically, §</w:t>
      </w:r>
      <w:r w:rsidRPr="003451FF">
        <w:rPr>
          <w:rFonts w:ascii="Courier New" w:eastAsia="Times New Roman" w:hAnsi="Courier New" w:cs="Courier New"/>
          <w:sz w:val="24"/>
          <w:szCs w:val="24"/>
        </w:rPr>
        <w:t>668.506 of subpart R addressed the effect of a program cohort default rate on the continued eligibility of a program.  Other provisions in subpart R governed challenges to the accuracy and completeness of the data used to calculate program cohort default rates and, additionally, appeals of results that might have led to loss of program eligibility.  With respect to appeals, §668.513 would have permitted an institution to appeal a loss of eligibility based on academic success for disadvantaged students.  Section 668.514 would have permitted an institution to appeal a loss of eligibility based on the number of students who borrowed title IV</w:t>
      </w:r>
      <w:r>
        <w:rPr>
          <w:rFonts w:ascii="Courier New" w:eastAsia="Times New Roman" w:hAnsi="Courier New" w:cs="Courier New"/>
          <w:sz w:val="24"/>
          <w:szCs w:val="24"/>
        </w:rPr>
        <w:t xml:space="preserve"> </w:t>
      </w:r>
      <w:r w:rsidRPr="003451FF">
        <w:rPr>
          <w:rFonts w:ascii="Courier New" w:eastAsia="Times New Roman" w:hAnsi="Courier New" w:cs="Courier New"/>
          <w:sz w:val="24"/>
          <w:szCs w:val="24"/>
        </w:rPr>
        <w:t xml:space="preserve">loans as a percentage of the total number of individuals enrolled in the program. </w:t>
      </w:r>
      <w:r>
        <w:rPr>
          <w:rFonts w:ascii="Courier New" w:eastAsia="Times New Roman" w:hAnsi="Courier New" w:cs="Courier New"/>
          <w:sz w:val="24"/>
          <w:szCs w:val="24"/>
        </w:rPr>
        <w:t xml:space="preserve"> </w:t>
      </w:r>
      <w:r w:rsidRPr="003451FF">
        <w:rPr>
          <w:rFonts w:ascii="Courier New" w:eastAsia="Times New Roman" w:hAnsi="Courier New" w:cs="Courier New"/>
          <w:sz w:val="24"/>
          <w:szCs w:val="24"/>
        </w:rPr>
        <w:t xml:space="preserve">Section 668.515 would have permitted an institution to appeal a loss of eligibility if at least two of the three program cohort default rates are calculated as average rates and would be less than 30 percent if calculated for the fiscal year alone.  </w:t>
      </w:r>
      <w:r>
        <w:rPr>
          <w:rFonts w:ascii="Courier New" w:eastAsia="Times New Roman" w:hAnsi="Courier New" w:cs="Courier New"/>
          <w:sz w:val="24"/>
          <w:szCs w:val="24"/>
        </w:rPr>
        <w:t>These provisions are being removed from the final regulations.</w:t>
      </w:r>
    </w:p>
    <w:p w14:paraId="2429695F"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     The provisions that remain serve the purpose of ensuring that the </w:t>
      </w:r>
      <w:r>
        <w:rPr>
          <w:rFonts w:ascii="Courier New" w:eastAsia="Times New Roman" w:hAnsi="Courier New" w:cs="Courier New"/>
          <w:sz w:val="24"/>
          <w:szCs w:val="24"/>
        </w:rPr>
        <w:t xml:space="preserve">calculation </w:t>
      </w:r>
      <w:r w:rsidRPr="003451FF">
        <w:rPr>
          <w:rFonts w:ascii="Courier New" w:eastAsia="Times New Roman" w:hAnsi="Courier New" w:cs="Courier New"/>
          <w:sz w:val="24"/>
          <w:szCs w:val="24"/>
        </w:rPr>
        <w:t>process results in an accurate rate</w:t>
      </w:r>
      <w:r>
        <w:rPr>
          <w:rFonts w:ascii="Courier New" w:eastAsia="Times New Roman" w:hAnsi="Courier New" w:cs="Courier New"/>
          <w:sz w:val="24"/>
          <w:szCs w:val="24"/>
        </w:rPr>
        <w:t>.</w:t>
      </w:r>
      <w:r w:rsidRPr="003451FF">
        <w:rPr>
          <w:rFonts w:ascii="Courier New" w:eastAsia="Times New Roman" w:hAnsi="Courier New" w:cs="Courier New"/>
          <w:sz w:val="24"/>
          <w:szCs w:val="24"/>
        </w:rPr>
        <w:t xml:space="preserve"> </w:t>
      </w:r>
    </w:p>
    <w:p w14:paraId="63BC203A"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We have removed and reserved §§668.506, 668.513, 668.514, and 668.515 of subpart R. </w:t>
      </w:r>
    </w:p>
    <w:p w14:paraId="432D2C2F"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One commenter objected to proposed §668.504(c)(1), which would allow an institution to submit a participation rate index challenge only to a draft program cohort default rate that could result in loss of eligibility of a program.  The commenter believed that institutions should be allowed to assert a participation rate index challenge to any draft rate, because a successful assertion of a challenge, which would be relatively inexpensive and readily demonstrated, would eliminate the need to pursue more complicated, detailed, and costly challenges on other grounds to the draft and final program cohort default rates.  </w:t>
      </w:r>
    </w:p>
    <w:p w14:paraId="3704DC1E"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As previously stated, in these regulations we are using program cohort default rates only as a disclosure.  We therefore retain only those provisions of proposed subpart R that do not relate to loss of eligibility.  Challenges based on a participation rate index would not have changed the calculation of the official rate, but would have only relieved the institution from loss of eligibility for the affected program.  Because program cohort default rates will not affect eligibility, there is no reason to adopt a procedure that affected only whether the program would lose eligibility.  The rate itself is useful information for consumers, and </w:t>
      </w:r>
      <w:r>
        <w:rPr>
          <w:rFonts w:ascii="Courier New" w:eastAsia="Times New Roman" w:hAnsi="Courier New" w:cs="Courier New"/>
          <w:sz w:val="24"/>
          <w:szCs w:val="24"/>
        </w:rPr>
        <w:t>should</w:t>
      </w:r>
      <w:r w:rsidRPr="003451FF">
        <w:rPr>
          <w:rFonts w:ascii="Courier New" w:eastAsia="Times New Roman" w:hAnsi="Courier New" w:cs="Courier New"/>
          <w:sz w:val="24"/>
          <w:szCs w:val="24"/>
        </w:rPr>
        <w:t xml:space="preserve"> be disclosed. </w:t>
      </w:r>
    </w:p>
    <w:p w14:paraId="507D4AF5" w14:textId="77777777" w:rsidR="001933B1" w:rsidRPr="003451FF" w:rsidRDefault="001933B1" w:rsidP="001933B1">
      <w:pPr>
        <w:spacing w:after="0" w:line="480" w:lineRule="auto"/>
        <w:rPr>
          <w:rFonts w:ascii="Courier New" w:eastAsia="Times New Roman" w:hAnsi="Courier New" w:cs="Courier New"/>
          <w:sz w:val="24"/>
          <w:szCs w:val="24"/>
          <w:u w:val="single"/>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We have removed and reserved §668.504(c).</w:t>
      </w:r>
    </w:p>
    <w:p w14:paraId="71B16D98"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None.</w:t>
      </w:r>
    </w:p>
    <w:p w14:paraId="3EC66332"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Proposed §668.502(a) provided that we would begin the program cohort default rate calculation process by counting whether at least 30 borrowers entered repayment in the fiscal year at issue; if fewer than 30 did so, we then counted whether at least 30 borrowers entered repayment in that year and the two preceding years.  This approach conformed to institutional CDR requirements but is no longer applicable given that we are not adopting the program cohort default rate as an </w:t>
      </w:r>
      <w:r>
        <w:rPr>
          <w:rFonts w:ascii="Courier New" w:eastAsia="Times New Roman" w:hAnsi="Courier New" w:cs="Courier New"/>
          <w:sz w:val="24"/>
          <w:szCs w:val="24"/>
        </w:rPr>
        <w:t>accountability</w:t>
      </w:r>
      <w:r w:rsidRPr="003451FF">
        <w:rPr>
          <w:rFonts w:ascii="Courier New" w:eastAsia="Times New Roman" w:hAnsi="Courier New" w:cs="Courier New"/>
          <w:sz w:val="24"/>
          <w:szCs w:val="24"/>
        </w:rPr>
        <w:t xml:space="preserve"> metric.  Because the rate will be used only as a disclosure, we will apply the minimum n-size of 10 that, as discussed in “§668.412 </w:t>
      </w:r>
      <w:r>
        <w:rPr>
          <w:rFonts w:ascii="Courier New" w:eastAsia="Times New Roman" w:hAnsi="Courier New" w:cs="Courier New"/>
          <w:sz w:val="24"/>
          <w:szCs w:val="24"/>
        </w:rPr>
        <w:t xml:space="preserve"> </w:t>
      </w:r>
      <w:r w:rsidRPr="003451FF">
        <w:rPr>
          <w:rFonts w:ascii="Courier New" w:eastAsia="Times New Roman" w:hAnsi="Courier New" w:cs="Courier New"/>
          <w:sz w:val="24"/>
          <w:szCs w:val="24"/>
        </w:rPr>
        <w:t xml:space="preserve">Disclosure Requirements for GE Programs,” we have established for all of the disclosure items.   </w:t>
      </w:r>
    </w:p>
    <w:p w14:paraId="5BD83C1F"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     This change requires a number of conforming changes to various provisions in subpart R.  We are revising §§668.502, 668.504, and 668.516 to reflect the use of a minimum cohort size of 10 for the purposes of calculating, challenging, and appealing program cohort default rates.</w:t>
      </w:r>
    </w:p>
    <w:p w14:paraId="11874BA1"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We have revised §668.502(a) to provide for the Department to calculate a program cohort default rate for a program </w:t>
      </w:r>
      <w:r>
        <w:rPr>
          <w:rFonts w:ascii="Courier New" w:eastAsia="Times New Roman" w:hAnsi="Courier New" w:cs="Courier New"/>
          <w:sz w:val="24"/>
          <w:szCs w:val="24"/>
        </w:rPr>
        <w:t>as</w:t>
      </w:r>
      <w:r w:rsidRPr="003451FF">
        <w:rPr>
          <w:rFonts w:ascii="Courier New" w:eastAsia="Times New Roman" w:hAnsi="Courier New" w:cs="Courier New"/>
          <w:sz w:val="24"/>
          <w:szCs w:val="24"/>
        </w:rPr>
        <w:t xml:space="preserve"> long as that rate is based on a cohort of 10 or more borrowers.  We also have revised §668.502(d) to reflect the use of cohorts with 10 or more borrowers in the calculation and §668.502(d)(2) describes how we will calculate the rate if there are fewer than 10 borrowers in a cohort for a fiscal year.  We have made conforming changes in §668.504(a)(2) </w:t>
      </w:r>
      <w:r>
        <w:rPr>
          <w:rFonts w:ascii="Courier New" w:eastAsia="Times New Roman" w:hAnsi="Courier New" w:cs="Courier New"/>
          <w:sz w:val="24"/>
          <w:szCs w:val="24"/>
        </w:rPr>
        <w:t>regarding draft program cohort default rates</w:t>
      </w:r>
      <w:r w:rsidRPr="003451FF">
        <w:rPr>
          <w:rFonts w:ascii="Courier New" w:eastAsia="Times New Roman" w:hAnsi="Courier New" w:cs="Courier New"/>
          <w:sz w:val="24"/>
          <w:szCs w:val="24"/>
        </w:rPr>
        <w:t xml:space="preserve">.  </w:t>
      </w:r>
    </w:p>
    <w:p w14:paraId="0E6D1537" w14:textId="10EB113E"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     We have revised §668.516 to describe our determination </w:t>
      </w:r>
      <w:r>
        <w:rPr>
          <w:rFonts w:ascii="Courier New" w:eastAsia="Times New Roman" w:hAnsi="Courier New" w:cs="Courier New"/>
          <w:sz w:val="24"/>
          <w:szCs w:val="24"/>
        </w:rPr>
        <w:t xml:space="preserve">of an official program cohort default rate </w:t>
      </w:r>
      <w:r w:rsidRPr="003451FF">
        <w:rPr>
          <w:rFonts w:ascii="Courier New" w:eastAsia="Times New Roman" w:hAnsi="Courier New" w:cs="Courier New"/>
          <w:sz w:val="24"/>
          <w:szCs w:val="24"/>
        </w:rPr>
        <w:t xml:space="preserve">more accurately and to provide that an institution may not disclose an official program cohort default rate under §668.412(a)(12) if the number of borrowers in the applicable cohorts is fewer than 10.  As revised, §668.516 explains that we notify the institution if we determine that the applicable cohort has fallen to fewer than 10.  </w:t>
      </w:r>
    </w:p>
    <w:p w14:paraId="09D39B87"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None.</w:t>
      </w:r>
    </w:p>
    <w:p w14:paraId="16023488"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In considering the changes to subpart R previously described, we determined that as proposed, the regulations did not explicitly address how the Department, in the first two years that rates are calculated under the regulations, would calculate a program’s rate where the number of borrowers in the fiscal year was fewer than 10 and for which the Department would include in the calculation borrowers from the prior two fiscal years’ cohorts.  In turn, the regulations did not explicitly address how an institution would challenge a program’s draft cohort default rate in these circumstances.  Specifically, an institution would not have had an opportunity to challenge--at the draft rate stage--the data on borrowers from the prior two years, because the Department would not have calculated rates for those years.  We are, therefore, revising §668.502(d)(2) and §668.504(a)(2) to clarify how this process will work to allow an opportunity to make that challenge.  </w:t>
      </w:r>
    </w:p>
    <w:p w14:paraId="6DA5F881"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     Section 668.502(d)(2), as revised in these regulations, sets forth how the Department will calculate a program’s cohort default rate if there are fewer than 10 borrowers.  Section 668.502(d)(2)(i) provides that, in the first two years that we calculate a program’s cohort default rate, we include in our calculation the number of borrowers in that cohort and in the two most recent prior cohorts for which we have relevant data.  Under §668.502(d)(2)(ii), for other fiscal years, we include in our calculation the number of borrowers in the program cohort and in the two most recent program cohorts as previously calculated by the Department.  </w:t>
      </w:r>
    </w:p>
    <w:p w14:paraId="133B686C" w14:textId="77777777" w:rsidR="001933B1" w:rsidRPr="003451FF" w:rsidRDefault="001933B1" w:rsidP="001933B1">
      <w:pPr>
        <w:spacing w:after="0" w:line="480" w:lineRule="auto"/>
        <w:ind w:firstLine="720"/>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We are revising §668.504(a)(2) to provide that, </w:t>
      </w:r>
      <w:r>
        <w:rPr>
          <w:rFonts w:ascii="Courier New" w:eastAsia="Times New Roman" w:hAnsi="Courier New" w:cs="Courier New"/>
          <w:sz w:val="24"/>
          <w:szCs w:val="24"/>
        </w:rPr>
        <w:t>except as set forth in §668.502(d)(2)(i</w:t>
      </w:r>
      <w:r w:rsidRPr="003451FF">
        <w:rPr>
          <w:rFonts w:ascii="Courier New" w:eastAsia="Times New Roman" w:hAnsi="Courier New" w:cs="Courier New"/>
          <w:sz w:val="24"/>
          <w:szCs w:val="24"/>
        </w:rPr>
        <w:t xml:space="preserve">), the draft cohort default rate of a program is always calculated using data for that fiscal year alone.  </w:t>
      </w:r>
    </w:p>
    <w:p w14:paraId="6921BEF0"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rPr>
        <w:t xml:space="preserve">     With these changes, we make it clear that the challenge process under §668.504(b) includes challenges with respect to rates with fewer than 10 borrowers in the first two years for which the Department uses data from the two most recent prior fiscal years.</w:t>
      </w:r>
    </w:p>
    <w:p w14:paraId="4EA6F6DF"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We have revised §668.502(d)(2), and made conforming changes to §668.504(a)(2), to describe how the Department, in the first two years in which it calculates a program’s cohort default rates under these regulations, will calculate a rate for a program that has fewer than 10 borrowers in the fiscal year being measured and for which the Department uses data on borrowers from the prior two years to calculate the rate and to clarify that an institution may challenge that data once it receives its draft program cohort default rate or official program cohort default rate.</w:t>
      </w:r>
    </w:p>
    <w:p w14:paraId="7659A240"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Some commenters objected to the adoption of institution level CDR rules in determining the cohort default rate of a program on the grounds that those rules measured only the percentage of borrowers who actually defaulted on their loans within the three-year period, without regard to the number who would likely have defaulted but were placed, often by reason of extensive efforts by the institution, in deferment or forbearance status so that default would likely be forestalled until after the close of the three-year period.  These rules, they asserted, made CDR an inadequate measure of the repayment performance of the affected borrowers, and the commenters urged the Department to measure program cohort default rates using only the performance of borrowers who entered into repayment status and were not in deferment or forbearance status for a significant portion of the three-year period.  </w:t>
      </w:r>
    </w:p>
    <w:p w14:paraId="67B257E6"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As explained in the NPRM and in this preamble, we will calculate the program cohort default rate using the process and standards already used to calculate institutional cohort default rates, in part because institutions are already familiar with those procedures.  We do not believe it would be appropriate to change the calculation method to exclude those in deferment or forbearance because it would lead to inconsistency between institutional CDR and program cohort default rates which could be confusing to consumers.      </w:t>
      </w:r>
    </w:p>
    <w:p w14:paraId="3FE30D10"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None.</w:t>
      </w:r>
    </w:p>
    <w:p w14:paraId="0478F7FB"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One commenter asserted that in instances in which a cohort of borrowers entering repayment is very small, default by one or two borrowers may produce a failing program cohort default rate but that rate would not be meaningful information for consumers.  </w:t>
      </w:r>
    </w:p>
    <w:p w14:paraId="2FCE1181"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xml:space="preserve">:  As discussed, we agree that disclosures based on cohorts consisting of fewer than ten borrowers are not justified for privacy concerns, but we see no reason, and the commenter did not offer one, that a rate based on that number would not be useful to consumers.  </w:t>
      </w:r>
      <w:r>
        <w:rPr>
          <w:rFonts w:ascii="Courier New" w:eastAsia="Times New Roman" w:hAnsi="Courier New" w:cs="Courier New"/>
          <w:sz w:val="24"/>
          <w:szCs w:val="24"/>
        </w:rPr>
        <w:t xml:space="preserve">We note that each of the required disclosures must be made if the cohort on which the data are based includes 10 or more individuals, and that rate or data could always be affected by actions of a very small number.  Nevertheless, we consider all that data useful to the consumer, and see no reason to designate some disclosures based on small numbers as useful, but others, such as default rate, as uninformative.  An institution that considers a program cohort default rate to be misleading because the number of borrowers involved was small is free to provide that explanation to prospective students.  </w:t>
      </w:r>
      <w:r w:rsidRPr="003451FF">
        <w:rPr>
          <w:rFonts w:ascii="Courier New" w:eastAsia="Times New Roman" w:hAnsi="Courier New" w:cs="Courier New"/>
          <w:sz w:val="24"/>
          <w:szCs w:val="24"/>
        </w:rPr>
        <w:t xml:space="preserve"> </w:t>
      </w:r>
    </w:p>
    <w:p w14:paraId="0F8259FB"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None. </w:t>
      </w:r>
    </w:p>
    <w:p w14:paraId="16C2BD0A" w14:textId="77777777"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Comments</w:t>
      </w:r>
      <w:r w:rsidRPr="003451FF">
        <w:rPr>
          <w:rFonts w:ascii="Courier New" w:eastAsia="Times New Roman" w:hAnsi="Courier New" w:cs="Courier New"/>
          <w:sz w:val="24"/>
          <w:szCs w:val="24"/>
        </w:rPr>
        <w:t xml:space="preserve">:  One commenter noted that proposed §668.507 would give the Department discretion whether to include in the program cohort default rate calculation debt incurred for a GE program offered by another institution if the two institutions were under common ownership and control, but gave no indication of the conditions that would prompt the Department to do so.  The commenter suggested that debt incurred at institutions under common ownership and control be included in the calculation for a program only if the institutions have the same accreditation and admission standards.  The commenter contended that institutions with different accreditation and admission standards are so significantly independent that transfers from one to the other are not likely to be arranged in order to manipulate program cohort default rates, and that the regulations should not penalize an institution to which a borrower transfers in order to pursue a more advanced degree by attributing defaults at the institution from which the student is transferring to the institution to which the student is transferring.  </w:t>
      </w:r>
    </w:p>
    <w:p w14:paraId="47DAEDB7" w14:textId="12AFD5CC" w:rsidR="001933B1" w:rsidRPr="003451FF" w:rsidRDefault="001933B1" w:rsidP="001933B1">
      <w:pPr>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Discussion</w:t>
      </w:r>
      <w:r w:rsidRPr="003451FF">
        <w:rPr>
          <w:rFonts w:ascii="Courier New" w:eastAsia="Times New Roman" w:hAnsi="Courier New" w:cs="Courier New"/>
          <w:sz w:val="24"/>
          <w:szCs w:val="24"/>
        </w:rPr>
        <w:t>:  We believe that §668.503, which governs the determination of program cohort default rates for programs that have undergone a change in status such as a merger or acquisition, addresses situations in which debt will ordinarily be combined to calculate the rate.  We also believe that</w:t>
      </w:r>
      <w:r>
        <w:rPr>
          <w:rFonts w:ascii="Courier New" w:eastAsia="Times New Roman" w:hAnsi="Courier New" w:cs="Courier New"/>
          <w:sz w:val="24"/>
          <w:szCs w:val="24"/>
        </w:rPr>
        <w:t xml:space="preserve">, by using program cohort default rate as a disclosure only, rather than as </w:t>
      </w:r>
      <w:r w:rsidRPr="003451FF">
        <w:rPr>
          <w:rFonts w:ascii="Courier New" w:eastAsia="Times New Roman" w:hAnsi="Courier New" w:cs="Courier New"/>
          <w:sz w:val="24"/>
          <w:szCs w:val="24"/>
        </w:rPr>
        <w:t xml:space="preserve">an </w:t>
      </w:r>
      <w:r>
        <w:rPr>
          <w:rFonts w:ascii="Courier New" w:eastAsia="Times New Roman" w:hAnsi="Courier New" w:cs="Courier New"/>
          <w:sz w:val="24"/>
          <w:szCs w:val="24"/>
        </w:rPr>
        <w:t>accountability</w:t>
      </w:r>
      <w:r w:rsidRPr="003451FF">
        <w:rPr>
          <w:rFonts w:ascii="Courier New" w:eastAsia="Times New Roman" w:hAnsi="Courier New" w:cs="Courier New"/>
          <w:sz w:val="24"/>
          <w:szCs w:val="24"/>
        </w:rPr>
        <w:t xml:space="preserve"> metric</w:t>
      </w:r>
      <w:r>
        <w:rPr>
          <w:rFonts w:ascii="Courier New" w:eastAsia="Times New Roman" w:hAnsi="Courier New" w:cs="Courier New"/>
          <w:sz w:val="24"/>
          <w:szCs w:val="24"/>
        </w:rPr>
        <w:t>,</w:t>
      </w:r>
      <w:r w:rsidRPr="003451FF">
        <w:rPr>
          <w:rFonts w:ascii="Courier New" w:eastAsia="Times New Roman" w:hAnsi="Courier New" w:cs="Courier New"/>
          <w:sz w:val="24"/>
          <w:szCs w:val="24"/>
        </w:rPr>
        <w:t xml:space="preserve"> </w:t>
      </w:r>
      <w:r>
        <w:rPr>
          <w:rFonts w:ascii="Courier New" w:eastAsia="Times New Roman" w:hAnsi="Courier New" w:cs="Courier New"/>
          <w:sz w:val="24"/>
          <w:szCs w:val="24"/>
        </w:rPr>
        <w:t>there is less</w:t>
      </w:r>
      <w:r w:rsidRPr="003451FF">
        <w:rPr>
          <w:rFonts w:ascii="Courier New" w:eastAsia="Times New Roman" w:hAnsi="Courier New" w:cs="Courier New"/>
          <w:sz w:val="24"/>
          <w:szCs w:val="24"/>
        </w:rPr>
        <w:t xml:space="preserve"> incentive to attempt to manipulate this rate.  We therefore do not believe further changes to the regulations are necessary.  </w:t>
      </w:r>
    </w:p>
    <w:p w14:paraId="34DE7174" w14:textId="77777777" w:rsidR="001933B1" w:rsidRPr="003451FF" w:rsidRDefault="001933B1" w:rsidP="001933B1">
      <w:pPr>
        <w:spacing w:after="0" w:line="480" w:lineRule="auto"/>
        <w:rPr>
          <w:rFonts w:ascii="Courier New" w:hAnsi="Courier New" w:cs="Courier New"/>
          <w:sz w:val="24"/>
          <w:szCs w:val="24"/>
        </w:rPr>
      </w:pPr>
      <w:r w:rsidRPr="003451FF">
        <w:rPr>
          <w:rFonts w:ascii="Courier New" w:eastAsia="Times New Roman" w:hAnsi="Courier New" w:cs="Courier New"/>
          <w:sz w:val="24"/>
          <w:szCs w:val="24"/>
          <w:u w:val="single"/>
        </w:rPr>
        <w:t>Changes</w:t>
      </w:r>
      <w:r w:rsidRPr="003451FF">
        <w:rPr>
          <w:rFonts w:ascii="Courier New" w:eastAsia="Times New Roman" w:hAnsi="Courier New" w:cs="Courier New"/>
          <w:sz w:val="24"/>
          <w:szCs w:val="24"/>
        </w:rPr>
        <w:t xml:space="preserve">:  None. </w:t>
      </w:r>
    </w:p>
    <w:p w14:paraId="4F53DDAC" w14:textId="4CB10B8C" w:rsidR="009D2FFC" w:rsidRPr="00603A74" w:rsidRDefault="009D2FFC" w:rsidP="001933B1">
      <w:pPr>
        <w:spacing w:after="0" w:line="480" w:lineRule="auto"/>
        <w:rPr>
          <w:rFonts w:ascii="Courier New" w:hAnsi="Courier New"/>
          <w:sz w:val="24"/>
          <w:u w:val="single"/>
        </w:rPr>
      </w:pPr>
      <w:r w:rsidRPr="00603A74">
        <w:rPr>
          <w:rFonts w:ascii="Courier New" w:hAnsi="Courier New"/>
          <w:sz w:val="24"/>
          <w:u w:val="single"/>
        </w:rPr>
        <w:t>General</w:t>
      </w:r>
    </w:p>
    <w:p w14:paraId="6C1C00AD" w14:textId="77777777" w:rsidR="009D2FFC" w:rsidRDefault="009D2FFC" w:rsidP="009D2FFC">
      <w:pPr>
        <w:spacing w:after="0" w:line="480" w:lineRule="auto"/>
        <w:rPr>
          <w:rFonts w:ascii="Courier New" w:hAnsi="Courier New" w:cs="Courier New"/>
          <w:sz w:val="24"/>
          <w:szCs w:val="24"/>
        </w:rPr>
      </w:pPr>
      <w:r w:rsidRPr="003451FF">
        <w:rPr>
          <w:rFonts w:ascii="Courier New" w:hAnsi="Courier New" w:cs="Courier New"/>
          <w:sz w:val="24"/>
          <w:szCs w:val="24"/>
          <w:u w:val="single"/>
        </w:rPr>
        <w:t>Comments</w:t>
      </w:r>
      <w:r w:rsidRPr="003451FF">
        <w:rPr>
          <w:rFonts w:ascii="Courier New" w:hAnsi="Courier New" w:cs="Courier New"/>
          <w:sz w:val="24"/>
          <w:szCs w:val="24"/>
        </w:rPr>
        <w:t>:  Some commenters expressed concern regarding the minimum size of a cohort for disclosure of repayment rates</w:t>
      </w:r>
      <w:r>
        <w:rPr>
          <w:rFonts w:ascii="Courier New" w:hAnsi="Courier New" w:cs="Courier New"/>
          <w:sz w:val="24"/>
          <w:szCs w:val="24"/>
        </w:rPr>
        <w:t>.</w:t>
      </w:r>
    </w:p>
    <w:p w14:paraId="0952D454" w14:textId="0D198461" w:rsidR="009D2FFC" w:rsidRDefault="009D2FFC" w:rsidP="009D2FFC">
      <w:pPr>
        <w:spacing w:after="0" w:line="480" w:lineRule="auto"/>
        <w:rPr>
          <w:rFonts w:ascii="Courier New" w:hAnsi="Courier New" w:cs="Courier New"/>
          <w:sz w:val="24"/>
          <w:szCs w:val="24"/>
        </w:rPr>
      </w:pPr>
      <w:r w:rsidRPr="003451FF">
        <w:rPr>
          <w:rFonts w:ascii="Courier New" w:hAnsi="Courier New" w:cs="Courier New"/>
          <w:sz w:val="24"/>
          <w:szCs w:val="24"/>
          <w:u w:val="single"/>
        </w:rPr>
        <w:t>Discussion</w:t>
      </w:r>
      <w:r w:rsidRPr="003451FF">
        <w:rPr>
          <w:rFonts w:ascii="Courier New" w:hAnsi="Courier New" w:cs="Courier New"/>
          <w:sz w:val="24"/>
          <w:szCs w:val="24"/>
        </w:rPr>
        <w:t xml:space="preserve">:  </w:t>
      </w:r>
      <w:r>
        <w:rPr>
          <w:rFonts w:ascii="Courier New" w:hAnsi="Courier New" w:cs="Courier New"/>
          <w:sz w:val="24"/>
          <w:szCs w:val="24"/>
        </w:rPr>
        <w:t>With respect to the concerns raised by the commenters, for the 2011 Final Rules, the Department provided sub-regulatory guidance to institutions instructing them not to disclose various data for a program if fewer than 10 students completed the program in the most recently completed award year. </w:t>
      </w:r>
      <w:r w:rsidR="00603A74">
        <w:rPr>
          <w:rFonts w:ascii="Courier New" w:hAnsi="Courier New" w:cs="Courier New"/>
          <w:sz w:val="24"/>
          <w:szCs w:val="24"/>
        </w:rPr>
        <w:t xml:space="preserve"> </w:t>
      </w:r>
      <w:r>
        <w:rPr>
          <w:rFonts w:ascii="Courier New" w:hAnsi="Courier New" w:cs="Courier New"/>
          <w:sz w:val="24"/>
          <w:szCs w:val="24"/>
        </w:rPr>
        <w:t xml:space="preserve">We </w:t>
      </w:r>
      <w:r w:rsidR="00603A74">
        <w:rPr>
          <w:rFonts w:ascii="Courier New" w:hAnsi="Courier New" w:cs="Courier New"/>
          <w:sz w:val="24"/>
          <w:szCs w:val="24"/>
        </w:rPr>
        <w:t>believe</w:t>
      </w:r>
      <w:r>
        <w:rPr>
          <w:rFonts w:ascii="Courier New" w:hAnsi="Courier New" w:cs="Courier New"/>
          <w:sz w:val="24"/>
          <w:szCs w:val="24"/>
        </w:rPr>
        <w:t xml:space="preserve"> this guidance continues to provide a useful bright line, and </w:t>
      </w:r>
      <w:r w:rsidR="00603A74">
        <w:rPr>
          <w:rFonts w:ascii="Courier New" w:hAnsi="Courier New" w:cs="Courier New"/>
          <w:sz w:val="24"/>
          <w:szCs w:val="24"/>
        </w:rPr>
        <w:t>it</w:t>
      </w:r>
      <w:r>
        <w:rPr>
          <w:rFonts w:ascii="Courier New" w:hAnsi="Courier New" w:cs="Courier New"/>
          <w:sz w:val="24"/>
          <w:szCs w:val="24"/>
        </w:rPr>
        <w:t xml:space="preserve"> remains in effect. </w:t>
      </w:r>
      <w:r w:rsidR="00603A74">
        <w:rPr>
          <w:rFonts w:ascii="Courier New" w:hAnsi="Courier New" w:cs="Courier New"/>
          <w:sz w:val="24"/>
          <w:szCs w:val="24"/>
        </w:rPr>
        <w:t xml:space="preserve"> </w:t>
      </w:r>
      <w:r w:rsidRPr="003451FF">
        <w:rPr>
          <w:rFonts w:ascii="Courier New" w:hAnsi="Courier New" w:cs="Courier New"/>
          <w:sz w:val="24"/>
          <w:szCs w:val="24"/>
        </w:rPr>
        <w:t xml:space="preserve">As discussed in “§668.412 </w:t>
      </w:r>
      <w:r>
        <w:rPr>
          <w:rFonts w:ascii="Courier New" w:hAnsi="Courier New" w:cs="Courier New"/>
          <w:sz w:val="24"/>
          <w:szCs w:val="24"/>
        </w:rPr>
        <w:t xml:space="preserve"> </w:t>
      </w:r>
      <w:r w:rsidRPr="003451FF">
        <w:rPr>
          <w:rFonts w:ascii="Courier New" w:hAnsi="Courier New" w:cs="Courier New"/>
          <w:sz w:val="24"/>
          <w:szCs w:val="24"/>
        </w:rPr>
        <w:t xml:space="preserve">Disclosure Requirements for GE Programs,” </w:t>
      </w:r>
      <w:r w:rsidR="00D17DF2">
        <w:rPr>
          <w:rFonts w:ascii="Courier New" w:hAnsi="Courier New" w:cs="Courier New"/>
          <w:sz w:val="24"/>
          <w:szCs w:val="24"/>
        </w:rPr>
        <w:t>because of privacy concerns,</w:t>
      </w:r>
      <w:r w:rsidRPr="003451FF">
        <w:rPr>
          <w:rFonts w:ascii="Courier New" w:hAnsi="Courier New" w:cs="Courier New"/>
          <w:sz w:val="24"/>
          <w:szCs w:val="24"/>
        </w:rPr>
        <w:t xml:space="preserve"> an institution </w:t>
      </w:r>
      <w:r>
        <w:rPr>
          <w:rFonts w:ascii="Courier New" w:hAnsi="Courier New" w:cs="Courier New"/>
          <w:sz w:val="24"/>
          <w:szCs w:val="24"/>
        </w:rPr>
        <w:t>may not</w:t>
      </w:r>
      <w:r w:rsidRPr="003451FF">
        <w:rPr>
          <w:rFonts w:ascii="Courier New" w:hAnsi="Courier New" w:cs="Courier New"/>
          <w:sz w:val="24"/>
          <w:szCs w:val="24"/>
        </w:rPr>
        <w:t xml:space="preserve"> disclose data </w:t>
      </w:r>
      <w:r w:rsidR="0032448A">
        <w:rPr>
          <w:rFonts w:ascii="Courier New" w:hAnsi="Courier New" w:cs="Courier New"/>
          <w:sz w:val="24"/>
          <w:szCs w:val="24"/>
        </w:rPr>
        <w:t xml:space="preserve">described in §668.413 if that data is </w:t>
      </w:r>
      <w:r w:rsidRPr="003451FF">
        <w:rPr>
          <w:rFonts w:ascii="Courier New" w:hAnsi="Courier New" w:cs="Courier New"/>
          <w:sz w:val="24"/>
          <w:szCs w:val="24"/>
        </w:rPr>
        <w:t xml:space="preserve">derived from a cohort of fewer than </w:t>
      </w:r>
      <w:r w:rsidR="00D17DF2">
        <w:rPr>
          <w:rFonts w:ascii="Courier New" w:hAnsi="Courier New" w:cs="Courier New"/>
          <w:sz w:val="24"/>
          <w:szCs w:val="24"/>
        </w:rPr>
        <w:t>10</w:t>
      </w:r>
      <w:r w:rsidRPr="003451FF">
        <w:rPr>
          <w:rFonts w:ascii="Courier New" w:hAnsi="Courier New" w:cs="Courier New"/>
          <w:sz w:val="24"/>
          <w:szCs w:val="24"/>
        </w:rPr>
        <w:t xml:space="preserve"> stude</w:t>
      </w:r>
      <w:r w:rsidR="0032448A">
        <w:rPr>
          <w:rFonts w:ascii="Courier New" w:hAnsi="Courier New" w:cs="Courier New"/>
          <w:sz w:val="24"/>
          <w:szCs w:val="24"/>
        </w:rPr>
        <w:t>nts, and</w:t>
      </w:r>
      <w:r w:rsidR="00D17DF2">
        <w:rPr>
          <w:rFonts w:ascii="Courier New" w:hAnsi="Courier New" w:cs="Courier New"/>
          <w:sz w:val="24"/>
          <w:szCs w:val="24"/>
        </w:rPr>
        <w:t>,</w:t>
      </w:r>
      <w:r w:rsidR="0032448A">
        <w:rPr>
          <w:rFonts w:ascii="Courier New" w:hAnsi="Courier New" w:cs="Courier New"/>
          <w:sz w:val="24"/>
          <w:szCs w:val="24"/>
        </w:rPr>
        <w:t xml:space="preserve"> for those data calculated and issued by the Department, the Department does not</w:t>
      </w:r>
      <w:r w:rsidRPr="003451FF">
        <w:rPr>
          <w:rFonts w:ascii="Courier New" w:hAnsi="Courier New" w:cs="Courier New"/>
          <w:sz w:val="24"/>
          <w:szCs w:val="24"/>
        </w:rPr>
        <w:t xml:space="preserve"> </w:t>
      </w:r>
      <w:r w:rsidR="0032448A">
        <w:rPr>
          <w:rFonts w:ascii="Courier New" w:hAnsi="Courier New" w:cs="Courier New"/>
          <w:sz w:val="24"/>
          <w:szCs w:val="24"/>
        </w:rPr>
        <w:t xml:space="preserve">issue or make public </w:t>
      </w:r>
      <w:r w:rsidR="00D17DF2">
        <w:rPr>
          <w:rFonts w:ascii="Courier New" w:hAnsi="Courier New" w:cs="Courier New"/>
          <w:sz w:val="24"/>
          <w:szCs w:val="24"/>
        </w:rPr>
        <w:t>any</w:t>
      </w:r>
      <w:r w:rsidR="0032448A">
        <w:rPr>
          <w:rFonts w:ascii="Courier New" w:hAnsi="Courier New" w:cs="Courier New"/>
          <w:sz w:val="24"/>
          <w:szCs w:val="24"/>
        </w:rPr>
        <w:t xml:space="preserve"> data it calculates from such a cohort. </w:t>
      </w:r>
      <w:r w:rsidRPr="003451FF">
        <w:rPr>
          <w:rFonts w:ascii="Courier New" w:hAnsi="Courier New" w:cs="Courier New"/>
          <w:sz w:val="24"/>
          <w:szCs w:val="24"/>
        </w:rPr>
        <w:t xml:space="preserve"> </w:t>
      </w:r>
    </w:p>
    <w:p w14:paraId="49A84826" w14:textId="3118BE2F" w:rsidR="009D2FFC" w:rsidRDefault="009D2FFC" w:rsidP="009D2FFC">
      <w:pPr>
        <w:spacing w:after="0" w:line="480" w:lineRule="auto"/>
        <w:rPr>
          <w:rFonts w:ascii="Courier New" w:hAnsi="Courier New" w:cs="Courier New"/>
          <w:sz w:val="24"/>
          <w:szCs w:val="24"/>
        </w:rPr>
      </w:pPr>
      <w:r w:rsidRPr="00416831">
        <w:rPr>
          <w:rFonts w:ascii="Courier New" w:hAnsi="Courier New" w:cs="Courier New"/>
          <w:sz w:val="24"/>
          <w:szCs w:val="24"/>
          <w:u w:val="single"/>
        </w:rPr>
        <w:t>Changes</w:t>
      </w:r>
      <w:r>
        <w:rPr>
          <w:rFonts w:ascii="Courier New" w:hAnsi="Courier New" w:cs="Courier New"/>
          <w:sz w:val="24"/>
          <w:szCs w:val="24"/>
        </w:rPr>
        <w:t>:</w:t>
      </w:r>
      <w:r w:rsidRPr="00C73515">
        <w:rPr>
          <w:rFonts w:ascii="Courier New" w:hAnsi="Courier New" w:cs="Courier New"/>
          <w:sz w:val="24"/>
          <w:szCs w:val="24"/>
        </w:rPr>
        <w:t xml:space="preserve"> </w:t>
      </w:r>
      <w:r>
        <w:rPr>
          <w:rFonts w:ascii="Courier New" w:hAnsi="Courier New" w:cs="Courier New"/>
          <w:sz w:val="24"/>
          <w:szCs w:val="24"/>
        </w:rPr>
        <w:t xml:space="preserve"> </w:t>
      </w:r>
      <w:r w:rsidRPr="003451FF">
        <w:rPr>
          <w:rFonts w:ascii="Courier New" w:hAnsi="Courier New" w:cs="Courier New"/>
          <w:sz w:val="24"/>
          <w:szCs w:val="24"/>
        </w:rPr>
        <w:t xml:space="preserve">We have added paragraph (g) to §668.413 to provide that </w:t>
      </w:r>
      <w:r>
        <w:rPr>
          <w:rFonts w:ascii="Courier New" w:hAnsi="Courier New" w:cs="Courier New"/>
          <w:sz w:val="24"/>
          <w:szCs w:val="24"/>
        </w:rPr>
        <w:t xml:space="preserve">we do not publish determinations </w:t>
      </w:r>
      <w:r w:rsidR="00B964D3">
        <w:rPr>
          <w:rFonts w:ascii="Courier New" w:hAnsi="Courier New" w:cs="Courier New"/>
          <w:sz w:val="24"/>
          <w:szCs w:val="24"/>
        </w:rPr>
        <w:t>made by the Department</w:t>
      </w:r>
      <w:r>
        <w:rPr>
          <w:rFonts w:ascii="Courier New" w:hAnsi="Courier New" w:cs="Courier New"/>
          <w:sz w:val="24"/>
          <w:szCs w:val="24"/>
        </w:rPr>
        <w:t xml:space="preserve"> under §668.413, and an</w:t>
      </w:r>
      <w:r w:rsidRPr="003451FF">
        <w:rPr>
          <w:rFonts w:ascii="Courier New" w:hAnsi="Courier New" w:cs="Courier New"/>
          <w:sz w:val="24"/>
          <w:szCs w:val="24"/>
        </w:rPr>
        <w:t xml:space="preserve"> institution may not disclose a rate or amount</w:t>
      </w:r>
      <w:r w:rsidR="0032448A">
        <w:rPr>
          <w:rFonts w:ascii="Courier New" w:hAnsi="Courier New" w:cs="Courier New"/>
          <w:sz w:val="24"/>
          <w:szCs w:val="24"/>
        </w:rPr>
        <w:t xml:space="preserve"> </w:t>
      </w:r>
      <w:r w:rsidR="00B964D3">
        <w:rPr>
          <w:rFonts w:ascii="Courier New" w:hAnsi="Courier New" w:cs="Courier New"/>
          <w:sz w:val="24"/>
          <w:szCs w:val="24"/>
        </w:rPr>
        <w:t>determined</w:t>
      </w:r>
      <w:r w:rsidR="0032448A">
        <w:rPr>
          <w:rFonts w:ascii="Courier New" w:hAnsi="Courier New" w:cs="Courier New"/>
          <w:sz w:val="24"/>
          <w:szCs w:val="24"/>
        </w:rPr>
        <w:t xml:space="preserve"> under that section, if</w:t>
      </w:r>
      <w:r w:rsidRPr="003451FF">
        <w:rPr>
          <w:rFonts w:ascii="Courier New" w:hAnsi="Courier New" w:cs="Courier New"/>
          <w:sz w:val="24"/>
          <w:szCs w:val="24"/>
        </w:rPr>
        <w:t xml:space="preserve"> </w:t>
      </w:r>
      <w:r w:rsidR="00B964D3">
        <w:rPr>
          <w:rFonts w:ascii="Courier New" w:hAnsi="Courier New" w:cs="Courier New"/>
          <w:sz w:val="24"/>
          <w:szCs w:val="24"/>
        </w:rPr>
        <w:t>the determination is</w:t>
      </w:r>
      <w:r w:rsidRPr="003451FF">
        <w:rPr>
          <w:rFonts w:ascii="Courier New" w:hAnsi="Courier New" w:cs="Courier New"/>
          <w:sz w:val="24"/>
          <w:szCs w:val="24"/>
        </w:rPr>
        <w:t xml:space="preserve"> based on a cohort of fewer than ten students. </w:t>
      </w:r>
    </w:p>
    <w:p w14:paraId="07916019" w14:textId="77777777" w:rsidR="00915790" w:rsidRPr="005012DC" w:rsidRDefault="00915790" w:rsidP="00915790">
      <w:pPr>
        <w:pStyle w:val="Heading1"/>
      </w:pPr>
      <w:r w:rsidRPr="005012DC">
        <w:t xml:space="preserve">§668.414  </w:t>
      </w:r>
      <w:r>
        <w:t>Certification Requirements for GE Programs</w:t>
      </w:r>
    </w:p>
    <w:p w14:paraId="6F2061D7"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 xml:space="preserve">: </w:t>
      </w:r>
      <w:r>
        <w:rPr>
          <w:rFonts w:ascii="Courier New" w:hAnsi="Courier New" w:cs="Courier New"/>
          <w:sz w:val="24"/>
          <w:szCs w:val="24"/>
        </w:rPr>
        <w:t xml:space="preserve"> </w:t>
      </w:r>
      <w:r w:rsidRPr="005012DC">
        <w:rPr>
          <w:rFonts w:ascii="Courier New" w:eastAsia="Times New Roman" w:hAnsi="Courier New" w:cs="Courier New"/>
          <w:sz w:val="24"/>
          <w:szCs w:val="24"/>
        </w:rPr>
        <w:t>Several commenters support</w:t>
      </w:r>
      <w:r>
        <w:rPr>
          <w:rFonts w:ascii="Courier New" w:eastAsia="Times New Roman" w:hAnsi="Courier New" w:cs="Courier New"/>
          <w:sz w:val="24"/>
          <w:szCs w:val="24"/>
        </w:rPr>
        <w:t>ed</w:t>
      </w:r>
      <w:r w:rsidRPr="005012DC">
        <w:rPr>
          <w:rFonts w:ascii="Courier New" w:eastAsia="Times New Roman" w:hAnsi="Courier New" w:cs="Courier New"/>
          <w:sz w:val="24"/>
          <w:szCs w:val="24"/>
        </w:rPr>
        <w:t xml:space="preserve"> the </w:t>
      </w:r>
      <w:r>
        <w:rPr>
          <w:rFonts w:ascii="Courier New" w:eastAsia="Times New Roman" w:hAnsi="Courier New" w:cs="Courier New"/>
          <w:sz w:val="24"/>
          <w:szCs w:val="24"/>
        </w:rPr>
        <w:t xml:space="preserve">proposed program </w:t>
      </w:r>
      <w:r w:rsidRPr="005012DC">
        <w:rPr>
          <w:rFonts w:ascii="Courier New" w:eastAsia="Times New Roman" w:hAnsi="Courier New" w:cs="Courier New"/>
          <w:sz w:val="24"/>
          <w:szCs w:val="24"/>
        </w:rPr>
        <w:t xml:space="preserve">certification requirements </w:t>
      </w:r>
      <w:r>
        <w:rPr>
          <w:rFonts w:ascii="Courier New" w:eastAsia="Times New Roman" w:hAnsi="Courier New" w:cs="Courier New"/>
          <w:sz w:val="24"/>
          <w:szCs w:val="24"/>
        </w:rPr>
        <w:t xml:space="preserve">because, </w:t>
      </w:r>
      <w:r w:rsidRPr="005012DC">
        <w:rPr>
          <w:rFonts w:ascii="Courier New" w:eastAsia="Times New Roman" w:hAnsi="Courier New" w:cs="Courier New"/>
          <w:sz w:val="24"/>
          <w:szCs w:val="24"/>
        </w:rPr>
        <w:t xml:space="preserve">they </w:t>
      </w:r>
      <w:r>
        <w:rPr>
          <w:rFonts w:ascii="Courier New" w:eastAsia="Times New Roman" w:hAnsi="Courier New" w:cs="Courier New"/>
          <w:sz w:val="24"/>
          <w:szCs w:val="24"/>
        </w:rPr>
        <w:t>believed, the requirements are</w:t>
      </w:r>
      <w:r w:rsidRPr="005012DC">
        <w:rPr>
          <w:rFonts w:ascii="Courier New" w:eastAsia="Times New Roman" w:hAnsi="Courier New" w:cs="Courier New"/>
          <w:sz w:val="24"/>
          <w:szCs w:val="24"/>
        </w:rPr>
        <w:t xml:space="preserve"> streamlined, clear, and </w:t>
      </w:r>
      <w:r>
        <w:rPr>
          <w:rFonts w:ascii="Courier New" w:eastAsia="Times New Roman" w:hAnsi="Courier New" w:cs="Courier New"/>
          <w:sz w:val="24"/>
          <w:szCs w:val="24"/>
        </w:rPr>
        <w:t xml:space="preserve">feasible to </w:t>
      </w:r>
      <w:r w:rsidRPr="005012DC">
        <w:rPr>
          <w:rFonts w:ascii="Courier New" w:eastAsia="Times New Roman" w:hAnsi="Courier New" w:cs="Courier New"/>
          <w:sz w:val="24"/>
          <w:szCs w:val="24"/>
        </w:rPr>
        <w:t>implement</w:t>
      </w:r>
      <w:r>
        <w:rPr>
          <w:rFonts w:ascii="Courier New" w:eastAsia="Times New Roman" w:hAnsi="Courier New" w:cs="Courier New"/>
          <w:sz w:val="24"/>
          <w:szCs w:val="24"/>
        </w:rPr>
        <w:t xml:space="preserve">.  </w:t>
      </w:r>
    </w:p>
    <w:p w14:paraId="48566F3D"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Discussion</w:t>
      </w:r>
      <w:r>
        <w:rPr>
          <w:rFonts w:ascii="Courier New" w:eastAsia="Times New Roman" w:hAnsi="Courier New" w:cs="Courier New"/>
          <w:sz w:val="24"/>
          <w:szCs w:val="24"/>
        </w:rPr>
        <w:t>:  We appreciate the commenters’ support.</w:t>
      </w:r>
    </w:p>
    <w:p w14:paraId="36F653FF" w14:textId="77777777" w:rsidR="00915790" w:rsidRDefault="00915790" w:rsidP="00915790">
      <w:pPr>
        <w:shd w:val="clear" w:color="auto" w:fill="FFFFFF"/>
        <w:spacing w:after="0" w:line="480" w:lineRule="auto"/>
        <w:rPr>
          <w:rFonts w:ascii="Courier New" w:hAnsi="Courier New" w:cs="Courier New"/>
          <w:sz w:val="24"/>
          <w:szCs w:val="24"/>
          <w:u w:val="single"/>
        </w:rPr>
      </w:pPr>
      <w:r w:rsidRPr="00C1090E">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23013980"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 xml:space="preserve">:  </w:t>
      </w:r>
      <w:r w:rsidRPr="005012DC">
        <w:rPr>
          <w:rFonts w:ascii="Courier New" w:eastAsia="Times New Roman" w:hAnsi="Courier New" w:cs="Courier New"/>
          <w:sz w:val="24"/>
          <w:szCs w:val="24"/>
        </w:rPr>
        <w:t xml:space="preserve">A number of commenters objected to the program certification requirements.  </w:t>
      </w:r>
      <w:r>
        <w:rPr>
          <w:rFonts w:ascii="Courier New" w:eastAsia="Times New Roman" w:hAnsi="Courier New" w:cs="Courier New"/>
          <w:sz w:val="24"/>
          <w:szCs w:val="24"/>
        </w:rPr>
        <w:t>They</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contended</w:t>
      </w:r>
      <w:r w:rsidRPr="005012DC">
        <w:rPr>
          <w:rFonts w:ascii="Courier New" w:eastAsia="Times New Roman" w:hAnsi="Courier New" w:cs="Courier New"/>
          <w:sz w:val="24"/>
          <w:szCs w:val="24"/>
        </w:rPr>
        <w:t xml:space="preserve"> that </w:t>
      </w:r>
      <w:r>
        <w:rPr>
          <w:rFonts w:ascii="Courier New" w:eastAsia="Times New Roman" w:hAnsi="Courier New" w:cs="Courier New"/>
          <w:sz w:val="24"/>
          <w:szCs w:val="24"/>
        </w:rPr>
        <w:t>S</w:t>
      </w:r>
      <w:r w:rsidRPr="005012DC">
        <w:rPr>
          <w:rFonts w:ascii="Courier New" w:eastAsia="Times New Roman" w:hAnsi="Courier New" w:cs="Courier New"/>
          <w:sz w:val="24"/>
          <w:szCs w:val="24"/>
        </w:rPr>
        <w:t>tate</w:t>
      </w:r>
      <w:r>
        <w:rPr>
          <w:rFonts w:ascii="Courier New" w:eastAsia="Times New Roman" w:hAnsi="Courier New" w:cs="Courier New"/>
          <w:sz w:val="24"/>
          <w:szCs w:val="24"/>
        </w:rPr>
        <w:t>s</w:t>
      </w:r>
      <w:r w:rsidRPr="005012DC">
        <w:rPr>
          <w:rFonts w:ascii="Courier New" w:eastAsia="Times New Roman" w:hAnsi="Courier New" w:cs="Courier New"/>
          <w:sz w:val="24"/>
          <w:szCs w:val="24"/>
        </w:rPr>
        <w:t>, accrediting agenc</w:t>
      </w:r>
      <w:r>
        <w:rPr>
          <w:rFonts w:ascii="Courier New" w:eastAsia="Times New Roman" w:hAnsi="Courier New" w:cs="Courier New"/>
          <w:sz w:val="24"/>
          <w:szCs w:val="24"/>
        </w:rPr>
        <w:t>ies</w:t>
      </w:r>
      <w:r w:rsidRPr="005012DC">
        <w:rPr>
          <w:rFonts w:ascii="Courier New" w:eastAsia="Times New Roman" w:hAnsi="Courier New" w:cs="Courier New"/>
          <w:sz w:val="24"/>
          <w:szCs w:val="24"/>
        </w:rPr>
        <w:t xml:space="preserve">, and </w:t>
      </w:r>
      <w:r>
        <w:rPr>
          <w:rFonts w:ascii="Courier New" w:eastAsia="Times New Roman" w:hAnsi="Courier New" w:cs="Courier New"/>
          <w:sz w:val="24"/>
          <w:szCs w:val="24"/>
        </w:rPr>
        <w:t xml:space="preserve">the </w:t>
      </w:r>
      <w:r w:rsidRPr="005012DC">
        <w:rPr>
          <w:rFonts w:ascii="Courier New" w:eastAsia="Times New Roman" w:hAnsi="Courier New" w:cs="Courier New"/>
          <w:sz w:val="24"/>
          <w:szCs w:val="24"/>
        </w:rPr>
        <w:t>Department serve</w:t>
      </w:r>
      <w:r>
        <w:rPr>
          <w:rFonts w:ascii="Courier New" w:eastAsia="Times New Roman" w:hAnsi="Courier New" w:cs="Courier New"/>
          <w:sz w:val="24"/>
          <w:szCs w:val="24"/>
        </w:rPr>
        <w:t xml:space="preserve"> different roles</w:t>
      </w:r>
      <w:r w:rsidRPr="005012DC">
        <w:rPr>
          <w:rFonts w:ascii="Courier New" w:eastAsia="Times New Roman" w:hAnsi="Courier New" w:cs="Courier New"/>
          <w:sz w:val="24"/>
          <w:szCs w:val="24"/>
        </w:rPr>
        <w:t>, and that requiring certifications would be inconsistent with that framework. </w:t>
      </w:r>
      <w:r>
        <w:rPr>
          <w:rFonts w:ascii="Courier New" w:eastAsia="Times New Roman" w:hAnsi="Courier New" w:cs="Courier New"/>
          <w:sz w:val="24"/>
          <w:szCs w:val="24"/>
        </w:rPr>
        <w:t xml:space="preserve"> T</w:t>
      </w:r>
      <w:r w:rsidRPr="005012DC">
        <w:rPr>
          <w:rFonts w:ascii="Courier New" w:eastAsia="Times New Roman" w:hAnsi="Courier New" w:cs="Courier New"/>
          <w:sz w:val="24"/>
          <w:szCs w:val="24"/>
        </w:rPr>
        <w:t>he</w:t>
      </w:r>
      <w:r>
        <w:rPr>
          <w:rFonts w:ascii="Courier New" w:eastAsia="Times New Roman" w:hAnsi="Courier New" w:cs="Courier New"/>
          <w:sz w:val="24"/>
          <w:szCs w:val="24"/>
        </w:rPr>
        <w:t xml:space="preserve"> commenters asserted </w:t>
      </w:r>
      <w:r w:rsidRPr="005012DC">
        <w:rPr>
          <w:rFonts w:ascii="Courier New" w:eastAsia="Times New Roman" w:hAnsi="Courier New" w:cs="Courier New"/>
          <w:sz w:val="24"/>
          <w:szCs w:val="24"/>
        </w:rPr>
        <w:t xml:space="preserve">it would be more appropriate </w:t>
      </w:r>
      <w:r>
        <w:rPr>
          <w:rFonts w:ascii="Courier New" w:eastAsia="Times New Roman" w:hAnsi="Courier New" w:cs="Courier New"/>
          <w:sz w:val="24"/>
          <w:szCs w:val="24"/>
        </w:rPr>
        <w:t xml:space="preserve">for the Department </w:t>
      </w:r>
      <w:r w:rsidRPr="005012DC">
        <w:rPr>
          <w:rFonts w:ascii="Courier New" w:eastAsia="Times New Roman" w:hAnsi="Courier New" w:cs="Courier New"/>
          <w:sz w:val="24"/>
          <w:szCs w:val="24"/>
        </w:rPr>
        <w:t xml:space="preserve">to rely on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tates and accreditors </w:t>
      </w:r>
      <w:r>
        <w:rPr>
          <w:rFonts w:ascii="Courier New" w:eastAsia="Times New Roman" w:hAnsi="Courier New" w:cs="Courier New"/>
          <w:sz w:val="24"/>
          <w:szCs w:val="24"/>
        </w:rPr>
        <w:t xml:space="preserve">to monitor whether institutions have obtained the necessary program approvals from them because independent monitoring by the Department would be derivative and duplicative of their efforts.  </w:t>
      </w:r>
      <w:r w:rsidRPr="005012DC">
        <w:rPr>
          <w:rFonts w:ascii="Courier New" w:eastAsia="Times New Roman" w:hAnsi="Courier New" w:cs="Courier New"/>
          <w:sz w:val="24"/>
          <w:szCs w:val="24"/>
        </w:rPr>
        <w:t xml:space="preserve">The commenters also argued that program quality and outcomes </w:t>
      </w:r>
      <w:r>
        <w:rPr>
          <w:rFonts w:ascii="Courier New" w:eastAsia="Times New Roman" w:hAnsi="Courier New" w:cs="Courier New"/>
          <w:sz w:val="24"/>
          <w:szCs w:val="24"/>
        </w:rPr>
        <w:t xml:space="preserve">are more appropriately evaluated by </w:t>
      </w:r>
      <w:r w:rsidRPr="005012DC">
        <w:rPr>
          <w:rFonts w:ascii="Courier New" w:eastAsia="Times New Roman" w:hAnsi="Courier New" w:cs="Courier New"/>
          <w:sz w:val="24"/>
          <w:szCs w:val="24"/>
        </w:rPr>
        <w:t>an institutional accreditor and</w:t>
      </w:r>
      <w:r>
        <w:rPr>
          <w:rFonts w:ascii="Courier New" w:eastAsia="Times New Roman" w:hAnsi="Courier New" w:cs="Courier New"/>
          <w:sz w:val="24"/>
          <w:szCs w:val="24"/>
        </w:rPr>
        <w:t>,</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similarly, </w:t>
      </w:r>
      <w:r w:rsidRPr="005012DC">
        <w:rPr>
          <w:rFonts w:ascii="Courier New" w:eastAsia="Times New Roman" w:hAnsi="Courier New" w:cs="Courier New"/>
          <w:sz w:val="24"/>
          <w:szCs w:val="24"/>
        </w:rPr>
        <w:t xml:space="preserve">that determining whether a program meets </w:t>
      </w:r>
      <w:r>
        <w:rPr>
          <w:rFonts w:ascii="Courier New" w:eastAsia="Times New Roman" w:hAnsi="Courier New" w:cs="Courier New"/>
          <w:sz w:val="24"/>
          <w:szCs w:val="24"/>
        </w:rPr>
        <w:t>a S</w:t>
      </w:r>
      <w:r w:rsidRPr="005012DC">
        <w:rPr>
          <w:rFonts w:ascii="Courier New" w:eastAsia="Times New Roman" w:hAnsi="Courier New" w:cs="Courier New"/>
          <w:sz w:val="24"/>
          <w:szCs w:val="24"/>
        </w:rPr>
        <w:t>tate</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 standards </w:t>
      </w:r>
      <w:r>
        <w:rPr>
          <w:rFonts w:ascii="Courier New" w:eastAsia="Times New Roman" w:hAnsi="Courier New" w:cs="Courier New"/>
          <w:sz w:val="24"/>
          <w:szCs w:val="24"/>
        </w:rPr>
        <w:t>should be the responsibility of the S</w:t>
      </w:r>
      <w:r w:rsidRPr="005012DC">
        <w:rPr>
          <w:rFonts w:ascii="Courier New" w:eastAsia="Times New Roman" w:hAnsi="Courier New" w:cs="Courier New"/>
          <w:sz w:val="24"/>
          <w:szCs w:val="24"/>
        </w:rPr>
        <w:t>tate</w:t>
      </w:r>
      <w:r>
        <w:rPr>
          <w:rFonts w:ascii="Courier New" w:eastAsia="Times New Roman" w:hAnsi="Courier New" w:cs="Courier New"/>
          <w:sz w:val="24"/>
          <w:szCs w:val="24"/>
        </w:rPr>
        <w:t xml:space="preserve">.  Finally, one commenter stated that the certification requirements would contravene the HEA’s recognition requirements with respect to program accreditors.  </w:t>
      </w:r>
    </w:p>
    <w:p w14:paraId="0107B181"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The Department agrees that accrediting agencies and States play important roles in approving institutions to operate and offer programs and providing ongoing oversight of whether institutions and programs meet those State and accrediting requirements.  However, this may not always guarantee that a program meets all minimum educational standards for students to obtain employment in the occupation the institution identified as being associated with that training.  For example, in some States, </w:t>
      </w:r>
      <w:r w:rsidRPr="009A0CC1">
        <w:rPr>
          <w:rFonts w:ascii="Courier New" w:eastAsia="Times New Roman" w:hAnsi="Courier New"/>
          <w:sz w:val="24"/>
        </w:rPr>
        <w:t>for some types of programs,</w:t>
      </w:r>
      <w:r>
        <w:rPr>
          <w:rFonts w:ascii="Courier New" w:eastAsia="Times New Roman" w:hAnsi="Courier New" w:cs="Courier New"/>
          <w:sz w:val="24"/>
          <w:szCs w:val="24"/>
        </w:rPr>
        <w:t xml:space="preserve"> institutions are allowed to offer a program even if it does not meet the requirements for licensure or certification in that State.  In such instances, under the regulations, for a program to be eligible for title IV, HEA program funds, the program will be required to meet State licensure, </w:t>
      </w:r>
      <w:r w:rsidRPr="009A0CC1">
        <w:rPr>
          <w:rFonts w:ascii="Courier New" w:eastAsia="Times New Roman" w:hAnsi="Courier New"/>
          <w:sz w:val="24"/>
        </w:rPr>
        <w:t>certification,</w:t>
      </w:r>
      <w:r>
        <w:rPr>
          <w:rFonts w:ascii="Courier New" w:eastAsia="Times New Roman" w:hAnsi="Courier New" w:cs="Courier New"/>
          <w:sz w:val="24"/>
          <w:szCs w:val="24"/>
        </w:rPr>
        <w:t xml:space="preserve"> and accreditation standards for the occupations the institution identifies for the program where it would not have had to in the absence of the certification requirements.    </w:t>
      </w:r>
    </w:p>
    <w:p w14:paraId="1F3158B7" w14:textId="77777777" w:rsidR="00915790" w:rsidRDefault="00915790" w:rsidP="00915790">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Even where the certification requirements are partly duplicative of State and accreditor efforts, there is no conflict with the HEA to require an institution to verify that a program meets applicable State and accrediting standards in light of the Department’s responsibility to protect students and ensure that title IV, HEA program funds are used for proper purposes, in this case, to prepare students for gainful employment in a recognized occupation.  We believe there is minimal burden associated with providing this information to the Department. </w:t>
      </w:r>
    </w:p>
    <w:p w14:paraId="43251675" w14:textId="77777777" w:rsidR="00915790" w:rsidRDefault="00915790" w:rsidP="00915790">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The certification requirement</w:t>
      </w:r>
      <w:r w:rsidDel="00BA0FE3">
        <w:rPr>
          <w:rFonts w:ascii="Courier New" w:eastAsia="Times New Roman" w:hAnsi="Courier New" w:cs="Courier New"/>
          <w:sz w:val="24"/>
          <w:szCs w:val="24"/>
        </w:rPr>
        <w:t>s</w:t>
      </w:r>
      <w:r>
        <w:rPr>
          <w:rFonts w:ascii="Courier New" w:eastAsia="Times New Roman" w:hAnsi="Courier New" w:cs="Courier New"/>
          <w:sz w:val="24"/>
          <w:szCs w:val="24"/>
        </w:rPr>
        <w:t xml:space="preserve"> </w:t>
      </w:r>
      <w:r w:rsidDel="00BA0FE3">
        <w:rPr>
          <w:rFonts w:ascii="Courier New" w:eastAsia="Times New Roman" w:hAnsi="Courier New" w:cs="Courier New"/>
          <w:sz w:val="24"/>
          <w:szCs w:val="24"/>
        </w:rPr>
        <w:t>have</w:t>
      </w:r>
      <w:r>
        <w:rPr>
          <w:rFonts w:ascii="Courier New" w:eastAsia="Times New Roman" w:hAnsi="Courier New" w:cs="Courier New"/>
          <w:sz w:val="24"/>
          <w:szCs w:val="24"/>
        </w:rPr>
        <w:t xml:space="preserve"> the added benefit of creating an enforcement mechanism for the Department to take action if a required approval has been lost, or if a certification that was provided was false.  </w:t>
      </w:r>
      <w:r>
        <w:rPr>
          <w:rFonts w:ascii="Courier New" w:eastAsia="Times New Roman" w:hAnsi="Courier New"/>
          <w:sz w:val="24"/>
        </w:rPr>
        <w:t xml:space="preserve">Further, </w:t>
      </w:r>
      <w:r w:rsidRPr="009A0CC1">
        <w:rPr>
          <w:rFonts w:ascii="Courier New" w:eastAsia="Times New Roman" w:hAnsi="Courier New"/>
          <w:sz w:val="24"/>
        </w:rPr>
        <w:t>Federal</w:t>
      </w:r>
      <w:r>
        <w:rPr>
          <w:rFonts w:ascii="Courier New" w:eastAsia="Times New Roman" w:hAnsi="Courier New" w:cs="Courier New"/>
          <w:sz w:val="24"/>
          <w:szCs w:val="24"/>
        </w:rPr>
        <w:t xml:space="preserve"> and State law enforcement agencies may be able to prosecute any misrepresentations made by institutions in their own investigations and enforcement actions.      </w:t>
      </w:r>
    </w:p>
    <w:p w14:paraId="00DB71C5"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2A364D">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7DA83388"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8E2CE5">
        <w:rPr>
          <w:rFonts w:ascii="Courier New" w:eastAsia="Times New Roman" w:hAnsi="Courier New" w:cs="Courier New"/>
          <w:sz w:val="24"/>
          <w:szCs w:val="24"/>
          <w:u w:val="single"/>
        </w:rPr>
        <w:t>Comments</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One commenter, while noting support for the proposed provisions, suggested that institutions that do not satisfy all </w:t>
      </w:r>
      <w:r>
        <w:rPr>
          <w:rFonts w:ascii="Courier New" w:eastAsia="Times New Roman" w:hAnsi="Courier New" w:cs="Courier New"/>
          <w:sz w:val="24"/>
          <w:szCs w:val="24"/>
        </w:rPr>
        <w:t>S</w:t>
      </w:r>
      <w:r w:rsidRPr="005012DC">
        <w:rPr>
          <w:rFonts w:ascii="Courier New" w:eastAsia="Times New Roman" w:hAnsi="Courier New" w:cs="Courier New"/>
          <w:sz w:val="24"/>
          <w:szCs w:val="24"/>
        </w:rPr>
        <w:t>tate or Federal program-level accrediting and licensing requirements should not be eligible to participate in the</w:t>
      </w:r>
      <w:r>
        <w:rPr>
          <w:rFonts w:ascii="Courier New" w:eastAsia="Times New Roman" w:hAnsi="Courier New" w:cs="Courier New"/>
          <w:sz w:val="24"/>
          <w:szCs w:val="24"/>
        </w:rPr>
        <w:t xml:space="preserve"> t</w:t>
      </w:r>
      <w:r w:rsidRPr="005012DC">
        <w:rPr>
          <w:rFonts w:ascii="Courier New" w:eastAsia="Times New Roman" w:hAnsi="Courier New" w:cs="Courier New"/>
          <w:sz w:val="24"/>
          <w:szCs w:val="24"/>
        </w:rPr>
        <w:t>itle IV</w:t>
      </w:r>
      <w:r>
        <w:rPr>
          <w:rFonts w:ascii="Courier New" w:eastAsia="Times New Roman" w:hAnsi="Courier New" w:cs="Courier New"/>
          <w:sz w:val="24"/>
          <w:szCs w:val="24"/>
        </w:rPr>
        <w:t>, HEA</w:t>
      </w:r>
      <w:r w:rsidRPr="005012DC">
        <w:rPr>
          <w:rFonts w:ascii="Courier New" w:eastAsia="Times New Roman" w:hAnsi="Courier New" w:cs="Courier New"/>
          <w:sz w:val="24"/>
          <w:szCs w:val="24"/>
        </w:rPr>
        <w:t xml:space="preserve"> programs. </w:t>
      </w:r>
      <w:r>
        <w:rPr>
          <w:rFonts w:ascii="Courier New" w:eastAsia="Times New Roman" w:hAnsi="Courier New" w:cs="Courier New"/>
          <w:sz w:val="24"/>
          <w:szCs w:val="24"/>
        </w:rPr>
        <w:t xml:space="preserve">  </w:t>
      </w:r>
    </w:p>
    <w:p w14:paraId="38CDE59D"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8E2CE5">
        <w:rPr>
          <w:rFonts w:ascii="Courier New" w:eastAsia="Times New Roman" w:hAnsi="Courier New" w:cs="Courier New"/>
          <w:sz w:val="24"/>
          <w:szCs w:val="24"/>
          <w:u w:val="single"/>
        </w:rPr>
        <w:t>Discussion</w:t>
      </w:r>
      <w:r>
        <w:rPr>
          <w:rFonts w:ascii="Courier New" w:eastAsia="Times New Roman" w:hAnsi="Courier New" w:cs="Courier New"/>
          <w:sz w:val="24"/>
          <w:szCs w:val="24"/>
        </w:rPr>
        <w:t xml:space="preserve">:  Institutions will be required to ensure that the programs they offer have the necessary Federal, State, and accrediting agency approvals to meet the requirements for the jobs associated with those programs.  </w:t>
      </w:r>
      <w:r>
        <w:rPr>
          <w:rFonts w:ascii="Courier New" w:eastAsia="Times New Roman" w:hAnsi="Courier New"/>
          <w:sz w:val="24"/>
        </w:rPr>
        <w:t xml:space="preserve">If </w:t>
      </w:r>
      <w:r w:rsidRPr="009A0CC1">
        <w:rPr>
          <w:rFonts w:ascii="Courier New" w:eastAsia="Times New Roman" w:hAnsi="Courier New"/>
          <w:sz w:val="24"/>
        </w:rPr>
        <w:t>a program does not meet these requirements</w:t>
      </w:r>
      <w:r>
        <w:rPr>
          <w:rFonts w:ascii="Courier New" w:eastAsia="Times New Roman" w:hAnsi="Courier New"/>
          <w:sz w:val="24"/>
        </w:rPr>
        <w:t xml:space="preserve">, the institution will have to either obtain the necessary approvals </w:t>
      </w:r>
      <w:r w:rsidRPr="009A0CC1">
        <w:rPr>
          <w:rFonts w:ascii="Courier New" w:eastAsia="Times New Roman" w:hAnsi="Courier New"/>
          <w:sz w:val="24"/>
        </w:rPr>
        <w:t>or risk losing title IV, HEA program eligibility</w:t>
      </w:r>
      <w:r>
        <w:rPr>
          <w:rFonts w:ascii="Courier New" w:eastAsia="Times New Roman" w:hAnsi="Courier New"/>
          <w:sz w:val="24"/>
        </w:rPr>
        <w:t>.</w:t>
      </w:r>
      <w:r>
        <w:rPr>
          <w:rFonts w:ascii="Courier New" w:eastAsia="Times New Roman" w:hAnsi="Courier New" w:cs="Courier New"/>
          <w:sz w:val="24"/>
          <w:szCs w:val="24"/>
        </w:rPr>
        <w:t xml:space="preserve">  </w:t>
      </w:r>
    </w:p>
    <w:p w14:paraId="4DEE8B21"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8E2CE5">
        <w:rPr>
          <w:rFonts w:ascii="Courier New" w:eastAsia="Times New Roman" w:hAnsi="Courier New" w:cs="Courier New"/>
          <w:sz w:val="24"/>
          <w:szCs w:val="24"/>
          <w:u w:val="single"/>
        </w:rPr>
        <w:t>Changes</w:t>
      </w:r>
      <w:r>
        <w:rPr>
          <w:rFonts w:ascii="Courier New" w:eastAsia="Times New Roman" w:hAnsi="Courier New" w:cs="Courier New"/>
          <w:sz w:val="24"/>
          <w:szCs w:val="24"/>
        </w:rPr>
        <w:t xml:space="preserve">:  None.  </w:t>
      </w:r>
    </w:p>
    <w:p w14:paraId="535C5BAF"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 xml:space="preserve">:  </w:t>
      </w:r>
      <w:r w:rsidRPr="005012DC">
        <w:rPr>
          <w:rFonts w:ascii="Courier New" w:eastAsia="Times New Roman" w:hAnsi="Courier New" w:cs="Courier New"/>
          <w:sz w:val="24"/>
          <w:szCs w:val="24"/>
        </w:rPr>
        <w:t xml:space="preserve">A number of commenters asserted that the initial </w:t>
      </w:r>
      <w:r>
        <w:rPr>
          <w:rFonts w:ascii="Courier New" w:eastAsia="Times New Roman" w:hAnsi="Courier New" w:cs="Courier New"/>
          <w:sz w:val="24"/>
          <w:szCs w:val="24"/>
        </w:rPr>
        <w:t xml:space="preserve">and continuing </w:t>
      </w:r>
      <w:r w:rsidRPr="005012DC">
        <w:rPr>
          <w:rFonts w:ascii="Courier New" w:eastAsia="Times New Roman" w:hAnsi="Courier New" w:cs="Courier New"/>
          <w:sz w:val="24"/>
          <w:szCs w:val="24"/>
        </w:rPr>
        <w:t xml:space="preserve">reporting requirements to update the certifications would be burdensome.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They noted that</w:t>
      </w:r>
      <w:r>
        <w:rPr>
          <w:rFonts w:ascii="Courier New" w:eastAsia="Times New Roman" w:hAnsi="Courier New" w:cs="Courier New"/>
          <w:sz w:val="24"/>
          <w:szCs w:val="24"/>
        </w:rPr>
        <w:t xml:space="preserve"> for existing programs,</w:t>
      </w:r>
      <w:r w:rsidRPr="005012DC">
        <w:rPr>
          <w:rFonts w:ascii="Courier New" w:eastAsia="Times New Roman" w:hAnsi="Courier New" w:cs="Courier New"/>
          <w:sz w:val="24"/>
          <w:szCs w:val="24"/>
        </w:rPr>
        <w:t xml:space="preserve"> institutions would be required to submit transitional certifications and reporting covering several years of data at the same time</w:t>
      </w:r>
      <w:r>
        <w:rPr>
          <w:rFonts w:ascii="Courier New" w:eastAsia="Times New Roman" w:hAnsi="Courier New" w:cs="Courier New"/>
          <w:sz w:val="24"/>
          <w:szCs w:val="24"/>
        </w:rPr>
        <w:t>.  The commenters</w:t>
      </w:r>
      <w:r w:rsidRPr="005012DC">
        <w:rPr>
          <w:rFonts w:ascii="Courier New" w:eastAsia="Times New Roman" w:hAnsi="Courier New" w:cs="Courier New"/>
          <w:sz w:val="24"/>
          <w:szCs w:val="24"/>
        </w:rPr>
        <w:t xml:space="preserve"> were concerned that institutions would make unintentional errors for which they would be held liable. </w:t>
      </w:r>
      <w:r>
        <w:rPr>
          <w:rFonts w:ascii="Courier New" w:eastAsia="Times New Roman" w:hAnsi="Courier New" w:cs="Courier New"/>
          <w:sz w:val="24"/>
          <w:szCs w:val="24"/>
        </w:rPr>
        <w:t xml:space="preserve"> T</w:t>
      </w:r>
      <w:r w:rsidRPr="005012DC">
        <w:rPr>
          <w:rFonts w:ascii="Courier New" w:eastAsia="Times New Roman" w:hAnsi="Courier New" w:cs="Courier New"/>
          <w:sz w:val="24"/>
          <w:szCs w:val="24"/>
        </w:rPr>
        <w:t xml:space="preserve">hey were </w:t>
      </w:r>
      <w:r>
        <w:rPr>
          <w:rFonts w:ascii="Courier New" w:eastAsia="Times New Roman" w:hAnsi="Courier New" w:cs="Courier New"/>
          <w:sz w:val="24"/>
          <w:szCs w:val="24"/>
        </w:rPr>
        <w:t xml:space="preserve">also </w:t>
      </w:r>
      <w:r w:rsidRPr="005012DC">
        <w:rPr>
          <w:rFonts w:ascii="Courier New" w:eastAsia="Times New Roman" w:hAnsi="Courier New" w:cs="Courier New"/>
          <w:sz w:val="24"/>
          <w:szCs w:val="24"/>
        </w:rPr>
        <w:t xml:space="preserve">concerned about how the implementation of the </w:t>
      </w:r>
      <w:r>
        <w:rPr>
          <w:rFonts w:ascii="Courier New" w:eastAsia="Times New Roman" w:hAnsi="Courier New" w:cs="Courier New"/>
          <w:sz w:val="24"/>
          <w:szCs w:val="24"/>
        </w:rPr>
        <w:t xml:space="preserve">regulations </w:t>
      </w:r>
      <w:r w:rsidRPr="005012DC">
        <w:rPr>
          <w:rFonts w:ascii="Courier New" w:eastAsia="Times New Roman" w:hAnsi="Courier New" w:cs="Courier New"/>
          <w:sz w:val="24"/>
          <w:szCs w:val="24"/>
        </w:rPr>
        <w:t>would affect the timing of an institution’s PPA recertification.</w:t>
      </w:r>
    </w:p>
    <w:p w14:paraId="19363B98" w14:textId="4EC6EA61" w:rsidR="00915790" w:rsidRPr="00153192" w:rsidRDefault="00915790" w:rsidP="00915790">
      <w:pPr>
        <w:autoSpaceDE w:val="0"/>
        <w:autoSpaceDN w:val="0"/>
        <w:adjustRightInd w:val="0"/>
        <w:spacing w:after="0" w:line="480" w:lineRule="auto"/>
        <w:rPr>
          <w:rFonts w:ascii="Courier New" w:hAnsi="Courier New" w:cs="Courier New"/>
          <w:sz w:val="24"/>
          <w:szCs w:val="24"/>
        </w:rPr>
      </w:pPr>
      <w:r w:rsidRPr="002A364D">
        <w:rPr>
          <w:rFonts w:ascii="Courier New" w:eastAsia="Times New Roman" w:hAnsi="Courier New" w:cs="Courier New"/>
          <w:sz w:val="24"/>
          <w:szCs w:val="24"/>
          <w:u w:val="single"/>
        </w:rPr>
        <w:t>Discussion</w:t>
      </w:r>
      <w:r w:rsidRPr="002A364D">
        <w:rPr>
          <w:rFonts w:ascii="Courier New" w:eastAsia="Times New Roman" w:hAnsi="Courier New" w:cs="Courier New"/>
          <w:sz w:val="24"/>
          <w:szCs w:val="24"/>
        </w:rPr>
        <w:t xml:space="preserve">:  </w:t>
      </w:r>
      <w:r>
        <w:rPr>
          <w:rFonts w:ascii="Courier New" w:eastAsia="Times New Roman" w:hAnsi="Courier New" w:cs="Courier New"/>
          <w:sz w:val="24"/>
          <w:szCs w:val="24"/>
        </w:rPr>
        <w:t>The Department estimates that</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there will be minimal</w:t>
      </w:r>
      <w:r w:rsidRPr="005012DC">
        <w:rPr>
          <w:rFonts w:ascii="Courier New" w:eastAsia="Times New Roman" w:hAnsi="Courier New" w:cs="Courier New"/>
          <w:sz w:val="24"/>
          <w:szCs w:val="24"/>
        </w:rPr>
        <w:t xml:space="preserve"> add</w:t>
      </w:r>
      <w:r>
        <w:rPr>
          <w:rFonts w:ascii="Courier New" w:eastAsia="Times New Roman" w:hAnsi="Courier New" w:cs="Courier New"/>
          <w:sz w:val="24"/>
          <w:szCs w:val="24"/>
        </w:rPr>
        <w:t>itional</w:t>
      </w:r>
      <w:r w:rsidRPr="005012DC">
        <w:rPr>
          <w:rFonts w:ascii="Courier New" w:eastAsia="Times New Roman" w:hAnsi="Courier New" w:cs="Courier New"/>
          <w:sz w:val="24"/>
          <w:szCs w:val="24"/>
        </w:rPr>
        <w:t xml:space="preserve"> administrative burden associated with the certification requirements</w:t>
      </w:r>
      <w:r>
        <w:rPr>
          <w:rFonts w:ascii="Courier New" w:eastAsia="Times New Roman" w:hAnsi="Courier New" w:cs="Courier New"/>
          <w:sz w:val="24"/>
          <w:szCs w:val="24"/>
        </w:rPr>
        <w:t>.  We believe</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that any burden is outweighed by </w:t>
      </w:r>
      <w:r w:rsidRPr="005012DC">
        <w:rPr>
          <w:rFonts w:ascii="Courier New" w:eastAsia="Times New Roman" w:hAnsi="Courier New" w:cs="Courier New"/>
          <w:sz w:val="24"/>
          <w:szCs w:val="24"/>
        </w:rPr>
        <w:t xml:space="preserve">the </w:t>
      </w:r>
      <w:r>
        <w:rPr>
          <w:rFonts w:ascii="Courier New" w:eastAsia="Times New Roman" w:hAnsi="Courier New" w:cs="Courier New"/>
          <w:sz w:val="24"/>
          <w:szCs w:val="24"/>
        </w:rPr>
        <w:t xml:space="preserve">benefits </w:t>
      </w:r>
      <w:r w:rsidRPr="005012DC">
        <w:rPr>
          <w:rFonts w:ascii="Courier New" w:eastAsia="Times New Roman" w:hAnsi="Courier New" w:cs="Courier New"/>
          <w:sz w:val="24"/>
          <w:szCs w:val="24"/>
        </w:rPr>
        <w:t xml:space="preserve">of </w:t>
      </w:r>
      <w:r>
        <w:rPr>
          <w:rFonts w:ascii="Courier New" w:eastAsia="Times New Roman" w:hAnsi="Courier New" w:cs="Courier New"/>
          <w:sz w:val="24"/>
          <w:szCs w:val="24"/>
        </w:rPr>
        <w:t xml:space="preserve">the requirements which, as described previously, will help ensure that programs meet minimum standards for students to obtain employment in the occupations for which they receive training.  </w:t>
      </w:r>
      <w:r w:rsidRPr="005012DC">
        <w:rPr>
          <w:rFonts w:ascii="Courier New" w:eastAsia="Times New Roman" w:hAnsi="Courier New" w:cs="Courier New"/>
          <w:sz w:val="24"/>
          <w:szCs w:val="24"/>
        </w:rPr>
        <w:t xml:space="preserve">Furthermore, </w:t>
      </w:r>
      <w:r>
        <w:rPr>
          <w:rFonts w:ascii="Courier New" w:eastAsia="Times New Roman" w:hAnsi="Courier New" w:cs="Courier New"/>
          <w:sz w:val="24"/>
          <w:szCs w:val="24"/>
        </w:rPr>
        <w:t xml:space="preserve">after the initial period where institutions will be required to submit transitional certifications for existing programs by December 31st of the year that the regulations take effect, </w:t>
      </w:r>
      <w:r w:rsidRPr="005012DC">
        <w:rPr>
          <w:rFonts w:ascii="Courier New" w:eastAsia="Times New Roman" w:hAnsi="Courier New" w:cs="Courier New"/>
          <w:sz w:val="24"/>
          <w:szCs w:val="24"/>
        </w:rPr>
        <w:t>the</w:t>
      </w:r>
      <w:r>
        <w:rPr>
          <w:rFonts w:ascii="Courier New" w:eastAsia="Times New Roman" w:hAnsi="Courier New" w:cs="Courier New"/>
          <w:sz w:val="24"/>
          <w:szCs w:val="24"/>
        </w:rPr>
        <w:t xml:space="preserve"> continuing </w:t>
      </w:r>
      <w:r w:rsidRPr="005012DC">
        <w:rPr>
          <w:rFonts w:ascii="Courier New" w:eastAsia="Times New Roman" w:hAnsi="Courier New" w:cs="Courier New"/>
          <w:sz w:val="24"/>
          <w:szCs w:val="24"/>
        </w:rPr>
        <w:t xml:space="preserve">certification </w:t>
      </w:r>
      <w:r>
        <w:rPr>
          <w:rFonts w:ascii="Courier New" w:eastAsia="Times New Roman" w:hAnsi="Courier New" w:cs="Courier New"/>
          <w:sz w:val="24"/>
          <w:szCs w:val="24"/>
        </w:rPr>
        <w:t>procedure</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will be combined and synchronized with</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the </w:t>
      </w:r>
      <w:r w:rsidRPr="005012DC">
        <w:rPr>
          <w:rFonts w:ascii="Courier New" w:eastAsia="Times New Roman" w:hAnsi="Courier New" w:cs="Courier New"/>
          <w:sz w:val="24"/>
          <w:szCs w:val="24"/>
        </w:rPr>
        <w:t xml:space="preserve">existing </w:t>
      </w:r>
      <w:r>
        <w:rPr>
          <w:rFonts w:ascii="Courier New" w:eastAsia="Times New Roman" w:hAnsi="Courier New" w:cs="Courier New"/>
          <w:sz w:val="24"/>
          <w:szCs w:val="24"/>
        </w:rPr>
        <w:t>PPA recertification</w:t>
      </w:r>
      <w:r w:rsidRPr="005012DC">
        <w:rPr>
          <w:rFonts w:ascii="Courier New" w:eastAsia="Times New Roman" w:hAnsi="Courier New" w:cs="Courier New"/>
          <w:sz w:val="24"/>
          <w:szCs w:val="24"/>
        </w:rPr>
        <w:t xml:space="preserve"> process </w:t>
      </w:r>
      <w:r>
        <w:rPr>
          <w:rFonts w:ascii="Courier New" w:eastAsia="Times New Roman" w:hAnsi="Courier New" w:cs="Courier New"/>
          <w:sz w:val="24"/>
          <w:szCs w:val="24"/>
        </w:rPr>
        <w:t>to minimize</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any increased </w:t>
      </w:r>
      <w:r w:rsidRPr="005012DC">
        <w:rPr>
          <w:rFonts w:ascii="Courier New" w:eastAsia="Times New Roman" w:hAnsi="Courier New" w:cs="Courier New"/>
          <w:sz w:val="24"/>
          <w:szCs w:val="24"/>
        </w:rPr>
        <w:t xml:space="preserve">institutional burden and facilitate compliance.  </w:t>
      </w:r>
      <w:r>
        <w:rPr>
          <w:rFonts w:ascii="Courier New" w:hAnsi="Courier New" w:cs="Courier New"/>
          <w:sz w:val="24"/>
          <w:szCs w:val="24"/>
        </w:rPr>
        <w:t xml:space="preserve">This will have no bearing on the timing of an institution’s PPA recertification process. </w:t>
      </w:r>
      <w:r w:rsidR="00D828E4">
        <w:rPr>
          <w:rFonts w:ascii="Courier New" w:hAnsi="Courier New" w:cs="Courier New"/>
          <w:sz w:val="24"/>
          <w:szCs w:val="24"/>
        </w:rPr>
        <w:t xml:space="preserve"> </w:t>
      </w:r>
      <w:r w:rsidR="00C932C0">
        <w:rPr>
          <w:rFonts w:ascii="Courier New" w:eastAsia="Times New Roman" w:hAnsi="Courier New" w:cs="Courier New"/>
          <w:sz w:val="24"/>
          <w:szCs w:val="24"/>
        </w:rPr>
        <w:t>The only time an</w:t>
      </w:r>
      <w:r w:rsidR="004E40FB">
        <w:rPr>
          <w:rFonts w:ascii="Courier New" w:eastAsia="Times New Roman" w:hAnsi="Courier New" w:cs="Courier New"/>
          <w:sz w:val="24"/>
          <w:szCs w:val="24"/>
        </w:rPr>
        <w:t xml:space="preserve"> institution will need to update its</w:t>
      </w:r>
      <w:r w:rsidR="00C932C0">
        <w:rPr>
          <w:rFonts w:ascii="Courier New" w:eastAsia="Times New Roman" w:hAnsi="Courier New" w:cs="Courier New"/>
          <w:sz w:val="24"/>
          <w:szCs w:val="24"/>
        </w:rPr>
        <w:t xml:space="preserve"> existing program certification separately from the PPA recertification process will be when there is a change in the program or in its approvals that make</w:t>
      </w:r>
      <w:r w:rsidR="004E40FB">
        <w:rPr>
          <w:rFonts w:ascii="Courier New" w:eastAsia="Times New Roman" w:hAnsi="Courier New" w:cs="Courier New"/>
          <w:sz w:val="24"/>
          <w:szCs w:val="24"/>
        </w:rPr>
        <w:t>s</w:t>
      </w:r>
      <w:r w:rsidR="00C932C0">
        <w:rPr>
          <w:rFonts w:ascii="Courier New" w:eastAsia="Times New Roman" w:hAnsi="Courier New" w:cs="Courier New"/>
          <w:sz w:val="24"/>
          <w:szCs w:val="24"/>
        </w:rPr>
        <w:t xml:space="preserve"> the existing program certification no longer accurate.  Institutions will be required under </w:t>
      </w:r>
      <w:r w:rsidR="00985B19">
        <w:rPr>
          <w:rFonts w:ascii="Courier New" w:eastAsia="Times New Roman" w:hAnsi="Courier New" w:cs="Courier New"/>
          <w:sz w:val="24"/>
          <w:szCs w:val="24"/>
        </w:rPr>
        <w:t>34 CFR</w:t>
      </w:r>
      <w:r w:rsidR="00C932C0">
        <w:rPr>
          <w:rFonts w:ascii="Courier New" w:eastAsia="Times New Roman" w:hAnsi="Courier New" w:cs="Courier New"/>
          <w:sz w:val="24"/>
          <w:szCs w:val="24"/>
        </w:rPr>
        <w:t xml:space="preserve"> 600.21 to update the program certification within 10 days</w:t>
      </w:r>
      <w:r w:rsidR="004E40FB">
        <w:rPr>
          <w:rFonts w:ascii="Courier New" w:eastAsia="Times New Roman" w:hAnsi="Courier New" w:cs="Courier New"/>
          <w:sz w:val="24"/>
          <w:szCs w:val="24"/>
        </w:rPr>
        <w:t xml:space="preserve"> of such a change</w:t>
      </w:r>
      <w:r w:rsidR="00C932C0">
        <w:rPr>
          <w:rFonts w:ascii="Courier New" w:eastAsia="Times New Roman" w:hAnsi="Courier New" w:cs="Courier New"/>
          <w:sz w:val="24"/>
          <w:szCs w:val="24"/>
        </w:rPr>
        <w:t xml:space="preserve">.  </w:t>
      </w:r>
      <w:r w:rsidR="0039572C">
        <w:rPr>
          <w:rFonts w:ascii="Courier New" w:hAnsi="Courier New" w:cs="Courier New"/>
          <w:sz w:val="24"/>
          <w:szCs w:val="24"/>
        </w:rPr>
        <w:t xml:space="preserve">Regarding the commenter’s concern that the </w:t>
      </w:r>
      <w:r w:rsidR="0047723D">
        <w:rPr>
          <w:rFonts w:ascii="Courier New" w:hAnsi="Courier New" w:cs="Courier New"/>
          <w:sz w:val="24"/>
          <w:szCs w:val="24"/>
        </w:rPr>
        <w:t>certification requirements</w:t>
      </w:r>
      <w:r w:rsidR="0039572C">
        <w:rPr>
          <w:rFonts w:ascii="Courier New" w:hAnsi="Courier New" w:cs="Courier New"/>
          <w:sz w:val="24"/>
          <w:szCs w:val="24"/>
        </w:rPr>
        <w:t xml:space="preserve"> will increase institutions’ possible liability</w:t>
      </w:r>
      <w:r w:rsidR="00BA2F24">
        <w:rPr>
          <w:rFonts w:ascii="Courier New" w:hAnsi="Courier New" w:cs="Courier New"/>
          <w:sz w:val="24"/>
          <w:szCs w:val="24"/>
        </w:rPr>
        <w:t xml:space="preserve"> and exposure to litigation</w:t>
      </w:r>
      <w:r w:rsidR="0039572C">
        <w:rPr>
          <w:rFonts w:ascii="Courier New" w:hAnsi="Courier New" w:cs="Courier New"/>
          <w:sz w:val="24"/>
          <w:szCs w:val="24"/>
        </w:rPr>
        <w:t>,</w:t>
      </w:r>
      <w:r w:rsidR="0039572C" w:rsidRPr="00D828E4">
        <w:rPr>
          <w:rFonts w:ascii="Courier New" w:hAnsi="Courier New" w:cs="Courier New"/>
          <w:sz w:val="24"/>
          <w:szCs w:val="24"/>
        </w:rPr>
        <w:t xml:space="preserve"> </w:t>
      </w:r>
      <w:r w:rsidR="0039572C">
        <w:rPr>
          <w:rFonts w:ascii="Courier New" w:hAnsi="Courier New" w:cs="Courier New"/>
          <w:sz w:val="24"/>
          <w:szCs w:val="24"/>
        </w:rPr>
        <w:t>t</w:t>
      </w:r>
      <w:r w:rsidR="0039572C" w:rsidRPr="0039572C">
        <w:rPr>
          <w:rFonts w:ascii="Courier New" w:hAnsi="Courier New" w:cs="Courier New"/>
          <w:sz w:val="24"/>
          <w:szCs w:val="24"/>
        </w:rPr>
        <w:t xml:space="preserve">hese requirements </w:t>
      </w:r>
      <w:r w:rsidR="00922F91">
        <w:rPr>
          <w:rFonts w:ascii="Courier New" w:hAnsi="Courier New" w:cs="Courier New"/>
          <w:sz w:val="24"/>
          <w:szCs w:val="24"/>
        </w:rPr>
        <w:t xml:space="preserve">could </w:t>
      </w:r>
      <w:r w:rsidR="00D828E4">
        <w:rPr>
          <w:rFonts w:ascii="Courier New" w:hAnsi="Courier New" w:cs="Courier New"/>
          <w:sz w:val="24"/>
          <w:szCs w:val="24"/>
        </w:rPr>
        <w:t>affect</w:t>
      </w:r>
      <w:r w:rsidR="00922F91" w:rsidRPr="0039572C">
        <w:rPr>
          <w:rFonts w:ascii="Courier New" w:hAnsi="Courier New" w:cs="Courier New"/>
          <w:sz w:val="24"/>
          <w:szCs w:val="24"/>
        </w:rPr>
        <w:t xml:space="preserve"> complaints that are based upon violations of the new requirements</w:t>
      </w:r>
      <w:r w:rsidR="00922F91">
        <w:rPr>
          <w:rFonts w:ascii="Courier New" w:hAnsi="Courier New" w:cs="Courier New"/>
          <w:sz w:val="24"/>
          <w:szCs w:val="24"/>
        </w:rPr>
        <w:t xml:space="preserve"> but</w:t>
      </w:r>
      <w:r w:rsidR="00694C15">
        <w:rPr>
          <w:rFonts w:ascii="Courier New" w:hAnsi="Courier New" w:cs="Courier New"/>
          <w:sz w:val="24"/>
          <w:szCs w:val="24"/>
        </w:rPr>
        <w:t>,</w:t>
      </w:r>
      <w:r w:rsidR="00922F91">
        <w:rPr>
          <w:rFonts w:ascii="Courier New" w:hAnsi="Courier New" w:cs="Courier New"/>
          <w:sz w:val="24"/>
          <w:szCs w:val="24"/>
        </w:rPr>
        <w:t xml:space="preserve"> in other cases, could also</w:t>
      </w:r>
      <w:r w:rsidR="00922F91" w:rsidRPr="0039572C">
        <w:rPr>
          <w:rFonts w:ascii="Courier New" w:hAnsi="Courier New" w:cs="Courier New"/>
          <w:sz w:val="24"/>
          <w:szCs w:val="24"/>
        </w:rPr>
        <w:t xml:space="preserve"> </w:t>
      </w:r>
      <w:r w:rsidR="00922F91">
        <w:rPr>
          <w:rFonts w:ascii="Courier New" w:hAnsi="Courier New" w:cs="Courier New"/>
          <w:sz w:val="24"/>
          <w:szCs w:val="24"/>
        </w:rPr>
        <w:t xml:space="preserve">reduce complaints as students and prospective students receive better </w:t>
      </w:r>
      <w:r w:rsidR="00587D8C">
        <w:rPr>
          <w:rFonts w:ascii="Courier New" w:hAnsi="Courier New" w:cs="Courier New"/>
          <w:sz w:val="24"/>
          <w:szCs w:val="24"/>
        </w:rPr>
        <w:t>and more transparent</w:t>
      </w:r>
      <w:r w:rsidR="00922F91">
        <w:rPr>
          <w:rFonts w:ascii="Courier New" w:hAnsi="Courier New" w:cs="Courier New"/>
          <w:sz w:val="24"/>
          <w:szCs w:val="24"/>
        </w:rPr>
        <w:t xml:space="preserve"> information</w:t>
      </w:r>
      <w:r w:rsidR="0039572C" w:rsidRPr="0039572C">
        <w:rPr>
          <w:rFonts w:ascii="Courier New" w:hAnsi="Courier New" w:cs="Courier New"/>
          <w:sz w:val="24"/>
          <w:szCs w:val="24"/>
        </w:rPr>
        <w:t>.</w:t>
      </w:r>
      <w:r w:rsidR="0039572C">
        <w:rPr>
          <w:rFonts w:ascii="Courier New" w:hAnsi="Courier New" w:cs="Courier New"/>
          <w:sz w:val="24"/>
          <w:szCs w:val="24"/>
        </w:rPr>
        <w:t xml:space="preserve"> </w:t>
      </w:r>
    </w:p>
    <w:p w14:paraId="5098E2BA" w14:textId="5A1A3EAC" w:rsidR="00915790"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Changes</w:t>
      </w:r>
      <w:r w:rsidRPr="00C1090E">
        <w:rPr>
          <w:rFonts w:ascii="Courier New" w:eastAsia="Times New Roman" w:hAnsi="Courier New" w:cs="Courier New"/>
          <w:sz w:val="24"/>
          <w:szCs w:val="24"/>
        </w:rPr>
        <w:t xml:space="preserve">:  </w:t>
      </w:r>
      <w:r w:rsidR="004E40FB">
        <w:rPr>
          <w:rFonts w:ascii="Courier New" w:eastAsia="Times New Roman" w:hAnsi="Courier New" w:cs="Courier New"/>
          <w:sz w:val="24"/>
          <w:szCs w:val="24"/>
        </w:rPr>
        <w:t>We have revised §</w:t>
      </w:r>
      <w:r w:rsidR="00C932C0">
        <w:rPr>
          <w:rFonts w:ascii="Courier New" w:eastAsia="Times New Roman" w:hAnsi="Courier New" w:cs="Courier New"/>
          <w:sz w:val="24"/>
          <w:szCs w:val="24"/>
        </w:rPr>
        <w:t>668.14(b)</w:t>
      </w:r>
      <w:r w:rsidR="00C932C0" w:rsidDel="004E40FB">
        <w:rPr>
          <w:rFonts w:ascii="Courier New" w:eastAsia="Times New Roman" w:hAnsi="Courier New" w:cs="Courier New"/>
          <w:sz w:val="24"/>
          <w:szCs w:val="24"/>
        </w:rPr>
        <w:t xml:space="preserve"> </w:t>
      </w:r>
      <w:r w:rsidR="00C932C0">
        <w:rPr>
          <w:rFonts w:ascii="Courier New" w:eastAsia="Times New Roman" w:hAnsi="Courier New" w:cs="Courier New"/>
          <w:sz w:val="24"/>
          <w:szCs w:val="24"/>
        </w:rPr>
        <w:t>to provide that an institution must update a program certification within 10 days of any change in the program or in its approval</w:t>
      </w:r>
      <w:r w:rsidR="004E40FB">
        <w:rPr>
          <w:rFonts w:ascii="Courier New" w:eastAsia="Times New Roman" w:hAnsi="Courier New" w:cs="Courier New"/>
          <w:sz w:val="24"/>
          <w:szCs w:val="24"/>
        </w:rPr>
        <w:t>s</w:t>
      </w:r>
      <w:r w:rsidR="00C932C0">
        <w:rPr>
          <w:rFonts w:ascii="Courier New" w:eastAsia="Times New Roman" w:hAnsi="Courier New" w:cs="Courier New"/>
          <w:sz w:val="24"/>
          <w:szCs w:val="24"/>
        </w:rPr>
        <w:t xml:space="preserve"> that make</w:t>
      </w:r>
      <w:r w:rsidR="004E40FB">
        <w:rPr>
          <w:rFonts w:ascii="Courier New" w:eastAsia="Times New Roman" w:hAnsi="Courier New" w:cs="Courier New"/>
          <w:sz w:val="24"/>
          <w:szCs w:val="24"/>
        </w:rPr>
        <w:t>s</w:t>
      </w:r>
      <w:r w:rsidR="00C932C0">
        <w:rPr>
          <w:rFonts w:ascii="Courier New" w:eastAsia="Times New Roman" w:hAnsi="Courier New" w:cs="Courier New"/>
          <w:sz w:val="24"/>
          <w:szCs w:val="24"/>
        </w:rPr>
        <w:t xml:space="preserve"> the existing certification no longer accurate</w:t>
      </w:r>
      <w:r w:rsidRPr="00C1090E">
        <w:rPr>
          <w:rFonts w:ascii="Courier New" w:eastAsia="Times New Roman" w:hAnsi="Courier New" w:cs="Courier New"/>
          <w:sz w:val="24"/>
          <w:szCs w:val="24"/>
        </w:rPr>
        <w:t xml:space="preserve">. </w:t>
      </w:r>
      <w:r w:rsidR="004E40FB">
        <w:rPr>
          <w:rFonts w:ascii="Courier New" w:eastAsia="Times New Roman" w:hAnsi="Courier New" w:cs="Courier New"/>
          <w:sz w:val="24"/>
          <w:szCs w:val="24"/>
        </w:rPr>
        <w:t xml:space="preserve"> </w:t>
      </w:r>
      <w:r w:rsidR="00157DD1">
        <w:rPr>
          <w:rFonts w:ascii="Courier New" w:eastAsia="Times New Roman" w:hAnsi="Courier New" w:cs="Courier New"/>
          <w:sz w:val="24"/>
          <w:szCs w:val="24"/>
        </w:rPr>
        <w:t xml:space="preserve">We have also made a conforming change to </w:t>
      </w:r>
      <w:r w:rsidR="004E40FB">
        <w:rPr>
          <w:rFonts w:ascii="Courier New" w:eastAsia="Times New Roman" w:hAnsi="Courier New" w:cs="Courier New"/>
          <w:sz w:val="24"/>
          <w:szCs w:val="24"/>
        </w:rPr>
        <w:t>§</w:t>
      </w:r>
      <w:r w:rsidR="00157DD1">
        <w:rPr>
          <w:rFonts w:ascii="Courier New" w:eastAsia="Times New Roman" w:hAnsi="Courier New" w:cs="Courier New"/>
          <w:sz w:val="24"/>
          <w:szCs w:val="24"/>
        </w:rPr>
        <w:t>600.21 to include program certifications in the list of items that an institution must update within 10 days.</w:t>
      </w:r>
    </w:p>
    <w:p w14:paraId="143ECF5E" w14:textId="3BE33DB4"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157DD1">
        <w:rPr>
          <w:rFonts w:ascii="Courier New" w:hAnsi="Courier New"/>
          <w:sz w:val="28"/>
        </w:rPr>
        <w:t>:</w:t>
      </w:r>
      <w:r w:rsidRPr="00157DD1">
        <w:rPr>
          <w:rFonts w:ascii="Courier New" w:eastAsia="Times New Roman" w:hAnsi="Courier New"/>
          <w:sz w:val="28"/>
        </w:rPr>
        <w:t xml:space="preserve">  One commenter suggested </w:t>
      </w:r>
      <w:r>
        <w:rPr>
          <w:rFonts w:ascii="Courier New" w:eastAsia="Times New Roman" w:hAnsi="Courier New" w:cs="Courier New"/>
          <w:sz w:val="24"/>
          <w:szCs w:val="24"/>
        </w:rPr>
        <w:t xml:space="preserve">that the Department clarify in the regulations how </w:t>
      </w:r>
      <w:r w:rsidRPr="005012DC">
        <w:rPr>
          <w:rFonts w:ascii="Courier New" w:eastAsia="Times New Roman" w:hAnsi="Courier New" w:cs="Courier New"/>
          <w:sz w:val="24"/>
          <w:szCs w:val="24"/>
        </w:rPr>
        <w:t xml:space="preserve">the certifications would </w:t>
      </w:r>
      <w:r w:rsidR="004E40FB">
        <w:rPr>
          <w:rFonts w:ascii="Courier New" w:eastAsia="Times New Roman" w:hAnsi="Courier New" w:cs="Courier New"/>
          <w:sz w:val="24"/>
          <w:szCs w:val="24"/>
        </w:rPr>
        <w:t>work together</w:t>
      </w:r>
      <w:r w:rsidR="004E40FB" w:rsidRPr="005012DC">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with the debt measures to establish that a program meets all of the gainful employment standards.  Another commenter requested assurances that the existing certification requirements would continue to apply even after the D/E </w:t>
      </w:r>
      <w:r>
        <w:rPr>
          <w:rFonts w:ascii="Courier New" w:eastAsia="Times New Roman" w:hAnsi="Courier New" w:cs="Courier New"/>
          <w:sz w:val="24"/>
          <w:szCs w:val="24"/>
        </w:rPr>
        <w:t>rates measure is implemented</w:t>
      </w:r>
      <w:r w:rsidRPr="005012DC">
        <w:rPr>
          <w:rFonts w:ascii="Courier New" w:eastAsia="Times New Roman" w:hAnsi="Courier New" w:cs="Courier New"/>
          <w:sz w:val="24"/>
          <w:szCs w:val="24"/>
        </w:rPr>
        <w:t xml:space="preserve">.  </w:t>
      </w:r>
    </w:p>
    <w:p w14:paraId="48A5FBCD" w14:textId="77777777" w:rsidR="00915790" w:rsidRPr="00594961" w:rsidRDefault="00915790" w:rsidP="00915790">
      <w:pPr>
        <w:autoSpaceDE w:val="0"/>
        <w:autoSpaceDN w:val="0"/>
        <w:adjustRightInd w:val="0"/>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Discussion</w:t>
      </w:r>
      <w:r w:rsidRPr="00C1090E">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The </w:t>
      </w:r>
      <w:r w:rsidRPr="0080529A">
        <w:rPr>
          <w:rFonts w:ascii="Courier New" w:eastAsia="Times New Roman" w:hAnsi="Courier New" w:cs="Courier New"/>
          <w:sz w:val="24"/>
          <w:szCs w:val="24"/>
        </w:rPr>
        <w:t xml:space="preserve">certification requirements are an independent pillar </w:t>
      </w:r>
      <w:r>
        <w:rPr>
          <w:rFonts w:ascii="Courier New" w:eastAsia="Times New Roman" w:hAnsi="Courier New" w:cs="Courier New"/>
          <w:sz w:val="24"/>
          <w:szCs w:val="24"/>
        </w:rPr>
        <w:t>of the accountability framework of these regulations that complement</w:t>
      </w:r>
      <w:r w:rsidRPr="0080529A">
        <w:rPr>
          <w:rFonts w:ascii="Courier New" w:eastAsia="Times New Roman" w:hAnsi="Courier New" w:cs="Courier New"/>
          <w:sz w:val="24"/>
          <w:szCs w:val="24"/>
        </w:rPr>
        <w:t xml:space="preserve"> the metrics-based standards.</w:t>
      </w:r>
      <w:r>
        <w:rPr>
          <w:rFonts w:ascii="Courier New" w:eastAsia="Times New Roman" w:hAnsi="Courier New" w:cs="Courier New"/>
          <w:sz w:val="24"/>
          <w:szCs w:val="24"/>
        </w:rPr>
        <w:t xml:space="preserve">  To determine whether a </w:t>
      </w:r>
      <w:r w:rsidRPr="00B6288B">
        <w:rPr>
          <w:rFonts w:ascii="Courier New" w:eastAsia="Times New Roman" w:hAnsi="Courier New" w:cs="Courier New"/>
          <w:sz w:val="24"/>
          <w:szCs w:val="24"/>
        </w:rPr>
        <w:t xml:space="preserve">program </w:t>
      </w:r>
      <w:r>
        <w:rPr>
          <w:rFonts w:ascii="Courier New" w:eastAsia="Times New Roman" w:hAnsi="Courier New" w:cs="Courier New"/>
          <w:sz w:val="24"/>
          <w:szCs w:val="24"/>
        </w:rPr>
        <w:t xml:space="preserve">provides training that prepares </w:t>
      </w:r>
      <w:r w:rsidRPr="00B6288B">
        <w:rPr>
          <w:rFonts w:ascii="Courier New" w:eastAsia="Times New Roman" w:hAnsi="Courier New" w:cs="Courier New"/>
          <w:sz w:val="24"/>
          <w:szCs w:val="24"/>
        </w:rPr>
        <w:t>stu</w:t>
      </w:r>
      <w:r>
        <w:rPr>
          <w:rFonts w:ascii="Courier New" w:eastAsia="Times New Roman" w:hAnsi="Courier New" w:cs="Courier New"/>
          <w:sz w:val="24"/>
          <w:szCs w:val="24"/>
        </w:rPr>
        <w:t xml:space="preserve">dents for gainful employment as required by the HEA, these regulations provide </w:t>
      </w:r>
      <w:r w:rsidRPr="00B6288B">
        <w:rPr>
          <w:rFonts w:ascii="Courier New" w:eastAsia="Times New Roman" w:hAnsi="Courier New" w:cs="Courier New"/>
          <w:sz w:val="24"/>
          <w:szCs w:val="24"/>
        </w:rPr>
        <w:t>proc</w:t>
      </w:r>
      <w:r>
        <w:rPr>
          <w:rFonts w:ascii="Courier New" w:eastAsia="Times New Roman" w:hAnsi="Courier New" w:cs="Courier New"/>
          <w:sz w:val="24"/>
          <w:szCs w:val="24"/>
        </w:rPr>
        <w:t xml:space="preserve">edures to establish a program’s </w:t>
      </w:r>
      <w:r w:rsidRPr="00B6288B">
        <w:rPr>
          <w:rFonts w:ascii="Courier New" w:eastAsia="Times New Roman" w:hAnsi="Courier New" w:cs="Courier New"/>
          <w:sz w:val="24"/>
          <w:szCs w:val="24"/>
        </w:rPr>
        <w:t>eligibil</w:t>
      </w:r>
      <w:r>
        <w:rPr>
          <w:rFonts w:ascii="Courier New" w:eastAsia="Times New Roman" w:hAnsi="Courier New" w:cs="Courier New"/>
          <w:sz w:val="24"/>
          <w:szCs w:val="24"/>
        </w:rPr>
        <w:t xml:space="preserve">ity and to measure its outcomes </w:t>
      </w:r>
      <w:r w:rsidRPr="00B6288B">
        <w:rPr>
          <w:rFonts w:ascii="Courier New" w:eastAsia="Times New Roman" w:hAnsi="Courier New" w:cs="Courier New"/>
          <w:sz w:val="24"/>
          <w:szCs w:val="24"/>
        </w:rPr>
        <w:t>on a continuing basis</w:t>
      </w:r>
      <w:r>
        <w:rPr>
          <w:rFonts w:ascii="Courier New" w:eastAsia="Times New Roman" w:hAnsi="Courier New" w:cs="Courier New"/>
          <w:sz w:val="24"/>
          <w:szCs w:val="24"/>
        </w:rPr>
        <w:t xml:space="preserve">.  Accordingly, the certification requirements will continue to apply after the D/E rates measure becomes operational. </w:t>
      </w:r>
    </w:p>
    <w:p w14:paraId="22B9B939"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4A0379B4"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Some commenters </w:t>
      </w:r>
      <w:r>
        <w:rPr>
          <w:rFonts w:ascii="Courier New" w:eastAsia="Times New Roman" w:hAnsi="Courier New" w:cs="Courier New"/>
          <w:sz w:val="24"/>
          <w:szCs w:val="24"/>
        </w:rPr>
        <w:t xml:space="preserve">stated </w:t>
      </w:r>
      <w:r w:rsidRPr="005012DC">
        <w:rPr>
          <w:rFonts w:ascii="Courier New" w:eastAsia="Times New Roman" w:hAnsi="Courier New" w:cs="Courier New"/>
          <w:sz w:val="24"/>
          <w:szCs w:val="24"/>
        </w:rPr>
        <w:t xml:space="preserve">that providing certifications </w:t>
      </w:r>
      <w:r>
        <w:rPr>
          <w:rFonts w:ascii="Courier New" w:eastAsia="Times New Roman" w:hAnsi="Courier New" w:cs="Courier New"/>
          <w:sz w:val="24"/>
          <w:szCs w:val="24"/>
        </w:rPr>
        <w:t xml:space="preserve">for GE </w:t>
      </w:r>
      <w:r w:rsidRPr="005012DC">
        <w:rPr>
          <w:rFonts w:ascii="Courier New" w:eastAsia="Times New Roman" w:hAnsi="Courier New" w:cs="Courier New"/>
          <w:sz w:val="24"/>
          <w:szCs w:val="24"/>
        </w:rPr>
        <w:t xml:space="preserve">programs would </w:t>
      </w:r>
      <w:r>
        <w:rPr>
          <w:rFonts w:ascii="Courier New" w:eastAsia="Times New Roman" w:hAnsi="Courier New" w:cs="Courier New"/>
          <w:sz w:val="24"/>
          <w:szCs w:val="24"/>
        </w:rPr>
        <w:t>provide an important baseline for key information about a program</w:t>
      </w:r>
      <w:r w:rsidRPr="005012DC">
        <w:rPr>
          <w:rFonts w:ascii="Courier New" w:eastAsia="Times New Roman" w:hAnsi="Courier New" w:cs="Courier New"/>
          <w:sz w:val="24"/>
          <w:szCs w:val="24"/>
        </w:rPr>
        <w:t>, and suggested that the certification</w:t>
      </w:r>
      <w:r>
        <w:rPr>
          <w:rFonts w:ascii="Courier New" w:eastAsia="Times New Roman" w:hAnsi="Courier New" w:cs="Courier New"/>
          <w:sz w:val="24"/>
          <w:szCs w:val="24"/>
        </w:rPr>
        <w:t xml:space="preserve"> requirements</w:t>
      </w:r>
      <w:r w:rsidRPr="005012DC">
        <w:rPr>
          <w:rFonts w:ascii="Courier New" w:eastAsia="Times New Roman" w:hAnsi="Courier New" w:cs="Courier New"/>
          <w:sz w:val="24"/>
          <w:szCs w:val="24"/>
        </w:rPr>
        <w:t xml:space="preserve"> should be expanded</w:t>
      </w:r>
      <w:r>
        <w:rPr>
          <w:rFonts w:ascii="Courier New" w:eastAsia="Times New Roman" w:hAnsi="Courier New" w:cs="Courier New"/>
          <w:sz w:val="24"/>
          <w:szCs w:val="24"/>
        </w:rPr>
        <w:t xml:space="preserve">.  In this regard, commenters argued that the Department should require institutions </w:t>
      </w:r>
      <w:r w:rsidRPr="005012DC">
        <w:rPr>
          <w:rFonts w:ascii="Courier New" w:eastAsia="Times New Roman" w:hAnsi="Courier New" w:cs="Courier New"/>
          <w:sz w:val="24"/>
          <w:szCs w:val="24"/>
        </w:rPr>
        <w:t>to affirm that programs lead to gainful employment for their graduates</w:t>
      </w:r>
      <w:r w:rsidRPr="00D363F6">
        <w:rPr>
          <w:rFonts w:ascii="Courier New" w:eastAsia="Times New Roman" w:hAnsi="Courier New" w:cs="Courier New"/>
          <w:sz w:val="24"/>
          <w:szCs w:val="24"/>
        </w:rPr>
        <w:t xml:space="preserve">, </w:t>
      </w:r>
      <w:r w:rsidRPr="005335B6">
        <w:rPr>
          <w:rFonts w:ascii="Courier New" w:hAnsi="Courier New"/>
          <w:sz w:val="24"/>
        </w:rPr>
        <w:t>add additional certification requirements for institutions with failing or zone programs,</w:t>
      </w:r>
      <w:r w:rsidRPr="005335B6">
        <w:rPr>
          <w:rFonts w:ascii="Courier New" w:eastAsia="Times New Roman" w:hAnsi="Courier New"/>
          <w:sz w:val="24"/>
        </w:rPr>
        <w:t xml:space="preserve"> </w:t>
      </w:r>
      <w:r>
        <w:rPr>
          <w:rFonts w:ascii="Courier New" w:eastAsia="Times New Roman" w:hAnsi="Courier New" w:cs="Courier New"/>
          <w:sz w:val="24"/>
          <w:szCs w:val="24"/>
        </w:rPr>
        <w:t>or require institutions that do not meet the certification requirements to pay monetary penalties</w:t>
      </w:r>
      <w:r w:rsidRPr="005012DC">
        <w:rPr>
          <w:rFonts w:ascii="Courier New" w:eastAsia="Times New Roman" w:hAnsi="Courier New" w:cs="Courier New"/>
          <w:sz w:val="24"/>
          <w:szCs w:val="24"/>
        </w:rPr>
        <w:t xml:space="preserve">. </w:t>
      </w:r>
    </w:p>
    <w:p w14:paraId="0260B880"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Discussion</w:t>
      </w:r>
      <w:r w:rsidRPr="00C1090E">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An expanded certification process as suggested by the commenters is unnecessary in light of the requirements already provided in the regulations.  An important goal of the certification requirements is to ensure that institutions assess on an ongoing basis whether their </w:t>
      </w:r>
      <w:r w:rsidRPr="005335B6">
        <w:rPr>
          <w:rFonts w:ascii="Courier New" w:eastAsia="Times New Roman" w:hAnsi="Courier New"/>
          <w:sz w:val="24"/>
        </w:rPr>
        <w:t>programs meet all required Federal, State, and accrediting standards.</w:t>
      </w:r>
      <w:r>
        <w:rPr>
          <w:rFonts w:ascii="Courier New" w:eastAsia="Times New Roman" w:hAnsi="Courier New" w:cs="Courier New"/>
          <w:sz w:val="24"/>
          <w:szCs w:val="24"/>
        </w:rPr>
        <w:t xml:space="preserve">  Furthermore, we do not believe that </w:t>
      </w:r>
      <w:r w:rsidRPr="005335B6">
        <w:rPr>
          <w:rFonts w:ascii="Courier New" w:hAnsi="Courier New"/>
          <w:sz w:val="24"/>
        </w:rPr>
        <w:t>additional certification requirements for institutions with failing or zone programs</w:t>
      </w:r>
      <w:r>
        <w:rPr>
          <w:rFonts w:ascii="Courier New" w:eastAsia="Times New Roman" w:hAnsi="Courier New" w:cs="Courier New"/>
          <w:sz w:val="24"/>
          <w:szCs w:val="24"/>
        </w:rPr>
        <w:t xml:space="preserve"> are needed, because the Department has existing procedures that consider an institution’s financial responsibility and administrative capability at least annually, and an institution with demonstrated </w:t>
      </w:r>
      <w:r w:rsidRPr="005335B6">
        <w:rPr>
          <w:rFonts w:ascii="Courier New" w:eastAsia="Times New Roman" w:hAnsi="Courier New"/>
          <w:sz w:val="24"/>
        </w:rPr>
        <w:t xml:space="preserve">problems, such as having failing </w:t>
      </w:r>
      <w:r>
        <w:rPr>
          <w:rFonts w:ascii="Courier New" w:eastAsia="Times New Roman" w:hAnsi="Courier New" w:cs="Courier New"/>
          <w:sz w:val="24"/>
          <w:szCs w:val="24"/>
        </w:rPr>
        <w:t xml:space="preserve">or zone </w:t>
      </w:r>
      <w:r w:rsidRPr="005335B6">
        <w:rPr>
          <w:rFonts w:ascii="Courier New" w:eastAsia="Times New Roman" w:hAnsi="Courier New"/>
          <w:sz w:val="24"/>
        </w:rPr>
        <w:t>programs under the regulations, may</w:t>
      </w:r>
      <w:r>
        <w:rPr>
          <w:rFonts w:ascii="Courier New" w:eastAsia="Times New Roman" w:hAnsi="Courier New" w:cs="Courier New"/>
          <w:sz w:val="24"/>
          <w:szCs w:val="24"/>
        </w:rPr>
        <w:t xml:space="preserve"> be subject to additional restrictions and oversight.  Consequently, an expanded certification process would add little to the existing requirements.  </w:t>
      </w:r>
    </w:p>
    <w:p w14:paraId="5392AC43"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Changes</w:t>
      </w:r>
      <w:r>
        <w:rPr>
          <w:rFonts w:ascii="Courier New" w:eastAsia="Times New Roman" w:hAnsi="Courier New" w:cs="Courier New"/>
          <w:sz w:val="24"/>
          <w:szCs w:val="24"/>
        </w:rPr>
        <w:t xml:space="preserve">:  None. </w:t>
      </w:r>
    </w:p>
    <w:p w14:paraId="3CE77529"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Pr>
          <w:rFonts w:ascii="Courier New" w:hAnsi="Courier New" w:cs="Courier New"/>
          <w:sz w:val="24"/>
          <w:szCs w:val="24"/>
        </w:rPr>
        <w:t xml:space="preserve">  </w:t>
      </w:r>
      <w:r w:rsidRPr="005012DC">
        <w:rPr>
          <w:rFonts w:ascii="Courier New" w:eastAsia="Times New Roman" w:hAnsi="Courier New" w:cs="Courier New"/>
          <w:sz w:val="24"/>
          <w:szCs w:val="24"/>
        </w:rPr>
        <w:t xml:space="preserve">One commenter recommended that we </w:t>
      </w:r>
      <w:r>
        <w:rPr>
          <w:rFonts w:ascii="Courier New" w:eastAsia="Times New Roman" w:hAnsi="Courier New" w:cs="Courier New"/>
          <w:sz w:val="24"/>
          <w:szCs w:val="24"/>
        </w:rPr>
        <w:t>require institutions to provide separate certifications for programs by location</w:t>
      </w:r>
      <w:r w:rsidRPr="005012DC">
        <w:rPr>
          <w:rFonts w:ascii="Courier New" w:eastAsia="Times New Roman" w:hAnsi="Courier New" w:cs="Courier New"/>
          <w:sz w:val="24"/>
          <w:szCs w:val="24"/>
        </w:rPr>
        <w:t>.</w:t>
      </w:r>
    </w:p>
    <w:p w14:paraId="1686892D"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xml:space="preserve">:  </w:t>
      </w:r>
      <w:r w:rsidRPr="004B5C64">
        <w:rPr>
          <w:rFonts w:ascii="Courier New" w:eastAsia="Times New Roman" w:hAnsi="Courier New" w:cs="Courier New"/>
          <w:sz w:val="24"/>
          <w:szCs w:val="24"/>
        </w:rPr>
        <w:t>If a program does not meet the certification requirements in any State where an institution is located, then the program as a whole would be considered deficient and could not be certified.</w:t>
      </w:r>
      <w:r>
        <w:rPr>
          <w:rFonts w:ascii="Courier New" w:eastAsia="Times New Roman" w:hAnsi="Courier New" w:cs="Courier New"/>
          <w:sz w:val="24"/>
          <w:szCs w:val="24"/>
        </w:rPr>
        <w:t xml:space="preserve">  Consequently, we do not believe it is necessary to require separate certifications.</w:t>
      </w:r>
    </w:p>
    <w:p w14:paraId="424950AD"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11A8C1B6" w14:textId="398BB318"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Pr>
          <w:rFonts w:ascii="Courier New" w:hAnsi="Courier New" w:cs="Courier New"/>
          <w:sz w:val="24"/>
          <w:szCs w:val="24"/>
        </w:rPr>
        <w:t xml:space="preserve">  </w:t>
      </w:r>
      <w:r>
        <w:rPr>
          <w:rFonts w:ascii="Courier New" w:eastAsia="Times New Roman" w:hAnsi="Courier New" w:cs="Courier New"/>
          <w:sz w:val="24"/>
          <w:szCs w:val="24"/>
        </w:rPr>
        <w:t>Some commenters argued</w:t>
      </w:r>
      <w:r w:rsidRPr="005012DC">
        <w:rPr>
          <w:rFonts w:ascii="Courier New" w:eastAsia="Times New Roman" w:hAnsi="Courier New" w:cs="Courier New"/>
          <w:sz w:val="24"/>
          <w:szCs w:val="24"/>
        </w:rPr>
        <w:t xml:space="preserve"> that institutions should be required to certify that their programs provide students with access to </w:t>
      </w:r>
      <w:r>
        <w:rPr>
          <w:rFonts w:ascii="Courier New" w:eastAsia="Times New Roman" w:hAnsi="Courier New" w:cs="Courier New"/>
          <w:sz w:val="24"/>
          <w:szCs w:val="24"/>
        </w:rPr>
        <w:t xml:space="preserve">information about </w:t>
      </w:r>
      <w:r w:rsidRPr="005012DC">
        <w:rPr>
          <w:rFonts w:ascii="Courier New" w:eastAsia="Times New Roman" w:hAnsi="Courier New" w:cs="Courier New"/>
          <w:sz w:val="24"/>
          <w:szCs w:val="24"/>
        </w:rPr>
        <w:t xml:space="preserve">the licensure and certifications required by employers, or that meet industry standards nationwide, and provide an explanation </w:t>
      </w:r>
      <w:r>
        <w:rPr>
          <w:rFonts w:ascii="Courier New" w:eastAsia="Times New Roman" w:hAnsi="Courier New" w:cs="Courier New"/>
          <w:sz w:val="24"/>
          <w:szCs w:val="24"/>
        </w:rPr>
        <w:t xml:space="preserve">to students </w:t>
      </w:r>
      <w:r w:rsidRPr="005012DC">
        <w:rPr>
          <w:rFonts w:ascii="Courier New" w:eastAsia="Times New Roman" w:hAnsi="Courier New" w:cs="Courier New"/>
          <w:sz w:val="24"/>
          <w:szCs w:val="24"/>
        </w:rPr>
        <w:t xml:space="preserve">of the certification options available in a particular field.  The commenters suggested that the provision of such information by institutions would demonstrate that they are sufficiently aware of requirements for employment in the industries for which they are preparing students to work.  </w:t>
      </w:r>
      <w:r>
        <w:rPr>
          <w:rFonts w:ascii="Courier New" w:eastAsia="Times New Roman" w:hAnsi="Courier New" w:cs="Courier New"/>
          <w:sz w:val="24"/>
          <w:szCs w:val="24"/>
        </w:rPr>
        <w:t>Similarly, some commenters</w:t>
      </w:r>
      <w:r w:rsidRPr="005012DC">
        <w:rPr>
          <w:rFonts w:ascii="Courier New" w:eastAsia="Times New Roman" w:hAnsi="Courier New" w:cs="Courier New"/>
          <w:sz w:val="24"/>
          <w:szCs w:val="24"/>
        </w:rPr>
        <w:t xml:space="preserve"> suggested that the </w:t>
      </w:r>
      <w:r>
        <w:rPr>
          <w:rFonts w:ascii="Courier New" w:eastAsia="Times New Roman" w:hAnsi="Courier New" w:cs="Courier New"/>
          <w:sz w:val="24"/>
          <w:szCs w:val="24"/>
        </w:rPr>
        <w:t>regulations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should</w:t>
      </w:r>
      <w:r w:rsidRPr="005012DC">
        <w:rPr>
          <w:rFonts w:ascii="Courier New" w:eastAsia="Times New Roman" w:hAnsi="Courier New" w:cs="Courier New"/>
          <w:sz w:val="24"/>
          <w:szCs w:val="24"/>
        </w:rPr>
        <w:t xml:space="preserve"> require institutions to provide new data or information to students prior to enrolling to help them understand the certificates or licenses that are needed for a particular occupation so that the</w:t>
      </w:r>
      <w:r>
        <w:rPr>
          <w:rFonts w:ascii="Courier New" w:eastAsia="Times New Roman" w:hAnsi="Courier New" w:cs="Courier New"/>
          <w:sz w:val="24"/>
          <w:szCs w:val="24"/>
        </w:rPr>
        <w:t xml:space="preserve"> students</w:t>
      </w:r>
      <w:r w:rsidRPr="005012DC">
        <w:rPr>
          <w:rFonts w:ascii="Courier New" w:eastAsia="Times New Roman" w:hAnsi="Courier New" w:cs="Courier New"/>
          <w:sz w:val="24"/>
          <w:szCs w:val="24"/>
        </w:rPr>
        <w:t xml:space="preserve"> can make better decisions.</w:t>
      </w:r>
      <w:r w:rsidRPr="005012DC" w:rsidDel="00CF5248">
        <w:rPr>
          <w:rFonts w:ascii="Courier New" w:eastAsia="Times New Roman" w:hAnsi="Courier New" w:cs="Courier New"/>
          <w:sz w:val="24"/>
          <w:szCs w:val="24"/>
        </w:rPr>
        <w:t xml:space="preserve"> </w:t>
      </w:r>
      <w:r w:rsidR="00DC041A">
        <w:rPr>
          <w:rFonts w:ascii="Courier New" w:eastAsia="Times New Roman" w:hAnsi="Courier New" w:cs="Courier New"/>
          <w:sz w:val="24"/>
          <w:szCs w:val="24"/>
        </w:rPr>
        <w:t xml:space="preserve"> </w:t>
      </w:r>
      <w:r>
        <w:rPr>
          <w:rFonts w:ascii="Courier New" w:eastAsia="Times New Roman" w:hAnsi="Courier New" w:cs="Courier New"/>
          <w:sz w:val="24"/>
          <w:szCs w:val="24"/>
        </w:rPr>
        <w:t>On the other hand, one commenter asserted</w:t>
      </w:r>
      <w:r w:rsidRPr="005012DC">
        <w:rPr>
          <w:rFonts w:ascii="Courier New" w:eastAsia="Times New Roman" w:hAnsi="Courier New" w:cs="Courier New"/>
          <w:sz w:val="24"/>
          <w:szCs w:val="24"/>
        </w:rPr>
        <w:t xml:space="preserve"> that </w:t>
      </w:r>
      <w:r>
        <w:rPr>
          <w:rFonts w:ascii="Courier New" w:eastAsia="Times New Roman" w:hAnsi="Courier New" w:cs="Courier New"/>
          <w:sz w:val="24"/>
          <w:szCs w:val="24"/>
        </w:rPr>
        <w:t>institutions should not be required to identify the licensure and certifications required by all employers.</w:t>
      </w:r>
      <w:r w:rsidRPr="005012DC">
        <w:rPr>
          <w:rFonts w:ascii="Courier New" w:eastAsia="Times New Roman" w:hAnsi="Courier New" w:cs="Courier New"/>
          <w:sz w:val="24"/>
          <w:szCs w:val="24"/>
        </w:rPr>
        <w:t xml:space="preserve"> </w:t>
      </w:r>
    </w:p>
    <w:p w14:paraId="121C13D3" w14:textId="77777777" w:rsidR="00915790" w:rsidRPr="005012DC" w:rsidRDefault="00915790" w:rsidP="00915790">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Some commenters suggested </w:t>
      </w:r>
      <w:r w:rsidRPr="005012DC">
        <w:rPr>
          <w:rFonts w:ascii="Courier New" w:eastAsia="Times New Roman" w:hAnsi="Courier New" w:cs="Courier New"/>
          <w:sz w:val="24"/>
          <w:szCs w:val="24"/>
        </w:rPr>
        <w:t xml:space="preserve">more information about how a program provides </w:t>
      </w:r>
      <w:r>
        <w:rPr>
          <w:rFonts w:ascii="Courier New" w:eastAsia="Times New Roman" w:hAnsi="Courier New" w:cs="Courier New"/>
          <w:sz w:val="24"/>
          <w:szCs w:val="24"/>
        </w:rPr>
        <w:t xml:space="preserve">training that prepares students for </w:t>
      </w:r>
      <w:r w:rsidRPr="005012DC">
        <w:rPr>
          <w:rFonts w:ascii="Courier New" w:eastAsia="Times New Roman" w:hAnsi="Courier New" w:cs="Courier New"/>
          <w:sz w:val="24"/>
          <w:szCs w:val="24"/>
        </w:rPr>
        <w:t>gainful employment should be included in the transitional certification along with an affirmation signed by the senior executive at the institution.</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Specifically, the commenters asserted that</w:t>
      </w:r>
      <w:r>
        <w:rPr>
          <w:rFonts w:ascii="Courier New" w:eastAsia="Times New Roman" w:hAnsi="Courier New" w:cs="Courier New"/>
          <w:sz w:val="24"/>
          <w:szCs w:val="24"/>
        </w:rPr>
        <w:t xml:space="preserve"> institutions </w:t>
      </w:r>
      <w:r w:rsidRPr="005012DC">
        <w:rPr>
          <w:rFonts w:ascii="Courier New" w:eastAsia="Times New Roman" w:hAnsi="Courier New" w:cs="Courier New"/>
          <w:sz w:val="24"/>
          <w:szCs w:val="24"/>
        </w:rPr>
        <w:t xml:space="preserve">should </w:t>
      </w:r>
      <w:r>
        <w:rPr>
          <w:rFonts w:ascii="Courier New" w:eastAsia="Times New Roman" w:hAnsi="Courier New" w:cs="Courier New"/>
          <w:sz w:val="24"/>
          <w:szCs w:val="24"/>
        </w:rPr>
        <w:t>provide</w:t>
      </w:r>
      <w:r w:rsidRPr="005012DC">
        <w:rPr>
          <w:rFonts w:ascii="Courier New" w:eastAsia="Times New Roman" w:hAnsi="Courier New" w:cs="Courier New"/>
          <w:sz w:val="24"/>
          <w:szCs w:val="24"/>
        </w:rPr>
        <w:t xml:space="preserve"> affirmations about job outcomes</w:t>
      </w:r>
      <w:r>
        <w:rPr>
          <w:rFonts w:ascii="Courier New" w:eastAsia="Times New Roman" w:hAnsi="Courier New" w:cs="Courier New"/>
          <w:sz w:val="24"/>
          <w:szCs w:val="24"/>
        </w:rPr>
        <w:t xml:space="preserve"> for programs subject to the transitional certification requirements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because those programs are already participating in the title IV, HEA programs and information about their student outcomes is available</w:t>
      </w:r>
      <w:r w:rsidRPr="005012DC">
        <w:rPr>
          <w:rFonts w:ascii="Courier New" w:eastAsia="Times New Roman" w:hAnsi="Courier New" w:cs="Courier New"/>
          <w:sz w:val="24"/>
          <w:szCs w:val="24"/>
        </w:rPr>
        <w:t xml:space="preserve">. </w:t>
      </w:r>
    </w:p>
    <w:p w14:paraId="5A313BAD" w14:textId="549B47BF"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Del="003413AF">
        <w:rPr>
          <w:rFonts w:ascii="Courier New" w:eastAsia="Times New Roman" w:hAnsi="Courier New" w:cs="Courier New"/>
          <w:sz w:val="24"/>
          <w:szCs w:val="24"/>
        </w:rPr>
        <w:t xml:space="preserve">We appreciate the suggestion that more </w:t>
      </w:r>
      <w:r w:rsidDel="00DE3F83">
        <w:rPr>
          <w:rFonts w:ascii="Courier New" w:eastAsia="Times New Roman" w:hAnsi="Courier New" w:cs="Courier New"/>
          <w:sz w:val="24"/>
          <w:szCs w:val="24"/>
        </w:rPr>
        <w:t xml:space="preserve">detailed </w:t>
      </w:r>
      <w:r w:rsidDel="003413AF">
        <w:rPr>
          <w:rFonts w:ascii="Courier New" w:eastAsia="Times New Roman" w:hAnsi="Courier New" w:cs="Courier New"/>
          <w:sz w:val="24"/>
          <w:szCs w:val="24"/>
        </w:rPr>
        <w:t xml:space="preserve">information should be required as a part of the certifications, but believe that the regulations strike an appropriate balance between affirming that </w:t>
      </w:r>
      <w:r w:rsidR="00DC041A">
        <w:rPr>
          <w:rFonts w:ascii="Courier New" w:eastAsia="Times New Roman" w:hAnsi="Courier New" w:cs="Courier New"/>
          <w:sz w:val="24"/>
          <w:szCs w:val="24"/>
        </w:rPr>
        <w:t>a</w:t>
      </w:r>
      <w:r w:rsidR="00DC041A" w:rsidDel="00DE3F83">
        <w:rPr>
          <w:rFonts w:ascii="Courier New" w:eastAsia="Times New Roman" w:hAnsi="Courier New" w:cs="Courier New"/>
          <w:sz w:val="24"/>
          <w:szCs w:val="24"/>
        </w:rPr>
        <w:t xml:space="preserve"> </w:t>
      </w:r>
      <w:r w:rsidDel="003413AF">
        <w:rPr>
          <w:rFonts w:ascii="Courier New" w:eastAsia="Times New Roman" w:hAnsi="Courier New" w:cs="Courier New"/>
          <w:sz w:val="24"/>
          <w:szCs w:val="24"/>
        </w:rPr>
        <w:t>program meet</w:t>
      </w:r>
      <w:r w:rsidDel="00DE3F83">
        <w:rPr>
          <w:rFonts w:ascii="Courier New" w:eastAsia="Times New Roman" w:hAnsi="Courier New" w:cs="Courier New"/>
          <w:sz w:val="24"/>
          <w:szCs w:val="24"/>
        </w:rPr>
        <w:t>s</w:t>
      </w:r>
      <w:r w:rsidDel="003413AF">
        <w:rPr>
          <w:rFonts w:ascii="Courier New" w:eastAsia="Times New Roman" w:hAnsi="Courier New" w:cs="Courier New"/>
          <w:sz w:val="24"/>
          <w:szCs w:val="24"/>
        </w:rPr>
        <w:t xml:space="preserve"> </w:t>
      </w:r>
      <w:r w:rsidDel="00DE3F83">
        <w:rPr>
          <w:rFonts w:ascii="Courier New" w:eastAsia="Times New Roman" w:hAnsi="Courier New" w:cs="Courier New"/>
          <w:sz w:val="24"/>
          <w:szCs w:val="24"/>
        </w:rPr>
        <w:t xml:space="preserve">certain </w:t>
      </w:r>
      <w:r w:rsidDel="003413AF">
        <w:rPr>
          <w:rFonts w:ascii="Courier New" w:eastAsia="Times New Roman" w:hAnsi="Courier New" w:cs="Courier New"/>
          <w:sz w:val="24"/>
          <w:szCs w:val="24"/>
        </w:rPr>
        <w:t>requirements while not creating ambiguity or increasing burden in providing more detailed statements</w:t>
      </w:r>
      <w:r>
        <w:rPr>
          <w:rFonts w:ascii="Courier New" w:eastAsia="Times New Roman" w:hAnsi="Courier New" w:cs="Courier New"/>
          <w:sz w:val="24"/>
          <w:szCs w:val="24"/>
        </w:rPr>
        <w:t xml:space="preserve"> about </w:t>
      </w:r>
      <w:r w:rsidR="00DC041A">
        <w:rPr>
          <w:rFonts w:ascii="Courier New" w:eastAsia="Times New Roman" w:hAnsi="Courier New" w:cs="Courier New"/>
          <w:sz w:val="24"/>
          <w:szCs w:val="24"/>
        </w:rPr>
        <w:t>the</w:t>
      </w:r>
      <w:r>
        <w:rPr>
          <w:rFonts w:ascii="Courier New" w:eastAsia="Times New Roman" w:hAnsi="Courier New" w:cs="Courier New"/>
          <w:sz w:val="24"/>
          <w:szCs w:val="24"/>
        </w:rPr>
        <w:t xml:space="preserve"> program’s outcomes</w:t>
      </w:r>
      <w:r w:rsidDel="003413AF">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Requiring institutions to certify that their programs provide the training necessary to obtain certifications expected by employers or industry organizations would be impractical as preferences will likely vary among employers and organizations.  Without objective </w:t>
      </w:r>
      <w:r>
        <w:rPr>
          <w:rFonts w:ascii="Courier New" w:eastAsia="Times New Roman" w:hAnsi="Courier New" w:cs="Courier New"/>
          <w:sz w:val="24"/>
          <w:szCs w:val="24"/>
        </w:rPr>
        <w:t xml:space="preserve">and reliable </w:t>
      </w:r>
      <w:r w:rsidRPr="005012DC">
        <w:rPr>
          <w:rFonts w:ascii="Courier New" w:eastAsia="Times New Roman" w:hAnsi="Courier New" w:cs="Courier New"/>
          <w:sz w:val="24"/>
          <w:szCs w:val="24"/>
        </w:rPr>
        <w:t xml:space="preserve">standards, such as those set by State or </w:t>
      </w:r>
      <w:r>
        <w:rPr>
          <w:rFonts w:ascii="Courier New" w:eastAsia="Times New Roman" w:hAnsi="Courier New" w:cs="Courier New"/>
          <w:sz w:val="24"/>
          <w:szCs w:val="24"/>
        </w:rPr>
        <w:t>F</w:t>
      </w:r>
      <w:r w:rsidRPr="005012DC">
        <w:rPr>
          <w:rFonts w:ascii="Courier New" w:eastAsia="Times New Roman" w:hAnsi="Courier New" w:cs="Courier New"/>
          <w:sz w:val="24"/>
          <w:szCs w:val="24"/>
        </w:rPr>
        <w:t>ederal agencies</w:t>
      </w:r>
      <w:r>
        <w:rPr>
          <w:rFonts w:ascii="Courier New" w:eastAsia="Times New Roman" w:hAnsi="Courier New" w:cs="Courier New"/>
          <w:sz w:val="24"/>
          <w:szCs w:val="24"/>
        </w:rPr>
        <w:t xml:space="preserve"> like the Federal Aviation Administration or the Department of Transportation,</w:t>
      </w:r>
      <w:r w:rsidRPr="005012DC">
        <w:rPr>
          <w:rFonts w:ascii="Courier New" w:eastAsia="Times New Roman" w:hAnsi="Courier New" w:cs="Courier New"/>
          <w:sz w:val="24"/>
          <w:szCs w:val="24"/>
        </w:rPr>
        <w:t xml:space="preserve"> or by </w:t>
      </w:r>
      <w:r>
        <w:rPr>
          <w:rFonts w:ascii="Courier New" w:eastAsia="Times New Roman" w:hAnsi="Courier New" w:cs="Courier New"/>
          <w:sz w:val="24"/>
          <w:szCs w:val="24"/>
        </w:rPr>
        <w:t>accrediting agencies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the Department</w:t>
      </w:r>
      <w:r w:rsidRPr="005012DC">
        <w:rPr>
          <w:rFonts w:ascii="Courier New" w:eastAsia="Times New Roman" w:hAnsi="Courier New" w:cs="Courier New"/>
          <w:sz w:val="24"/>
          <w:szCs w:val="24"/>
        </w:rPr>
        <w:t xml:space="preserve"> would be unable to enforce such a requirement.</w:t>
      </w:r>
      <w:r>
        <w:rPr>
          <w:rFonts w:ascii="Courier New" w:eastAsia="Times New Roman" w:hAnsi="Courier New" w:cs="Courier New"/>
          <w:sz w:val="24"/>
          <w:szCs w:val="24"/>
        </w:rPr>
        <w:t xml:space="preserve">  </w:t>
      </w:r>
    </w:p>
    <w:p w14:paraId="2DCB3444" w14:textId="77777777" w:rsidR="00915790" w:rsidRDefault="00915790" w:rsidP="00915790">
      <w:pPr>
        <w:shd w:val="clear" w:color="auto" w:fill="FFFFFF"/>
        <w:spacing w:after="0" w:line="480" w:lineRule="auto"/>
        <w:ind w:firstLine="720"/>
        <w:rPr>
          <w:rFonts w:ascii="Courier New" w:eastAsia="Times New Roman" w:hAnsi="Courier New" w:cs="Courier New"/>
          <w:sz w:val="24"/>
          <w:szCs w:val="24"/>
        </w:rPr>
      </w:pPr>
      <w:r w:rsidRPr="003A2D67">
        <w:rPr>
          <w:rFonts w:ascii="Courier New" w:eastAsia="Times New Roman" w:hAnsi="Courier New"/>
          <w:sz w:val="24"/>
        </w:rPr>
        <w:t>Further, we do not believe that requiring institutions to provide additional information in their certifications would further the objectives of these provisions as the certifications are limited in scope to whether a program meets certain objective minimum standards.  Further, we believe that the D/E rates measure and required disclosures address the commenter’s suggestions</w:t>
      </w:r>
      <w:r>
        <w:rPr>
          <w:rFonts w:ascii="Courier New" w:hAnsi="Courier New" w:cs="Courier New"/>
        </w:rPr>
        <w:t xml:space="preserve">.  </w:t>
      </w:r>
      <w:r>
        <w:rPr>
          <w:rFonts w:ascii="Courier New" w:eastAsia="Times New Roman" w:hAnsi="Courier New" w:cs="Courier New"/>
          <w:sz w:val="24"/>
          <w:szCs w:val="24"/>
        </w:rPr>
        <w:t xml:space="preserve"> </w:t>
      </w:r>
      <w:r w:rsidDel="00C803D6">
        <w:rPr>
          <w:rFonts w:ascii="Courier New" w:eastAsia="Times New Roman" w:hAnsi="Courier New" w:cs="Courier New"/>
          <w:sz w:val="24"/>
          <w:szCs w:val="24"/>
        </w:rPr>
        <w:t xml:space="preserve"> </w:t>
      </w:r>
    </w:p>
    <w:p w14:paraId="67A0D510"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C1090E">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201AC824"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Pr>
          <w:rFonts w:ascii="Courier New" w:hAnsi="Courier New" w:cs="Courier New"/>
          <w:sz w:val="24"/>
          <w:szCs w:val="24"/>
        </w:rPr>
        <w:t xml:space="preserve">  </w:t>
      </w:r>
      <w:r w:rsidRPr="005012DC">
        <w:rPr>
          <w:rFonts w:ascii="Courier New" w:eastAsia="Times New Roman" w:hAnsi="Courier New" w:cs="Courier New"/>
          <w:sz w:val="24"/>
          <w:szCs w:val="24"/>
        </w:rPr>
        <w:t xml:space="preserve">Some commenters made suggestions regarding the Department’s approval of </w:t>
      </w:r>
      <w:r>
        <w:rPr>
          <w:rFonts w:ascii="Courier New" w:eastAsia="Times New Roman" w:hAnsi="Courier New" w:cs="Courier New"/>
          <w:sz w:val="24"/>
          <w:szCs w:val="24"/>
        </w:rPr>
        <w:t xml:space="preserve">institutions’ </w:t>
      </w:r>
      <w:r w:rsidRPr="005012DC">
        <w:rPr>
          <w:rFonts w:ascii="Courier New" w:eastAsia="Times New Roman" w:hAnsi="Courier New" w:cs="Courier New"/>
          <w:sz w:val="24"/>
          <w:szCs w:val="24"/>
        </w:rPr>
        <w:t xml:space="preserve">certifications.  Specifically, one commenter asserted that the Department should give special consideration to whether programs that are significantly longer or require a higher credential than comparable programs should be approved.  </w:t>
      </w:r>
    </w:p>
    <w:p w14:paraId="3E7CD42F" w14:textId="3196317D" w:rsidR="00915790" w:rsidRDefault="00915790" w:rsidP="00915790">
      <w:pPr>
        <w:pStyle w:val="NormalWeb"/>
        <w:spacing w:before="0" w:beforeAutospacing="0" w:after="0" w:afterAutospacing="0" w:line="480" w:lineRule="auto"/>
        <w:rPr>
          <w:rFonts w:ascii="Courier New" w:hAnsi="Courier New" w:cs="Courier New"/>
        </w:rPr>
      </w:pPr>
      <w:r w:rsidRPr="00A10F09">
        <w:rPr>
          <w:rFonts w:ascii="Courier New" w:hAnsi="Courier New" w:cs="Courier New"/>
          <w:u w:val="single"/>
        </w:rPr>
        <w:t>Discussion</w:t>
      </w:r>
      <w:r w:rsidRPr="00A10F09">
        <w:rPr>
          <w:rFonts w:ascii="Courier New" w:hAnsi="Courier New" w:cs="Courier New"/>
        </w:rPr>
        <w:t xml:space="preserve">:  </w:t>
      </w:r>
      <w:r>
        <w:rPr>
          <w:rFonts w:ascii="Courier New" w:hAnsi="Courier New" w:cs="Courier New"/>
        </w:rPr>
        <w:t xml:space="preserve">Because </w:t>
      </w:r>
      <w:r w:rsidRPr="00180DB1">
        <w:rPr>
          <w:rFonts w:ascii="Courier New" w:hAnsi="Courier New" w:cs="Courier New"/>
        </w:rPr>
        <w:t xml:space="preserve">the Department does not review program content, </w:t>
      </w:r>
      <w:r>
        <w:rPr>
          <w:rFonts w:ascii="Courier New" w:hAnsi="Courier New" w:cs="Courier New"/>
        </w:rPr>
        <w:t>it cannot make determinations about the appropriate credential level for a particular program.  With respect to program length, additional requirements are not necessary because existing regulations at §668.14(b)(26) already provide that a program must demonstrate a reasonable relationship between the length of the program and entry</w:t>
      </w:r>
      <w:r w:rsidR="00EF3535">
        <w:rPr>
          <w:rFonts w:ascii="Courier New" w:hAnsi="Courier New" w:cs="Courier New"/>
        </w:rPr>
        <w:t>-</w:t>
      </w:r>
      <w:r>
        <w:rPr>
          <w:rFonts w:ascii="Courier New" w:hAnsi="Courier New" w:cs="Courier New"/>
        </w:rPr>
        <w:t xml:space="preserve">level requirements for employment in the occupation for which the program provides training.  Under §668.14(b)(26), the relationship is considered to be reasonable if the number of clock hours of the program does not exceed by more than 50 percent the minimum number of clock hours required for training that has been established by the State in which the program is located.  Also, where it is unclear whether a program’s length is excessive, the Department may check with the applicable State or accrediting agency to resolve the issue.   </w:t>
      </w:r>
    </w:p>
    <w:p w14:paraId="55E4F760"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A10F09">
        <w:rPr>
          <w:rFonts w:ascii="Courier New" w:hAnsi="Courier New" w:cs="Courier New"/>
          <w:sz w:val="24"/>
          <w:szCs w:val="24"/>
          <w:u w:val="single"/>
        </w:rPr>
        <w:t>Changes</w:t>
      </w:r>
      <w:r w:rsidRPr="00A10F09">
        <w:rPr>
          <w:rFonts w:ascii="Courier New" w:hAnsi="Courier New" w:cs="Courier New"/>
          <w:sz w:val="24"/>
          <w:szCs w:val="24"/>
        </w:rPr>
        <w:t>:  None.</w:t>
      </w:r>
    </w:p>
    <w:p w14:paraId="4BF2F1B8"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Pr>
          <w:rFonts w:ascii="Courier New" w:hAnsi="Courier New" w:cs="Courier New"/>
          <w:sz w:val="24"/>
          <w:szCs w:val="24"/>
        </w:rPr>
        <w:t xml:space="preserve">  </w:t>
      </w:r>
      <w:r w:rsidRPr="005012DC">
        <w:rPr>
          <w:rFonts w:ascii="Courier New" w:eastAsia="Times New Roman" w:hAnsi="Courier New" w:cs="Courier New"/>
          <w:sz w:val="24"/>
          <w:szCs w:val="24"/>
        </w:rPr>
        <w:t xml:space="preserve">Some commenters </w:t>
      </w:r>
      <w:r>
        <w:rPr>
          <w:rFonts w:ascii="Courier New" w:eastAsia="Times New Roman" w:hAnsi="Courier New" w:cs="Courier New"/>
          <w:sz w:val="24"/>
          <w:szCs w:val="24"/>
        </w:rPr>
        <w:t xml:space="preserve">expressed concern that, for new programs, the proposed regulations would require an application only in those </w:t>
      </w:r>
      <w:r w:rsidRPr="005012DC">
        <w:rPr>
          <w:rFonts w:ascii="Courier New" w:eastAsia="Times New Roman" w:hAnsi="Courier New" w:cs="Courier New"/>
          <w:sz w:val="24"/>
          <w:szCs w:val="24"/>
        </w:rPr>
        <w:t xml:space="preserve">instances where </w:t>
      </w:r>
      <w:r>
        <w:rPr>
          <w:rFonts w:ascii="Courier New" w:eastAsia="Times New Roman" w:hAnsi="Courier New" w:cs="Courier New"/>
          <w:sz w:val="24"/>
          <w:szCs w:val="24"/>
        </w:rPr>
        <w:t>the new</w:t>
      </w:r>
      <w:r w:rsidRPr="005012DC">
        <w:rPr>
          <w:rFonts w:ascii="Courier New" w:eastAsia="Times New Roman" w:hAnsi="Courier New" w:cs="Courier New"/>
          <w:sz w:val="24"/>
          <w:szCs w:val="24"/>
        </w:rPr>
        <w:t xml:space="preserve"> program </w:t>
      </w:r>
      <w:r>
        <w:rPr>
          <w:rFonts w:ascii="Courier New" w:eastAsia="Times New Roman" w:hAnsi="Courier New" w:cs="Courier New"/>
          <w:sz w:val="24"/>
          <w:szCs w:val="24"/>
        </w:rPr>
        <w:t>is</w:t>
      </w:r>
      <w:r w:rsidRPr="005012DC">
        <w:rPr>
          <w:rFonts w:ascii="Courier New" w:eastAsia="Times New Roman" w:hAnsi="Courier New" w:cs="Courier New"/>
          <w:sz w:val="24"/>
          <w:szCs w:val="24"/>
        </w:rPr>
        <w:t xml:space="preserve"> the same, or substantially similar to</w:t>
      </w:r>
      <w:r>
        <w:rPr>
          <w:rFonts w:ascii="Courier New" w:eastAsia="Times New Roman" w:hAnsi="Courier New" w:cs="Courier New"/>
          <w:sz w:val="24"/>
          <w:szCs w:val="24"/>
        </w:rPr>
        <w:t>,</w:t>
      </w:r>
      <w:r w:rsidRPr="005012DC">
        <w:rPr>
          <w:rFonts w:ascii="Courier New" w:eastAsia="Times New Roman" w:hAnsi="Courier New" w:cs="Courier New"/>
          <w:sz w:val="24"/>
          <w:szCs w:val="24"/>
        </w:rPr>
        <w:t xml:space="preserve"> a failing or ineligible program offered by the same institution</w:t>
      </w:r>
      <w:r>
        <w:rPr>
          <w:rFonts w:ascii="Courier New" w:eastAsia="Times New Roman" w:hAnsi="Courier New" w:cs="Courier New"/>
          <w:sz w:val="24"/>
          <w:szCs w:val="24"/>
        </w:rPr>
        <w:t xml:space="preserve">.  These commenters noted that </w:t>
      </w:r>
      <w:r w:rsidRPr="005012DC">
        <w:rPr>
          <w:rFonts w:ascii="Courier New" w:eastAsia="Times New Roman" w:hAnsi="Courier New" w:cs="Courier New"/>
          <w:sz w:val="24"/>
          <w:szCs w:val="24"/>
        </w:rPr>
        <w:t xml:space="preserve">an institution could circumvent the </w:t>
      </w:r>
      <w:r>
        <w:rPr>
          <w:rFonts w:ascii="Courier New" w:eastAsia="Times New Roman" w:hAnsi="Courier New" w:cs="Courier New"/>
          <w:sz w:val="24"/>
          <w:szCs w:val="24"/>
        </w:rPr>
        <w:t>certification</w:t>
      </w:r>
      <w:r w:rsidRPr="005012DC">
        <w:rPr>
          <w:rFonts w:ascii="Courier New" w:eastAsia="Times New Roman" w:hAnsi="Courier New" w:cs="Courier New"/>
          <w:sz w:val="24"/>
          <w:szCs w:val="24"/>
        </w:rPr>
        <w:t xml:space="preserve"> process by misrepresenting a new program </w:t>
      </w:r>
      <w:r>
        <w:rPr>
          <w:rFonts w:ascii="Courier New" w:eastAsia="Times New Roman" w:hAnsi="Courier New" w:cs="Courier New"/>
          <w:sz w:val="24"/>
          <w:szCs w:val="24"/>
        </w:rPr>
        <w:t xml:space="preserve">as not </w:t>
      </w:r>
      <w:r w:rsidRPr="005012DC">
        <w:rPr>
          <w:rFonts w:ascii="Courier New" w:eastAsia="Times New Roman" w:hAnsi="Courier New" w:cs="Courier New"/>
          <w:sz w:val="24"/>
          <w:szCs w:val="24"/>
        </w:rPr>
        <w:t>substantially similar to the failing</w:t>
      </w:r>
      <w:r>
        <w:rPr>
          <w:rFonts w:ascii="Courier New" w:eastAsia="Times New Roman" w:hAnsi="Courier New" w:cs="Courier New"/>
          <w:sz w:val="24"/>
          <w:szCs w:val="24"/>
        </w:rPr>
        <w:t>, zone,</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or ineligible </w:t>
      </w:r>
      <w:r w:rsidRPr="005012DC">
        <w:rPr>
          <w:rFonts w:ascii="Courier New" w:eastAsia="Times New Roman" w:hAnsi="Courier New" w:cs="Courier New"/>
          <w:sz w:val="24"/>
          <w:szCs w:val="24"/>
        </w:rPr>
        <w:t xml:space="preserve">program.  </w:t>
      </w:r>
    </w:p>
    <w:p w14:paraId="42300380" w14:textId="7F6F2794" w:rsidR="00915790" w:rsidRPr="004B5C64" w:rsidRDefault="00915790" w:rsidP="00915790">
      <w:pPr>
        <w:shd w:val="clear" w:color="auto" w:fill="FFFFFF"/>
        <w:spacing w:after="0" w:line="480" w:lineRule="auto"/>
        <w:rPr>
          <w:rFonts w:ascii="Courier New" w:hAnsi="Courier New" w:cs="Courier New"/>
          <w:sz w:val="24"/>
          <w:szCs w:val="24"/>
        </w:rPr>
      </w:pPr>
      <w:r w:rsidRPr="00A10F09">
        <w:rPr>
          <w:rFonts w:ascii="Courier New" w:eastAsia="Times New Roman" w:hAnsi="Courier New" w:cs="Courier New"/>
          <w:sz w:val="24"/>
          <w:szCs w:val="24"/>
          <w:u w:val="single"/>
        </w:rPr>
        <w:t>Discussion</w:t>
      </w:r>
      <w:r w:rsidRPr="00A10F0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An i</w:t>
      </w:r>
      <w:r w:rsidRPr="00A10F09">
        <w:rPr>
          <w:rFonts w:ascii="Courier New" w:eastAsia="Times New Roman" w:hAnsi="Courier New" w:cs="Courier New"/>
          <w:sz w:val="24"/>
          <w:szCs w:val="24"/>
        </w:rPr>
        <w:t xml:space="preserve">nstitution that </w:t>
      </w:r>
      <w:r>
        <w:rPr>
          <w:rFonts w:ascii="Courier New" w:eastAsia="Times New Roman" w:hAnsi="Courier New" w:cs="Courier New"/>
          <w:sz w:val="24"/>
          <w:szCs w:val="24"/>
        </w:rPr>
        <w:t xml:space="preserve">offered </w:t>
      </w:r>
      <w:r w:rsidRPr="00A10F09">
        <w:rPr>
          <w:rFonts w:ascii="Courier New" w:eastAsia="Times New Roman" w:hAnsi="Courier New" w:cs="Courier New"/>
          <w:sz w:val="24"/>
          <w:szCs w:val="24"/>
        </w:rPr>
        <w:t xml:space="preserve">a program </w:t>
      </w:r>
      <w:r>
        <w:rPr>
          <w:rFonts w:ascii="Courier New" w:eastAsia="Times New Roman" w:hAnsi="Courier New" w:cs="Courier New"/>
          <w:sz w:val="24"/>
          <w:szCs w:val="24"/>
        </w:rPr>
        <w:t xml:space="preserve">that </w:t>
      </w:r>
      <w:r w:rsidRPr="00A10F09">
        <w:rPr>
          <w:rFonts w:ascii="Courier New" w:eastAsia="Times New Roman" w:hAnsi="Courier New" w:cs="Courier New"/>
          <w:sz w:val="24"/>
          <w:szCs w:val="24"/>
        </w:rPr>
        <w:t>los</w:t>
      </w:r>
      <w:r>
        <w:rPr>
          <w:rFonts w:ascii="Courier New" w:eastAsia="Times New Roman" w:hAnsi="Courier New" w:cs="Courier New"/>
          <w:sz w:val="24"/>
          <w:szCs w:val="24"/>
        </w:rPr>
        <w:t>t</w:t>
      </w:r>
      <w:r w:rsidRPr="00A10F09">
        <w:rPr>
          <w:rFonts w:ascii="Courier New" w:eastAsia="Times New Roman" w:hAnsi="Courier New" w:cs="Courier New"/>
          <w:sz w:val="24"/>
          <w:szCs w:val="24"/>
        </w:rPr>
        <w:t xml:space="preserve"> eligibility, </w:t>
      </w:r>
      <w:r>
        <w:rPr>
          <w:rFonts w:ascii="Courier New" w:eastAsia="Times New Roman" w:hAnsi="Courier New" w:cs="Courier New"/>
          <w:sz w:val="24"/>
          <w:szCs w:val="24"/>
        </w:rPr>
        <w:t>or that voluntarily discontinued</w:t>
      </w:r>
      <w:r w:rsidRPr="00A10F09">
        <w:rPr>
          <w:rFonts w:ascii="Courier New" w:eastAsia="Times New Roman" w:hAnsi="Courier New" w:cs="Courier New"/>
          <w:sz w:val="24"/>
          <w:szCs w:val="24"/>
        </w:rPr>
        <w:t xml:space="preserve"> a program when it was failing </w:t>
      </w:r>
      <w:r>
        <w:rPr>
          <w:rFonts w:ascii="Courier New" w:eastAsia="Times New Roman" w:hAnsi="Courier New" w:cs="Courier New"/>
          <w:sz w:val="24"/>
          <w:szCs w:val="24"/>
        </w:rPr>
        <w:t xml:space="preserve">or in the zone under </w:t>
      </w:r>
      <w:r w:rsidRPr="00A10F09">
        <w:rPr>
          <w:rFonts w:ascii="Courier New" w:eastAsia="Times New Roman" w:hAnsi="Courier New" w:cs="Courier New"/>
          <w:sz w:val="24"/>
          <w:szCs w:val="24"/>
        </w:rPr>
        <w:t xml:space="preserve">the </w:t>
      </w:r>
      <w:r>
        <w:rPr>
          <w:rFonts w:ascii="Courier New" w:eastAsia="Times New Roman" w:hAnsi="Courier New" w:cs="Courier New"/>
          <w:sz w:val="24"/>
          <w:szCs w:val="24"/>
        </w:rPr>
        <w:t xml:space="preserve">D/E rates </w:t>
      </w:r>
      <w:r w:rsidRPr="00A10F09">
        <w:rPr>
          <w:rFonts w:ascii="Courier New" w:eastAsia="Times New Roman" w:hAnsi="Courier New" w:cs="Courier New"/>
          <w:sz w:val="24"/>
          <w:szCs w:val="24"/>
        </w:rPr>
        <w:t>measure, may not offer a new program that is substantially similar to the ineligible</w:t>
      </w:r>
      <w:r>
        <w:rPr>
          <w:rFonts w:ascii="Courier New" w:eastAsia="Times New Roman" w:hAnsi="Courier New" w:cs="Courier New"/>
          <w:sz w:val="24"/>
          <w:szCs w:val="24"/>
        </w:rPr>
        <w:t>, zone,</w:t>
      </w:r>
      <w:r w:rsidRPr="00A10F09">
        <w:rPr>
          <w:rFonts w:ascii="Courier New" w:eastAsia="Times New Roman" w:hAnsi="Courier New" w:cs="Courier New"/>
          <w:sz w:val="24"/>
          <w:szCs w:val="24"/>
        </w:rPr>
        <w:t xml:space="preserve"> or discontinued program for three years.  </w:t>
      </w:r>
      <w:r w:rsidR="00254B67">
        <w:rPr>
          <w:rFonts w:ascii="Courier New" w:eastAsia="Times New Roman" w:hAnsi="Courier New" w:cs="Courier New"/>
          <w:sz w:val="24"/>
          <w:szCs w:val="24"/>
        </w:rPr>
        <w:t xml:space="preserve">We recognize the possibility that some institutions might make minor changes to a program and represent that the new program </w:t>
      </w:r>
      <w:r w:rsidR="00EF3535">
        <w:rPr>
          <w:rFonts w:ascii="Courier New" w:eastAsia="Times New Roman" w:hAnsi="Courier New" w:cs="Courier New"/>
          <w:sz w:val="24"/>
          <w:szCs w:val="24"/>
        </w:rPr>
        <w:t>is</w:t>
      </w:r>
      <w:r w:rsidR="00254B67">
        <w:rPr>
          <w:rFonts w:ascii="Courier New" w:eastAsia="Times New Roman" w:hAnsi="Courier New" w:cs="Courier New"/>
          <w:sz w:val="24"/>
          <w:szCs w:val="24"/>
        </w:rPr>
        <w:t xml:space="preserve"> not substantially similar to its predecessor.  </w:t>
      </w:r>
      <w:r>
        <w:rPr>
          <w:rFonts w:ascii="Courier New" w:eastAsia="Times New Roman" w:hAnsi="Courier New" w:cs="Courier New"/>
          <w:sz w:val="24"/>
          <w:szCs w:val="24"/>
        </w:rPr>
        <w:t xml:space="preserve">To address the commenter’s concern, we </w:t>
      </w:r>
      <w:r w:rsidR="006C056E">
        <w:rPr>
          <w:rFonts w:ascii="Courier New" w:eastAsia="Times New Roman" w:hAnsi="Courier New" w:cs="Courier New"/>
          <w:sz w:val="24"/>
          <w:szCs w:val="24"/>
        </w:rPr>
        <w:t xml:space="preserve">are </w:t>
      </w:r>
      <w:r w:rsidR="00500BF4" w:rsidRPr="004B5C64">
        <w:rPr>
          <w:rFonts w:ascii="Courier New" w:eastAsia="Times New Roman" w:hAnsi="Courier New"/>
          <w:sz w:val="24"/>
        </w:rPr>
        <w:t>removing the definition of “substantially similar</w:t>
      </w:r>
      <w:r w:rsidR="00500BF4" w:rsidRPr="004B5C64">
        <w:rPr>
          <w:rFonts w:ascii="Courier New" w:eastAsia="Times New Roman" w:hAnsi="Courier New" w:cs="Courier New"/>
          <w:sz w:val="24"/>
          <w:szCs w:val="24"/>
        </w:rPr>
        <w:t xml:space="preserve">” from the definition of CIP code, and establishing in §668.410 that </w:t>
      </w:r>
      <w:r w:rsidR="006C056E">
        <w:rPr>
          <w:rFonts w:ascii="Courier New" w:eastAsia="Times New Roman" w:hAnsi="Courier New" w:cs="Courier New"/>
          <w:sz w:val="24"/>
          <w:szCs w:val="24"/>
        </w:rPr>
        <w:t xml:space="preserve">two programs are substantially similar if they share a four-digit CIP code.  </w:t>
      </w:r>
      <w:r w:rsidR="00254B67">
        <w:rPr>
          <w:rFonts w:ascii="Courier New" w:eastAsia="Times New Roman" w:hAnsi="Courier New" w:cs="Courier New"/>
          <w:sz w:val="24"/>
          <w:szCs w:val="24"/>
        </w:rPr>
        <w:t>We believe that precluding</w:t>
      </w:r>
      <w:r w:rsidR="00385731">
        <w:rPr>
          <w:rFonts w:ascii="Courier New" w:eastAsia="Times New Roman" w:hAnsi="Courier New" w:cs="Courier New"/>
          <w:sz w:val="24"/>
          <w:szCs w:val="24"/>
        </w:rPr>
        <w:t xml:space="preserve"> institutions from establishing</w:t>
      </w:r>
      <w:r w:rsidR="00254B67">
        <w:rPr>
          <w:rFonts w:ascii="Courier New" w:eastAsia="Times New Roman" w:hAnsi="Courier New" w:cs="Courier New"/>
          <w:sz w:val="24"/>
          <w:szCs w:val="24"/>
        </w:rPr>
        <w:t xml:space="preserve"> new programs within the same four-digit CIP code will </w:t>
      </w:r>
      <w:r w:rsidR="00EF3535">
        <w:rPr>
          <w:rFonts w:ascii="Courier New" w:eastAsia="Times New Roman" w:hAnsi="Courier New" w:cs="Courier New"/>
          <w:sz w:val="24"/>
          <w:szCs w:val="24"/>
        </w:rPr>
        <w:t>deter institutions from</w:t>
      </w:r>
      <w:r w:rsidR="00385731">
        <w:rPr>
          <w:rFonts w:ascii="Courier New" w:eastAsia="Times New Roman" w:hAnsi="Courier New" w:cs="Courier New"/>
          <w:sz w:val="24"/>
          <w:szCs w:val="24"/>
        </w:rPr>
        <w:t xml:space="preserve"> </w:t>
      </w:r>
      <w:r w:rsidR="00F51C1B">
        <w:rPr>
          <w:rFonts w:ascii="Courier New" w:eastAsia="Times New Roman" w:hAnsi="Courier New" w:cs="Courier New"/>
          <w:sz w:val="24"/>
          <w:szCs w:val="24"/>
        </w:rPr>
        <w:t xml:space="preserve">making small changes to a program </w:t>
      </w:r>
      <w:r w:rsidR="00EF3535">
        <w:rPr>
          <w:rFonts w:ascii="Courier New" w:eastAsia="Times New Roman" w:hAnsi="Courier New" w:cs="Courier New"/>
          <w:sz w:val="24"/>
          <w:szCs w:val="24"/>
        </w:rPr>
        <w:t>solely for the purpose of</w:t>
      </w:r>
      <w:r w:rsidR="00F51C1B">
        <w:rPr>
          <w:rFonts w:ascii="Courier New" w:eastAsia="Times New Roman" w:hAnsi="Courier New" w:cs="Courier New"/>
          <w:sz w:val="24"/>
          <w:szCs w:val="24"/>
        </w:rPr>
        <w:t xml:space="preserve"> represent</w:t>
      </w:r>
      <w:r w:rsidR="00EF3535">
        <w:rPr>
          <w:rFonts w:ascii="Courier New" w:eastAsia="Times New Roman" w:hAnsi="Courier New" w:cs="Courier New"/>
          <w:sz w:val="24"/>
          <w:szCs w:val="24"/>
        </w:rPr>
        <w:t>ing that the new</w:t>
      </w:r>
      <w:r w:rsidR="00F51C1B">
        <w:rPr>
          <w:rFonts w:ascii="Courier New" w:eastAsia="Times New Roman" w:hAnsi="Courier New" w:cs="Courier New"/>
          <w:sz w:val="24"/>
          <w:szCs w:val="24"/>
        </w:rPr>
        <w:t xml:space="preserve"> </w:t>
      </w:r>
      <w:r w:rsidR="00EF3535">
        <w:rPr>
          <w:rFonts w:ascii="Courier New" w:eastAsia="Times New Roman" w:hAnsi="Courier New" w:cs="Courier New"/>
          <w:sz w:val="24"/>
          <w:szCs w:val="24"/>
        </w:rPr>
        <w:t>program</w:t>
      </w:r>
      <w:r w:rsidR="00F51C1B">
        <w:rPr>
          <w:rFonts w:ascii="Courier New" w:eastAsia="Times New Roman" w:hAnsi="Courier New" w:cs="Courier New"/>
          <w:sz w:val="24"/>
          <w:szCs w:val="24"/>
        </w:rPr>
        <w:t xml:space="preserve"> is not substantially similar to the discontinued program</w:t>
      </w:r>
      <w:r w:rsidR="00254B67">
        <w:rPr>
          <w:rFonts w:ascii="Courier New" w:eastAsia="Times New Roman" w:hAnsi="Courier New" w:cs="Courier New"/>
          <w:sz w:val="24"/>
          <w:szCs w:val="24"/>
        </w:rPr>
        <w:t xml:space="preserve">, </w:t>
      </w:r>
      <w:r w:rsidR="00EF3535">
        <w:rPr>
          <w:rFonts w:ascii="Courier New" w:eastAsia="Times New Roman" w:hAnsi="Courier New" w:cs="Courier New"/>
          <w:sz w:val="24"/>
          <w:szCs w:val="24"/>
        </w:rPr>
        <w:t>other than</w:t>
      </w:r>
      <w:r w:rsidR="00254B67">
        <w:rPr>
          <w:rFonts w:ascii="Courier New" w:eastAsia="Times New Roman" w:hAnsi="Courier New" w:cs="Courier New"/>
          <w:sz w:val="24"/>
          <w:szCs w:val="24"/>
        </w:rPr>
        <w:t xml:space="preserve"> </w:t>
      </w:r>
      <w:r w:rsidR="00EF3535">
        <w:rPr>
          <w:rFonts w:ascii="Courier New" w:eastAsia="Times New Roman" w:hAnsi="Courier New" w:cs="Courier New"/>
          <w:sz w:val="24"/>
          <w:szCs w:val="24"/>
        </w:rPr>
        <w:t>in</w:t>
      </w:r>
      <w:r w:rsidR="00254B67">
        <w:rPr>
          <w:rFonts w:ascii="Courier New" w:eastAsia="Times New Roman" w:hAnsi="Courier New" w:cs="Courier New"/>
          <w:sz w:val="24"/>
          <w:szCs w:val="24"/>
        </w:rPr>
        <w:t xml:space="preserve"> instances</w:t>
      </w:r>
      <w:r w:rsidR="00254B67" w:rsidDel="00EF3535">
        <w:rPr>
          <w:rFonts w:ascii="Courier New" w:eastAsia="Times New Roman" w:hAnsi="Courier New" w:cs="Courier New"/>
          <w:sz w:val="24"/>
          <w:szCs w:val="24"/>
        </w:rPr>
        <w:t xml:space="preserve"> </w:t>
      </w:r>
      <w:r w:rsidR="00254B67">
        <w:rPr>
          <w:rFonts w:ascii="Courier New" w:eastAsia="Times New Roman" w:hAnsi="Courier New" w:cs="Courier New"/>
          <w:sz w:val="24"/>
          <w:szCs w:val="24"/>
        </w:rPr>
        <w:t xml:space="preserve">where </w:t>
      </w:r>
      <w:r w:rsidR="00EF3535">
        <w:rPr>
          <w:rFonts w:ascii="Courier New" w:eastAsia="Times New Roman" w:hAnsi="Courier New" w:cs="Courier New"/>
          <w:sz w:val="24"/>
          <w:szCs w:val="24"/>
        </w:rPr>
        <w:t>a</w:t>
      </w:r>
      <w:r w:rsidR="00254B67">
        <w:rPr>
          <w:rFonts w:ascii="Courier New" w:eastAsia="Times New Roman" w:hAnsi="Courier New" w:cs="Courier New"/>
          <w:sz w:val="24"/>
          <w:szCs w:val="24"/>
        </w:rPr>
        <w:t xml:space="preserve"> program could be associated with a range of CIP codes</w:t>
      </w:r>
      <w:r w:rsidR="00EF3535">
        <w:rPr>
          <w:rFonts w:ascii="Courier New" w:eastAsia="Times New Roman" w:hAnsi="Courier New" w:cs="Courier New"/>
          <w:sz w:val="24"/>
          <w:szCs w:val="24"/>
        </w:rPr>
        <w:t>, as suggested by the commenters</w:t>
      </w:r>
      <w:r w:rsidR="00254B67">
        <w:rPr>
          <w:rFonts w:ascii="Courier New" w:eastAsia="Times New Roman" w:hAnsi="Courier New" w:cs="Courier New"/>
          <w:sz w:val="24"/>
          <w:szCs w:val="24"/>
        </w:rPr>
        <w:t>.</w:t>
      </w:r>
      <w:r w:rsidR="00385731">
        <w:rPr>
          <w:rFonts w:ascii="Courier New" w:eastAsia="Times New Roman" w:hAnsi="Courier New" w:cs="Courier New"/>
          <w:sz w:val="24"/>
          <w:szCs w:val="24"/>
        </w:rPr>
        <w:t xml:space="preserve">  </w:t>
      </w:r>
      <w:r w:rsidR="00254B67">
        <w:rPr>
          <w:rFonts w:ascii="Courier New" w:eastAsia="Times New Roman" w:hAnsi="Courier New" w:cs="Courier New"/>
          <w:sz w:val="24"/>
          <w:szCs w:val="24"/>
        </w:rPr>
        <w:t xml:space="preserve">To address this concern that a similar program could be established using a different four-digit CIP code, </w:t>
      </w:r>
      <w:r w:rsidR="00EB7130">
        <w:rPr>
          <w:rFonts w:ascii="Courier New" w:eastAsia="Times New Roman" w:hAnsi="Courier New" w:cs="Courier New"/>
          <w:sz w:val="24"/>
          <w:szCs w:val="24"/>
        </w:rPr>
        <w:t xml:space="preserve">we are revising §668.414(d)(4) to require </w:t>
      </w:r>
      <w:r w:rsidR="00254B67">
        <w:rPr>
          <w:rFonts w:ascii="Courier New" w:eastAsia="Times New Roman" w:hAnsi="Courier New" w:cs="Courier New"/>
          <w:sz w:val="24"/>
          <w:szCs w:val="24"/>
        </w:rPr>
        <w:t>an</w:t>
      </w:r>
      <w:r w:rsidR="006C056E">
        <w:rPr>
          <w:rFonts w:ascii="Courier New" w:eastAsia="Times New Roman" w:hAnsi="Courier New" w:cs="Courier New"/>
          <w:sz w:val="24"/>
          <w:szCs w:val="24"/>
        </w:rPr>
        <w:t xml:space="preserve"> institution that is establishing a new program </w:t>
      </w:r>
      <w:r w:rsidR="00EB7130">
        <w:rPr>
          <w:rFonts w:ascii="Courier New" w:eastAsia="Times New Roman" w:hAnsi="Courier New" w:cs="Courier New"/>
          <w:sz w:val="24"/>
          <w:szCs w:val="24"/>
        </w:rPr>
        <w:t>to</w:t>
      </w:r>
      <w:r w:rsidR="00095353" w:rsidDel="006C056E">
        <w:rPr>
          <w:rFonts w:ascii="Courier New" w:eastAsia="Times New Roman" w:hAnsi="Courier New" w:cs="Courier New"/>
          <w:sz w:val="24"/>
          <w:szCs w:val="24"/>
        </w:rPr>
        <w:t xml:space="preserve"> </w:t>
      </w:r>
      <w:r w:rsidR="00095353">
        <w:rPr>
          <w:rFonts w:ascii="Courier New" w:eastAsia="Times New Roman" w:hAnsi="Courier New" w:cs="Courier New"/>
          <w:sz w:val="24"/>
          <w:szCs w:val="24"/>
        </w:rPr>
        <w:t xml:space="preserve">explain </w:t>
      </w:r>
      <w:r w:rsidR="006C056E">
        <w:rPr>
          <w:rFonts w:ascii="Courier New" w:eastAsia="Times New Roman" w:hAnsi="Courier New" w:cs="Courier New"/>
          <w:sz w:val="24"/>
          <w:szCs w:val="24"/>
        </w:rPr>
        <w:t>in the program certification</w:t>
      </w:r>
      <w:r w:rsidR="00095353">
        <w:rPr>
          <w:rFonts w:ascii="Courier New" w:eastAsia="Times New Roman" w:hAnsi="Courier New" w:cs="Courier New"/>
          <w:sz w:val="24"/>
          <w:szCs w:val="24"/>
        </w:rPr>
        <w:t xml:space="preserve"> </w:t>
      </w:r>
      <w:r w:rsidR="00587D8C">
        <w:rPr>
          <w:rFonts w:ascii="Courier New" w:eastAsia="Times New Roman" w:hAnsi="Courier New" w:cs="Courier New"/>
          <w:sz w:val="24"/>
          <w:szCs w:val="24"/>
        </w:rPr>
        <w:t>that is submitted to the Department</w:t>
      </w:r>
      <w:r w:rsidR="00095353">
        <w:rPr>
          <w:rFonts w:ascii="Courier New" w:eastAsia="Times New Roman" w:hAnsi="Courier New" w:cs="Courier New"/>
          <w:sz w:val="24"/>
          <w:szCs w:val="24"/>
        </w:rPr>
        <w:t xml:space="preserve"> how the new program </w:t>
      </w:r>
      <w:r w:rsidR="005A549F">
        <w:rPr>
          <w:rFonts w:ascii="Courier New" w:eastAsia="Times New Roman" w:hAnsi="Courier New" w:cs="Courier New"/>
          <w:sz w:val="24"/>
          <w:szCs w:val="24"/>
        </w:rPr>
        <w:t xml:space="preserve">is </w:t>
      </w:r>
      <w:r w:rsidR="00095353">
        <w:rPr>
          <w:rFonts w:ascii="Courier New" w:eastAsia="Times New Roman" w:hAnsi="Courier New" w:cs="Courier New"/>
          <w:sz w:val="24"/>
          <w:szCs w:val="24"/>
        </w:rPr>
        <w:t xml:space="preserve">different from </w:t>
      </w:r>
      <w:r w:rsidR="005A549F">
        <w:rPr>
          <w:rFonts w:ascii="Courier New" w:eastAsia="Times New Roman" w:hAnsi="Courier New" w:cs="Courier New"/>
          <w:sz w:val="24"/>
          <w:szCs w:val="24"/>
        </w:rPr>
        <w:t>any</w:t>
      </w:r>
      <w:r w:rsidRPr="00A10F09">
        <w:rPr>
          <w:rFonts w:ascii="Courier New" w:eastAsia="Times New Roman" w:hAnsi="Courier New" w:cs="Courier New"/>
          <w:sz w:val="24"/>
          <w:szCs w:val="24"/>
        </w:rPr>
        <w:t xml:space="preserve"> program </w:t>
      </w:r>
      <w:r>
        <w:rPr>
          <w:rFonts w:ascii="Courier New" w:eastAsia="Times New Roman" w:hAnsi="Courier New" w:cs="Courier New"/>
          <w:sz w:val="24"/>
          <w:szCs w:val="24"/>
        </w:rPr>
        <w:t xml:space="preserve">the </w:t>
      </w:r>
      <w:r w:rsidR="005A549F">
        <w:rPr>
          <w:rFonts w:ascii="Courier New" w:eastAsia="Times New Roman" w:hAnsi="Courier New" w:cs="Courier New"/>
          <w:sz w:val="24"/>
          <w:szCs w:val="24"/>
        </w:rPr>
        <w:t xml:space="preserve">institution offered </w:t>
      </w:r>
      <w:r w:rsidRPr="00A10F09">
        <w:rPr>
          <w:rFonts w:ascii="Courier New" w:eastAsia="Times New Roman" w:hAnsi="Courier New" w:cs="Courier New"/>
          <w:sz w:val="24"/>
          <w:szCs w:val="24"/>
        </w:rPr>
        <w:t>that</w:t>
      </w:r>
      <w:r w:rsidR="00F51C1B">
        <w:rPr>
          <w:rFonts w:ascii="Courier New" w:eastAsia="Times New Roman" w:hAnsi="Courier New" w:cs="Courier New"/>
          <w:sz w:val="24"/>
          <w:szCs w:val="24"/>
        </w:rPr>
        <w:t xml:space="preserve"> </w:t>
      </w:r>
      <w:r w:rsidRPr="00A10F09">
        <w:rPr>
          <w:rFonts w:ascii="Courier New" w:eastAsia="Times New Roman" w:hAnsi="Courier New" w:cs="Courier New"/>
          <w:sz w:val="24"/>
          <w:szCs w:val="24"/>
        </w:rPr>
        <w:t>became ineligible or was voluntarily discontinued</w:t>
      </w:r>
      <w:r w:rsidR="00095353">
        <w:rPr>
          <w:rFonts w:ascii="Courier New" w:eastAsia="Times New Roman" w:hAnsi="Courier New" w:cs="Courier New"/>
          <w:sz w:val="24"/>
          <w:szCs w:val="24"/>
        </w:rPr>
        <w:t xml:space="preserve"> within the previous three years</w:t>
      </w:r>
      <w:r w:rsidRPr="004B5C64">
        <w:rPr>
          <w:rFonts w:ascii="Courier New" w:eastAsia="Times New Roman" w:hAnsi="Courier New"/>
          <w:sz w:val="24"/>
        </w:rPr>
        <w:t xml:space="preserve">.  </w:t>
      </w:r>
      <w:r w:rsidR="00863594">
        <w:rPr>
          <w:rFonts w:ascii="Courier New" w:eastAsia="Times New Roman" w:hAnsi="Courier New"/>
          <w:sz w:val="24"/>
        </w:rPr>
        <w:t>The institution must also identify a CIP code for the new program.</w:t>
      </w:r>
      <w:r w:rsidDel="00C63DA3">
        <w:rPr>
          <w:rFonts w:ascii="Courier New" w:eastAsia="Times New Roman" w:hAnsi="Courier New"/>
          <w:sz w:val="24"/>
        </w:rPr>
        <w:t xml:space="preserve">  </w:t>
      </w:r>
      <w:r w:rsidR="00396464">
        <w:rPr>
          <w:rFonts w:ascii="Courier New" w:eastAsia="Times New Roman" w:hAnsi="Courier New"/>
          <w:sz w:val="24"/>
        </w:rPr>
        <w:t>We will presume that a new program is not substantially similar to the ineligible or discontinued program if it does not share a four</w:t>
      </w:r>
      <w:r w:rsidR="00863594">
        <w:rPr>
          <w:rFonts w:ascii="Courier New" w:eastAsia="Times New Roman" w:hAnsi="Courier New"/>
          <w:sz w:val="24"/>
        </w:rPr>
        <w:t>-</w:t>
      </w:r>
      <w:r w:rsidR="00396464">
        <w:rPr>
          <w:rFonts w:ascii="Courier New" w:eastAsia="Times New Roman" w:hAnsi="Courier New"/>
          <w:sz w:val="24"/>
        </w:rPr>
        <w:t>digit CIP code with the other program.  The certification and explanation reported by the institution may be reviewed on a case</w:t>
      </w:r>
      <w:r w:rsidR="00863594">
        <w:rPr>
          <w:rFonts w:ascii="Courier New" w:eastAsia="Times New Roman" w:hAnsi="Courier New"/>
          <w:sz w:val="24"/>
        </w:rPr>
        <w:t>-</w:t>
      </w:r>
      <w:r w:rsidR="00396464">
        <w:rPr>
          <w:rFonts w:ascii="Courier New" w:eastAsia="Times New Roman" w:hAnsi="Courier New"/>
          <w:sz w:val="24"/>
        </w:rPr>
        <w:t>by</w:t>
      </w:r>
      <w:r w:rsidR="00863594">
        <w:rPr>
          <w:rFonts w:ascii="Courier New" w:eastAsia="Times New Roman" w:hAnsi="Courier New"/>
          <w:sz w:val="24"/>
        </w:rPr>
        <w:t>-</w:t>
      </w:r>
      <w:r w:rsidR="00396464">
        <w:rPr>
          <w:rFonts w:ascii="Courier New" w:eastAsia="Times New Roman" w:hAnsi="Courier New"/>
          <w:sz w:val="24"/>
        </w:rPr>
        <w:t>case basis to determine if the two programs are not substantially similar.</w:t>
      </w:r>
      <w:r w:rsidR="00396464" w:rsidDel="00863594">
        <w:rPr>
          <w:rFonts w:ascii="Courier New" w:eastAsia="Times New Roman" w:hAnsi="Courier New"/>
          <w:sz w:val="24"/>
        </w:rPr>
        <w:t xml:space="preserve"> </w:t>
      </w:r>
      <w:r w:rsidR="00396464">
        <w:rPr>
          <w:rFonts w:ascii="Courier New" w:eastAsia="Times New Roman" w:hAnsi="Courier New"/>
          <w:sz w:val="24"/>
        </w:rPr>
        <w:t xml:space="preserve"> </w:t>
      </w:r>
      <w:r w:rsidRPr="004B5C64">
        <w:rPr>
          <w:rFonts w:ascii="Courier New" w:hAnsi="Courier New" w:cs="Courier New"/>
          <w:sz w:val="24"/>
          <w:szCs w:val="24"/>
        </w:rPr>
        <w:t xml:space="preserve">A program established in contravention of these provisions would be considered ineligible and the institution would be required to return the title IV, HEA program funds received for that program.  </w:t>
      </w:r>
    </w:p>
    <w:p w14:paraId="47030F4E" w14:textId="270075E1" w:rsidR="00915790" w:rsidRPr="006E6E47" w:rsidRDefault="00915790" w:rsidP="00915790">
      <w:pPr>
        <w:shd w:val="clear" w:color="auto" w:fill="FFFFFF"/>
        <w:spacing w:after="0" w:line="480" w:lineRule="auto"/>
        <w:ind w:firstLine="720"/>
        <w:rPr>
          <w:rFonts w:ascii="Courier New" w:eastAsia="Times New Roman" w:hAnsi="Courier New" w:cs="Courier New"/>
          <w:sz w:val="24"/>
          <w:szCs w:val="24"/>
          <w:highlight w:val="yellow"/>
        </w:rPr>
      </w:pPr>
      <w:r w:rsidRPr="004B5C64">
        <w:rPr>
          <w:rFonts w:ascii="Courier New" w:hAnsi="Courier New" w:cs="Courier New"/>
          <w:sz w:val="24"/>
          <w:szCs w:val="24"/>
        </w:rPr>
        <w:t xml:space="preserve">We believe that these changes will make it more difficult for an institution to </w:t>
      </w:r>
      <w:r w:rsidR="00DF04B8">
        <w:rPr>
          <w:rFonts w:ascii="Courier New" w:hAnsi="Courier New" w:cs="Courier New"/>
          <w:sz w:val="24"/>
          <w:szCs w:val="24"/>
        </w:rPr>
        <w:t xml:space="preserve">continue to offer the same, or a similar program </w:t>
      </w:r>
      <w:r w:rsidR="00385731">
        <w:rPr>
          <w:rFonts w:ascii="Courier New" w:hAnsi="Courier New" w:cs="Courier New"/>
          <w:sz w:val="24"/>
          <w:szCs w:val="24"/>
        </w:rPr>
        <w:t>and</w:t>
      </w:r>
      <w:r w:rsidR="00DF04B8">
        <w:rPr>
          <w:rFonts w:ascii="Courier New" w:hAnsi="Courier New" w:cs="Courier New"/>
          <w:sz w:val="24"/>
          <w:szCs w:val="24"/>
        </w:rPr>
        <w:t xml:space="preserve"> claim that it is not substantially similar to an ineligible or discontinued program, </w:t>
      </w:r>
      <w:r w:rsidRPr="004B5C64">
        <w:rPr>
          <w:rFonts w:ascii="Courier New" w:hAnsi="Courier New" w:cs="Courier New"/>
          <w:sz w:val="24"/>
          <w:szCs w:val="24"/>
        </w:rPr>
        <w:t>while</w:t>
      </w:r>
      <w:r w:rsidRPr="004B5C64" w:rsidDel="00EB1A0C">
        <w:rPr>
          <w:rFonts w:ascii="Courier New" w:hAnsi="Courier New" w:cs="Courier New"/>
          <w:sz w:val="24"/>
          <w:szCs w:val="24"/>
        </w:rPr>
        <w:t xml:space="preserve"> </w:t>
      </w:r>
      <w:r w:rsidR="00987A81">
        <w:rPr>
          <w:rFonts w:ascii="Courier New" w:hAnsi="Courier New" w:cs="Courier New"/>
          <w:sz w:val="24"/>
          <w:szCs w:val="24"/>
        </w:rPr>
        <w:t xml:space="preserve">allowing an </w:t>
      </w:r>
      <w:r w:rsidRPr="004B5C64">
        <w:rPr>
          <w:rFonts w:ascii="Courier New" w:hAnsi="Courier New" w:cs="Courier New"/>
          <w:sz w:val="24"/>
          <w:szCs w:val="24"/>
        </w:rPr>
        <w:t>institution</w:t>
      </w:r>
      <w:r w:rsidR="00987A81" w:rsidDel="00863594">
        <w:rPr>
          <w:rFonts w:ascii="Courier New" w:hAnsi="Courier New" w:cs="Courier New"/>
          <w:sz w:val="24"/>
          <w:szCs w:val="24"/>
        </w:rPr>
        <w:t xml:space="preserve"> </w:t>
      </w:r>
      <w:r w:rsidR="00987A81">
        <w:rPr>
          <w:rFonts w:ascii="Courier New" w:hAnsi="Courier New" w:cs="Courier New"/>
          <w:sz w:val="24"/>
          <w:szCs w:val="24"/>
        </w:rPr>
        <w:t>to</w:t>
      </w:r>
      <w:r w:rsidR="00EB1A0C">
        <w:rPr>
          <w:rFonts w:ascii="Courier New" w:hAnsi="Courier New" w:cs="Courier New"/>
          <w:sz w:val="24"/>
          <w:szCs w:val="24"/>
        </w:rPr>
        <w:t xml:space="preserve"> establish new programs in different areas that may better serve their students</w:t>
      </w:r>
      <w:r w:rsidRPr="004B5C64">
        <w:rPr>
          <w:rFonts w:ascii="Courier New" w:hAnsi="Courier New" w:cs="Courier New"/>
          <w:sz w:val="24"/>
          <w:szCs w:val="24"/>
        </w:rPr>
        <w:t>.</w:t>
      </w:r>
      <w:r>
        <w:rPr>
          <w:rFonts w:ascii="Courier New" w:hAnsi="Courier New" w:cs="Courier New"/>
          <w:sz w:val="24"/>
          <w:szCs w:val="24"/>
        </w:rPr>
        <w:t xml:space="preserve">    </w:t>
      </w:r>
    </w:p>
    <w:p w14:paraId="5B6EF9F4" w14:textId="0B71A29A" w:rsidR="00915790" w:rsidRPr="005012DC" w:rsidRDefault="00915790" w:rsidP="00915790">
      <w:pPr>
        <w:shd w:val="clear" w:color="auto" w:fill="FFFFFF"/>
        <w:spacing w:after="0" w:line="480" w:lineRule="auto"/>
        <w:rPr>
          <w:rFonts w:ascii="Courier New" w:eastAsia="Times New Roman" w:hAnsi="Courier New" w:cs="Courier New"/>
          <w:sz w:val="24"/>
          <w:szCs w:val="24"/>
          <w:highlight w:val="yellow"/>
        </w:rPr>
      </w:pPr>
      <w:r w:rsidRPr="00C346FE">
        <w:rPr>
          <w:rFonts w:ascii="Courier New" w:hAnsi="Courier New"/>
          <w:sz w:val="24"/>
          <w:szCs w:val="24"/>
          <w:u w:val="single"/>
        </w:rPr>
        <w:t>Changes</w:t>
      </w:r>
      <w:r w:rsidRPr="00C346FE">
        <w:rPr>
          <w:rFonts w:ascii="Courier New" w:hAnsi="Courier New"/>
          <w:sz w:val="24"/>
          <w:szCs w:val="24"/>
        </w:rPr>
        <w:t>:</w:t>
      </w:r>
      <w:r>
        <w:rPr>
          <w:rFonts w:ascii="Courier New" w:hAnsi="Courier New"/>
          <w:sz w:val="24"/>
          <w:szCs w:val="24"/>
        </w:rPr>
        <w:t xml:space="preserve"> </w:t>
      </w:r>
      <w:r w:rsidRPr="00562A60">
        <w:rPr>
          <w:rFonts w:ascii="Courier New" w:hAnsi="Courier New"/>
          <w:sz w:val="24"/>
          <w:szCs w:val="24"/>
        </w:rPr>
        <w:t xml:space="preserve"> </w:t>
      </w:r>
      <w:r>
        <w:rPr>
          <w:rFonts w:ascii="Courier New" w:hAnsi="Courier New" w:cs="Courier New"/>
          <w:sz w:val="24"/>
          <w:szCs w:val="24"/>
        </w:rPr>
        <w:t xml:space="preserve">We have revised the certification requirements to include a requirement </w:t>
      </w:r>
      <w:r w:rsidR="00964BFD">
        <w:rPr>
          <w:rFonts w:ascii="Courier New" w:hAnsi="Courier New" w:cs="Courier New"/>
          <w:sz w:val="24"/>
          <w:szCs w:val="24"/>
        </w:rPr>
        <w:t xml:space="preserve">in </w:t>
      </w:r>
      <w:r w:rsidR="00863594">
        <w:rPr>
          <w:rFonts w:ascii="Courier New" w:hAnsi="Courier New" w:cs="Courier New"/>
          <w:sz w:val="24"/>
          <w:szCs w:val="24"/>
        </w:rPr>
        <w:t>§</w:t>
      </w:r>
      <w:r w:rsidR="00964BFD">
        <w:rPr>
          <w:rFonts w:ascii="Courier New" w:hAnsi="Courier New" w:cs="Courier New"/>
          <w:sz w:val="24"/>
          <w:szCs w:val="24"/>
        </w:rPr>
        <w:t xml:space="preserve">668.414(d)(4) </w:t>
      </w:r>
      <w:r>
        <w:rPr>
          <w:rFonts w:ascii="Courier New" w:hAnsi="Courier New" w:cs="Courier New"/>
          <w:sz w:val="24"/>
          <w:szCs w:val="24"/>
        </w:rPr>
        <w:t>that an institution affirm in its certification</w:t>
      </w:r>
      <w:r w:rsidR="00863594">
        <w:rPr>
          <w:rFonts w:ascii="Courier New" w:hAnsi="Courier New" w:cs="Courier New"/>
          <w:sz w:val="24"/>
          <w:szCs w:val="24"/>
        </w:rPr>
        <w:t xml:space="preserve"> that,</w:t>
      </w:r>
      <w:r>
        <w:rPr>
          <w:rFonts w:ascii="Courier New" w:hAnsi="Courier New" w:cs="Courier New"/>
          <w:sz w:val="24"/>
          <w:szCs w:val="24"/>
        </w:rPr>
        <w:t xml:space="preserve"> and provide an explanation of how</w:t>
      </w:r>
      <w:r w:rsidR="00863594">
        <w:rPr>
          <w:rFonts w:ascii="Courier New" w:hAnsi="Courier New" w:cs="Courier New"/>
          <w:sz w:val="24"/>
          <w:szCs w:val="24"/>
        </w:rPr>
        <w:t>,</w:t>
      </w:r>
      <w:r>
        <w:rPr>
          <w:rFonts w:ascii="Courier New" w:hAnsi="Courier New" w:cs="Courier New"/>
          <w:sz w:val="24"/>
          <w:szCs w:val="24"/>
        </w:rPr>
        <w:t xml:space="preserve"> a new program is not substantially similar to a program that became ineligible or was a zone or failing program that was voluntarily discontinued in the previous three years.</w:t>
      </w:r>
    </w:p>
    <w:p w14:paraId="4B77DE95"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w:t>
      </w:r>
      <w:r>
        <w:rPr>
          <w:rFonts w:ascii="Courier New" w:hAnsi="Courier New" w:cs="Courier New"/>
          <w:sz w:val="24"/>
          <w:szCs w:val="24"/>
        </w:rPr>
        <w:t xml:space="preserve">  </w:t>
      </w:r>
      <w:r w:rsidRPr="005012DC">
        <w:rPr>
          <w:rFonts w:ascii="Courier New" w:eastAsia="Times New Roman" w:hAnsi="Courier New" w:cs="Courier New"/>
          <w:sz w:val="24"/>
          <w:szCs w:val="24"/>
        </w:rPr>
        <w:t xml:space="preserve">Several commenters urged the Department to create an approval process for all new programs before an institution could start enrolling students who receive </w:t>
      </w:r>
      <w:r>
        <w:rPr>
          <w:rFonts w:ascii="Courier New" w:eastAsia="Times New Roman" w:hAnsi="Courier New" w:cs="Courier New"/>
          <w:sz w:val="24"/>
          <w:szCs w:val="24"/>
        </w:rPr>
        <w:t>t</w:t>
      </w:r>
      <w:r w:rsidRPr="005012DC">
        <w:rPr>
          <w:rFonts w:ascii="Courier New" w:eastAsia="Times New Roman" w:hAnsi="Courier New" w:cs="Courier New"/>
          <w:sz w:val="24"/>
          <w:szCs w:val="24"/>
        </w:rPr>
        <w:t xml:space="preserve">itle IV, HEA </w:t>
      </w:r>
      <w:r>
        <w:rPr>
          <w:rFonts w:ascii="Courier New" w:eastAsia="Times New Roman" w:hAnsi="Courier New" w:cs="Courier New"/>
          <w:sz w:val="24"/>
          <w:szCs w:val="24"/>
        </w:rPr>
        <w:t xml:space="preserve">program </w:t>
      </w:r>
      <w:r w:rsidRPr="005012DC">
        <w:rPr>
          <w:rFonts w:ascii="Courier New" w:eastAsia="Times New Roman" w:hAnsi="Courier New" w:cs="Courier New"/>
          <w:sz w:val="24"/>
          <w:szCs w:val="24"/>
        </w:rPr>
        <w:t xml:space="preserve">funds to mitigate the risk of students incurring significant amounts of debt in programs </w:t>
      </w:r>
      <w:r>
        <w:rPr>
          <w:rFonts w:ascii="Courier New" w:eastAsia="Times New Roman" w:hAnsi="Courier New" w:cs="Courier New"/>
          <w:sz w:val="24"/>
          <w:szCs w:val="24"/>
        </w:rPr>
        <w:t>un</w:t>
      </w:r>
      <w:r w:rsidRPr="005012DC">
        <w:rPr>
          <w:rFonts w:ascii="Courier New" w:eastAsia="Times New Roman" w:hAnsi="Courier New" w:cs="Courier New"/>
          <w:sz w:val="24"/>
          <w:szCs w:val="24"/>
        </w:rPr>
        <w:t xml:space="preserve">likely to </w:t>
      </w:r>
      <w:r>
        <w:rPr>
          <w:rFonts w:ascii="Courier New" w:eastAsia="Times New Roman" w:hAnsi="Courier New" w:cs="Courier New"/>
          <w:sz w:val="24"/>
          <w:szCs w:val="24"/>
        </w:rPr>
        <w:t>pass the D/E rates measure</w:t>
      </w:r>
      <w:r w:rsidRPr="005012DC">
        <w:rPr>
          <w:rFonts w:ascii="Courier New" w:eastAsia="Times New Roman" w:hAnsi="Courier New" w:cs="Courier New"/>
          <w:sz w:val="24"/>
          <w:szCs w:val="24"/>
        </w:rPr>
        <w:t>.</w:t>
      </w:r>
      <w:r>
        <w:rPr>
          <w:rFonts w:ascii="Courier New" w:eastAsia="Times New Roman" w:hAnsi="Courier New" w:cs="Courier New"/>
          <w:sz w:val="24"/>
          <w:szCs w:val="24"/>
        </w:rPr>
        <w:t xml:space="preserve">  </w:t>
      </w:r>
      <w:r>
        <w:rPr>
          <w:rFonts w:ascii="Courier New" w:hAnsi="Courier New" w:cs="Courier New"/>
          <w:sz w:val="24"/>
          <w:szCs w:val="24"/>
        </w:rPr>
        <w:t>One commenter suggested that</w:t>
      </w:r>
      <w:r w:rsidRPr="005012DC">
        <w:rPr>
          <w:rFonts w:ascii="Courier New" w:eastAsia="Times New Roman" w:hAnsi="Courier New" w:cs="Courier New"/>
          <w:sz w:val="24"/>
          <w:szCs w:val="24"/>
        </w:rPr>
        <w:t xml:space="preserve"> limiting certifications to the </w:t>
      </w:r>
      <w:r>
        <w:rPr>
          <w:rFonts w:ascii="Courier New" w:eastAsia="Times New Roman" w:hAnsi="Courier New" w:cs="Courier New"/>
          <w:sz w:val="24"/>
          <w:szCs w:val="24"/>
        </w:rPr>
        <w:t>PPA</w:t>
      </w:r>
      <w:r w:rsidRPr="005012DC">
        <w:rPr>
          <w:rFonts w:ascii="Courier New" w:eastAsia="Times New Roman" w:hAnsi="Courier New" w:cs="Courier New"/>
          <w:sz w:val="24"/>
          <w:szCs w:val="24"/>
        </w:rPr>
        <w:t xml:space="preserve"> is not </w:t>
      </w:r>
      <w:r>
        <w:rPr>
          <w:rFonts w:ascii="Courier New" w:eastAsia="Times New Roman" w:hAnsi="Courier New" w:cs="Courier New"/>
          <w:sz w:val="24"/>
          <w:szCs w:val="24"/>
        </w:rPr>
        <w:t>sufficient</w:t>
      </w:r>
      <w:r w:rsidRPr="005012DC">
        <w:rPr>
          <w:rFonts w:ascii="Courier New" w:eastAsia="Times New Roman" w:hAnsi="Courier New" w:cs="Courier New"/>
          <w:sz w:val="24"/>
          <w:szCs w:val="24"/>
        </w:rPr>
        <w:t xml:space="preserve">, and that applications for </w:t>
      </w:r>
      <w:r>
        <w:rPr>
          <w:rFonts w:ascii="Courier New" w:eastAsia="Times New Roman" w:hAnsi="Courier New" w:cs="Courier New"/>
          <w:sz w:val="24"/>
          <w:szCs w:val="24"/>
        </w:rPr>
        <w:t>all</w:t>
      </w:r>
      <w:r w:rsidRPr="005012DC">
        <w:rPr>
          <w:rFonts w:ascii="Courier New" w:eastAsia="Times New Roman" w:hAnsi="Courier New" w:cs="Courier New"/>
          <w:sz w:val="24"/>
          <w:szCs w:val="24"/>
        </w:rPr>
        <w:t xml:space="preserve"> new program approval</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 should require certification regarding licensing and certification.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 </w:t>
      </w:r>
    </w:p>
    <w:p w14:paraId="50A2C4E8" w14:textId="77777777" w:rsidR="00915790" w:rsidRPr="005012DC" w:rsidRDefault="00915790" w:rsidP="00915790">
      <w:pPr>
        <w:shd w:val="clear" w:color="auto" w:fill="FFFFFF"/>
        <w:spacing w:after="0" w:line="480" w:lineRule="auto"/>
        <w:ind w:firstLine="720"/>
        <w:rPr>
          <w:rFonts w:ascii="Courier New" w:eastAsia="Times New Roman" w:hAnsi="Courier New" w:cs="Courier New"/>
          <w:sz w:val="24"/>
          <w:szCs w:val="24"/>
        </w:rPr>
      </w:pPr>
      <w:r w:rsidRPr="005012DC">
        <w:rPr>
          <w:rFonts w:ascii="Courier New" w:eastAsia="Times New Roman" w:hAnsi="Courier New" w:cs="Courier New"/>
          <w:sz w:val="24"/>
          <w:szCs w:val="24"/>
        </w:rPr>
        <w:t>While some commenters said approval requirements should apply to all new programs, other commenters suggested that</w:t>
      </w:r>
      <w:r>
        <w:rPr>
          <w:rFonts w:ascii="Courier New" w:eastAsia="Times New Roman" w:hAnsi="Courier New" w:cs="Courier New"/>
          <w:sz w:val="24"/>
          <w:szCs w:val="24"/>
        </w:rPr>
        <w:t xml:space="preserve"> an institution should be </w:t>
      </w:r>
      <w:r w:rsidRPr="005012DC">
        <w:rPr>
          <w:rFonts w:ascii="Courier New" w:eastAsia="Times New Roman" w:hAnsi="Courier New" w:cs="Courier New"/>
          <w:sz w:val="24"/>
          <w:szCs w:val="24"/>
        </w:rPr>
        <w:t>require</w:t>
      </w:r>
      <w:r>
        <w:rPr>
          <w:rFonts w:ascii="Courier New" w:eastAsia="Times New Roman" w:hAnsi="Courier New" w:cs="Courier New"/>
          <w:sz w:val="24"/>
          <w:szCs w:val="24"/>
        </w:rPr>
        <w:t>d to seek</w:t>
      </w:r>
      <w:r w:rsidRPr="005012DC">
        <w:rPr>
          <w:rFonts w:ascii="Courier New" w:eastAsia="Times New Roman" w:hAnsi="Courier New" w:cs="Courier New"/>
          <w:sz w:val="24"/>
          <w:szCs w:val="24"/>
        </w:rPr>
        <w:t xml:space="preserve"> new program approval </w:t>
      </w:r>
      <w:r>
        <w:rPr>
          <w:rFonts w:ascii="Courier New" w:eastAsia="Times New Roman" w:hAnsi="Courier New" w:cs="Courier New"/>
          <w:sz w:val="24"/>
          <w:szCs w:val="24"/>
        </w:rPr>
        <w:t xml:space="preserve">only </w:t>
      </w:r>
      <w:r w:rsidRPr="005012DC">
        <w:rPr>
          <w:rFonts w:ascii="Courier New" w:eastAsia="Times New Roman" w:hAnsi="Courier New" w:cs="Courier New"/>
          <w:sz w:val="24"/>
          <w:szCs w:val="24"/>
        </w:rPr>
        <w:t>if</w:t>
      </w:r>
      <w:r>
        <w:rPr>
          <w:rFonts w:ascii="Courier New" w:eastAsia="Times New Roman" w:hAnsi="Courier New" w:cs="Courier New"/>
          <w:sz w:val="24"/>
          <w:szCs w:val="24"/>
        </w:rPr>
        <w:t xml:space="preserve"> it </w:t>
      </w:r>
      <w:r w:rsidRPr="005012DC">
        <w:rPr>
          <w:rFonts w:ascii="Courier New" w:eastAsia="Times New Roman" w:hAnsi="Courier New" w:cs="Courier New"/>
          <w:sz w:val="24"/>
          <w:szCs w:val="24"/>
        </w:rPr>
        <w:t xml:space="preserve">had one or more </w:t>
      </w:r>
      <w:r>
        <w:rPr>
          <w:rFonts w:ascii="Courier New" w:eastAsia="Times New Roman" w:hAnsi="Courier New" w:cs="Courier New"/>
          <w:sz w:val="24"/>
          <w:szCs w:val="24"/>
        </w:rPr>
        <w:t xml:space="preserve">failing </w:t>
      </w:r>
      <w:r w:rsidRPr="005012DC">
        <w:rPr>
          <w:rFonts w:ascii="Courier New" w:eastAsia="Times New Roman" w:hAnsi="Courier New" w:cs="Courier New"/>
          <w:sz w:val="24"/>
          <w:szCs w:val="24"/>
        </w:rPr>
        <w:t xml:space="preserve">programs </w:t>
      </w:r>
      <w:r>
        <w:rPr>
          <w:rFonts w:ascii="Courier New" w:eastAsia="Times New Roman" w:hAnsi="Courier New" w:cs="Courier New"/>
          <w:sz w:val="24"/>
          <w:szCs w:val="24"/>
        </w:rPr>
        <w:t xml:space="preserve">at that time under the D/E rates measure, </w:t>
      </w:r>
      <w:r w:rsidRPr="005012DC">
        <w:rPr>
          <w:rFonts w:ascii="Courier New" w:eastAsia="Times New Roman" w:hAnsi="Courier New" w:cs="Courier New"/>
          <w:sz w:val="24"/>
          <w:szCs w:val="24"/>
        </w:rPr>
        <w:t xml:space="preserve">regardless of their similarity to the new program.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Other commenters expressed the view that an institution that wished to build upon a successful existing program, such as </w:t>
      </w:r>
      <w:r>
        <w:rPr>
          <w:rFonts w:ascii="Courier New" w:eastAsia="Times New Roman" w:hAnsi="Courier New" w:cs="Courier New"/>
          <w:sz w:val="24"/>
          <w:szCs w:val="24"/>
        </w:rPr>
        <w:t xml:space="preserve">by </w:t>
      </w:r>
      <w:r w:rsidRPr="005012DC">
        <w:rPr>
          <w:rFonts w:ascii="Courier New" w:eastAsia="Times New Roman" w:hAnsi="Courier New" w:cs="Courier New"/>
          <w:sz w:val="24"/>
          <w:szCs w:val="24"/>
        </w:rPr>
        <w:t>adding a graduate-level program, should be exempt</w:t>
      </w:r>
      <w:r>
        <w:rPr>
          <w:rFonts w:ascii="Courier New" w:eastAsia="Times New Roman" w:hAnsi="Courier New" w:cs="Courier New"/>
          <w:sz w:val="24"/>
          <w:szCs w:val="24"/>
        </w:rPr>
        <w:t xml:space="preserve">ed from any new program approval process, </w:t>
      </w:r>
      <w:r w:rsidRPr="005012DC">
        <w:rPr>
          <w:rFonts w:ascii="Courier New" w:eastAsia="Times New Roman" w:hAnsi="Courier New" w:cs="Courier New"/>
          <w:sz w:val="24"/>
          <w:szCs w:val="24"/>
        </w:rPr>
        <w:t xml:space="preserve">or </w:t>
      </w:r>
      <w:r>
        <w:rPr>
          <w:rFonts w:ascii="Courier New" w:eastAsia="Times New Roman" w:hAnsi="Courier New" w:cs="Courier New"/>
          <w:sz w:val="24"/>
          <w:szCs w:val="24"/>
        </w:rPr>
        <w:t xml:space="preserve">be subject to </w:t>
      </w:r>
      <w:r w:rsidRPr="005012DC">
        <w:rPr>
          <w:rFonts w:ascii="Courier New" w:eastAsia="Times New Roman" w:hAnsi="Courier New" w:cs="Courier New"/>
          <w:sz w:val="24"/>
          <w:szCs w:val="24"/>
        </w:rPr>
        <w:t xml:space="preserve">a streamlined approval process.  </w:t>
      </w:r>
    </w:p>
    <w:p w14:paraId="0F68DCC3"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rPr>
        <w:tab/>
      </w:r>
      <w:r>
        <w:rPr>
          <w:rFonts w:ascii="Courier New" w:eastAsia="Times New Roman" w:hAnsi="Courier New" w:cs="Courier New"/>
          <w:sz w:val="24"/>
          <w:szCs w:val="24"/>
        </w:rPr>
        <w:t xml:space="preserve">As a part of a </w:t>
      </w:r>
      <w:r w:rsidRPr="005012DC">
        <w:rPr>
          <w:rFonts w:ascii="Courier New" w:eastAsia="Times New Roman" w:hAnsi="Courier New" w:cs="Courier New"/>
          <w:sz w:val="24"/>
          <w:szCs w:val="24"/>
        </w:rPr>
        <w:t>new program approval</w:t>
      </w:r>
      <w:r>
        <w:rPr>
          <w:rFonts w:ascii="Courier New" w:eastAsia="Times New Roman" w:hAnsi="Courier New" w:cs="Courier New"/>
          <w:sz w:val="24"/>
          <w:szCs w:val="24"/>
        </w:rPr>
        <w:t xml:space="preserve"> requirement</w:t>
      </w:r>
      <w:r w:rsidRPr="005012DC">
        <w:rPr>
          <w:rFonts w:ascii="Courier New" w:eastAsia="Times New Roman" w:hAnsi="Courier New" w:cs="Courier New"/>
          <w:sz w:val="24"/>
          <w:szCs w:val="24"/>
        </w:rPr>
        <w:t xml:space="preserve">, some commenters proposed that institutions should have to certify that they conducted a reasoned analysis of the expected debt and earnings of graduates, as well as expected completion rates, and </w:t>
      </w:r>
      <w:r>
        <w:rPr>
          <w:rFonts w:ascii="Courier New" w:eastAsia="Times New Roman" w:hAnsi="Courier New" w:cs="Courier New"/>
          <w:sz w:val="24"/>
          <w:szCs w:val="24"/>
        </w:rPr>
        <w:t>add</w:t>
      </w:r>
      <w:r w:rsidRPr="005012DC">
        <w:rPr>
          <w:rFonts w:ascii="Courier New" w:eastAsia="Times New Roman" w:hAnsi="Courier New" w:cs="Courier New"/>
          <w:sz w:val="24"/>
          <w:szCs w:val="24"/>
        </w:rPr>
        <w:t xml:space="preserve"> that information </w:t>
      </w:r>
      <w:r>
        <w:rPr>
          <w:rFonts w:ascii="Courier New" w:eastAsia="Times New Roman" w:hAnsi="Courier New" w:cs="Courier New"/>
          <w:sz w:val="24"/>
          <w:szCs w:val="24"/>
        </w:rPr>
        <w:t>to</w:t>
      </w:r>
      <w:r w:rsidRPr="005012DC">
        <w:rPr>
          <w:rFonts w:ascii="Courier New" w:eastAsia="Times New Roman" w:hAnsi="Courier New" w:cs="Courier New"/>
          <w:sz w:val="24"/>
          <w:szCs w:val="24"/>
        </w:rPr>
        <w:t xml:space="preserve"> their PPA certification before </w:t>
      </w:r>
      <w:r>
        <w:rPr>
          <w:rFonts w:ascii="Courier New" w:eastAsia="Times New Roman" w:hAnsi="Courier New" w:cs="Courier New"/>
          <w:sz w:val="24"/>
          <w:szCs w:val="24"/>
        </w:rPr>
        <w:t xml:space="preserve">starting </w:t>
      </w:r>
      <w:r w:rsidRPr="005012DC">
        <w:rPr>
          <w:rFonts w:ascii="Courier New" w:eastAsia="Times New Roman" w:hAnsi="Courier New" w:cs="Courier New"/>
          <w:sz w:val="24"/>
          <w:szCs w:val="24"/>
        </w:rPr>
        <w:t>any new program.</w:t>
      </w:r>
    </w:p>
    <w:p w14:paraId="44E9EE92"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The Department d</w:t>
      </w:r>
      <w:r>
        <w:rPr>
          <w:rFonts w:ascii="Courier New" w:eastAsia="Times New Roman" w:hAnsi="Courier New" w:cs="Courier New"/>
          <w:sz w:val="24"/>
          <w:szCs w:val="24"/>
        </w:rPr>
        <w:t>id not propose and is not including in the final regulations</w:t>
      </w:r>
      <w:r w:rsidRPr="005012DC">
        <w:rPr>
          <w:rFonts w:ascii="Courier New" w:eastAsia="Times New Roman" w:hAnsi="Courier New" w:cs="Courier New"/>
          <w:sz w:val="24"/>
          <w:szCs w:val="24"/>
        </w:rPr>
        <w:t xml:space="preserve"> an approval process for new programs.  </w:t>
      </w:r>
      <w:r w:rsidRPr="006E6E47">
        <w:rPr>
          <w:rFonts w:ascii="Courier New" w:eastAsia="Times New Roman" w:hAnsi="Courier New" w:cs="Courier New"/>
          <w:sz w:val="24"/>
          <w:szCs w:val="24"/>
        </w:rPr>
        <w:t xml:space="preserve">As </w:t>
      </w:r>
      <w:r>
        <w:rPr>
          <w:rFonts w:ascii="Courier New" w:eastAsia="Times New Roman" w:hAnsi="Courier New" w:cs="Courier New"/>
          <w:sz w:val="24"/>
          <w:szCs w:val="24"/>
        </w:rPr>
        <w:t xml:space="preserve">previously </w:t>
      </w:r>
      <w:r w:rsidRPr="006E6E47">
        <w:rPr>
          <w:rFonts w:ascii="Courier New" w:eastAsia="Times New Roman" w:hAnsi="Courier New" w:cs="Courier New"/>
          <w:sz w:val="24"/>
          <w:szCs w:val="24"/>
        </w:rPr>
        <w:t xml:space="preserve">stated, </w:t>
      </w:r>
      <w:r w:rsidDel="005F401E">
        <w:rPr>
          <w:rFonts w:ascii="Courier New" w:eastAsia="Times New Roman" w:hAnsi="Courier New" w:cs="Courier New"/>
          <w:sz w:val="24"/>
          <w:szCs w:val="24"/>
        </w:rPr>
        <w:t xml:space="preserve">we believe that </w:t>
      </w:r>
      <w:r>
        <w:rPr>
          <w:rFonts w:ascii="Courier New" w:eastAsia="Times New Roman" w:hAnsi="Courier New" w:cs="Courier New"/>
          <w:sz w:val="24"/>
          <w:szCs w:val="24"/>
        </w:rPr>
        <w:t xml:space="preserve">the D/E rates measure is the best measure of whether a program prepares students for gainful employment.  </w:t>
      </w:r>
      <w:r w:rsidRPr="004B5C64">
        <w:rPr>
          <w:rFonts w:ascii="Courier New" w:eastAsia="Times New Roman" w:hAnsi="Courier New" w:cs="Courier New"/>
          <w:sz w:val="24"/>
          <w:szCs w:val="24"/>
        </w:rPr>
        <w:t>While we agree that it is important for institutions to conduct a reasoned analysis of expected program outcomes such as the expected debt and earnings of graduates, or expected completion rates, we will not require institutions to submit this information or certify that it was conducted because there is no basis upon which the Department could assess such information to determine whether the analysis was sufficient or that the analysis indicates that the program will indeed pass the D/E rates measure in the future.  Without this ability, we do not believe adding such requirements would be useful.</w:t>
      </w:r>
      <w:r>
        <w:rPr>
          <w:rFonts w:ascii="Courier New" w:eastAsia="Times New Roman" w:hAnsi="Courier New" w:cs="Courier New"/>
          <w:sz w:val="24"/>
          <w:szCs w:val="24"/>
        </w:rPr>
        <w:t xml:space="preserve">         </w:t>
      </w:r>
    </w:p>
    <w:p w14:paraId="5D7226B0" w14:textId="77777777" w:rsidR="00915790" w:rsidRDefault="00915790" w:rsidP="00915790">
      <w:pPr>
        <w:shd w:val="clear" w:color="auto" w:fill="FFFFFF"/>
        <w:spacing w:after="0" w:line="480" w:lineRule="auto"/>
        <w:rPr>
          <w:rFonts w:ascii="Courier New" w:eastAsia="Times New Roman" w:hAnsi="Courier New" w:cs="Courier New"/>
          <w:sz w:val="24"/>
          <w:szCs w:val="24"/>
        </w:rPr>
      </w:pPr>
      <w:r w:rsidRPr="006A3056">
        <w:rPr>
          <w:rFonts w:ascii="Courier New" w:eastAsia="Times New Roman" w:hAnsi="Courier New" w:cs="Courier New"/>
          <w:sz w:val="24"/>
          <w:szCs w:val="24"/>
          <w:u w:val="single"/>
        </w:rPr>
        <w:t>Changes</w:t>
      </w:r>
      <w:r>
        <w:rPr>
          <w:rFonts w:ascii="Courier New" w:eastAsia="Times New Roman" w:hAnsi="Courier New" w:cs="Courier New"/>
          <w:sz w:val="24"/>
          <w:szCs w:val="24"/>
        </w:rPr>
        <w:t>:  None.</w:t>
      </w:r>
    </w:p>
    <w:p w14:paraId="7F430AFF" w14:textId="471CB308"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hAnsi="Courier New" w:cs="Courier New"/>
          <w:sz w:val="24"/>
          <w:szCs w:val="24"/>
          <w:u w:val="single"/>
        </w:rPr>
        <w:t>Comments</w:t>
      </w:r>
      <w:r w:rsidRPr="005012DC">
        <w:rPr>
          <w:rFonts w:ascii="Courier New" w:hAnsi="Courier New" w:cs="Courier New"/>
          <w:sz w:val="24"/>
          <w:szCs w:val="24"/>
        </w:rPr>
        <w:t xml:space="preserve">:  </w:t>
      </w:r>
      <w:r w:rsidRPr="005012DC">
        <w:rPr>
          <w:rFonts w:ascii="Courier New" w:eastAsia="Times New Roman" w:hAnsi="Courier New" w:cs="Courier New"/>
          <w:sz w:val="24"/>
          <w:szCs w:val="24"/>
        </w:rPr>
        <w:t>To increase transparency, some commenters suggest</w:t>
      </w:r>
      <w:r>
        <w:rPr>
          <w:rFonts w:ascii="Courier New" w:eastAsia="Times New Roman" w:hAnsi="Courier New" w:cs="Courier New"/>
          <w:sz w:val="24"/>
          <w:szCs w:val="24"/>
        </w:rPr>
        <w:t>ed</w:t>
      </w:r>
      <w:r w:rsidRPr="005012DC">
        <w:rPr>
          <w:rFonts w:ascii="Courier New" w:eastAsia="Times New Roman" w:hAnsi="Courier New" w:cs="Courier New"/>
          <w:sz w:val="24"/>
          <w:szCs w:val="24"/>
        </w:rPr>
        <w:t xml:space="preserve"> that </w:t>
      </w:r>
      <w:r>
        <w:rPr>
          <w:rFonts w:ascii="Courier New" w:eastAsia="Times New Roman" w:hAnsi="Courier New" w:cs="Courier New"/>
          <w:sz w:val="24"/>
          <w:szCs w:val="24"/>
        </w:rPr>
        <w:t xml:space="preserve">an institution’s </w:t>
      </w:r>
      <w:r w:rsidRPr="005012DC">
        <w:rPr>
          <w:rFonts w:ascii="Courier New" w:eastAsia="Times New Roman" w:hAnsi="Courier New" w:cs="Courier New"/>
          <w:sz w:val="24"/>
          <w:szCs w:val="24"/>
        </w:rPr>
        <w:t xml:space="preserve">PPA, or </w:t>
      </w:r>
      <w:r>
        <w:rPr>
          <w:rFonts w:ascii="Courier New" w:eastAsia="Times New Roman" w:hAnsi="Courier New" w:cs="Courier New"/>
          <w:sz w:val="24"/>
          <w:szCs w:val="24"/>
        </w:rPr>
        <w:t xml:space="preserve">the </w:t>
      </w:r>
      <w:r w:rsidRPr="005012DC">
        <w:rPr>
          <w:rFonts w:ascii="Courier New" w:eastAsia="Times New Roman" w:hAnsi="Courier New" w:cs="Courier New"/>
          <w:sz w:val="24"/>
          <w:szCs w:val="24"/>
        </w:rPr>
        <w:t xml:space="preserve">portions related to </w:t>
      </w:r>
      <w:r>
        <w:rPr>
          <w:rFonts w:ascii="Courier New" w:eastAsia="Times New Roman" w:hAnsi="Courier New" w:cs="Courier New"/>
          <w:sz w:val="24"/>
          <w:szCs w:val="24"/>
        </w:rPr>
        <w:t>its GE programs</w:t>
      </w:r>
      <w:r w:rsidRPr="005012DC">
        <w:rPr>
          <w:rFonts w:ascii="Courier New" w:eastAsia="Times New Roman" w:hAnsi="Courier New" w:cs="Courier New"/>
          <w:sz w:val="24"/>
          <w:szCs w:val="24"/>
        </w:rPr>
        <w:t xml:space="preserve">, should be </w:t>
      </w:r>
      <w:r>
        <w:rPr>
          <w:rFonts w:ascii="Courier New" w:eastAsia="Times New Roman" w:hAnsi="Courier New" w:cs="Courier New"/>
          <w:sz w:val="24"/>
          <w:szCs w:val="24"/>
        </w:rPr>
        <w:t>published</w:t>
      </w:r>
      <w:r w:rsidRPr="005012DC">
        <w:rPr>
          <w:rFonts w:ascii="Courier New" w:eastAsia="Times New Roman" w:hAnsi="Courier New" w:cs="Courier New"/>
          <w:sz w:val="24"/>
          <w:szCs w:val="24"/>
        </w:rPr>
        <w:t xml:space="preserve"> on a public </w:t>
      </w:r>
      <w:r w:rsidR="00F91DA0">
        <w:rPr>
          <w:rFonts w:ascii="Courier New" w:eastAsia="Times New Roman" w:hAnsi="Courier New" w:cs="Courier New"/>
          <w:sz w:val="24"/>
          <w:szCs w:val="24"/>
        </w:rPr>
        <w:t>W</w:t>
      </w:r>
      <w:r w:rsidRPr="005012DC">
        <w:rPr>
          <w:rFonts w:ascii="Courier New" w:eastAsia="Times New Roman" w:hAnsi="Courier New" w:cs="Courier New"/>
          <w:sz w:val="24"/>
          <w:szCs w:val="24"/>
        </w:rPr>
        <w:t>eb</w:t>
      </w:r>
      <w:r w:rsidR="00F91DA0">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site to provide the public and policy makers the opportunity to assess the institution’s analysis</w:t>
      </w:r>
      <w:r>
        <w:rPr>
          <w:rFonts w:ascii="Courier New" w:eastAsia="Times New Roman" w:hAnsi="Courier New" w:cs="Courier New"/>
          <w:sz w:val="24"/>
          <w:szCs w:val="24"/>
        </w:rPr>
        <w:t>, discussed in the previous comment, that the program would meet the D/E rates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T</w:t>
      </w:r>
      <w:r w:rsidRPr="005012DC">
        <w:rPr>
          <w:rFonts w:ascii="Courier New" w:eastAsia="Times New Roman" w:hAnsi="Courier New" w:cs="Courier New"/>
          <w:sz w:val="24"/>
          <w:szCs w:val="24"/>
        </w:rPr>
        <w:t xml:space="preserve">hey </w:t>
      </w:r>
      <w:r>
        <w:rPr>
          <w:rFonts w:ascii="Courier New" w:eastAsia="Times New Roman" w:hAnsi="Courier New" w:cs="Courier New"/>
          <w:sz w:val="24"/>
          <w:szCs w:val="24"/>
        </w:rPr>
        <w:t>argued</w:t>
      </w:r>
      <w:r w:rsidRPr="005012DC">
        <w:rPr>
          <w:rFonts w:ascii="Courier New" w:eastAsia="Times New Roman" w:hAnsi="Courier New" w:cs="Courier New"/>
          <w:sz w:val="24"/>
          <w:szCs w:val="24"/>
        </w:rPr>
        <w:t xml:space="preserve"> that this additional reporting should not be particularly burdensome </w:t>
      </w:r>
      <w:r>
        <w:rPr>
          <w:rFonts w:ascii="Courier New" w:eastAsia="Times New Roman" w:hAnsi="Courier New" w:cs="Courier New"/>
          <w:sz w:val="24"/>
          <w:szCs w:val="24"/>
        </w:rPr>
        <w:t>for</w:t>
      </w:r>
      <w:r w:rsidRPr="005012DC">
        <w:rPr>
          <w:rFonts w:ascii="Courier New" w:eastAsia="Times New Roman" w:hAnsi="Courier New" w:cs="Courier New"/>
          <w:sz w:val="24"/>
          <w:szCs w:val="24"/>
        </w:rPr>
        <w:t xml:space="preserve"> an institution</w:t>
      </w:r>
      <w:r>
        <w:rPr>
          <w:rFonts w:ascii="Courier New" w:eastAsia="Times New Roman" w:hAnsi="Courier New" w:cs="Courier New"/>
          <w:sz w:val="24"/>
          <w:szCs w:val="24"/>
        </w:rPr>
        <w:t xml:space="preserve"> because it should already be conducting such analysis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They also argued that the Department should strengthen its procedures to verify the accuracy and veracity of the information contained in a PPA, arguing that</w:t>
      </w:r>
      <w:r w:rsidR="002E3F67">
        <w:rPr>
          <w:rFonts w:ascii="Courier New" w:eastAsia="Times New Roman" w:hAnsi="Courier New" w:cs="Courier New"/>
          <w:sz w:val="24"/>
          <w:szCs w:val="24"/>
        </w:rPr>
        <w:t>,</w:t>
      </w:r>
      <w:r w:rsidRPr="005012DC">
        <w:rPr>
          <w:rFonts w:ascii="Courier New" w:eastAsia="Times New Roman" w:hAnsi="Courier New" w:cs="Courier New"/>
          <w:sz w:val="24"/>
          <w:szCs w:val="24"/>
        </w:rPr>
        <w:t xml:space="preserve"> otherwise, </w:t>
      </w:r>
      <w:r>
        <w:rPr>
          <w:rFonts w:ascii="Courier New" w:eastAsia="Times New Roman" w:hAnsi="Courier New" w:cs="Courier New"/>
          <w:sz w:val="24"/>
          <w:szCs w:val="24"/>
        </w:rPr>
        <w:t xml:space="preserve">an </w:t>
      </w:r>
      <w:r w:rsidRPr="005012DC">
        <w:rPr>
          <w:rFonts w:ascii="Courier New" w:eastAsia="Times New Roman" w:hAnsi="Courier New" w:cs="Courier New"/>
          <w:sz w:val="24"/>
          <w:szCs w:val="24"/>
        </w:rPr>
        <w:t xml:space="preserve">institutional officer </w:t>
      </w:r>
      <w:r>
        <w:rPr>
          <w:rFonts w:ascii="Courier New" w:eastAsia="Times New Roman" w:hAnsi="Courier New" w:cs="Courier New"/>
          <w:sz w:val="24"/>
          <w:szCs w:val="24"/>
        </w:rPr>
        <w:t xml:space="preserve">providing a </w:t>
      </w:r>
      <w:r w:rsidRPr="005012DC">
        <w:rPr>
          <w:rFonts w:ascii="Courier New" w:eastAsia="Times New Roman" w:hAnsi="Courier New" w:cs="Courier New"/>
          <w:sz w:val="24"/>
          <w:szCs w:val="24"/>
        </w:rPr>
        <w:t>fals</w:t>
      </w:r>
      <w:r>
        <w:rPr>
          <w:rFonts w:ascii="Courier New" w:eastAsia="Times New Roman" w:hAnsi="Courier New" w:cs="Courier New"/>
          <w:sz w:val="24"/>
          <w:szCs w:val="24"/>
        </w:rPr>
        <w:t>e</w:t>
      </w:r>
      <w:r w:rsidRPr="005012DC">
        <w:rPr>
          <w:rFonts w:ascii="Courier New" w:eastAsia="Times New Roman" w:hAnsi="Courier New" w:cs="Courier New"/>
          <w:sz w:val="24"/>
          <w:szCs w:val="24"/>
        </w:rPr>
        <w:t xml:space="preserve"> certification </w:t>
      </w:r>
      <w:r>
        <w:rPr>
          <w:rFonts w:ascii="Courier New" w:eastAsia="Times New Roman" w:hAnsi="Courier New" w:cs="Courier New"/>
          <w:sz w:val="24"/>
          <w:szCs w:val="24"/>
        </w:rPr>
        <w:t>would have little risk of being identified and held accountable</w:t>
      </w:r>
      <w:r w:rsidRPr="005012DC">
        <w:rPr>
          <w:rFonts w:ascii="Courier New" w:eastAsia="Times New Roman" w:hAnsi="Courier New" w:cs="Courier New"/>
          <w:sz w:val="24"/>
          <w:szCs w:val="24"/>
        </w:rPr>
        <w:t xml:space="preserve">.  </w:t>
      </w:r>
    </w:p>
    <w:p w14:paraId="4A09C967" w14:textId="57359A2B" w:rsidR="00915790" w:rsidRPr="005012DC" w:rsidRDefault="00915790" w:rsidP="00915790">
      <w:pPr>
        <w:shd w:val="clear" w:color="auto" w:fill="FFFFFF"/>
        <w:spacing w:after="0" w:line="480" w:lineRule="auto"/>
        <w:rPr>
          <w:rFonts w:ascii="Courier New" w:eastAsia="Times New Roman" w:hAnsi="Courier New" w:cs="Courier New"/>
          <w:sz w:val="24"/>
          <w:szCs w:val="24"/>
          <w:highlight w:val="yellow"/>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As the Department is not requiring the analysis of potential debt and earnings outcomes as requested by the commenter, we are also declining to publish institutions</w:t>
      </w:r>
      <w:r w:rsidR="002E3F67">
        <w:rPr>
          <w:rFonts w:ascii="Courier New" w:eastAsia="Times New Roman" w:hAnsi="Courier New" w:cs="Courier New"/>
          <w:sz w:val="24"/>
          <w:szCs w:val="24"/>
        </w:rPr>
        <w:t>’</w:t>
      </w:r>
      <w:r>
        <w:rPr>
          <w:rFonts w:ascii="Courier New" w:eastAsia="Times New Roman" w:hAnsi="Courier New" w:cs="Courier New"/>
          <w:sz w:val="24"/>
          <w:szCs w:val="24"/>
        </w:rPr>
        <w:t xml:space="preserve"> PPAs.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As discussed in “§668.412  Disclosure Requirements for GE Programs,” there also is little variation in the PPA and the disclosure and certification requirements already provide sufficient protections for students.  Similarly, it would not be beneficial to modify procedures to verify the information contained in institutions’ PPAs.  As with any representation made by an institution, the Department has the authority to investigate and take action against an institution that fraudulently misrepresents information in its PPA when those issues are identified during audits, program reviews, or when investigating complaints about an institution or program.   </w:t>
      </w:r>
      <w:r w:rsidRPr="005012DC" w:rsidDel="00D308BD">
        <w:rPr>
          <w:rFonts w:ascii="Courier New" w:eastAsia="Times New Roman" w:hAnsi="Courier New" w:cs="Courier New"/>
          <w:sz w:val="24"/>
          <w:szCs w:val="24"/>
        </w:rPr>
        <w:t xml:space="preserve"> </w:t>
      </w:r>
    </w:p>
    <w:p w14:paraId="74805C7E"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Changes</w:t>
      </w:r>
      <w:r w:rsidRPr="005012DC">
        <w:rPr>
          <w:rFonts w:ascii="Courier New" w:eastAsia="Times New Roman" w:hAnsi="Courier New" w:cs="Courier New"/>
          <w:sz w:val="24"/>
          <w:szCs w:val="24"/>
        </w:rPr>
        <w:t>:  None.</w:t>
      </w:r>
    </w:p>
    <w:p w14:paraId="7B693313"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Comments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everal commenters </w:t>
      </w:r>
      <w:r>
        <w:rPr>
          <w:rFonts w:ascii="Courier New" w:eastAsia="Times New Roman" w:hAnsi="Courier New" w:cs="Courier New"/>
          <w:sz w:val="24"/>
          <w:szCs w:val="24"/>
        </w:rPr>
        <w:t>argued</w:t>
      </w:r>
      <w:r w:rsidRPr="005012DC">
        <w:rPr>
          <w:rFonts w:ascii="Courier New" w:eastAsia="Times New Roman" w:hAnsi="Courier New" w:cs="Courier New"/>
          <w:sz w:val="24"/>
          <w:szCs w:val="24"/>
        </w:rPr>
        <w:t xml:space="preserve"> that </w:t>
      </w:r>
      <w:r>
        <w:rPr>
          <w:rFonts w:ascii="Courier New" w:eastAsia="Times New Roman" w:hAnsi="Courier New" w:cs="Courier New"/>
          <w:sz w:val="24"/>
          <w:szCs w:val="24"/>
        </w:rPr>
        <w:t xml:space="preserve">six months </w:t>
      </w:r>
      <w:r w:rsidRPr="005012DC">
        <w:rPr>
          <w:rFonts w:ascii="Courier New" w:eastAsia="Times New Roman" w:hAnsi="Courier New" w:cs="Courier New"/>
          <w:sz w:val="24"/>
          <w:szCs w:val="24"/>
        </w:rPr>
        <w:t>is an insufficient amount of time for institutions to submit t</w:t>
      </w:r>
      <w:r>
        <w:rPr>
          <w:rFonts w:ascii="Courier New" w:eastAsia="Times New Roman" w:hAnsi="Courier New" w:cs="Courier New"/>
          <w:sz w:val="24"/>
          <w:szCs w:val="24"/>
        </w:rPr>
        <w:t xml:space="preserve">ransitional </w:t>
      </w:r>
      <w:r w:rsidRPr="005012DC">
        <w:rPr>
          <w:rFonts w:ascii="Courier New" w:eastAsia="Times New Roman" w:hAnsi="Courier New" w:cs="Courier New"/>
          <w:sz w:val="24"/>
          <w:szCs w:val="24"/>
        </w:rPr>
        <w:t xml:space="preserve">certifications after the regulations become effective.  They </w:t>
      </w:r>
      <w:r>
        <w:rPr>
          <w:rFonts w:ascii="Courier New" w:eastAsia="Times New Roman" w:hAnsi="Courier New" w:cs="Courier New"/>
          <w:sz w:val="24"/>
          <w:szCs w:val="24"/>
        </w:rPr>
        <w:t>recommended</w:t>
      </w:r>
      <w:r w:rsidRPr="005012DC">
        <w:rPr>
          <w:rFonts w:ascii="Courier New" w:eastAsia="Times New Roman" w:hAnsi="Courier New" w:cs="Courier New"/>
          <w:sz w:val="24"/>
          <w:szCs w:val="24"/>
        </w:rPr>
        <w:t xml:space="preserve"> increasing the time period or eliminating the transitional certifications altogether and requir</w:t>
      </w:r>
      <w:r>
        <w:rPr>
          <w:rFonts w:ascii="Courier New" w:eastAsia="Times New Roman" w:hAnsi="Courier New" w:cs="Courier New"/>
          <w:sz w:val="24"/>
          <w:szCs w:val="24"/>
        </w:rPr>
        <w:t>e</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only</w:t>
      </w:r>
      <w:r w:rsidRPr="005012DC">
        <w:rPr>
          <w:rFonts w:ascii="Courier New" w:eastAsia="Times New Roman" w:hAnsi="Courier New" w:cs="Courier New"/>
          <w:sz w:val="24"/>
          <w:szCs w:val="24"/>
        </w:rPr>
        <w:t xml:space="preserve"> that institutions provide the certifications as a part of the</w:t>
      </w:r>
      <w:r>
        <w:rPr>
          <w:rFonts w:ascii="Courier New" w:eastAsia="Times New Roman" w:hAnsi="Courier New" w:cs="Courier New"/>
          <w:sz w:val="24"/>
          <w:szCs w:val="24"/>
        </w:rPr>
        <w:t>ir</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periodic PPA</w:t>
      </w:r>
      <w:r w:rsidRPr="005012DC">
        <w:rPr>
          <w:rFonts w:ascii="Courier New" w:eastAsia="Times New Roman" w:hAnsi="Courier New" w:cs="Courier New"/>
          <w:sz w:val="24"/>
          <w:szCs w:val="24"/>
        </w:rPr>
        <w:t xml:space="preserve"> recertification.</w:t>
      </w:r>
      <w:r w:rsidRPr="005012DC">
        <w:t xml:space="preserve"> </w:t>
      </w:r>
      <w:r w:rsidRPr="005012DC">
        <w:rPr>
          <w:rFonts w:ascii="Courier New" w:eastAsia="Times New Roman" w:hAnsi="Courier New" w:cs="Courier New"/>
          <w:sz w:val="24"/>
          <w:szCs w:val="24"/>
        </w:rPr>
        <w:t xml:space="preserve"> </w:t>
      </w:r>
    </w:p>
    <w:p w14:paraId="0DD94FEC" w14:textId="0374929F" w:rsidR="00915790" w:rsidRDefault="00915790" w:rsidP="00915790">
      <w:pPr>
        <w:shd w:val="clear" w:color="auto" w:fill="FFFFFF"/>
        <w:spacing w:after="0" w:line="480" w:lineRule="auto"/>
        <w:rPr>
          <w:rFonts w:ascii="Courier New" w:eastAsia="Times New Roman" w:hAnsi="Courier New" w:cs="Courier New"/>
          <w:sz w:val="24"/>
          <w:szCs w:val="24"/>
        </w:rPr>
      </w:pPr>
      <w:r w:rsidRPr="006A3056">
        <w:rPr>
          <w:rFonts w:ascii="Courier New" w:eastAsia="Times New Roman" w:hAnsi="Courier New" w:cs="Courier New"/>
          <w:sz w:val="24"/>
          <w:szCs w:val="24"/>
          <w:u w:val="single"/>
        </w:rPr>
        <w:t>Discussion</w:t>
      </w:r>
      <w:r w:rsidRPr="006A3056">
        <w:rPr>
          <w:rFonts w:ascii="Courier New" w:eastAsia="Times New Roman" w:hAnsi="Courier New" w:cs="Courier New"/>
          <w:sz w:val="24"/>
          <w:szCs w:val="24"/>
        </w:rPr>
        <w:t>:</w:t>
      </w:r>
      <w:r w:rsidRPr="005012DC">
        <w:rPr>
          <w:rFonts w:ascii="Courier New" w:eastAsia="Times New Roman" w:hAnsi="Courier New" w:cs="Courier New"/>
          <w:sz w:val="24"/>
          <w:szCs w:val="24"/>
        </w:rPr>
        <w:t xml:space="preserve">  The Department </w:t>
      </w:r>
      <w:r>
        <w:rPr>
          <w:rFonts w:ascii="Courier New" w:eastAsia="Times New Roman" w:hAnsi="Courier New" w:cs="Courier New"/>
          <w:sz w:val="24"/>
          <w:szCs w:val="24"/>
        </w:rPr>
        <w:t xml:space="preserve">understands that there is </w:t>
      </w:r>
      <w:r w:rsidDel="008B2709">
        <w:rPr>
          <w:rFonts w:ascii="Courier New" w:eastAsia="Times New Roman" w:hAnsi="Courier New" w:cs="Courier New"/>
          <w:sz w:val="24"/>
          <w:szCs w:val="24"/>
        </w:rPr>
        <w:t>some</w:t>
      </w:r>
      <w:r w:rsidRPr="005012DC">
        <w:rPr>
          <w:rFonts w:ascii="Courier New" w:eastAsia="Times New Roman" w:hAnsi="Courier New" w:cs="Courier New"/>
          <w:sz w:val="24"/>
          <w:szCs w:val="24"/>
        </w:rPr>
        <w:t xml:space="preserve"> administrative burden </w:t>
      </w:r>
      <w:r>
        <w:rPr>
          <w:rFonts w:ascii="Courier New" w:eastAsia="Times New Roman" w:hAnsi="Courier New" w:cs="Courier New"/>
          <w:sz w:val="24"/>
          <w:szCs w:val="24"/>
        </w:rPr>
        <w:t xml:space="preserve">associated with </w:t>
      </w:r>
      <w:r w:rsidRPr="005012DC">
        <w:rPr>
          <w:rFonts w:ascii="Courier New" w:eastAsia="Times New Roman" w:hAnsi="Courier New" w:cs="Courier New"/>
          <w:sz w:val="24"/>
          <w:szCs w:val="24"/>
        </w:rPr>
        <w:t>submitting</w:t>
      </w:r>
      <w:r>
        <w:rPr>
          <w:rFonts w:ascii="Courier New" w:eastAsia="Times New Roman" w:hAnsi="Courier New" w:cs="Courier New"/>
          <w:sz w:val="24"/>
          <w:szCs w:val="24"/>
        </w:rPr>
        <w:t xml:space="preserve"> the transitional </w:t>
      </w:r>
      <w:r w:rsidRPr="005012DC">
        <w:rPr>
          <w:rFonts w:ascii="Courier New" w:eastAsia="Times New Roman" w:hAnsi="Courier New" w:cs="Courier New"/>
          <w:sz w:val="24"/>
          <w:szCs w:val="24"/>
        </w:rPr>
        <w:t>program</w:t>
      </w:r>
      <w:r>
        <w:rPr>
          <w:rFonts w:ascii="Courier New" w:eastAsia="Times New Roman" w:hAnsi="Courier New" w:cs="Courier New"/>
          <w:sz w:val="24"/>
          <w:szCs w:val="24"/>
        </w:rPr>
        <w:t xml:space="preserve"> certification</w:t>
      </w:r>
      <w:r w:rsidRPr="005012DC">
        <w:rPr>
          <w:rFonts w:ascii="Courier New" w:eastAsia="Times New Roman" w:hAnsi="Courier New" w:cs="Courier New"/>
          <w:sz w:val="24"/>
          <w:szCs w:val="24"/>
        </w:rPr>
        <w:t>s. </w:t>
      </w:r>
      <w:r>
        <w:rPr>
          <w:rFonts w:ascii="Courier New" w:eastAsia="Times New Roman" w:hAnsi="Courier New" w:cs="Courier New"/>
          <w:sz w:val="24"/>
          <w:szCs w:val="24"/>
        </w:rPr>
        <w:t xml:space="preserve"> However, programs should already be meeting the minimum requirements regarding accreditation, licensure, and certification, so the additional burden on institutions</w:t>
      </w:r>
      <w:r w:rsidR="00345F87">
        <w:rPr>
          <w:rFonts w:ascii="Courier New" w:eastAsia="Times New Roman" w:hAnsi="Courier New" w:cs="Courier New"/>
          <w:sz w:val="24"/>
          <w:szCs w:val="24"/>
        </w:rPr>
        <w:t xml:space="preserve"> of providing this information</w:t>
      </w:r>
      <w:r>
        <w:rPr>
          <w:rFonts w:ascii="Courier New" w:eastAsia="Times New Roman" w:hAnsi="Courier New" w:cs="Courier New"/>
          <w:sz w:val="24"/>
          <w:szCs w:val="24"/>
        </w:rPr>
        <w:t xml:space="preserve"> should be minimal.  This reporting burden </w:t>
      </w:r>
      <w:r w:rsidRPr="005012DC">
        <w:rPr>
          <w:rFonts w:ascii="Courier New" w:eastAsia="Times New Roman" w:hAnsi="Courier New" w:cs="Courier New"/>
          <w:sz w:val="24"/>
          <w:szCs w:val="24"/>
        </w:rPr>
        <w:t xml:space="preserve">is outweighed by the importance of </w:t>
      </w:r>
      <w:r>
        <w:rPr>
          <w:rFonts w:ascii="Courier New" w:eastAsia="Times New Roman" w:hAnsi="Courier New" w:cs="Courier New"/>
          <w:sz w:val="24"/>
          <w:szCs w:val="24"/>
        </w:rPr>
        <w:t>promptly confirming</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after the regulations become effective</w:t>
      </w:r>
      <w:r w:rsidRPr="005012DC">
        <w:rPr>
          <w:rFonts w:ascii="Courier New" w:eastAsia="Times New Roman" w:hAnsi="Courier New" w:cs="Courier New"/>
          <w:sz w:val="24"/>
          <w:szCs w:val="24"/>
        </w:rPr>
        <w:t xml:space="preserve"> that </w:t>
      </w:r>
      <w:r>
        <w:rPr>
          <w:rFonts w:ascii="Courier New" w:eastAsia="Times New Roman" w:hAnsi="Courier New" w:cs="Courier New"/>
          <w:sz w:val="24"/>
          <w:szCs w:val="24"/>
        </w:rPr>
        <w:t>all programs meet the certification requirements</w:t>
      </w:r>
      <w:r w:rsidRPr="005012DC">
        <w:rPr>
          <w:rFonts w:ascii="Courier New" w:eastAsia="Times New Roman" w:hAnsi="Courier New" w:cs="Courier New"/>
          <w:sz w:val="24"/>
          <w:szCs w:val="24"/>
        </w:rPr>
        <w:t>.</w:t>
      </w:r>
      <w:r>
        <w:rPr>
          <w:rFonts w:ascii="Courier New" w:eastAsia="Times New Roman" w:hAnsi="Courier New" w:cs="Courier New"/>
          <w:sz w:val="24"/>
          <w:szCs w:val="24"/>
        </w:rPr>
        <w:t xml:space="preserve">  This will reduce the potential harm to students who become enrolled, or continued harm to students already enrolled, in programs that do not meet </w:t>
      </w:r>
      <w:r w:rsidR="00345F87">
        <w:rPr>
          <w:rFonts w:ascii="Courier New" w:eastAsia="Times New Roman" w:hAnsi="Courier New" w:cs="Courier New"/>
          <w:sz w:val="24"/>
          <w:szCs w:val="24"/>
        </w:rPr>
        <w:t xml:space="preserve">the </w:t>
      </w:r>
      <w:r>
        <w:rPr>
          <w:rFonts w:ascii="Courier New" w:eastAsia="Times New Roman" w:hAnsi="Courier New" w:cs="Courier New"/>
          <w:sz w:val="24"/>
          <w:szCs w:val="24"/>
        </w:rPr>
        <w:t>minimum standards.  If we were to wait until PPA recertification, a significant amount of time could pass before a program’s deficiencies would come to light during which students would continue to accumulate debt and exhaust title IV, HEA program</w:t>
      </w:r>
      <w:r w:rsidDel="00345F8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eligibility in a program providing insufficient preparation.   </w:t>
      </w:r>
    </w:p>
    <w:p w14:paraId="64DBD97D"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6A3056">
        <w:rPr>
          <w:rFonts w:ascii="Courier New" w:eastAsia="Times New Roman" w:hAnsi="Courier New" w:cs="Courier New"/>
          <w:sz w:val="24"/>
          <w:szCs w:val="24"/>
          <w:u w:val="single"/>
        </w:rPr>
        <w:t>Changes</w:t>
      </w:r>
      <w:r w:rsidRPr="006A3056">
        <w:rPr>
          <w:rFonts w:ascii="Courier New" w:eastAsia="Times New Roman" w:hAnsi="Courier New" w:cs="Courier New"/>
          <w:sz w:val="24"/>
          <w:szCs w:val="24"/>
        </w:rPr>
        <w:t>:  None.</w:t>
      </w:r>
    </w:p>
    <w:p w14:paraId="6133788F"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Comments</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5012DC">
        <w:rPr>
          <w:rFonts w:ascii="Courier New" w:eastAsia="Times New Roman" w:hAnsi="Courier New" w:cs="Courier New"/>
          <w:sz w:val="24"/>
          <w:szCs w:val="24"/>
        </w:rPr>
        <w:t xml:space="preserve">Some commenters </w:t>
      </w:r>
      <w:r>
        <w:rPr>
          <w:rFonts w:ascii="Courier New" w:eastAsia="Times New Roman" w:hAnsi="Courier New" w:cs="Courier New"/>
          <w:sz w:val="24"/>
          <w:szCs w:val="24"/>
        </w:rPr>
        <w:t>argued</w:t>
      </w:r>
      <w:r w:rsidRPr="005012DC">
        <w:rPr>
          <w:rFonts w:ascii="Courier New" w:eastAsia="Times New Roman" w:hAnsi="Courier New" w:cs="Courier New"/>
          <w:sz w:val="24"/>
          <w:szCs w:val="24"/>
        </w:rPr>
        <w:t xml:space="preserve"> that institutions offering a program in multiple </w:t>
      </w:r>
      <w:r>
        <w:rPr>
          <w:rFonts w:ascii="Courier New" w:eastAsia="Times New Roman" w:hAnsi="Courier New" w:cs="Courier New"/>
          <w:sz w:val="24"/>
          <w:szCs w:val="24"/>
        </w:rPr>
        <w:t>S</w:t>
      </w:r>
      <w:r w:rsidRPr="005012DC">
        <w:rPr>
          <w:rFonts w:ascii="Courier New" w:eastAsia="Times New Roman" w:hAnsi="Courier New" w:cs="Courier New"/>
          <w:sz w:val="24"/>
          <w:szCs w:val="24"/>
        </w:rPr>
        <w:t>tate</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 might not meet the licensure, certification, and accreditation requirements in each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  They suggested that institutions should be prohibited from enrolling students in a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 where these requirements are not met.  Other commenters recommended </w:t>
      </w:r>
      <w:r>
        <w:rPr>
          <w:rFonts w:ascii="Courier New" w:eastAsia="Times New Roman" w:hAnsi="Courier New" w:cs="Courier New"/>
          <w:sz w:val="24"/>
          <w:szCs w:val="24"/>
        </w:rPr>
        <w:t xml:space="preserve">requiring </w:t>
      </w:r>
      <w:r w:rsidRPr="005012DC">
        <w:rPr>
          <w:rFonts w:ascii="Courier New" w:eastAsia="Times New Roman" w:hAnsi="Courier New" w:cs="Courier New"/>
          <w:sz w:val="24"/>
          <w:szCs w:val="24"/>
        </w:rPr>
        <w:t>institution</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 to disclose to students when a program does not meet the applicable certification requirements</w:t>
      </w:r>
      <w:r>
        <w:rPr>
          <w:rFonts w:ascii="Courier New" w:eastAsia="Times New Roman" w:hAnsi="Courier New" w:cs="Courier New"/>
          <w:sz w:val="24"/>
          <w:szCs w:val="24"/>
        </w:rPr>
        <w:t xml:space="preserve"> for the State where the student is located</w:t>
      </w:r>
      <w:r w:rsidRPr="005012DC">
        <w:rPr>
          <w:rFonts w:ascii="Courier New" w:eastAsia="Times New Roman" w:hAnsi="Courier New" w:cs="Courier New"/>
          <w:sz w:val="24"/>
          <w:szCs w:val="24"/>
        </w:rPr>
        <w:t xml:space="preserve">, but that the student should still be able to choose to enroll in that program.  Several commenters </w:t>
      </w:r>
      <w:r>
        <w:rPr>
          <w:rFonts w:ascii="Courier New" w:eastAsia="Times New Roman" w:hAnsi="Courier New" w:cs="Courier New"/>
          <w:sz w:val="24"/>
          <w:szCs w:val="24"/>
        </w:rPr>
        <w:t>asserted</w:t>
      </w:r>
      <w:r w:rsidRPr="005012DC">
        <w:rPr>
          <w:rFonts w:ascii="Courier New" w:eastAsia="Times New Roman" w:hAnsi="Courier New" w:cs="Courier New"/>
          <w:sz w:val="24"/>
          <w:szCs w:val="24"/>
        </w:rPr>
        <w:t xml:space="preserve"> that a student </w:t>
      </w:r>
      <w:r>
        <w:rPr>
          <w:rFonts w:ascii="Courier New" w:eastAsia="Times New Roman" w:hAnsi="Courier New" w:cs="Courier New"/>
          <w:sz w:val="24"/>
          <w:szCs w:val="24"/>
        </w:rPr>
        <w:t>might still choose to</w:t>
      </w:r>
      <w:r w:rsidRPr="005012DC">
        <w:rPr>
          <w:rFonts w:ascii="Courier New" w:eastAsia="Times New Roman" w:hAnsi="Courier New" w:cs="Courier New"/>
          <w:sz w:val="24"/>
          <w:szCs w:val="24"/>
        </w:rPr>
        <w:t xml:space="preserve"> enroll in </w:t>
      </w:r>
      <w:r>
        <w:rPr>
          <w:rFonts w:ascii="Courier New" w:eastAsia="Times New Roman" w:hAnsi="Courier New" w:cs="Courier New"/>
          <w:sz w:val="24"/>
          <w:szCs w:val="24"/>
        </w:rPr>
        <w:t xml:space="preserve">such </w:t>
      </w:r>
      <w:r w:rsidRPr="005012DC">
        <w:rPr>
          <w:rFonts w:ascii="Courier New" w:eastAsia="Times New Roman" w:hAnsi="Courier New" w:cs="Courier New"/>
          <w:sz w:val="24"/>
          <w:szCs w:val="24"/>
        </w:rPr>
        <w:t xml:space="preserve">a program because the student intends to move to, and work in, a different </w:t>
      </w:r>
      <w:r>
        <w:rPr>
          <w:rFonts w:ascii="Courier New" w:eastAsia="Times New Roman" w:hAnsi="Courier New" w:cs="Courier New"/>
          <w:sz w:val="24"/>
          <w:szCs w:val="24"/>
        </w:rPr>
        <w:t>S</w:t>
      </w:r>
      <w:r w:rsidRPr="005012DC">
        <w:rPr>
          <w:rFonts w:ascii="Courier New" w:eastAsia="Times New Roman" w:hAnsi="Courier New" w:cs="Courier New"/>
          <w:sz w:val="24"/>
          <w:szCs w:val="24"/>
        </w:rPr>
        <w:t>tate where the program would meet any applicable certification requirements.  </w:t>
      </w:r>
    </w:p>
    <w:p w14:paraId="0EA4F239" w14:textId="77777777" w:rsidR="00915790" w:rsidRPr="005012DC" w:rsidRDefault="00915790" w:rsidP="00915790">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rPr>
        <w:t xml:space="preserve">     </w:t>
      </w:r>
      <w:r w:rsidRPr="00D40D8A">
        <w:rPr>
          <w:rFonts w:ascii="Courier New" w:eastAsia="Times New Roman" w:hAnsi="Courier New" w:cs="Courier New"/>
          <w:sz w:val="24"/>
          <w:szCs w:val="24"/>
        </w:rPr>
        <w:t xml:space="preserve">Some commenters </w:t>
      </w:r>
      <w:r>
        <w:rPr>
          <w:rFonts w:ascii="Courier New" w:eastAsia="Times New Roman" w:hAnsi="Courier New" w:cs="Courier New"/>
          <w:sz w:val="24"/>
          <w:szCs w:val="24"/>
        </w:rPr>
        <w:t xml:space="preserve">criticized the requirements of the proposed regulations to </w:t>
      </w:r>
      <w:r w:rsidRPr="00D40D8A">
        <w:rPr>
          <w:rFonts w:ascii="Courier New" w:eastAsia="Times New Roman" w:hAnsi="Courier New" w:cs="Courier New"/>
          <w:sz w:val="24"/>
          <w:szCs w:val="24"/>
        </w:rPr>
        <w:t>obtain necessary programmatic accreditation and State-level approvals whe</w:t>
      </w:r>
      <w:r>
        <w:rPr>
          <w:rFonts w:ascii="Courier New" w:eastAsia="Times New Roman" w:hAnsi="Courier New" w:cs="Courier New"/>
          <w:sz w:val="24"/>
          <w:szCs w:val="24"/>
        </w:rPr>
        <w:t>re</w:t>
      </w:r>
      <w:r w:rsidRPr="00D40D8A">
        <w:rPr>
          <w:rFonts w:ascii="Courier New" w:eastAsia="Times New Roman" w:hAnsi="Courier New" w:cs="Courier New"/>
          <w:sz w:val="24"/>
          <w:szCs w:val="24"/>
        </w:rPr>
        <w:t xml:space="preserve"> the MSA within which they </w:t>
      </w:r>
      <w:r>
        <w:rPr>
          <w:rFonts w:ascii="Courier New" w:eastAsia="Times New Roman" w:hAnsi="Courier New" w:cs="Courier New"/>
          <w:sz w:val="24"/>
          <w:szCs w:val="24"/>
        </w:rPr>
        <w:t xml:space="preserve">operate spans multiple States.  </w:t>
      </w:r>
      <w:r w:rsidRPr="005012DC">
        <w:rPr>
          <w:rFonts w:ascii="Courier New" w:eastAsia="Times New Roman" w:hAnsi="Courier New" w:cs="Courier New"/>
          <w:sz w:val="24"/>
          <w:szCs w:val="24"/>
        </w:rPr>
        <w:t xml:space="preserve">Several commenters </w:t>
      </w:r>
      <w:r>
        <w:rPr>
          <w:rFonts w:ascii="Courier New" w:eastAsia="Times New Roman" w:hAnsi="Courier New" w:cs="Courier New"/>
          <w:sz w:val="24"/>
          <w:szCs w:val="24"/>
        </w:rPr>
        <w:t xml:space="preserve">were </w:t>
      </w:r>
      <w:r w:rsidRPr="005012DC">
        <w:rPr>
          <w:rFonts w:ascii="Courier New" w:eastAsia="Times New Roman" w:hAnsi="Courier New" w:cs="Courier New"/>
          <w:sz w:val="24"/>
          <w:szCs w:val="24"/>
        </w:rPr>
        <w:t>concern</w:t>
      </w:r>
      <w:r>
        <w:rPr>
          <w:rFonts w:ascii="Courier New" w:eastAsia="Times New Roman" w:hAnsi="Courier New" w:cs="Courier New"/>
          <w:sz w:val="24"/>
          <w:szCs w:val="24"/>
        </w:rPr>
        <w:t>ed</w:t>
      </w:r>
      <w:r w:rsidRPr="005012DC">
        <w:rPr>
          <w:rFonts w:ascii="Courier New" w:eastAsia="Times New Roman" w:hAnsi="Courier New" w:cs="Courier New"/>
          <w:sz w:val="24"/>
          <w:szCs w:val="24"/>
        </w:rPr>
        <w:t xml:space="preserve"> that it would be difficult for programs to </w:t>
      </w:r>
      <w:r>
        <w:rPr>
          <w:rFonts w:ascii="Courier New" w:eastAsia="Times New Roman" w:hAnsi="Courier New" w:cs="Courier New"/>
          <w:sz w:val="24"/>
          <w:szCs w:val="24"/>
        </w:rPr>
        <w:t xml:space="preserve">meet the requirements of all of these States. </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The commenters stated</w:t>
      </w:r>
      <w:r w:rsidRPr="005012DC">
        <w:rPr>
          <w:rFonts w:ascii="Courier New" w:eastAsia="Times New Roman" w:hAnsi="Courier New" w:cs="Courier New"/>
          <w:sz w:val="24"/>
          <w:szCs w:val="24"/>
        </w:rPr>
        <w:t xml:space="preserve"> that the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tate-MSA requirement could lead to confusion in a large MSA where an institution might not be aware of which governmental agencies have requirements and </w:t>
      </w:r>
      <w:r>
        <w:rPr>
          <w:rFonts w:ascii="Courier New" w:eastAsia="Times New Roman" w:hAnsi="Courier New" w:cs="Courier New"/>
          <w:sz w:val="24"/>
          <w:szCs w:val="24"/>
        </w:rPr>
        <w:t xml:space="preserve">of </w:t>
      </w:r>
      <w:r w:rsidRPr="005012DC">
        <w:rPr>
          <w:rFonts w:ascii="Courier New" w:eastAsia="Times New Roman" w:hAnsi="Courier New" w:cs="Courier New"/>
          <w:sz w:val="24"/>
          <w:szCs w:val="24"/>
        </w:rPr>
        <w:t>differ</w:t>
      </w:r>
      <w:r>
        <w:rPr>
          <w:rFonts w:ascii="Courier New" w:eastAsia="Times New Roman" w:hAnsi="Courier New" w:cs="Courier New"/>
          <w:sz w:val="24"/>
          <w:szCs w:val="24"/>
        </w:rPr>
        <w:t>ing</w:t>
      </w:r>
      <w:r w:rsidRPr="005012DC">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requirements between States.  </w:t>
      </w:r>
      <w:r w:rsidRPr="005012DC">
        <w:rPr>
          <w:rFonts w:ascii="Courier New" w:eastAsia="Times New Roman" w:hAnsi="Courier New" w:cs="Courier New"/>
          <w:sz w:val="24"/>
          <w:szCs w:val="24"/>
        </w:rPr>
        <w:t>One commenter suggested that the M</w:t>
      </w:r>
      <w:r>
        <w:rPr>
          <w:rFonts w:ascii="Courier New" w:eastAsia="Times New Roman" w:hAnsi="Courier New" w:cs="Courier New"/>
          <w:sz w:val="24"/>
          <w:szCs w:val="24"/>
        </w:rPr>
        <w:t>SA requirement</w:t>
      </w:r>
      <w:r w:rsidRPr="005012DC">
        <w:rPr>
          <w:rFonts w:ascii="Courier New" w:eastAsia="Times New Roman" w:hAnsi="Courier New" w:cs="Courier New"/>
          <w:sz w:val="24"/>
          <w:szCs w:val="24"/>
        </w:rPr>
        <w:t xml:space="preserve"> would be contrary to </w:t>
      </w:r>
      <w:r>
        <w:rPr>
          <w:rFonts w:ascii="Courier New" w:eastAsia="Times New Roman" w:hAnsi="Courier New" w:cs="Courier New"/>
          <w:sz w:val="24"/>
          <w:szCs w:val="24"/>
        </w:rPr>
        <w:t xml:space="preserve">provisions in </w:t>
      </w:r>
      <w:r w:rsidRPr="005012DC">
        <w:rPr>
          <w:rFonts w:ascii="Courier New" w:eastAsia="Times New Roman" w:hAnsi="Courier New" w:cs="Courier New"/>
          <w:sz w:val="24"/>
          <w:szCs w:val="24"/>
        </w:rPr>
        <w:t xml:space="preserve">OMB Bulletin 13-01.  Another commenter asserted that the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tate-MSA requirement would limit an institution’s ability to offer programs specialized to meet local labor market needs.  </w:t>
      </w:r>
    </w:p>
    <w:p w14:paraId="68ED3A3D" w14:textId="77777777" w:rsidR="00915790" w:rsidRPr="005012DC" w:rsidRDefault="00915790" w:rsidP="00915790">
      <w:pPr>
        <w:shd w:val="clear" w:color="auto" w:fill="FFFFFF"/>
        <w:spacing w:after="0" w:line="480" w:lineRule="auto"/>
        <w:ind w:firstLine="720"/>
        <w:rPr>
          <w:rFonts w:ascii="Courier New" w:eastAsia="Times New Roman" w:hAnsi="Courier New" w:cs="Courier New"/>
          <w:sz w:val="24"/>
          <w:szCs w:val="24"/>
        </w:rPr>
      </w:pPr>
      <w:r w:rsidRPr="005012DC">
        <w:rPr>
          <w:rFonts w:ascii="Courier New" w:eastAsia="Times New Roman" w:hAnsi="Courier New" w:cs="Courier New"/>
          <w:sz w:val="24"/>
          <w:szCs w:val="24"/>
        </w:rPr>
        <w:t xml:space="preserve">Some commenters argued that that the use of MSAs was not appropriate for online programs, because they </w:t>
      </w:r>
      <w:r>
        <w:rPr>
          <w:rFonts w:ascii="Courier New" w:eastAsia="Times New Roman" w:hAnsi="Courier New" w:cs="Courier New"/>
          <w:sz w:val="24"/>
          <w:szCs w:val="24"/>
        </w:rPr>
        <w:t>are</w:t>
      </w:r>
      <w:r w:rsidRPr="005012DC">
        <w:rPr>
          <w:rFonts w:ascii="Courier New" w:eastAsia="Times New Roman" w:hAnsi="Courier New" w:cs="Courier New"/>
          <w:sz w:val="24"/>
          <w:szCs w:val="24"/>
        </w:rPr>
        <w:t xml:space="preserve"> not bound by physical location.  Other commenters asserted that the physical location of students should determine the relevant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tates whose requirements must be met rather than the physical location of institutions.  They suggested that the certifications should apply to any </w:t>
      </w:r>
      <w:r>
        <w:rPr>
          <w:rFonts w:ascii="Courier New" w:eastAsia="Times New Roman" w:hAnsi="Courier New" w:cs="Courier New"/>
          <w:sz w:val="24"/>
          <w:szCs w:val="24"/>
        </w:rPr>
        <w:t>S</w:t>
      </w:r>
      <w:r w:rsidRPr="005012DC">
        <w:rPr>
          <w:rFonts w:ascii="Courier New" w:eastAsia="Times New Roman" w:hAnsi="Courier New" w:cs="Courier New"/>
          <w:sz w:val="24"/>
          <w:szCs w:val="24"/>
        </w:rPr>
        <w:t xml:space="preserve">tate in which a sizeable number or plurality of students are enrolled.  </w:t>
      </w:r>
    </w:p>
    <w:p w14:paraId="4D9B7000" w14:textId="77777777" w:rsidR="005A4DA6" w:rsidRDefault="00915790" w:rsidP="005A4DA6">
      <w:pPr>
        <w:shd w:val="clear" w:color="auto" w:fill="FFFFFF"/>
        <w:spacing w:after="0" w:line="480" w:lineRule="auto"/>
        <w:rPr>
          <w:rFonts w:ascii="Courier New" w:eastAsia="Times New Roman" w:hAnsi="Courier New" w:cs="Courier New"/>
          <w:sz w:val="24"/>
          <w:szCs w:val="24"/>
        </w:rPr>
      </w:pPr>
      <w:r w:rsidRPr="005012DC">
        <w:rPr>
          <w:rFonts w:ascii="Courier New" w:eastAsia="Times New Roman" w:hAnsi="Courier New" w:cs="Courier New"/>
          <w:sz w:val="24"/>
          <w:szCs w:val="24"/>
          <w:u w:val="single"/>
        </w:rPr>
        <w:t>Discussion</w:t>
      </w:r>
      <w:r w:rsidRPr="005012DC">
        <w:rPr>
          <w:rFonts w:ascii="Courier New" w:eastAsia="Times New Roman" w:hAnsi="Courier New" w:cs="Courier New"/>
          <w:sz w:val="24"/>
          <w:szCs w:val="24"/>
        </w:rPr>
        <w:t>: </w:t>
      </w:r>
      <w:r>
        <w:rPr>
          <w:rFonts w:ascii="Courier New" w:eastAsia="Times New Roman" w:hAnsi="Courier New" w:cs="Courier New"/>
          <w:sz w:val="24"/>
          <w:szCs w:val="24"/>
        </w:rPr>
        <w:t xml:space="preserve"> We do not agree that it is too difficult for an institution to identify all of the governmental agencies that have licensure, certification, and accreditation requirements in the States that intersect with the MSA </w:t>
      </w:r>
      <w:r w:rsidDel="00B57AC3">
        <w:rPr>
          <w:rFonts w:ascii="Courier New" w:eastAsia="Times New Roman" w:hAnsi="Courier New" w:cs="Courier New"/>
          <w:sz w:val="24"/>
          <w:szCs w:val="24"/>
        </w:rPr>
        <w:t>where a</w:t>
      </w:r>
      <w:r>
        <w:rPr>
          <w:rFonts w:ascii="Courier New" w:eastAsia="Times New Roman" w:hAnsi="Courier New" w:cs="Courier New"/>
          <w:sz w:val="24"/>
          <w:szCs w:val="24"/>
        </w:rPr>
        <w:t xml:space="preserve"> program is located.  It is an institution’s responsibility to be aware of the requirements in the States </w:t>
      </w:r>
      <w:r w:rsidR="009C14FA">
        <w:rPr>
          <w:rFonts w:ascii="Courier New" w:eastAsia="Times New Roman" w:hAnsi="Courier New" w:cs="Courier New"/>
          <w:sz w:val="24"/>
          <w:szCs w:val="24"/>
        </w:rPr>
        <w:t>where</w:t>
      </w:r>
      <w:r>
        <w:rPr>
          <w:rFonts w:ascii="Courier New" w:eastAsia="Times New Roman" w:hAnsi="Courier New" w:cs="Courier New"/>
          <w:sz w:val="24"/>
          <w:szCs w:val="24"/>
        </w:rPr>
        <w:t xml:space="preserve"> its students are likely to seek employment and ensure that their programs meet those requirements.  However, we recognize that in some cases, State requirements </w:t>
      </w:r>
      <w:r w:rsidR="001E5F1B">
        <w:rPr>
          <w:rFonts w:ascii="Courier New" w:eastAsia="Times New Roman" w:hAnsi="Courier New" w:cs="Courier New"/>
          <w:sz w:val="24"/>
          <w:szCs w:val="24"/>
        </w:rPr>
        <w:t>may</w:t>
      </w:r>
      <w:r>
        <w:rPr>
          <w:rFonts w:ascii="Courier New" w:eastAsia="Times New Roman" w:hAnsi="Courier New" w:cs="Courier New"/>
          <w:sz w:val="24"/>
          <w:szCs w:val="24"/>
        </w:rPr>
        <w:t xml:space="preserve"> conflict in such a way that it would be impossible to concurrently meet the requirements of multiple States.  For example, Ohio and Kentucky, which are a part of the Cincinnati, Ohio MSA, require nail technicians to receive a minimum of 200 and 600 clock hours of training</w:t>
      </w:r>
      <w:r w:rsidR="009775C1">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287057">
        <w:rPr>
          <w:rFonts w:ascii="Courier New" w:eastAsia="Times New Roman" w:hAnsi="Courier New" w:cs="Courier New"/>
          <w:sz w:val="24"/>
          <w:szCs w:val="24"/>
        </w:rPr>
        <w:t>respectively</w:t>
      </w:r>
      <w:r w:rsidR="009775C1">
        <w:rPr>
          <w:rFonts w:ascii="Courier New" w:eastAsia="Times New Roman" w:hAnsi="Courier New" w:cs="Courier New"/>
          <w:sz w:val="24"/>
          <w:szCs w:val="24"/>
        </w:rPr>
        <w:t>,</w:t>
      </w:r>
      <w:r w:rsidRPr="00287057">
        <w:rPr>
          <w:rFonts w:ascii="Courier New" w:eastAsia="Times New Roman" w:hAnsi="Courier New" w:cs="Courier New"/>
          <w:sz w:val="24"/>
          <w:szCs w:val="24"/>
        </w:rPr>
        <w:t xml:space="preserve"> in order to </w:t>
      </w:r>
      <w:r>
        <w:rPr>
          <w:rFonts w:ascii="Courier New" w:eastAsia="Times New Roman" w:hAnsi="Courier New" w:cs="Courier New"/>
          <w:sz w:val="24"/>
          <w:szCs w:val="24"/>
        </w:rPr>
        <w:t>obtain a license</w:t>
      </w:r>
      <w:r w:rsidRPr="00287057">
        <w:rPr>
          <w:rFonts w:ascii="Courier New" w:eastAsia="Times New Roman" w:hAnsi="Courier New" w:cs="Courier New"/>
          <w:sz w:val="24"/>
          <w:szCs w:val="24"/>
        </w:rPr>
        <w:t>.  However, the regulation</w:t>
      </w:r>
      <w:r>
        <w:rPr>
          <w:rFonts w:ascii="Courier New" w:eastAsia="Times New Roman" w:hAnsi="Courier New" w:cs="Courier New"/>
          <w:sz w:val="24"/>
          <w:szCs w:val="24"/>
        </w:rPr>
        <w:t>s</w:t>
      </w:r>
      <w:r w:rsidRPr="00287057">
        <w:rPr>
          <w:rFonts w:ascii="Courier New" w:eastAsia="Times New Roman" w:hAnsi="Courier New" w:cs="Courier New"/>
          <w:sz w:val="24"/>
          <w:szCs w:val="24"/>
        </w:rPr>
        <w:t xml:space="preserve"> at </w:t>
      </w:r>
      <w:r w:rsidRPr="00126CC9">
        <w:rPr>
          <w:rFonts w:ascii="Courier New" w:hAnsi="Courier New" w:cs="Courier New"/>
          <w:sz w:val="24"/>
          <w:szCs w:val="24"/>
        </w:rPr>
        <w:t>§668.14(b)(26)</w:t>
      </w:r>
      <w:r w:rsidRPr="0028705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provide that the length of a program cannot exceed 150 percent of the minimum number of clock hours of training established by a State for the relevant occupation.  In this case, a nail technician program in Cincinnati could not concurrently meet the requirements for both Ohio and Kentucky because a program length beyond 300 hours would violate </w:t>
      </w:r>
      <w:r w:rsidRPr="00B81803">
        <w:rPr>
          <w:rFonts w:ascii="Courier New" w:hAnsi="Courier New" w:cs="Courier New"/>
          <w:sz w:val="24"/>
          <w:szCs w:val="24"/>
        </w:rPr>
        <w:t>§668.14(b)(26)</w:t>
      </w:r>
      <w:r>
        <w:rPr>
          <w:rFonts w:ascii="Courier New" w:hAnsi="Courier New" w:cs="Courier New"/>
          <w:sz w:val="24"/>
          <w:szCs w:val="24"/>
        </w:rPr>
        <w:t xml:space="preserve">, jeopardizing the program’s title IV, HEA program eligibility.  </w:t>
      </w:r>
      <w:r>
        <w:rPr>
          <w:rFonts w:ascii="Courier New" w:eastAsia="Times New Roman" w:hAnsi="Courier New" w:cs="Courier New"/>
          <w:sz w:val="24"/>
          <w:szCs w:val="24"/>
        </w:rPr>
        <w:t>As a result, w</w:t>
      </w:r>
      <w:r w:rsidRPr="00287057">
        <w:rPr>
          <w:rFonts w:ascii="Courier New" w:eastAsia="Times New Roman" w:hAnsi="Courier New" w:cs="Courier New"/>
          <w:sz w:val="24"/>
          <w:szCs w:val="24"/>
        </w:rPr>
        <w:t>e are revising the</w:t>
      </w:r>
      <w:r w:rsidR="009C14FA">
        <w:rPr>
          <w:rFonts w:ascii="Courier New" w:eastAsia="Times New Roman" w:hAnsi="Courier New" w:cs="Courier New"/>
          <w:sz w:val="24"/>
          <w:szCs w:val="24"/>
        </w:rPr>
        <w:t xml:space="preserve"> </w:t>
      </w:r>
      <w:r w:rsidRPr="00287057">
        <w:rPr>
          <w:rFonts w:ascii="Courier New" w:eastAsia="Times New Roman" w:hAnsi="Courier New" w:cs="Courier New"/>
          <w:sz w:val="24"/>
          <w:szCs w:val="24"/>
        </w:rPr>
        <w:t>regulations</w:t>
      </w:r>
      <w:r>
        <w:rPr>
          <w:rFonts w:ascii="Courier New" w:eastAsia="Times New Roman" w:hAnsi="Courier New" w:cs="Courier New"/>
          <w:sz w:val="24"/>
          <w:szCs w:val="24"/>
        </w:rPr>
        <w:t xml:space="preserve"> to remove the MSA certification requirement</w:t>
      </w:r>
      <w:r w:rsidR="009775C1">
        <w:rPr>
          <w:rFonts w:ascii="Courier New" w:eastAsia="Times New Roman" w:hAnsi="Courier New" w:cs="Courier New"/>
          <w:sz w:val="24"/>
          <w:szCs w:val="24"/>
        </w:rPr>
        <w:t>.</w:t>
      </w:r>
      <w:r w:rsidR="0031699B">
        <w:rPr>
          <w:rFonts w:ascii="Courier New" w:eastAsia="Times New Roman" w:hAnsi="Courier New" w:cs="Courier New"/>
          <w:sz w:val="24"/>
          <w:szCs w:val="24"/>
        </w:rPr>
        <w:t xml:space="preserve"> </w:t>
      </w:r>
      <w:r w:rsidR="009775C1">
        <w:rPr>
          <w:rFonts w:ascii="Courier New" w:eastAsia="Times New Roman" w:hAnsi="Courier New" w:cs="Courier New"/>
          <w:sz w:val="24"/>
          <w:szCs w:val="24"/>
        </w:rPr>
        <w:t xml:space="preserve"> However, </w:t>
      </w:r>
      <w:r w:rsidR="0031699B">
        <w:rPr>
          <w:rFonts w:ascii="Courier New" w:eastAsia="Times New Roman" w:hAnsi="Courier New" w:cs="Courier New"/>
          <w:sz w:val="24"/>
          <w:szCs w:val="24"/>
        </w:rPr>
        <w:t xml:space="preserve">institutions </w:t>
      </w:r>
      <w:r w:rsidR="009C14FA">
        <w:rPr>
          <w:rFonts w:ascii="Courier New" w:eastAsia="Times New Roman" w:hAnsi="Courier New" w:cs="Courier New"/>
          <w:sz w:val="24"/>
          <w:szCs w:val="24"/>
        </w:rPr>
        <w:t xml:space="preserve">will still be </w:t>
      </w:r>
      <w:r w:rsidR="0031699B">
        <w:rPr>
          <w:rFonts w:ascii="Courier New" w:eastAsia="Times New Roman" w:hAnsi="Courier New" w:cs="Courier New"/>
          <w:sz w:val="24"/>
          <w:szCs w:val="24"/>
        </w:rPr>
        <w:t>required</w:t>
      </w:r>
      <w:r w:rsidR="009775C1">
        <w:rPr>
          <w:rFonts w:ascii="Courier New" w:eastAsia="Times New Roman" w:hAnsi="Courier New" w:cs="Courier New"/>
          <w:sz w:val="24"/>
          <w:szCs w:val="24"/>
        </w:rPr>
        <w:t xml:space="preserve"> under §668.412</w:t>
      </w:r>
      <w:r w:rsidR="00E539D8">
        <w:rPr>
          <w:rFonts w:ascii="Courier New" w:eastAsia="Times New Roman" w:hAnsi="Courier New" w:cs="Courier New"/>
          <w:sz w:val="24"/>
          <w:szCs w:val="24"/>
        </w:rPr>
        <w:t>(a)(14)</w:t>
      </w:r>
      <w:r w:rsidR="0031699B">
        <w:rPr>
          <w:rFonts w:ascii="Courier New" w:eastAsia="Times New Roman" w:hAnsi="Courier New" w:cs="Courier New"/>
          <w:sz w:val="24"/>
          <w:szCs w:val="24"/>
        </w:rPr>
        <w:t xml:space="preserve"> to disclos</w:t>
      </w:r>
      <w:r w:rsidR="009775C1">
        <w:rPr>
          <w:rFonts w:ascii="Courier New" w:eastAsia="Times New Roman" w:hAnsi="Courier New" w:cs="Courier New"/>
          <w:sz w:val="24"/>
          <w:szCs w:val="24"/>
        </w:rPr>
        <w:t>e</w:t>
      </w:r>
      <w:r w:rsidR="0031699B">
        <w:rPr>
          <w:rFonts w:ascii="Courier New" w:eastAsia="Times New Roman" w:hAnsi="Courier New" w:cs="Courier New"/>
          <w:sz w:val="24"/>
          <w:szCs w:val="24"/>
        </w:rPr>
        <w:t xml:space="preserve"> </w:t>
      </w:r>
      <w:r w:rsidR="009C14FA">
        <w:rPr>
          <w:rFonts w:ascii="Courier New" w:eastAsia="Times New Roman" w:hAnsi="Courier New" w:cs="Courier New"/>
          <w:sz w:val="24"/>
          <w:szCs w:val="24"/>
        </w:rPr>
        <w:t>whether a program meets applicable requirements</w:t>
      </w:r>
      <w:r w:rsidR="00E539D8">
        <w:rPr>
          <w:rFonts w:ascii="Courier New" w:eastAsia="Times New Roman" w:hAnsi="Courier New" w:cs="Courier New"/>
          <w:sz w:val="24"/>
          <w:szCs w:val="24"/>
        </w:rPr>
        <w:t xml:space="preserve"> in each State in the institution’s MSA</w:t>
      </w:r>
      <w:r>
        <w:rPr>
          <w:rFonts w:ascii="Courier New" w:eastAsia="Times New Roman" w:hAnsi="Courier New" w:cs="Courier New"/>
          <w:sz w:val="24"/>
          <w:szCs w:val="24"/>
        </w:rPr>
        <w:t>.</w:t>
      </w:r>
    </w:p>
    <w:p w14:paraId="3D199AA5" w14:textId="77777777" w:rsidR="005E6CA3" w:rsidRDefault="00AD0EA2" w:rsidP="005E6CA3">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We are </w:t>
      </w:r>
      <w:r w:rsidR="00042F1A">
        <w:rPr>
          <w:rFonts w:ascii="Courier New" w:eastAsia="Times New Roman" w:hAnsi="Courier New" w:cs="Courier New"/>
          <w:sz w:val="24"/>
          <w:szCs w:val="24"/>
        </w:rPr>
        <w:t xml:space="preserve">addressing this potential conflict between different </w:t>
      </w:r>
      <w:r w:rsidR="007A3425">
        <w:rPr>
          <w:rFonts w:ascii="Courier New" w:eastAsia="Times New Roman" w:hAnsi="Courier New" w:cs="Courier New"/>
          <w:sz w:val="24"/>
          <w:szCs w:val="24"/>
        </w:rPr>
        <w:t>S</w:t>
      </w:r>
      <w:r w:rsidR="00042F1A">
        <w:rPr>
          <w:rFonts w:ascii="Courier New" w:eastAsia="Times New Roman" w:hAnsi="Courier New" w:cs="Courier New"/>
          <w:sz w:val="24"/>
          <w:szCs w:val="24"/>
        </w:rPr>
        <w:t xml:space="preserve">tate requirements </w:t>
      </w:r>
      <w:r w:rsidR="00CD7C32">
        <w:rPr>
          <w:rFonts w:ascii="Courier New" w:eastAsia="Times New Roman" w:hAnsi="Courier New" w:cs="Courier New"/>
          <w:sz w:val="24"/>
          <w:szCs w:val="24"/>
        </w:rPr>
        <w:t xml:space="preserve">within an institution’s MSA </w:t>
      </w:r>
      <w:r w:rsidR="00042F1A">
        <w:rPr>
          <w:rFonts w:ascii="Courier New" w:eastAsia="Times New Roman" w:hAnsi="Courier New" w:cs="Courier New"/>
          <w:sz w:val="24"/>
          <w:szCs w:val="24"/>
        </w:rPr>
        <w:t xml:space="preserve">by eliminating the proposal for program certifications to cover the </w:t>
      </w:r>
      <w:r w:rsidR="007A3425">
        <w:rPr>
          <w:rFonts w:ascii="Courier New" w:eastAsia="Times New Roman" w:hAnsi="Courier New" w:cs="Courier New"/>
          <w:sz w:val="24"/>
          <w:szCs w:val="24"/>
        </w:rPr>
        <w:t>S</w:t>
      </w:r>
      <w:r w:rsidR="00042F1A">
        <w:rPr>
          <w:rFonts w:ascii="Courier New" w:eastAsia="Times New Roman" w:hAnsi="Courier New" w:cs="Courier New"/>
          <w:sz w:val="24"/>
          <w:szCs w:val="24"/>
        </w:rPr>
        <w:t>tates within a</w:t>
      </w:r>
      <w:r w:rsidR="007A3425">
        <w:rPr>
          <w:rFonts w:ascii="Courier New" w:eastAsia="Times New Roman" w:hAnsi="Courier New" w:cs="Courier New"/>
          <w:sz w:val="24"/>
          <w:szCs w:val="24"/>
        </w:rPr>
        <w:t>n</w:t>
      </w:r>
      <w:r w:rsidR="00042F1A">
        <w:rPr>
          <w:rFonts w:ascii="Courier New" w:eastAsia="Times New Roman" w:hAnsi="Courier New" w:cs="Courier New"/>
          <w:sz w:val="24"/>
          <w:szCs w:val="24"/>
        </w:rPr>
        <w:t xml:space="preserve"> MSA, and </w:t>
      </w:r>
      <w:r w:rsidR="009C14FA">
        <w:rPr>
          <w:rFonts w:ascii="Courier New" w:eastAsia="Times New Roman" w:hAnsi="Courier New" w:cs="Courier New"/>
          <w:sz w:val="24"/>
          <w:szCs w:val="24"/>
        </w:rPr>
        <w:t xml:space="preserve">requiring </w:t>
      </w:r>
      <w:r w:rsidR="00CD7C32">
        <w:rPr>
          <w:rFonts w:ascii="Courier New" w:eastAsia="Times New Roman" w:hAnsi="Courier New" w:cs="Courier New"/>
          <w:sz w:val="24"/>
          <w:szCs w:val="24"/>
        </w:rPr>
        <w:t xml:space="preserve">instead </w:t>
      </w:r>
      <w:r w:rsidR="009C14FA">
        <w:rPr>
          <w:rFonts w:ascii="Courier New" w:eastAsia="Times New Roman" w:hAnsi="Courier New" w:cs="Courier New"/>
          <w:sz w:val="24"/>
          <w:szCs w:val="24"/>
        </w:rPr>
        <w:t xml:space="preserve">that the </w:t>
      </w:r>
      <w:r w:rsidR="00042F1A">
        <w:rPr>
          <w:rFonts w:ascii="Courier New" w:eastAsia="Times New Roman" w:hAnsi="Courier New" w:cs="Courier New"/>
          <w:sz w:val="24"/>
          <w:szCs w:val="24"/>
        </w:rPr>
        <w:t>institution provide applicable program</w:t>
      </w:r>
      <w:r w:rsidR="009C14FA">
        <w:rPr>
          <w:rFonts w:ascii="Courier New" w:eastAsia="Times New Roman" w:hAnsi="Courier New" w:cs="Courier New"/>
          <w:sz w:val="24"/>
          <w:szCs w:val="24"/>
        </w:rPr>
        <w:t xml:space="preserve"> certification</w:t>
      </w:r>
      <w:r w:rsidR="00042F1A">
        <w:rPr>
          <w:rFonts w:ascii="Courier New" w:eastAsia="Times New Roman" w:hAnsi="Courier New" w:cs="Courier New"/>
          <w:sz w:val="24"/>
          <w:szCs w:val="24"/>
        </w:rPr>
        <w:t>s</w:t>
      </w:r>
      <w:r w:rsidR="009C14FA">
        <w:rPr>
          <w:rFonts w:ascii="Courier New" w:eastAsia="Times New Roman" w:hAnsi="Courier New" w:cs="Courier New"/>
          <w:sz w:val="24"/>
          <w:szCs w:val="24"/>
        </w:rPr>
        <w:t xml:space="preserve">  in any State </w:t>
      </w:r>
      <w:r w:rsidR="00CD7C32">
        <w:rPr>
          <w:rFonts w:ascii="Courier New" w:eastAsia="Times New Roman" w:hAnsi="Courier New" w:cs="Courier New"/>
          <w:sz w:val="24"/>
          <w:szCs w:val="24"/>
        </w:rPr>
        <w:t xml:space="preserve">where </w:t>
      </w:r>
      <w:r w:rsidR="009C14FA">
        <w:rPr>
          <w:rFonts w:ascii="Courier New" w:eastAsia="Times New Roman" w:hAnsi="Courier New" w:cs="Courier New"/>
          <w:sz w:val="24"/>
          <w:szCs w:val="24"/>
        </w:rPr>
        <w:t>the institution is otherwise required to obtain State approval under 34 CFR 600.9</w:t>
      </w:r>
      <w:r>
        <w:rPr>
          <w:rFonts w:ascii="Courier New" w:eastAsia="Times New Roman" w:hAnsi="Courier New" w:cs="Courier New"/>
          <w:sz w:val="24"/>
          <w:szCs w:val="24"/>
        </w:rPr>
        <w:t xml:space="preserve">.  </w:t>
      </w:r>
      <w:r w:rsidR="00CD7C32">
        <w:rPr>
          <w:rFonts w:ascii="Courier New" w:eastAsia="Times New Roman" w:hAnsi="Courier New" w:cs="Courier New"/>
          <w:sz w:val="24"/>
          <w:szCs w:val="24"/>
        </w:rPr>
        <w:t xml:space="preserve"> </w:t>
      </w:r>
    </w:p>
    <w:p w14:paraId="40D4EF8F" w14:textId="77777777" w:rsidR="005E6CA3" w:rsidRDefault="00CD7C32" w:rsidP="005E6CA3">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The current </w:t>
      </w:r>
      <w:r w:rsidR="007A3425">
        <w:rPr>
          <w:rFonts w:ascii="Courier New" w:eastAsia="Times New Roman" w:hAnsi="Courier New" w:cs="Courier New"/>
          <w:sz w:val="24"/>
          <w:szCs w:val="24"/>
        </w:rPr>
        <w:t>S</w:t>
      </w:r>
      <w:r>
        <w:rPr>
          <w:rFonts w:ascii="Courier New" w:eastAsia="Times New Roman" w:hAnsi="Courier New" w:cs="Courier New"/>
          <w:sz w:val="24"/>
          <w:szCs w:val="24"/>
        </w:rPr>
        <w:t xml:space="preserve">tate authorization regulations apply to </w:t>
      </w:r>
      <w:r w:rsidR="007A3425">
        <w:rPr>
          <w:rFonts w:ascii="Courier New" w:eastAsia="Times New Roman" w:hAnsi="Courier New" w:cs="Courier New"/>
          <w:sz w:val="24"/>
          <w:szCs w:val="24"/>
        </w:rPr>
        <w:t>S</w:t>
      </w:r>
      <w:r>
        <w:rPr>
          <w:rFonts w:ascii="Courier New" w:eastAsia="Times New Roman" w:hAnsi="Courier New" w:cs="Courier New"/>
          <w:sz w:val="24"/>
          <w:szCs w:val="24"/>
        </w:rPr>
        <w:t xml:space="preserve">tates where an institution has a physical location, and the program certification requirements </w:t>
      </w:r>
      <w:r w:rsidR="00E32451">
        <w:rPr>
          <w:rFonts w:ascii="Courier New" w:eastAsia="Times New Roman" w:hAnsi="Courier New" w:cs="Courier New"/>
          <w:sz w:val="24"/>
          <w:szCs w:val="24"/>
        </w:rPr>
        <w:t xml:space="preserve">also apply in those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tates so those two sets of requirements are aligned.  If any changes are made in the future to extend the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 authorization requirements in </w:t>
      </w:r>
      <w:r w:rsidR="007A3425">
        <w:rPr>
          <w:rFonts w:ascii="Courier New" w:eastAsia="Times New Roman" w:hAnsi="Courier New" w:cs="Courier New"/>
          <w:sz w:val="24"/>
          <w:szCs w:val="24"/>
        </w:rPr>
        <w:t xml:space="preserve">34 CFR </w:t>
      </w:r>
      <w:r w:rsidR="00E32451">
        <w:rPr>
          <w:rFonts w:ascii="Courier New" w:eastAsia="Times New Roman" w:hAnsi="Courier New" w:cs="Courier New"/>
          <w:sz w:val="24"/>
          <w:szCs w:val="24"/>
        </w:rPr>
        <w:t xml:space="preserve">600.9 to apply in other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tates, we intend the program certification requirements to remain aligned.  Since institutions will have to ensure they maintain appropriate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 approvals under the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 authorization regulations, we anticipate that institutions will actively address any potential conflicts at that time.  We believe that the requirements for the applicable program certifications should also be provided for those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tates.  This will ensure a program and the institution that provides the program have the necessary </w:t>
      </w:r>
      <w:r w:rsidR="007A3425">
        <w:rPr>
          <w:rFonts w:ascii="Courier New" w:eastAsia="Times New Roman" w:hAnsi="Courier New" w:cs="Courier New"/>
          <w:sz w:val="24"/>
          <w:szCs w:val="24"/>
        </w:rPr>
        <w:t>S</w:t>
      </w:r>
      <w:r w:rsidR="00E32451">
        <w:rPr>
          <w:rFonts w:ascii="Courier New" w:eastAsia="Times New Roman" w:hAnsi="Courier New" w:cs="Courier New"/>
          <w:sz w:val="24"/>
          <w:szCs w:val="24"/>
        </w:rPr>
        <w:t xml:space="preserve">tate approvals </w:t>
      </w:r>
      <w:r w:rsidR="00BF323F">
        <w:rPr>
          <w:rFonts w:ascii="Courier New" w:eastAsia="Times New Roman" w:hAnsi="Courier New" w:cs="Courier New"/>
          <w:sz w:val="24"/>
          <w:szCs w:val="24"/>
        </w:rPr>
        <w:t xml:space="preserve">for purposes </w:t>
      </w:r>
      <w:r w:rsidR="005E6CA3">
        <w:rPr>
          <w:rFonts w:ascii="Courier New" w:eastAsia="Times New Roman" w:hAnsi="Courier New" w:cs="Courier New"/>
          <w:sz w:val="24"/>
          <w:szCs w:val="24"/>
        </w:rPr>
        <w:t xml:space="preserve">of the Title IV, HEA programs.  </w:t>
      </w:r>
      <w:r w:rsidR="00852504">
        <w:rPr>
          <w:rFonts w:ascii="Courier New" w:eastAsia="Times New Roman" w:hAnsi="Courier New" w:cs="Courier New"/>
          <w:sz w:val="24"/>
          <w:szCs w:val="24"/>
        </w:rPr>
        <w:t>L</w:t>
      </w:r>
      <w:r w:rsidR="0031699B">
        <w:rPr>
          <w:rFonts w:ascii="Courier New" w:eastAsia="Times New Roman" w:hAnsi="Courier New" w:cs="Courier New"/>
          <w:sz w:val="24"/>
          <w:szCs w:val="24"/>
        </w:rPr>
        <w:t xml:space="preserve">inking the </w:t>
      </w:r>
      <w:r w:rsidR="0034781C">
        <w:rPr>
          <w:rFonts w:ascii="Courier New" w:eastAsia="Times New Roman" w:hAnsi="Courier New" w:cs="Courier New"/>
          <w:sz w:val="24"/>
          <w:szCs w:val="24"/>
        </w:rPr>
        <w:t>S</w:t>
      </w:r>
      <w:r w:rsidR="0031699B">
        <w:rPr>
          <w:rFonts w:ascii="Courier New" w:eastAsia="Times New Roman" w:hAnsi="Courier New" w:cs="Courier New"/>
          <w:sz w:val="24"/>
          <w:szCs w:val="24"/>
        </w:rPr>
        <w:t xml:space="preserve">tate certification requirements in </w:t>
      </w:r>
      <w:r w:rsidR="0031699B" w:rsidRPr="00B81803">
        <w:rPr>
          <w:rFonts w:ascii="Courier New" w:hAnsi="Courier New" w:cs="Courier New"/>
          <w:sz w:val="24"/>
          <w:szCs w:val="24"/>
        </w:rPr>
        <w:t>§</w:t>
      </w:r>
      <w:r w:rsidR="0031699B">
        <w:rPr>
          <w:rFonts w:ascii="Courier New" w:hAnsi="Courier New" w:cs="Courier New"/>
          <w:sz w:val="24"/>
          <w:szCs w:val="24"/>
        </w:rPr>
        <w:t>668.414(d)(2)</w:t>
      </w:r>
      <w:r w:rsidR="0031699B">
        <w:rPr>
          <w:rFonts w:ascii="Courier New" w:eastAsia="Times New Roman" w:hAnsi="Courier New" w:cs="Courier New"/>
          <w:sz w:val="24"/>
          <w:szCs w:val="24"/>
        </w:rPr>
        <w:t xml:space="preserve"> with the </w:t>
      </w:r>
      <w:r w:rsidR="0034781C">
        <w:rPr>
          <w:rFonts w:ascii="Courier New" w:eastAsia="Times New Roman" w:hAnsi="Courier New" w:cs="Courier New"/>
          <w:sz w:val="24"/>
          <w:szCs w:val="24"/>
        </w:rPr>
        <w:t>S</w:t>
      </w:r>
      <w:r w:rsidR="0031699B">
        <w:rPr>
          <w:rFonts w:ascii="Courier New" w:eastAsia="Times New Roman" w:hAnsi="Courier New" w:cs="Courier New"/>
          <w:sz w:val="24"/>
          <w:szCs w:val="24"/>
        </w:rPr>
        <w:t xml:space="preserve">tate authorization regulations in </w:t>
      </w:r>
      <w:r w:rsidR="0031699B" w:rsidRPr="00B81803">
        <w:rPr>
          <w:rFonts w:ascii="Courier New" w:hAnsi="Courier New" w:cs="Courier New"/>
          <w:sz w:val="24"/>
          <w:szCs w:val="24"/>
        </w:rPr>
        <w:t>§</w:t>
      </w:r>
      <w:r w:rsidR="0031699B">
        <w:rPr>
          <w:rFonts w:ascii="Courier New" w:hAnsi="Courier New" w:cs="Courier New"/>
          <w:sz w:val="24"/>
          <w:szCs w:val="24"/>
        </w:rPr>
        <w:t xml:space="preserve">600.9 </w:t>
      </w:r>
      <w:r w:rsidR="0031699B">
        <w:rPr>
          <w:rFonts w:ascii="Courier New" w:eastAsia="Times New Roman" w:hAnsi="Courier New" w:cs="Courier New"/>
          <w:sz w:val="24"/>
          <w:szCs w:val="24"/>
        </w:rPr>
        <w:t xml:space="preserve">to identify </w:t>
      </w:r>
      <w:r w:rsidR="0034781C">
        <w:rPr>
          <w:rFonts w:ascii="Courier New" w:eastAsia="Times New Roman" w:hAnsi="Courier New" w:cs="Courier New"/>
          <w:sz w:val="24"/>
          <w:szCs w:val="24"/>
        </w:rPr>
        <w:t>S</w:t>
      </w:r>
      <w:r w:rsidR="0031699B">
        <w:rPr>
          <w:rFonts w:ascii="Courier New" w:eastAsia="Times New Roman" w:hAnsi="Courier New" w:cs="Courier New"/>
          <w:sz w:val="24"/>
          <w:szCs w:val="24"/>
        </w:rPr>
        <w:t xml:space="preserve">tates where institutions must obtain the applicable approvals </w:t>
      </w:r>
      <w:r w:rsidR="00852504">
        <w:rPr>
          <w:rFonts w:ascii="Courier New" w:eastAsia="Times New Roman" w:hAnsi="Courier New" w:cs="Courier New"/>
          <w:sz w:val="24"/>
          <w:szCs w:val="24"/>
        </w:rPr>
        <w:t xml:space="preserve">benefits students and prospective students because the </w:t>
      </w:r>
      <w:r w:rsidR="005E6CA3">
        <w:rPr>
          <w:rFonts w:ascii="Courier New" w:eastAsia="Times New Roman" w:hAnsi="Courier New" w:cs="Courier New"/>
          <w:sz w:val="24"/>
          <w:szCs w:val="24"/>
        </w:rPr>
        <w:t>S</w:t>
      </w:r>
      <w:r w:rsidR="00852504">
        <w:rPr>
          <w:rFonts w:ascii="Courier New" w:eastAsia="Times New Roman" w:hAnsi="Courier New" w:cs="Courier New"/>
          <w:sz w:val="24"/>
          <w:szCs w:val="24"/>
        </w:rPr>
        <w:t>tate authorization requirements include additional student protections for the students enrolled in the programs for which certifications would be required.</w:t>
      </w:r>
      <w:r w:rsidR="0031699B" w:rsidDel="00852504">
        <w:rPr>
          <w:rFonts w:ascii="Courier New" w:eastAsia="Times New Roman" w:hAnsi="Courier New" w:cs="Courier New"/>
          <w:sz w:val="24"/>
          <w:szCs w:val="24"/>
        </w:rPr>
        <w:t xml:space="preserve"> </w:t>
      </w:r>
      <w:r w:rsidR="00AD0EA2">
        <w:rPr>
          <w:rFonts w:ascii="Courier New" w:eastAsia="Times New Roman" w:hAnsi="Courier New" w:cs="Courier New"/>
          <w:sz w:val="24"/>
          <w:szCs w:val="24"/>
        </w:rPr>
        <w:t xml:space="preserve"> </w:t>
      </w:r>
      <w:r w:rsidR="00FD0253">
        <w:rPr>
          <w:rFonts w:ascii="Courier New" w:eastAsia="Times New Roman" w:hAnsi="Courier New" w:cs="Courier New"/>
          <w:sz w:val="24"/>
          <w:szCs w:val="24"/>
        </w:rPr>
        <w:t xml:space="preserve"> </w:t>
      </w:r>
    </w:p>
    <w:p w14:paraId="6FE02593" w14:textId="766987F8" w:rsidR="00915790" w:rsidRPr="004B5C64" w:rsidRDefault="00915790" w:rsidP="005E6CA3">
      <w:pPr>
        <w:shd w:val="clear" w:color="auto" w:fill="FFFFFF"/>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While institutions will not be prohibited from enrolling students in a program that does not meet the requirements of any particular State, a program that does not meet the applicable requirements in the State where it is </w:t>
      </w:r>
      <w:r w:rsidRPr="004B5C64">
        <w:rPr>
          <w:rFonts w:ascii="Courier New" w:eastAsia="Times New Roman" w:hAnsi="Courier New" w:cs="Courier New"/>
          <w:sz w:val="24"/>
          <w:szCs w:val="24"/>
        </w:rPr>
        <w:t xml:space="preserve">located </w:t>
      </w:r>
      <w:r w:rsidRPr="004B5C64">
        <w:rPr>
          <w:rFonts w:ascii="Courier New" w:eastAsia="Times New Roman" w:hAnsi="Courier New"/>
          <w:sz w:val="24"/>
        </w:rPr>
        <w:t xml:space="preserve">for the jobs for which it trains students </w:t>
      </w:r>
      <w:r w:rsidR="00127D64">
        <w:rPr>
          <w:rFonts w:ascii="Courier New" w:eastAsia="Times New Roman" w:hAnsi="Courier New" w:cs="Courier New"/>
          <w:sz w:val="24"/>
          <w:szCs w:val="24"/>
        </w:rPr>
        <w:t>will be</w:t>
      </w:r>
      <w:r w:rsidRPr="004B5C64">
        <w:rPr>
          <w:rFonts w:ascii="Courier New" w:eastAsia="Times New Roman" w:hAnsi="Courier New" w:cs="Courier New"/>
          <w:sz w:val="24"/>
          <w:szCs w:val="24"/>
        </w:rPr>
        <w:t xml:space="preserve"> ineligible to receive title IV, HEA program funds.  As discussed in “§668.412  Disclosure Requirements for GE Programs,” institutions </w:t>
      </w:r>
      <w:r w:rsidR="00127D64">
        <w:rPr>
          <w:rFonts w:ascii="Courier New" w:eastAsia="Times New Roman" w:hAnsi="Courier New" w:cs="Courier New"/>
          <w:sz w:val="24"/>
          <w:szCs w:val="24"/>
        </w:rPr>
        <w:t>may</w:t>
      </w:r>
      <w:r w:rsidRPr="004B5C64">
        <w:rPr>
          <w:rFonts w:ascii="Courier New" w:eastAsia="Times New Roman" w:hAnsi="Courier New" w:cs="Courier New"/>
          <w:sz w:val="24"/>
          <w:szCs w:val="24"/>
        </w:rPr>
        <w:t xml:space="preserve"> be required to </w:t>
      </w:r>
      <w:r w:rsidR="009C14FA">
        <w:rPr>
          <w:rFonts w:ascii="Courier New" w:eastAsia="Times New Roman" w:hAnsi="Courier New" w:cs="Courier New"/>
          <w:sz w:val="24"/>
          <w:szCs w:val="24"/>
        </w:rPr>
        <w:t xml:space="preserve">include </w:t>
      </w:r>
      <w:r w:rsidRPr="004B5C64">
        <w:rPr>
          <w:rFonts w:ascii="Courier New" w:eastAsia="Times New Roman" w:hAnsi="Courier New" w:cs="Courier New"/>
          <w:sz w:val="24"/>
          <w:szCs w:val="24"/>
        </w:rPr>
        <w:t xml:space="preserve">on a program’s disclosure template </w:t>
      </w:r>
      <w:r w:rsidR="009C14FA">
        <w:rPr>
          <w:rFonts w:ascii="Courier New" w:eastAsia="Times New Roman" w:hAnsi="Courier New" w:cs="Courier New"/>
          <w:sz w:val="24"/>
          <w:szCs w:val="24"/>
        </w:rPr>
        <w:t xml:space="preserve">whether </w:t>
      </w:r>
      <w:r w:rsidRPr="004B5C64">
        <w:rPr>
          <w:rFonts w:ascii="Courier New" w:eastAsia="Times New Roman" w:hAnsi="Courier New" w:cs="Courier New"/>
          <w:sz w:val="24"/>
          <w:szCs w:val="24"/>
        </w:rPr>
        <w:t>the program meet</w:t>
      </w:r>
      <w:r w:rsidR="009C14FA">
        <w:rPr>
          <w:rFonts w:ascii="Courier New" w:eastAsia="Times New Roman" w:hAnsi="Courier New" w:cs="Courier New"/>
          <w:sz w:val="24"/>
          <w:szCs w:val="24"/>
        </w:rPr>
        <w:t>s</w:t>
      </w:r>
      <w:r w:rsidRPr="004B5C64">
        <w:rPr>
          <w:rFonts w:ascii="Courier New" w:eastAsia="Times New Roman" w:hAnsi="Courier New" w:cs="Courier New"/>
          <w:sz w:val="24"/>
          <w:szCs w:val="24"/>
        </w:rPr>
        <w:t xml:space="preserve"> the licensure, certification, and accreditation requirements of States</w:t>
      </w:r>
      <w:r w:rsidR="009C14FA">
        <w:rPr>
          <w:rFonts w:ascii="Courier New" w:eastAsia="Times New Roman" w:hAnsi="Courier New" w:cs="Courier New"/>
          <w:sz w:val="24"/>
          <w:szCs w:val="24"/>
        </w:rPr>
        <w:t>,</w:t>
      </w:r>
      <w:r w:rsidRPr="004B5C64">
        <w:rPr>
          <w:rFonts w:ascii="Courier New" w:eastAsia="Times New Roman" w:hAnsi="Courier New" w:cs="Courier New"/>
          <w:sz w:val="24"/>
          <w:szCs w:val="24"/>
        </w:rPr>
        <w:t xml:space="preserve"> </w:t>
      </w:r>
      <w:r w:rsidR="009C14FA">
        <w:rPr>
          <w:rFonts w:ascii="Courier New" w:eastAsia="Times New Roman" w:hAnsi="Courier New" w:cs="Courier New"/>
          <w:sz w:val="24"/>
          <w:szCs w:val="24"/>
        </w:rPr>
        <w:t xml:space="preserve">in addition </w:t>
      </w:r>
      <w:r w:rsidR="00CC185B">
        <w:rPr>
          <w:rFonts w:ascii="Courier New" w:eastAsia="Times New Roman" w:hAnsi="Courier New" w:cs="Courier New"/>
          <w:sz w:val="24"/>
          <w:szCs w:val="24"/>
        </w:rPr>
        <w:t xml:space="preserve">to </w:t>
      </w:r>
      <w:r w:rsidR="009C14FA">
        <w:rPr>
          <w:rFonts w:ascii="Courier New" w:eastAsia="Times New Roman" w:hAnsi="Courier New" w:cs="Courier New"/>
          <w:sz w:val="24"/>
          <w:szCs w:val="24"/>
        </w:rPr>
        <w:t>the States in the institution’s MSA</w:t>
      </w:r>
      <w:r w:rsidR="004054C1">
        <w:rPr>
          <w:rFonts w:ascii="Courier New" w:eastAsia="Times New Roman" w:hAnsi="Courier New" w:cs="Courier New"/>
          <w:sz w:val="24"/>
          <w:szCs w:val="24"/>
        </w:rPr>
        <w:t>,</w:t>
      </w:r>
      <w:r w:rsidRPr="004B5C64">
        <w:rPr>
          <w:rFonts w:ascii="Courier New" w:eastAsia="Times New Roman" w:hAnsi="Courier New" w:cs="Courier New"/>
          <w:sz w:val="24"/>
          <w:szCs w:val="24"/>
        </w:rPr>
        <w:t xml:space="preserve"> </w:t>
      </w:r>
      <w:r w:rsidR="009C14FA">
        <w:rPr>
          <w:rFonts w:ascii="Courier New" w:eastAsia="Times New Roman" w:hAnsi="Courier New" w:cs="Courier New"/>
          <w:sz w:val="24"/>
          <w:szCs w:val="24"/>
        </w:rPr>
        <w:t xml:space="preserve">for which the institution has made a determination regarding those requirements </w:t>
      </w:r>
      <w:r w:rsidRPr="004B5C64">
        <w:rPr>
          <w:rFonts w:ascii="Courier New" w:eastAsia="Times New Roman" w:hAnsi="Courier New" w:cs="Courier New"/>
          <w:sz w:val="24"/>
          <w:szCs w:val="24"/>
        </w:rPr>
        <w:t xml:space="preserve">so that students who intend to seek employment in those other States can consider this information before enrolling in the program.  </w:t>
      </w:r>
      <w:r w:rsidRPr="004B5C64">
        <w:rPr>
          <w:rFonts w:ascii="Courier New" w:hAnsi="Courier New" w:cs="Courier New"/>
          <w:sz w:val="24"/>
          <w:szCs w:val="24"/>
        </w:rPr>
        <w:t xml:space="preserve">  </w:t>
      </w:r>
    </w:p>
    <w:p w14:paraId="050E7C6E" w14:textId="2BCC1178" w:rsidR="00915790" w:rsidRPr="005012DC" w:rsidRDefault="00915790" w:rsidP="00915790">
      <w:pPr>
        <w:shd w:val="clear" w:color="auto" w:fill="FFFFFF"/>
        <w:spacing w:after="0" w:line="480" w:lineRule="auto"/>
        <w:rPr>
          <w:rFonts w:ascii="Courier New" w:eastAsia="Times New Roman" w:hAnsi="Courier New" w:cs="Courier New"/>
          <w:sz w:val="24"/>
          <w:szCs w:val="24"/>
          <w:highlight w:val="yellow"/>
        </w:rPr>
      </w:pPr>
      <w:r w:rsidRPr="004B5C64">
        <w:rPr>
          <w:rFonts w:ascii="Courier New" w:eastAsia="Times New Roman" w:hAnsi="Courier New" w:cs="Courier New"/>
          <w:sz w:val="24"/>
          <w:szCs w:val="24"/>
          <w:u w:val="single"/>
        </w:rPr>
        <w:t>Changes</w:t>
      </w:r>
      <w:r w:rsidRPr="004B5C64">
        <w:rPr>
          <w:rFonts w:ascii="Courier New" w:eastAsia="Times New Roman" w:hAnsi="Courier New" w:cs="Courier New"/>
          <w:sz w:val="24"/>
          <w:szCs w:val="24"/>
        </w:rPr>
        <w:t>:  We have removed from §668.414 the requirement that an institution’s certification regarding programmatic accreditation and licensure and certification must be made with respect to each State that</w:t>
      </w:r>
      <w:r>
        <w:rPr>
          <w:rFonts w:ascii="Courier New" w:eastAsia="Times New Roman" w:hAnsi="Courier New" w:cs="Courier New"/>
          <w:sz w:val="24"/>
          <w:szCs w:val="24"/>
        </w:rPr>
        <w:t xml:space="preserve"> intersects with the program’s MSA</w:t>
      </w:r>
      <w:r w:rsidR="00CC185B">
        <w:rPr>
          <w:rFonts w:ascii="Courier New" w:eastAsia="Times New Roman" w:hAnsi="Courier New" w:cs="Courier New"/>
          <w:sz w:val="24"/>
          <w:szCs w:val="24"/>
        </w:rPr>
        <w:t xml:space="preserve">.  We have revised this section to require that the institution’s </w:t>
      </w:r>
      <w:r w:rsidR="00966C93">
        <w:rPr>
          <w:rFonts w:ascii="Courier New" w:eastAsia="Times New Roman" w:hAnsi="Courier New" w:cs="Courier New"/>
          <w:sz w:val="24"/>
          <w:szCs w:val="24"/>
        </w:rPr>
        <w:t xml:space="preserve">program </w:t>
      </w:r>
      <w:r w:rsidR="00CC185B">
        <w:rPr>
          <w:rFonts w:ascii="Courier New" w:eastAsia="Times New Roman" w:hAnsi="Courier New" w:cs="Courier New"/>
          <w:sz w:val="24"/>
          <w:szCs w:val="24"/>
        </w:rPr>
        <w:t xml:space="preserve">certification </w:t>
      </w:r>
      <w:r w:rsidR="00966C93">
        <w:rPr>
          <w:rFonts w:ascii="Courier New" w:eastAsia="Times New Roman" w:hAnsi="Courier New" w:cs="Courier New"/>
          <w:sz w:val="24"/>
          <w:szCs w:val="24"/>
        </w:rPr>
        <w:t xml:space="preserve">is required </w:t>
      </w:r>
      <w:r w:rsidR="00CC185B">
        <w:rPr>
          <w:rFonts w:ascii="Courier New" w:eastAsia="Times New Roman" w:hAnsi="Courier New" w:cs="Courier New"/>
          <w:sz w:val="24"/>
          <w:szCs w:val="24"/>
        </w:rPr>
        <w:t>in any State in which the institution is otherwise required to obtain State approval under 34 CFR 600.9</w:t>
      </w:r>
      <w:r>
        <w:rPr>
          <w:rFonts w:ascii="Courier New" w:eastAsia="Times New Roman" w:hAnsi="Courier New" w:cs="Courier New"/>
          <w:sz w:val="24"/>
          <w:szCs w:val="24"/>
        </w:rPr>
        <w:t xml:space="preserve">.  </w:t>
      </w:r>
    </w:p>
    <w:p w14:paraId="17C83D8A" w14:textId="77777777" w:rsidR="00915790" w:rsidRPr="00FA6914" w:rsidRDefault="00915790" w:rsidP="00915790">
      <w:pPr>
        <w:pStyle w:val="Heading1"/>
      </w:pPr>
      <w:r w:rsidRPr="00F95A5E">
        <w:t>§668.415  Severability</w:t>
      </w:r>
    </w:p>
    <w:p w14:paraId="77ED85BC" w14:textId="77777777" w:rsidR="00915790" w:rsidRPr="00FA6914" w:rsidRDefault="00915790" w:rsidP="00915790">
      <w:pPr>
        <w:spacing w:after="0" w:line="480" w:lineRule="auto"/>
        <w:rPr>
          <w:rFonts w:ascii="Courier New" w:hAnsi="Courier New"/>
          <w:sz w:val="24"/>
          <w:szCs w:val="24"/>
        </w:rPr>
      </w:pPr>
      <w:r w:rsidRPr="00FA6914">
        <w:rPr>
          <w:rFonts w:ascii="Courier New" w:hAnsi="Courier New"/>
          <w:sz w:val="24"/>
          <w:szCs w:val="24"/>
          <w:u w:val="single"/>
        </w:rPr>
        <w:t>Comments</w:t>
      </w:r>
      <w:r w:rsidRPr="00FA6914">
        <w:rPr>
          <w:rFonts w:ascii="Courier New" w:hAnsi="Courier New"/>
          <w:sz w:val="24"/>
          <w:szCs w:val="24"/>
        </w:rPr>
        <w:t xml:space="preserve">:  One commenter recommended that we omit the provisions of §668.415 regarding the severability of the provisions of subpart Q.  Specifically, the commenter </w:t>
      </w:r>
      <w:r>
        <w:rPr>
          <w:rFonts w:ascii="Courier New" w:hAnsi="Courier New"/>
          <w:sz w:val="24"/>
          <w:szCs w:val="24"/>
        </w:rPr>
        <w:t>argued</w:t>
      </w:r>
      <w:r w:rsidRPr="00FA6914">
        <w:rPr>
          <w:rFonts w:ascii="Courier New" w:hAnsi="Courier New"/>
          <w:sz w:val="24"/>
          <w:szCs w:val="24"/>
        </w:rPr>
        <w:t xml:space="preserve"> that the provisions of the regulations are too intertwined</w:t>
      </w:r>
      <w:r>
        <w:rPr>
          <w:rFonts w:ascii="Courier New" w:hAnsi="Courier New"/>
          <w:sz w:val="24"/>
          <w:szCs w:val="24"/>
        </w:rPr>
        <w:t xml:space="preserve"> such that if </w:t>
      </w:r>
      <w:r w:rsidRPr="00FA6914">
        <w:rPr>
          <w:rFonts w:ascii="Courier New" w:hAnsi="Courier New"/>
          <w:sz w:val="24"/>
          <w:szCs w:val="24"/>
        </w:rPr>
        <w:t xml:space="preserve">a court </w:t>
      </w:r>
      <w:r>
        <w:rPr>
          <w:rFonts w:ascii="Courier New" w:hAnsi="Courier New"/>
          <w:sz w:val="24"/>
          <w:szCs w:val="24"/>
        </w:rPr>
        <w:t>found any part</w:t>
      </w:r>
      <w:r w:rsidRPr="00FA6914">
        <w:rPr>
          <w:rFonts w:ascii="Courier New" w:hAnsi="Courier New"/>
          <w:sz w:val="24"/>
          <w:szCs w:val="24"/>
        </w:rPr>
        <w:t xml:space="preserve"> of the regulations invalid</w:t>
      </w:r>
      <w:r>
        <w:rPr>
          <w:rFonts w:ascii="Courier New" w:hAnsi="Courier New"/>
          <w:sz w:val="24"/>
          <w:szCs w:val="24"/>
        </w:rPr>
        <w:t>, it</w:t>
      </w:r>
      <w:r w:rsidRPr="00FA6914">
        <w:rPr>
          <w:rFonts w:ascii="Courier New" w:hAnsi="Courier New"/>
          <w:sz w:val="24"/>
          <w:szCs w:val="24"/>
        </w:rPr>
        <w:t xml:space="preserve"> </w:t>
      </w:r>
      <w:r>
        <w:rPr>
          <w:rFonts w:ascii="Courier New" w:hAnsi="Courier New"/>
          <w:sz w:val="24"/>
          <w:szCs w:val="24"/>
        </w:rPr>
        <w:t>would not</w:t>
      </w:r>
      <w:r w:rsidRPr="00FA6914">
        <w:rPr>
          <w:rFonts w:ascii="Courier New" w:hAnsi="Courier New"/>
          <w:sz w:val="24"/>
          <w:szCs w:val="24"/>
        </w:rPr>
        <w:t xml:space="preserve"> </w:t>
      </w:r>
      <w:r>
        <w:rPr>
          <w:rFonts w:ascii="Courier New" w:hAnsi="Courier New"/>
          <w:sz w:val="24"/>
          <w:szCs w:val="24"/>
        </w:rPr>
        <w:t>allow</w:t>
      </w:r>
      <w:r w:rsidRPr="00FA6914">
        <w:rPr>
          <w:rFonts w:ascii="Courier New" w:hAnsi="Courier New"/>
          <w:sz w:val="24"/>
          <w:szCs w:val="24"/>
        </w:rPr>
        <w:t xml:space="preserve"> the remaining provisions </w:t>
      </w:r>
      <w:r>
        <w:rPr>
          <w:rFonts w:ascii="Courier New" w:hAnsi="Courier New"/>
          <w:sz w:val="24"/>
          <w:szCs w:val="24"/>
        </w:rPr>
        <w:t xml:space="preserve">to </w:t>
      </w:r>
      <w:r w:rsidRPr="00FA6914">
        <w:rPr>
          <w:rFonts w:ascii="Courier New" w:hAnsi="Courier New"/>
          <w:sz w:val="24"/>
          <w:szCs w:val="24"/>
        </w:rPr>
        <w:t>stand.  In that event, the commenter argued</w:t>
      </w:r>
      <w:r>
        <w:rPr>
          <w:rFonts w:ascii="Courier New" w:hAnsi="Courier New"/>
          <w:sz w:val="24"/>
          <w:szCs w:val="24"/>
        </w:rPr>
        <w:t>,</w:t>
      </w:r>
      <w:r w:rsidRPr="00FA6914">
        <w:rPr>
          <w:rFonts w:ascii="Courier New" w:hAnsi="Courier New"/>
          <w:sz w:val="24"/>
          <w:szCs w:val="24"/>
        </w:rPr>
        <w:t xml:space="preserve"> the remaining provisions would not serve the Department’s intent and the rulemaking process would be undermined.</w:t>
      </w:r>
    </w:p>
    <w:p w14:paraId="6E307CBF" w14:textId="77777777" w:rsidR="00915790" w:rsidRPr="00FA6914" w:rsidRDefault="00915790" w:rsidP="00915790">
      <w:pPr>
        <w:spacing w:after="0" w:line="480" w:lineRule="auto"/>
        <w:rPr>
          <w:rFonts w:ascii="Courier New" w:eastAsia="MS Mincho" w:hAnsi="Courier New"/>
          <w:sz w:val="24"/>
          <w:szCs w:val="24"/>
          <w:lang w:eastAsia="ja-JP"/>
        </w:rPr>
      </w:pPr>
      <w:r w:rsidRPr="00FA6914">
        <w:rPr>
          <w:rFonts w:ascii="Courier New" w:hAnsi="Courier New"/>
          <w:sz w:val="24"/>
          <w:szCs w:val="24"/>
          <w:u w:val="single"/>
        </w:rPr>
        <w:t>Discussion</w:t>
      </w:r>
      <w:r w:rsidRPr="00FA6914">
        <w:rPr>
          <w:rFonts w:ascii="Courier New" w:hAnsi="Courier New"/>
          <w:sz w:val="24"/>
          <w:szCs w:val="24"/>
        </w:rPr>
        <w:t>:  We believe that the provisions of subpart Q are severable.  Each provision of subpart Q serves a distinct purpose within th</w:t>
      </w:r>
      <w:r>
        <w:rPr>
          <w:rFonts w:ascii="Courier New" w:hAnsi="Courier New"/>
          <w:sz w:val="24"/>
          <w:szCs w:val="24"/>
        </w:rPr>
        <w:t xml:space="preserve">e accountability and transparency </w:t>
      </w:r>
      <w:r w:rsidRPr="00FA6914">
        <w:rPr>
          <w:rFonts w:ascii="Courier New" w:hAnsi="Courier New"/>
          <w:sz w:val="24"/>
          <w:szCs w:val="24"/>
        </w:rPr>
        <w:t>framework</w:t>
      </w:r>
      <w:r>
        <w:rPr>
          <w:rFonts w:ascii="Courier New" w:hAnsi="Courier New"/>
          <w:sz w:val="24"/>
          <w:szCs w:val="24"/>
        </w:rPr>
        <w:t>s</w:t>
      </w:r>
      <w:r w:rsidRPr="00FA6914">
        <w:rPr>
          <w:rFonts w:ascii="Courier New" w:hAnsi="Courier New"/>
          <w:sz w:val="24"/>
          <w:szCs w:val="24"/>
        </w:rPr>
        <w:t xml:space="preserve"> and provides value to students, prospective students, and their families and the public, taxpayers, and the Government that is separate from, and in addition to, the value provided by the other provisions.  Although we recognize that severability is an issue to be decided by a court, </w:t>
      </w:r>
      <w:r w:rsidRPr="00FA6914">
        <w:rPr>
          <w:rFonts w:ascii="Courier New" w:hAnsi="Courier New" w:cs="Courier New"/>
          <w:sz w:val="24"/>
          <w:szCs w:val="24"/>
        </w:rPr>
        <w:t xml:space="preserve">§668.415 </w:t>
      </w:r>
      <w:r w:rsidRPr="00FA6914">
        <w:rPr>
          <w:rFonts w:ascii="Courier New" w:eastAsia="MS Mincho" w:hAnsi="Courier New"/>
          <w:sz w:val="24"/>
          <w:szCs w:val="24"/>
          <w:lang w:eastAsia="ja-JP"/>
        </w:rPr>
        <w:t xml:space="preserve">makes clear our intent that the provisions of subpart Q operate independently and the potential invalidity of one </w:t>
      </w:r>
      <w:r>
        <w:rPr>
          <w:rFonts w:ascii="Courier New" w:eastAsia="MS Mincho" w:hAnsi="Courier New"/>
          <w:sz w:val="24"/>
          <w:szCs w:val="24"/>
          <w:lang w:eastAsia="ja-JP"/>
        </w:rPr>
        <w:t xml:space="preserve">or more </w:t>
      </w:r>
      <w:r w:rsidRPr="00FA6914">
        <w:rPr>
          <w:rFonts w:ascii="Courier New" w:eastAsia="MS Mincho" w:hAnsi="Courier New"/>
          <w:sz w:val="24"/>
          <w:szCs w:val="24"/>
          <w:lang w:eastAsia="ja-JP"/>
        </w:rPr>
        <w:t>provision</w:t>
      </w:r>
      <w:r>
        <w:rPr>
          <w:rFonts w:ascii="Courier New" w:eastAsia="MS Mincho" w:hAnsi="Courier New"/>
          <w:sz w:val="24"/>
          <w:szCs w:val="24"/>
          <w:lang w:eastAsia="ja-JP"/>
        </w:rPr>
        <w:t>s</w:t>
      </w:r>
      <w:r w:rsidRPr="00FA6914">
        <w:rPr>
          <w:rFonts w:ascii="Courier New" w:eastAsia="MS Mincho" w:hAnsi="Courier New"/>
          <w:sz w:val="24"/>
          <w:szCs w:val="24"/>
          <w:lang w:eastAsia="ja-JP"/>
        </w:rPr>
        <w:t xml:space="preserve"> should not affect the remainder of the provisions.</w:t>
      </w:r>
      <w:r w:rsidRPr="00FA6914">
        <w:rPr>
          <w:rStyle w:val="FootnoteReference"/>
          <w:rFonts w:ascii="Courier New" w:eastAsia="MS Mincho" w:hAnsi="Courier New"/>
          <w:sz w:val="24"/>
          <w:szCs w:val="24"/>
          <w:lang w:eastAsia="ja-JP"/>
        </w:rPr>
        <w:footnoteReference w:id="186"/>
      </w:r>
    </w:p>
    <w:p w14:paraId="552EAA8A" w14:textId="0AB9768A" w:rsidR="00A93D71" w:rsidRDefault="00915790" w:rsidP="00915790">
      <w:pPr>
        <w:spacing w:after="0" w:line="480" w:lineRule="auto"/>
        <w:rPr>
          <w:rFonts w:ascii="Courier New" w:hAnsi="Courier New"/>
          <w:sz w:val="24"/>
          <w:szCs w:val="24"/>
        </w:rPr>
      </w:pPr>
      <w:r w:rsidRPr="00FA6914">
        <w:rPr>
          <w:rFonts w:ascii="Courier New" w:hAnsi="Courier New"/>
          <w:sz w:val="24"/>
          <w:szCs w:val="24"/>
          <w:u w:val="single"/>
        </w:rPr>
        <w:t>Changes</w:t>
      </w:r>
      <w:r w:rsidRPr="00FA6914">
        <w:rPr>
          <w:rFonts w:ascii="Courier New" w:hAnsi="Courier New"/>
          <w:sz w:val="24"/>
          <w:szCs w:val="24"/>
        </w:rPr>
        <w:t>:  None.</w:t>
      </w:r>
    </w:p>
    <w:p w14:paraId="2321894A" w14:textId="77777777" w:rsidR="00993881" w:rsidRPr="002B6399" w:rsidRDefault="00993881" w:rsidP="00993881">
      <w:pPr>
        <w:spacing w:after="0" w:line="480" w:lineRule="auto"/>
        <w:rPr>
          <w:rFonts w:ascii="Courier New" w:hAnsi="Courier New" w:cs="Courier New"/>
          <w:sz w:val="24"/>
          <w:szCs w:val="24"/>
          <w:u w:val="single"/>
        </w:rPr>
      </w:pPr>
      <w:r w:rsidRPr="002B6399">
        <w:rPr>
          <w:rFonts w:ascii="Courier New" w:hAnsi="Courier New" w:cs="Courier New"/>
          <w:sz w:val="24"/>
          <w:szCs w:val="24"/>
          <w:u w:val="single"/>
        </w:rPr>
        <w:t>Executive Orders 12866 and 13563</w:t>
      </w:r>
    </w:p>
    <w:p w14:paraId="589CA3E3" w14:textId="77777777" w:rsidR="00993881" w:rsidRDefault="00993881" w:rsidP="00993881">
      <w:pPr>
        <w:spacing w:after="0" w:line="480" w:lineRule="auto"/>
        <w:rPr>
          <w:rFonts w:ascii="Courier New" w:hAnsi="Courier New" w:cs="Courier New"/>
          <w:sz w:val="24"/>
          <w:szCs w:val="24"/>
          <w:u w:val="single"/>
        </w:rPr>
      </w:pPr>
      <w:r w:rsidRPr="002B6399">
        <w:rPr>
          <w:rFonts w:ascii="Courier New" w:hAnsi="Courier New" w:cs="Courier New"/>
          <w:sz w:val="24"/>
          <w:szCs w:val="24"/>
          <w:u w:val="single"/>
        </w:rPr>
        <w:t>Regulatory Impact Analysis</w:t>
      </w:r>
    </w:p>
    <w:p w14:paraId="0C482AA9" w14:textId="77777777" w:rsidR="00993881" w:rsidRDefault="00993881" w:rsidP="00993881">
      <w:pPr>
        <w:spacing w:after="0" w:line="480" w:lineRule="auto"/>
        <w:ind w:firstLine="720"/>
        <w:rPr>
          <w:rFonts w:ascii="Courier New" w:hAnsi="Courier New" w:cs="Courier New"/>
          <w:sz w:val="24"/>
          <w:szCs w:val="24"/>
        </w:rPr>
      </w:pPr>
      <w:r w:rsidRPr="00BE2A29">
        <w:rPr>
          <w:rFonts w:ascii="Courier New" w:hAnsi="Courier New" w:cs="Courier New"/>
          <w:sz w:val="24"/>
          <w:szCs w:val="24"/>
        </w:rPr>
        <w:t>Under Executive Order 12866, the Secretary must determine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r>
        <w:rPr>
          <w:rFonts w:ascii="Courier New" w:hAnsi="Courier New" w:cs="Courier New"/>
          <w:sz w:val="24"/>
          <w:szCs w:val="24"/>
        </w:rPr>
        <w:t>--</w:t>
      </w:r>
    </w:p>
    <w:p w14:paraId="47995E26" w14:textId="77777777" w:rsidR="00993881" w:rsidRPr="00BE2A29" w:rsidRDefault="00993881" w:rsidP="00993881">
      <w:pPr>
        <w:spacing w:after="0" w:line="480" w:lineRule="auto"/>
        <w:ind w:firstLine="720"/>
        <w:rPr>
          <w:rFonts w:ascii="Courier New" w:hAnsi="Courier New" w:cs="Courier New"/>
          <w:sz w:val="24"/>
          <w:szCs w:val="24"/>
        </w:rPr>
      </w:pPr>
      <w:r w:rsidRPr="00BE2A29">
        <w:rPr>
          <w:rFonts w:ascii="Courier New" w:hAnsi="Courier New" w:cs="Courier New"/>
          <w:sz w:val="24"/>
          <w:szCs w:val="24"/>
        </w:rPr>
        <w:t>(1)  Have an annual effect on the economy of $100 million or more, or adversely affect a sector of the economy, productivity, competition, jobs, the environment, public health or safety, or State, local</w:t>
      </w:r>
      <w:r>
        <w:rPr>
          <w:rFonts w:ascii="Courier New" w:hAnsi="Courier New" w:cs="Courier New"/>
          <w:sz w:val="24"/>
          <w:szCs w:val="24"/>
        </w:rPr>
        <w:t>,</w:t>
      </w:r>
      <w:r w:rsidRPr="00BE2A29">
        <w:rPr>
          <w:rFonts w:ascii="Courier New" w:hAnsi="Courier New" w:cs="Courier New"/>
          <w:sz w:val="24"/>
          <w:szCs w:val="24"/>
        </w:rPr>
        <w:t xml:space="preserve"> or </w:t>
      </w:r>
      <w:r>
        <w:rPr>
          <w:rFonts w:ascii="Courier New" w:hAnsi="Courier New" w:cs="Courier New"/>
          <w:sz w:val="24"/>
          <w:szCs w:val="24"/>
        </w:rPr>
        <w:t>t</w:t>
      </w:r>
      <w:r w:rsidRPr="00BE2A29">
        <w:rPr>
          <w:rFonts w:ascii="Courier New" w:hAnsi="Courier New" w:cs="Courier New"/>
          <w:sz w:val="24"/>
          <w:szCs w:val="24"/>
        </w:rPr>
        <w:t>ribal governments or communities in a material way (also referred to as an “economically significant” rule);</w:t>
      </w:r>
    </w:p>
    <w:p w14:paraId="61BDBFF4" w14:textId="77777777" w:rsidR="00993881" w:rsidRPr="00BE2A29" w:rsidRDefault="00993881" w:rsidP="00993881">
      <w:pPr>
        <w:spacing w:after="0" w:line="480" w:lineRule="auto"/>
        <w:ind w:firstLine="720"/>
        <w:rPr>
          <w:rFonts w:ascii="Courier New" w:hAnsi="Courier New" w:cs="Courier New"/>
          <w:sz w:val="24"/>
          <w:szCs w:val="24"/>
        </w:rPr>
      </w:pPr>
      <w:r w:rsidRPr="00BE2A29">
        <w:rPr>
          <w:rFonts w:ascii="Courier New" w:hAnsi="Courier New" w:cs="Courier New"/>
          <w:sz w:val="24"/>
          <w:szCs w:val="24"/>
        </w:rPr>
        <w:t>(2)  Create serious inconsistency or otherwise interfere with an action taken or planned by another agency;</w:t>
      </w:r>
    </w:p>
    <w:p w14:paraId="4779DFE9" w14:textId="77777777" w:rsidR="00993881" w:rsidRPr="00BE2A29" w:rsidRDefault="00993881" w:rsidP="00993881">
      <w:pPr>
        <w:spacing w:after="0" w:line="480" w:lineRule="auto"/>
        <w:ind w:firstLine="720"/>
        <w:rPr>
          <w:rFonts w:ascii="Courier New" w:hAnsi="Courier New" w:cs="Courier New"/>
          <w:sz w:val="24"/>
          <w:szCs w:val="24"/>
        </w:rPr>
      </w:pPr>
      <w:r w:rsidRPr="00BE2A29">
        <w:rPr>
          <w:rFonts w:ascii="Courier New" w:hAnsi="Courier New" w:cs="Courier New"/>
          <w:sz w:val="24"/>
          <w:szCs w:val="24"/>
        </w:rPr>
        <w:t>(3)  Materially alter the budgetary impacts of entitlement grants, user fees, or loan programs or the rights and obligations of recipients thereof; or</w:t>
      </w:r>
    </w:p>
    <w:p w14:paraId="298FD98B" w14:textId="77777777" w:rsidR="00993881" w:rsidRPr="00BE2A29" w:rsidRDefault="00993881" w:rsidP="00993881">
      <w:pPr>
        <w:spacing w:after="0" w:line="480" w:lineRule="auto"/>
        <w:ind w:firstLine="720"/>
        <w:rPr>
          <w:rFonts w:ascii="Courier New" w:hAnsi="Courier New" w:cs="Courier New"/>
          <w:sz w:val="24"/>
          <w:szCs w:val="24"/>
        </w:rPr>
      </w:pPr>
      <w:r w:rsidRPr="00BE2A29">
        <w:rPr>
          <w:rFonts w:ascii="Courier New" w:hAnsi="Courier New" w:cs="Courier New"/>
          <w:sz w:val="24"/>
          <w:szCs w:val="24"/>
        </w:rPr>
        <w:t>(4)  Raise novel legal or policy issues arising out of legal mandates, the President's priorities, or the principles stated in the Executive order.</w:t>
      </w:r>
    </w:p>
    <w:p w14:paraId="0E99728E" w14:textId="7F50BC2E" w:rsidR="00993881" w:rsidRPr="00202FCB" w:rsidRDefault="00993881" w:rsidP="00993881">
      <w:pPr>
        <w:spacing w:after="0" w:line="480" w:lineRule="auto"/>
        <w:ind w:firstLine="720"/>
        <w:rPr>
          <w:rFonts w:ascii="Courier New" w:hAnsi="Courier New" w:cs="Courier New"/>
          <w:sz w:val="24"/>
          <w:szCs w:val="24"/>
        </w:rPr>
      </w:pPr>
      <w:r w:rsidRPr="00202FCB">
        <w:rPr>
          <w:rFonts w:ascii="Courier New" w:hAnsi="Courier New" w:cs="Courier New"/>
          <w:sz w:val="24"/>
          <w:szCs w:val="24"/>
        </w:rPr>
        <w:t xml:space="preserve">This </w:t>
      </w:r>
      <w:r>
        <w:rPr>
          <w:rFonts w:ascii="Courier New" w:hAnsi="Courier New" w:cs="Courier New"/>
          <w:sz w:val="24"/>
          <w:szCs w:val="24"/>
        </w:rPr>
        <w:t>final</w:t>
      </w:r>
      <w:r w:rsidRPr="00202FCB">
        <w:rPr>
          <w:rFonts w:ascii="Courier New" w:hAnsi="Courier New" w:cs="Courier New"/>
          <w:sz w:val="24"/>
          <w:szCs w:val="24"/>
        </w:rPr>
        <w:t xml:space="preserve"> regulatory action will have an annual effect on the economy of more than $100 million because </w:t>
      </w:r>
      <w:r w:rsidR="009A702F" w:rsidRPr="00F828BD">
        <w:rPr>
          <w:rFonts w:ascii="Courier New" w:hAnsi="Courier New" w:cs="Courier New"/>
          <w:sz w:val="24"/>
          <w:szCs w:val="24"/>
        </w:rPr>
        <w:t xml:space="preserve">the estimated Federal student aid, institutional revenues, and instructional expenses associated with students that drop out of postsecondary education, transfer, or remain in programs that lose eligibility for title IV, HEA funds as a result of the regulations is over $100 million on an annualized basis. </w:t>
      </w:r>
      <w:r w:rsidR="009A702F">
        <w:rPr>
          <w:rFonts w:ascii="Courier New" w:hAnsi="Courier New" w:cs="Courier New"/>
          <w:sz w:val="24"/>
          <w:szCs w:val="24"/>
        </w:rPr>
        <w:t xml:space="preserve"> </w:t>
      </w:r>
      <w:r w:rsidR="009A702F" w:rsidRPr="00F828BD">
        <w:rPr>
          <w:rFonts w:ascii="Courier New" w:hAnsi="Courier New" w:cs="Courier New"/>
          <w:sz w:val="24"/>
          <w:szCs w:val="24"/>
        </w:rPr>
        <w:t>The estimated annualized costs and transfers associated with the regulations are provided in the “Accounting Statement</w:t>
      </w:r>
      <w:r w:rsidR="009A702F">
        <w:rPr>
          <w:rFonts w:ascii="Courier New" w:hAnsi="Courier New" w:cs="Courier New"/>
          <w:sz w:val="24"/>
          <w:szCs w:val="24"/>
        </w:rPr>
        <w:t xml:space="preserve">” section of </w:t>
      </w:r>
      <w:r w:rsidR="001574CF" w:rsidRPr="00AA6DFD">
        <w:rPr>
          <w:rFonts w:ascii="Courier New" w:hAnsi="Courier New" w:cs="Courier New"/>
          <w:sz w:val="24"/>
          <w:szCs w:val="24"/>
        </w:rPr>
        <w:t>this</w:t>
      </w:r>
      <w:r w:rsidR="009A702F" w:rsidRPr="00771AFC">
        <w:rPr>
          <w:rFonts w:ascii="Courier New" w:hAnsi="Courier New" w:cs="Courier New"/>
          <w:sz w:val="24"/>
          <w:szCs w:val="24"/>
        </w:rPr>
        <w:t xml:space="preserve"> Regulatory Impact Analysis (RIA)</w:t>
      </w:r>
      <w:r w:rsidR="009A702F" w:rsidRPr="00F828BD">
        <w:rPr>
          <w:rFonts w:ascii="Courier New" w:hAnsi="Courier New" w:cs="Courier New"/>
          <w:sz w:val="24"/>
          <w:szCs w:val="24"/>
        </w:rPr>
        <w:t>.</w:t>
      </w:r>
      <w:r w:rsidR="001574CF" w:rsidRPr="00AA6DFD">
        <w:rPr>
          <w:rFonts w:ascii="Courier New" w:hAnsi="Courier New" w:cs="Courier New"/>
          <w:sz w:val="24"/>
          <w:szCs w:val="24"/>
        </w:rPr>
        <w:t xml:space="preserve">  </w:t>
      </w:r>
      <w:r w:rsidRPr="00202FCB">
        <w:rPr>
          <w:rFonts w:ascii="Courier New" w:hAnsi="Courier New" w:cs="Courier New"/>
          <w:sz w:val="24"/>
          <w:szCs w:val="24"/>
        </w:rPr>
        <w:t xml:space="preserve">Therefore, this </w:t>
      </w:r>
      <w:r>
        <w:rPr>
          <w:rFonts w:ascii="Courier New" w:hAnsi="Courier New" w:cs="Courier New"/>
          <w:sz w:val="24"/>
          <w:szCs w:val="24"/>
        </w:rPr>
        <w:t>final</w:t>
      </w:r>
      <w:r w:rsidRPr="00202FCB">
        <w:rPr>
          <w:rFonts w:ascii="Courier New" w:hAnsi="Courier New" w:cs="Courier New"/>
          <w:sz w:val="24"/>
          <w:szCs w:val="24"/>
        </w:rPr>
        <w:t xml:space="preserve"> action is “economically significant” and subject to review by OMB under section 3(f)(1) of Executive Order 12866.  Notwithstanding this determination, we have assessed the potential costs and benefits, both quantitative and qualitative, of this </w:t>
      </w:r>
      <w:r>
        <w:rPr>
          <w:rFonts w:ascii="Courier New" w:hAnsi="Courier New" w:cs="Courier New"/>
          <w:sz w:val="24"/>
          <w:szCs w:val="24"/>
        </w:rPr>
        <w:t>final</w:t>
      </w:r>
      <w:r w:rsidRPr="00202FCB">
        <w:rPr>
          <w:rFonts w:ascii="Courier New" w:hAnsi="Courier New" w:cs="Courier New"/>
          <w:sz w:val="24"/>
          <w:szCs w:val="24"/>
        </w:rPr>
        <w:t xml:space="preserve"> regulatory action and have determined that the benefits </w:t>
      </w:r>
      <w:r>
        <w:rPr>
          <w:rFonts w:ascii="Courier New" w:hAnsi="Courier New" w:cs="Courier New"/>
          <w:sz w:val="24"/>
          <w:szCs w:val="24"/>
        </w:rPr>
        <w:t>j</w:t>
      </w:r>
      <w:r w:rsidRPr="00202FCB">
        <w:rPr>
          <w:rFonts w:ascii="Courier New" w:hAnsi="Courier New" w:cs="Courier New"/>
          <w:sz w:val="24"/>
          <w:szCs w:val="24"/>
        </w:rPr>
        <w:t>ustify the costs.</w:t>
      </w:r>
    </w:p>
    <w:p w14:paraId="2FCC68E2"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We have also reviewed these regulations under Executive Order 13563, which supplements and explicitly reaffirms the principles, structures, and definitions governing regulatory review established in Executive Order 12866.  To the extent permitted by law, Executive Order 13563 requires that an agency--</w:t>
      </w:r>
    </w:p>
    <w:p w14:paraId="4FE081E3"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(1) Propose or adopt regulations only on a reasoned determination that their benefits justify their costs (recognizing that some benefits and costs are difficult to quantify);</w:t>
      </w:r>
    </w:p>
    <w:p w14:paraId="72E3CEDB"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(2) Tailor its regulations to impose the least burden on society, consistent with obtaining regulatory objectives and taking into account--among other things and to the extent practicable--the costs of cumulative regulations;</w:t>
      </w:r>
    </w:p>
    <w:p w14:paraId="2883AF41"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(3) In choosing among alternative regulatory approaches, select those approaches that maximize net benefits (including potential economic, environmental, public health and safety, and other advantages; distributive impacts; and equity);</w:t>
      </w:r>
    </w:p>
    <w:p w14:paraId="5EE728A7"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(4) To the extent feasible, specify performance objectives, rather than the behavior or manner of compliance a regulated entity must adopt; and</w:t>
      </w:r>
    </w:p>
    <w:p w14:paraId="650F78EA"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(5) Identify and assess available alternatives to direct regulation, including economic incentives--such as user fees or marketable permits--to encourage the desired behavior, or provide information that enables the public to make choices.</w:t>
      </w:r>
    </w:p>
    <w:p w14:paraId="1D9E9894"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 xml:space="preserve">Executive Order 13563 also requires an agency “to use the best available techniques to quantify anticipated present and future benefits and costs as accurately as possible.” </w:t>
      </w:r>
      <w:r>
        <w:rPr>
          <w:rFonts w:ascii="Courier New" w:hAnsi="Courier New" w:cs="Courier New"/>
          <w:sz w:val="24"/>
        </w:rPr>
        <w:t xml:space="preserve"> </w:t>
      </w:r>
      <w:r w:rsidRPr="00202FCB">
        <w:rPr>
          <w:rFonts w:ascii="Courier New" w:hAnsi="Courier New" w:cs="Courier New"/>
          <w:sz w:val="24"/>
        </w:rPr>
        <w:t>The Office of Information and Regulatory Affairs of OMB has emphasized that these techniques may include “identifying changing future compliance costs that might result from technological innovation or anticipated behavioral changes.”</w:t>
      </w:r>
    </w:p>
    <w:p w14:paraId="68502AFF" w14:textId="77777777" w:rsidR="00993881" w:rsidRPr="00202FCB"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 xml:space="preserve">We are issuing these </w:t>
      </w:r>
      <w:r>
        <w:rPr>
          <w:rFonts w:ascii="Courier New" w:hAnsi="Courier New" w:cs="Courier New"/>
          <w:sz w:val="24"/>
        </w:rPr>
        <w:t>final</w:t>
      </w:r>
      <w:r w:rsidRPr="00202FCB">
        <w:rPr>
          <w:rFonts w:ascii="Courier New" w:hAnsi="Courier New" w:cs="Courier New"/>
          <w:sz w:val="24"/>
        </w:rPr>
        <w:t xml:space="preserve"> regulations only on a reasoned determination that their benefits justify their costs.</w:t>
      </w:r>
      <w:r>
        <w:rPr>
          <w:rFonts w:ascii="Courier New" w:hAnsi="Courier New" w:cs="Courier New"/>
          <w:sz w:val="24"/>
        </w:rPr>
        <w:t xml:space="preserve"> </w:t>
      </w:r>
      <w:r w:rsidRPr="00202FCB">
        <w:rPr>
          <w:rFonts w:ascii="Courier New" w:hAnsi="Courier New" w:cs="Courier New"/>
          <w:sz w:val="24"/>
        </w:rPr>
        <w:t xml:space="preserve"> In choosing among alternative regulatory approaches, we selected those approaches that maximize net benefits.</w:t>
      </w:r>
      <w:r>
        <w:rPr>
          <w:rFonts w:ascii="Courier New" w:hAnsi="Courier New" w:cs="Courier New"/>
          <w:sz w:val="24"/>
        </w:rPr>
        <w:t xml:space="preserve"> </w:t>
      </w:r>
      <w:r w:rsidRPr="00202FCB">
        <w:rPr>
          <w:rFonts w:ascii="Courier New" w:hAnsi="Courier New" w:cs="Courier New"/>
          <w:sz w:val="24"/>
        </w:rPr>
        <w:t xml:space="preserve"> Based on the analysis that follows, the Department believes that these </w:t>
      </w:r>
      <w:r>
        <w:rPr>
          <w:rFonts w:ascii="Courier New" w:hAnsi="Courier New" w:cs="Courier New"/>
          <w:sz w:val="24"/>
        </w:rPr>
        <w:t>final</w:t>
      </w:r>
      <w:r w:rsidRPr="00202FCB">
        <w:rPr>
          <w:rFonts w:ascii="Courier New" w:hAnsi="Courier New" w:cs="Courier New"/>
          <w:sz w:val="24"/>
        </w:rPr>
        <w:t xml:space="preserve"> regulations are consistent with the principles in Executive Order 13563.</w:t>
      </w:r>
    </w:p>
    <w:p w14:paraId="668E728B" w14:textId="77777777" w:rsidR="00993881" w:rsidRPr="00202FCB" w:rsidRDefault="00993881" w:rsidP="00993881">
      <w:pPr>
        <w:spacing w:after="0" w:line="480" w:lineRule="auto"/>
        <w:ind w:firstLine="720"/>
        <w:rPr>
          <w:rFonts w:ascii="Courier New" w:hAnsi="Courier New" w:cs="Courier New"/>
          <w:sz w:val="24"/>
          <w:szCs w:val="24"/>
        </w:rPr>
      </w:pPr>
      <w:r w:rsidRPr="00202FCB">
        <w:rPr>
          <w:rFonts w:ascii="Courier New" w:hAnsi="Courier New" w:cs="Courier New"/>
          <w:sz w:val="24"/>
        </w:rPr>
        <w:t xml:space="preserve">We also have determined that this regulatory action </w:t>
      </w:r>
      <w:r>
        <w:rPr>
          <w:rFonts w:ascii="Courier New" w:hAnsi="Courier New" w:cs="Courier New"/>
          <w:sz w:val="24"/>
        </w:rPr>
        <w:t>does</w:t>
      </w:r>
      <w:r w:rsidRPr="00202FCB">
        <w:rPr>
          <w:rFonts w:ascii="Courier New" w:hAnsi="Courier New" w:cs="Courier New"/>
          <w:sz w:val="24"/>
        </w:rPr>
        <w:t xml:space="preserve"> not unduly interfere with State, local, </w:t>
      </w:r>
      <w:r>
        <w:rPr>
          <w:rFonts w:ascii="Courier New" w:hAnsi="Courier New" w:cs="Courier New"/>
          <w:sz w:val="24"/>
        </w:rPr>
        <w:t>or</w:t>
      </w:r>
      <w:r w:rsidRPr="00202FCB">
        <w:rPr>
          <w:rFonts w:ascii="Courier New" w:hAnsi="Courier New" w:cs="Courier New"/>
          <w:sz w:val="24"/>
        </w:rPr>
        <w:t xml:space="preserve"> tribal governments in the exercise of their governmental functions.</w:t>
      </w:r>
    </w:p>
    <w:p w14:paraId="01CD2CA5" w14:textId="77777777" w:rsidR="00993881" w:rsidRPr="006704DC" w:rsidRDefault="00993881" w:rsidP="00993881">
      <w:pPr>
        <w:spacing w:after="0" w:line="480" w:lineRule="auto"/>
        <w:ind w:firstLine="720"/>
        <w:rPr>
          <w:rFonts w:ascii="Courier New" w:hAnsi="Courier New" w:cs="Courier New"/>
          <w:sz w:val="24"/>
          <w:szCs w:val="24"/>
        </w:rPr>
      </w:pPr>
      <w:r w:rsidRPr="00202FCB">
        <w:rPr>
          <w:rFonts w:ascii="Courier New" w:hAnsi="Courier New" w:cs="Courier New"/>
          <w:sz w:val="24"/>
          <w:szCs w:val="24"/>
        </w:rPr>
        <w:t>In this regulatory impact analysis we discuss the need for regulatory action, the potential costs and benefits, net budget impacts, assumptions, limitations, and data sources, as well as regulatory alternatives we considered.</w:t>
      </w:r>
    </w:p>
    <w:p w14:paraId="373669DE" w14:textId="77777777" w:rsidR="00993881" w:rsidRPr="003F6930" w:rsidRDefault="00993881" w:rsidP="00993881">
      <w:pPr>
        <w:spacing w:after="0" w:line="480" w:lineRule="auto"/>
        <w:ind w:firstLine="720"/>
        <w:rPr>
          <w:rFonts w:ascii="Courier New" w:hAnsi="Courier New" w:cs="Courier New"/>
          <w:sz w:val="24"/>
        </w:rPr>
      </w:pPr>
      <w:r w:rsidRPr="00202FCB">
        <w:rPr>
          <w:rFonts w:ascii="Courier New" w:hAnsi="Courier New" w:cs="Courier New"/>
          <w:sz w:val="24"/>
        </w:rPr>
        <w:t>Elsewhere in this section</w:t>
      </w:r>
      <w:r>
        <w:rPr>
          <w:rFonts w:ascii="Courier New" w:hAnsi="Courier New" w:cs="Courier New"/>
          <w:sz w:val="24"/>
        </w:rPr>
        <w:t>,</w:t>
      </w:r>
      <w:r w:rsidRPr="00202FCB">
        <w:rPr>
          <w:rFonts w:ascii="Courier New" w:hAnsi="Courier New" w:cs="Courier New"/>
          <w:sz w:val="24"/>
        </w:rPr>
        <w:t xml:space="preserve"> under </w:t>
      </w:r>
      <w:r w:rsidRPr="00202FCB">
        <w:rPr>
          <w:rFonts w:ascii="Courier New" w:hAnsi="Courier New" w:cs="Courier New"/>
          <w:sz w:val="24"/>
          <w:u w:val="single"/>
        </w:rPr>
        <w:t>Paperwork Reduction Act of 1995</w:t>
      </w:r>
      <w:r w:rsidRPr="008D3822">
        <w:rPr>
          <w:rFonts w:ascii="Courier New" w:hAnsi="Courier New" w:cs="Courier New"/>
          <w:sz w:val="24"/>
        </w:rPr>
        <w:t xml:space="preserve">, </w:t>
      </w:r>
      <w:r w:rsidRPr="00202FCB">
        <w:rPr>
          <w:rFonts w:ascii="Courier New" w:hAnsi="Courier New" w:cs="Courier New"/>
          <w:sz w:val="24"/>
        </w:rPr>
        <w:t xml:space="preserve">we identify and explain burdens specifically </w:t>
      </w:r>
      <w:r w:rsidRPr="003F6930">
        <w:rPr>
          <w:rFonts w:ascii="Courier New" w:hAnsi="Courier New" w:cs="Courier New"/>
          <w:sz w:val="24"/>
        </w:rPr>
        <w:t xml:space="preserve">associated with information collection requirements.  </w:t>
      </w:r>
    </w:p>
    <w:p w14:paraId="3D883EC5" w14:textId="77777777" w:rsidR="00993881" w:rsidRDefault="00993881" w:rsidP="00993881">
      <w:pPr>
        <w:spacing w:after="0" w:line="480" w:lineRule="auto"/>
        <w:ind w:firstLine="720"/>
        <w:rPr>
          <w:rFonts w:ascii="Courier New" w:hAnsi="Courier New" w:cs="Courier New"/>
          <w:sz w:val="24"/>
        </w:rPr>
      </w:pPr>
      <w:r w:rsidRPr="003F6930">
        <w:rPr>
          <w:rFonts w:ascii="Courier New" w:hAnsi="Courier New" w:cs="Courier New"/>
          <w:sz w:val="24"/>
        </w:rPr>
        <w:t>A detailed analysis, including our Regulatory Flexibility Analysis, is found in Appendix A to this document.</w:t>
      </w:r>
    </w:p>
    <w:p w14:paraId="4626E17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8205BF">
        <w:rPr>
          <w:rFonts w:ascii="Courier New" w:eastAsia="Times New Roman" w:hAnsi="Courier New" w:cs="Courier New"/>
          <w:sz w:val="24"/>
          <w:szCs w:val="24"/>
          <w:u w:val="single"/>
        </w:rPr>
        <w:t>Paperwork Reduction Act of 1995</w:t>
      </w:r>
    </w:p>
    <w:p w14:paraId="5CA518A1"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rPr>
      </w:pPr>
      <w:r w:rsidRPr="008205BF">
        <w:rPr>
          <w:rFonts w:ascii="Courier New" w:eastAsia="Times New Roman" w:hAnsi="Courier New" w:cs="Courier New"/>
          <w:sz w:val="24"/>
          <w:szCs w:val="24"/>
        </w:rPr>
        <w:t xml:space="preserve">     </w:t>
      </w:r>
      <w:r w:rsidRPr="00BF6792">
        <w:rPr>
          <w:rFonts w:ascii="Courier New" w:hAnsi="Courier New" w:cs="Courier New"/>
          <w:sz w:val="24"/>
          <w:szCs w:val="24"/>
        </w:rPr>
        <w:t>The Paperwork Reduction Act of 1995 does not require you to respond to a collection of information unless it displays a valid OMB control number.  We display the valid OMB control numbers assigned to the collections of information in these regulations at the end of the affected sections of the regulations.</w:t>
      </w:r>
    </w:p>
    <w:p w14:paraId="44AEB66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hAnsi="Courier New" w:cs="Courier New"/>
          <w:sz w:val="24"/>
          <w:szCs w:val="24"/>
        </w:rPr>
        <w:tab/>
      </w:r>
      <w:r w:rsidRPr="008205BF">
        <w:rPr>
          <w:rFonts w:ascii="Courier New" w:eastAsia="Times New Roman" w:hAnsi="Courier New" w:cs="Courier New"/>
          <w:sz w:val="24"/>
          <w:szCs w:val="24"/>
        </w:rPr>
        <w:t xml:space="preserve">Sections 668.405, 668.406, 668.410, 668.411, 668.412, 668.413, 668.414, 668.504, 668.509, 668.510, 668.511, and 668.512 contain information collection requirements.  Under the </w:t>
      </w:r>
      <w:r>
        <w:rPr>
          <w:rFonts w:ascii="Courier New" w:eastAsia="Times New Roman" w:hAnsi="Courier New" w:cs="Courier New"/>
          <w:sz w:val="24"/>
          <w:szCs w:val="24"/>
        </w:rPr>
        <w:t>Paperwork R</w:t>
      </w:r>
      <w:r w:rsidRPr="008205BF">
        <w:rPr>
          <w:rFonts w:ascii="Courier New" w:eastAsia="Times New Roman" w:hAnsi="Courier New" w:cs="Courier New"/>
          <w:sz w:val="24"/>
          <w:szCs w:val="24"/>
        </w:rPr>
        <w:t>eduction Act of 1995 (PRA) (44 U.S.C. 3507(d)), the Department has submitted a copy of these sections, related fo</w:t>
      </w:r>
      <w:r>
        <w:rPr>
          <w:rFonts w:ascii="Courier New" w:eastAsia="Times New Roman" w:hAnsi="Courier New" w:cs="Courier New"/>
          <w:sz w:val="24"/>
          <w:szCs w:val="24"/>
        </w:rPr>
        <w:t>rms, and Information Collection</w:t>
      </w:r>
      <w:r w:rsidRPr="008205BF">
        <w:rPr>
          <w:rFonts w:ascii="Courier New" w:eastAsia="Times New Roman" w:hAnsi="Courier New" w:cs="Courier New"/>
          <w:sz w:val="24"/>
          <w:szCs w:val="24"/>
        </w:rPr>
        <w:t xml:space="preserve"> Requests (ICRs) to the Office of Management and Budget (OMB) for its review.</w:t>
      </w:r>
    </w:p>
    <w:p w14:paraId="7D974B3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The OMB Control numbers associated with the regulations and related forms are 1845-0123 (identified as 1845-NEW1 in the NPRM), 1845-0122 (identified as 1845-NEW2 in the NPRM), and 1845-0121 (identified as 1845-NEW3 in the NPRM).  Due to the removal of the pCDR </w:t>
      </w:r>
      <w:r>
        <w:rPr>
          <w:rFonts w:ascii="Courier New" w:eastAsia="Times New Roman" w:hAnsi="Courier New" w:cs="Courier New"/>
          <w:sz w:val="24"/>
          <w:szCs w:val="24"/>
        </w:rPr>
        <w:t>measure</w:t>
      </w:r>
      <w:r w:rsidRPr="008205BF">
        <w:rPr>
          <w:rFonts w:ascii="Courier New" w:eastAsia="Times New Roman" w:hAnsi="Courier New" w:cs="Courier New"/>
          <w:sz w:val="24"/>
          <w:szCs w:val="24"/>
        </w:rPr>
        <w:t xml:space="preserve"> as </w:t>
      </w:r>
      <w:r>
        <w:rPr>
          <w:rFonts w:ascii="Courier New" w:eastAsia="Times New Roman" w:hAnsi="Courier New" w:cs="Courier New"/>
          <w:sz w:val="24"/>
          <w:szCs w:val="24"/>
        </w:rPr>
        <w:t>an accountability metric</w:t>
      </w:r>
      <w:r w:rsidRPr="008205BF">
        <w:rPr>
          <w:rFonts w:ascii="Courier New" w:eastAsia="Times New Roman" w:hAnsi="Courier New" w:cs="Courier New"/>
          <w:sz w:val="24"/>
          <w:szCs w:val="24"/>
        </w:rPr>
        <w:t xml:space="preserve">, the number of GE programs and enrollments in those programs </w:t>
      </w:r>
      <w:r>
        <w:rPr>
          <w:rFonts w:ascii="Courier New" w:eastAsia="Times New Roman" w:hAnsi="Courier New" w:cs="Courier New"/>
          <w:sz w:val="24"/>
          <w:szCs w:val="24"/>
        </w:rPr>
        <w:t>have</w:t>
      </w:r>
      <w:r w:rsidRPr="008205BF">
        <w:rPr>
          <w:rFonts w:ascii="Courier New" w:eastAsia="Times New Roman" w:hAnsi="Courier New" w:cs="Courier New"/>
          <w:sz w:val="24"/>
          <w:szCs w:val="24"/>
        </w:rPr>
        <w:t xml:space="preserve"> been reduced throughout th</w:t>
      </w:r>
      <w:r>
        <w:rPr>
          <w:rFonts w:ascii="Courier New" w:eastAsia="Times New Roman" w:hAnsi="Courier New" w:cs="Courier New"/>
          <w:sz w:val="24"/>
          <w:szCs w:val="24"/>
        </w:rPr>
        <w:t>is section</w:t>
      </w:r>
      <w:r w:rsidRPr="008205BF">
        <w:rPr>
          <w:rFonts w:ascii="Courier New" w:eastAsia="Times New Roman" w:hAnsi="Courier New" w:cs="Courier New"/>
          <w:sz w:val="24"/>
          <w:szCs w:val="24"/>
        </w:rPr>
        <w:t xml:space="preserve">.  </w:t>
      </w:r>
    </w:p>
    <w:p w14:paraId="302CEAED" w14:textId="77777777" w:rsidR="00E538DB" w:rsidRPr="008205BF" w:rsidRDefault="00E538DB" w:rsidP="00E538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w:t>
      </w:r>
      <w:r w:rsidRPr="008205BF">
        <w:rPr>
          <w:rFonts w:ascii="Courier New" w:eastAsia="Times New Roman" w:hAnsi="Courier New" w:cs="Courier New"/>
          <w:sz w:val="24"/>
          <w:szCs w:val="24"/>
          <w:u w:val="single"/>
        </w:rPr>
        <w:t>668.405 Issuing and Challenging D/E Rates</w:t>
      </w:r>
    </w:p>
    <w:p w14:paraId="463D4244"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the regulations, the Secretary will create a list of students who completed a GE program during the applicable cohort period from data reported by the institution.  The list will indicate whether the list is of students who completed the program in the two-year cohort period or in the four-year cohort period, and it will also indicate which of the students on the list will be excluded from the </w:t>
      </w:r>
      <w:r>
        <w:rPr>
          <w:rFonts w:ascii="Courier New" w:eastAsia="Times New Roman" w:hAnsi="Courier New" w:cs="Courier New"/>
          <w:sz w:val="24"/>
          <w:szCs w:val="24"/>
        </w:rPr>
        <w:t>debt-to-earnings (</w:t>
      </w:r>
      <w:r w:rsidRPr="008205BF">
        <w:rPr>
          <w:rFonts w:ascii="Courier New" w:eastAsia="Times New Roman" w:hAnsi="Courier New" w:cs="Courier New"/>
          <w:sz w:val="24"/>
          <w:szCs w:val="24"/>
        </w:rPr>
        <w:t>D/E</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rates calculations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668.404(e), for one of the following reasons:  </w:t>
      </w:r>
      <w:r>
        <w:rPr>
          <w:rFonts w:ascii="Courier New" w:eastAsia="Times New Roman" w:hAnsi="Courier New" w:cs="Courier New"/>
          <w:sz w:val="24"/>
          <w:szCs w:val="24"/>
        </w:rPr>
        <w:t>a</w:t>
      </w:r>
      <w:r w:rsidRPr="008205BF">
        <w:rPr>
          <w:rFonts w:ascii="Courier New" w:eastAsia="Times New Roman" w:hAnsi="Courier New" w:cs="Courier New"/>
          <w:sz w:val="24"/>
          <w:szCs w:val="24"/>
        </w:rPr>
        <w:t xml:space="preserve"> military deferment, a loan discharge for total and permanent disability, enrollment on at least a half-time basis, completing a higher undergraduate or graduate credentialed program, or death.</w:t>
      </w:r>
    </w:p>
    <w:p w14:paraId="3723FF13" w14:textId="77777777" w:rsidR="00E538DB" w:rsidRPr="008205BF" w:rsidRDefault="00E538DB" w:rsidP="00E538DB">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t xml:space="preserve">The institution will then have the opportunity, within 45 days of </w:t>
      </w:r>
      <w:r>
        <w:rPr>
          <w:rFonts w:ascii="Courier New" w:eastAsia="Times New Roman" w:hAnsi="Courier New" w:cs="Courier New"/>
          <w:sz w:val="24"/>
          <w:szCs w:val="24"/>
        </w:rPr>
        <w:t>being provided</w:t>
      </w:r>
      <w:r w:rsidRPr="008205BF">
        <w:rPr>
          <w:rFonts w:ascii="Courier New" w:eastAsia="Times New Roman" w:hAnsi="Courier New" w:cs="Courier New"/>
          <w:sz w:val="24"/>
          <w:szCs w:val="24"/>
        </w:rPr>
        <w:t xml:space="preserve"> the student list from the Secretary, to propose corrections to the list.  After receiving the institution</w:t>
      </w:r>
      <w:r>
        <w:rPr>
          <w:rFonts w:ascii="Courier New" w:eastAsia="Times New Roman" w:hAnsi="Courier New" w:cs="Courier New"/>
          <w:sz w:val="24"/>
          <w:szCs w:val="24"/>
        </w:rPr>
        <w:t>’</w:t>
      </w:r>
      <w:r w:rsidRPr="008205BF">
        <w:rPr>
          <w:rFonts w:ascii="Courier New" w:eastAsia="Times New Roman" w:hAnsi="Courier New" w:cs="Courier New"/>
          <w:sz w:val="24"/>
          <w:szCs w:val="24"/>
        </w:rPr>
        <w:t>s proposed corrections, the Secretary will notify the institution whether a proposed correction is accepted and will use any corrected information to create the final list.</w:t>
      </w:r>
    </w:p>
    <w:p w14:paraId="7AFD439B"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have estimated that the 2010-2011 and the 2011-2012 total number of students enrolled in GE programs is projected to be 6,436,806 (the 2010-2011 total of 3,341,856 GE students plus the 2011-2012 total of 3,094,950 GE students).</w:t>
      </w:r>
    </w:p>
    <w:p w14:paraId="61178AFE"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t xml:space="preserve">We estimate that 89 percent of the total enrollment in GE programs will be at for-profit institutions, 2 percent will be at private non-profit institutions, and 9 percent will be at public institutions.  As indicated in connection with the 2011 Final Rules (75 FR 66933), we estimate that 16 percent of students enrolled in GE programs will complete their course of study.  Therefore, we estimate that there will be 916,601 students who complete their programs at for-profit institutions (6,436,806 students times 89 percent of total enrollment </w:t>
      </w:r>
      <w:r>
        <w:rPr>
          <w:rFonts w:ascii="Courier New" w:eastAsia="Times New Roman" w:hAnsi="Courier New" w:cs="Courier New"/>
          <w:sz w:val="24"/>
          <w:szCs w:val="24"/>
        </w:rPr>
        <w:t>a</w:t>
      </w:r>
      <w:r w:rsidRPr="008205BF">
        <w:rPr>
          <w:rFonts w:ascii="Courier New" w:eastAsia="Times New Roman" w:hAnsi="Courier New" w:cs="Courier New"/>
          <w:sz w:val="24"/>
          <w:szCs w:val="24"/>
        </w:rPr>
        <w:t>t for-profit institutions times 16 percent, the percentage of students who complete programs) during the two-year cohort period.</w:t>
      </w:r>
    </w:p>
    <w:p w14:paraId="5F3C0B83"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t>On average, we estimate that it will take for-profit institutional staff 0.17 hours (10 minutes) per student to review the list to determine whether a student shoul</w:t>
      </w:r>
      <w:r>
        <w:rPr>
          <w:rFonts w:ascii="Courier New" w:eastAsia="Times New Roman" w:hAnsi="Courier New" w:cs="Courier New"/>
          <w:sz w:val="24"/>
          <w:szCs w:val="24"/>
        </w:rPr>
        <w:t>d be included or excluded under</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668.404(e) and, if included, whether the student's identity information requires correction, and then to obtain the evidence to substantiate any inclusion, exclusion, or correction, increasing burden by 155,822 hours (916,601 students times .17 hours) under OMB 1845-0123.</w:t>
      </w:r>
    </w:p>
    <w:p w14:paraId="1D92873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there will be 20,598 students who complete their programs at private non-profit institutions (6,436,806 students times 2 percent of total enrollment at private non-profit institutions times 16 percent, the percentage of students who complete programs) during the two-year cohort period.</w:t>
      </w:r>
    </w:p>
    <w:p w14:paraId="195B298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On average, we estimate that it will take private non-profit institutional staff 0.17 hours (10 minutes) per student to review the list to determine whether a student should be included or excluded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668.404(e) and, if included, whether the student's identity information requires correction, and then to obtain the evidence to substantiate any inclusion, exclusion, or correction, increasing burden by 3,502 hours (20,598 students times .17 hours) under OMB 1845-0123.</w:t>
      </w:r>
    </w:p>
    <w:p w14:paraId="59549E8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there will be 92,690 students who complete their programs at public institutions (6,436,806 students times 9 percent of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total enrollment at public institutions times 16 percent, the percentage of students who complete programs) during the two-year cohort period.</w:t>
      </w:r>
    </w:p>
    <w:p w14:paraId="1E53226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On average, we estimate that it will take public institutional staff 0.17 hours (10 minutes) per student to review the list to determine whether a student should be included or excluded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668.404(e) and, if included, whether the student's identity information requires correction, and then to obtain the evidence to substantiate any inclusion, exclusion, or correction, increasing burden by 15,757 hours (92,690 students times .17 hours) under OMB 1845-0123.</w:t>
      </w:r>
    </w:p>
    <w:p w14:paraId="765C609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Collectively, the total number of students who complete their programs and who will be included on the lists that will be provided to institutions </w:t>
      </w:r>
      <w:r>
        <w:rPr>
          <w:rFonts w:ascii="Courier New" w:eastAsia="Times New Roman" w:hAnsi="Courier New" w:cs="Courier New"/>
          <w:sz w:val="24"/>
          <w:szCs w:val="24"/>
        </w:rPr>
        <w:t xml:space="preserve">to review for accuracy </w:t>
      </w:r>
      <w:r w:rsidRPr="008205BF">
        <w:rPr>
          <w:rFonts w:ascii="Courier New" w:eastAsia="Times New Roman" w:hAnsi="Courier New" w:cs="Courier New"/>
          <w:sz w:val="24"/>
          <w:szCs w:val="24"/>
        </w:rPr>
        <w:t>is a projected 1,029,889 students, thus increasing burden by 175,081 hours under OMB Control Number 1845-0123.</w:t>
      </w:r>
    </w:p>
    <w:p w14:paraId="50F2C5D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668.405(</w:t>
      </w:r>
      <w:r>
        <w:rPr>
          <w:rFonts w:ascii="Courier New" w:eastAsia="Times New Roman" w:hAnsi="Courier New" w:cs="Courier New"/>
          <w:sz w:val="24"/>
          <w:szCs w:val="24"/>
        </w:rPr>
        <w:t>d</w:t>
      </w:r>
      <w:r w:rsidRPr="008205BF">
        <w:rPr>
          <w:rFonts w:ascii="Courier New" w:eastAsia="Times New Roman" w:hAnsi="Courier New" w:cs="Courier New"/>
          <w:sz w:val="24"/>
          <w:szCs w:val="24"/>
        </w:rPr>
        <w:t xml:space="preserve">), after finalizing the list of students, the Secretary will obtain from SSA the mean and median earnings, in aggregate form, of those students on the list whom SSA has matched to its earnings data for the most recently completed calendar year for which SSA has validated earnings information.  SSA will </w:t>
      </w:r>
      <w:r>
        <w:rPr>
          <w:rFonts w:ascii="Courier New" w:eastAsia="Times New Roman" w:hAnsi="Courier New" w:cs="Courier New"/>
          <w:sz w:val="24"/>
          <w:szCs w:val="24"/>
        </w:rPr>
        <w:t xml:space="preserve">not </w:t>
      </w:r>
      <w:r w:rsidRPr="008205BF">
        <w:rPr>
          <w:rFonts w:ascii="Courier New" w:eastAsia="Times New Roman" w:hAnsi="Courier New" w:cs="Courier New"/>
          <w:sz w:val="24"/>
          <w:szCs w:val="24"/>
        </w:rPr>
        <w:t xml:space="preserve">provide </w:t>
      </w:r>
      <w:r>
        <w:rPr>
          <w:rFonts w:ascii="Courier New" w:eastAsia="Times New Roman" w:hAnsi="Courier New" w:cs="Courier New"/>
          <w:sz w:val="24"/>
          <w:szCs w:val="24"/>
        </w:rPr>
        <w:t xml:space="preserve">to </w:t>
      </w:r>
      <w:r w:rsidRPr="008205BF">
        <w:rPr>
          <w:rFonts w:ascii="Courier New" w:eastAsia="Times New Roman" w:hAnsi="Courier New" w:cs="Courier New"/>
          <w:sz w:val="24"/>
          <w:szCs w:val="24"/>
        </w:rPr>
        <w:t xml:space="preserve">the Secretary individual data on these students; rather, SSA will advise the Secretary of the number of students it could not, for any reason, match against its records of earnings.  In the D/E rates calculation, the Secretary will exclude from the loan debts of the students on the list the same number of loan debts as SSA non-matches, starting with the highest loan debt.  The remaining debts will then be used to calculate the median </w:t>
      </w:r>
      <w:r>
        <w:rPr>
          <w:rFonts w:ascii="Courier New" w:eastAsia="Times New Roman" w:hAnsi="Courier New" w:cs="Courier New"/>
          <w:sz w:val="24"/>
          <w:szCs w:val="24"/>
        </w:rPr>
        <w:t xml:space="preserve">debt for the program </w:t>
      </w:r>
      <w:r w:rsidRPr="008205BF">
        <w:rPr>
          <w:rFonts w:ascii="Courier New" w:eastAsia="Times New Roman" w:hAnsi="Courier New" w:cs="Courier New"/>
          <w:sz w:val="24"/>
          <w:szCs w:val="24"/>
        </w:rPr>
        <w:t xml:space="preserve">for the listed students.  The Secretary will calculate draft D/E rates using the higher of the mean or median annual earnings reported by SSA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668.405(e), notify the institution of the GE program's draft D/E rates, and provide the institution with the individual loan data on which the rates were calculated.</w:t>
      </w:r>
    </w:p>
    <w:p w14:paraId="0C9CB77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668.405(f), the institution will have the opportunity, within 45 days of the Secretary's notice of the draft D/E rates, to challenge</w:t>
      </w:r>
      <w:r>
        <w:rPr>
          <w:rFonts w:ascii="Courier New" w:eastAsia="Times New Roman" w:hAnsi="Courier New" w:cs="Courier New"/>
          <w:sz w:val="24"/>
          <w:szCs w:val="24"/>
        </w:rPr>
        <w:t xml:space="preserve"> the accuracy of the rates</w:t>
      </w:r>
      <w:r w:rsidRPr="008205BF">
        <w:rPr>
          <w:rFonts w:ascii="Courier New" w:eastAsia="Times New Roman" w:hAnsi="Courier New" w:cs="Courier New"/>
          <w:sz w:val="24"/>
          <w:szCs w:val="24"/>
        </w:rPr>
        <w:t>, under procedures established by the Secretary.  The Secretary will notify the institution whether a proposed challenge is accepted and use any corrected information from the challenge to recalculate the GE program's draft D/E rates.</w:t>
      </w:r>
    </w:p>
    <w:p w14:paraId="73378C2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There are 8,895 programs that will be evaluated under the regulations.  Our analysis estimates that of those 8,895 programs, with respect to the D/E rates measure, 6,913 programs will be passing, 1,253 programs will be in the zone, and 729 programs will fail.</w:t>
      </w:r>
    </w:p>
    <w:p w14:paraId="35087CE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We estimate that the number of students at for-profit institutions who complete programs that are in the zone will be 77,693 (485,583 students enrolled in zone programs times 16 percent, the percentage of students who complete programs) and the number who complete failing programs at for-profit institutions will be 66,200 (413,747 students enrolled in failing programs times 16 percent, the percentage of students who complete programs), for a total of 143,893 students (77,693 students plus </w:t>
      </w:r>
      <w:r>
        <w:rPr>
          <w:rFonts w:ascii="Courier New" w:eastAsia="Times New Roman" w:hAnsi="Courier New" w:cs="Courier New"/>
          <w:sz w:val="24"/>
          <w:szCs w:val="24"/>
        </w:rPr>
        <w:t>66,200</w:t>
      </w:r>
      <w:r w:rsidRPr="008205BF">
        <w:rPr>
          <w:rFonts w:ascii="Courier New" w:eastAsia="Times New Roman" w:hAnsi="Courier New" w:cs="Courier New"/>
          <w:sz w:val="24"/>
          <w:szCs w:val="24"/>
        </w:rPr>
        <w:t xml:space="preserve"> students).</w:t>
      </w:r>
    </w:p>
    <w:p w14:paraId="21AD51F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it will take institutional staff an average of 0.25 hours (15 minutes) per student to examine the loan data and determine whether to select a record for challenge, resulting in a burden increase of 35,973 hours (143,893 students times .25 hours) in OMB Control Number 1845-0123.</w:t>
      </w:r>
    </w:p>
    <w:p w14:paraId="112E173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number of students at private non-profit institutions who complete programs that are in the zone will be 760 (4,747 students enrolled in zone programs times 16 percent, the percentage of students who complete programs) and the number who complete failing programs at private non-profit institutions will be 272 (1,701 students enrolled in failing programs times 16 percent, the percentage of students who complete programs), for a total of 1,032 students (760 students plus 272 students).</w:t>
      </w:r>
    </w:p>
    <w:p w14:paraId="303E8D4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it will take institutional staff an average of 0.25 hours (15 minutes) per student to examine the loan data and determine whether to select a record for challenge, resulting in a burden increase of 258 hours (1,032 students times .25 hours) in OMB Control Number 1845-0123.</w:t>
      </w:r>
    </w:p>
    <w:p w14:paraId="6ABF8C6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number of students at public institutions who complete programs that are in the zone will be 109 (684 students enrolled in zone programs times 16 percent, the percentage of students who complete programs) and the number who complete failing programs at public institutions will be 84 (523 students enrolled in failing programs times 16 percent, the percentage of students who complete programs), for a total of </w:t>
      </w:r>
      <w:r>
        <w:rPr>
          <w:rFonts w:ascii="Courier New" w:eastAsia="Times New Roman" w:hAnsi="Courier New" w:cs="Courier New"/>
          <w:sz w:val="24"/>
          <w:szCs w:val="24"/>
        </w:rPr>
        <w:t>193</w:t>
      </w:r>
      <w:r w:rsidRPr="008205BF">
        <w:rPr>
          <w:rFonts w:ascii="Courier New" w:eastAsia="Times New Roman" w:hAnsi="Courier New" w:cs="Courier New"/>
          <w:sz w:val="24"/>
          <w:szCs w:val="24"/>
        </w:rPr>
        <w:t xml:space="preserve"> students (</w:t>
      </w:r>
      <w:r>
        <w:rPr>
          <w:rFonts w:ascii="Courier New" w:eastAsia="Times New Roman" w:hAnsi="Courier New" w:cs="Courier New"/>
          <w:sz w:val="24"/>
          <w:szCs w:val="24"/>
        </w:rPr>
        <w:t>109</w:t>
      </w:r>
      <w:r w:rsidRPr="008205BF">
        <w:rPr>
          <w:rFonts w:ascii="Courier New" w:eastAsia="Times New Roman" w:hAnsi="Courier New" w:cs="Courier New"/>
          <w:sz w:val="24"/>
          <w:szCs w:val="24"/>
        </w:rPr>
        <w:t xml:space="preserve"> students plus 84 students).</w:t>
      </w:r>
    </w:p>
    <w:p w14:paraId="517A258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it will take institutional staff an average of 0.25 hours (15 minutes) per student to examine the loan data and determine whether to select a record for challenge, resulting in a burden increase of </w:t>
      </w:r>
      <w:r>
        <w:rPr>
          <w:rFonts w:ascii="Courier New" w:eastAsia="Times New Roman" w:hAnsi="Courier New" w:cs="Courier New"/>
          <w:sz w:val="24"/>
          <w:szCs w:val="24"/>
        </w:rPr>
        <w:t>48</w:t>
      </w:r>
      <w:r w:rsidRPr="008205BF">
        <w:rPr>
          <w:rFonts w:ascii="Courier New" w:eastAsia="Times New Roman" w:hAnsi="Courier New" w:cs="Courier New"/>
          <w:sz w:val="24"/>
          <w:szCs w:val="24"/>
        </w:rPr>
        <w:t xml:space="preserve"> hours (</w:t>
      </w:r>
      <w:r>
        <w:rPr>
          <w:rFonts w:ascii="Courier New" w:eastAsia="Times New Roman" w:hAnsi="Courier New" w:cs="Courier New"/>
          <w:sz w:val="24"/>
          <w:szCs w:val="24"/>
        </w:rPr>
        <w:t>193</w:t>
      </w:r>
      <w:r w:rsidRPr="008205BF">
        <w:rPr>
          <w:rFonts w:ascii="Courier New" w:eastAsia="Times New Roman" w:hAnsi="Courier New" w:cs="Courier New"/>
          <w:sz w:val="24"/>
          <w:szCs w:val="24"/>
        </w:rPr>
        <w:t xml:space="preserve"> students times .25 hours) in OMB Control Number 1845-0123.</w:t>
      </w:r>
    </w:p>
    <w:p w14:paraId="55FFA62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the burden for institutions to examine loan records and to determine whether to make a draft D/E rates challenge will increase burden by 36,</w:t>
      </w:r>
      <w:r>
        <w:rPr>
          <w:rFonts w:ascii="Courier New" w:eastAsia="Times New Roman" w:hAnsi="Courier New" w:cs="Courier New"/>
          <w:sz w:val="24"/>
          <w:szCs w:val="24"/>
        </w:rPr>
        <w:t>279</w:t>
      </w:r>
      <w:r w:rsidRPr="008205BF">
        <w:rPr>
          <w:rFonts w:ascii="Courier New" w:eastAsia="Times New Roman" w:hAnsi="Courier New" w:cs="Courier New"/>
          <w:sz w:val="24"/>
          <w:szCs w:val="24"/>
        </w:rPr>
        <w:t xml:space="preserve"> hours under OMB Control Number 1845-0123.</w:t>
      </w:r>
    </w:p>
    <w:p w14:paraId="4B952F42"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668.405 will be 211,</w:t>
      </w:r>
      <w:r>
        <w:rPr>
          <w:rFonts w:ascii="Courier New" w:eastAsia="Times New Roman" w:hAnsi="Courier New" w:cs="Courier New"/>
          <w:sz w:val="24"/>
          <w:szCs w:val="24"/>
        </w:rPr>
        <w:t>360</w:t>
      </w:r>
      <w:r w:rsidRPr="008205BF">
        <w:rPr>
          <w:rFonts w:ascii="Courier New" w:eastAsia="Times New Roman" w:hAnsi="Courier New" w:cs="Courier New"/>
          <w:sz w:val="24"/>
          <w:szCs w:val="24"/>
        </w:rPr>
        <w:t xml:space="preserve"> hours under OMB Control Number 1845-0123</w:t>
      </w:r>
      <w:r>
        <w:rPr>
          <w:rFonts w:ascii="Courier New" w:eastAsia="Times New Roman" w:hAnsi="Courier New" w:cs="Courier New"/>
          <w:sz w:val="24"/>
          <w:szCs w:val="24"/>
        </w:rPr>
        <w:t>.</w:t>
      </w:r>
    </w:p>
    <w:p w14:paraId="3542C6B4"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w:t>
      </w:r>
      <w:r w:rsidRPr="003451FF">
        <w:rPr>
          <w:rFonts w:ascii="Courier New" w:eastAsia="Times New Roman" w:hAnsi="Courier New" w:cs="Courier New"/>
          <w:sz w:val="24"/>
          <w:szCs w:val="24"/>
          <w:u w:val="single"/>
        </w:rPr>
        <w:t>668.406 D/E Rates Alternate Earnings Appeals</w:t>
      </w:r>
    </w:p>
    <w:p w14:paraId="5DCDA50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3451FF">
        <w:rPr>
          <w:rFonts w:ascii="Courier New" w:eastAsia="Times New Roman" w:hAnsi="Courier New" w:cs="Courier New"/>
          <w:sz w:val="24"/>
          <w:szCs w:val="24"/>
          <w:u w:val="single"/>
        </w:rPr>
        <w:t>Alternate Earnings Appeals</w:t>
      </w:r>
    </w:p>
    <w:p w14:paraId="3541F6B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The regulations will </w:t>
      </w:r>
      <w:r>
        <w:rPr>
          <w:rFonts w:ascii="Courier New" w:eastAsia="Times New Roman" w:hAnsi="Courier New" w:cs="Courier New"/>
          <w:sz w:val="24"/>
          <w:szCs w:val="24"/>
        </w:rPr>
        <w:t>allow</w:t>
      </w:r>
      <w:r w:rsidRPr="008205BF">
        <w:rPr>
          <w:rFonts w:ascii="Courier New" w:eastAsia="Times New Roman" w:hAnsi="Courier New" w:cs="Courier New"/>
          <w:sz w:val="24"/>
          <w:szCs w:val="24"/>
        </w:rPr>
        <w:t xml:space="preserve"> an institution to submit to the Secretary an alternate earnings appeal if, using data obtained from SSA, the Secretary determined that the program was failing or in the zone under the D/E rates measure.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In submitting an alternate earnings appeal, the institution will seek to demonstrate that the earnings of students who completed the GE program in the applicable cohort period are sufficient to pass the D/E rates measure.  The institution will base its appeal on alternate earnings evidence from either a survey conducted in accordance with </w:t>
      </w:r>
      <w:r>
        <w:rPr>
          <w:rFonts w:ascii="Courier New" w:eastAsia="Times New Roman" w:hAnsi="Courier New" w:cs="Courier New"/>
          <w:sz w:val="24"/>
          <w:szCs w:val="24"/>
        </w:rPr>
        <w:t xml:space="preserve">standards </w:t>
      </w:r>
      <w:r w:rsidRPr="00280162">
        <w:rPr>
          <w:rFonts w:ascii="Courier New" w:eastAsia="SimSun" w:hAnsi="Courier New" w:cs="Courier New"/>
          <w:sz w:val="24"/>
          <w:szCs w:val="24"/>
          <w:lang w:eastAsia="zh-CN"/>
        </w:rPr>
        <w:t>included on an Earning</w:t>
      </w:r>
      <w:r>
        <w:rPr>
          <w:rFonts w:ascii="Courier New" w:eastAsia="SimSun" w:hAnsi="Courier New" w:cs="Courier New"/>
          <w:sz w:val="24"/>
          <w:szCs w:val="24"/>
          <w:lang w:eastAsia="zh-CN"/>
        </w:rPr>
        <w:t>s</w:t>
      </w:r>
      <w:r w:rsidRPr="00280162">
        <w:rPr>
          <w:rFonts w:ascii="Courier New" w:eastAsia="SimSun" w:hAnsi="Courier New" w:cs="Courier New"/>
          <w:sz w:val="24"/>
          <w:szCs w:val="24"/>
          <w:lang w:eastAsia="zh-CN"/>
        </w:rPr>
        <w:t xml:space="preserve"> Survey Form developed </w:t>
      </w:r>
      <w:r>
        <w:rPr>
          <w:rFonts w:ascii="Courier New" w:eastAsia="SimSun" w:hAnsi="Courier New" w:cs="Courier New"/>
          <w:sz w:val="24"/>
          <w:szCs w:val="24"/>
          <w:lang w:eastAsia="zh-CN"/>
        </w:rPr>
        <w:t xml:space="preserve">by </w:t>
      </w:r>
      <w:r w:rsidRPr="008205BF">
        <w:rPr>
          <w:rFonts w:ascii="Courier New" w:eastAsia="Times New Roman" w:hAnsi="Courier New" w:cs="Courier New"/>
          <w:sz w:val="24"/>
          <w:szCs w:val="24"/>
        </w:rPr>
        <w:t xml:space="preserve">NCES or from State-sponsored data systems. </w:t>
      </w:r>
    </w:p>
    <w:p w14:paraId="3EA34C4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In either instance, the alternate earnings data will be from the same calendar year for which the Secretary obtained earnings data from SSA for use in the D/E rates calculations.  </w:t>
      </w:r>
    </w:p>
    <w:p w14:paraId="19B34D8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An institution with a GE program that is failing or in the zone that wishes to submit alternate earnings appeal information must notify the Secretary of its intent to do so no earlier than the date that the Secretary provides the institution with its draft D/E rates and no later than 14 business days after the date the Secretary issues the notice of determination of the program's D/E rates.  No later than 60 days after the date the Secretary issues the notice of determination, the institution must submit its appeal information under procedures established by the Secretary.  The appeal </w:t>
      </w:r>
      <w:r>
        <w:rPr>
          <w:rFonts w:ascii="Courier New" w:eastAsia="Times New Roman" w:hAnsi="Courier New" w:cs="Courier New"/>
          <w:sz w:val="24"/>
          <w:szCs w:val="24"/>
        </w:rPr>
        <w:t xml:space="preserve">information </w:t>
      </w:r>
      <w:r w:rsidRPr="008205BF">
        <w:rPr>
          <w:rFonts w:ascii="Courier New" w:eastAsia="Times New Roman" w:hAnsi="Courier New" w:cs="Courier New"/>
          <w:sz w:val="24"/>
          <w:szCs w:val="24"/>
        </w:rPr>
        <w:t>must include all supporting documentation related to recalculating the D/E rates using alternate earnings data.</w:t>
      </w:r>
    </w:p>
    <w:p w14:paraId="0EB17A2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Survey:  </w:t>
      </w:r>
      <w:r>
        <w:rPr>
          <w:rFonts w:ascii="Courier New" w:eastAsia="Times New Roman" w:hAnsi="Courier New" w:cs="Courier New"/>
          <w:sz w:val="24"/>
          <w:szCs w:val="24"/>
        </w:rPr>
        <w:t xml:space="preserve">An institution that wishes to submit an appeal by providing survey data must include in its survey all the students who completed the program during the same cohort period that the Secretary used to calculate the final D/E rates under §668.404 or a comparable cohort period, provided that the institution may elect to exclude from the survey population all or some of the students excluded from the D/E rates calculation under §668.404(e). </w:t>
      </w:r>
    </w:p>
    <w:p w14:paraId="49A6E7C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Secretary will publish in the </w:t>
      </w:r>
      <w:r w:rsidRPr="003451FF">
        <w:rPr>
          <w:rFonts w:ascii="Courier New" w:eastAsia="Times New Roman" w:hAnsi="Courier New" w:cs="Courier New"/>
          <w:sz w:val="24"/>
          <w:szCs w:val="24"/>
          <w:u w:val="single"/>
        </w:rPr>
        <w:t>Federal Register</w:t>
      </w:r>
      <w:r w:rsidRPr="008205BF">
        <w:rPr>
          <w:rFonts w:ascii="Courier New" w:eastAsia="Times New Roman" w:hAnsi="Courier New" w:cs="Courier New"/>
          <w:sz w:val="24"/>
          <w:szCs w:val="24"/>
        </w:rPr>
        <w:t xml:space="preserve"> an Earnings Survey Form developed by NCES.  The Earnings Survey Form will be a </w:t>
      </w:r>
      <w:r>
        <w:rPr>
          <w:rFonts w:ascii="Courier New" w:eastAsia="Times New Roman" w:hAnsi="Courier New" w:cs="Courier New"/>
          <w:sz w:val="24"/>
          <w:szCs w:val="24"/>
        </w:rPr>
        <w:t>pilot-tested universe</w:t>
      </w:r>
      <w:r w:rsidRPr="008205BF">
        <w:rPr>
          <w:rFonts w:ascii="Courier New" w:eastAsia="Times New Roman" w:hAnsi="Courier New" w:cs="Courier New"/>
          <w:sz w:val="24"/>
          <w:szCs w:val="24"/>
        </w:rPr>
        <w:t xml:space="preserve"> survey that may be used by an institution in accordance with the survey standards, such as a required response rate or subsequent non-response bias analysis that the institution must meet to guarantee the validity and reliability of the results.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Although use of the </w:t>
      </w:r>
      <w:r>
        <w:rPr>
          <w:rFonts w:ascii="Courier New" w:eastAsia="Times New Roman" w:hAnsi="Courier New" w:cs="Courier New"/>
          <w:sz w:val="24"/>
          <w:szCs w:val="24"/>
        </w:rPr>
        <w:t>pilot-tested universe</w:t>
      </w:r>
      <w:r w:rsidRPr="008205BF">
        <w:rPr>
          <w:rFonts w:ascii="Courier New" w:eastAsia="Times New Roman" w:hAnsi="Courier New" w:cs="Courier New"/>
          <w:sz w:val="24"/>
          <w:szCs w:val="24"/>
        </w:rPr>
        <w:t xml:space="preserve"> survey will not be required and the Earnings Survey Form will be provided by NCES only as a service to institutions, an institution that chooses not to use the Earnings Survey Form will be required to conduct its survey in accordance with the published NCES standards</w:t>
      </w:r>
      <w:r>
        <w:rPr>
          <w:rFonts w:ascii="Courier New" w:eastAsia="Times New Roman" w:hAnsi="Courier New" w:cs="Courier New"/>
          <w:sz w:val="24"/>
          <w:szCs w:val="24"/>
        </w:rPr>
        <w:t>, including presenting to the survey respondent, in the same order and in the same manner, the same survey items included in the NCES Earnings Survey Form</w:t>
      </w:r>
      <w:r w:rsidRPr="008205BF">
        <w:rPr>
          <w:rFonts w:ascii="Courier New" w:eastAsia="Times New Roman" w:hAnsi="Courier New" w:cs="Courier New"/>
          <w:sz w:val="24"/>
          <w:szCs w:val="24"/>
        </w:rPr>
        <w:t>.</w:t>
      </w:r>
    </w:p>
    <w:p w14:paraId="23179CE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Under the </w:t>
      </w:r>
      <w:r w:rsidRPr="008205BF">
        <w:rPr>
          <w:rFonts w:ascii="Courier New" w:eastAsia="Times New Roman" w:hAnsi="Courier New" w:cs="Courier New"/>
          <w:sz w:val="24"/>
          <w:szCs w:val="24"/>
        </w:rPr>
        <w:t xml:space="preserve">regulations, the institution will certify that the survey was conducted in accordance with the </w:t>
      </w:r>
      <w:r>
        <w:rPr>
          <w:rFonts w:ascii="Courier New" w:eastAsia="Times New Roman" w:hAnsi="Courier New" w:cs="Courier New"/>
          <w:sz w:val="24"/>
          <w:szCs w:val="24"/>
        </w:rPr>
        <w:t>standards</w:t>
      </w:r>
      <w:r w:rsidRPr="008205BF">
        <w:rPr>
          <w:rFonts w:ascii="Courier New" w:eastAsia="Times New Roman" w:hAnsi="Courier New" w:cs="Courier New"/>
          <w:sz w:val="24"/>
          <w:szCs w:val="24"/>
        </w:rPr>
        <w:t xml:space="preserve"> of the NCES Earnings Survey Form and submit an examination-level attestation engagement report prepared by an independent public accountant or independent governmental auditor, as appropriate.  The attestation will be conducted in accordance with the attestation standards contained in the GAO's Government Auditing Standards promulgated by the Comptroller General of the United States </w:t>
      </w:r>
      <w:r>
        <w:rPr>
          <w:rFonts w:ascii="Courier New" w:eastAsia="Times New Roman" w:hAnsi="Courier New" w:cs="Courier New"/>
          <w:sz w:val="24"/>
          <w:szCs w:val="24"/>
        </w:rPr>
        <w:t>a</w:t>
      </w:r>
      <w:r w:rsidRPr="008205BF">
        <w:rPr>
          <w:rFonts w:ascii="Courier New" w:eastAsia="Times New Roman" w:hAnsi="Courier New" w:cs="Courier New"/>
          <w:sz w:val="24"/>
          <w:szCs w:val="24"/>
        </w:rPr>
        <w:t>nd with procedures for attestations contained in guides developed by</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and available from</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the Department's Office of Inspector General.</w:t>
      </w:r>
    </w:p>
    <w:p w14:paraId="5BEC412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We estimate that for-profit institutions will </w:t>
      </w:r>
      <w:r>
        <w:rPr>
          <w:rFonts w:ascii="Courier New" w:eastAsia="Times New Roman" w:hAnsi="Courier New" w:cs="Courier New"/>
          <w:sz w:val="24"/>
          <w:szCs w:val="24"/>
        </w:rPr>
        <w:t>h</w:t>
      </w:r>
      <w:r w:rsidRPr="008205BF">
        <w:rPr>
          <w:rFonts w:ascii="Courier New" w:eastAsia="Times New Roman" w:hAnsi="Courier New" w:cs="Courier New"/>
          <w:sz w:val="24"/>
          <w:szCs w:val="24"/>
        </w:rPr>
        <w:t>ave 1,225 gainful employment programs in the zone and that 718 programs will be failing for a total of 1,943 programs.  We expect that most institutions will determine that SSA data reflect accurately the earnings of students and will therefore not elect to conduct the survey.  Accordingly, we estimate that for-profit institutions will submit alternate earnings appeals under the survey appeal option for 10 percent of those programs, which will equal 194 appeals annually.  We estimate that conducting the survey, providing the institutional certification, and obtaining the examination-level attestation engagement report will total, on average, 100 hours of increased burden, therefore burden will increase 19,400 hours (194 survey appeals times 100 hours) under OMB Control Number 1845-0122.</w:t>
      </w:r>
    </w:p>
    <w:p w14:paraId="118C8E8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private-non-profit institutions will have 20 gainful employment programs in the zone and that 8 programs will be failing for a total of 28 programs.  We expect that most institutions will determine that SSA data reflect accurately the earnings of students and will therefore not elect to conduct the survey. </w:t>
      </w:r>
    </w:p>
    <w:p w14:paraId="584563B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Accordingly, we estimate that private non-profit institutions will submit alternate earnings appeals under the survey appeal option for 10 percent of those programs, which will equal 3 appeals annually.  We estimate that conducting the survey, providing the institutional certification, and obtaining the examination-level attestation engagement report will total, on average, 100 hours of increased burden, therefore burden will increase 300 hours (3 survey appeals times 100 hours) under OMB Control Number 1845-0122.</w:t>
      </w:r>
    </w:p>
    <w:p w14:paraId="790FD2B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public institutions will have 8 gainful employment programs in the zone and that 3 programs will be failing for a total of 11 programs.  We expect that most institutions will determine that SSA data reflect accurately the earnings of students and will therefore not elect to conduct the survey.  Accordingly, we estimate that public institutions will submit alternate earnings appeals under the survey appeal option for 10 percent of those programs, which will equal 1 appeal annually.  We estimate that conducting the survey, providing the institutional certification, and obtaining the examination-level attestation engagement report will total, on average, 100 hours of increased burden, therefore burden will increase 100 hours (1 survey appeals times 100 hours) under OMB Control Number 1845-0122.</w:t>
      </w:r>
    </w:p>
    <w:p w14:paraId="6F14029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the projected burden associated with conducting an alternative earnings survey will increase burden by 19,800 hours under OMB Control Number 1845-0122.</w:t>
      </w:r>
    </w:p>
    <w:p w14:paraId="6DB4063D"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19184F">
        <w:rPr>
          <w:rFonts w:ascii="Courier New" w:eastAsia="Times New Roman" w:hAnsi="Courier New" w:cs="Courier New"/>
          <w:sz w:val="24"/>
          <w:szCs w:val="24"/>
          <w:u w:val="single"/>
        </w:rPr>
        <w:t>State data systems</w:t>
      </w:r>
    </w:p>
    <w:p w14:paraId="2E60329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An institution that wishes to submit an appeal by providing State data will include in the list it submits to the State or States</w:t>
      </w:r>
      <w:r>
        <w:rPr>
          <w:rFonts w:ascii="Courier New" w:eastAsia="Times New Roman" w:hAnsi="Courier New" w:cs="Courier New"/>
          <w:sz w:val="24"/>
          <w:szCs w:val="24"/>
        </w:rPr>
        <w:t xml:space="preserve"> all the students who completed the program during the same cohort period that the Secretary used to calculate the final D/E rates under §668.404 or a comparable cohort period, provided that the institution may elect to exclude from the survey population all or some of the students excluded from the D/E rates calculated under §668.404(e).</w:t>
      </w:r>
      <w:r w:rsidRPr="008205BF">
        <w:rPr>
          <w:rFonts w:ascii="Courier New" w:eastAsia="Times New Roman" w:hAnsi="Courier New" w:cs="Courier New"/>
          <w:sz w:val="24"/>
          <w:szCs w:val="24"/>
        </w:rPr>
        <w:t xml:space="preserve">  The earnings information obtained from the State or States </w:t>
      </w:r>
      <w:r>
        <w:rPr>
          <w:rFonts w:ascii="Courier New" w:eastAsia="Times New Roman" w:hAnsi="Courier New" w:cs="Courier New"/>
          <w:sz w:val="24"/>
          <w:szCs w:val="24"/>
        </w:rPr>
        <w:t>must</w:t>
      </w:r>
      <w:r w:rsidRPr="008205BF">
        <w:rPr>
          <w:rFonts w:ascii="Courier New" w:eastAsia="Times New Roman" w:hAnsi="Courier New" w:cs="Courier New"/>
          <w:sz w:val="24"/>
          <w:szCs w:val="24"/>
        </w:rPr>
        <w:t xml:space="preserve"> match 50 percent of the total number of students included on the institution's list, and the number matched </w:t>
      </w:r>
      <w:r>
        <w:rPr>
          <w:rFonts w:ascii="Courier New" w:eastAsia="Times New Roman" w:hAnsi="Courier New" w:cs="Courier New"/>
          <w:sz w:val="24"/>
          <w:szCs w:val="24"/>
        </w:rPr>
        <w:t>must</w:t>
      </w:r>
      <w:r w:rsidRPr="008205BF">
        <w:rPr>
          <w:rFonts w:ascii="Courier New" w:eastAsia="Times New Roman" w:hAnsi="Courier New" w:cs="Courier New"/>
          <w:sz w:val="24"/>
          <w:szCs w:val="24"/>
        </w:rPr>
        <w:t xml:space="preserve"> be 30 or more.</w:t>
      </w:r>
    </w:p>
    <w:p w14:paraId="3B81C25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 that there will be 718 failing GE programs at for-profit institutions and 1,225 programs in the zone, for a total of 1,943 programs.  We expect that most institutions will determine that SSA data reflect accurately the earnings of students who completed a program and will therefore not elect to submit earnings data from a State-sponsored system.  Accordingly, we estimate that in 10 percent of those cases, institutions will obtain earnings data from a State-sponsored system, resulting in approximately 194 appeals.</w:t>
      </w:r>
    </w:p>
    <w:p w14:paraId="7C0A5F1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on average</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each appeal will take 20 hours, including execution of an agreement for data sharing and privacy protection under the Family Educational Rights and Privacy Act (20 U.S.C. 1232g) (FERPA) between the institution and </w:t>
      </w:r>
      <w:r>
        <w:rPr>
          <w:rFonts w:ascii="Courier New" w:eastAsia="Times New Roman" w:hAnsi="Courier New" w:cs="Courier New"/>
          <w:sz w:val="24"/>
          <w:szCs w:val="24"/>
        </w:rPr>
        <w:t>a</w:t>
      </w:r>
      <w:r w:rsidRPr="008205BF">
        <w:rPr>
          <w:rFonts w:ascii="Courier New" w:eastAsia="Times New Roman" w:hAnsi="Courier New" w:cs="Courier New"/>
          <w:sz w:val="24"/>
          <w:szCs w:val="24"/>
        </w:rPr>
        <w:t xml:space="preserve"> State agency</w:t>
      </w:r>
      <w:r>
        <w:rPr>
          <w:rFonts w:ascii="Courier New" w:eastAsia="Times New Roman" w:hAnsi="Courier New" w:cs="Courier New"/>
          <w:sz w:val="24"/>
          <w:szCs w:val="24"/>
        </w:rPr>
        <w:t xml:space="preserve"> (when the State agency is located in a State other than the State in which the institution resides)</w:t>
      </w:r>
      <w:r w:rsidRPr="008205BF">
        <w:rPr>
          <w:rFonts w:ascii="Courier New" w:eastAsia="Times New Roman" w:hAnsi="Courier New" w:cs="Courier New"/>
          <w:sz w:val="24"/>
          <w:szCs w:val="24"/>
        </w:rPr>
        <w:t xml:space="preserve">, preparing the list(s), submitting the list(s) to the appropriate State agency, reviewing the results, calculating the revised D/E rates, and submitting those results to the Secretary.  Therefore, burden will increase by 3,880 hours (194 </w:t>
      </w:r>
      <w:r>
        <w:rPr>
          <w:rFonts w:ascii="Courier New" w:eastAsia="Times New Roman" w:hAnsi="Courier New" w:cs="Courier New"/>
          <w:sz w:val="24"/>
          <w:szCs w:val="24"/>
        </w:rPr>
        <w:t>S</w:t>
      </w:r>
      <w:r w:rsidRPr="008205BF">
        <w:rPr>
          <w:rFonts w:ascii="Courier New" w:eastAsia="Times New Roman" w:hAnsi="Courier New" w:cs="Courier New"/>
          <w:sz w:val="24"/>
          <w:szCs w:val="24"/>
        </w:rPr>
        <w:t>tate system appeals times 20 hours</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u</w:t>
      </w:r>
      <w:r w:rsidRPr="008205BF">
        <w:rPr>
          <w:rFonts w:ascii="Courier New" w:eastAsia="Times New Roman" w:hAnsi="Courier New" w:cs="Courier New"/>
          <w:sz w:val="24"/>
          <w:szCs w:val="24"/>
        </w:rPr>
        <w:t>nder OMB Control Number 1845-0122.</w:t>
      </w:r>
    </w:p>
    <w:p w14:paraId="34F0135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there will be 8 failing GE programs at private non-profit institutions and 20 programs in the zone, for a total of 28 programs.  We expect that most institutions will determine that SSA data reflect accurately the earnings of students who completed a program and will therefore not elect to submit earnings data from a State-sponsored system.  Accordingly, we estimate that in 10 percent of those cases, institutions will obtain earnings data from a State-sponsored system, resulting in 3 appeals.</w:t>
      </w:r>
    </w:p>
    <w:p w14:paraId="7922937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on average</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each appeal will take 20 hours, including execution of an agreement for data sharing and privacy protection under FERPA between the institution and </w:t>
      </w:r>
      <w:r>
        <w:rPr>
          <w:rFonts w:ascii="Courier New" w:eastAsia="Times New Roman" w:hAnsi="Courier New" w:cs="Courier New"/>
          <w:sz w:val="24"/>
          <w:szCs w:val="24"/>
        </w:rPr>
        <w:t>a</w:t>
      </w:r>
      <w:r w:rsidRPr="008205BF">
        <w:rPr>
          <w:rFonts w:ascii="Courier New" w:eastAsia="Times New Roman" w:hAnsi="Courier New" w:cs="Courier New"/>
          <w:sz w:val="24"/>
          <w:szCs w:val="24"/>
        </w:rPr>
        <w:t xml:space="preserve"> State agency</w:t>
      </w:r>
      <w:r>
        <w:rPr>
          <w:rFonts w:ascii="Courier New" w:eastAsia="Times New Roman" w:hAnsi="Courier New" w:cs="Courier New"/>
          <w:sz w:val="24"/>
          <w:szCs w:val="24"/>
        </w:rPr>
        <w:t xml:space="preserve"> (when the State agency is located in a State other than the State in which the institution resides)</w:t>
      </w:r>
      <w:r w:rsidRPr="008205BF">
        <w:rPr>
          <w:rFonts w:ascii="Courier New" w:eastAsia="Times New Roman" w:hAnsi="Courier New" w:cs="Courier New"/>
          <w:sz w:val="24"/>
          <w:szCs w:val="24"/>
        </w:rPr>
        <w:t xml:space="preserve">, preparing the list(s), submitting the list(s) to the appropriate State agency, reviewing the results, calculating the revised D/E rates, and submitting those results to the Secretary.  Therefore burden will increase by 60 hours (3 </w:t>
      </w:r>
      <w:r>
        <w:rPr>
          <w:rFonts w:ascii="Courier New" w:eastAsia="Times New Roman" w:hAnsi="Courier New" w:cs="Courier New"/>
          <w:sz w:val="24"/>
          <w:szCs w:val="24"/>
        </w:rPr>
        <w:t>S</w:t>
      </w:r>
      <w:r w:rsidRPr="008205BF">
        <w:rPr>
          <w:rFonts w:ascii="Courier New" w:eastAsia="Times New Roman" w:hAnsi="Courier New" w:cs="Courier New"/>
          <w:sz w:val="24"/>
          <w:szCs w:val="24"/>
        </w:rPr>
        <w:t>tate system appeals times 20 hours) under OMB Control Number 1845-0122.</w:t>
      </w:r>
    </w:p>
    <w:p w14:paraId="3E7F680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there will be 3 failing GE programs at public institutions and 8 programs in the zone, for a total of 11 programs.  We expect that most institutions will determine that SSA data reflect accurately the earnings of students who completed a program and will therefore not elect to submit earnings data from a State-sponsored system.  Accordingly, we estimate that in 10 percent of those cases institutions will obtain earnings data from a State-sponsored system, resulting in approximately 1 appeal.  We estimate that, on average</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each appeal will take 20 hours, including execution of an agreement for data sharing and privacy protection under FERPA between the institution and </w:t>
      </w:r>
      <w:r>
        <w:rPr>
          <w:rFonts w:ascii="Courier New" w:eastAsia="Times New Roman" w:hAnsi="Courier New" w:cs="Courier New"/>
          <w:sz w:val="24"/>
          <w:szCs w:val="24"/>
        </w:rPr>
        <w:t>a</w:t>
      </w:r>
      <w:r w:rsidRPr="008205BF">
        <w:rPr>
          <w:rFonts w:ascii="Courier New" w:eastAsia="Times New Roman" w:hAnsi="Courier New" w:cs="Courier New"/>
          <w:sz w:val="24"/>
          <w:szCs w:val="24"/>
        </w:rPr>
        <w:t xml:space="preserve"> State agency</w:t>
      </w:r>
      <w:r>
        <w:rPr>
          <w:rFonts w:ascii="Courier New" w:eastAsia="Times New Roman" w:hAnsi="Courier New" w:cs="Courier New"/>
          <w:sz w:val="24"/>
          <w:szCs w:val="24"/>
        </w:rPr>
        <w:t xml:space="preserve"> (when the State agency is located in a State other than the State in which the institution resides)</w:t>
      </w:r>
      <w:r w:rsidRPr="008205BF">
        <w:rPr>
          <w:rFonts w:ascii="Courier New" w:eastAsia="Times New Roman" w:hAnsi="Courier New" w:cs="Courier New"/>
          <w:sz w:val="24"/>
          <w:szCs w:val="24"/>
        </w:rPr>
        <w:t xml:space="preserve">, preparing the list(s), submitting the list(s) to the appropriate State agency, reviewing the results, calculating the revised D/E rates, and submitting those results to the Secretary.  Therefore, burden will increase by 20 hours (1 </w:t>
      </w:r>
      <w:r>
        <w:rPr>
          <w:rFonts w:ascii="Courier New" w:eastAsia="Times New Roman" w:hAnsi="Courier New" w:cs="Courier New"/>
          <w:sz w:val="24"/>
          <w:szCs w:val="24"/>
        </w:rPr>
        <w:t>S</w:t>
      </w:r>
      <w:r w:rsidRPr="008205BF">
        <w:rPr>
          <w:rFonts w:ascii="Courier New" w:eastAsia="Times New Roman" w:hAnsi="Courier New" w:cs="Courier New"/>
          <w:sz w:val="24"/>
          <w:szCs w:val="24"/>
        </w:rPr>
        <w:t>tate system appeal times 20 hours) under OMB Control Number 1845-0122.</w:t>
      </w:r>
    </w:p>
    <w:p w14:paraId="38C60EA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ab/>
        <w:t>Collectively, the projected burden associated with conducting an alternative earnings based on State data systems will increase burden by 3,960 hours under OMB Control Number 1845-0122.</w:t>
      </w:r>
    </w:p>
    <w:p w14:paraId="212C4B0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Under the regulations, to pursue an alternate earnings appeal, the institution must notify the Secretary of its intent to submit an appeal.  This notification must be made no earlier than the date the Secretary provides the institution with draft D/E rates and no later than 14 business days after the Secretary issues the final D/E rates.</w:t>
      </w:r>
    </w:p>
    <w:p w14:paraId="3B45F2E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estimated above that for-profit institutions will have 194 alternate earnings survey appeals and 194 State-sponsored data system appeals, for a total of 388 appeals</w:t>
      </w:r>
      <w:r>
        <w:rPr>
          <w:rFonts w:ascii="Courier New" w:eastAsia="Times New Roman" w:hAnsi="Courier New" w:cs="Courier New"/>
          <w:sz w:val="24"/>
          <w:szCs w:val="24"/>
        </w:rPr>
        <w:t xml:space="preserve"> per year</w:t>
      </w:r>
      <w:r w:rsidRPr="008205BF">
        <w:rPr>
          <w:rFonts w:ascii="Courier New" w:eastAsia="Times New Roman" w:hAnsi="Courier New" w:cs="Courier New"/>
          <w:sz w:val="24"/>
          <w:szCs w:val="24"/>
        </w:rPr>
        <w:t>.  We estimate that completing and submitting a notice of intent to submit an appeal</w:t>
      </w:r>
      <w:r>
        <w:rPr>
          <w:rFonts w:ascii="Courier New" w:eastAsia="Times New Roman" w:hAnsi="Courier New" w:cs="Courier New"/>
          <w:sz w:val="24"/>
          <w:szCs w:val="24"/>
        </w:rPr>
        <w:t xml:space="preserve"> will take</w:t>
      </w:r>
      <w:r w:rsidRPr="008205BF">
        <w:rPr>
          <w:rFonts w:ascii="Courier New" w:eastAsia="Times New Roman" w:hAnsi="Courier New" w:cs="Courier New"/>
          <w:sz w:val="24"/>
          <w:szCs w:val="24"/>
        </w:rPr>
        <w:t>, on average, 0.25 hours per submission or 97 hours (388 submissions times 0.25 hours) under OMB Control 1845-0122.</w:t>
      </w:r>
    </w:p>
    <w:p w14:paraId="0585433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estimated above that private non-profit institutions will have 3 alternate earnings survey appeals and 3 State-sponsored data system appeals, for a total of 6 appeals</w:t>
      </w:r>
      <w:r>
        <w:rPr>
          <w:rFonts w:ascii="Courier New" w:eastAsia="Times New Roman" w:hAnsi="Courier New" w:cs="Courier New"/>
          <w:sz w:val="24"/>
          <w:szCs w:val="24"/>
        </w:rPr>
        <w:t xml:space="preserve"> per year</w:t>
      </w:r>
      <w:r w:rsidRPr="008205BF">
        <w:rPr>
          <w:rFonts w:ascii="Courier New" w:eastAsia="Times New Roman" w:hAnsi="Courier New" w:cs="Courier New"/>
          <w:sz w:val="24"/>
          <w:szCs w:val="24"/>
        </w:rPr>
        <w:t>.  We estimate that completing and submitting a notice of intent to submit an appeal</w:t>
      </w:r>
      <w:r>
        <w:rPr>
          <w:rFonts w:ascii="Courier New" w:eastAsia="Times New Roman" w:hAnsi="Courier New" w:cs="Courier New"/>
          <w:sz w:val="24"/>
          <w:szCs w:val="24"/>
        </w:rPr>
        <w:t xml:space="preserve"> will take</w:t>
      </w:r>
      <w:r w:rsidRPr="008205BF">
        <w:rPr>
          <w:rFonts w:ascii="Courier New" w:eastAsia="Times New Roman" w:hAnsi="Courier New" w:cs="Courier New"/>
          <w:sz w:val="24"/>
          <w:szCs w:val="24"/>
        </w:rPr>
        <w:t>, on average, 0.25 hours per submission or 2 hours (6 submissions times 0.25 hours) under OMB Control 1845-0122.</w:t>
      </w:r>
    </w:p>
    <w:p w14:paraId="64707C0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estimated above that public institutions will have 1 alternate earnings survey appeal and 1 State-sponsored data system appeal, for a total of 2 appeals</w:t>
      </w:r>
      <w:r>
        <w:rPr>
          <w:rFonts w:ascii="Courier New" w:eastAsia="Times New Roman" w:hAnsi="Courier New" w:cs="Courier New"/>
          <w:sz w:val="24"/>
          <w:szCs w:val="24"/>
        </w:rPr>
        <w:t xml:space="preserve"> per year</w:t>
      </w:r>
      <w:r w:rsidRPr="008205BF">
        <w:rPr>
          <w:rFonts w:ascii="Courier New" w:eastAsia="Times New Roman" w:hAnsi="Courier New" w:cs="Courier New"/>
          <w:sz w:val="24"/>
          <w:szCs w:val="24"/>
        </w:rPr>
        <w:t>.  We estimate that completing and submitting a notice of intent to submit an appeal</w:t>
      </w:r>
      <w:r>
        <w:rPr>
          <w:rFonts w:ascii="Courier New" w:eastAsia="Times New Roman" w:hAnsi="Courier New" w:cs="Courier New"/>
          <w:sz w:val="24"/>
          <w:szCs w:val="24"/>
        </w:rPr>
        <w:t xml:space="preserve"> will take</w:t>
      </w:r>
      <w:r w:rsidRPr="008205BF">
        <w:rPr>
          <w:rFonts w:ascii="Courier New" w:eastAsia="Times New Roman" w:hAnsi="Courier New" w:cs="Courier New"/>
          <w:sz w:val="24"/>
          <w:szCs w:val="24"/>
        </w:rPr>
        <w:t>, on average, 0.25 hours per submission or 1 hour (2 submissions times 0.25 hours) under OMB Control 1845-0122.</w:t>
      </w:r>
    </w:p>
    <w:p w14:paraId="4A52293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the projected burden associated with completing and submitting a notice of intent will increase burden by 100 hours under OMB Control Number 1845-0122.</w:t>
      </w:r>
    </w:p>
    <w:p w14:paraId="4D03668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668.406 will be 23,860 hours under OMB Control Number 1845-0122.</w:t>
      </w:r>
    </w:p>
    <w:p w14:paraId="16809964" w14:textId="77777777" w:rsidR="00E538DB" w:rsidRPr="008C1449"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w:t>
      </w:r>
      <w:r w:rsidRPr="008C1449">
        <w:rPr>
          <w:rFonts w:ascii="Courier New" w:eastAsia="Times New Roman" w:hAnsi="Courier New" w:cs="Courier New"/>
          <w:sz w:val="24"/>
          <w:szCs w:val="24"/>
          <w:u w:val="single"/>
        </w:rPr>
        <w:t xml:space="preserve">668.410 Consequences of </w:t>
      </w:r>
      <w:r>
        <w:rPr>
          <w:rFonts w:ascii="Courier New" w:eastAsia="Times New Roman" w:hAnsi="Courier New" w:cs="Courier New"/>
          <w:sz w:val="24"/>
          <w:szCs w:val="24"/>
          <w:u w:val="single"/>
        </w:rPr>
        <w:t xml:space="preserve">the </w:t>
      </w:r>
      <w:r w:rsidRPr="008C1449">
        <w:rPr>
          <w:rFonts w:ascii="Courier New" w:eastAsia="Times New Roman" w:hAnsi="Courier New" w:cs="Courier New"/>
          <w:sz w:val="24"/>
          <w:szCs w:val="24"/>
          <w:u w:val="single"/>
        </w:rPr>
        <w:t>D/E Rates Measure</w:t>
      </w:r>
    </w:p>
    <w:p w14:paraId="5E89571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Under</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668.410(a), we require institutions to provide warnings to students and prospective student</w:t>
      </w:r>
      <w:r>
        <w:rPr>
          <w:rFonts w:ascii="Courier New" w:eastAsia="Times New Roman" w:hAnsi="Courier New" w:cs="Courier New"/>
          <w:sz w:val="24"/>
          <w:szCs w:val="24"/>
        </w:rPr>
        <w:t>s</w:t>
      </w:r>
      <w:r w:rsidRPr="008205BF">
        <w:rPr>
          <w:rFonts w:ascii="Courier New" w:eastAsia="Times New Roman" w:hAnsi="Courier New" w:cs="Courier New"/>
          <w:sz w:val="24"/>
          <w:szCs w:val="24"/>
        </w:rPr>
        <w:t xml:space="preserve"> in any year </w:t>
      </w:r>
      <w:r>
        <w:rPr>
          <w:rFonts w:ascii="Courier New" w:eastAsia="Times New Roman" w:hAnsi="Courier New" w:cs="Courier New"/>
          <w:sz w:val="24"/>
          <w:szCs w:val="24"/>
        </w:rPr>
        <w:t>for which the Secretary notifies an institution that the program could become ineligible based on its final D/E rates measure for the next award year.</w:t>
      </w:r>
      <w:r w:rsidRPr="008205BF">
        <w:rPr>
          <w:rFonts w:ascii="Courier New" w:eastAsia="Times New Roman" w:hAnsi="Courier New" w:cs="Courier New"/>
          <w:sz w:val="24"/>
          <w:szCs w:val="24"/>
        </w:rPr>
        <w:t xml:space="preserve">  Within 30 days</w:t>
      </w:r>
      <w:r>
        <w:rPr>
          <w:rFonts w:ascii="Courier New" w:eastAsia="Times New Roman" w:hAnsi="Courier New" w:cs="Courier New"/>
          <w:sz w:val="24"/>
          <w:szCs w:val="24"/>
        </w:rPr>
        <w:t xml:space="preserve"> </w:t>
      </w:r>
      <w:r w:rsidRPr="00280162">
        <w:rPr>
          <w:rFonts w:ascii="Courier New" w:hAnsi="Courier New" w:cs="Courier New"/>
          <w:sz w:val="24"/>
          <w:szCs w:val="24"/>
        </w:rPr>
        <w:t>after the date of the Secretary’s notice of determination under §668.409</w:t>
      </w:r>
      <w:r w:rsidRPr="008205BF">
        <w:rPr>
          <w:rFonts w:ascii="Courier New" w:eastAsia="Times New Roman" w:hAnsi="Courier New" w:cs="Courier New"/>
          <w:sz w:val="24"/>
          <w:szCs w:val="24"/>
        </w:rPr>
        <w:t xml:space="preserve">, the institution </w:t>
      </w:r>
      <w:r>
        <w:rPr>
          <w:rFonts w:ascii="Courier New" w:eastAsia="Times New Roman" w:hAnsi="Courier New" w:cs="Courier New"/>
          <w:sz w:val="24"/>
          <w:szCs w:val="24"/>
        </w:rPr>
        <w:t>must</w:t>
      </w:r>
      <w:r w:rsidRPr="008205BF">
        <w:rPr>
          <w:rFonts w:ascii="Courier New" w:eastAsia="Times New Roman" w:hAnsi="Courier New" w:cs="Courier New"/>
          <w:sz w:val="24"/>
          <w:szCs w:val="24"/>
        </w:rPr>
        <w:t xml:space="preserve"> provide a written warning directly to each student enrolled in the program.  To the extent practicable, an institution </w:t>
      </w:r>
      <w:r>
        <w:rPr>
          <w:rFonts w:ascii="Courier New" w:eastAsia="Times New Roman" w:hAnsi="Courier New" w:cs="Courier New"/>
          <w:sz w:val="24"/>
          <w:szCs w:val="24"/>
        </w:rPr>
        <w:t>must</w:t>
      </w:r>
      <w:r w:rsidRPr="008205BF">
        <w:rPr>
          <w:rFonts w:ascii="Courier New" w:eastAsia="Times New Roman" w:hAnsi="Courier New" w:cs="Courier New"/>
          <w:sz w:val="24"/>
          <w:szCs w:val="24"/>
        </w:rPr>
        <w:t xml:space="preserve"> provide this warning in other languages for enrolled students for whom English is not their first language.</w:t>
      </w:r>
    </w:p>
    <w:p w14:paraId="55DEC4F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In the warning, an institution </w:t>
      </w:r>
      <w:r>
        <w:rPr>
          <w:rFonts w:ascii="Courier New" w:eastAsia="Times New Roman" w:hAnsi="Courier New" w:cs="Courier New"/>
          <w:sz w:val="24"/>
          <w:szCs w:val="24"/>
        </w:rPr>
        <w:t>must</w:t>
      </w:r>
      <w:r w:rsidRPr="008205BF">
        <w:rPr>
          <w:rFonts w:ascii="Courier New" w:eastAsia="Times New Roman" w:hAnsi="Courier New" w:cs="Courier New"/>
          <w:sz w:val="24"/>
          <w:szCs w:val="24"/>
        </w:rPr>
        <w:t xml:space="preserve"> describe the options available to the student to continue his or her education in the event that the program loses its eligibility for title IV, HEA program funds.  Specifically, the warning will inform the student of </w:t>
      </w:r>
      <w:r>
        <w:rPr>
          <w:rFonts w:ascii="Courier New" w:eastAsia="Times New Roman" w:hAnsi="Courier New" w:cs="Courier New"/>
          <w:sz w:val="24"/>
          <w:szCs w:val="24"/>
        </w:rPr>
        <w:t xml:space="preserve">academic and financial options available to continue his or her education at the institution; </w:t>
      </w:r>
      <w:r w:rsidRPr="008205BF">
        <w:rPr>
          <w:rFonts w:ascii="Courier New" w:eastAsia="Times New Roman" w:hAnsi="Courier New" w:cs="Courier New"/>
          <w:sz w:val="24"/>
          <w:szCs w:val="24"/>
        </w:rPr>
        <w:t>whether the institution will allow the student to transfer to another program</w:t>
      </w:r>
      <w:r>
        <w:rPr>
          <w:rFonts w:ascii="Courier New" w:eastAsia="Times New Roman" w:hAnsi="Courier New" w:cs="Courier New"/>
          <w:sz w:val="24"/>
          <w:szCs w:val="24"/>
        </w:rPr>
        <w:t xml:space="preserve"> at the institution; </w:t>
      </w:r>
      <w:r w:rsidRPr="008205BF">
        <w:rPr>
          <w:rFonts w:ascii="Courier New" w:eastAsia="Times New Roman" w:hAnsi="Courier New" w:cs="Courier New"/>
          <w:sz w:val="24"/>
          <w:szCs w:val="24"/>
        </w:rPr>
        <w:t xml:space="preserve">continue to provide instruction in the program to allow the student to complete the program; </w:t>
      </w:r>
      <w:r>
        <w:rPr>
          <w:rFonts w:ascii="Courier New" w:eastAsia="Times New Roman" w:hAnsi="Courier New" w:cs="Courier New"/>
          <w:sz w:val="24"/>
          <w:szCs w:val="24"/>
        </w:rPr>
        <w:t xml:space="preserve">whether the student’s earned credits could be transferred to another institution; </w:t>
      </w:r>
      <w:r w:rsidRPr="008205BF">
        <w:rPr>
          <w:rFonts w:ascii="Courier New" w:eastAsia="Times New Roman" w:hAnsi="Courier New" w:cs="Courier New"/>
          <w:sz w:val="24"/>
          <w:szCs w:val="24"/>
        </w:rPr>
        <w:t xml:space="preserve">or refund the tuition, fees, and other required charges paid by, or on behalf of, the student </w:t>
      </w:r>
      <w:r>
        <w:rPr>
          <w:rFonts w:ascii="Courier New" w:eastAsia="Times New Roman" w:hAnsi="Courier New" w:cs="Courier New"/>
          <w:sz w:val="24"/>
          <w:szCs w:val="24"/>
        </w:rPr>
        <w:t>to</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enroll in</w:t>
      </w:r>
      <w:r w:rsidRPr="008205BF">
        <w:rPr>
          <w:rFonts w:ascii="Courier New" w:eastAsia="Times New Roman" w:hAnsi="Courier New" w:cs="Courier New"/>
          <w:sz w:val="24"/>
          <w:szCs w:val="24"/>
        </w:rPr>
        <w:t xml:space="preserve"> the program.</w:t>
      </w:r>
    </w:p>
    <w:p w14:paraId="5E3695F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668.410(a)(5), an affected institution must provide a written warning by hand-delivering it individually</w:t>
      </w:r>
      <w:r>
        <w:rPr>
          <w:rFonts w:ascii="Courier New" w:eastAsia="Times New Roman" w:hAnsi="Courier New" w:cs="Courier New"/>
          <w:sz w:val="24"/>
          <w:szCs w:val="24"/>
        </w:rPr>
        <w:t xml:space="preserve"> or as part of </w:t>
      </w:r>
      <w:r w:rsidRPr="008205BF">
        <w:rPr>
          <w:rFonts w:ascii="Courier New" w:eastAsia="Times New Roman" w:hAnsi="Courier New" w:cs="Courier New"/>
          <w:sz w:val="24"/>
          <w:szCs w:val="24"/>
        </w:rPr>
        <w:t>a group presentation, or via email.</w:t>
      </w:r>
    </w:p>
    <w:p w14:paraId="6F22F51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 that the written warnings will be hand-delivered to 10 percent of the affected students, delivered through a group presentation to another 10 percent of the affected students, and delivered through the student's primary email address used by the institution to the remaining 80 percent.</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Based upon 2009-2010 reported data, 2,703,851 students were enrolled at for-profit institutions.  Of that number, we estimate that 327,468 students were enrolled in zone programs and 844,488 students were enrolled in failing programs at for-profit institutions.  Thus, the warnings will have to be provided to 1,171,956 students </w:t>
      </w:r>
      <w:r>
        <w:rPr>
          <w:rFonts w:ascii="Courier New" w:eastAsia="Times New Roman" w:hAnsi="Courier New" w:cs="Courier New"/>
          <w:sz w:val="24"/>
          <w:szCs w:val="24"/>
        </w:rPr>
        <w:t xml:space="preserve">(327,468 students plus 844,488 students) </w:t>
      </w:r>
      <w:r w:rsidRPr="008205BF">
        <w:rPr>
          <w:rFonts w:ascii="Courier New" w:eastAsia="Times New Roman" w:hAnsi="Courier New" w:cs="Courier New"/>
          <w:sz w:val="24"/>
          <w:szCs w:val="24"/>
        </w:rPr>
        <w:t>enrolled in GE programs at for-profit institutions.</w:t>
      </w:r>
    </w:p>
    <w:p w14:paraId="2B21A2E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1,171,956 projected number of warnings to be provided to enrolled students at for-profit institutions, we estimate that 117,196 students (1,171,956 students times 10 percent) will receive the warning individually and that it will take on average 0.17 hours (10 minutes) per warning to print the warning, locate the student, and deliver the warning to each affected student.  This will increase burden by 19,923 hours (117,196 students times 0.17 hours) under OMB Control Number 1845-0123.</w:t>
      </w:r>
    </w:p>
    <w:p w14:paraId="4473B4F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1,171,956 projected warnings to be provided to enrolled students at for-profit institutions, we estimate that 117,196 students (1,171,956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38,675 hours (117,196 times 0.33 hours) under OMB Control Number 1845-0123.</w:t>
      </w:r>
    </w:p>
    <w:p w14:paraId="25F225E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1,171,956 projected warnings to be provided to enrolled students at for-profit institutions, we estimate that 937,56</w:t>
      </w:r>
      <w:r>
        <w:rPr>
          <w:rFonts w:ascii="Courier New" w:eastAsia="Times New Roman" w:hAnsi="Courier New" w:cs="Courier New"/>
          <w:sz w:val="24"/>
          <w:szCs w:val="24"/>
        </w:rPr>
        <w:t>4</w:t>
      </w:r>
      <w:r w:rsidRPr="008205BF">
        <w:rPr>
          <w:rFonts w:ascii="Courier New" w:eastAsia="Times New Roman" w:hAnsi="Courier New" w:cs="Courier New"/>
          <w:sz w:val="24"/>
          <w:szCs w:val="24"/>
        </w:rPr>
        <w:t xml:space="preserve"> students (1,171,956 students times 80 percent) will receive the warning via email and that it will take on average 0.017 hours (1 minute) per warning to send the warning to each affected student.  This will increase burden by 15,939 hours (937,56</w:t>
      </w:r>
      <w:r>
        <w:rPr>
          <w:rFonts w:ascii="Courier New" w:eastAsia="Times New Roman" w:hAnsi="Courier New" w:cs="Courier New"/>
          <w:sz w:val="24"/>
          <w:szCs w:val="24"/>
        </w:rPr>
        <w:t>5</w:t>
      </w:r>
      <w:r w:rsidRPr="008205BF">
        <w:rPr>
          <w:rFonts w:ascii="Courier New" w:eastAsia="Times New Roman" w:hAnsi="Courier New" w:cs="Courier New"/>
          <w:sz w:val="24"/>
          <w:szCs w:val="24"/>
        </w:rPr>
        <w:t xml:space="preserve"> students times 0.017 hours) under OMB Control Number 1845-0123.</w:t>
      </w:r>
    </w:p>
    <w:p w14:paraId="55A59F6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Based upon 2009-2010 reported data, 57,700 students were enrolled at private non-profit institutions.  Of that number of students, we estimate that 2,308 students will be enrolled in zone programs and 5,423 students will be enrolled in failing programs at private non-profit institutions.  Thus, the warnings will have to be provided to 7,731 students (2,308 students plus 5,423 students) enrolled in GE programs at private non-profit institutions.</w:t>
      </w:r>
    </w:p>
    <w:p w14:paraId="4DE230D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7,731 projected number of warnings to be provided to enrolled students at non-profit institutions, we estimate that 773 students (7,731 students times 10 percent) will receive the warning individually and that it will take on average 0.17 hours (10 minutes) per warning to print the warning, locate the student, and deliver the warning to each affected student.  This will increase burden by 131 hours (773 students times 0.17 hours) under OMB Control Number 1845-0123.</w:t>
      </w:r>
    </w:p>
    <w:p w14:paraId="7978F8A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7,731 projected warnings to be provided to enrolled students at non-profit institutions, we estimate that 773 students (7,731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255 hours (773 times 0.33 hours) under OMB Control Number 1845-0123.</w:t>
      </w:r>
    </w:p>
    <w:p w14:paraId="30E725B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7,731 projected warnings to be provided to enrolled students at non-profit institutions, we estimate that 6,185 students (7,731 students times 80 percent) will receive the warning via email and that it will take on average 0.017 hours (1 minute) per warning to send the warning to each affected student.  This will increase burden by 105 hours (6,185 students times 0.017 hours) under OMB Control Number 1845-0123.</w:t>
      </w:r>
    </w:p>
    <w:p w14:paraId="2E9F70B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Based upon 2009-2010 reported data, 276,234 students were enrolled at public institutions.  Of that number of students, we estimate that 628 students will be enrolled in zone programs and 13,178 students will be enrolled in failing programs at public institutions.  Thus, the warnings will have to be provided to 13,806 students (628 students plus 13,178 students) enrolled in GE programs at public institutions.</w:t>
      </w:r>
    </w:p>
    <w:p w14:paraId="35B3168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13,806 projected number of warnings to be provided to enrolled students at public institutions, we estimate that 1,381 students (13,806 students times 10 percent) will receive the warning individually and that it will take on average 0.17 hours (10 minutes) per warning to print the warning, locate the student, and deliver the warning to each affected student.  This will increase burden by 235 hours (</w:t>
      </w:r>
      <w:r>
        <w:rPr>
          <w:rFonts w:ascii="Courier New" w:eastAsia="Times New Roman" w:hAnsi="Courier New" w:cs="Courier New"/>
          <w:sz w:val="24"/>
          <w:szCs w:val="24"/>
        </w:rPr>
        <w:t>1,381</w:t>
      </w:r>
      <w:r w:rsidRPr="008205BF">
        <w:rPr>
          <w:rFonts w:ascii="Courier New" w:eastAsia="Times New Roman" w:hAnsi="Courier New" w:cs="Courier New"/>
          <w:sz w:val="24"/>
          <w:szCs w:val="24"/>
        </w:rPr>
        <w:t xml:space="preserve"> students times 0.17 hours) under OMB Control Number 1845-0123.</w:t>
      </w:r>
    </w:p>
    <w:p w14:paraId="32735BC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13,806 projected warnings to be provided to enrolled students at public institutions, we estimate that 1,381 students (13,806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456 hours (1,381 times 0.33 hours) under OMB Control Number 1845-0123.</w:t>
      </w:r>
    </w:p>
    <w:p w14:paraId="0E93F5D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Of the 13,806 projected warnings to be provided to enrolled students at public institutions, we estimate that 11,04</w:t>
      </w:r>
      <w:r>
        <w:rPr>
          <w:rFonts w:ascii="Courier New" w:eastAsia="Times New Roman" w:hAnsi="Courier New" w:cs="Courier New"/>
          <w:sz w:val="24"/>
          <w:szCs w:val="24"/>
        </w:rPr>
        <w:t>4</w:t>
      </w:r>
      <w:r w:rsidRPr="008205BF">
        <w:rPr>
          <w:rFonts w:ascii="Courier New" w:eastAsia="Times New Roman" w:hAnsi="Courier New" w:cs="Courier New"/>
          <w:sz w:val="24"/>
          <w:szCs w:val="24"/>
        </w:rPr>
        <w:t xml:space="preserve"> students (13,806 students times 80 percent) will receive the warning via email and that it will take on average 0.017 hours (1 minute) per warning to send the warning to each affected student.  This will increase burden by 188 hours (11,04</w:t>
      </w:r>
      <w:r>
        <w:rPr>
          <w:rFonts w:ascii="Courier New" w:eastAsia="Times New Roman" w:hAnsi="Courier New" w:cs="Courier New"/>
          <w:sz w:val="24"/>
          <w:szCs w:val="24"/>
        </w:rPr>
        <w:t>4</w:t>
      </w:r>
      <w:r w:rsidRPr="008205BF">
        <w:rPr>
          <w:rFonts w:ascii="Courier New" w:eastAsia="Times New Roman" w:hAnsi="Courier New" w:cs="Courier New"/>
          <w:sz w:val="24"/>
          <w:szCs w:val="24"/>
        </w:rPr>
        <w:t xml:space="preserve"> students times 0.017 hours) under OMB Control Number 1845-0123.</w:t>
      </w:r>
    </w:p>
    <w:p w14:paraId="5D4B4D8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providing the warnings will increase burden by 75,907 hours under OMB Control Number 1845-0123.</w:t>
      </w:r>
    </w:p>
    <w:p w14:paraId="2CEA7A7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Students will also be affected by the warnings.  On average, given the alternatives available to institutions, we estimate that it will take each student 0.17 hours (10 minutes) to read the warning and ask any questions.</w:t>
      </w:r>
    </w:p>
    <w:p w14:paraId="3A688D6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199,233 hours (1,171,956 students times 0.17 hours) for the students who will receive warnings from for-profit institutions under one of the three delivery options, under OMB Control Number 1845-0123.</w:t>
      </w:r>
    </w:p>
    <w:p w14:paraId="5804A8E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1,314 hours (7,731 students times 0.17 hours) for the students who will receive warnings from private non-profit institutions under one of the three delivery options, under OMB Control Number 1845-0123.</w:t>
      </w:r>
    </w:p>
    <w:p w14:paraId="45D006D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2,347 hours (13,806 students times 0.17 hours) for the students who will receive warnings from public institutions under one of the three delivery options, under OMB Control Number 1845-0123.</w:t>
      </w:r>
    </w:p>
    <w:p w14:paraId="58A297E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students reading the warning will increase burden by 202,894 hours under OMB Control Number 1845-0123.</w:t>
      </w:r>
    </w:p>
    <w:p w14:paraId="70A97AA9"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668.410(a)(6)</w:t>
      </w:r>
      <w:r>
        <w:rPr>
          <w:rFonts w:ascii="Courier New" w:eastAsia="Times New Roman" w:hAnsi="Courier New" w:cs="Courier New"/>
          <w:sz w:val="24"/>
          <w:szCs w:val="24"/>
        </w:rPr>
        <w:t>(ii)</w:t>
      </w:r>
      <w:r w:rsidRPr="008205BF">
        <w:rPr>
          <w:rFonts w:ascii="Courier New" w:eastAsia="Times New Roman" w:hAnsi="Courier New" w:cs="Courier New"/>
          <w:sz w:val="24"/>
          <w:szCs w:val="24"/>
        </w:rPr>
        <w:t xml:space="preserve">, institutions must provide a warning about a possible loss of eligibility for title IV, HEA program funds directly to prospective students prior to their signing an enrollment agreement, registering, or making any financial commitment to the institution.  </w:t>
      </w:r>
      <w:r>
        <w:rPr>
          <w:rFonts w:ascii="Courier New" w:eastAsia="Times New Roman" w:hAnsi="Courier New" w:cs="Courier New"/>
          <w:sz w:val="24"/>
          <w:szCs w:val="24"/>
        </w:rPr>
        <w:t xml:space="preserve">The warning may be hand-delivered as a separate warning, or as part of a group presentation, or sent via email to the primary email address used by the institution for communicating with prospective students.  To the extent practicable, an institution will have to provide this warning in other languages for those students and prospective students for whom English is not their first language.  </w:t>
      </w:r>
    </w:p>
    <w:p w14:paraId="30D3A32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Most institutions will have to contact, or be contacted by, a larger number of prospective students to yield institutions</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desired net enrollments.  The magnitude of this activity will be different depending on the type and control of the institution, as detailed below.</w:t>
      </w:r>
    </w:p>
    <w:p w14:paraId="4225D48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number of prospective students that must contact or be contacted by for-profit institutions will be 6 times the number of expected enrollments.  As noted above, we estimate that 1,171,956 students (327,468 students enrolled in zone programs plus 844,488 students enrolled in failing programs) will be enrolled in programs at for-profit institutions</w:t>
      </w:r>
      <w:r>
        <w:rPr>
          <w:rFonts w:ascii="Courier New" w:eastAsia="Times New Roman" w:hAnsi="Courier New" w:cs="Courier New"/>
          <w:sz w:val="24"/>
          <w:szCs w:val="24"/>
        </w:rPr>
        <w:t xml:space="preserve"> that require a warning to students and prospective students</w:t>
      </w:r>
      <w:r w:rsidRPr="008205BF">
        <w:rPr>
          <w:rFonts w:ascii="Courier New" w:eastAsia="Times New Roman" w:hAnsi="Courier New" w:cs="Courier New"/>
          <w:sz w:val="24"/>
          <w:szCs w:val="24"/>
        </w:rPr>
        <w:t>.  Therefore, for-profit institutions will be required to provide 7,031,736 warnings (1,171,956 times 6), with an estimated per student time of 0.10 hours (6 minutes) to deliver, increasing burden by 703,174 hours (7,031,736 prospective students times 0.10 hours) under OMB Control Number 1845-0123.</w:t>
      </w:r>
    </w:p>
    <w:p w14:paraId="4056E09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number of prospective students that must contact or be contacted by private non-profit institutions will be 1.8 times the number of expected enrollments.  As noted above, we estimate that 7,731 students (2,308 students enrolled in zone programs plus 5,423 students enrolled in failing programs) will be enrolled in programs at private non-profit institutions</w:t>
      </w:r>
      <w:r>
        <w:rPr>
          <w:rFonts w:ascii="Courier New" w:eastAsia="Times New Roman" w:hAnsi="Courier New" w:cs="Courier New"/>
          <w:sz w:val="24"/>
          <w:szCs w:val="24"/>
        </w:rPr>
        <w:t xml:space="preserve"> that require a warning to students and prospective students</w:t>
      </w:r>
      <w:r w:rsidRPr="008205BF">
        <w:rPr>
          <w:rFonts w:ascii="Courier New" w:eastAsia="Times New Roman" w:hAnsi="Courier New" w:cs="Courier New"/>
          <w:sz w:val="24"/>
          <w:szCs w:val="24"/>
        </w:rPr>
        <w:t>.  Therefore, private non-profit institutions will be required to provide 13,916 warnings (7,731 students times 1.8), with an estimated per student time of 0.10 hours (6 minutes) to deliver, increasing burden by 1,392 hours (13,916 prospective students times 0.10 hours) under OMB Control Number 1845-0123.</w:t>
      </w:r>
    </w:p>
    <w:p w14:paraId="5FF3A8E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number of prospective students that must contact or be contacted by public institutions will be 1.5 times the number of expected enrollments.  As noted above, we estimate that 13,806 students (628 students enrolled in zone programs plus 13,178 students enrolled in failing programs) will be enrolled in programs at public institutions</w:t>
      </w:r>
      <w:r>
        <w:rPr>
          <w:rFonts w:ascii="Courier New" w:eastAsia="Times New Roman" w:hAnsi="Courier New" w:cs="Courier New"/>
          <w:sz w:val="24"/>
          <w:szCs w:val="24"/>
        </w:rPr>
        <w:t xml:space="preserve"> that require a warning to students and prospective students</w:t>
      </w:r>
      <w:r w:rsidRPr="008205BF">
        <w:rPr>
          <w:rFonts w:ascii="Courier New" w:eastAsia="Times New Roman" w:hAnsi="Courier New" w:cs="Courier New"/>
          <w:sz w:val="24"/>
          <w:szCs w:val="24"/>
        </w:rPr>
        <w:t>.  Therefore, public institutions will be required to provide 20,709 warnings (13,806 students times 1.5), with an estimated per student time of 0.10 hours (6 minutes) to deliver, increasing burden by 2,071 hours (20,709 prospective students times 0.10 hours) under OMB Control Number 1845-0123.</w:t>
      </w:r>
    </w:p>
    <w:p w14:paraId="21A34C6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will increase by 706,637 hours under OMB Control Number 1845-0123.</w:t>
      </w:r>
    </w:p>
    <w:p w14:paraId="10B7FFB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The prospective students will also be affected by the warnings.  On average, given the alternatives available to institutions, we estimate that it will take each student 0.08 hours (5 minutes)</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to read the warning and ask any questions.</w:t>
      </w:r>
    </w:p>
    <w:p w14:paraId="7DDABF1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562,539 hours (7,031,736 times 0.08 hours) for the prospective students who will receive warnings from for-profit institutions, under OMB Control Number 1845-0123.</w:t>
      </w:r>
    </w:p>
    <w:p w14:paraId="4BE1AF7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1,113 hours (13,916 times 0.08 hours) for the prospective students who will receive warnings from private non-profit institutions, under OMB Control Number 1845-0123.</w:t>
      </w:r>
    </w:p>
    <w:p w14:paraId="2C16626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1,657 hours (20,709 times 0.08 hours) for the prospective students who will receive warnings from public institutions, under OMB Control Number 1845-0123.</w:t>
      </w:r>
    </w:p>
    <w:p w14:paraId="71C98C9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prospective students reading the warning will increase burden by 565,309 hours under OMB Control Number 1845-0123.</w:t>
      </w:r>
    </w:p>
    <w:p w14:paraId="5C226247"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668.410(a)(</w:t>
      </w:r>
      <w:r>
        <w:rPr>
          <w:rFonts w:ascii="Courier New" w:eastAsia="Times New Roman" w:hAnsi="Courier New" w:cs="Courier New"/>
          <w:sz w:val="24"/>
          <w:szCs w:val="24"/>
        </w:rPr>
        <w:t>6</w:t>
      </w:r>
      <w:r w:rsidRPr="008205BF">
        <w:rPr>
          <w:rFonts w:ascii="Courier New" w:eastAsia="Times New Roman" w:hAnsi="Courier New" w:cs="Courier New"/>
          <w:sz w:val="24"/>
          <w:szCs w:val="24"/>
        </w:rPr>
        <w:t>)(ii)(B)</w:t>
      </w:r>
      <w:r>
        <w:rPr>
          <w:rFonts w:ascii="Courier New" w:eastAsia="Times New Roman" w:hAnsi="Courier New" w:cs="Courier New"/>
          <w:sz w:val="24"/>
          <w:szCs w:val="24"/>
        </w:rPr>
        <w:t>(</w:t>
      </w:r>
      <w:r w:rsidRPr="00DD6A77">
        <w:rPr>
          <w:rFonts w:ascii="Courier New" w:eastAsia="Times New Roman" w:hAnsi="Courier New"/>
          <w:sz w:val="24"/>
          <w:u w:val="single"/>
        </w:rPr>
        <w:t>2</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if more than 30 days have passed from the date the initial warning is provided, the prospective student must be provided an additional </w:t>
      </w:r>
      <w:r>
        <w:rPr>
          <w:rFonts w:ascii="Courier New" w:eastAsia="Times New Roman" w:hAnsi="Courier New" w:cs="Courier New"/>
          <w:sz w:val="24"/>
          <w:szCs w:val="24"/>
        </w:rPr>
        <w:t xml:space="preserve">written </w:t>
      </w:r>
      <w:r w:rsidRPr="008205BF">
        <w:rPr>
          <w:rFonts w:ascii="Courier New" w:eastAsia="Times New Roman" w:hAnsi="Courier New" w:cs="Courier New"/>
          <w:sz w:val="24"/>
          <w:szCs w:val="24"/>
        </w:rPr>
        <w:t xml:space="preserve">warning and may not enroll until three </w:t>
      </w:r>
      <w:r>
        <w:rPr>
          <w:rFonts w:ascii="Courier New" w:eastAsia="Times New Roman" w:hAnsi="Courier New" w:cs="Courier New"/>
          <w:sz w:val="24"/>
          <w:szCs w:val="24"/>
        </w:rPr>
        <w:t xml:space="preserve">business </w:t>
      </w:r>
      <w:r w:rsidRPr="008205BF">
        <w:rPr>
          <w:rFonts w:ascii="Courier New" w:eastAsia="Times New Roman" w:hAnsi="Courier New" w:cs="Courier New"/>
          <w:sz w:val="24"/>
          <w:szCs w:val="24"/>
        </w:rPr>
        <w:t xml:space="preserve">days later.      </w:t>
      </w:r>
      <w:r>
        <w:rPr>
          <w:rFonts w:ascii="Courier New" w:eastAsia="Times New Roman" w:hAnsi="Courier New" w:cs="Courier New"/>
          <w:sz w:val="24"/>
          <w:szCs w:val="24"/>
        </w:rPr>
        <w:t xml:space="preserve"> </w:t>
      </w:r>
    </w:p>
    <w:p w14:paraId="2E21224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 that 50 percent of students enrolling in a failing program</w:t>
      </w:r>
      <w:r>
        <w:rPr>
          <w:rFonts w:ascii="Courier New" w:eastAsia="Times New Roman" w:hAnsi="Courier New" w:cs="Courier New"/>
          <w:sz w:val="24"/>
          <w:szCs w:val="24"/>
        </w:rPr>
        <w:t xml:space="preserve"> will</w:t>
      </w:r>
      <w:r w:rsidRPr="008205BF">
        <w:rPr>
          <w:rFonts w:ascii="Courier New" w:eastAsia="Times New Roman" w:hAnsi="Courier New" w:cs="Courier New"/>
          <w:sz w:val="24"/>
          <w:szCs w:val="24"/>
        </w:rPr>
        <w:t xml:space="preserve"> do so more than 30 days after receiving the initial prospective student warning.  Burden </w:t>
      </w:r>
      <w:r>
        <w:rPr>
          <w:rFonts w:ascii="Courier New" w:eastAsia="Times New Roman" w:hAnsi="Courier New" w:cs="Courier New"/>
          <w:sz w:val="24"/>
          <w:szCs w:val="24"/>
        </w:rPr>
        <w:t xml:space="preserve">for institutions </w:t>
      </w:r>
      <w:r w:rsidRPr="008205BF">
        <w:rPr>
          <w:rFonts w:ascii="Courier New" w:eastAsia="Times New Roman" w:hAnsi="Courier New" w:cs="Courier New"/>
          <w:sz w:val="24"/>
          <w:szCs w:val="24"/>
        </w:rPr>
        <w:t xml:space="preserve">will increase by 281,269 hours for the 3,515,868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 xml:space="preserve">(7,031,736 prospective students times 50 percent times .08 hours) for whom for-profit institutions </w:t>
      </w:r>
      <w:r>
        <w:rPr>
          <w:rFonts w:ascii="Courier New" w:eastAsia="Times New Roman" w:hAnsi="Courier New" w:cs="Courier New"/>
          <w:sz w:val="24"/>
          <w:szCs w:val="24"/>
        </w:rPr>
        <w:t xml:space="preserve">must </w:t>
      </w:r>
      <w:r w:rsidRPr="008205BF">
        <w:rPr>
          <w:rFonts w:ascii="Courier New" w:eastAsia="Times New Roman" w:hAnsi="Courier New" w:cs="Courier New"/>
          <w:sz w:val="24"/>
          <w:szCs w:val="24"/>
        </w:rPr>
        <w:t>provide subsequent warnings.</w:t>
      </w:r>
    </w:p>
    <w:p w14:paraId="482CA12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Burden will increase by 557 hours for the 6,958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(13,916 prospective students times 50 percent times .08 hours) for whom private non-profit institutions will provide subsequent warnings.</w:t>
      </w:r>
    </w:p>
    <w:p w14:paraId="732F718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Burden will increase by 828 hours for the 10,355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(20,709 prospective students times 50 percent times .08 hours) for whom public institutions will provide subsequent warnings.</w:t>
      </w:r>
    </w:p>
    <w:p w14:paraId="7E23BE8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subsequent warning notices will increase burden by 282,654 hours under OMB Control Number 1845-0123.</w:t>
      </w:r>
    </w:p>
    <w:p w14:paraId="3C523E5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Similarly, it will take the recipients of subsequent warnings time to read the second warning.  Burden </w:t>
      </w:r>
      <w:r>
        <w:rPr>
          <w:rFonts w:ascii="Courier New" w:eastAsia="Times New Roman" w:hAnsi="Courier New" w:cs="Courier New"/>
          <w:sz w:val="24"/>
          <w:szCs w:val="24"/>
        </w:rPr>
        <w:t xml:space="preserve">for students </w:t>
      </w:r>
      <w:r w:rsidRPr="008205BF">
        <w:rPr>
          <w:rFonts w:ascii="Courier New" w:eastAsia="Times New Roman" w:hAnsi="Courier New" w:cs="Courier New"/>
          <w:sz w:val="24"/>
          <w:szCs w:val="24"/>
        </w:rPr>
        <w:t xml:space="preserve">will increase by 281,269 hours for the 3,515,868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(7,031,736 prospective students times 50 percent times .08 hours) to read the subsequent warnings from for-profit institutions, OMB Control Number 1845-0123.</w:t>
      </w:r>
    </w:p>
    <w:p w14:paraId="3A2EEAC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Burden will increase by 557 hours for the 6,958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(13,916 prospective students times 50 percent times .08 hours) to read the subsequent warnings from private non-profit institutions.</w:t>
      </w:r>
    </w:p>
    <w:p w14:paraId="34F16CD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Burden will increase by 828 hours for the 10,355 </w:t>
      </w:r>
      <w:r>
        <w:rPr>
          <w:rFonts w:ascii="Courier New" w:eastAsia="Times New Roman" w:hAnsi="Courier New" w:cs="Courier New"/>
          <w:sz w:val="24"/>
          <w:szCs w:val="24"/>
        </w:rPr>
        <w:t xml:space="preserve">students </w:t>
      </w:r>
      <w:r w:rsidRPr="008205BF">
        <w:rPr>
          <w:rFonts w:ascii="Courier New" w:eastAsia="Times New Roman" w:hAnsi="Courier New" w:cs="Courier New"/>
          <w:sz w:val="24"/>
          <w:szCs w:val="24"/>
        </w:rPr>
        <w:t>(20,709 prospective students times 50 percent times .08 hours) to read the subsequent warnings from public institutions.</w:t>
      </w:r>
    </w:p>
    <w:p w14:paraId="2CEA70A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to students to read the subsequent warnings will increase by 282,654 hours under OMB Control Number 1845-0123.</w:t>
      </w:r>
    </w:p>
    <w:p w14:paraId="38F118CD"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668.410 will be 2,116,055 hours under OMB Control Number 1845-0123.</w:t>
      </w:r>
      <w:r>
        <w:rPr>
          <w:rFonts w:ascii="Courier New" w:eastAsia="Times New Roman" w:hAnsi="Courier New" w:cs="Courier New"/>
          <w:sz w:val="24"/>
          <w:szCs w:val="24"/>
        </w:rPr>
        <w:t xml:space="preserve"> </w:t>
      </w:r>
    </w:p>
    <w:p w14:paraId="145151A8" w14:textId="77777777" w:rsidR="00E538DB" w:rsidRPr="0053792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53792B">
        <w:rPr>
          <w:rFonts w:ascii="Courier New" w:eastAsia="Times New Roman" w:hAnsi="Courier New" w:cs="Courier New"/>
          <w:sz w:val="24"/>
          <w:szCs w:val="24"/>
          <w:u w:val="single"/>
        </w:rPr>
        <w:t>§668.411 Reporting Requirements for GE Programs</w:t>
      </w:r>
    </w:p>
    <w:p w14:paraId="0EB6641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institutions will report, for each student enrolled in a GE program during an award year who received title IV, HEA program funds for enrolling in that program: (1) Information needed to identify the student and the institution the student attended; (2) the name, CIP code, credential level, and length of the GE program; (3) whether the GE program is a medical or dental program whose students are required to complete an internship or residency; (4) the date the student initially enrolled in the GE program; (5) the student's attendance dates and attendance status in the GE program during the award year; and (6) the student's enrollment status as of the first day of the student's enrollment in the GE program.</w:t>
      </w:r>
    </w:p>
    <w:p w14:paraId="06297EF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Further, if the student completed or withdrew from the GE program during the award year, the institution will report: (1) The date the student completed or withdrew; (2) the total amount the student received from private education loans for </w:t>
      </w:r>
      <w:r>
        <w:rPr>
          <w:rFonts w:ascii="Courier New" w:eastAsia="Times New Roman" w:hAnsi="Courier New" w:cs="Courier New"/>
          <w:sz w:val="24"/>
          <w:szCs w:val="24"/>
        </w:rPr>
        <w:t>enrollment</w:t>
      </w:r>
      <w:r w:rsidRPr="008205BF">
        <w:rPr>
          <w:rFonts w:ascii="Courier New" w:eastAsia="Times New Roman" w:hAnsi="Courier New" w:cs="Courier New"/>
          <w:sz w:val="24"/>
          <w:szCs w:val="24"/>
        </w:rPr>
        <w:t xml:space="preserve"> in the GE program that the institution is, or should reasonably be, aware of; (3) the total amount of institutional debt the student owes any party after completing or withdrawing from the GE program; (4) the total amount for tuition and fees assessed the student for the student’s entire enrollment in the program; and (5) the total amount of allowances for books, supplies, and equipment included in the student's title IV, Cost of Attendance for each award year in which the student was enrolled in the program, or a higher amount if assessed by the institution to the student.</w:t>
      </w:r>
      <w:r>
        <w:rPr>
          <w:rFonts w:ascii="Courier New" w:eastAsia="Times New Roman" w:hAnsi="Courier New" w:cs="Courier New"/>
          <w:sz w:val="24"/>
          <w:szCs w:val="24"/>
        </w:rPr>
        <w:t xml:space="preserve">  </w:t>
      </w:r>
    </w:p>
    <w:p w14:paraId="00F8E30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By</w:t>
      </w:r>
      <w:r w:rsidRPr="008205BF">
        <w:rPr>
          <w:rFonts w:ascii="Courier New" w:eastAsia="Times New Roman" w:hAnsi="Courier New" w:cs="Courier New"/>
          <w:sz w:val="24"/>
          <w:szCs w:val="24"/>
        </w:rPr>
        <w:t xml:space="preserve"> July 31 of the year the regulations take effect, institutions will be required to report this information for the second through seventh award years prior to that date.  For medical and dental programs that require an internship or residency, institutions will need to include the eighth award year </w:t>
      </w:r>
      <w:r>
        <w:rPr>
          <w:rFonts w:ascii="Courier New" w:eastAsia="Times New Roman" w:hAnsi="Courier New" w:cs="Courier New"/>
          <w:sz w:val="24"/>
          <w:szCs w:val="24"/>
        </w:rPr>
        <w:t>no later than</w:t>
      </w:r>
      <w:r w:rsidRPr="008205BF">
        <w:rPr>
          <w:rFonts w:ascii="Courier New" w:eastAsia="Times New Roman" w:hAnsi="Courier New" w:cs="Courier New"/>
          <w:sz w:val="24"/>
          <w:szCs w:val="24"/>
        </w:rPr>
        <w:t xml:space="preserve"> July 31.  For all subsequent award years, institutions will report not later than October 1</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following the end of the award year, unless the Secretary establishes a </w:t>
      </w:r>
      <w:r>
        <w:rPr>
          <w:rFonts w:ascii="Courier New" w:eastAsia="Times New Roman" w:hAnsi="Courier New" w:cs="Courier New"/>
          <w:sz w:val="24"/>
          <w:szCs w:val="24"/>
        </w:rPr>
        <w:t>different</w:t>
      </w:r>
      <w:r w:rsidRPr="008205BF">
        <w:rPr>
          <w:rFonts w:ascii="Courier New" w:eastAsia="Times New Roman" w:hAnsi="Courier New" w:cs="Courier New"/>
          <w:sz w:val="24"/>
          <w:szCs w:val="24"/>
        </w:rPr>
        <w:t xml:space="preserve"> date in a notice published in the </w:t>
      </w:r>
      <w:r w:rsidRPr="008205BF">
        <w:rPr>
          <w:rFonts w:ascii="Courier New" w:eastAsia="Times New Roman" w:hAnsi="Courier New" w:cs="Courier New"/>
          <w:sz w:val="24"/>
          <w:szCs w:val="24"/>
          <w:u w:val="single"/>
        </w:rPr>
        <w:t>Federal Register</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The regulations give the Secretary the flexibility to identify additional reporting items, or to speci</w:t>
      </w:r>
      <w:r>
        <w:rPr>
          <w:rFonts w:ascii="Courier New" w:eastAsia="Times New Roman" w:hAnsi="Courier New" w:cs="Courier New"/>
          <w:sz w:val="24"/>
          <w:szCs w:val="24"/>
        </w:rPr>
        <w:t>f</w:t>
      </w:r>
      <w:r w:rsidRPr="008205BF">
        <w:rPr>
          <w:rFonts w:ascii="Courier New" w:eastAsia="Times New Roman" w:hAnsi="Courier New" w:cs="Courier New"/>
          <w:sz w:val="24"/>
          <w:szCs w:val="24"/>
        </w:rPr>
        <w:t xml:space="preserve">y a reporting deadline </w:t>
      </w:r>
      <w:r>
        <w:rPr>
          <w:rFonts w:ascii="Courier New" w:eastAsia="Times New Roman" w:hAnsi="Courier New" w:cs="Courier New"/>
          <w:sz w:val="24"/>
          <w:szCs w:val="24"/>
        </w:rPr>
        <w:t xml:space="preserve">different </w:t>
      </w:r>
      <w:r w:rsidRPr="008205BF">
        <w:rPr>
          <w:rFonts w:ascii="Courier New" w:eastAsia="Times New Roman" w:hAnsi="Courier New" w:cs="Courier New"/>
          <w:sz w:val="24"/>
          <w:szCs w:val="24"/>
        </w:rPr>
        <w:t xml:space="preserve">than October 1, in a notice published in the </w:t>
      </w:r>
      <w:r w:rsidRPr="008205BF">
        <w:rPr>
          <w:rFonts w:ascii="Courier New" w:eastAsia="Times New Roman" w:hAnsi="Courier New" w:cs="Courier New"/>
          <w:sz w:val="24"/>
          <w:szCs w:val="24"/>
          <w:u w:val="single"/>
        </w:rPr>
        <w:t>Federal Register</w:t>
      </w:r>
      <w:r w:rsidRPr="008205BF">
        <w:rPr>
          <w:rFonts w:ascii="Courier New" w:eastAsia="Times New Roman" w:hAnsi="Courier New" w:cs="Courier New"/>
          <w:sz w:val="24"/>
          <w:szCs w:val="24"/>
        </w:rPr>
        <w:t>.</w:t>
      </w:r>
    </w:p>
    <w:p w14:paraId="672A9C2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Finally, the regulations will require institutions to provide the Secretary with an explanation of why any missing information is not available.</w:t>
      </w:r>
    </w:p>
    <w:p w14:paraId="68B61DE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There are 2,526 for-profit institutions that offer one or more GE programs.  We estimate that, on average, it will take 6 hours for each of those institutions to modify or develop manual or automated systems for reporting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Therefore burden will increase for these institutions by 15,156 hours (2,526 institutions times 6 hours).</w:t>
      </w:r>
    </w:p>
    <w:p w14:paraId="2DA5E4A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 are 318 private non-profit institutions that offer one or more GE programs.  We estimate that, on average, it will take 6 hours for each of those institutions to modify or develop manual or automated systems for reporting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Therefore burden will increase for these institutions by 1,908 hours (318 institutions times 6 hours).</w:t>
      </w:r>
    </w:p>
    <w:p w14:paraId="5041F4A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 are 1,117 public institutions that offer one or more GE programs.  We estimate that, on average, it will take 6 hours for each of those institutions to modify or develop manual or automated systems for reporting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Therefore burden will increase for these institutions by 6,702 hours (1,117 institutions times 6 hours).</w:t>
      </w:r>
    </w:p>
    <w:p w14:paraId="0D53423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to develop systems for reporting will increase by 23,766 hours (under OMB Control Number 1845-0123.</w:t>
      </w:r>
    </w:p>
    <w:p w14:paraId="4E1F535A"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ab/>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668.411(a)(3), if an institution is required by its accrediting agency or State to calculate a placement rate for either the institution or the program, or both, the institution is required to report to the Department the required placement rate,</w:t>
      </w:r>
      <w:r>
        <w:rPr>
          <w:rFonts w:ascii="Courier New" w:eastAsia="Times New Roman" w:hAnsi="Courier New" w:cs="Courier New"/>
          <w:sz w:val="24"/>
          <w:szCs w:val="24"/>
        </w:rPr>
        <w:t xml:space="preserve"> using</w:t>
      </w:r>
      <w:r w:rsidRPr="008205BF">
        <w:rPr>
          <w:rFonts w:ascii="Courier New" w:eastAsia="Times New Roman" w:hAnsi="Courier New" w:cs="Courier New"/>
          <w:sz w:val="24"/>
          <w:szCs w:val="24"/>
        </w:rPr>
        <w:t xml:space="preserve"> the </w:t>
      </w:r>
      <w:r>
        <w:rPr>
          <w:rFonts w:ascii="Courier New" w:eastAsia="Times New Roman" w:hAnsi="Courier New" w:cs="Courier New"/>
          <w:sz w:val="24"/>
          <w:szCs w:val="24"/>
        </w:rPr>
        <w:t xml:space="preserve">required </w:t>
      </w:r>
      <w:r w:rsidRPr="008205BF">
        <w:rPr>
          <w:rFonts w:ascii="Courier New" w:eastAsia="Times New Roman" w:hAnsi="Courier New" w:cs="Courier New"/>
          <w:sz w:val="24"/>
          <w:szCs w:val="24"/>
        </w:rPr>
        <w:t>methodology</w:t>
      </w:r>
      <w:r>
        <w:rPr>
          <w:rFonts w:ascii="Courier New" w:eastAsia="Times New Roman" w:hAnsi="Courier New" w:cs="Courier New"/>
          <w:sz w:val="24"/>
          <w:szCs w:val="24"/>
        </w:rPr>
        <w:t>, and to report the name of the accrediting agency or State</w:t>
      </w:r>
      <w:r w:rsidRPr="008205BF">
        <w:rPr>
          <w:rFonts w:ascii="Courier New" w:eastAsia="Times New Roman" w:hAnsi="Courier New" w:cs="Courier New"/>
          <w:sz w:val="24"/>
          <w:szCs w:val="24"/>
        </w:rPr>
        <w:t>.</w:t>
      </w:r>
    </w:p>
    <w:p w14:paraId="22CD7FB6"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ab/>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The Department will be developing a database to collect this data.  Therefore, under the Paperwork Reduction Act, the Department will construct an information collection (IC) closer to the time of system development which the public will have an opportunity to provide comment prior to the IC’s submission to OMB for approval.</w:t>
      </w:r>
    </w:p>
    <w:p w14:paraId="40A91EB1" w14:textId="77777777" w:rsidR="00E538DB" w:rsidRPr="008205BF" w:rsidRDefault="00E538DB" w:rsidP="00E538D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ab/>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Section 668.411(b) requires that, by no later than July 31 of the year the regulations take effect, institutions report th</w:t>
      </w:r>
      <w:r>
        <w:rPr>
          <w:rFonts w:ascii="Courier New" w:eastAsia="Times New Roman" w:hAnsi="Courier New" w:cs="Courier New"/>
          <w:sz w:val="24"/>
          <w:szCs w:val="24"/>
        </w:rPr>
        <w:t>e</w:t>
      </w:r>
      <w:r w:rsidRPr="008205BF">
        <w:rPr>
          <w:rFonts w:ascii="Courier New" w:eastAsia="Times New Roman" w:hAnsi="Courier New" w:cs="Courier New"/>
          <w:sz w:val="24"/>
          <w:szCs w:val="24"/>
        </w:rPr>
        <w:t xml:space="preserve"> information </w:t>
      </w:r>
      <w:r>
        <w:rPr>
          <w:rFonts w:ascii="Courier New" w:eastAsia="Times New Roman" w:hAnsi="Courier New" w:cs="Courier New"/>
          <w:sz w:val="24"/>
          <w:szCs w:val="24"/>
        </w:rPr>
        <w:t>required by §</w:t>
      </w:r>
      <w:r w:rsidRPr="008205BF">
        <w:rPr>
          <w:rFonts w:ascii="Courier New" w:eastAsia="Times New Roman" w:hAnsi="Courier New" w:cs="Courier New"/>
          <w:sz w:val="24"/>
          <w:szCs w:val="24"/>
        </w:rPr>
        <w:t>668</w:t>
      </w:r>
      <w:r>
        <w:rPr>
          <w:rFonts w:ascii="Courier New" w:eastAsia="Times New Roman" w:hAnsi="Courier New" w:cs="Courier New"/>
          <w:sz w:val="24"/>
          <w:szCs w:val="24"/>
        </w:rPr>
        <w:t xml:space="preserve">.411(a) </w:t>
      </w:r>
      <w:r w:rsidRPr="008205BF">
        <w:rPr>
          <w:rFonts w:ascii="Courier New" w:eastAsia="Times New Roman" w:hAnsi="Courier New" w:cs="Courier New"/>
          <w:sz w:val="24"/>
          <w:szCs w:val="24"/>
        </w:rPr>
        <w:t>for the second through seventh award years prior to that date.  For medical and dental programs that require an internship or residency, institutions will need to include the eighth completed award year prior to July 31.</w:t>
      </w:r>
    </w:p>
    <w:p w14:paraId="330B414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According to our analysis of previously reported GE program enrollment data, there were 2,703,851 students enrolled in GE programs offered by for-profit institutions during the 2009-2010 award year.  Based on budget baseline estimates as provided in the general background information, we estimate that enrollment in GE programs at for-profit institutions for 2008-2009 was 2,219,280.  Going forward, we estimate that enrollment in GE programs at for-profit institutions for 2010-2011 was 2,951,154, for 2011-2012 enrollment was 2,669,084, for 2012-2013 enrollment was 2,426,249, and for 2013-2014 enrollment will be 2,227,230.  This results in a total of 15,196,848 enrollments.</w:t>
      </w:r>
    </w:p>
    <w:p w14:paraId="51D3CD2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on average, the reporting of GE program information by for-profit institutions will take 0.03 hours (2 minutes) per student as we anticip</w:t>
      </w:r>
      <w:r>
        <w:rPr>
          <w:rFonts w:ascii="Courier New" w:eastAsia="Times New Roman" w:hAnsi="Courier New" w:cs="Courier New"/>
          <w:sz w:val="24"/>
          <w:szCs w:val="24"/>
        </w:rPr>
        <w:t xml:space="preserve">ate that, for most for-profit </w:t>
      </w:r>
      <w:r w:rsidRPr="008205BF">
        <w:rPr>
          <w:rFonts w:ascii="Courier New" w:eastAsia="Times New Roman" w:hAnsi="Courier New" w:cs="Courier New"/>
          <w:sz w:val="24"/>
          <w:szCs w:val="24"/>
        </w:rPr>
        <w:t>institutions, reporting will be an automated process.  Therefore, GE reporting by for-profit institutions will increase burden by 455,905 hours (15,196,848 students times .03 hours) in OMB Control Number 1845-0123.</w:t>
      </w:r>
    </w:p>
    <w:p w14:paraId="4572503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According to our analysis of previously reported GE program enrollment data, there were 57,700 students enrolled in GE programs offered by private non-profit institutions during the 2009-2010 award year.  Based on budget baseline estimates as provided in the general background information, we estimate that enrollment in GE programs at private non-profit institutions for 2008-2009 was 49,316.  Going forward, we estimate that enrollment in GE programs at private non-profit institutions for 2010-2011 was 67,509, for 2011-2012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 xml:space="preserve">was 73,585, for 2012-2013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 xml:space="preserve">was 70,641, and for 2013-2014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will be 65,697.  This results in a total of 384,448 enrollments.</w:t>
      </w:r>
    </w:p>
    <w:p w14:paraId="4D7D5D1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on average, the reporting of GE program information by private non-profit institutions will take 0.03 hours (2 minutes) per student as we anticipate that, for most private non-profit institutions, reporting will be an automated process.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Therefore, GE reporting by private non-profit institutions will increase burden by 11,533 hours (384,448 students times .03 hours) in OMB Control Number 1845-</w:t>
      </w:r>
      <w:r>
        <w:rPr>
          <w:rFonts w:ascii="Courier New" w:eastAsia="Times New Roman" w:hAnsi="Courier New" w:cs="Courier New"/>
          <w:sz w:val="24"/>
          <w:szCs w:val="24"/>
        </w:rPr>
        <w:t>0123</w:t>
      </w:r>
      <w:r w:rsidRPr="008205BF">
        <w:rPr>
          <w:rFonts w:ascii="Courier New" w:eastAsia="Times New Roman" w:hAnsi="Courier New" w:cs="Courier New"/>
          <w:sz w:val="24"/>
          <w:szCs w:val="24"/>
        </w:rPr>
        <w:t>.</w:t>
      </w:r>
    </w:p>
    <w:p w14:paraId="5D6A5F1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According to our analysis of previously reported GE program enrollment data, there were 276,234 students enrolled in GE programs offered by public institutions during the 2009-2010 award year.  Based on budget baseline estimates as provided in the general background information, we estimate that enrollment in GE programs at public institutions for 2008-2009 was 236,097.  Going forward, we estimate that enrollment in GE programs at public institutions for 2010-2011 was 323,194, for 2011-2012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 xml:space="preserve">was 352,281, for 2012-2013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 xml:space="preserve">was 338,190, and for 2013-2014 </w:t>
      </w:r>
      <w:r>
        <w:rPr>
          <w:rFonts w:ascii="Courier New" w:eastAsia="Times New Roman" w:hAnsi="Courier New" w:cs="Courier New"/>
          <w:sz w:val="24"/>
          <w:szCs w:val="24"/>
        </w:rPr>
        <w:t xml:space="preserve">enrollment </w:t>
      </w:r>
      <w:r w:rsidRPr="008205BF">
        <w:rPr>
          <w:rFonts w:ascii="Courier New" w:eastAsia="Times New Roman" w:hAnsi="Courier New" w:cs="Courier New"/>
          <w:sz w:val="24"/>
          <w:szCs w:val="24"/>
        </w:rPr>
        <w:t>will be 314,517.  This results in a total of 1,840,513 enrollments.</w:t>
      </w:r>
    </w:p>
    <w:p w14:paraId="54CF576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on average, the reporting of GE program information by public institutions will take 0.03 hours (2 minutes) per student as we anticipate that, for most public institutions, reporting will be an automated process.  Therefore, GE reporting by public institutions will increase burden by 55,215 hours (1,840,513 students times .03 hours) in OMB Control Number 1845-0123.</w:t>
      </w:r>
    </w:p>
    <w:p w14:paraId="315957B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Collectively, we estimate that burden upon institutions to meet the initial reporting requirements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will increase burden by 522,653 hours in OMB Control Number 1845-0123.</w:t>
      </w:r>
    </w:p>
    <w:p w14:paraId="4B87225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will be 546,419 hours under OMB Control Number 1845-0123.</w:t>
      </w:r>
    </w:p>
    <w:p w14:paraId="1A3DE835" w14:textId="77777777" w:rsidR="00E538DB" w:rsidRPr="00DD6A77"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DD6A77">
        <w:rPr>
          <w:rFonts w:ascii="Courier New" w:eastAsia="Times New Roman" w:hAnsi="Courier New" w:cs="Courier New"/>
          <w:sz w:val="24"/>
          <w:szCs w:val="24"/>
          <w:u w:val="single"/>
        </w:rPr>
        <w:t>§668.412 Disclosure Requirements for GE Programs</w:t>
      </w:r>
    </w:p>
    <w:p w14:paraId="5402095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Section 668.412 </w:t>
      </w:r>
      <w:r>
        <w:rPr>
          <w:rFonts w:ascii="Courier New" w:eastAsia="Times New Roman" w:hAnsi="Courier New" w:cs="Courier New"/>
          <w:sz w:val="24"/>
          <w:szCs w:val="24"/>
        </w:rPr>
        <w:t>requires institutions to disclose items, using the disclosure template provided by the Secretary.  Under</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w:t>
      </w:r>
      <w:r w:rsidRPr="008205BF">
        <w:rPr>
          <w:rFonts w:ascii="Courier New" w:eastAsia="Times New Roman" w:hAnsi="Courier New" w:cs="Courier New"/>
          <w:sz w:val="24"/>
          <w:szCs w:val="24"/>
        </w:rPr>
        <w:t>66</w:t>
      </w:r>
      <w:r>
        <w:rPr>
          <w:rFonts w:ascii="Courier New" w:eastAsia="Times New Roman" w:hAnsi="Courier New" w:cs="Courier New"/>
          <w:sz w:val="24"/>
          <w:szCs w:val="24"/>
        </w:rPr>
        <w:t xml:space="preserve">8.412, </w:t>
      </w:r>
      <w:r w:rsidRPr="008205BF">
        <w:rPr>
          <w:rFonts w:ascii="Courier New" w:eastAsia="Times New Roman" w:hAnsi="Courier New" w:cs="Courier New"/>
          <w:sz w:val="24"/>
          <w:szCs w:val="24"/>
        </w:rPr>
        <w:t>the Department</w:t>
      </w:r>
      <w:r>
        <w:rPr>
          <w:rFonts w:ascii="Courier New" w:eastAsia="Times New Roman" w:hAnsi="Courier New" w:cs="Courier New"/>
          <w:sz w:val="24"/>
          <w:szCs w:val="24"/>
        </w:rPr>
        <w:t xml:space="preserve"> ha</w:t>
      </w:r>
      <w:r w:rsidRPr="008205BF">
        <w:rPr>
          <w:rFonts w:ascii="Courier New" w:eastAsia="Times New Roman" w:hAnsi="Courier New" w:cs="Courier New"/>
          <w:sz w:val="24"/>
          <w:szCs w:val="24"/>
        </w:rPr>
        <w:t>s flexibility to tailor the disclosure in a way that will be most useful to students and minimize burden to institutions.</w:t>
      </w:r>
    </w:p>
    <w:p w14:paraId="6D2DA23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These disclosure items could include:</w:t>
      </w:r>
    </w:p>
    <w:p w14:paraId="0AB47CE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(1) The primary occupations (by name and SOC code) that the GE program prepares students to enter, along with links to the corresponding occupational profiles on O*Net</w:t>
      </w:r>
      <w:r>
        <w:rPr>
          <w:rFonts w:ascii="Courier New" w:eastAsia="Times New Roman" w:hAnsi="Courier New" w:cs="Courier New"/>
          <w:sz w:val="24"/>
          <w:szCs w:val="24"/>
        </w:rPr>
        <w:t xml:space="preserve"> or its successor site</w:t>
      </w:r>
      <w:r w:rsidRPr="008205BF">
        <w:rPr>
          <w:rFonts w:ascii="Courier New" w:eastAsia="Times New Roman" w:hAnsi="Courier New" w:cs="Courier New"/>
          <w:sz w:val="24"/>
          <w:szCs w:val="24"/>
        </w:rPr>
        <w:t>;</w:t>
      </w:r>
    </w:p>
    <w:p w14:paraId="4929A0C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(2)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GE program's completion rates for full-time and less-than-full-time students and GE program</w:t>
      </w:r>
      <w:r>
        <w:rPr>
          <w:rFonts w:ascii="Courier New" w:eastAsia="Times New Roman" w:hAnsi="Courier New" w:cs="Courier New"/>
          <w:sz w:val="24"/>
          <w:szCs w:val="24"/>
        </w:rPr>
        <w:t>’s</w:t>
      </w:r>
      <w:r w:rsidRPr="008205BF">
        <w:rPr>
          <w:rFonts w:ascii="Courier New" w:eastAsia="Times New Roman" w:hAnsi="Courier New" w:cs="Courier New"/>
          <w:sz w:val="24"/>
          <w:szCs w:val="24"/>
        </w:rPr>
        <w:t xml:space="preserve"> withdrawal rates;</w:t>
      </w:r>
    </w:p>
    <w:p w14:paraId="5D0A0F3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(3)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length of the program in calendar time;</w:t>
      </w:r>
    </w:p>
    <w:p w14:paraId="65F5B24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(4) T</w:t>
      </w:r>
      <w:r w:rsidRPr="008205BF">
        <w:rPr>
          <w:rFonts w:ascii="Courier New" w:eastAsia="Times New Roman" w:hAnsi="Courier New" w:cs="Courier New"/>
          <w:sz w:val="24"/>
          <w:szCs w:val="24"/>
        </w:rPr>
        <w:t>he number of clock or credit hours or equivalent, as applicable, in the program;</w:t>
      </w:r>
    </w:p>
    <w:p w14:paraId="1DC521B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(5) T</w:t>
      </w:r>
      <w:r w:rsidRPr="008205BF">
        <w:rPr>
          <w:rFonts w:ascii="Courier New" w:eastAsia="Times New Roman" w:hAnsi="Courier New" w:cs="Courier New"/>
          <w:sz w:val="24"/>
          <w:szCs w:val="24"/>
        </w:rPr>
        <w:t xml:space="preserve">he total number of </w:t>
      </w:r>
      <w:r>
        <w:rPr>
          <w:rFonts w:ascii="Courier New" w:eastAsia="Times New Roman" w:hAnsi="Courier New" w:cs="Courier New"/>
          <w:sz w:val="24"/>
          <w:szCs w:val="24"/>
        </w:rPr>
        <w:t>individuals</w:t>
      </w:r>
      <w:r w:rsidRPr="008205BF">
        <w:rPr>
          <w:rFonts w:ascii="Courier New" w:eastAsia="Times New Roman" w:hAnsi="Courier New" w:cs="Courier New"/>
          <w:sz w:val="24"/>
          <w:szCs w:val="24"/>
        </w:rPr>
        <w:t xml:space="preserve"> enrolled in the program during the most recently completed award year;</w:t>
      </w:r>
    </w:p>
    <w:p w14:paraId="2EAB2DB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(6) </w:t>
      </w:r>
      <w:r>
        <w:rPr>
          <w:rFonts w:ascii="Courier New" w:eastAsia="Times New Roman" w:hAnsi="Courier New" w:cs="Courier New"/>
          <w:sz w:val="24"/>
          <w:szCs w:val="24"/>
        </w:rPr>
        <w:t>T</w:t>
      </w:r>
      <w:r w:rsidRPr="008205BF">
        <w:rPr>
          <w:rFonts w:ascii="Courier New" w:eastAsia="Times New Roman" w:hAnsi="Courier New" w:cs="Courier New"/>
          <w:sz w:val="24"/>
          <w:szCs w:val="24"/>
        </w:rPr>
        <w:t xml:space="preserve">he loan repayment rate for any one or all of the following </w:t>
      </w:r>
      <w:r>
        <w:rPr>
          <w:rFonts w:ascii="Courier New" w:eastAsia="Times New Roman" w:hAnsi="Courier New" w:cs="Courier New"/>
          <w:sz w:val="24"/>
          <w:szCs w:val="24"/>
        </w:rPr>
        <w:t>g</w:t>
      </w:r>
      <w:r w:rsidRPr="008205BF">
        <w:rPr>
          <w:rFonts w:ascii="Courier New" w:eastAsia="Times New Roman" w:hAnsi="Courier New" w:cs="Courier New"/>
          <w:sz w:val="24"/>
          <w:szCs w:val="24"/>
        </w:rPr>
        <w:t xml:space="preserve">roups of students who entered repayment on title IV loan during the two-year cohort period:  </w:t>
      </w:r>
      <w:r>
        <w:rPr>
          <w:rFonts w:ascii="Courier New" w:eastAsia="Times New Roman" w:hAnsi="Courier New" w:cs="Courier New"/>
          <w:sz w:val="24"/>
          <w:szCs w:val="24"/>
        </w:rPr>
        <w:t>a</w:t>
      </w:r>
      <w:r w:rsidRPr="008205BF">
        <w:rPr>
          <w:rFonts w:ascii="Courier New" w:eastAsia="Times New Roman" w:hAnsi="Courier New" w:cs="Courier New"/>
          <w:sz w:val="24"/>
          <w:szCs w:val="24"/>
        </w:rPr>
        <w:t>ll students who enrolled in the program, students who completed the program, and students who withdrew from the program;</w:t>
      </w:r>
    </w:p>
    <w:p w14:paraId="780697B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(7)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total cost of tuition and fees, books, supplies, and equipment that students will incur for completing the program within the length of the program;</w:t>
      </w:r>
    </w:p>
    <w:p w14:paraId="2FF6D1B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(8)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placement rate for the program, if the institution is required by its accrediting agency or State to calculate a placement rate either for the program or the institution or both, using the required methodology</w:t>
      </w:r>
      <w:r>
        <w:rPr>
          <w:rFonts w:ascii="Courier New" w:eastAsia="Times New Roman" w:hAnsi="Courier New" w:cs="Courier New"/>
          <w:sz w:val="24"/>
          <w:szCs w:val="24"/>
        </w:rPr>
        <w:t xml:space="preserve"> of that accrediting agency or State</w:t>
      </w:r>
      <w:r w:rsidRPr="008205BF">
        <w:rPr>
          <w:rFonts w:ascii="Courier New" w:eastAsia="Times New Roman" w:hAnsi="Courier New" w:cs="Courier New"/>
          <w:sz w:val="24"/>
          <w:szCs w:val="24"/>
        </w:rPr>
        <w:t>;</w:t>
      </w:r>
    </w:p>
    <w:p w14:paraId="2AD961E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(9) </w:t>
      </w:r>
      <w:r>
        <w:rPr>
          <w:rFonts w:ascii="Courier New" w:eastAsia="Times New Roman" w:hAnsi="Courier New" w:cs="Courier New"/>
          <w:sz w:val="24"/>
          <w:szCs w:val="24"/>
        </w:rPr>
        <w:t>O</w:t>
      </w:r>
      <w:r w:rsidRPr="008205BF">
        <w:rPr>
          <w:rFonts w:ascii="Courier New" w:eastAsia="Times New Roman" w:hAnsi="Courier New" w:cs="Courier New"/>
          <w:sz w:val="24"/>
          <w:szCs w:val="24"/>
        </w:rPr>
        <w:t xml:space="preserve">f the individuals enrolled in the program during the most recently completed award year, the percentage who </w:t>
      </w:r>
      <w:r>
        <w:rPr>
          <w:rFonts w:ascii="Courier New" w:eastAsia="Times New Roman" w:hAnsi="Courier New" w:cs="Courier New"/>
          <w:sz w:val="24"/>
          <w:szCs w:val="24"/>
        </w:rPr>
        <w:t>received a title IV loan or a private loan</w:t>
      </w:r>
      <w:r w:rsidRPr="008205BF">
        <w:rPr>
          <w:rFonts w:ascii="Courier New" w:eastAsia="Times New Roman" w:hAnsi="Courier New" w:cs="Courier New"/>
          <w:sz w:val="24"/>
          <w:szCs w:val="24"/>
        </w:rPr>
        <w:t xml:space="preserve"> for enrollment in the program;</w:t>
      </w:r>
    </w:p>
    <w:p w14:paraId="708CD83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(10) A</w:t>
      </w:r>
      <w:r w:rsidRPr="008205BF">
        <w:rPr>
          <w:rFonts w:ascii="Courier New" w:eastAsia="Times New Roman" w:hAnsi="Courier New" w:cs="Courier New"/>
          <w:sz w:val="24"/>
          <w:szCs w:val="24"/>
        </w:rPr>
        <w:t xml:space="preserve">s </w:t>
      </w:r>
      <w:r>
        <w:rPr>
          <w:rFonts w:ascii="Courier New" w:eastAsia="Times New Roman" w:hAnsi="Courier New" w:cs="Courier New"/>
          <w:sz w:val="24"/>
          <w:szCs w:val="24"/>
        </w:rPr>
        <w:t>calculated</w:t>
      </w:r>
      <w:r w:rsidRPr="008205BF">
        <w:rPr>
          <w:rFonts w:ascii="Courier New" w:eastAsia="Times New Roman" w:hAnsi="Courier New" w:cs="Courier New"/>
          <w:sz w:val="24"/>
          <w:szCs w:val="24"/>
        </w:rPr>
        <w:t xml:space="preserve"> by the Secretary, the median loan debt incurred by any or all of the following groups:  </w:t>
      </w:r>
      <w:r>
        <w:rPr>
          <w:rFonts w:ascii="Courier New" w:eastAsia="Times New Roman" w:hAnsi="Courier New" w:cs="Courier New"/>
          <w:sz w:val="24"/>
          <w:szCs w:val="24"/>
        </w:rPr>
        <w:t>s</w:t>
      </w:r>
      <w:r w:rsidRPr="008205BF">
        <w:rPr>
          <w:rFonts w:ascii="Courier New" w:eastAsia="Times New Roman" w:hAnsi="Courier New" w:cs="Courier New"/>
          <w:sz w:val="24"/>
          <w:szCs w:val="24"/>
        </w:rPr>
        <w:t>tudents who completed the program during the most recently completed award year, students who withdrew from the program during the most recently completed award year, or both those groups of students;</w:t>
      </w:r>
    </w:p>
    <w:p w14:paraId="6650A4C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(11) </w:t>
      </w:r>
      <w:r>
        <w:rPr>
          <w:rFonts w:ascii="Courier New" w:eastAsia="Times New Roman" w:hAnsi="Courier New" w:cs="Courier New"/>
          <w:sz w:val="24"/>
          <w:szCs w:val="24"/>
        </w:rPr>
        <w:t>T</w:t>
      </w:r>
      <w:r w:rsidRPr="008205BF">
        <w:rPr>
          <w:rFonts w:ascii="Courier New" w:eastAsia="Times New Roman" w:hAnsi="Courier New" w:cs="Courier New"/>
          <w:sz w:val="24"/>
          <w:szCs w:val="24"/>
        </w:rPr>
        <w:t xml:space="preserve">he </w:t>
      </w:r>
      <w:r>
        <w:rPr>
          <w:rFonts w:ascii="Courier New" w:eastAsia="Times New Roman" w:hAnsi="Courier New" w:cs="Courier New"/>
          <w:sz w:val="24"/>
          <w:szCs w:val="24"/>
        </w:rPr>
        <w:t xml:space="preserve">mean or </w:t>
      </w:r>
      <w:r w:rsidRPr="008205BF">
        <w:rPr>
          <w:rFonts w:ascii="Courier New" w:eastAsia="Times New Roman" w:hAnsi="Courier New" w:cs="Courier New"/>
          <w:sz w:val="24"/>
          <w:szCs w:val="24"/>
        </w:rPr>
        <w:t xml:space="preserve">median earnings of any one or all of the following groups: </w:t>
      </w:r>
      <w:r>
        <w:rPr>
          <w:rFonts w:ascii="Courier New" w:eastAsia="Times New Roman" w:hAnsi="Courier New" w:cs="Courier New"/>
          <w:sz w:val="24"/>
          <w:szCs w:val="24"/>
        </w:rPr>
        <w:t xml:space="preserve"> s</w:t>
      </w:r>
      <w:r w:rsidRPr="008205BF">
        <w:rPr>
          <w:rFonts w:ascii="Courier New" w:eastAsia="Times New Roman" w:hAnsi="Courier New" w:cs="Courier New"/>
          <w:sz w:val="24"/>
          <w:szCs w:val="24"/>
        </w:rPr>
        <w:t>tudents who completed the program during the applicable cohort period used to calculate the most recent D/E rates for the program, students who were in withdrawn status at the end of the applicable cohort period used to calculate the most recent D/E rates for the program, or both those groups of students;</w:t>
      </w:r>
    </w:p>
    <w:p w14:paraId="3ECD5F0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(12) T</w:t>
      </w:r>
      <w:r w:rsidRPr="008205BF">
        <w:rPr>
          <w:rFonts w:ascii="Courier New" w:eastAsia="Times New Roman" w:hAnsi="Courier New" w:cs="Courier New"/>
          <w:sz w:val="24"/>
          <w:szCs w:val="24"/>
        </w:rPr>
        <w:t>he most recent program cohort default rate;</w:t>
      </w:r>
    </w:p>
    <w:p w14:paraId="67C42E8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(13) T</w:t>
      </w:r>
      <w:r w:rsidRPr="008205BF">
        <w:rPr>
          <w:rFonts w:ascii="Courier New" w:eastAsia="Times New Roman" w:hAnsi="Courier New" w:cs="Courier New"/>
          <w:sz w:val="24"/>
          <w:szCs w:val="24"/>
        </w:rPr>
        <w:t xml:space="preserve">he most recent annual earnings rate as calculated by the Secretary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668.404;</w:t>
      </w:r>
    </w:p>
    <w:p w14:paraId="6C397204" w14:textId="77777777" w:rsidR="00E538DB" w:rsidRPr="00340877" w:rsidRDefault="00E538DB" w:rsidP="00E538DB">
      <w:pPr>
        <w:spacing w:after="0" w:line="480" w:lineRule="auto"/>
        <w:ind w:firstLine="720"/>
        <w:rPr>
          <w:rFonts w:ascii="Courier New" w:eastAsia="MS Mincho" w:hAnsi="Courier New" w:cs="Courier New"/>
          <w:sz w:val="24"/>
          <w:szCs w:val="24"/>
        </w:rPr>
      </w:pPr>
      <w:r w:rsidRPr="00340877">
        <w:rPr>
          <w:rFonts w:ascii="Courier New" w:eastAsia="MS Mincho" w:hAnsi="Courier New" w:cs="Courier New"/>
          <w:sz w:val="24"/>
          <w:szCs w:val="24"/>
        </w:rPr>
        <w:t xml:space="preserve">(14)  </w:t>
      </w:r>
    </w:p>
    <w:p w14:paraId="72D7EB27" w14:textId="77777777" w:rsidR="00E538DB" w:rsidRPr="00340877" w:rsidRDefault="00E538DB" w:rsidP="00E538DB">
      <w:pPr>
        <w:spacing w:after="0" w:line="480" w:lineRule="auto"/>
        <w:ind w:firstLine="720"/>
        <w:rPr>
          <w:rFonts w:ascii="Courier New" w:eastAsia="MS Mincho" w:hAnsi="Courier New" w:cs="Courier New"/>
          <w:sz w:val="24"/>
          <w:szCs w:val="24"/>
        </w:rPr>
      </w:pPr>
      <w:r w:rsidRPr="00340877">
        <w:rPr>
          <w:rFonts w:ascii="Courier New" w:eastAsia="MS Mincho" w:hAnsi="Courier New" w:cs="Courier New"/>
          <w:sz w:val="24"/>
          <w:szCs w:val="24"/>
        </w:rPr>
        <w:t>(i)  Whether the program does or does not satisfy--</w:t>
      </w:r>
    </w:p>
    <w:p w14:paraId="60651FFE" w14:textId="77777777" w:rsidR="00E538DB" w:rsidRPr="00340877" w:rsidRDefault="00E538DB" w:rsidP="00E538DB">
      <w:pPr>
        <w:spacing w:after="0" w:line="480" w:lineRule="auto"/>
        <w:ind w:firstLine="720"/>
        <w:rPr>
          <w:rFonts w:ascii="Courier New" w:eastAsia="MS Mincho" w:hAnsi="Courier New" w:cs="Courier New"/>
          <w:sz w:val="24"/>
          <w:szCs w:val="24"/>
        </w:rPr>
      </w:pPr>
      <w:r w:rsidRPr="00340877">
        <w:rPr>
          <w:rFonts w:ascii="Courier New" w:eastAsia="MS Mincho" w:hAnsi="Courier New" w:cs="Courier New"/>
          <w:sz w:val="24"/>
          <w:szCs w:val="24"/>
        </w:rPr>
        <w:t>(A)  The applicable educational prerequisites for professional licensure or certification in each State within the institution’s MSA; and</w:t>
      </w:r>
    </w:p>
    <w:p w14:paraId="2289319C" w14:textId="77777777" w:rsidR="00E538DB" w:rsidRPr="00340877" w:rsidRDefault="00E538DB" w:rsidP="00E538DB">
      <w:pPr>
        <w:spacing w:after="0" w:line="480" w:lineRule="auto"/>
        <w:ind w:firstLine="720"/>
        <w:rPr>
          <w:rFonts w:ascii="Courier New" w:eastAsia="MS Mincho" w:hAnsi="Courier New" w:cs="Courier New"/>
          <w:sz w:val="24"/>
          <w:szCs w:val="24"/>
        </w:rPr>
      </w:pPr>
      <w:r w:rsidRPr="00340877">
        <w:rPr>
          <w:rFonts w:ascii="Courier New" w:eastAsia="MS Mincho" w:hAnsi="Courier New" w:cs="Courier New"/>
          <w:sz w:val="24"/>
          <w:szCs w:val="24"/>
        </w:rPr>
        <w:t>(B)  The applicable educational prerequisites for professional licensure or certification in any other State for which the institution has made a determination regarding such requirements; and</w:t>
      </w:r>
    </w:p>
    <w:p w14:paraId="0440FB74" w14:textId="77777777" w:rsidR="00E538DB" w:rsidRPr="00340877" w:rsidRDefault="00E538DB" w:rsidP="00E538DB">
      <w:pPr>
        <w:spacing w:after="0" w:line="480" w:lineRule="auto"/>
        <w:ind w:firstLine="720"/>
        <w:rPr>
          <w:rFonts w:ascii="Courier New" w:eastAsia="MS Mincho" w:hAnsi="Courier New" w:cs="Courier New"/>
          <w:sz w:val="24"/>
          <w:szCs w:val="24"/>
        </w:rPr>
      </w:pPr>
      <w:r w:rsidRPr="00340877">
        <w:rPr>
          <w:rFonts w:ascii="Courier New" w:eastAsia="MS Mincho" w:hAnsi="Courier New" w:cs="Courier New"/>
          <w:sz w:val="24"/>
          <w:szCs w:val="24"/>
        </w:rPr>
        <w:t xml:space="preserve">(ii)  For any States not described in paragraph (14)(i) of this section, a statement that the institution has not made a determination with respect to the licensure or certification requirements of those States. </w:t>
      </w:r>
    </w:p>
    <w:p w14:paraId="4BFB3315"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MS Mincho" w:hAnsi="Courier New" w:cs="Courier New"/>
          <w:sz w:val="24"/>
          <w:szCs w:val="24"/>
        </w:rPr>
        <w:tab/>
      </w:r>
      <w:r w:rsidRPr="00340877">
        <w:rPr>
          <w:rFonts w:ascii="Courier New" w:eastAsia="MS Mincho" w:hAnsi="Courier New" w:cs="Courier New"/>
          <w:sz w:val="24"/>
          <w:szCs w:val="24"/>
        </w:rPr>
        <w:t xml:space="preserve">(15)  </w:t>
      </w:r>
      <w:r>
        <w:rPr>
          <w:rFonts w:ascii="Courier New" w:eastAsia="MS Mincho" w:hAnsi="Courier New" w:cs="Courier New"/>
          <w:sz w:val="24"/>
          <w:szCs w:val="24"/>
        </w:rPr>
        <w:t>W</w:t>
      </w:r>
      <w:r w:rsidRPr="00340877">
        <w:rPr>
          <w:rFonts w:ascii="Courier New" w:eastAsia="MS Mincho" w:hAnsi="Courier New" w:cs="Courier New"/>
          <w:sz w:val="24"/>
          <w:szCs w:val="24"/>
        </w:rPr>
        <w:t xml:space="preserve">hether the program is programmatically accredited and the name of the accrediting agency. </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p>
    <w:p w14:paraId="7EE3915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(16) A</w:t>
      </w:r>
      <w:r w:rsidRPr="008205BF">
        <w:rPr>
          <w:rFonts w:ascii="Courier New" w:eastAsia="Times New Roman" w:hAnsi="Courier New" w:cs="Courier New"/>
          <w:sz w:val="24"/>
          <w:szCs w:val="24"/>
        </w:rPr>
        <w:t xml:space="preserve"> link to the </w:t>
      </w:r>
      <w:r>
        <w:rPr>
          <w:rFonts w:ascii="Courier New" w:eastAsia="Times New Roman" w:hAnsi="Courier New" w:cs="Courier New"/>
          <w:sz w:val="24"/>
          <w:szCs w:val="24"/>
        </w:rPr>
        <w:t xml:space="preserve">U.S. Department of Education’s </w:t>
      </w:r>
      <w:r w:rsidRPr="008205BF">
        <w:rPr>
          <w:rFonts w:ascii="Courier New" w:eastAsia="Times New Roman" w:hAnsi="Courier New" w:cs="Courier New"/>
          <w:sz w:val="24"/>
          <w:szCs w:val="24"/>
        </w:rPr>
        <w:t>College Navigator Web site</w:t>
      </w:r>
      <w:r>
        <w:rPr>
          <w:rFonts w:ascii="Courier New" w:eastAsia="Times New Roman" w:hAnsi="Courier New" w:cs="Courier New"/>
          <w:sz w:val="24"/>
          <w:szCs w:val="24"/>
        </w:rPr>
        <w:t>, or its successor site, or other similar Federal resource</w:t>
      </w:r>
      <w:r w:rsidRPr="008205BF">
        <w:rPr>
          <w:rFonts w:ascii="Courier New" w:eastAsia="Times New Roman" w:hAnsi="Courier New" w:cs="Courier New"/>
          <w:sz w:val="24"/>
          <w:szCs w:val="24"/>
        </w:rPr>
        <w:t>.</w:t>
      </w:r>
    </w:p>
    <w:p w14:paraId="7B4B488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The Secretary will conduct consumer testing to determine how to make the disclosures as meaningful as possible.  After we have the results of the consumer testing, each year the Secretary will identify which of these items institutions must include in their disclosures, along with any other information that must be included, and publish those requirements in a notice in the </w:t>
      </w:r>
      <w:r w:rsidRPr="008205BF">
        <w:rPr>
          <w:rFonts w:ascii="Courier New" w:eastAsia="Times New Roman" w:hAnsi="Courier New" w:cs="Courier New"/>
          <w:sz w:val="24"/>
          <w:szCs w:val="24"/>
          <w:u w:val="single"/>
        </w:rPr>
        <w:t>Federal Register</w:t>
      </w:r>
      <w:r w:rsidRPr="008205BF">
        <w:rPr>
          <w:rFonts w:ascii="Courier New" w:eastAsia="Times New Roman" w:hAnsi="Courier New" w:cs="Courier New"/>
          <w:sz w:val="24"/>
          <w:szCs w:val="24"/>
        </w:rPr>
        <w:t>.</w:t>
      </w:r>
    </w:p>
    <w:p w14:paraId="1229B351"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Institutions must update their GE program disclosure information annually.  They must make it </w:t>
      </w:r>
      <w:r>
        <w:rPr>
          <w:rFonts w:ascii="Courier New" w:eastAsia="Times New Roman" w:hAnsi="Courier New" w:cs="Courier New"/>
          <w:sz w:val="24"/>
          <w:szCs w:val="24"/>
        </w:rPr>
        <w:t xml:space="preserve">prominently </w:t>
      </w:r>
      <w:r w:rsidRPr="008205BF">
        <w:rPr>
          <w:rFonts w:ascii="Courier New" w:eastAsia="Times New Roman" w:hAnsi="Courier New" w:cs="Courier New"/>
          <w:sz w:val="24"/>
          <w:szCs w:val="24"/>
        </w:rPr>
        <w:t xml:space="preserve">available in their promotional materials and make it </w:t>
      </w:r>
      <w:r>
        <w:rPr>
          <w:rFonts w:ascii="Courier New" w:eastAsia="Times New Roman" w:hAnsi="Courier New" w:cs="Courier New"/>
          <w:sz w:val="24"/>
          <w:szCs w:val="24"/>
        </w:rPr>
        <w:t xml:space="preserve">prominent, readily accessible, clear, conspicuous, and directly </w:t>
      </w:r>
      <w:r w:rsidRPr="008205BF">
        <w:rPr>
          <w:rFonts w:ascii="Courier New" w:eastAsia="Times New Roman" w:hAnsi="Courier New" w:cs="Courier New"/>
          <w:sz w:val="24"/>
          <w:szCs w:val="24"/>
        </w:rPr>
        <w:t>available on any Web page containing academic, cost, financial aid, or admissions information about a GE program.</w:t>
      </w:r>
      <w:r>
        <w:rPr>
          <w:rFonts w:ascii="Courier New" w:eastAsia="Times New Roman" w:hAnsi="Courier New" w:cs="Courier New"/>
          <w:sz w:val="24"/>
          <w:szCs w:val="24"/>
        </w:rPr>
        <w:t xml:space="preserve"> </w:t>
      </w:r>
    </w:p>
    <w:p w14:paraId="64D0E94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t>An institution that offers a GE program in more than one program length must publish a separate disclosure template for each length of the program.</w:t>
      </w:r>
    </w:p>
    <w:p w14:paraId="3D92A4E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 that of the 37,589 GE programs that reported enrollments in the past, 12,250 programs will be offered by for-profit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or admissions information to also contain the disclosure information about the program will, on average, increase burden by an additional 1 hour per program.  Therefore, burden will increase by 5 hours per program for a total of 61,250 hours of increased burden (12,250 programs times 5 hours per program)</w:t>
      </w:r>
      <w:r>
        <w:rPr>
          <w:rFonts w:ascii="Courier New" w:eastAsia="Times New Roman" w:hAnsi="Courier New" w:cs="Courier New"/>
          <w:sz w:val="24"/>
          <w:szCs w:val="24"/>
        </w:rPr>
        <w:t xml:space="preserve"> under</w:t>
      </w:r>
      <w:r w:rsidRPr="008205BF">
        <w:rPr>
          <w:rFonts w:ascii="Courier New" w:eastAsia="Times New Roman" w:hAnsi="Courier New" w:cs="Courier New"/>
          <w:sz w:val="24"/>
          <w:szCs w:val="24"/>
        </w:rPr>
        <w:t xml:space="preserve"> OMB Control Number 1845-0123.</w:t>
      </w:r>
    </w:p>
    <w:p w14:paraId="3DCE31A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of the 37,589 GE programs that reported enrollments in the past, 2,343 programs will be offered by private non-profit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or admissions information about the program to also contain the disclosure information will, on average, increase burden by an additional 1 hour per program.  Therefore, burden will increase by 5 hours per program for a total of 11,715 hours of increased burden</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(2,343 programs times 5 hours per program) </w:t>
      </w:r>
      <w:r>
        <w:rPr>
          <w:rFonts w:ascii="Courier New" w:eastAsia="Times New Roman" w:hAnsi="Courier New" w:cs="Courier New"/>
          <w:sz w:val="24"/>
          <w:szCs w:val="24"/>
        </w:rPr>
        <w:t>under</w:t>
      </w:r>
      <w:r w:rsidRPr="008205BF">
        <w:rPr>
          <w:rFonts w:ascii="Courier New" w:eastAsia="Times New Roman" w:hAnsi="Courier New" w:cs="Courier New"/>
          <w:sz w:val="24"/>
          <w:szCs w:val="24"/>
        </w:rPr>
        <w:t xml:space="preserve"> OMB Control Number 1845-0123.</w:t>
      </w:r>
    </w:p>
    <w:p w14:paraId="2A52A7E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of the 37,589 GE programs that reported enrollments in the past, 22,996 programs will be offered by public institutions.  We estimate that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and admissions information about the program to also contain the disclosure information will, on average, increase burden by an additional 1 hour per program.  Therefore, on average, burden will increase by 5 hours per program for a total of 114,980 hours of increased burden (22,996 programs times 5 hours per program)</w:t>
      </w:r>
      <w:r>
        <w:rPr>
          <w:rFonts w:ascii="Courier New" w:eastAsia="Times New Roman" w:hAnsi="Courier New" w:cs="Courier New"/>
          <w:sz w:val="24"/>
          <w:szCs w:val="24"/>
        </w:rPr>
        <w:t xml:space="preserve"> under</w:t>
      </w:r>
      <w:r w:rsidRPr="008205BF">
        <w:rPr>
          <w:rFonts w:ascii="Courier New" w:eastAsia="Times New Roman" w:hAnsi="Courier New" w:cs="Courier New"/>
          <w:sz w:val="24"/>
          <w:szCs w:val="24"/>
        </w:rPr>
        <w:t xml:space="preserve"> OMB Control Number 1845-0123.</w:t>
      </w:r>
    </w:p>
    <w:p w14:paraId="4001496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we estimate that burden will increase by 187,945 hours in OMB Control Number 1845-0123.</w:t>
      </w:r>
    </w:p>
    <w:p w14:paraId="0C68C1A4" w14:textId="575035DB"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from the prospective student that he or she received the copy of the disclosure information.</w:t>
      </w:r>
    </w:p>
    <w:p w14:paraId="29D97B4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enrollment in the 12,250 GE programs offered by for-profit institutions for 2013-2014 included 2,227,230 prospective students.  As noted earlier, most institutions will have to contact, or be contacted by, a larger number of prospective students to yield institutions' desired net enrollments.</w:t>
      </w:r>
    </w:p>
    <w:p w14:paraId="175B56AB" w14:textId="16A7E342"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number of prospective students that must contact or be contacted by for-profit institutions will be 6 times the number of expected enrollment.  As noted above, we estimate that 13,363,380 (2,227,230 students for 2013-2014 times 6) students will be enrolled in GE programs at for-profit institutions.  Therefore, for-profit institutions will be required to provide 13,363,380 disclosures to prospective students.  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with students and prospective students).  We also estimate that, on average, it will take institutional staff 0.10 hours (6 minutes) to obtain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and answer any questions from each prospective student.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Therefore, we estimate that the total burden associated with providing the disclosure information and obtaining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by for-profit institutions will be 0.13 hours (8 minutes) per prospective student.  Burden will increase by 1,737,239 hours for for-profit institutions (13,363,380 prospective students times 0.13 hours) under OMB Control Number 1845-0123.</w:t>
      </w:r>
    </w:p>
    <w:p w14:paraId="2618ABF9" w14:textId="41C61772"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burden on each prospective student will be 0.08 hours (5 minutes) to read the disclosure information and provide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of receipt.  Burden will increase by 1,069,070 hours for prospective students at for-profit institutions (13,363,380 prospective students times 0.08 hours) under OMB Control Number 1845-0123.</w:t>
      </w:r>
    </w:p>
    <w:p w14:paraId="1B8A3EB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enrollment in the 2,343 GE programs offered by private non-profit institutions for 2013-2014 included 65,697 prospective students.  As noted earlier, most institutions will have to contact, or be contacted by, a larger number of prospective students to yield their enrollments.</w:t>
      </w:r>
    </w:p>
    <w:p w14:paraId="7C70E2F5" w14:textId="708F2CD4"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number of prospective students that must contact or be contacted by private non-profit institutions will be 1.8 times the number of expected enrollment.  As noted above we estimate that 65,697 students will be enrolled in GE programs at private non-profit institutions.  Therefore, private non-profit institutions will be required to provide 118,255 disclosures (65,697 times 1.8) to prospective students.  On average, we estimate that it will take institutional staff 0.03 hours (2 minutes) per prospective student to provide a copy of the disclosure information which can be hand-delivered, delivered as a part of a group presentation, or by sending the disclosure template via the institution’s primary email address (used to communicate with students and prospective students).  We also estimate that, on average, it will take institutional staff 0.10 hours (6 minutes) to obtain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and answer any questions from each prospective student.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Therefore, we estimate that the total burden associated with providing the disclosure information and obtaining written </w:t>
      </w:r>
      <w:r w:rsidR="006428AC">
        <w:rPr>
          <w:rFonts w:ascii="Courier New" w:hAnsi="Courier New" w:cs="Courier New"/>
          <w:sz w:val="24"/>
          <w:szCs w:val="24"/>
        </w:rPr>
        <w:t xml:space="preserve">acknowledgement </w:t>
      </w:r>
      <w:r w:rsidRPr="008205BF">
        <w:rPr>
          <w:rFonts w:ascii="Courier New" w:eastAsia="Times New Roman" w:hAnsi="Courier New" w:cs="Courier New"/>
          <w:sz w:val="24"/>
          <w:szCs w:val="24"/>
        </w:rPr>
        <w:t>by private-non-profit institutions will be 0.13 hours (8 minutes) per prospective student.  Burden will increase by 15,373 hours for private non-profit institutions (118,255 prospective students times 0.13 hours) under OMB Control Number 1845-0123.</w:t>
      </w:r>
    </w:p>
    <w:p w14:paraId="11BFDD7F" w14:textId="06BBBBAF"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burden on each prospective student will be 0.08 hours (5 minutes) to read the disclosure information and provide written </w:t>
      </w:r>
      <w:r w:rsidR="006428AC">
        <w:rPr>
          <w:rFonts w:ascii="Courier New" w:hAnsi="Courier New" w:cs="Courier New"/>
          <w:sz w:val="24"/>
          <w:szCs w:val="24"/>
        </w:rPr>
        <w:t xml:space="preserve">acknowledgement </w:t>
      </w:r>
      <w:r w:rsidRPr="008205BF">
        <w:rPr>
          <w:rFonts w:ascii="Courier New" w:eastAsia="Times New Roman" w:hAnsi="Courier New" w:cs="Courier New"/>
          <w:sz w:val="24"/>
          <w:szCs w:val="24"/>
        </w:rPr>
        <w:t>of receipt.  Burden will increase by 9,460 hours for prospective students at private non-profit institutions (118,255 prospective students times 0.08 hours) under OMB Control Number 1845-0123.</w:t>
      </w:r>
    </w:p>
    <w:p w14:paraId="08A11AC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enrollment in the 22,996 GE programs offered by public institutions for 2013-2014 included 314,517 prospective students.  As noted earlier, most institutions will have to contact, or be contacted by, a larger number of prospective students to yield their enrollments.</w:t>
      </w:r>
    </w:p>
    <w:p w14:paraId="278DA66E" w14:textId="27E6C41C"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the number of prospective students that must contact or be contacted by public institutions will be 1.5 times the number of expected enrollment.  As noted above, we estimate that 314,517 students will be enrolled in GE programs at public institutions.  Therefore, public institutions will be required to provide 471,776 disclosures (314,517 times 1.5) to prospective students.  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to students and prospective students).  We also estimate that, on average, it will take institutional staff 0.10 hours (6 minutes) to obtain written </w:t>
      </w:r>
      <w:r w:rsidR="006428AC">
        <w:rPr>
          <w:rFonts w:ascii="Courier New" w:hAnsi="Courier New" w:cs="Courier New"/>
          <w:sz w:val="24"/>
          <w:szCs w:val="24"/>
        </w:rPr>
        <w:t>acknowledgement</w:t>
      </w:r>
      <w:r w:rsidRPr="008205BF">
        <w:rPr>
          <w:rFonts w:ascii="Courier New" w:eastAsia="Times New Roman" w:hAnsi="Courier New" w:cs="Courier New"/>
          <w:sz w:val="24"/>
          <w:szCs w:val="24"/>
        </w:rPr>
        <w:t xml:space="preserve"> and answer any questions from each prospective student.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Therefore, we estimate that the total burden associated with providing the disclosure information and obtaining written </w:t>
      </w:r>
      <w:r w:rsidR="006428AC">
        <w:rPr>
          <w:rFonts w:ascii="Courier New" w:hAnsi="Courier New" w:cs="Courier New"/>
          <w:sz w:val="24"/>
          <w:szCs w:val="24"/>
        </w:rPr>
        <w:t xml:space="preserve">acknowledgement </w:t>
      </w:r>
      <w:r w:rsidRPr="008205BF">
        <w:rPr>
          <w:rFonts w:ascii="Courier New" w:eastAsia="Times New Roman" w:hAnsi="Courier New" w:cs="Courier New"/>
          <w:sz w:val="24"/>
          <w:szCs w:val="24"/>
        </w:rPr>
        <w:t xml:space="preserve">by public institutions will be 0.13 hours (8 minutes) per prospective student.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Burden will increase by 61,331 hours for public institutions (471,776 prospective students times 0.13 hours) under OMB Control Number 1845-0123.</w:t>
      </w:r>
    </w:p>
    <w:p w14:paraId="003684C9" w14:textId="5AFE37C4"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burden on each prospective student will be 0.08 hours (5 minutes) to read the disclosure information and provide</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written </w:t>
      </w:r>
      <w:r w:rsidR="006428AC">
        <w:rPr>
          <w:rFonts w:ascii="Courier New" w:hAnsi="Courier New" w:cs="Courier New"/>
          <w:sz w:val="24"/>
          <w:szCs w:val="24"/>
        </w:rPr>
        <w:t xml:space="preserve">acknowledgement </w:t>
      </w:r>
      <w:r w:rsidRPr="008205BF">
        <w:rPr>
          <w:rFonts w:ascii="Courier New" w:eastAsia="Times New Roman" w:hAnsi="Courier New" w:cs="Courier New"/>
          <w:sz w:val="24"/>
          <w:szCs w:val="24"/>
        </w:rPr>
        <w:t>of receipt.  Burden will increase by 37,742 hours for prospective students at public ins</w:t>
      </w:r>
      <w:r>
        <w:rPr>
          <w:rFonts w:ascii="Courier New" w:eastAsia="Times New Roman" w:hAnsi="Courier New" w:cs="Courier New"/>
          <w:sz w:val="24"/>
          <w:szCs w:val="24"/>
        </w:rPr>
        <w:t xml:space="preserve">titutions (471,776 prospective </w:t>
      </w:r>
      <w:r w:rsidRPr="008205BF">
        <w:rPr>
          <w:rFonts w:ascii="Courier New" w:eastAsia="Times New Roman" w:hAnsi="Courier New" w:cs="Courier New"/>
          <w:sz w:val="24"/>
          <w:szCs w:val="24"/>
        </w:rPr>
        <w:t>students times 0.08 hours) under OMB Control Number 1845-0123.</w:t>
      </w:r>
    </w:p>
    <w:p w14:paraId="4690B6A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will increase by 2,930,215 hours under OMB Control Number 1845-0123.</w:t>
      </w:r>
    </w:p>
    <w:p w14:paraId="38BD431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668.412 will be 3,118,160 hours under OMB Control Number 1845-0123.</w:t>
      </w:r>
    </w:p>
    <w:p w14:paraId="4FC3F10B" w14:textId="77777777" w:rsidR="00E538DB" w:rsidRPr="0053792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53792B">
        <w:rPr>
          <w:rFonts w:ascii="Courier New" w:eastAsia="Times New Roman" w:hAnsi="Courier New" w:cs="Courier New"/>
          <w:sz w:val="24"/>
          <w:szCs w:val="24"/>
          <w:u w:val="single"/>
        </w:rPr>
        <w:t>§668.413 Calculating, Issuing, and Challenging Completion Rates, Withdrawal Rates, Repayme</w:t>
      </w:r>
      <w:r>
        <w:rPr>
          <w:rFonts w:ascii="Courier New" w:eastAsia="Times New Roman" w:hAnsi="Courier New" w:cs="Courier New"/>
          <w:sz w:val="24"/>
          <w:szCs w:val="24"/>
          <w:u w:val="single"/>
        </w:rPr>
        <w:t xml:space="preserve">nt Rates, Median Loan Debt, </w:t>
      </w:r>
      <w:r w:rsidRPr="0053792B">
        <w:rPr>
          <w:rFonts w:ascii="Courier New" w:eastAsia="Times New Roman" w:hAnsi="Courier New" w:cs="Courier New"/>
          <w:sz w:val="24"/>
          <w:szCs w:val="24"/>
          <w:u w:val="single"/>
        </w:rPr>
        <w:t>Median Earnings</w:t>
      </w:r>
      <w:r>
        <w:rPr>
          <w:rFonts w:ascii="Courier New" w:eastAsia="Times New Roman" w:hAnsi="Courier New" w:cs="Courier New"/>
          <w:sz w:val="24"/>
          <w:szCs w:val="24"/>
          <w:u w:val="single"/>
        </w:rPr>
        <w:t>, and Program Cohort Default Rate</w:t>
      </w:r>
    </w:p>
    <w:p w14:paraId="2B03207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As discussed in connection with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668.412, an institution will be required to disclose, among other information, completion and withdrawal rates, repayment rates, and median loan debt and median earnings for a GE program.  Using the procedures in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668.413 and based partially on the information that an institution will report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668.411, the Secretary will calculate and make available to the institution for disclosure: Completion rates, withdrawal rates, repayment rates, median loan debt, and median earnings for a GE program.</w:t>
      </w:r>
    </w:p>
    <w:p w14:paraId="32015D8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An institution will have an opportunity to correct the list of students who </w:t>
      </w:r>
      <w:r>
        <w:rPr>
          <w:rFonts w:ascii="Courier New" w:eastAsia="Times New Roman" w:hAnsi="Courier New" w:cs="Courier New"/>
          <w:sz w:val="24"/>
          <w:szCs w:val="24"/>
        </w:rPr>
        <w:t xml:space="preserve">withdrew from </w:t>
      </w:r>
      <w:r w:rsidRPr="008205BF">
        <w:rPr>
          <w:rFonts w:ascii="Courier New" w:eastAsia="Times New Roman" w:hAnsi="Courier New" w:cs="Courier New"/>
          <w:sz w:val="24"/>
          <w:szCs w:val="24"/>
        </w:rPr>
        <w:t xml:space="preserve">a GE program and the list of students who </w:t>
      </w:r>
      <w:r>
        <w:rPr>
          <w:rFonts w:ascii="Courier New" w:eastAsia="Times New Roman" w:hAnsi="Courier New" w:cs="Courier New"/>
          <w:sz w:val="24"/>
          <w:szCs w:val="24"/>
        </w:rPr>
        <w:t xml:space="preserve">completed or </w:t>
      </w:r>
      <w:r w:rsidRPr="008205BF">
        <w:rPr>
          <w:rFonts w:ascii="Courier New" w:eastAsia="Times New Roman" w:hAnsi="Courier New" w:cs="Courier New"/>
          <w:sz w:val="24"/>
          <w:szCs w:val="24"/>
        </w:rPr>
        <w:t>withdrew from a GE program prior to the Secretary sending the lists to SSA for earnings information.</w:t>
      </w:r>
    </w:p>
    <w:p w14:paraId="796DFE3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For the median earnings calculation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668.413(b)(9) and (b)(10), after the Secretary provides a list of the relevant students  to the institution, the institution may provide evidence showing that a student should be included on the list or removed from the list as a result of meeting the definitions of an exclusion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668.413(b)(11).  The institution may also correct or update a student's identity information or attendance information on the list.</w:t>
      </w:r>
    </w:p>
    <w:p w14:paraId="0BBFC0E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For the 12,250 </w:t>
      </w:r>
      <w:r>
        <w:rPr>
          <w:rFonts w:ascii="Courier New" w:eastAsia="Times New Roman" w:hAnsi="Courier New" w:cs="Courier New"/>
          <w:sz w:val="24"/>
          <w:szCs w:val="24"/>
        </w:rPr>
        <w:t xml:space="preserve">GE programs at </w:t>
      </w:r>
      <w:r w:rsidRPr="008205BF">
        <w:rPr>
          <w:rFonts w:ascii="Courier New" w:eastAsia="Times New Roman" w:hAnsi="Courier New" w:cs="Courier New"/>
          <w:sz w:val="24"/>
          <w:szCs w:val="24"/>
        </w:rPr>
        <w:t xml:space="preserve">for-profit institutions, we estimate, on average, that it will take institutional staff 2 hours to review each of the two lists to determine whether a student should be included or excluded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w:t>
      </w:r>
      <w:r>
        <w:rPr>
          <w:rFonts w:ascii="Courier New" w:eastAsia="Times New Roman" w:hAnsi="Courier New" w:cs="Courier New"/>
          <w:sz w:val="24"/>
          <w:szCs w:val="24"/>
        </w:rPr>
        <w:t>413</w:t>
      </w:r>
      <w:r w:rsidRPr="008205BF">
        <w:rPr>
          <w:rFonts w:ascii="Courier New" w:eastAsia="Times New Roman" w:hAnsi="Courier New" w:cs="Courier New"/>
          <w:sz w:val="24"/>
          <w:szCs w:val="24"/>
        </w:rPr>
        <w:t>(</w:t>
      </w:r>
      <w:r>
        <w:rPr>
          <w:rFonts w:ascii="Courier New" w:eastAsia="Times New Roman" w:hAnsi="Courier New" w:cs="Courier New"/>
          <w:sz w:val="24"/>
          <w:szCs w:val="24"/>
        </w:rPr>
        <w:t>b</w:t>
      </w:r>
      <w:r w:rsidRPr="008205BF">
        <w:rPr>
          <w:rFonts w:ascii="Courier New" w:eastAsia="Times New Roman" w:hAnsi="Courier New" w:cs="Courier New"/>
          <w:sz w:val="24"/>
          <w:szCs w:val="24"/>
        </w:rPr>
        <w:t>)</w:t>
      </w:r>
      <w:r>
        <w:rPr>
          <w:rFonts w:ascii="Courier New" w:eastAsia="Times New Roman" w:hAnsi="Courier New" w:cs="Courier New"/>
          <w:sz w:val="24"/>
          <w:szCs w:val="24"/>
        </w:rPr>
        <w:t>(11)</w:t>
      </w:r>
      <w:r w:rsidRPr="008205BF">
        <w:rPr>
          <w:rFonts w:ascii="Courier New" w:eastAsia="Times New Roman" w:hAnsi="Courier New" w:cs="Courier New"/>
          <w:sz w:val="24"/>
          <w:szCs w:val="24"/>
        </w:rPr>
        <w:t xml:space="preserve"> and, if included, whether the student's identity information or attendance information requires correction, and then to obtain the evidence to substantiate any inclusion, exclusion, or correction.  Burden will increase by 49,000 hours (12,250 programs times 2 lists times 2 hours) under OMB Control Number 1845-0123.</w:t>
      </w:r>
    </w:p>
    <w:p w14:paraId="56584E1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For the 2,343 </w:t>
      </w:r>
      <w:r>
        <w:rPr>
          <w:rFonts w:ascii="Courier New" w:eastAsia="Times New Roman" w:hAnsi="Courier New" w:cs="Courier New"/>
          <w:sz w:val="24"/>
          <w:szCs w:val="24"/>
        </w:rPr>
        <w:t xml:space="preserve">GE programs at </w:t>
      </w:r>
      <w:r w:rsidRPr="008205BF">
        <w:rPr>
          <w:rFonts w:ascii="Courier New" w:eastAsia="Times New Roman" w:hAnsi="Courier New" w:cs="Courier New"/>
          <w:sz w:val="24"/>
          <w:szCs w:val="24"/>
        </w:rPr>
        <w:t>private non-profit institutions, we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will increase by 9,372 hours (2,343 programs times 2 lists times 2 hours) under OMB Control Number 1845-0123.</w:t>
      </w:r>
    </w:p>
    <w:p w14:paraId="14B8789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For the 22,996 </w:t>
      </w:r>
      <w:r>
        <w:rPr>
          <w:rFonts w:ascii="Courier New" w:eastAsia="Times New Roman" w:hAnsi="Courier New" w:cs="Courier New"/>
          <w:sz w:val="24"/>
          <w:szCs w:val="24"/>
        </w:rPr>
        <w:t xml:space="preserve">GE programs at </w:t>
      </w:r>
      <w:r w:rsidRPr="008205BF">
        <w:rPr>
          <w:rFonts w:ascii="Courier New" w:eastAsia="Times New Roman" w:hAnsi="Courier New" w:cs="Courier New"/>
          <w:sz w:val="24"/>
          <w:szCs w:val="24"/>
        </w:rPr>
        <w:t>public institutions, we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will increase by 91,984 hours (22,996 programs times 2 lists times 2 hours) under OMB Control Number 1845-0123.</w:t>
      </w:r>
    </w:p>
    <w:p w14:paraId="03F7D19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will increase by 150,356 hours under OMB Control Number 1845-0123.</w:t>
      </w:r>
    </w:p>
    <w:p w14:paraId="55313ED0"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668.413(d)(1), an institution may challenge the Secretary's calculation of the draft completion rates, withdrawal rates, repayment rates, and median loan debt.</w:t>
      </w:r>
    </w:p>
    <w:p w14:paraId="5D43960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Secretary will develop the completion rates, withdrawal rates, repayment rates, and median loan debt </w:t>
      </w:r>
      <w:r>
        <w:rPr>
          <w:rFonts w:ascii="Courier New" w:eastAsia="Times New Roman" w:hAnsi="Courier New" w:cs="Courier New"/>
          <w:sz w:val="24"/>
          <w:szCs w:val="24"/>
        </w:rPr>
        <w:t>calculations</w:t>
      </w:r>
      <w:r w:rsidRPr="008205BF">
        <w:rPr>
          <w:rFonts w:ascii="Courier New" w:eastAsia="Times New Roman" w:hAnsi="Courier New" w:cs="Courier New"/>
          <w:sz w:val="24"/>
          <w:szCs w:val="24"/>
        </w:rPr>
        <w:t xml:space="preserve"> for each of the estimated 12,250 GE programs at for-profit institutions.  For the purpose of challenging the completion, withdrawal, and repayment rates and median </w:t>
      </w:r>
    </w:p>
    <w:p w14:paraId="04DFEDB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loan debt we estimate that, on average, it will take institutional staff 20 hours per program to review </w:t>
      </w:r>
      <w:r>
        <w:rPr>
          <w:rFonts w:ascii="Courier New" w:eastAsia="Times New Roman" w:hAnsi="Courier New" w:cs="Courier New"/>
          <w:sz w:val="24"/>
          <w:szCs w:val="24"/>
        </w:rPr>
        <w:t>the calculations</w:t>
      </w:r>
      <w:r w:rsidRPr="008205BF">
        <w:rPr>
          <w:rFonts w:ascii="Courier New" w:eastAsia="Times New Roman" w:hAnsi="Courier New" w:cs="Courier New"/>
          <w:sz w:val="24"/>
          <w:szCs w:val="24"/>
        </w:rPr>
        <w:t xml:space="preserve">, compare the data to institutional records, and determine whether </w:t>
      </w:r>
      <w:r>
        <w:rPr>
          <w:rFonts w:ascii="Courier New" w:eastAsia="Times New Roman" w:hAnsi="Courier New" w:cs="Courier New"/>
          <w:sz w:val="24"/>
          <w:szCs w:val="24"/>
        </w:rPr>
        <w:t>challenges need to be made to the calculations</w:t>
      </w:r>
      <w:r w:rsidRPr="008205BF">
        <w:rPr>
          <w:rFonts w:ascii="Courier New" w:eastAsia="Times New Roman" w:hAnsi="Courier New" w:cs="Courier New"/>
          <w:sz w:val="24"/>
          <w:szCs w:val="24"/>
        </w:rPr>
        <w:t>.  Therefore, burden will increase by 245,000 hours (12,250 programs times 20 hours) under OMB Control Number 1845-0123.</w:t>
      </w:r>
    </w:p>
    <w:p w14:paraId="1DAFC839"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Secretary will develop the completion rates, withdrawal rates, repayment rates, and median loan debt </w:t>
      </w:r>
      <w:r>
        <w:rPr>
          <w:rFonts w:ascii="Courier New" w:eastAsia="Times New Roman" w:hAnsi="Courier New" w:cs="Courier New"/>
          <w:sz w:val="24"/>
          <w:szCs w:val="24"/>
        </w:rPr>
        <w:t>calculations</w:t>
      </w:r>
      <w:r w:rsidRPr="008205BF">
        <w:rPr>
          <w:rFonts w:ascii="Courier New" w:eastAsia="Times New Roman" w:hAnsi="Courier New" w:cs="Courier New"/>
          <w:sz w:val="24"/>
          <w:szCs w:val="24"/>
        </w:rPr>
        <w:t xml:space="preserve"> for each of the estimated 2,343 GE programs at private non-profit institutions.  For the purpose of challenging the completion, withdrawal, and repayment rates and median loan debt we estimate that, on average, it will take institutional staff 20 hours per program to review </w:t>
      </w:r>
      <w:r>
        <w:rPr>
          <w:rFonts w:ascii="Courier New" w:eastAsia="Times New Roman" w:hAnsi="Courier New" w:cs="Courier New"/>
          <w:sz w:val="24"/>
          <w:szCs w:val="24"/>
        </w:rPr>
        <w:t>the calculations</w:t>
      </w:r>
      <w:r w:rsidRPr="008205BF">
        <w:rPr>
          <w:rFonts w:ascii="Courier New" w:eastAsia="Times New Roman" w:hAnsi="Courier New" w:cs="Courier New"/>
          <w:sz w:val="24"/>
          <w:szCs w:val="24"/>
        </w:rPr>
        <w:t xml:space="preserve">, compare the data to institutional records, and determine whether </w:t>
      </w:r>
      <w:r>
        <w:rPr>
          <w:rFonts w:ascii="Courier New" w:eastAsia="Times New Roman" w:hAnsi="Courier New" w:cs="Courier New"/>
          <w:sz w:val="24"/>
          <w:szCs w:val="24"/>
        </w:rPr>
        <w:t>challenges need to be made to the calculations</w:t>
      </w:r>
      <w:r w:rsidRPr="008205BF">
        <w:rPr>
          <w:rFonts w:ascii="Courier New" w:eastAsia="Times New Roman" w:hAnsi="Courier New" w:cs="Courier New"/>
          <w:sz w:val="24"/>
          <w:szCs w:val="24"/>
        </w:rPr>
        <w:t>.  Therefore, burden will increase by 46,860 hours (2,343 programs times 20 hours) under OMB Control Number 1845-0123.</w:t>
      </w:r>
    </w:p>
    <w:p w14:paraId="7BA0E96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Secretary will develop the completion rates, withdrawal rates, repayment rates, and median loan debt </w:t>
      </w:r>
      <w:r>
        <w:rPr>
          <w:rFonts w:ascii="Courier New" w:eastAsia="Times New Roman" w:hAnsi="Courier New" w:cs="Courier New"/>
          <w:sz w:val="24"/>
          <w:szCs w:val="24"/>
        </w:rPr>
        <w:t>calculations</w:t>
      </w:r>
      <w:r w:rsidRPr="008205BF">
        <w:rPr>
          <w:rFonts w:ascii="Courier New" w:eastAsia="Times New Roman" w:hAnsi="Courier New" w:cs="Courier New"/>
          <w:sz w:val="24"/>
          <w:szCs w:val="24"/>
        </w:rPr>
        <w:t xml:space="preserve"> for each of the estimated 22,996 GE programs at public institutions.  For the purpose of challenging the completion, withdrawal, and repayment rates and median loan debt we estimate that, on average, it will take institutional staff 20 hours per program to review </w:t>
      </w:r>
      <w:r>
        <w:rPr>
          <w:rFonts w:ascii="Courier New" w:eastAsia="Times New Roman" w:hAnsi="Courier New" w:cs="Courier New"/>
          <w:sz w:val="24"/>
          <w:szCs w:val="24"/>
        </w:rPr>
        <w:t>the calculations</w:t>
      </w:r>
      <w:r w:rsidRPr="008205BF">
        <w:rPr>
          <w:rFonts w:ascii="Courier New" w:eastAsia="Times New Roman" w:hAnsi="Courier New" w:cs="Courier New"/>
          <w:sz w:val="24"/>
          <w:szCs w:val="24"/>
        </w:rPr>
        <w:t xml:space="preserve">, compare the data to institutional records, and determine whether </w:t>
      </w:r>
      <w:r>
        <w:rPr>
          <w:rFonts w:ascii="Courier New" w:eastAsia="Times New Roman" w:hAnsi="Courier New" w:cs="Courier New"/>
          <w:sz w:val="24"/>
          <w:szCs w:val="24"/>
        </w:rPr>
        <w:t>challenges need to be made to the calculations</w:t>
      </w:r>
      <w:r w:rsidRPr="008205BF">
        <w:rPr>
          <w:rFonts w:ascii="Courier New" w:eastAsia="Times New Roman" w:hAnsi="Courier New" w:cs="Courier New"/>
          <w:sz w:val="24"/>
          <w:szCs w:val="24"/>
        </w:rPr>
        <w:t>.  Therefore, burden will increase by 459,920 hours (22,996 times 20 hours) under OMB Control Number 1845-0123.</w:t>
      </w:r>
    </w:p>
    <w:p w14:paraId="6727052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Collectively, burden will increase by 751,780 under OMB Control Number 1845-0123.</w:t>
      </w:r>
    </w:p>
    <w:p w14:paraId="5EFEC42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668.413 will be 902,136 under OMB Control Number 1845-0123.</w:t>
      </w:r>
    </w:p>
    <w:p w14:paraId="6EB7CB1B" w14:textId="77777777" w:rsidR="00E538DB" w:rsidRPr="0053792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53792B">
        <w:rPr>
          <w:rFonts w:ascii="Courier New" w:eastAsia="Times New Roman" w:hAnsi="Courier New" w:cs="Courier New"/>
          <w:sz w:val="24"/>
          <w:szCs w:val="24"/>
          <w:u w:val="single"/>
        </w:rPr>
        <w:t>§668.414 Certification Requirements for GE Programs</w:t>
      </w:r>
    </w:p>
    <w:p w14:paraId="1BF7BAD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668.414(a) each institution participating in the title IV, HEA programs will be required to provide a </w:t>
      </w:r>
      <w:r>
        <w:rPr>
          <w:rFonts w:ascii="Courier New" w:eastAsia="Times New Roman" w:hAnsi="Courier New" w:cs="Courier New"/>
          <w:sz w:val="24"/>
          <w:szCs w:val="24"/>
        </w:rPr>
        <w:t>”</w:t>
      </w:r>
      <w:r w:rsidRPr="008205BF">
        <w:rPr>
          <w:rFonts w:ascii="Courier New" w:eastAsia="Times New Roman" w:hAnsi="Courier New" w:cs="Courier New"/>
          <w:sz w:val="24"/>
          <w:szCs w:val="24"/>
        </w:rPr>
        <w:t>transitional certificati</w:t>
      </w:r>
      <w:r>
        <w:rPr>
          <w:rFonts w:ascii="Courier New" w:eastAsia="Times New Roman" w:hAnsi="Courier New" w:cs="Courier New"/>
          <w:sz w:val="24"/>
          <w:szCs w:val="24"/>
        </w:rPr>
        <w:t xml:space="preserve">on” to supplement its current </w:t>
      </w:r>
      <w:r w:rsidRPr="008205BF">
        <w:rPr>
          <w:rFonts w:ascii="Courier New" w:eastAsia="Times New Roman" w:hAnsi="Courier New" w:cs="Courier New"/>
          <w:sz w:val="24"/>
          <w:szCs w:val="24"/>
        </w:rPr>
        <w:t xml:space="preserve">program participation agreement (PPA).  The transitional certification will be submitted no later than December 31 of the year in which the regulations take effect.  The transitional certification will be signed by the institution's most senior executive officer </w:t>
      </w:r>
      <w:r>
        <w:rPr>
          <w:rFonts w:ascii="Courier New" w:eastAsia="Times New Roman" w:hAnsi="Courier New" w:cs="Courier New"/>
          <w:sz w:val="24"/>
          <w:szCs w:val="24"/>
        </w:rPr>
        <w:t>that each of its currently eligible GE programs included on its Eligibility and Certification Approval Report meets the GE program eligibility certification requirements of this section and will update within 10 days if there are any changes in the approvals for a program, or other changes that make an existing certification inaccurate.</w:t>
      </w:r>
      <w:r w:rsidRPr="008205BF">
        <w:rPr>
          <w:rFonts w:ascii="Courier New" w:eastAsia="Times New Roman" w:hAnsi="Courier New" w:cs="Courier New"/>
          <w:sz w:val="24"/>
          <w:szCs w:val="24"/>
        </w:rPr>
        <w:t xml:space="preserve">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668.414(d), the certification will provide that each GE program meets certain requirements (PPA certification requirements), specifically that each GE program is:</w:t>
      </w:r>
    </w:p>
    <w:p w14:paraId="09C71FC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1.  </w:t>
      </w:r>
      <w:r w:rsidRPr="008205BF">
        <w:rPr>
          <w:rFonts w:ascii="Courier New" w:eastAsia="Times New Roman" w:hAnsi="Courier New" w:cs="Courier New"/>
          <w:sz w:val="24"/>
          <w:szCs w:val="24"/>
        </w:rPr>
        <w:t>Approved by a recognized accrediting agency, is included in the institution's accreditation, or is approved by a recognized State agency for the approval of public postsecondary vocational education in lieu of accreditation;</w:t>
      </w:r>
    </w:p>
    <w:p w14:paraId="371AB0B8"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2.  </w:t>
      </w:r>
      <w:r w:rsidRPr="008205BF">
        <w:rPr>
          <w:rFonts w:ascii="Courier New" w:eastAsia="Times New Roman" w:hAnsi="Courier New" w:cs="Courier New"/>
          <w:sz w:val="24"/>
          <w:szCs w:val="24"/>
        </w:rPr>
        <w:t xml:space="preserve">Programmatically accredited, if required by a Federal governmental entity </w:t>
      </w:r>
      <w:r>
        <w:rPr>
          <w:rFonts w:ascii="Courier New" w:eastAsia="Times New Roman" w:hAnsi="Courier New" w:cs="Courier New"/>
          <w:sz w:val="24"/>
          <w:szCs w:val="24"/>
        </w:rPr>
        <w:t xml:space="preserve">or required by a governmental entity </w:t>
      </w:r>
      <w:r w:rsidRPr="008205BF">
        <w:rPr>
          <w:rFonts w:ascii="Courier New" w:eastAsia="Times New Roman" w:hAnsi="Courier New" w:cs="Courier New"/>
          <w:sz w:val="24"/>
          <w:szCs w:val="24"/>
        </w:rPr>
        <w:t>in the State in which the institution is located</w:t>
      </w:r>
      <w:r>
        <w:rPr>
          <w:rFonts w:ascii="Courier New" w:eastAsia="Times New Roman" w:hAnsi="Courier New" w:cs="Courier New"/>
          <w:sz w:val="24"/>
          <w:szCs w:val="24"/>
        </w:rPr>
        <w:t xml:space="preserve"> or in which the institution is otherwise required to obtain State approval </w:t>
      </w:r>
      <w:r>
        <w:rPr>
          <w:rFonts w:ascii="Courier New" w:hAnsi="Courier New" w:cs="Courier New"/>
          <w:sz w:val="24"/>
          <w:szCs w:val="24"/>
        </w:rPr>
        <w:t>under 34 CFR 600.9</w:t>
      </w:r>
      <w:r w:rsidRPr="008205BF">
        <w:rPr>
          <w:rFonts w:ascii="Courier New" w:eastAsia="Times New Roman" w:hAnsi="Courier New" w:cs="Courier New"/>
          <w:sz w:val="24"/>
          <w:szCs w:val="24"/>
        </w:rPr>
        <w:t>; and</w:t>
      </w:r>
    </w:p>
    <w:p w14:paraId="15FA48C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3.  </w:t>
      </w:r>
      <w:r w:rsidRPr="008205BF">
        <w:rPr>
          <w:rFonts w:ascii="Courier New" w:eastAsia="Times New Roman" w:hAnsi="Courier New" w:cs="Courier New"/>
          <w:sz w:val="24"/>
          <w:szCs w:val="24"/>
        </w:rPr>
        <w:t xml:space="preserve">Satisfies licensure or certification requirements in the State where the institution is located </w:t>
      </w:r>
      <w:r>
        <w:rPr>
          <w:rFonts w:ascii="Courier New" w:eastAsia="Times New Roman" w:hAnsi="Courier New" w:cs="Courier New"/>
          <w:sz w:val="24"/>
          <w:szCs w:val="24"/>
        </w:rPr>
        <w:t xml:space="preserve">or in which the institution is otherwise required to obtain State approval, each eligible program it offers satisfies the applicable educational prerequisites for professional licensure or certification requirements in that State so that the student who completes the program and seeks employment in that State qualifies to take any licensure or certification exam that is needed for the student to practice or find employment in an occupation that the program prepares students to enter. </w:t>
      </w:r>
    </w:p>
    <w:p w14:paraId="3DC5D9A6"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ab/>
        <w:t xml:space="preserve">A </w:t>
      </w:r>
      <w:r w:rsidRPr="00F234E4">
        <w:rPr>
          <w:rFonts w:ascii="Courier New" w:eastAsia="MS Mincho" w:hAnsi="Courier New" w:cs="Courier New"/>
          <w:sz w:val="24"/>
          <w:szCs w:val="24"/>
        </w:rPr>
        <w:t xml:space="preserve">program is </w:t>
      </w:r>
      <w:r w:rsidRPr="00DD6A77">
        <w:rPr>
          <w:rFonts w:ascii="Courier New" w:eastAsia="MS Mincho" w:hAnsi="Courier New" w:cs="Courier New"/>
          <w:sz w:val="24"/>
          <w:szCs w:val="24"/>
        </w:rPr>
        <w:t>substantially similar</w:t>
      </w:r>
      <w:r w:rsidRPr="00F234E4">
        <w:rPr>
          <w:rFonts w:ascii="Courier New" w:eastAsia="MS Mincho" w:hAnsi="Courier New" w:cs="Courier New"/>
          <w:sz w:val="24"/>
          <w:szCs w:val="24"/>
        </w:rPr>
        <w:t xml:space="preserve"> to another program if the two programs share the same four-digit CIP code.  The Secretary presumes a program is not substantially similar to another program if the two programs have different four-digit CIP codes</w:t>
      </w:r>
      <w:r>
        <w:rPr>
          <w:rFonts w:ascii="Courier New" w:eastAsia="MS Mincho" w:hAnsi="Courier New" w:cs="Courier New"/>
          <w:sz w:val="24"/>
          <w:szCs w:val="24"/>
        </w:rPr>
        <w:t>,</w:t>
      </w:r>
      <w:r w:rsidRPr="00F234E4">
        <w:rPr>
          <w:rFonts w:ascii="Courier New" w:eastAsia="MS Mincho" w:hAnsi="Courier New" w:cs="Courier New"/>
          <w:sz w:val="24"/>
          <w:szCs w:val="24"/>
        </w:rPr>
        <w:t xml:space="preserve"> but the institution must provide an explanation of how the new program is not substantially similar to </w:t>
      </w:r>
      <w:r>
        <w:rPr>
          <w:rFonts w:ascii="Courier New" w:eastAsia="MS Mincho" w:hAnsi="Courier New" w:cs="Courier New"/>
          <w:sz w:val="24"/>
          <w:szCs w:val="24"/>
        </w:rPr>
        <w:t>an</w:t>
      </w:r>
      <w:r w:rsidRPr="00F234E4">
        <w:rPr>
          <w:rFonts w:ascii="Courier New" w:eastAsia="MS Mincho" w:hAnsi="Courier New" w:cs="Courier New"/>
          <w:sz w:val="24"/>
          <w:szCs w:val="24"/>
        </w:rPr>
        <w:t xml:space="preserve"> ineligible or voluntarily discontinued program with its certification under §668.414. </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p>
    <w:p w14:paraId="6A3B7E5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We estimate that it will take the 2,526 for-</w:t>
      </w:r>
      <w:r>
        <w:rPr>
          <w:rFonts w:ascii="Courier New" w:eastAsia="Times New Roman" w:hAnsi="Courier New" w:cs="Courier New"/>
          <w:sz w:val="24"/>
          <w:szCs w:val="24"/>
        </w:rPr>
        <w:t>p</w:t>
      </w:r>
      <w:r w:rsidRPr="008205BF">
        <w:rPr>
          <w:rFonts w:ascii="Courier New" w:eastAsia="Times New Roman" w:hAnsi="Courier New" w:cs="Courier New"/>
          <w:sz w:val="24"/>
          <w:szCs w:val="24"/>
        </w:rPr>
        <w:t>rofit institutions that offer GE programs 0.5 hours to draft a certification statement and obtain the signature of the institution's senior executive for submission to the Department</w:t>
      </w:r>
      <w:r>
        <w:rPr>
          <w:rFonts w:ascii="Courier New" w:eastAsia="Times New Roman" w:hAnsi="Courier New" w:cs="Courier New"/>
          <w:sz w:val="24"/>
          <w:szCs w:val="24"/>
        </w:rPr>
        <w:t xml:space="preserve"> and, when applicable, provide an explanation of how a new program is not substantially similar to an ineligible or voluntarily discontinued program</w:t>
      </w:r>
      <w:r w:rsidRPr="008205BF">
        <w:rPr>
          <w:rFonts w:ascii="Courier New" w:eastAsia="Times New Roman" w:hAnsi="Courier New" w:cs="Courier New"/>
          <w:sz w:val="24"/>
          <w:szCs w:val="24"/>
        </w:rPr>
        <w:t>.  This will increase burden by 1,263 hours (2,526 institutions times 0.5 hours)</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under OMB Control Number 1845-0123.</w:t>
      </w:r>
    </w:p>
    <w:p w14:paraId="076B6D1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We estimate that it will take the 318 private non-profit institutions that offer GE programs 0.5 hours to draft a certification statement and obtain the signature of the institution's senior executive for submission to the Department</w:t>
      </w:r>
      <w:r w:rsidRPr="00F207A5">
        <w:rPr>
          <w:rFonts w:ascii="Courier New" w:eastAsia="Times New Roman" w:hAnsi="Courier New" w:cs="Courier New"/>
          <w:sz w:val="24"/>
          <w:szCs w:val="24"/>
        </w:rPr>
        <w:t xml:space="preserve"> </w:t>
      </w:r>
      <w:r>
        <w:rPr>
          <w:rFonts w:ascii="Courier New" w:eastAsia="Times New Roman" w:hAnsi="Courier New" w:cs="Courier New"/>
          <w:sz w:val="24"/>
          <w:szCs w:val="24"/>
        </w:rPr>
        <w:t>and, when applicable, provide an explanation of how a new program is not substantially similar to an ineligible or voluntarily discontinued program</w:t>
      </w:r>
      <w:r w:rsidRPr="008205BF">
        <w:rPr>
          <w:rFonts w:ascii="Courier New" w:eastAsia="Times New Roman" w:hAnsi="Courier New" w:cs="Courier New"/>
          <w:sz w:val="24"/>
          <w:szCs w:val="24"/>
        </w:rPr>
        <w:t>.  This will increase burden by 159 hours (318 institutions times 0.5 hours)</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under OMB Control Number 1845-</w:t>
      </w:r>
      <w:r>
        <w:rPr>
          <w:rFonts w:ascii="Courier New" w:eastAsia="Times New Roman" w:hAnsi="Courier New" w:cs="Courier New"/>
          <w:sz w:val="24"/>
          <w:szCs w:val="24"/>
        </w:rPr>
        <w:t>0123</w:t>
      </w:r>
      <w:r w:rsidRPr="008205BF">
        <w:rPr>
          <w:rFonts w:ascii="Courier New" w:eastAsia="Times New Roman" w:hAnsi="Courier New" w:cs="Courier New"/>
          <w:sz w:val="24"/>
          <w:szCs w:val="24"/>
        </w:rPr>
        <w:t>.</w:t>
      </w:r>
    </w:p>
    <w:p w14:paraId="3F449A6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We estimate that it will take the 1,117 public institutions that offer GE programs 0.5 hours to draft a certification statement and obtain the signature of the institution's senior executive for submission to the Department</w:t>
      </w:r>
      <w:r>
        <w:rPr>
          <w:rFonts w:ascii="Courier New" w:eastAsia="Times New Roman" w:hAnsi="Courier New" w:cs="Courier New"/>
          <w:sz w:val="24"/>
          <w:szCs w:val="24"/>
        </w:rPr>
        <w:t xml:space="preserve"> and, when applicable, provide an explanation of how a new program is not substantially similar to an ineligible or voluntarily discontinued program</w:t>
      </w:r>
      <w:r w:rsidRPr="008205BF">
        <w:rPr>
          <w:rFonts w:ascii="Courier New" w:eastAsia="Times New Roman" w:hAnsi="Courier New" w:cs="Courier New"/>
          <w:sz w:val="24"/>
          <w:szCs w:val="24"/>
        </w:rPr>
        <w:t>.  This will increase burden by 559 hours (1,117 institutions times 0.5 hours)</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under OMB Control Number 1845-012</w:t>
      </w:r>
      <w:r>
        <w:rPr>
          <w:rFonts w:ascii="Courier New" w:eastAsia="Times New Roman" w:hAnsi="Courier New" w:cs="Courier New"/>
          <w:sz w:val="24"/>
          <w:szCs w:val="24"/>
        </w:rPr>
        <w:t>3</w:t>
      </w:r>
      <w:r w:rsidRPr="008205BF">
        <w:rPr>
          <w:rFonts w:ascii="Courier New" w:eastAsia="Times New Roman" w:hAnsi="Courier New" w:cs="Courier New"/>
          <w:sz w:val="24"/>
          <w:szCs w:val="24"/>
        </w:rPr>
        <w:t>.</w:t>
      </w:r>
    </w:p>
    <w:p w14:paraId="45E4C1E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668.414 will be 1,981 hours under OMB Control Number 1845-0123.</w:t>
      </w:r>
    </w:p>
    <w:p w14:paraId="73EF9C3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Subpart R--Program Cohort Default Rates</w:t>
      </w:r>
    </w:p>
    <w:p w14:paraId="4A4A1B3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Under subpart R, the Secretary will calculate a GE program's cohort default rate using a structure that will generally mirror the structure of the iCDR regulations in subpart N of part 668 of the regulations.  Thus, depending on the pCDR of a program, an institution will have the opportunity to submit a challenge, request an adjustment, or appeal the pCDR.  Detailed information about each of these opportunities and our burden assessments follow.  </w:t>
      </w:r>
      <w:r>
        <w:rPr>
          <w:rFonts w:ascii="Courier New" w:eastAsia="Times New Roman" w:hAnsi="Courier New" w:cs="Courier New"/>
          <w:sz w:val="24"/>
          <w:szCs w:val="24"/>
        </w:rPr>
        <w:t>For</w:t>
      </w:r>
      <w:r w:rsidRPr="008205BF">
        <w:rPr>
          <w:rFonts w:ascii="Courier New" w:eastAsia="Times New Roman" w:hAnsi="Courier New" w:cs="Courier New"/>
          <w:sz w:val="24"/>
          <w:szCs w:val="24"/>
        </w:rPr>
        <w:t xml:space="preserve"> all requests for challenges, adjustments, or appeals</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 institutions will receive a loan record detail report (LRDR) provided by the Department.</w:t>
      </w:r>
    </w:p>
    <w:p w14:paraId="1802F04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T</w:t>
      </w:r>
      <w:r w:rsidRPr="008205BF">
        <w:rPr>
          <w:rFonts w:ascii="Courier New" w:eastAsia="Times New Roman" w:hAnsi="Courier New" w:cs="Courier New"/>
          <w:sz w:val="24"/>
          <w:szCs w:val="24"/>
        </w:rPr>
        <w:t>he pCDR regulations in subpart R</w:t>
      </w:r>
      <w:r>
        <w:rPr>
          <w:rFonts w:ascii="Courier New" w:eastAsia="Times New Roman" w:hAnsi="Courier New" w:cs="Courier New"/>
          <w:sz w:val="24"/>
          <w:szCs w:val="24"/>
        </w:rPr>
        <w:t>, although specific to programs,</w:t>
      </w:r>
      <w:r w:rsidRPr="008205BF">
        <w:rPr>
          <w:rFonts w:ascii="Courier New" w:eastAsia="Times New Roman" w:hAnsi="Courier New" w:cs="Courier New"/>
          <w:sz w:val="24"/>
          <w:szCs w:val="24"/>
        </w:rPr>
        <w:t xml:space="preserve"> generally mirror the structure of the institutional cohort default rate (iCDR) regulations in subpart N of part 668 of the regulations.  However, because </w:t>
      </w:r>
      <w:r>
        <w:rPr>
          <w:rFonts w:ascii="Courier New" w:eastAsia="Times New Roman" w:hAnsi="Courier New" w:cs="Courier New"/>
          <w:sz w:val="24"/>
          <w:szCs w:val="24"/>
        </w:rPr>
        <w:t>pCDR is used as a potential disclosure, and not as a standard for assessing eligibility (as with iCDR),</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the available appeals are limited to factual corrections and challenges and</w:t>
      </w:r>
      <w:r w:rsidRPr="008205BF">
        <w:rPr>
          <w:rFonts w:ascii="Courier New" w:eastAsia="Times New Roman" w:hAnsi="Courier New" w:cs="Courier New"/>
          <w:sz w:val="24"/>
          <w:szCs w:val="24"/>
        </w:rPr>
        <w:t xml:space="preserve"> the burden assessments that follow recognize that</w:t>
      </w:r>
      <w:r>
        <w:rPr>
          <w:rFonts w:ascii="Courier New" w:eastAsia="Times New Roman" w:hAnsi="Courier New" w:cs="Courier New"/>
          <w:sz w:val="24"/>
          <w:szCs w:val="24"/>
        </w:rPr>
        <w:t>, although</w:t>
      </w:r>
      <w:r w:rsidRPr="008205BF">
        <w:rPr>
          <w:rFonts w:ascii="Courier New" w:eastAsia="Times New Roman" w:hAnsi="Courier New" w:cs="Courier New"/>
          <w:sz w:val="24"/>
          <w:szCs w:val="24"/>
        </w:rPr>
        <w:t xml:space="preserve"> institutions will have the option of submitting challenges, requests for adjustments, and certain appeals for all of their GE programs in every year for which we calculate a pCDR, </w:t>
      </w:r>
      <w:r>
        <w:rPr>
          <w:rFonts w:ascii="Courier New" w:eastAsia="Times New Roman" w:hAnsi="Courier New" w:cs="Courier New"/>
          <w:sz w:val="24"/>
          <w:szCs w:val="24"/>
        </w:rPr>
        <w:t>institutions</w:t>
      </w:r>
      <w:r w:rsidRPr="008205BF">
        <w:rPr>
          <w:rFonts w:ascii="Courier New" w:eastAsia="Times New Roman" w:hAnsi="Courier New" w:cs="Courier New"/>
          <w:sz w:val="24"/>
          <w:szCs w:val="24"/>
        </w:rPr>
        <w:t xml:space="preserve"> will in all likelihood exercise those rights only in those instances in which we calculate a pCDR rate </w:t>
      </w:r>
      <w:r>
        <w:rPr>
          <w:rFonts w:ascii="Courier New" w:eastAsia="Times New Roman" w:hAnsi="Courier New" w:cs="Courier New"/>
          <w:sz w:val="24"/>
          <w:szCs w:val="24"/>
        </w:rPr>
        <w:t>of 20 percent or higher</w:t>
      </w:r>
      <w:r w:rsidRPr="008205BF">
        <w:rPr>
          <w:rFonts w:ascii="Courier New" w:eastAsia="Times New Roman" w:hAnsi="Courier New" w:cs="Courier New"/>
          <w:sz w:val="24"/>
          <w:szCs w:val="24"/>
        </w:rPr>
        <w:t xml:space="preserve">.  </w:t>
      </w:r>
    </w:p>
    <w:p w14:paraId="43C807A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Of the 6,815 GE programs that we estimate will be evaluated for pCDR, we estimate that 943 programs will </w:t>
      </w:r>
      <w:r>
        <w:rPr>
          <w:rFonts w:ascii="Courier New" w:eastAsia="Times New Roman" w:hAnsi="Courier New" w:cs="Courier New"/>
          <w:sz w:val="24"/>
          <w:szCs w:val="24"/>
        </w:rPr>
        <w:t>have rates of</w:t>
      </w:r>
      <w:r w:rsidRPr="008205BF">
        <w:rPr>
          <w:rFonts w:ascii="Courier New" w:eastAsia="Times New Roman" w:hAnsi="Courier New" w:cs="Courier New"/>
          <w:sz w:val="24"/>
          <w:szCs w:val="24"/>
        </w:rPr>
        <w:t xml:space="preserve"> 30 percent or more and therefore have the highest likelihood of having pCDR challenges, adjustments, or appeals.  In addition, we </w:t>
      </w:r>
      <w:r>
        <w:rPr>
          <w:rFonts w:ascii="Courier New" w:eastAsia="Times New Roman" w:hAnsi="Courier New" w:cs="Courier New"/>
          <w:sz w:val="24"/>
          <w:szCs w:val="24"/>
        </w:rPr>
        <w:t>estimate</w:t>
      </w:r>
      <w:r w:rsidRPr="008205BF">
        <w:rPr>
          <w:rFonts w:ascii="Courier New" w:eastAsia="Times New Roman" w:hAnsi="Courier New" w:cs="Courier New"/>
          <w:sz w:val="24"/>
          <w:szCs w:val="24"/>
        </w:rPr>
        <w:t xml:space="preserve"> that half of the 1,840 GE programs with a pCDR rate of 20 percent to 29.9 percent will also make challenges, request adjustments, or submit appeals, adding another 920 programs to the 943 that </w:t>
      </w:r>
      <w:r>
        <w:rPr>
          <w:rFonts w:ascii="Courier New" w:eastAsia="Times New Roman" w:hAnsi="Courier New" w:cs="Courier New"/>
          <w:sz w:val="24"/>
          <w:szCs w:val="24"/>
        </w:rPr>
        <w:t>had rates of 30 percent or more</w:t>
      </w:r>
      <w:r w:rsidRPr="008205BF">
        <w:rPr>
          <w:rFonts w:ascii="Courier New" w:eastAsia="Times New Roman" w:hAnsi="Courier New" w:cs="Courier New"/>
          <w:sz w:val="24"/>
          <w:szCs w:val="24"/>
        </w:rPr>
        <w:t xml:space="preserve"> for a total of 1,863 programs.  We estimate that 92 percent of the 1,863 will be GE programs at for-profit institutions, 3 percent will be GE programs at private non-profit institutions, and 5 percent will be GE programs at public institutions.</w:t>
      </w:r>
    </w:p>
    <w:p w14:paraId="6BDAEFF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used an analysis of the FY 2011 </w:t>
      </w:r>
      <w:r>
        <w:rPr>
          <w:rFonts w:ascii="Courier New" w:eastAsia="Times New Roman" w:hAnsi="Courier New" w:cs="Courier New"/>
          <w:sz w:val="24"/>
          <w:szCs w:val="24"/>
        </w:rPr>
        <w:t>i</w:t>
      </w:r>
      <w:r w:rsidRPr="008205BF">
        <w:rPr>
          <w:rFonts w:ascii="Courier New" w:eastAsia="Times New Roman" w:hAnsi="Courier New" w:cs="Courier New"/>
          <w:sz w:val="24"/>
          <w:szCs w:val="24"/>
        </w:rPr>
        <w:t>CDR data to estimate the percentage of the possible 1,863 programs where a challenge, adjustment request, or appeal may be submitted.  Those percentages varied by the type of challenge, adjustment, or appeal, as indicated in each of the regulatory sections that follow and are used to project the distribution of pCDR challenges, adjustments, and appeals.</w:t>
      </w:r>
    </w:p>
    <w:p w14:paraId="49354740" w14:textId="77777777" w:rsidR="00E538DB" w:rsidRPr="0073643C"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w:t>
      </w:r>
      <w:r w:rsidRPr="0073643C">
        <w:rPr>
          <w:rFonts w:ascii="Courier New" w:eastAsia="Times New Roman" w:hAnsi="Courier New" w:cs="Courier New"/>
          <w:sz w:val="24"/>
          <w:szCs w:val="24"/>
          <w:u w:val="single"/>
        </w:rPr>
        <w:t>668.504 Draft Cohort Program Default Rates and Your Ability To Challenge Before Official Program Cohort Default Rates Are Issued</w:t>
      </w:r>
    </w:p>
    <w:p w14:paraId="1BFB3EA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Incorrect Data Challenges: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668.504(b), the institution may challenge the accuracy of the data included on the LRDR by sending an incorrect data challenge to the relevant data manager(s) within 45 days of receipt of the LRDR from the Department.  The challenge will include a description of the information in the LRDR that the institution believes is incorrect along with supporting documentation.</w:t>
      </w:r>
    </w:p>
    <w:p w14:paraId="109ECBA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Based upon FY 2011 submissions, there were 353 </w:t>
      </w:r>
      <w:r>
        <w:rPr>
          <w:rFonts w:ascii="Courier New" w:eastAsia="Times New Roman" w:hAnsi="Courier New" w:cs="Courier New"/>
          <w:sz w:val="24"/>
          <w:szCs w:val="24"/>
        </w:rPr>
        <w:t>i</w:t>
      </w:r>
      <w:r w:rsidRPr="008205BF">
        <w:rPr>
          <w:rFonts w:ascii="Courier New" w:eastAsia="Times New Roman" w:hAnsi="Courier New" w:cs="Courier New"/>
          <w:sz w:val="24"/>
          <w:szCs w:val="24"/>
        </w:rPr>
        <w:t>CDR challenges for incorrect data of a total of 510 challenges, requests for adjustments, and appeals, a 69 percent submission rate.  Therefore 69 percent of the projected 1,863 challenges, adjustments, and appeals, or 1,285, are projected to be challenges for incorrect data.</w:t>
      </w:r>
    </w:p>
    <w:p w14:paraId="36F6C63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w:t>
      </w:r>
      <w:r w:rsidRPr="008205BF">
        <w:rPr>
          <w:rFonts w:ascii="Courier New" w:eastAsia="Times New Roman" w:hAnsi="Courier New" w:cs="Courier New"/>
          <w:sz w:val="24"/>
          <w:szCs w:val="24"/>
        </w:rPr>
        <w:t xml:space="preserve">e estimate that out of the likely 1,285 submissions, 1,182 (92 percent) will be from for-profit institutions.  We estimate that the average institutional staff time needed to review a GE program's LRDR for each of these 1,182 programs and to gather and prepare incorrect data challenges will be 4 hours (1.5 hours for list review and 2.5 hours for documentation submission).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This will increase burden by 4,728 hours</w:t>
      </w:r>
      <w:r>
        <w:rPr>
          <w:rFonts w:ascii="Courier New" w:eastAsia="Times New Roman" w:hAnsi="Courier New" w:cs="Courier New"/>
          <w:sz w:val="24"/>
          <w:szCs w:val="24"/>
        </w:rPr>
        <w:t xml:space="preserve"> (1,182 programs times 4 hours) under OMB Control Number 1845-0121</w:t>
      </w:r>
      <w:r w:rsidRPr="008205BF">
        <w:rPr>
          <w:rFonts w:ascii="Courier New" w:eastAsia="Times New Roman" w:hAnsi="Courier New" w:cs="Courier New"/>
          <w:sz w:val="24"/>
          <w:szCs w:val="24"/>
        </w:rPr>
        <w:t>.</w:t>
      </w:r>
    </w:p>
    <w:p w14:paraId="341F06F2"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w:t>
      </w:r>
      <w:r w:rsidRPr="008205BF">
        <w:rPr>
          <w:rFonts w:ascii="Courier New" w:eastAsia="Times New Roman" w:hAnsi="Courier New" w:cs="Courier New"/>
          <w:sz w:val="24"/>
          <w:szCs w:val="24"/>
        </w:rPr>
        <w:t>e estimate that out of the likely 1,285 submissions, 39 (3 percent) will be from private non-profit institutions.  We estimate that the average institutional staff time needed to review a GE program's LRDR for each of these 39 programs and to gather and prepare the challenges will be 4 hours (1.5 hours for list review and 2.5 hours for documentation submission).  This will increase burden by 156 hours</w:t>
      </w:r>
      <w:r>
        <w:rPr>
          <w:rFonts w:ascii="Courier New" w:eastAsia="Times New Roman" w:hAnsi="Courier New" w:cs="Courier New"/>
          <w:sz w:val="24"/>
          <w:szCs w:val="24"/>
        </w:rPr>
        <w:t xml:space="preserve"> (39 programs times 4 hours) under OMB Control Number 1845-0121</w:t>
      </w:r>
      <w:r w:rsidRPr="008205BF">
        <w:rPr>
          <w:rFonts w:ascii="Courier New" w:eastAsia="Times New Roman" w:hAnsi="Courier New" w:cs="Courier New"/>
          <w:sz w:val="24"/>
          <w:szCs w:val="24"/>
        </w:rPr>
        <w:t>.</w:t>
      </w:r>
    </w:p>
    <w:p w14:paraId="255A390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w:t>
      </w:r>
      <w:r w:rsidRPr="008205BF">
        <w:rPr>
          <w:rFonts w:ascii="Courier New" w:eastAsia="Times New Roman" w:hAnsi="Courier New" w:cs="Courier New"/>
          <w:sz w:val="24"/>
          <w:szCs w:val="24"/>
        </w:rPr>
        <w:t>e estimate that, out of the likely 1,285 submissions, 64 (5 percent) will be from public institutions.  We estimate that the average institutional staff time needed to review a GE program's LRDR for each of these 64 programs and to gather and prepare the challenges will be 4 hours (1.5 hours for list review and 2.5 hours for documentation submission).  This will increase burden by 256 hours</w:t>
      </w:r>
      <w:r>
        <w:rPr>
          <w:rFonts w:ascii="Courier New" w:eastAsia="Times New Roman" w:hAnsi="Courier New" w:cs="Courier New"/>
          <w:sz w:val="24"/>
          <w:szCs w:val="24"/>
        </w:rPr>
        <w:t xml:space="preserve"> (64 programs times 4 hours) under OMB Control Number 1845-0121</w:t>
      </w:r>
      <w:r w:rsidRPr="008205BF">
        <w:rPr>
          <w:rFonts w:ascii="Courier New" w:eastAsia="Times New Roman" w:hAnsi="Courier New" w:cs="Courier New"/>
          <w:sz w:val="24"/>
          <w:szCs w:val="24"/>
        </w:rPr>
        <w:t>.</w:t>
      </w:r>
    </w:p>
    <w:p w14:paraId="114A5D1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T</w:t>
      </w:r>
      <w:r w:rsidRPr="008205BF">
        <w:rPr>
          <w:rFonts w:ascii="Courier New" w:eastAsia="Times New Roman" w:hAnsi="Courier New" w:cs="Courier New"/>
          <w:sz w:val="24"/>
          <w:szCs w:val="24"/>
        </w:rPr>
        <w:t xml:space="preserve">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 xml:space="preserve">668.504 will be 5,140 hours under OMB Control Number 1845-0121.    </w:t>
      </w:r>
    </w:p>
    <w:p w14:paraId="6CE31BBE" w14:textId="77777777" w:rsidR="00E538DB" w:rsidRPr="0073643C"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73643C">
        <w:rPr>
          <w:rFonts w:ascii="Courier New" w:eastAsia="Times New Roman" w:hAnsi="Courier New" w:cs="Courier New"/>
          <w:sz w:val="24"/>
          <w:szCs w:val="24"/>
          <w:u w:val="single"/>
        </w:rPr>
        <w:t>§668.509 Uncorrected Data Adjustments</w:t>
      </w:r>
    </w:p>
    <w:p w14:paraId="5FAC2BA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An institution may request an uncorrected data adjustment for the most recent cohort of borrowers used to calculate a GE program's most recent official pCDR, if in response to the institution's incorrect data challenge, a data manager agreed </w:t>
      </w:r>
      <w:r>
        <w:rPr>
          <w:rFonts w:ascii="Courier New" w:eastAsia="Times New Roman" w:hAnsi="Courier New" w:cs="Courier New"/>
          <w:sz w:val="24"/>
          <w:szCs w:val="24"/>
        </w:rPr>
        <w:t xml:space="preserve">correctly to </w:t>
      </w:r>
      <w:r w:rsidRPr="008205BF">
        <w:rPr>
          <w:rFonts w:ascii="Courier New" w:eastAsia="Times New Roman" w:hAnsi="Courier New" w:cs="Courier New"/>
          <w:sz w:val="24"/>
          <w:szCs w:val="24"/>
        </w:rPr>
        <w:t>change data but the changes were not reflected in the official pCDR.</w:t>
      </w:r>
    </w:p>
    <w:p w14:paraId="6B147C0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Based upon FY 2011 submissions, there were 116 uncorrected data adjustments of the total 510 challenges, requests for </w:t>
      </w:r>
      <w:r>
        <w:rPr>
          <w:rFonts w:ascii="Courier New" w:eastAsia="Times New Roman" w:hAnsi="Courier New" w:cs="Courier New"/>
          <w:sz w:val="24"/>
          <w:szCs w:val="24"/>
        </w:rPr>
        <w:t>a</w:t>
      </w:r>
      <w:r w:rsidRPr="008205BF">
        <w:rPr>
          <w:rFonts w:ascii="Courier New" w:eastAsia="Times New Roman" w:hAnsi="Courier New" w:cs="Courier New"/>
          <w:sz w:val="24"/>
          <w:szCs w:val="24"/>
        </w:rPr>
        <w:t xml:space="preserve">djustments, and appeals.  Therefore, 23 percent of the projected 943 challenges, adjustments, and appeals or 217 are projected to be uncorrected data adjustments. </w:t>
      </w:r>
    </w:p>
    <w:p w14:paraId="0BE67C13"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the average institutional staff time needed is 1 hour for list review and 0.5 hours for documentation submission, for a total of 1.5 hours.</w:t>
      </w:r>
    </w:p>
    <w:p w14:paraId="2432977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200 (92 percent) of the 217 projected uncorrected data adjustments will be from for-profit institutions.  Therefore, burden will increase at for-profit institutions by 300 hours (200 adjustments times 1.5 hours) under OMB Control Number 1845-0121.</w:t>
      </w:r>
    </w:p>
    <w:p w14:paraId="43EA147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w:t>
      </w:r>
      <w:r>
        <w:rPr>
          <w:rFonts w:ascii="Courier New" w:eastAsia="Times New Roman" w:hAnsi="Courier New" w:cs="Courier New"/>
          <w:sz w:val="24"/>
          <w:szCs w:val="24"/>
        </w:rPr>
        <w:t>6</w:t>
      </w:r>
      <w:r w:rsidRPr="008205BF">
        <w:rPr>
          <w:rFonts w:ascii="Courier New" w:eastAsia="Times New Roman" w:hAnsi="Courier New" w:cs="Courier New"/>
          <w:sz w:val="24"/>
          <w:szCs w:val="24"/>
        </w:rPr>
        <w:t xml:space="preserve"> (3 percent) of the 217 projected uncorrected data adjustments will be from private non-profit institutions.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Therefore, burden will increase at private non-profit institutions by </w:t>
      </w:r>
      <w:r>
        <w:rPr>
          <w:rFonts w:ascii="Courier New" w:eastAsia="Times New Roman" w:hAnsi="Courier New" w:cs="Courier New"/>
          <w:sz w:val="24"/>
          <w:szCs w:val="24"/>
        </w:rPr>
        <w:t xml:space="preserve">9 </w:t>
      </w:r>
      <w:r w:rsidRPr="008205BF">
        <w:rPr>
          <w:rFonts w:ascii="Courier New" w:eastAsia="Times New Roman" w:hAnsi="Courier New" w:cs="Courier New"/>
          <w:sz w:val="24"/>
          <w:szCs w:val="24"/>
        </w:rPr>
        <w:t>hours (</w:t>
      </w:r>
      <w:r>
        <w:rPr>
          <w:rFonts w:ascii="Courier New" w:eastAsia="Times New Roman" w:hAnsi="Courier New" w:cs="Courier New"/>
          <w:sz w:val="24"/>
          <w:szCs w:val="24"/>
        </w:rPr>
        <w:t>6</w:t>
      </w:r>
      <w:r w:rsidRPr="008205BF">
        <w:rPr>
          <w:rFonts w:ascii="Courier New" w:eastAsia="Times New Roman" w:hAnsi="Courier New" w:cs="Courier New"/>
          <w:sz w:val="24"/>
          <w:szCs w:val="24"/>
        </w:rPr>
        <w:t xml:space="preserve"> adjustments times 1.5 hours) under OMB Control Number 1845-0121.</w:t>
      </w:r>
    </w:p>
    <w:p w14:paraId="061FD75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11 (5 percent) of the 217 projected uncorrected data adjustments will be from public institutions.  Therefore, burden will increase at public institutions by 17 hours (11 adjustments times 1.5 hours) under OMB Control Number 1845-0121.</w:t>
      </w:r>
    </w:p>
    <w:p w14:paraId="0E953B11"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668.509 will be 32</w:t>
      </w:r>
      <w:r>
        <w:rPr>
          <w:rFonts w:ascii="Courier New" w:eastAsia="Times New Roman" w:hAnsi="Courier New" w:cs="Courier New"/>
          <w:sz w:val="24"/>
          <w:szCs w:val="24"/>
        </w:rPr>
        <w:t>6</w:t>
      </w:r>
      <w:r w:rsidRPr="008205BF">
        <w:rPr>
          <w:rFonts w:ascii="Courier New" w:eastAsia="Times New Roman" w:hAnsi="Courier New" w:cs="Courier New"/>
          <w:sz w:val="24"/>
          <w:szCs w:val="24"/>
        </w:rPr>
        <w:t xml:space="preserve"> hours under OMB Control Number 1845-0121.</w:t>
      </w:r>
    </w:p>
    <w:p w14:paraId="0E07A477" w14:textId="77777777" w:rsidR="00E538DB" w:rsidRPr="0073643C"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73643C">
        <w:rPr>
          <w:rFonts w:ascii="Courier New" w:eastAsia="Times New Roman" w:hAnsi="Courier New" w:cs="Courier New"/>
          <w:sz w:val="24"/>
          <w:szCs w:val="24"/>
          <w:u w:val="single"/>
        </w:rPr>
        <w:t>§668.510 New Data Adjustments</w:t>
      </w:r>
    </w:p>
    <w:p w14:paraId="563D1FE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An institution could request a new data adjustment for the most recent cohort of borrowers used to calculate the most recent official pCDR for a GE program, if a comparison of the LRDR for the draft rates and the LRDR for the official rates show</w:t>
      </w:r>
      <w:r>
        <w:rPr>
          <w:rFonts w:ascii="Courier New" w:eastAsia="Times New Roman" w:hAnsi="Courier New" w:cs="Courier New"/>
          <w:sz w:val="24"/>
          <w:szCs w:val="24"/>
        </w:rPr>
        <w:t>s</w:t>
      </w:r>
      <w:r w:rsidRPr="008205BF">
        <w:rPr>
          <w:rFonts w:ascii="Courier New" w:eastAsia="Times New Roman" w:hAnsi="Courier New" w:cs="Courier New"/>
          <w:sz w:val="24"/>
          <w:szCs w:val="24"/>
        </w:rPr>
        <w:t xml:space="preserve"> that data have been newly included, excluded, or otherwise changed and the errors are confirmed by the data manager.</w:t>
      </w:r>
    </w:p>
    <w:p w14:paraId="01FEB7DE"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Based upon FY 2011 submissions, there were 12 new data adjustments of the total 510 challenges, requests for adjustments, and appeals.  Therefore, 2 percent of the projected 943 challenges, adjustments, and appeals or 19 are projected to be new data adjustments.  We estimate that the average institutional staff time needed is 3 hours for list review and 1 hour for documentation submission, for a total of 4 hours.</w:t>
      </w:r>
    </w:p>
    <w:p w14:paraId="23E0814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17 (92 percent) of the 19 projected new data adjustments will be from for-profit institutions.  Therefore, burden will increase at for-profit institutions by 68 hours (17 adjustments times 4 hours) under OMB Control Number 1845-0121.</w:t>
      </w:r>
    </w:p>
    <w:p w14:paraId="76CCABD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1 (3 percent) of the 19 projected new data adjustments will be from private non-profit institutions.  Therefore, burden will increase at private non-profit institutions by 4 hours (1 adjustment times 4 hours) under OMB Control Number 1845-0121.</w:t>
      </w:r>
    </w:p>
    <w:p w14:paraId="24E9D55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We estimate that 1 (5 percent) of the 19 projected new data adjustments will be from public institutions.  Therefore, burden will increase at public institutions by 4 hours (1 adjustment times 4 hours) </w:t>
      </w:r>
      <w:r>
        <w:rPr>
          <w:rFonts w:ascii="Courier New" w:eastAsia="Times New Roman" w:hAnsi="Courier New" w:cs="Courier New"/>
          <w:sz w:val="24"/>
          <w:szCs w:val="24"/>
        </w:rPr>
        <w:t xml:space="preserve">under </w:t>
      </w:r>
      <w:r w:rsidRPr="008205BF">
        <w:rPr>
          <w:rFonts w:ascii="Courier New" w:eastAsia="Times New Roman" w:hAnsi="Courier New" w:cs="Courier New"/>
          <w:sz w:val="24"/>
          <w:szCs w:val="24"/>
        </w:rPr>
        <w:t>OMB Control Number 1845-0121.</w:t>
      </w:r>
    </w:p>
    <w:p w14:paraId="39AA29E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668.510 will be 76 hours under OMB Control Number 1845-0121.</w:t>
      </w:r>
    </w:p>
    <w:p w14:paraId="501708DE" w14:textId="77777777" w:rsidR="00E538DB" w:rsidRPr="0073643C"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u w:val="single"/>
        </w:rPr>
      </w:pPr>
      <w:r w:rsidRPr="0073643C">
        <w:rPr>
          <w:rFonts w:ascii="Courier New" w:eastAsia="Times New Roman" w:hAnsi="Courier New" w:cs="Courier New"/>
          <w:sz w:val="24"/>
          <w:szCs w:val="24"/>
          <w:u w:val="single"/>
        </w:rPr>
        <w:t>§668.511 Erroneous Data Appeals</w:t>
      </w:r>
    </w:p>
    <w:p w14:paraId="1EBC0717"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xml:space="preserve">:  An institution could appeal the calculation of a pCDR if it disputes the accuracy of data that was previously challenged under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668.504(b) (challenge for incorrect data)</w:t>
      </w:r>
      <w:r>
        <w:rPr>
          <w:rFonts w:ascii="Courier New" w:eastAsia="Times New Roman" w:hAnsi="Courier New" w:cs="Courier New"/>
          <w:sz w:val="24"/>
          <w:szCs w:val="24"/>
        </w:rPr>
        <w:t xml:space="preserve"> or</w:t>
      </w:r>
      <w:r w:rsidRPr="008205BF">
        <w:rPr>
          <w:rFonts w:ascii="Courier New" w:eastAsia="Times New Roman" w:hAnsi="Courier New" w:cs="Courier New"/>
          <w:sz w:val="24"/>
          <w:szCs w:val="24"/>
        </w:rPr>
        <w:t xml:space="preserve"> if a comparison of the LRDR that we provided for the draft rate and the official rate shows that data have been newly included, excluded, or otherwise changed</w:t>
      </w:r>
      <w:r>
        <w:rPr>
          <w:rFonts w:ascii="Courier New" w:eastAsia="Times New Roman" w:hAnsi="Courier New" w:cs="Courier New"/>
          <w:sz w:val="24"/>
          <w:szCs w:val="24"/>
        </w:rPr>
        <w:t>, and the accuracy of the data has been disputed</w:t>
      </w:r>
      <w:r w:rsidRPr="008205BF">
        <w:rPr>
          <w:rFonts w:ascii="Courier New" w:eastAsia="Times New Roman" w:hAnsi="Courier New" w:cs="Courier New"/>
          <w:sz w:val="24"/>
          <w:szCs w:val="24"/>
        </w:rPr>
        <w:t xml:space="preserve">.  The institution must send a request for verification of data to the applicable data manager(s) within 15 days of receipt of the notice of </w:t>
      </w:r>
      <w:r>
        <w:rPr>
          <w:rFonts w:ascii="Courier New" w:eastAsia="Times New Roman" w:hAnsi="Courier New" w:cs="Courier New"/>
          <w:sz w:val="24"/>
          <w:szCs w:val="24"/>
        </w:rPr>
        <w:t>the official pCDR</w:t>
      </w:r>
      <w:r w:rsidRPr="008205BF">
        <w:rPr>
          <w:rFonts w:ascii="Courier New" w:eastAsia="Times New Roman" w:hAnsi="Courier New" w:cs="Courier New"/>
          <w:sz w:val="24"/>
          <w:szCs w:val="24"/>
        </w:rPr>
        <w:t>, and it must include a description of the incorrect information and all supporting documentation</w:t>
      </w:r>
      <w:r>
        <w:rPr>
          <w:rFonts w:ascii="Courier New" w:eastAsia="Times New Roman" w:hAnsi="Courier New" w:cs="Courier New"/>
          <w:sz w:val="24"/>
          <w:szCs w:val="24"/>
        </w:rPr>
        <w:t xml:space="preserve"> to demonstrate the error</w:t>
      </w:r>
      <w:r w:rsidRPr="008205BF">
        <w:rPr>
          <w:rFonts w:ascii="Courier New" w:eastAsia="Times New Roman" w:hAnsi="Courier New" w:cs="Courier New"/>
          <w:sz w:val="24"/>
          <w:szCs w:val="24"/>
        </w:rPr>
        <w:t>.</w:t>
      </w:r>
    </w:p>
    <w:p w14:paraId="2E68BA0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xml:space="preserve">:  Based upon the fact that in FY 2011 there were no </w:t>
      </w:r>
      <w:r>
        <w:rPr>
          <w:rFonts w:ascii="Courier New" w:eastAsia="Times New Roman" w:hAnsi="Courier New" w:cs="Courier New"/>
          <w:sz w:val="24"/>
          <w:szCs w:val="24"/>
        </w:rPr>
        <w:t>i</w:t>
      </w:r>
      <w:r w:rsidRPr="008205BF">
        <w:rPr>
          <w:rFonts w:ascii="Courier New" w:eastAsia="Times New Roman" w:hAnsi="Courier New" w:cs="Courier New"/>
          <w:sz w:val="24"/>
          <w:szCs w:val="24"/>
        </w:rPr>
        <w:t>CDR erroneous data appeals, we have no basis to establish erroneous data appeals burden for pCDRs.</w:t>
      </w:r>
    </w:p>
    <w:p w14:paraId="02B63D26"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73643C">
        <w:rPr>
          <w:rFonts w:ascii="Courier New" w:eastAsia="Times New Roman" w:hAnsi="Courier New" w:cs="Courier New"/>
          <w:sz w:val="24"/>
          <w:szCs w:val="24"/>
          <w:u w:val="single"/>
        </w:rPr>
        <w:t>§668.512 Loan Servicing Appeals</w:t>
      </w:r>
    </w:p>
    <w:p w14:paraId="245485A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Requirements</w:t>
      </w:r>
      <w:r w:rsidRPr="008205BF">
        <w:rPr>
          <w:rFonts w:ascii="Courier New" w:eastAsia="Times New Roman" w:hAnsi="Courier New" w:cs="Courier New"/>
          <w:sz w:val="24"/>
          <w:szCs w:val="24"/>
        </w:rPr>
        <w:t>:  An institution could appeal the calculation of a pCDR on the basis of improper loan servicing or collection.</w:t>
      </w:r>
    </w:p>
    <w:p w14:paraId="5998A0B4"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2B3CAD">
        <w:rPr>
          <w:rFonts w:ascii="Courier New" w:eastAsia="Times New Roman" w:hAnsi="Courier New" w:cs="Courier New"/>
          <w:i/>
          <w:sz w:val="24"/>
          <w:szCs w:val="24"/>
        </w:rPr>
        <w:t>Burden Calculation</w:t>
      </w:r>
      <w:r w:rsidRPr="008205BF">
        <w:rPr>
          <w:rFonts w:ascii="Courier New" w:eastAsia="Times New Roman" w:hAnsi="Courier New" w:cs="Courier New"/>
          <w:sz w:val="24"/>
          <w:szCs w:val="24"/>
        </w:rPr>
        <w:t>:  Based upon FY 2011 submissions, there were 19 loan servicing appeals of the total 510 challenges, requests for adjustments, and appeals.  Therefore, 4 percent or 38 of the projected 943 challenges, adjustments, and appeals are projected to be loan servicing appeals.  We estimate that, on average, to gather, analyze, and submit the necessary documentation, each appeal will take 3 hours.</w:t>
      </w:r>
    </w:p>
    <w:p w14:paraId="4F59F0F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35 (92 percent) of the 38 projected loan servicing appeals will be from for-profit institutions.  Therefore, burden will increase at for-profit institutions by 105 hours (35 servicing appeals times 3 hours) under OMB Control Number 1845-0121.</w:t>
      </w:r>
    </w:p>
    <w:p w14:paraId="487EB3F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1 (3 percent) of the 38 projected loan servicing appeals will be from private non-profit institutions.  Therefore, burden will increase at private non-profit institutions by 3 hours (1 servicing appeal times 3 hours) under OMB Control Number 1845-0121.</w:t>
      </w:r>
    </w:p>
    <w:p w14:paraId="3FCBAC7A"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We estimate that 2 (5 percent) of the 38 projected loan servicing appeals will be from public institutions.  Therefore, burden will increase at public institutions by 6 hours (2 servicing appeals times 3 hours) under OMB Control Number 1845-0121.</w:t>
      </w:r>
    </w:p>
    <w:p w14:paraId="03A4ADA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 xml:space="preserve">The total increase in burden for </w:t>
      </w:r>
      <w:r>
        <w:rPr>
          <w:rFonts w:ascii="Courier New" w:eastAsia="Times New Roman" w:hAnsi="Courier New" w:cs="Courier New"/>
          <w:sz w:val="24"/>
          <w:szCs w:val="24"/>
        </w:rPr>
        <w:t>§</w:t>
      </w:r>
      <w:r w:rsidRPr="008205BF">
        <w:rPr>
          <w:rFonts w:ascii="Courier New" w:eastAsia="Times New Roman" w:hAnsi="Courier New" w:cs="Courier New"/>
          <w:sz w:val="24"/>
          <w:szCs w:val="24"/>
        </w:rPr>
        <w:t>668.512 will be 114 hours under OMB Control Number 1845-0121.</w:t>
      </w:r>
    </w:p>
    <w:p w14:paraId="5FA761CB"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ab/>
        <w:t xml:space="preserve">Consistent with the discussion above, the following chart describes the sections of the regulations involving information collections, the information being collected, the collections that the Department will submit to OMB for approval and public comment under the PRA, and the estimated costs associated with the information collections.  The monetized net costs of the increased burden on institutions and borrowers, using wage data developed using BLS data, available at </w:t>
      </w:r>
      <w:hyperlink r:id="rId17" w:history="1">
        <w:r w:rsidRPr="008205BF">
          <w:rPr>
            <w:rFonts w:ascii="Courier New" w:eastAsia="Times New Roman" w:hAnsi="Courier New" w:cs="Courier New"/>
            <w:color w:val="0000FF"/>
            <w:sz w:val="24"/>
            <w:szCs w:val="24"/>
            <w:u w:val="single"/>
          </w:rPr>
          <w:t>www.bls.gov/ncs/ect/sp/ecsuphst.pdf</w:t>
        </w:r>
      </w:hyperlink>
      <w:r w:rsidRPr="008205BF">
        <w:rPr>
          <w:rFonts w:ascii="Courier New" w:eastAsia="Times New Roman" w:hAnsi="Courier New" w:cs="Courier New"/>
          <w:sz w:val="24"/>
          <w:szCs w:val="24"/>
        </w:rPr>
        <w:t>, is $</w:t>
      </w:r>
      <w:r>
        <w:rPr>
          <w:rFonts w:ascii="Courier New" w:eastAsia="Times New Roman" w:hAnsi="Courier New" w:cs="Courier New"/>
          <w:sz w:val="24"/>
          <w:szCs w:val="24"/>
        </w:rPr>
        <w:t>209,247,305</w:t>
      </w:r>
      <w:r w:rsidRPr="008205BF">
        <w:rPr>
          <w:rFonts w:ascii="Courier New" w:eastAsia="Times New Roman" w:hAnsi="Courier New" w:cs="Courier New"/>
          <w:sz w:val="24"/>
          <w:szCs w:val="24"/>
        </w:rPr>
        <w:t>, as shown in the chart below.  This cost was based on an hourly rate of $36.55 for institutions and $16.30 for students.</w:t>
      </w:r>
    </w:p>
    <w:p w14:paraId="335F9F6F"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p>
    <w:p w14:paraId="7674345F"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Collection of Information</w:t>
      </w:r>
    </w:p>
    <w:p w14:paraId="630A128D"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538DB" w:rsidRPr="008205BF" w14:paraId="3DA53D1B" w14:textId="77777777" w:rsidTr="00E538DB">
        <w:trPr>
          <w:cantSplit/>
          <w:tblHeader/>
        </w:trPr>
        <w:tc>
          <w:tcPr>
            <w:tcW w:w="2394" w:type="dxa"/>
            <w:shd w:val="clear" w:color="auto" w:fill="auto"/>
          </w:tcPr>
          <w:p w14:paraId="14769699"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Regulatory section</w:t>
            </w:r>
          </w:p>
        </w:tc>
        <w:tc>
          <w:tcPr>
            <w:tcW w:w="2394" w:type="dxa"/>
            <w:shd w:val="clear" w:color="auto" w:fill="auto"/>
          </w:tcPr>
          <w:p w14:paraId="247C2A39"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Information collection</w:t>
            </w:r>
          </w:p>
        </w:tc>
        <w:tc>
          <w:tcPr>
            <w:tcW w:w="2394" w:type="dxa"/>
            <w:shd w:val="clear" w:color="auto" w:fill="auto"/>
          </w:tcPr>
          <w:p w14:paraId="4A6CA0DA"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Control No. and estimated burden</w:t>
            </w:r>
          </w:p>
        </w:tc>
        <w:tc>
          <w:tcPr>
            <w:tcW w:w="2394" w:type="dxa"/>
            <w:shd w:val="clear" w:color="auto" w:fill="auto"/>
          </w:tcPr>
          <w:p w14:paraId="4463A45C"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Estimated costs</w:t>
            </w:r>
          </w:p>
        </w:tc>
      </w:tr>
      <w:tr w:rsidR="00E538DB" w:rsidRPr="008205BF" w14:paraId="6597B4BB" w14:textId="77777777" w:rsidTr="00E538DB">
        <w:tc>
          <w:tcPr>
            <w:tcW w:w="2394" w:type="dxa"/>
            <w:shd w:val="clear" w:color="auto" w:fill="auto"/>
          </w:tcPr>
          <w:p w14:paraId="07260CEE"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668.405-Issuing and challenging D/E rates</w:t>
            </w:r>
          </w:p>
        </w:tc>
        <w:tc>
          <w:tcPr>
            <w:tcW w:w="2394" w:type="dxa"/>
            <w:shd w:val="clear" w:color="auto" w:fill="auto"/>
          </w:tcPr>
          <w:p w14:paraId="59CAAAF3"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provide institutions an opportunity to correct information about students who have completed their programs and who are on the list provided by the Department to the institution.</w:t>
            </w:r>
          </w:p>
        </w:tc>
        <w:tc>
          <w:tcPr>
            <w:tcW w:w="2394" w:type="dxa"/>
            <w:shd w:val="clear" w:color="auto" w:fill="auto"/>
          </w:tcPr>
          <w:p w14:paraId="4F0D17B9"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1845-0123  This will be a new collection.  We estimate that the burden will increase by 211,</w:t>
            </w:r>
            <w:r>
              <w:rPr>
                <w:rFonts w:ascii="Courier New" w:eastAsia="Times New Roman" w:hAnsi="Courier New" w:cs="Courier New"/>
                <w:sz w:val="24"/>
                <w:szCs w:val="24"/>
              </w:rPr>
              <w:t>360</w:t>
            </w:r>
            <w:r w:rsidRPr="00266524">
              <w:rPr>
                <w:rFonts w:ascii="Courier New" w:eastAsia="Times New Roman" w:hAnsi="Courier New" w:cs="Courier New"/>
                <w:sz w:val="24"/>
                <w:szCs w:val="24"/>
              </w:rPr>
              <w:t xml:space="preserve"> hours.</w:t>
            </w:r>
          </w:p>
        </w:tc>
        <w:tc>
          <w:tcPr>
            <w:tcW w:w="2394" w:type="dxa"/>
            <w:shd w:val="clear" w:color="auto" w:fill="auto"/>
          </w:tcPr>
          <w:p w14:paraId="4454002E"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$7,7</w:t>
            </w:r>
            <w:r>
              <w:rPr>
                <w:rFonts w:ascii="Courier New" w:eastAsia="Times New Roman" w:hAnsi="Courier New" w:cs="Courier New"/>
                <w:sz w:val="24"/>
                <w:szCs w:val="24"/>
              </w:rPr>
              <w:t>25,208</w:t>
            </w:r>
          </w:p>
        </w:tc>
      </w:tr>
      <w:tr w:rsidR="00E538DB" w:rsidRPr="008205BF" w14:paraId="1F48ACCC" w14:textId="77777777" w:rsidTr="00E538DB">
        <w:tc>
          <w:tcPr>
            <w:tcW w:w="2394" w:type="dxa"/>
            <w:shd w:val="clear" w:color="auto" w:fill="auto"/>
          </w:tcPr>
          <w:p w14:paraId="07FD69D7"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668.406-D/E rates alternate earnings appeals</w:t>
            </w:r>
          </w:p>
        </w:tc>
        <w:tc>
          <w:tcPr>
            <w:tcW w:w="2394" w:type="dxa"/>
            <w:shd w:val="clear" w:color="auto" w:fill="auto"/>
          </w:tcPr>
          <w:p w14:paraId="1FD212E8"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allow institutions to make an alternate earnings appeal to the D/E rates, when the final D/E rates are failing or in the zone under the D/E rates measure.</w:t>
            </w:r>
          </w:p>
        </w:tc>
        <w:tc>
          <w:tcPr>
            <w:tcW w:w="2394" w:type="dxa"/>
            <w:shd w:val="clear" w:color="auto" w:fill="auto"/>
          </w:tcPr>
          <w:p w14:paraId="592C11CA"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184-0122  This will be a new collection.  We estimate that the burden will increase by 23,860 hours.</w:t>
            </w:r>
          </w:p>
        </w:tc>
        <w:tc>
          <w:tcPr>
            <w:tcW w:w="2394" w:type="dxa"/>
            <w:shd w:val="clear" w:color="auto" w:fill="auto"/>
          </w:tcPr>
          <w:p w14:paraId="0AB3657A"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$872,083</w:t>
            </w:r>
          </w:p>
        </w:tc>
      </w:tr>
      <w:tr w:rsidR="00E538DB" w:rsidRPr="008205BF" w14:paraId="7131BDDD" w14:textId="77777777" w:rsidTr="00E538DB">
        <w:trPr>
          <w:cantSplit/>
        </w:trPr>
        <w:tc>
          <w:tcPr>
            <w:tcW w:w="2394" w:type="dxa"/>
            <w:shd w:val="clear" w:color="auto" w:fill="auto"/>
          </w:tcPr>
          <w:p w14:paraId="4219DFC8"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668.410-Consequences of </w:t>
            </w:r>
            <w:r>
              <w:rPr>
                <w:rFonts w:ascii="Courier New" w:eastAsia="Times New Roman" w:hAnsi="Courier New" w:cs="Courier New"/>
                <w:sz w:val="24"/>
                <w:szCs w:val="24"/>
              </w:rPr>
              <w:t>the D/E rates</w:t>
            </w:r>
            <w:r w:rsidRPr="00266524">
              <w:rPr>
                <w:rFonts w:ascii="Courier New" w:eastAsia="Times New Roman" w:hAnsi="Courier New" w:cs="Courier New"/>
                <w:sz w:val="24"/>
                <w:szCs w:val="24"/>
              </w:rPr>
              <w:t xml:space="preserve"> measure.</w:t>
            </w:r>
          </w:p>
        </w:tc>
        <w:tc>
          <w:tcPr>
            <w:tcW w:w="2394" w:type="dxa"/>
            <w:shd w:val="clear" w:color="auto" w:fill="auto"/>
          </w:tcPr>
          <w:p w14:paraId="75AAD50B"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The regulations provide that for any year the Secretary notifies the institution that a GE program could become ineligible based on </w:t>
            </w:r>
            <w:r>
              <w:rPr>
                <w:rFonts w:ascii="Courier New" w:eastAsia="Times New Roman" w:hAnsi="Courier New" w:cs="Courier New"/>
                <w:sz w:val="24"/>
                <w:szCs w:val="24"/>
              </w:rPr>
              <w:t>its D/E rates</w:t>
            </w:r>
            <w:r w:rsidRPr="00266524">
              <w:rPr>
                <w:rFonts w:ascii="Courier New" w:eastAsia="Times New Roman" w:hAnsi="Courier New" w:cs="Courier New"/>
                <w:sz w:val="24"/>
                <w:szCs w:val="24"/>
              </w:rPr>
              <w:t xml:space="preserve"> for the next award year the institution must provide </w:t>
            </w:r>
            <w:r>
              <w:rPr>
                <w:rFonts w:ascii="Courier New" w:eastAsia="Times New Roman" w:hAnsi="Courier New" w:cs="Courier New"/>
                <w:sz w:val="24"/>
                <w:szCs w:val="24"/>
              </w:rPr>
              <w:t>student</w:t>
            </w:r>
            <w:r w:rsidRPr="00266524">
              <w:rPr>
                <w:rFonts w:ascii="Courier New" w:eastAsia="Times New Roman" w:hAnsi="Courier New" w:cs="Courier New"/>
                <w:sz w:val="24"/>
                <w:szCs w:val="24"/>
              </w:rPr>
              <w:t xml:space="preserve"> warnings.</w:t>
            </w:r>
          </w:p>
        </w:tc>
        <w:tc>
          <w:tcPr>
            <w:tcW w:w="2394" w:type="dxa"/>
            <w:shd w:val="clear" w:color="auto" w:fill="auto"/>
          </w:tcPr>
          <w:p w14:paraId="35BBFB96"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1845-0123  This will be a new collection.  We estimate that the burden for institutions will increase by 1,065,198 hours.  We estimate that burden will increase for individuals by 1,050,857 hours.</w:t>
            </w:r>
          </w:p>
        </w:tc>
        <w:tc>
          <w:tcPr>
            <w:tcW w:w="2394" w:type="dxa"/>
            <w:shd w:val="clear" w:color="auto" w:fill="auto"/>
          </w:tcPr>
          <w:p w14:paraId="07AF7540"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56,061,956</w:t>
            </w:r>
          </w:p>
        </w:tc>
      </w:tr>
      <w:tr w:rsidR="00E538DB" w:rsidRPr="008205BF" w14:paraId="1DE41EB7" w14:textId="77777777" w:rsidTr="00E538DB">
        <w:tc>
          <w:tcPr>
            <w:tcW w:w="2394" w:type="dxa"/>
            <w:shd w:val="clear" w:color="auto" w:fill="auto"/>
          </w:tcPr>
          <w:p w14:paraId="1C4DA82C"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668.411-Reporting requirements for GE programs.</w:t>
            </w:r>
          </w:p>
        </w:tc>
        <w:tc>
          <w:tcPr>
            <w:tcW w:w="2394" w:type="dxa"/>
            <w:shd w:val="clear" w:color="auto" w:fill="auto"/>
          </w:tcPr>
          <w:p w14:paraId="6A394E36"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require institution</w:t>
            </w:r>
            <w:r>
              <w:rPr>
                <w:rFonts w:ascii="Courier New" w:eastAsia="Times New Roman" w:hAnsi="Courier New" w:cs="Courier New"/>
                <w:sz w:val="24"/>
                <w:szCs w:val="24"/>
              </w:rPr>
              <w:t>s</w:t>
            </w:r>
            <w:r w:rsidRPr="00266524">
              <w:rPr>
                <w:rFonts w:ascii="Courier New" w:eastAsia="Times New Roman" w:hAnsi="Courier New" w:cs="Courier New"/>
                <w:sz w:val="24"/>
                <w:szCs w:val="24"/>
              </w:rPr>
              <w:t xml:space="preserve"> </w:t>
            </w:r>
            <w:r>
              <w:rPr>
                <w:rFonts w:ascii="Courier New" w:eastAsia="Times New Roman" w:hAnsi="Courier New" w:cs="Courier New"/>
                <w:sz w:val="24"/>
                <w:szCs w:val="24"/>
              </w:rPr>
              <w:t>to</w:t>
            </w:r>
            <w:r w:rsidRPr="00266524">
              <w:rPr>
                <w:rFonts w:ascii="Courier New" w:eastAsia="Times New Roman" w:hAnsi="Courier New" w:cs="Courier New"/>
                <w:sz w:val="24"/>
                <w:szCs w:val="24"/>
              </w:rPr>
              <w:t xml:space="preserve"> report to the Department </w:t>
            </w:r>
            <w:r>
              <w:rPr>
                <w:rFonts w:ascii="Courier New" w:eastAsia="Times New Roman" w:hAnsi="Courier New" w:cs="Courier New"/>
                <w:sz w:val="24"/>
                <w:szCs w:val="24"/>
              </w:rPr>
              <w:t>information</w:t>
            </w:r>
            <w:r w:rsidRPr="00266524">
              <w:rPr>
                <w:rFonts w:ascii="Courier New" w:eastAsia="Times New Roman" w:hAnsi="Courier New" w:cs="Courier New"/>
                <w:sz w:val="24"/>
                <w:szCs w:val="24"/>
              </w:rPr>
              <w:t xml:space="preserve"> about students in GE programs.</w:t>
            </w:r>
          </w:p>
        </w:tc>
        <w:tc>
          <w:tcPr>
            <w:tcW w:w="2394" w:type="dxa"/>
            <w:shd w:val="clear" w:color="auto" w:fill="auto"/>
          </w:tcPr>
          <w:p w14:paraId="337A7098"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OMB 1845-0123  This will be a new collection.  We estimate that the burden will increase by </w:t>
            </w:r>
            <w:r>
              <w:rPr>
                <w:rFonts w:ascii="Courier New" w:eastAsia="Times New Roman" w:hAnsi="Courier New" w:cs="Courier New"/>
                <w:sz w:val="24"/>
                <w:szCs w:val="24"/>
              </w:rPr>
              <w:t>546,419</w:t>
            </w:r>
            <w:r w:rsidRPr="00266524">
              <w:rPr>
                <w:rFonts w:ascii="Courier New" w:eastAsia="Times New Roman" w:hAnsi="Courier New" w:cs="Courier New"/>
                <w:sz w:val="24"/>
                <w:szCs w:val="24"/>
              </w:rPr>
              <w:t xml:space="preserve"> hours.</w:t>
            </w:r>
          </w:p>
        </w:tc>
        <w:tc>
          <w:tcPr>
            <w:tcW w:w="2394" w:type="dxa"/>
            <w:shd w:val="clear" w:color="auto" w:fill="auto"/>
          </w:tcPr>
          <w:p w14:paraId="7B3E3E2C"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19,971,614</w:t>
            </w:r>
          </w:p>
        </w:tc>
      </w:tr>
      <w:tr w:rsidR="00E538DB" w:rsidRPr="008205BF" w14:paraId="3C223C04" w14:textId="77777777" w:rsidTr="00E538DB">
        <w:trPr>
          <w:cantSplit/>
        </w:trPr>
        <w:tc>
          <w:tcPr>
            <w:tcW w:w="2394" w:type="dxa"/>
            <w:shd w:val="clear" w:color="auto" w:fill="auto"/>
          </w:tcPr>
          <w:p w14:paraId="537B0834"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668.412-Disclosure requirement</w:t>
            </w:r>
            <w:r>
              <w:rPr>
                <w:rFonts w:ascii="Courier New" w:eastAsia="Times New Roman" w:hAnsi="Courier New" w:cs="Courier New"/>
                <w:sz w:val="24"/>
                <w:szCs w:val="24"/>
              </w:rPr>
              <w:t>s</w:t>
            </w:r>
            <w:r w:rsidRPr="00266524">
              <w:rPr>
                <w:rFonts w:ascii="Courier New" w:eastAsia="Times New Roman" w:hAnsi="Courier New" w:cs="Courier New"/>
                <w:sz w:val="24"/>
                <w:szCs w:val="24"/>
              </w:rPr>
              <w:t xml:space="preserve"> for GE programs.</w:t>
            </w:r>
          </w:p>
        </w:tc>
        <w:tc>
          <w:tcPr>
            <w:tcW w:w="2394" w:type="dxa"/>
            <w:shd w:val="clear" w:color="auto" w:fill="auto"/>
          </w:tcPr>
          <w:p w14:paraId="31F695CC"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require certain information about GE programs to be disclosed by institutions to enrolled and prospective students.</w:t>
            </w:r>
          </w:p>
        </w:tc>
        <w:tc>
          <w:tcPr>
            <w:tcW w:w="2394" w:type="dxa"/>
            <w:shd w:val="clear" w:color="auto" w:fill="auto"/>
          </w:tcPr>
          <w:p w14:paraId="5BDD83F5"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1845-0123  This will be a new collection.  We estimate that the burden for institutions will increase by 2,001,888 hours.  We estimate that the burden for individuals will increase by 1,116,272 hours.</w:t>
            </w:r>
          </w:p>
        </w:tc>
        <w:tc>
          <w:tcPr>
            <w:tcW w:w="2394" w:type="dxa"/>
            <w:shd w:val="clear" w:color="auto" w:fill="auto"/>
          </w:tcPr>
          <w:p w14:paraId="5C1C2778"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91,364,240</w:t>
            </w:r>
          </w:p>
          <w:p w14:paraId="3F22FBCA" w14:textId="77777777" w:rsidR="00E538DB" w:rsidRPr="004E459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trike/>
                <w:sz w:val="24"/>
                <w:szCs w:val="24"/>
              </w:rPr>
            </w:pPr>
          </w:p>
        </w:tc>
      </w:tr>
      <w:tr w:rsidR="00E538DB" w:rsidRPr="008205BF" w14:paraId="253CB983" w14:textId="77777777" w:rsidTr="00E538DB">
        <w:tc>
          <w:tcPr>
            <w:tcW w:w="2394" w:type="dxa"/>
            <w:shd w:val="clear" w:color="auto" w:fill="auto"/>
          </w:tcPr>
          <w:p w14:paraId="086531CF"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668.413-Calculating,  issuing, and challenging completion rates, withdrawal rates, repayment rates, median loan debt, and median earnings</w:t>
            </w:r>
            <w:r>
              <w:rPr>
                <w:rFonts w:ascii="Courier New" w:eastAsia="Times New Roman" w:hAnsi="Courier New" w:cs="Courier New"/>
                <w:sz w:val="24"/>
                <w:szCs w:val="24"/>
              </w:rPr>
              <w:t>, and program cohort default rates</w:t>
            </w:r>
            <w:r w:rsidRPr="00266524">
              <w:rPr>
                <w:rFonts w:ascii="Courier New" w:eastAsia="Times New Roman" w:hAnsi="Courier New" w:cs="Courier New"/>
                <w:sz w:val="24"/>
                <w:szCs w:val="24"/>
              </w:rPr>
              <w:t>.</w:t>
            </w:r>
          </w:p>
        </w:tc>
        <w:tc>
          <w:tcPr>
            <w:tcW w:w="2394" w:type="dxa"/>
            <w:shd w:val="clear" w:color="auto" w:fill="auto"/>
          </w:tcPr>
          <w:p w14:paraId="2D348933"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allow institutions to challenge the rates and median earnings calculated by the Department.</w:t>
            </w:r>
          </w:p>
        </w:tc>
        <w:tc>
          <w:tcPr>
            <w:tcW w:w="2394" w:type="dxa"/>
            <w:shd w:val="clear" w:color="auto" w:fill="auto"/>
          </w:tcPr>
          <w:p w14:paraId="53802971"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1845-0123  This will be a new collection.  We estimate that the burden will increase by 902,136 hours.</w:t>
            </w:r>
          </w:p>
        </w:tc>
        <w:tc>
          <w:tcPr>
            <w:tcW w:w="2394" w:type="dxa"/>
            <w:shd w:val="clear" w:color="auto" w:fill="auto"/>
          </w:tcPr>
          <w:p w14:paraId="76C2AB90"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32,973,071</w:t>
            </w:r>
          </w:p>
        </w:tc>
      </w:tr>
      <w:tr w:rsidR="00E538DB" w:rsidRPr="008205BF" w14:paraId="794B6D3C" w14:textId="77777777" w:rsidTr="00E538DB">
        <w:trPr>
          <w:cantSplit/>
        </w:trPr>
        <w:tc>
          <w:tcPr>
            <w:tcW w:w="2394" w:type="dxa"/>
            <w:shd w:val="clear" w:color="auto" w:fill="auto"/>
          </w:tcPr>
          <w:p w14:paraId="25A5965B"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668.414-Certification requirement</w:t>
            </w:r>
            <w:r>
              <w:rPr>
                <w:rFonts w:ascii="Courier New" w:eastAsia="Times New Roman" w:hAnsi="Courier New" w:cs="Courier New"/>
                <w:sz w:val="24"/>
                <w:szCs w:val="24"/>
              </w:rPr>
              <w:t>s</w:t>
            </w:r>
            <w:r w:rsidRPr="00266524">
              <w:rPr>
                <w:rFonts w:ascii="Courier New" w:eastAsia="Times New Roman" w:hAnsi="Courier New" w:cs="Courier New"/>
                <w:sz w:val="24"/>
                <w:szCs w:val="24"/>
              </w:rPr>
              <w:t xml:space="preserve"> for GE programs.</w:t>
            </w:r>
          </w:p>
        </w:tc>
        <w:tc>
          <w:tcPr>
            <w:tcW w:w="2394" w:type="dxa"/>
            <w:shd w:val="clear" w:color="auto" w:fill="auto"/>
          </w:tcPr>
          <w:p w14:paraId="5C85EAA3"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The regulations will add a requirement that </w:t>
            </w:r>
            <w:r>
              <w:rPr>
                <w:rFonts w:ascii="Courier New" w:eastAsia="Times New Roman" w:hAnsi="Courier New" w:cs="Courier New"/>
                <w:sz w:val="24"/>
                <w:szCs w:val="24"/>
              </w:rPr>
              <w:t xml:space="preserve">an </w:t>
            </w:r>
            <w:r w:rsidRPr="00266524">
              <w:rPr>
                <w:rFonts w:ascii="Courier New" w:eastAsia="Times New Roman" w:hAnsi="Courier New" w:cs="Courier New"/>
                <w:sz w:val="24"/>
                <w:szCs w:val="24"/>
              </w:rPr>
              <w:t>institution certify that GE programs it offers are approved or accredited by an accrediting agency or the State.</w:t>
            </w:r>
          </w:p>
          <w:p w14:paraId="1887574B"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p>
          <w:p w14:paraId="1B2C9730"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194F33">
              <w:rPr>
                <w:rFonts w:ascii="Courier New" w:eastAsia="Times New Roman" w:hAnsi="Courier New" w:cs="Courier New"/>
                <w:sz w:val="24"/>
                <w:szCs w:val="24"/>
              </w:rPr>
              <w:t xml:space="preserve">The regulations also add a requirement that </w:t>
            </w:r>
            <w:r w:rsidRPr="00194F33">
              <w:rPr>
                <w:rFonts w:ascii="Courier New" w:eastAsia="MS Mincho" w:hAnsi="Courier New" w:cs="Courier New"/>
                <w:sz w:val="24"/>
                <w:szCs w:val="24"/>
              </w:rPr>
              <w:t>the institution must provide an explanation of how a new GE program is not substantially similar to an ineligible or voluntarily discontinued program.</w:t>
            </w:r>
            <w:r w:rsidRPr="00F234E4">
              <w:rPr>
                <w:rFonts w:ascii="Courier New" w:eastAsia="MS Mincho" w:hAnsi="Courier New" w:cs="Courier New"/>
                <w:sz w:val="24"/>
                <w:szCs w:val="24"/>
              </w:rPr>
              <w:t xml:space="preserve"> </w:t>
            </w: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p>
        </w:tc>
        <w:tc>
          <w:tcPr>
            <w:tcW w:w="2394" w:type="dxa"/>
            <w:shd w:val="clear" w:color="auto" w:fill="auto"/>
          </w:tcPr>
          <w:p w14:paraId="18B0D618"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1845-0123  This will be a new collection.  We estimate that the burden will increase by 1,981 hours.</w:t>
            </w:r>
          </w:p>
        </w:tc>
        <w:tc>
          <w:tcPr>
            <w:tcW w:w="2394" w:type="dxa"/>
            <w:shd w:val="clear" w:color="auto" w:fill="auto"/>
          </w:tcPr>
          <w:p w14:paraId="53121F66"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72,406</w:t>
            </w:r>
          </w:p>
        </w:tc>
      </w:tr>
      <w:tr w:rsidR="00E538DB" w:rsidRPr="008205BF" w14:paraId="24C912D7" w14:textId="77777777" w:rsidTr="00E538DB">
        <w:tc>
          <w:tcPr>
            <w:tcW w:w="2394" w:type="dxa"/>
            <w:shd w:val="clear" w:color="auto" w:fill="auto"/>
          </w:tcPr>
          <w:p w14:paraId="5DAA8730"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668.504-Draft program cohort default rates and challenges.</w:t>
            </w:r>
          </w:p>
        </w:tc>
        <w:tc>
          <w:tcPr>
            <w:tcW w:w="2394" w:type="dxa"/>
            <w:shd w:val="clear" w:color="auto" w:fill="auto"/>
          </w:tcPr>
          <w:p w14:paraId="721127F5"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allow an institution to challenge the draft program cohort default rates.</w:t>
            </w:r>
          </w:p>
        </w:tc>
        <w:tc>
          <w:tcPr>
            <w:tcW w:w="2394" w:type="dxa"/>
            <w:shd w:val="clear" w:color="auto" w:fill="auto"/>
          </w:tcPr>
          <w:p w14:paraId="1736D4F2"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OMB 1845-0121  This will be a new collection.  We estimate that the burden will increase 5,140 hours. </w:t>
            </w:r>
          </w:p>
        </w:tc>
        <w:tc>
          <w:tcPr>
            <w:tcW w:w="2394" w:type="dxa"/>
            <w:shd w:val="clear" w:color="auto" w:fill="auto"/>
          </w:tcPr>
          <w:p w14:paraId="2D9413D1"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187,867</w:t>
            </w:r>
          </w:p>
        </w:tc>
      </w:tr>
      <w:tr w:rsidR="00E538DB" w:rsidRPr="008205BF" w14:paraId="62EB673C" w14:textId="77777777" w:rsidTr="00E538DB">
        <w:trPr>
          <w:cantSplit/>
        </w:trPr>
        <w:tc>
          <w:tcPr>
            <w:tcW w:w="2394" w:type="dxa"/>
            <w:shd w:val="clear" w:color="auto" w:fill="auto"/>
          </w:tcPr>
          <w:p w14:paraId="50E49ABF"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668.509-Uncorrected data adjustments.</w:t>
            </w:r>
          </w:p>
        </w:tc>
        <w:tc>
          <w:tcPr>
            <w:tcW w:w="2394" w:type="dxa"/>
            <w:shd w:val="clear" w:color="auto" w:fill="auto"/>
          </w:tcPr>
          <w:p w14:paraId="6D1166A7"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The regulations will allow institutions to request a data adjustment when agreed-upon data changes were not reflected in the official program </w:t>
            </w:r>
            <w:r>
              <w:rPr>
                <w:rFonts w:ascii="Courier New" w:eastAsia="Times New Roman" w:hAnsi="Courier New" w:cs="Courier New"/>
                <w:sz w:val="24"/>
                <w:szCs w:val="24"/>
              </w:rPr>
              <w:t xml:space="preserve">cohort </w:t>
            </w:r>
            <w:r w:rsidRPr="00266524">
              <w:rPr>
                <w:rFonts w:ascii="Courier New" w:eastAsia="Times New Roman" w:hAnsi="Courier New" w:cs="Courier New"/>
                <w:sz w:val="24"/>
                <w:szCs w:val="24"/>
              </w:rPr>
              <w:t>default rate.</w:t>
            </w:r>
          </w:p>
        </w:tc>
        <w:tc>
          <w:tcPr>
            <w:tcW w:w="2394" w:type="dxa"/>
            <w:shd w:val="clear" w:color="auto" w:fill="auto"/>
          </w:tcPr>
          <w:p w14:paraId="4F9C09A1"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1845-0121  This will be a new collection.  We estimate that the burden will increase by 32</w:t>
            </w:r>
            <w:r>
              <w:rPr>
                <w:rFonts w:ascii="Courier New" w:eastAsia="Times New Roman" w:hAnsi="Courier New" w:cs="Courier New"/>
                <w:sz w:val="24"/>
                <w:szCs w:val="24"/>
              </w:rPr>
              <w:t>6</w:t>
            </w:r>
            <w:r w:rsidRPr="00266524">
              <w:rPr>
                <w:rFonts w:ascii="Courier New" w:eastAsia="Times New Roman" w:hAnsi="Courier New" w:cs="Courier New"/>
                <w:sz w:val="24"/>
                <w:szCs w:val="24"/>
              </w:rPr>
              <w:t xml:space="preserve"> hours.</w:t>
            </w:r>
          </w:p>
        </w:tc>
        <w:tc>
          <w:tcPr>
            <w:tcW w:w="2394" w:type="dxa"/>
            <w:shd w:val="clear" w:color="auto" w:fill="auto"/>
          </w:tcPr>
          <w:p w14:paraId="302A5429"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11,9</w:t>
            </w:r>
            <w:r>
              <w:rPr>
                <w:rFonts w:ascii="Courier New" w:eastAsia="Times New Roman" w:hAnsi="Courier New" w:cs="Courier New"/>
                <w:sz w:val="24"/>
                <w:szCs w:val="24"/>
              </w:rPr>
              <w:t>15</w:t>
            </w:r>
          </w:p>
        </w:tc>
      </w:tr>
      <w:tr w:rsidR="00E538DB" w:rsidRPr="008205BF" w14:paraId="32970242" w14:textId="77777777" w:rsidTr="00E538DB">
        <w:tc>
          <w:tcPr>
            <w:tcW w:w="2394" w:type="dxa"/>
            <w:shd w:val="clear" w:color="auto" w:fill="auto"/>
          </w:tcPr>
          <w:p w14:paraId="7BE4476E"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668.510-New data adjustments.</w:t>
            </w:r>
          </w:p>
        </w:tc>
        <w:tc>
          <w:tcPr>
            <w:tcW w:w="2394" w:type="dxa"/>
            <w:shd w:val="clear" w:color="auto" w:fill="auto"/>
          </w:tcPr>
          <w:p w14:paraId="7F95309B"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 xml:space="preserve">The regulations will allow institutions to request a new data adjustment if a comparison of the draft and final LRDR show that data have been included, excluded, or otherwise changed and the errors are confirmed by the data manager. </w:t>
            </w:r>
          </w:p>
        </w:tc>
        <w:tc>
          <w:tcPr>
            <w:tcW w:w="2394" w:type="dxa"/>
            <w:shd w:val="clear" w:color="auto" w:fill="auto"/>
          </w:tcPr>
          <w:p w14:paraId="1976AEDC"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1845-0121  This will be a new collection.  We estimate that the burden will increase by 76 hours.</w:t>
            </w:r>
          </w:p>
        </w:tc>
        <w:tc>
          <w:tcPr>
            <w:tcW w:w="2394" w:type="dxa"/>
            <w:shd w:val="clear" w:color="auto" w:fill="auto"/>
          </w:tcPr>
          <w:p w14:paraId="791EEDD5"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2,778</w:t>
            </w:r>
          </w:p>
        </w:tc>
      </w:tr>
      <w:tr w:rsidR="00E538DB" w:rsidRPr="008205BF" w14:paraId="486C84D9" w14:textId="77777777" w:rsidTr="00E538DB">
        <w:trPr>
          <w:cantSplit/>
        </w:trPr>
        <w:tc>
          <w:tcPr>
            <w:tcW w:w="2394" w:type="dxa"/>
            <w:shd w:val="clear" w:color="auto" w:fill="auto"/>
          </w:tcPr>
          <w:p w14:paraId="663E7DCF"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668.511-Erroneous data appeals.</w:t>
            </w:r>
          </w:p>
        </w:tc>
        <w:tc>
          <w:tcPr>
            <w:tcW w:w="2394" w:type="dxa"/>
            <w:shd w:val="clear" w:color="auto" w:fill="auto"/>
          </w:tcPr>
          <w:p w14:paraId="066D5441"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allow an institution to appeal the program cohort default rate calculation when the accuracy was previously challenged on the basis of incorrect data.</w:t>
            </w:r>
          </w:p>
        </w:tc>
        <w:tc>
          <w:tcPr>
            <w:tcW w:w="2394" w:type="dxa"/>
            <w:shd w:val="clear" w:color="auto" w:fill="auto"/>
          </w:tcPr>
          <w:p w14:paraId="2B46043A"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1845-0121  This will be a new collection.  We estimate that the burden will increase by 0 hours.</w:t>
            </w:r>
          </w:p>
        </w:tc>
        <w:tc>
          <w:tcPr>
            <w:tcW w:w="2394" w:type="dxa"/>
            <w:shd w:val="clear" w:color="auto" w:fill="auto"/>
          </w:tcPr>
          <w:p w14:paraId="381CEAE7"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0</w:t>
            </w:r>
          </w:p>
        </w:tc>
      </w:tr>
      <w:tr w:rsidR="00E538DB" w:rsidRPr="008205BF" w14:paraId="722DD3C2" w14:textId="77777777" w:rsidTr="00E538DB">
        <w:tc>
          <w:tcPr>
            <w:tcW w:w="2394" w:type="dxa"/>
            <w:shd w:val="clear" w:color="auto" w:fill="auto"/>
          </w:tcPr>
          <w:p w14:paraId="06314603"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668.512-Loan Servicing Appeal.</w:t>
            </w:r>
          </w:p>
        </w:tc>
        <w:tc>
          <w:tcPr>
            <w:tcW w:w="2394" w:type="dxa"/>
            <w:shd w:val="clear" w:color="auto" w:fill="auto"/>
          </w:tcPr>
          <w:p w14:paraId="2B579804"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The regulations will allow an institution to appeal on the basis of improper loan servicing or collection where the institution can prove that the servicer failed to perform required servicing or collections activities.</w:t>
            </w:r>
          </w:p>
        </w:tc>
        <w:tc>
          <w:tcPr>
            <w:tcW w:w="2394" w:type="dxa"/>
            <w:shd w:val="clear" w:color="auto" w:fill="auto"/>
          </w:tcPr>
          <w:p w14:paraId="5A6F8A66"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sidRPr="00266524">
              <w:rPr>
                <w:rFonts w:ascii="Courier New" w:eastAsia="Times New Roman" w:hAnsi="Courier New" w:cs="Courier New"/>
                <w:sz w:val="24"/>
                <w:szCs w:val="24"/>
              </w:rPr>
              <w:t>OMB 1845-0121  This will be a new collection.  We estimate that the burden will increase by 114 hours.</w:t>
            </w:r>
          </w:p>
        </w:tc>
        <w:tc>
          <w:tcPr>
            <w:tcW w:w="2394" w:type="dxa"/>
            <w:shd w:val="clear" w:color="auto" w:fill="auto"/>
          </w:tcPr>
          <w:p w14:paraId="041D46B2" w14:textId="77777777" w:rsidR="00E538DB" w:rsidRPr="00266524"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4"/>
                <w:szCs w:val="24"/>
              </w:rPr>
            </w:pPr>
            <w:r>
              <w:rPr>
                <w:rFonts w:ascii="Courier New" w:eastAsia="Times New Roman" w:hAnsi="Courier New" w:cs="Courier New"/>
                <w:sz w:val="24"/>
                <w:szCs w:val="24"/>
              </w:rPr>
              <w:t>$</w:t>
            </w:r>
            <w:r w:rsidRPr="00266524">
              <w:rPr>
                <w:rFonts w:ascii="Courier New" w:eastAsia="Times New Roman" w:hAnsi="Courier New" w:cs="Courier New"/>
                <w:sz w:val="24"/>
                <w:szCs w:val="24"/>
              </w:rPr>
              <w:t>4,167</w:t>
            </w:r>
          </w:p>
        </w:tc>
      </w:tr>
    </w:tbl>
    <w:p w14:paraId="6321A30C"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p>
    <w:p w14:paraId="1C790104"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p>
    <w:p w14:paraId="6928C161"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8205BF">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8205BF">
        <w:rPr>
          <w:rFonts w:ascii="Courier New" w:eastAsia="Times New Roman" w:hAnsi="Courier New" w:cs="Courier New"/>
          <w:sz w:val="24"/>
          <w:szCs w:val="24"/>
        </w:rPr>
        <w:t>The total burden hours and change in burden hours associated with each OMB Control number affected by the regulations follows:</w:t>
      </w:r>
    </w:p>
    <w:p w14:paraId="5B8F98A7" w14:textId="77777777" w:rsidR="00E538DB"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p>
    <w:p w14:paraId="2EE02685" w14:textId="77777777" w:rsidR="00E538DB" w:rsidRPr="008205BF" w:rsidRDefault="00E538DB" w:rsidP="00E5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w:t>
      </w:r>
      <w:r>
        <w:rPr>
          <w:rFonts w:ascii="Courier New" w:eastAsia="Times New Roman" w:hAnsi="Courier New" w:cs="Courier New"/>
          <w:sz w:val="24"/>
          <w:szCs w:val="24"/>
        </w:rPr>
        <w:tab/>
      </w:r>
    </w:p>
    <w:p w14:paraId="68328CB6" w14:textId="77777777" w:rsidR="00E538DB" w:rsidRDefault="00E538DB" w:rsidP="00E538DB">
      <w:r>
        <w:tab/>
      </w:r>
      <w:r>
        <w:tab/>
      </w:r>
      <w:r>
        <w:tab/>
      </w:r>
      <w:r>
        <w:tab/>
      </w:r>
      <w:r>
        <w:tab/>
        <w:t>Total current</w:t>
      </w:r>
      <w:r>
        <w:tab/>
      </w:r>
      <w:r>
        <w:tab/>
      </w:r>
      <w:r>
        <w:tab/>
        <w:t>Change</w:t>
      </w:r>
    </w:p>
    <w:p w14:paraId="764D1E7F" w14:textId="77777777" w:rsidR="00E538DB" w:rsidRDefault="00E538DB" w:rsidP="00E538DB">
      <w:pPr>
        <w:ind w:firstLine="720"/>
      </w:pPr>
      <w:r>
        <w:t>Control No.</w:t>
      </w:r>
      <w:r>
        <w:tab/>
      </w:r>
      <w:r>
        <w:tab/>
      </w:r>
      <w:r>
        <w:tab/>
        <w:t>burden hours</w:t>
      </w:r>
      <w:r>
        <w:tab/>
      </w:r>
      <w:r>
        <w:tab/>
      </w:r>
      <w:r>
        <w:tab/>
        <w:t>in burden hours</w:t>
      </w:r>
    </w:p>
    <w:p w14:paraId="0797DC0F" w14:textId="77777777" w:rsidR="00E538DB" w:rsidRDefault="00E538DB" w:rsidP="00E538DB">
      <w:r>
        <w:t>-----------------------------------------------------------------------------------------------------------------------------</w:t>
      </w:r>
    </w:p>
    <w:p w14:paraId="67E1F0E8" w14:textId="77777777" w:rsidR="00E538DB" w:rsidRDefault="00E538DB" w:rsidP="00E538DB">
      <w:r>
        <w:t>1845-0123……………….</w:t>
      </w:r>
      <w:r>
        <w:tab/>
      </w:r>
      <w:r>
        <w:tab/>
      </w:r>
      <w:r>
        <w:tab/>
      </w:r>
      <w:r>
        <w:tab/>
        <w:t xml:space="preserve"> 0</w:t>
      </w:r>
      <w:r>
        <w:tab/>
      </w:r>
      <w:r>
        <w:tab/>
      </w:r>
      <w:r>
        <w:tab/>
        <w:t>+  6,896,111</w:t>
      </w:r>
    </w:p>
    <w:p w14:paraId="61E3DCBB" w14:textId="77777777" w:rsidR="00E538DB" w:rsidRDefault="00E538DB" w:rsidP="00E538DB">
      <w:r>
        <w:t>1845-0122……………….</w:t>
      </w:r>
      <w:r>
        <w:tab/>
      </w:r>
      <w:r>
        <w:tab/>
      </w:r>
      <w:r>
        <w:tab/>
      </w:r>
      <w:r>
        <w:tab/>
        <w:t xml:space="preserve"> 0</w:t>
      </w:r>
      <w:r>
        <w:tab/>
      </w:r>
      <w:r>
        <w:tab/>
        <w:t xml:space="preserve">                        23,860</w:t>
      </w:r>
    </w:p>
    <w:p w14:paraId="7D97D3B6" w14:textId="77777777" w:rsidR="00E538DB" w:rsidRDefault="00E538DB" w:rsidP="00E538DB">
      <w:r>
        <w:t>1845-0121……………….</w:t>
      </w:r>
      <w:r>
        <w:tab/>
      </w:r>
      <w:r>
        <w:tab/>
      </w:r>
      <w:r>
        <w:tab/>
      </w:r>
      <w:r>
        <w:tab/>
        <w:t xml:space="preserve"> 0</w:t>
      </w:r>
      <w:r>
        <w:tab/>
      </w:r>
      <w:r>
        <w:tab/>
        <w:t xml:space="preserve">                          5,656</w:t>
      </w:r>
      <w:r>
        <w:tab/>
      </w:r>
    </w:p>
    <w:p w14:paraId="44A1EEE5" w14:textId="77777777" w:rsidR="00E538DB" w:rsidRDefault="00E538DB" w:rsidP="00E538DB">
      <w:pPr>
        <w:ind w:left="3600" w:firstLine="720"/>
      </w:pPr>
      <w:r>
        <w:t>------------------------------------------------------</w:t>
      </w:r>
    </w:p>
    <w:p w14:paraId="135691C0" w14:textId="77777777" w:rsidR="00E538DB" w:rsidRDefault="00E538DB" w:rsidP="00E538DB">
      <w:r>
        <w:t>Total……………………….</w:t>
      </w:r>
      <w:r>
        <w:tab/>
      </w:r>
      <w:r>
        <w:tab/>
      </w:r>
      <w:r>
        <w:tab/>
      </w:r>
      <w:r>
        <w:tab/>
        <w:t xml:space="preserve"> 0 </w:t>
      </w:r>
      <w:r>
        <w:tab/>
      </w:r>
      <w:r>
        <w:tab/>
        <w:t xml:space="preserve">                  6,925,627</w:t>
      </w:r>
    </w:p>
    <w:p w14:paraId="0C4A89B9" w14:textId="1B4877C1" w:rsidR="00993881" w:rsidRDefault="00993881" w:rsidP="00915790">
      <w:pPr>
        <w:spacing w:after="0" w:line="480" w:lineRule="auto"/>
        <w:rPr>
          <w:rFonts w:ascii="Courier New" w:hAnsi="Courier New"/>
          <w:sz w:val="24"/>
          <w:szCs w:val="24"/>
        </w:rPr>
      </w:pPr>
    </w:p>
    <w:p w14:paraId="5011FD83" w14:textId="77777777" w:rsidR="00993881" w:rsidRPr="002B6399" w:rsidRDefault="00993881" w:rsidP="00993881">
      <w:pPr>
        <w:spacing w:after="0" w:line="480" w:lineRule="auto"/>
        <w:rPr>
          <w:rFonts w:ascii="Courier New" w:hAnsi="Courier New" w:cs="Courier New"/>
          <w:sz w:val="24"/>
          <w:szCs w:val="24"/>
          <w:u w:val="single"/>
        </w:rPr>
      </w:pPr>
      <w:r w:rsidRPr="002B6399">
        <w:rPr>
          <w:rFonts w:ascii="Courier New" w:hAnsi="Courier New" w:cs="Courier New"/>
          <w:sz w:val="24"/>
          <w:szCs w:val="24"/>
          <w:u w:val="single"/>
        </w:rPr>
        <w:t>Assessment of Educational Impact</w:t>
      </w:r>
    </w:p>
    <w:p w14:paraId="5D375824" w14:textId="77777777" w:rsidR="00993881" w:rsidRPr="002B6399" w:rsidRDefault="00993881" w:rsidP="00993881">
      <w:pPr>
        <w:spacing w:after="0" w:line="480" w:lineRule="auto"/>
        <w:ind w:firstLine="720"/>
        <w:rPr>
          <w:rFonts w:ascii="Courier New" w:hAnsi="Courier New" w:cs="Courier New"/>
          <w:sz w:val="24"/>
          <w:szCs w:val="24"/>
        </w:rPr>
      </w:pPr>
      <w:r w:rsidRPr="002B6399">
        <w:rPr>
          <w:rFonts w:ascii="Courier New" w:hAnsi="Courier New" w:cs="Courier New"/>
          <w:sz w:val="24"/>
          <w:szCs w:val="24"/>
        </w:rPr>
        <w:t>In the NPRM we requested comments on whether the proposed regulations would require transmission of information that any other agency or authority of the United States gathers or makes available.</w:t>
      </w:r>
    </w:p>
    <w:p w14:paraId="2F3D36D8" w14:textId="77777777" w:rsidR="00993881" w:rsidRPr="002B6399" w:rsidRDefault="00993881" w:rsidP="00993881">
      <w:pPr>
        <w:spacing w:after="0" w:line="480" w:lineRule="auto"/>
        <w:ind w:firstLine="720"/>
        <w:rPr>
          <w:rFonts w:ascii="Courier New" w:hAnsi="Courier New" w:cs="Courier New"/>
          <w:sz w:val="24"/>
          <w:szCs w:val="24"/>
        </w:rPr>
      </w:pPr>
      <w:r w:rsidRPr="002B6399">
        <w:rPr>
          <w:rFonts w:ascii="Courier New" w:hAnsi="Courier New" w:cs="Courier New"/>
          <w:sz w:val="24"/>
          <w:szCs w:val="24"/>
        </w:rPr>
        <w:t>Based on the response to the NPRM and on our review, we have determined that these final regulations do not require transmission of information that any other agency or authority of the United States gathers or makes available.</w:t>
      </w:r>
    </w:p>
    <w:p w14:paraId="5A6DC72C" w14:textId="77777777" w:rsidR="00993881" w:rsidRPr="002B6399" w:rsidRDefault="00993881" w:rsidP="00993881">
      <w:pPr>
        <w:spacing w:after="0" w:line="480" w:lineRule="auto"/>
        <w:rPr>
          <w:rFonts w:ascii="Courier New" w:hAnsi="Courier New" w:cs="Courier New"/>
          <w:sz w:val="24"/>
          <w:szCs w:val="24"/>
        </w:rPr>
      </w:pPr>
      <w:r w:rsidRPr="002B6399">
        <w:rPr>
          <w:rFonts w:ascii="Courier New" w:hAnsi="Courier New" w:cs="Courier New"/>
          <w:sz w:val="24"/>
          <w:szCs w:val="24"/>
          <w:u w:val="single"/>
        </w:rPr>
        <w:t>Accessible Format</w:t>
      </w:r>
      <w:r w:rsidRPr="002B6399">
        <w:rPr>
          <w:rFonts w:ascii="Courier New" w:hAnsi="Courier New" w:cs="Courier New"/>
          <w:sz w:val="24"/>
          <w:szCs w:val="24"/>
        </w:rPr>
        <w:t>:  Individuals with disabilities can obtain this document in an accessible format (e.g., braille, large print, audiotape, or compact disc) on request to the program contact person listed under FOR FURTHER INFORMATION CONTACT.</w:t>
      </w:r>
    </w:p>
    <w:p w14:paraId="407EC07F" w14:textId="77777777" w:rsidR="00993881" w:rsidRPr="002B6399" w:rsidRDefault="00993881" w:rsidP="00993881">
      <w:pPr>
        <w:spacing w:after="0" w:line="480" w:lineRule="auto"/>
        <w:rPr>
          <w:rFonts w:ascii="Courier New" w:hAnsi="Courier New" w:cs="Courier New"/>
          <w:sz w:val="24"/>
          <w:szCs w:val="24"/>
        </w:rPr>
      </w:pPr>
      <w:r w:rsidRPr="002B6399">
        <w:rPr>
          <w:rFonts w:ascii="Courier New" w:hAnsi="Courier New" w:cs="Courier New"/>
          <w:sz w:val="24"/>
          <w:szCs w:val="24"/>
          <w:u w:val="single"/>
        </w:rPr>
        <w:t>Electronic Access to This Document</w:t>
      </w:r>
      <w:r w:rsidRPr="002B6399">
        <w:rPr>
          <w:rFonts w:ascii="Courier New" w:hAnsi="Courier New" w:cs="Courier New"/>
          <w:sz w:val="24"/>
          <w:szCs w:val="24"/>
        </w:rPr>
        <w:t xml:space="preserve">:  The official version of this document is the document published in the </w:t>
      </w:r>
      <w:r w:rsidRPr="002B6399">
        <w:rPr>
          <w:rFonts w:ascii="Courier New" w:hAnsi="Courier New" w:cs="Courier New"/>
          <w:sz w:val="24"/>
          <w:szCs w:val="24"/>
          <w:u w:val="single"/>
        </w:rPr>
        <w:t>Federal Register</w:t>
      </w:r>
      <w:r w:rsidRPr="002B6399">
        <w:rPr>
          <w:rFonts w:ascii="Courier New" w:hAnsi="Courier New" w:cs="Courier New"/>
          <w:sz w:val="24"/>
          <w:szCs w:val="24"/>
        </w:rPr>
        <w:t xml:space="preserve">.  Free Internet access to the official edition of the </w:t>
      </w:r>
      <w:r w:rsidRPr="002B6399">
        <w:rPr>
          <w:rFonts w:ascii="Courier New" w:hAnsi="Courier New" w:cs="Courier New"/>
          <w:sz w:val="24"/>
          <w:szCs w:val="24"/>
          <w:u w:val="single"/>
        </w:rPr>
        <w:t>Federal Register</w:t>
      </w:r>
      <w:r w:rsidRPr="002B6399">
        <w:rPr>
          <w:rFonts w:ascii="Courier New"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2B6399">
        <w:rPr>
          <w:rFonts w:ascii="Courier New" w:hAnsi="Courier New" w:cs="Courier New"/>
          <w:sz w:val="24"/>
          <w:szCs w:val="24"/>
          <w:u w:val="single"/>
        </w:rPr>
        <w:t>Federal Register</w:t>
      </w:r>
      <w:r w:rsidRPr="002B6399">
        <w:rPr>
          <w:rFonts w:ascii="Courier New" w:hAnsi="Courier New" w:cs="Courier New"/>
          <w:sz w:val="24"/>
          <w:szCs w:val="24"/>
        </w:rPr>
        <w:t>,</w:t>
      </w:r>
      <w:r w:rsidRPr="002B6399">
        <w:rPr>
          <w:rFonts w:ascii="Courier New" w:hAnsi="Courier New" w:cs="Courier New"/>
          <w:b/>
          <w:sz w:val="24"/>
          <w:szCs w:val="24"/>
        </w:rPr>
        <w:t xml:space="preserve"> </w:t>
      </w:r>
      <w:r w:rsidRPr="002B6399">
        <w:rPr>
          <w:rFonts w:ascii="Courier New" w:hAnsi="Courier New" w:cs="Courier New"/>
          <w:sz w:val="24"/>
          <w:szCs w:val="24"/>
        </w:rPr>
        <w:t>in text or Adobe Portable Document Format (PDF).  To use PDF you must have Adobe Acrobat Reader, which is available free at the site.</w:t>
      </w:r>
    </w:p>
    <w:p w14:paraId="59AB95FC" w14:textId="77777777" w:rsidR="00993881" w:rsidRPr="00F9157E" w:rsidRDefault="00993881" w:rsidP="00993881">
      <w:pPr>
        <w:spacing w:after="0" w:line="480" w:lineRule="auto"/>
        <w:rPr>
          <w:rFonts w:ascii="Courier New" w:hAnsi="Courier New" w:cs="Courier New"/>
          <w:sz w:val="24"/>
          <w:szCs w:val="24"/>
        </w:rPr>
      </w:pPr>
      <w:r w:rsidRPr="002B6399">
        <w:rPr>
          <w:rFonts w:ascii="Courier New" w:hAnsi="Courier New" w:cs="Courier New"/>
          <w:sz w:val="24"/>
          <w:szCs w:val="24"/>
        </w:rPr>
        <w:t xml:space="preserve">     You may also access documents of the Department published in the </w:t>
      </w:r>
      <w:r w:rsidRPr="002B6399">
        <w:rPr>
          <w:rFonts w:ascii="Courier New" w:hAnsi="Courier New" w:cs="Courier New"/>
          <w:sz w:val="24"/>
          <w:szCs w:val="24"/>
          <w:u w:val="single"/>
        </w:rPr>
        <w:t>Federal Register</w:t>
      </w:r>
      <w:r w:rsidRPr="002B6399">
        <w:rPr>
          <w:rFonts w:ascii="Courier New" w:hAnsi="Courier New" w:cs="Courier New"/>
          <w:sz w:val="24"/>
          <w:szCs w:val="24"/>
        </w:rPr>
        <w:t xml:space="preserve"> by using the article search feature at:</w:t>
      </w:r>
      <w:r>
        <w:rPr>
          <w:rFonts w:ascii="Courier New" w:hAnsi="Courier New" w:cs="Courier New"/>
          <w:sz w:val="24"/>
          <w:szCs w:val="24"/>
        </w:rPr>
        <w:t xml:space="preserve"> </w:t>
      </w:r>
      <w:r w:rsidRPr="002B6399">
        <w:rPr>
          <w:rFonts w:ascii="Courier New" w:hAnsi="Courier New" w:cs="Courier New"/>
          <w:sz w:val="24"/>
          <w:szCs w:val="24"/>
        </w:rPr>
        <w:t xml:space="preserve"> www.federalregister.gov.  Specifically, through the advanced search feature at this site, you can </w:t>
      </w:r>
      <w:r w:rsidRPr="00F9157E">
        <w:rPr>
          <w:rFonts w:ascii="Courier New" w:hAnsi="Courier New" w:cs="Courier New"/>
          <w:sz w:val="24"/>
          <w:szCs w:val="24"/>
        </w:rPr>
        <w:t xml:space="preserve">limit your search to documents published by the Department. </w:t>
      </w:r>
    </w:p>
    <w:p w14:paraId="26A5DA30" w14:textId="77777777" w:rsidR="00993881" w:rsidRPr="00F9157E" w:rsidRDefault="00993881" w:rsidP="00993881">
      <w:pPr>
        <w:autoSpaceDE w:val="0"/>
        <w:autoSpaceDN w:val="0"/>
        <w:adjustRightInd w:val="0"/>
        <w:spacing w:after="0" w:line="480" w:lineRule="auto"/>
        <w:rPr>
          <w:rFonts w:ascii="Courier New" w:hAnsi="Courier New" w:cs="Courier New"/>
          <w:sz w:val="24"/>
          <w:szCs w:val="24"/>
        </w:rPr>
      </w:pPr>
      <w:r w:rsidRPr="00F9157E">
        <w:rPr>
          <w:rFonts w:ascii="Courier New" w:hAnsi="Courier New" w:cs="Courier New"/>
          <w:sz w:val="24"/>
          <w:szCs w:val="24"/>
        </w:rPr>
        <w:t>(Catalog of Federal Domestic Assistance</w:t>
      </w:r>
      <w:r>
        <w:rPr>
          <w:rFonts w:ascii="Courier New" w:hAnsi="Courier New" w:cs="Courier New"/>
          <w:sz w:val="24"/>
          <w:szCs w:val="24"/>
        </w:rPr>
        <w:t xml:space="preserve"> </w:t>
      </w:r>
      <w:r w:rsidRPr="00F9157E">
        <w:rPr>
          <w:rFonts w:ascii="Courier New" w:hAnsi="Courier New" w:cs="Courier New"/>
          <w:sz w:val="24"/>
          <w:szCs w:val="24"/>
        </w:rPr>
        <w:t>Number</w:t>
      </w:r>
      <w:r>
        <w:rPr>
          <w:rFonts w:ascii="Courier New" w:hAnsi="Courier New" w:cs="Courier New"/>
          <w:sz w:val="24"/>
          <w:szCs w:val="24"/>
        </w:rPr>
        <w:t>s</w:t>
      </w:r>
      <w:r w:rsidRPr="00F9157E">
        <w:rPr>
          <w:rFonts w:ascii="Courier New" w:hAnsi="Courier New" w:cs="Courier New"/>
          <w:sz w:val="24"/>
          <w:szCs w:val="24"/>
        </w:rPr>
        <w:t>: 84.007 FSEOG; 84.032 Federal</w:t>
      </w:r>
      <w:r>
        <w:rPr>
          <w:rFonts w:ascii="Courier New" w:hAnsi="Courier New" w:cs="Courier New"/>
          <w:sz w:val="24"/>
          <w:szCs w:val="24"/>
        </w:rPr>
        <w:t xml:space="preserve"> </w:t>
      </w:r>
      <w:r w:rsidRPr="00F9157E">
        <w:rPr>
          <w:rFonts w:ascii="Courier New" w:hAnsi="Courier New" w:cs="Courier New"/>
          <w:sz w:val="24"/>
          <w:szCs w:val="24"/>
        </w:rPr>
        <w:t>Family Education Loan Program; 84.033</w:t>
      </w:r>
    </w:p>
    <w:p w14:paraId="43B01DA8" w14:textId="77777777" w:rsidR="00993881" w:rsidRPr="00F9157E" w:rsidRDefault="00993881" w:rsidP="00993881">
      <w:pPr>
        <w:autoSpaceDE w:val="0"/>
        <w:autoSpaceDN w:val="0"/>
        <w:adjustRightInd w:val="0"/>
        <w:spacing w:after="0" w:line="480" w:lineRule="auto"/>
        <w:rPr>
          <w:rFonts w:ascii="Courier New" w:hAnsi="Courier New" w:cs="Courier New"/>
          <w:sz w:val="24"/>
          <w:szCs w:val="24"/>
        </w:rPr>
      </w:pPr>
      <w:r w:rsidRPr="00F9157E">
        <w:rPr>
          <w:rFonts w:ascii="Courier New" w:hAnsi="Courier New" w:cs="Courier New"/>
          <w:sz w:val="24"/>
          <w:szCs w:val="24"/>
        </w:rPr>
        <w:t>Federal Work-Study Program; 84.038 Federal</w:t>
      </w:r>
      <w:r>
        <w:rPr>
          <w:rFonts w:ascii="Courier New" w:hAnsi="Courier New" w:cs="Courier New"/>
          <w:sz w:val="24"/>
          <w:szCs w:val="24"/>
        </w:rPr>
        <w:t xml:space="preserve"> </w:t>
      </w:r>
      <w:r w:rsidRPr="00F9157E">
        <w:rPr>
          <w:rFonts w:ascii="Courier New" w:hAnsi="Courier New" w:cs="Courier New"/>
          <w:sz w:val="24"/>
          <w:szCs w:val="24"/>
        </w:rPr>
        <w:t>Perkins Loan Program; 84.063 Federal Pell</w:t>
      </w:r>
      <w:r>
        <w:rPr>
          <w:rFonts w:ascii="Courier New" w:hAnsi="Courier New" w:cs="Courier New"/>
          <w:sz w:val="24"/>
          <w:szCs w:val="24"/>
        </w:rPr>
        <w:t xml:space="preserve"> </w:t>
      </w:r>
      <w:r w:rsidRPr="00F9157E">
        <w:rPr>
          <w:rFonts w:ascii="Courier New" w:hAnsi="Courier New" w:cs="Courier New"/>
          <w:sz w:val="24"/>
          <w:szCs w:val="24"/>
        </w:rPr>
        <w:t>Grant Program; 84.069A LEAP; 84.268</w:t>
      </w:r>
      <w:r>
        <w:rPr>
          <w:rFonts w:ascii="Courier New" w:hAnsi="Courier New" w:cs="Courier New"/>
          <w:sz w:val="24"/>
          <w:szCs w:val="24"/>
        </w:rPr>
        <w:t xml:space="preserve"> </w:t>
      </w:r>
      <w:r w:rsidRPr="00F9157E">
        <w:rPr>
          <w:rFonts w:ascii="Courier New" w:hAnsi="Courier New" w:cs="Courier New"/>
          <w:sz w:val="24"/>
          <w:szCs w:val="24"/>
        </w:rPr>
        <w:t>William D. Ford Federal Direct Loan</w:t>
      </w:r>
      <w:r>
        <w:rPr>
          <w:rFonts w:ascii="Courier New" w:hAnsi="Courier New" w:cs="Courier New"/>
          <w:sz w:val="24"/>
          <w:szCs w:val="24"/>
        </w:rPr>
        <w:t xml:space="preserve"> </w:t>
      </w:r>
      <w:r w:rsidRPr="00F9157E">
        <w:rPr>
          <w:rFonts w:ascii="Courier New" w:hAnsi="Courier New" w:cs="Courier New"/>
          <w:sz w:val="24"/>
          <w:szCs w:val="24"/>
        </w:rPr>
        <w:t>Program; 84.376 ACG/Smart; 84.379 TEACH</w:t>
      </w:r>
      <w:r>
        <w:rPr>
          <w:rFonts w:ascii="Courier New" w:hAnsi="Courier New" w:cs="Courier New"/>
          <w:sz w:val="24"/>
          <w:szCs w:val="24"/>
        </w:rPr>
        <w:t xml:space="preserve"> </w:t>
      </w:r>
      <w:r w:rsidRPr="00F9157E">
        <w:rPr>
          <w:rFonts w:ascii="Courier New" w:hAnsi="Courier New" w:cs="Courier New"/>
          <w:sz w:val="24"/>
          <w:szCs w:val="24"/>
        </w:rPr>
        <w:t>Grant Program; 84.069B Grants for Access</w:t>
      </w:r>
      <w:r>
        <w:rPr>
          <w:rFonts w:ascii="Courier New" w:hAnsi="Courier New" w:cs="Courier New"/>
          <w:sz w:val="24"/>
          <w:szCs w:val="24"/>
        </w:rPr>
        <w:t xml:space="preserve"> </w:t>
      </w:r>
      <w:r w:rsidRPr="00F9157E">
        <w:rPr>
          <w:rFonts w:ascii="Courier New" w:hAnsi="Courier New" w:cs="Courier New"/>
          <w:sz w:val="24"/>
          <w:szCs w:val="24"/>
        </w:rPr>
        <w:t>and Persistence Program)</w:t>
      </w:r>
    </w:p>
    <w:p w14:paraId="566E950A" w14:textId="77777777" w:rsidR="00993881" w:rsidRDefault="00993881" w:rsidP="00993881">
      <w:pPr>
        <w:spacing w:after="0" w:line="480" w:lineRule="auto"/>
        <w:rPr>
          <w:rFonts w:ascii="Courier New" w:hAnsi="Courier New" w:cs="Courier New"/>
          <w:sz w:val="24"/>
          <w:szCs w:val="24"/>
          <w:u w:val="single"/>
        </w:rPr>
      </w:pPr>
      <w:r w:rsidRPr="00F9157E">
        <w:rPr>
          <w:rFonts w:ascii="Courier New" w:hAnsi="Courier New" w:cs="Courier New"/>
          <w:sz w:val="24"/>
          <w:szCs w:val="24"/>
          <w:u w:val="single"/>
        </w:rPr>
        <w:t xml:space="preserve">List of Subjects </w:t>
      </w:r>
    </w:p>
    <w:p w14:paraId="6B5886C2" w14:textId="77777777" w:rsidR="00993881" w:rsidRPr="00F9157E" w:rsidRDefault="00993881" w:rsidP="00993881">
      <w:pPr>
        <w:spacing w:after="0" w:line="480" w:lineRule="auto"/>
        <w:rPr>
          <w:rFonts w:ascii="Courier New" w:hAnsi="Courier New" w:cs="Courier New"/>
          <w:sz w:val="24"/>
          <w:szCs w:val="24"/>
          <w:u w:val="single"/>
        </w:rPr>
      </w:pPr>
      <w:r w:rsidRPr="00F9157E">
        <w:rPr>
          <w:rFonts w:ascii="Courier New" w:hAnsi="Courier New" w:cs="Courier New"/>
          <w:sz w:val="24"/>
          <w:szCs w:val="24"/>
          <w:u w:val="single"/>
        </w:rPr>
        <w:t>34 CFR Part</w:t>
      </w:r>
      <w:r>
        <w:rPr>
          <w:rFonts w:ascii="Courier New" w:hAnsi="Courier New" w:cs="Courier New"/>
          <w:sz w:val="24"/>
          <w:szCs w:val="24"/>
          <w:u w:val="single"/>
        </w:rPr>
        <w:t xml:space="preserve"> 600</w:t>
      </w:r>
    </w:p>
    <w:p w14:paraId="3E36B06B" w14:textId="77777777" w:rsidR="00993881" w:rsidRPr="00DE1950" w:rsidRDefault="00993881" w:rsidP="00993881">
      <w:pPr>
        <w:shd w:val="clear" w:color="auto" w:fill="FFFFFF"/>
        <w:spacing w:after="24" w:line="480" w:lineRule="auto"/>
        <w:ind w:firstLine="720"/>
        <w:rPr>
          <w:rFonts w:ascii="Courier New" w:hAnsi="Courier New" w:cs="Courier New"/>
          <w:sz w:val="24"/>
          <w:szCs w:val="24"/>
        </w:rPr>
      </w:pPr>
      <w:r w:rsidRPr="00DE1950">
        <w:rPr>
          <w:rFonts w:ascii="Courier New" w:hAnsi="Courier New" w:cs="Courier New"/>
          <w:sz w:val="24"/>
          <w:szCs w:val="24"/>
        </w:rPr>
        <w:t>Colleges and universities, Foreign relations, Grant programs-education, Loan programs-education, Reporting and recordkeeping requirements, Student aid, Vocational education</w:t>
      </w:r>
    </w:p>
    <w:p w14:paraId="531AE0F2" w14:textId="77777777" w:rsidR="00993881" w:rsidRPr="00F9157E" w:rsidRDefault="00993881" w:rsidP="00993881">
      <w:pPr>
        <w:spacing w:after="0" w:line="480" w:lineRule="auto"/>
        <w:rPr>
          <w:rFonts w:ascii="Courier New" w:hAnsi="Courier New" w:cs="Courier New"/>
          <w:sz w:val="24"/>
          <w:szCs w:val="24"/>
          <w:u w:val="single"/>
        </w:rPr>
      </w:pPr>
      <w:r w:rsidRPr="00F9157E">
        <w:rPr>
          <w:rFonts w:ascii="Courier New" w:hAnsi="Courier New" w:cs="Courier New"/>
          <w:sz w:val="24"/>
          <w:szCs w:val="24"/>
          <w:u w:val="single"/>
        </w:rPr>
        <w:t>34 CFR Part</w:t>
      </w:r>
      <w:r>
        <w:rPr>
          <w:rFonts w:ascii="Courier New" w:hAnsi="Courier New" w:cs="Courier New"/>
          <w:sz w:val="24"/>
          <w:szCs w:val="24"/>
          <w:u w:val="single"/>
        </w:rPr>
        <w:t xml:space="preserve"> 668</w:t>
      </w:r>
    </w:p>
    <w:p w14:paraId="49348938" w14:textId="77777777" w:rsidR="00993881" w:rsidRPr="002B6399" w:rsidRDefault="00CE5052" w:rsidP="00993881">
      <w:pPr>
        <w:spacing w:after="0" w:line="480" w:lineRule="auto"/>
        <w:ind w:left="90" w:firstLine="630"/>
        <w:textAlignment w:val="baseline"/>
        <w:rPr>
          <w:rFonts w:ascii="Courier New" w:hAnsi="Courier New" w:cs="Courier New"/>
          <w:sz w:val="24"/>
          <w:szCs w:val="24"/>
        </w:rPr>
      </w:pPr>
      <w:hyperlink r:id="rId18" w:history="1">
        <w:r w:rsidR="00993881" w:rsidRPr="002B6399">
          <w:rPr>
            <w:rFonts w:ascii="Courier New" w:hAnsi="Courier New" w:cs="Courier New"/>
            <w:sz w:val="24"/>
            <w:szCs w:val="24"/>
          </w:rPr>
          <w:t>Administrative practice and procedure</w:t>
        </w:r>
      </w:hyperlink>
      <w:r w:rsidR="00993881" w:rsidRPr="002B6399">
        <w:rPr>
          <w:rFonts w:ascii="Courier New" w:hAnsi="Courier New" w:cs="Courier New"/>
          <w:sz w:val="24"/>
          <w:szCs w:val="24"/>
        </w:rPr>
        <w:t xml:space="preserve">, </w:t>
      </w:r>
      <w:r w:rsidR="00993881">
        <w:rPr>
          <w:rFonts w:ascii="Courier New" w:hAnsi="Courier New" w:cs="Courier New"/>
          <w:sz w:val="24"/>
          <w:szCs w:val="24"/>
        </w:rPr>
        <w:t xml:space="preserve">Aliens, </w:t>
      </w:r>
      <w:hyperlink r:id="rId19" w:history="1">
        <w:r w:rsidR="00993881" w:rsidRPr="002B6399">
          <w:rPr>
            <w:rFonts w:ascii="Courier New" w:hAnsi="Courier New" w:cs="Courier New"/>
            <w:sz w:val="24"/>
            <w:szCs w:val="24"/>
          </w:rPr>
          <w:t>Colleges and universities</w:t>
        </w:r>
      </w:hyperlink>
      <w:r w:rsidR="00993881" w:rsidRPr="002B6399">
        <w:rPr>
          <w:rFonts w:ascii="Courier New" w:hAnsi="Courier New" w:cs="Courier New"/>
          <w:sz w:val="24"/>
          <w:szCs w:val="24"/>
        </w:rPr>
        <w:t xml:space="preserve">, </w:t>
      </w:r>
      <w:r w:rsidR="00993881">
        <w:rPr>
          <w:rFonts w:ascii="Courier New" w:hAnsi="Courier New" w:cs="Courier New"/>
          <w:sz w:val="24"/>
          <w:szCs w:val="24"/>
        </w:rPr>
        <w:t>Consumer Protection, Grant programs-education</w:t>
      </w:r>
      <w:r w:rsidR="00993881" w:rsidRPr="002B6399">
        <w:rPr>
          <w:rFonts w:ascii="Courier New" w:hAnsi="Courier New" w:cs="Courier New"/>
          <w:sz w:val="24"/>
          <w:szCs w:val="24"/>
        </w:rPr>
        <w:t xml:space="preserve">, </w:t>
      </w:r>
      <w:r w:rsidR="00993881" w:rsidRPr="00140512">
        <w:rPr>
          <w:rFonts w:ascii="Courier New" w:hAnsi="Courier New" w:cs="Courier New"/>
          <w:sz w:val="24"/>
          <w:szCs w:val="24"/>
        </w:rPr>
        <w:t>Loan programs—education</w:t>
      </w:r>
      <w:r w:rsidR="00993881" w:rsidRPr="002B6399">
        <w:rPr>
          <w:rFonts w:ascii="Courier New" w:hAnsi="Courier New" w:cs="Courier New"/>
          <w:sz w:val="24"/>
          <w:szCs w:val="24"/>
        </w:rPr>
        <w:t xml:space="preserve">, </w:t>
      </w:r>
      <w:hyperlink r:id="rId20" w:history="1">
        <w:r w:rsidR="00993881" w:rsidRPr="002B6399">
          <w:rPr>
            <w:rFonts w:ascii="Courier New" w:hAnsi="Courier New" w:cs="Courier New"/>
            <w:sz w:val="24"/>
            <w:szCs w:val="24"/>
          </w:rPr>
          <w:t>Reporting and recordkeeping requirements</w:t>
        </w:r>
      </w:hyperlink>
      <w:r w:rsidR="00993881" w:rsidRPr="002B6399">
        <w:rPr>
          <w:rFonts w:ascii="Courier New" w:hAnsi="Courier New" w:cs="Courier New"/>
          <w:sz w:val="24"/>
          <w:szCs w:val="24"/>
        </w:rPr>
        <w:t xml:space="preserve">, </w:t>
      </w:r>
      <w:r w:rsidR="00993881">
        <w:rPr>
          <w:rFonts w:ascii="Courier New" w:hAnsi="Courier New" w:cs="Courier New"/>
          <w:sz w:val="24"/>
          <w:szCs w:val="24"/>
        </w:rPr>
        <w:t xml:space="preserve">Selective Service System, </w:t>
      </w:r>
      <w:hyperlink r:id="rId21" w:history="1">
        <w:r w:rsidR="00993881" w:rsidRPr="002B6399">
          <w:rPr>
            <w:rFonts w:ascii="Courier New" w:hAnsi="Courier New" w:cs="Courier New"/>
            <w:sz w:val="24"/>
            <w:szCs w:val="24"/>
          </w:rPr>
          <w:t>Student aid</w:t>
        </w:r>
      </w:hyperlink>
      <w:r w:rsidR="00993881" w:rsidRPr="002B6399">
        <w:rPr>
          <w:rFonts w:ascii="Courier New" w:hAnsi="Courier New" w:cs="Courier New"/>
          <w:sz w:val="24"/>
          <w:szCs w:val="24"/>
        </w:rPr>
        <w:t>, Vocational education</w:t>
      </w:r>
    </w:p>
    <w:p w14:paraId="7F80F2FF" w14:textId="77777777" w:rsidR="00993881" w:rsidRPr="002B6399" w:rsidRDefault="00993881" w:rsidP="00993881">
      <w:pPr>
        <w:spacing w:after="0" w:line="480" w:lineRule="auto"/>
        <w:textAlignment w:val="baseline"/>
        <w:rPr>
          <w:rFonts w:ascii="Courier New" w:hAnsi="Courier New" w:cs="Courier New"/>
          <w:sz w:val="24"/>
          <w:szCs w:val="24"/>
        </w:rPr>
      </w:pPr>
      <w:r w:rsidRPr="002B6399">
        <w:rPr>
          <w:rFonts w:ascii="Courier New" w:hAnsi="Courier New" w:cs="Courier New"/>
          <w:sz w:val="24"/>
          <w:szCs w:val="24"/>
        </w:rPr>
        <w:t xml:space="preserve">Dated: </w:t>
      </w:r>
    </w:p>
    <w:p w14:paraId="10F70FAF" w14:textId="77777777" w:rsidR="00993881" w:rsidRPr="002B6399" w:rsidRDefault="00993881" w:rsidP="00993881">
      <w:pPr>
        <w:spacing w:after="0" w:line="480" w:lineRule="auto"/>
        <w:textAlignment w:val="baseline"/>
        <w:rPr>
          <w:rFonts w:ascii="Courier New" w:hAnsi="Courier New" w:cs="Courier New"/>
          <w:sz w:val="24"/>
          <w:szCs w:val="24"/>
        </w:rPr>
      </w:pPr>
    </w:p>
    <w:p w14:paraId="71216764" w14:textId="77777777" w:rsidR="00993881" w:rsidRPr="002B6399" w:rsidRDefault="00993881" w:rsidP="00993881">
      <w:pPr>
        <w:spacing w:after="0" w:line="480" w:lineRule="auto"/>
        <w:ind w:left="2160" w:firstLine="2880"/>
        <w:rPr>
          <w:rFonts w:ascii="Courier New" w:hAnsi="Courier New" w:cs="Courier New"/>
          <w:sz w:val="24"/>
          <w:szCs w:val="24"/>
        </w:rPr>
      </w:pPr>
      <w:r w:rsidRPr="002B6399">
        <w:rPr>
          <w:rFonts w:ascii="Courier New" w:hAnsi="Courier New" w:cs="Courier New"/>
          <w:sz w:val="24"/>
          <w:szCs w:val="24"/>
        </w:rPr>
        <w:t>_____________________</w:t>
      </w:r>
    </w:p>
    <w:p w14:paraId="298857B9" w14:textId="77777777" w:rsidR="00993881" w:rsidRPr="002B6399" w:rsidRDefault="00993881" w:rsidP="00993881">
      <w:pPr>
        <w:spacing w:after="0" w:line="360" w:lineRule="auto"/>
        <w:ind w:firstLine="2880"/>
        <w:rPr>
          <w:rFonts w:ascii="Courier New" w:hAnsi="Courier New" w:cs="Courier New"/>
          <w:sz w:val="24"/>
          <w:szCs w:val="24"/>
        </w:rPr>
      </w:pPr>
      <w:r w:rsidRPr="002B6399">
        <w:rPr>
          <w:rFonts w:ascii="Courier New" w:hAnsi="Courier New" w:cs="Courier New"/>
          <w:sz w:val="24"/>
          <w:szCs w:val="24"/>
        </w:rPr>
        <w:t xml:space="preserve">               Arne Duncan,                         </w:t>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rPr>
        <w:tab/>
      </w:r>
      <w:r w:rsidRPr="002B6399">
        <w:rPr>
          <w:rFonts w:ascii="Courier New" w:hAnsi="Courier New" w:cs="Courier New"/>
          <w:sz w:val="24"/>
          <w:szCs w:val="24"/>
          <w:u w:val="single"/>
        </w:rPr>
        <w:t>Secretary of Education</w:t>
      </w:r>
      <w:r w:rsidRPr="002B6399">
        <w:rPr>
          <w:rFonts w:ascii="Courier New" w:hAnsi="Courier New" w:cs="Courier New"/>
          <w:sz w:val="24"/>
          <w:szCs w:val="24"/>
        </w:rPr>
        <w:t>.</w:t>
      </w:r>
    </w:p>
    <w:p w14:paraId="6E9A195D" w14:textId="77777777" w:rsidR="00993881" w:rsidRPr="00140512" w:rsidRDefault="00993881" w:rsidP="00993881">
      <w:pPr>
        <w:spacing w:after="0" w:line="480" w:lineRule="auto"/>
        <w:textAlignment w:val="baseline"/>
        <w:rPr>
          <w:rFonts w:ascii="Courier New" w:hAnsi="Courier New" w:cs="Courier New"/>
          <w:sz w:val="24"/>
          <w:szCs w:val="24"/>
        </w:rPr>
      </w:pPr>
    </w:p>
    <w:p w14:paraId="28CBF7BA" w14:textId="77777777" w:rsidR="00993881" w:rsidRDefault="00993881" w:rsidP="00993881">
      <w:pPr>
        <w:spacing w:after="0" w:line="240" w:lineRule="auto"/>
        <w:rPr>
          <w:rFonts w:ascii="Courier New" w:hAnsi="Courier New" w:cs="Courier New"/>
          <w:sz w:val="24"/>
          <w:szCs w:val="24"/>
        </w:rPr>
      </w:pPr>
      <w:r>
        <w:rPr>
          <w:rFonts w:ascii="Courier New" w:hAnsi="Courier New" w:cs="Courier New"/>
          <w:sz w:val="24"/>
          <w:szCs w:val="24"/>
        </w:rPr>
        <w:br w:type="page"/>
      </w:r>
    </w:p>
    <w:p w14:paraId="2CB7D21A" w14:textId="54FFBDE3" w:rsidR="00997197" w:rsidRPr="00993881" w:rsidRDefault="00A93D71" w:rsidP="00993881">
      <w:pPr>
        <w:spacing w:line="480" w:lineRule="auto"/>
        <w:ind w:firstLine="720"/>
        <w:rPr>
          <w:rFonts w:ascii="Courier New" w:hAnsi="Courier New"/>
          <w:sz w:val="24"/>
          <w:szCs w:val="24"/>
        </w:rPr>
      </w:pPr>
      <w:r w:rsidRPr="00A93D71">
        <w:rPr>
          <w:rFonts w:ascii="Courier New" w:eastAsia="MS Mincho" w:hAnsi="Courier New" w:cs="Courier New"/>
          <w:sz w:val="24"/>
          <w:szCs w:val="24"/>
        </w:rPr>
        <w:t xml:space="preserve">For the reasons discussed in the preamble, the </w:t>
      </w:r>
      <w:r w:rsidR="00997197" w:rsidRPr="00A93D71">
        <w:rPr>
          <w:rFonts w:ascii="Courier New" w:eastAsia="MS Mincho" w:hAnsi="Courier New" w:cs="Courier New"/>
          <w:sz w:val="24"/>
          <w:szCs w:val="24"/>
        </w:rPr>
        <w:t>Secretary of Education proposes to amend parts 600 and 668 of title 34 of the Code of Federal Regulations as follows:</w:t>
      </w:r>
    </w:p>
    <w:p w14:paraId="2303FB3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PART 600--INSTITUTIONAL ELIGIBILITY UNDER THE HIGHER EDUCATION ACT OF 1965, AS AMENDED</w:t>
      </w:r>
    </w:p>
    <w:p w14:paraId="6AC89F8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The authority citation for part 600 continues to read as follows:</w:t>
      </w:r>
    </w:p>
    <w:p w14:paraId="2D9BF8BF"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1003, 1088, 1091, 1094, 1099b, and 1099c, unless otherwise noted.</w:t>
      </w:r>
    </w:p>
    <w:p w14:paraId="53A28BF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b/>
        <w:t>2.  Section 600.2 is amended by:</w:t>
      </w:r>
    </w:p>
    <w:p w14:paraId="1DE0F8C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Revising the definition of “Recognized occupation.” </w:t>
      </w:r>
    </w:p>
    <w:p w14:paraId="5AB5711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Revising the authority citation at the end of the section.</w:t>
      </w:r>
    </w:p>
    <w:p w14:paraId="7DBF738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The revisions read as follows:</w:t>
      </w:r>
    </w:p>
    <w:p w14:paraId="34C05138" w14:textId="77777777" w:rsidR="00997197" w:rsidRPr="00A93D71" w:rsidRDefault="00997197" w:rsidP="00A93D71">
      <w:pPr>
        <w:spacing w:after="0" w:line="480" w:lineRule="auto"/>
        <w:outlineLvl w:val="4"/>
        <w:rPr>
          <w:rFonts w:ascii="Courier New" w:eastAsia="MS Mincho" w:hAnsi="Courier New" w:cs="Courier New"/>
          <w:bCs/>
          <w:color w:val="000000"/>
          <w:sz w:val="24"/>
          <w:szCs w:val="24"/>
        </w:rPr>
      </w:pPr>
      <w:r w:rsidRPr="00A93D71">
        <w:rPr>
          <w:rFonts w:ascii="Courier New" w:eastAsia="MS Mincho" w:hAnsi="Courier New" w:cs="Courier New"/>
          <w:sz w:val="24"/>
          <w:szCs w:val="24"/>
          <w:u w:val="single"/>
        </w:rPr>
        <w:t>§600.2  Definitions</w:t>
      </w:r>
      <w:r w:rsidRPr="00A93D71">
        <w:rPr>
          <w:rFonts w:ascii="Courier New" w:eastAsia="MS Mincho" w:hAnsi="Courier New" w:cs="Courier New"/>
          <w:bCs/>
          <w:color w:val="000000"/>
          <w:sz w:val="24"/>
          <w:szCs w:val="24"/>
        </w:rPr>
        <w:t>.</w:t>
      </w:r>
    </w:p>
    <w:p w14:paraId="50F8B45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bCs/>
          <w:color w:val="000000"/>
          <w:sz w:val="24"/>
          <w:szCs w:val="24"/>
        </w:rPr>
        <w:t>* * * * *</w:t>
      </w:r>
    </w:p>
    <w:p w14:paraId="702AABF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Recognized occupation</w:t>
      </w:r>
      <w:r w:rsidRPr="00A93D71">
        <w:rPr>
          <w:rFonts w:ascii="Courier New" w:eastAsia="MS Mincho" w:hAnsi="Courier New" w:cs="Courier New"/>
          <w:sz w:val="24"/>
          <w:szCs w:val="24"/>
        </w:rPr>
        <w:t>:  An occupation that is--</w:t>
      </w:r>
    </w:p>
    <w:p w14:paraId="30141E7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Identified by a Standard Occupational Classification (SOC) code established by the Office of Management and Budget (OMB) or an Occupational Information Network O*Net-SOC code established by the Department of Labor, which is available at www.onetonline.org or its successor site; or</w:t>
      </w:r>
    </w:p>
    <w:p w14:paraId="0EE0845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Determined by the Secretary in consultation with the Secretary of Labor to be a recognized occupation.</w:t>
      </w:r>
    </w:p>
    <w:p w14:paraId="56417BF5" w14:textId="77777777" w:rsidR="00997197" w:rsidRPr="00A93D71" w:rsidRDefault="00997197" w:rsidP="00A93D71">
      <w:pPr>
        <w:spacing w:after="0" w:line="480" w:lineRule="auto"/>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 * * * *</w:t>
      </w:r>
    </w:p>
    <w:p w14:paraId="293D3FFF" w14:textId="77777777" w:rsidR="00997197" w:rsidRPr="00A93D71" w:rsidRDefault="00997197" w:rsidP="00A93D71">
      <w:pPr>
        <w:spacing w:after="0" w:line="480" w:lineRule="auto"/>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(Authority:  20 U.S.C. 1001, 1002,</w:t>
      </w:r>
      <w:r w:rsidRPr="00A93D71">
        <w:rPr>
          <w:rFonts w:ascii="Courier New" w:eastAsia="MS Mincho" w:hAnsi="Courier New" w:cs="Courier New"/>
          <w:color w:val="000000"/>
          <w:sz w:val="24"/>
          <w:szCs w:val="24"/>
          <w:shd w:val="clear" w:color="auto" w:fill="FFFFFF"/>
        </w:rPr>
        <w:t> 1071, </w:t>
      </w:r>
      <w:r w:rsidRPr="00A93D71">
        <w:rPr>
          <w:rFonts w:ascii="Courier New" w:eastAsia="MS Mincho" w:hAnsi="Courier New" w:cs="Courier New"/>
          <w:iCs/>
          <w:color w:val="000000"/>
          <w:sz w:val="24"/>
          <w:szCs w:val="24"/>
          <w:u w:val="single"/>
          <w:shd w:val="clear" w:color="auto" w:fill="FFFFFF"/>
        </w:rPr>
        <w:t>et seq.</w:t>
      </w:r>
      <w:r w:rsidRPr="00A93D71">
        <w:rPr>
          <w:rFonts w:ascii="Courier New" w:eastAsia="MS Mincho" w:hAnsi="Courier New" w:cs="Courier New"/>
          <w:iCs/>
          <w:color w:val="000000"/>
          <w:sz w:val="24"/>
          <w:szCs w:val="24"/>
          <w:shd w:val="clear" w:color="auto" w:fill="FFFFFF"/>
        </w:rPr>
        <w:t>,</w:t>
      </w:r>
      <w:r w:rsidRPr="00A93D71">
        <w:rPr>
          <w:rFonts w:ascii="Courier New" w:eastAsia="MS Mincho" w:hAnsi="Courier New" w:cs="Courier New"/>
          <w:color w:val="000000"/>
          <w:sz w:val="24"/>
          <w:szCs w:val="24"/>
          <w:shd w:val="clear" w:color="auto" w:fill="FFFFFF"/>
        </w:rPr>
        <w:t> 1078-2, 1088, 1091, 1094, 1099b, 1099c, 1141; 26 U.S.C. 501(c))</w:t>
      </w:r>
    </w:p>
    <w:p w14:paraId="2DCCD2E2" w14:textId="77777777" w:rsidR="00997197" w:rsidRPr="00A93D71" w:rsidRDefault="00997197" w:rsidP="00A93D71">
      <w:pPr>
        <w:spacing w:after="0" w:line="480" w:lineRule="auto"/>
        <w:ind w:firstLine="720"/>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3.  Section 600.10 is amended by:</w:t>
      </w:r>
    </w:p>
    <w:p w14:paraId="25C2F940" w14:textId="77777777" w:rsidR="00997197" w:rsidRPr="00A93D71" w:rsidRDefault="00997197" w:rsidP="00A93D71">
      <w:pPr>
        <w:spacing w:after="0" w:line="480" w:lineRule="auto"/>
        <w:ind w:firstLine="720"/>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A.  Revising paragraphs (c)(1), (c)(2), and (c)(3)(i).</w:t>
      </w:r>
    </w:p>
    <w:p w14:paraId="43E0DB39" w14:textId="77777777" w:rsidR="00997197" w:rsidRPr="00A93D71" w:rsidRDefault="00997197" w:rsidP="00A93D71">
      <w:pPr>
        <w:spacing w:after="0" w:line="480" w:lineRule="auto"/>
        <w:ind w:firstLine="720"/>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B.  Revising the authority citation at the end of the section.</w:t>
      </w:r>
    </w:p>
    <w:p w14:paraId="244704C8" w14:textId="77777777" w:rsidR="00997197" w:rsidRPr="00A93D71" w:rsidRDefault="00997197" w:rsidP="00A93D71">
      <w:pPr>
        <w:spacing w:after="0" w:line="480" w:lineRule="auto"/>
        <w:ind w:firstLine="720"/>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The revisions read as follows:</w:t>
      </w:r>
    </w:p>
    <w:p w14:paraId="538F35C9" w14:textId="77777777" w:rsidR="00997197" w:rsidRPr="00A93D71" w:rsidRDefault="00997197" w:rsidP="00A93D71">
      <w:pPr>
        <w:spacing w:after="0" w:line="480" w:lineRule="auto"/>
        <w:outlineLvl w:val="4"/>
        <w:rPr>
          <w:rFonts w:ascii="Courier New" w:eastAsia="MS Mincho" w:hAnsi="Courier New" w:cs="Courier New"/>
          <w:bCs/>
          <w:color w:val="000000"/>
          <w:sz w:val="24"/>
          <w:szCs w:val="24"/>
        </w:rPr>
      </w:pPr>
      <w:r w:rsidRPr="00A93D71">
        <w:rPr>
          <w:rFonts w:ascii="Courier New" w:eastAsia="MS Mincho" w:hAnsi="Courier New" w:cs="Courier New"/>
          <w:sz w:val="24"/>
          <w:szCs w:val="24"/>
          <w:u w:val="single"/>
        </w:rPr>
        <w:t>§600.10  Date, extent, duration, and consequence of eligibility</w:t>
      </w:r>
      <w:r w:rsidRPr="00A93D71">
        <w:rPr>
          <w:rFonts w:ascii="Courier New" w:eastAsia="MS Mincho" w:hAnsi="Courier New" w:cs="Courier New"/>
          <w:bCs/>
          <w:color w:val="000000"/>
          <w:sz w:val="24"/>
          <w:szCs w:val="24"/>
        </w:rPr>
        <w:t>.</w:t>
      </w:r>
    </w:p>
    <w:p w14:paraId="380F44A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bCs/>
          <w:color w:val="000000"/>
          <w:sz w:val="24"/>
          <w:szCs w:val="24"/>
        </w:rPr>
        <w:t>* * * * *</w:t>
      </w:r>
    </w:p>
    <w:p w14:paraId="3CC96BF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Educational programs</w:t>
      </w:r>
      <w:r w:rsidRPr="00A93D71">
        <w:rPr>
          <w:rFonts w:ascii="Courier New" w:eastAsia="MS Mincho" w:hAnsi="Courier New" w:cs="Courier New"/>
          <w:sz w:val="24"/>
          <w:szCs w:val="24"/>
        </w:rPr>
        <w:t>.  (1)  An eligible institution that seeks to establish the eligibility of an</w:t>
      </w:r>
      <w:r w:rsidRPr="00A93D71">
        <w:rPr>
          <w:rFonts w:ascii="Courier New" w:eastAsia="MS Mincho" w:hAnsi="Courier New" w:cs="Courier New"/>
          <w:b/>
          <w:sz w:val="24"/>
          <w:szCs w:val="24"/>
        </w:rPr>
        <w:t xml:space="preserve"> </w:t>
      </w:r>
      <w:r w:rsidRPr="00A93D71">
        <w:rPr>
          <w:rFonts w:ascii="Courier New" w:eastAsia="MS Mincho" w:hAnsi="Courier New" w:cs="Courier New"/>
          <w:sz w:val="24"/>
          <w:szCs w:val="24"/>
        </w:rPr>
        <w:t>educational program must--</w:t>
      </w:r>
    </w:p>
    <w:p w14:paraId="163FF6D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For a gainful employment program under 34 CFR part 668, subpart Q of this chapter, update its application under §600.21, and meet any time restrictions that prohibit the institution from establishing or reestablishing the eligibility of the program as may be required under 34 CFR 668.414; </w:t>
      </w:r>
    </w:p>
    <w:p w14:paraId="2EEE5A1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Pursuant to a requirement regarding additional programs included in the institution’s program participation agreement under 34 CFR 668.14, obtain the Secretary’s approval; and</w:t>
      </w:r>
    </w:p>
    <w:p w14:paraId="0903347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For a direct assessment program under 34 CFR 668.10, and for a comprehensive transition and postsecondary program under 34 CFR 668.232, obtain the Secretary’s approval.</w:t>
      </w:r>
      <w:r w:rsidRPr="00A93D71" w:rsidDel="00147336">
        <w:rPr>
          <w:rFonts w:ascii="Courier New" w:eastAsia="MS Mincho" w:hAnsi="Courier New" w:cs="Courier New"/>
          <w:sz w:val="24"/>
          <w:szCs w:val="24"/>
        </w:rPr>
        <w:t xml:space="preserve"> </w:t>
      </w:r>
    </w:p>
    <w:p w14:paraId="5AFFB83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Except as provided under §600.20(c), an eligible institution does not have to obtain the Secretary’s approval to establish the eligibility of any program that is not described in paragraph (c)(1)(i), (ii), or (iii) of this section.</w:t>
      </w:r>
    </w:p>
    <w:p w14:paraId="1F4A84F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 * *</w:t>
      </w:r>
    </w:p>
    <w:p w14:paraId="08DC156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Fails to comply with the requirements in paragraph (c)(1) of this section; or</w:t>
      </w:r>
    </w:p>
    <w:p w14:paraId="7E2D0AA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 * * *</w:t>
      </w:r>
    </w:p>
    <w:p w14:paraId="20FF398F"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 and 1141)</w:t>
      </w:r>
    </w:p>
    <w:p w14:paraId="7A4FEAF4" w14:textId="77777777" w:rsidR="00997197" w:rsidRPr="00A93D71" w:rsidRDefault="00997197" w:rsidP="00A93D71">
      <w:pPr>
        <w:spacing w:after="0" w:line="480" w:lineRule="auto"/>
        <w:ind w:firstLine="720"/>
        <w:outlineLvl w:val="4"/>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4.  Section 600.20 is amended by:</w:t>
      </w:r>
    </w:p>
    <w:p w14:paraId="66F581D5" w14:textId="77777777" w:rsidR="00997197" w:rsidRPr="00A93D71" w:rsidRDefault="00997197" w:rsidP="00A93D71">
      <w:pPr>
        <w:spacing w:after="0" w:line="480" w:lineRule="auto"/>
        <w:ind w:firstLine="720"/>
        <w:outlineLvl w:val="4"/>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A.  Revising the introductory text of paragraph (c)(1).</w:t>
      </w:r>
    </w:p>
    <w:p w14:paraId="7382B77F" w14:textId="77777777" w:rsidR="00997197" w:rsidRPr="00A93D71" w:rsidRDefault="00997197" w:rsidP="00A93D71">
      <w:pPr>
        <w:spacing w:after="0" w:line="480" w:lineRule="auto"/>
        <w:ind w:firstLine="720"/>
        <w:outlineLvl w:val="4"/>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B.  Revising the authority citation at the end of the section.</w:t>
      </w:r>
    </w:p>
    <w:p w14:paraId="78C66B49" w14:textId="77777777" w:rsidR="00997197" w:rsidRPr="00A93D71" w:rsidRDefault="00997197" w:rsidP="00A93D71">
      <w:pPr>
        <w:spacing w:after="0" w:line="480" w:lineRule="auto"/>
        <w:ind w:firstLine="720"/>
        <w:outlineLvl w:val="4"/>
        <w:rPr>
          <w:rFonts w:ascii="Courier New" w:eastAsia="MS Mincho" w:hAnsi="Courier New" w:cs="Courier New"/>
          <w:bCs/>
          <w:color w:val="000000"/>
          <w:sz w:val="24"/>
          <w:szCs w:val="24"/>
        </w:rPr>
      </w:pPr>
      <w:r w:rsidRPr="00A93D71">
        <w:rPr>
          <w:rFonts w:ascii="Courier New" w:eastAsia="MS Mincho" w:hAnsi="Courier New" w:cs="Courier New"/>
          <w:bCs/>
          <w:color w:val="000000"/>
          <w:sz w:val="24"/>
          <w:szCs w:val="24"/>
        </w:rPr>
        <w:t>The revisions read as follows:</w:t>
      </w:r>
    </w:p>
    <w:p w14:paraId="6F0EBBCA" w14:textId="77777777" w:rsidR="00997197" w:rsidRPr="00A93D71" w:rsidRDefault="00997197" w:rsidP="00A93D71">
      <w:pPr>
        <w:keepNext/>
        <w:widowControl w:val="0"/>
        <w:shd w:val="clear" w:color="auto" w:fill="FFFFFF"/>
        <w:tabs>
          <w:tab w:val="left" w:pos="-1440"/>
        </w:tabs>
        <w:spacing w:after="0" w:line="480" w:lineRule="auto"/>
        <w:outlineLvl w:val="1"/>
        <w:rPr>
          <w:rFonts w:ascii="Courier New" w:eastAsia="MS ??" w:hAnsi="Courier New" w:cs="Courier New"/>
          <w:bCs/>
          <w:color w:val="000000"/>
          <w:sz w:val="24"/>
          <w:szCs w:val="24"/>
        </w:rPr>
      </w:pPr>
      <w:r w:rsidRPr="00A93D71">
        <w:rPr>
          <w:rFonts w:ascii="Courier New" w:eastAsia="MS Mincho" w:hAnsi="Courier New" w:cs="Courier New"/>
          <w:sz w:val="24"/>
          <w:szCs w:val="24"/>
          <w:u w:val="single"/>
        </w:rPr>
        <w:t>§600.20  Notice and application procedures for establishing, reestablishing, maintaining, or expanding institutional eligibility and certification</w:t>
      </w:r>
      <w:r w:rsidRPr="00A93D71">
        <w:rPr>
          <w:rFonts w:ascii="Courier New" w:eastAsia="MS ??" w:hAnsi="Courier New" w:cs="Courier New"/>
          <w:bCs/>
          <w:color w:val="000000"/>
          <w:sz w:val="24"/>
          <w:szCs w:val="24"/>
        </w:rPr>
        <w:t>.</w:t>
      </w:r>
    </w:p>
    <w:p w14:paraId="2347205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 * * * </w:t>
      </w:r>
    </w:p>
    <w:p w14:paraId="7AB11327"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(c) * * *</w:t>
      </w:r>
    </w:p>
    <w:p w14:paraId="7638C60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color w:val="000000"/>
          <w:sz w:val="24"/>
          <w:szCs w:val="24"/>
          <w:shd w:val="clear" w:color="auto" w:fill="FFFFFF"/>
        </w:rPr>
        <w:t>(1)  Add an educational program or a location at which the institution offers or will offer 50 percent or more of an educational program if one of the following conditions applies, otherwise it must report to the Secretary under §600.21:</w:t>
      </w:r>
      <w:r w:rsidRPr="00A93D71">
        <w:rPr>
          <w:rFonts w:ascii="Courier New" w:eastAsia="MS Mincho" w:hAnsi="Courier New" w:cs="Courier New"/>
          <w:sz w:val="24"/>
          <w:szCs w:val="24"/>
        </w:rPr>
        <w:tab/>
      </w:r>
    </w:p>
    <w:p w14:paraId="7B1245AC"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 * * *</w:t>
      </w:r>
    </w:p>
    <w:p w14:paraId="0707C1D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 and 1099c)</w:t>
      </w:r>
    </w:p>
    <w:p w14:paraId="4FA2F27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5.  Section 600.21 is amended by:</w:t>
      </w:r>
    </w:p>
    <w:p w14:paraId="393BEDD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Adding paragraph (a)(11).</w:t>
      </w:r>
    </w:p>
    <w:p w14:paraId="4B20E0B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Revising the authority citation at the end of the section.</w:t>
      </w:r>
    </w:p>
    <w:p w14:paraId="4759DDD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The revisions read as follows:</w:t>
      </w:r>
    </w:p>
    <w:p w14:paraId="5DA069A1" w14:textId="77777777" w:rsidR="00997197" w:rsidRPr="00A93D71" w:rsidRDefault="00997197" w:rsidP="00A93D71">
      <w:pPr>
        <w:spacing w:after="0" w:line="480" w:lineRule="auto"/>
        <w:outlineLvl w:val="4"/>
        <w:rPr>
          <w:rFonts w:ascii="Courier New" w:eastAsia="MS Mincho" w:hAnsi="Courier New" w:cs="Courier New"/>
          <w:bCs/>
          <w:color w:val="000000"/>
          <w:sz w:val="24"/>
          <w:szCs w:val="24"/>
        </w:rPr>
      </w:pPr>
      <w:r w:rsidRPr="00A93D71">
        <w:rPr>
          <w:rFonts w:ascii="Courier New" w:eastAsia="MS Mincho" w:hAnsi="Courier New" w:cs="Courier New"/>
          <w:sz w:val="24"/>
          <w:szCs w:val="24"/>
          <w:u w:val="single"/>
        </w:rPr>
        <w:t>§600.21  Updating application information</w:t>
      </w:r>
      <w:r w:rsidRPr="00A93D71">
        <w:rPr>
          <w:rFonts w:ascii="Courier New" w:eastAsia="MS Mincho" w:hAnsi="Courier New" w:cs="Courier New"/>
          <w:sz w:val="24"/>
          <w:szCs w:val="24"/>
        </w:rPr>
        <w:t>.</w:t>
      </w:r>
    </w:p>
    <w:p w14:paraId="6E012E3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 * *</w:t>
      </w:r>
    </w:p>
    <w:p w14:paraId="3E57B17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(11)  For any gainful employment program under 34 CFR part 668, subpart Q--</w:t>
      </w:r>
    </w:p>
    <w:p w14:paraId="453F7A25" w14:textId="66ED96F9"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Establishing the eligibility or reestablishing the eligibility of the program;</w:t>
      </w:r>
    </w:p>
    <w:p w14:paraId="2F3DB07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Discontinuing the program’s eligibility under 34 CFR 668.410;</w:t>
      </w:r>
    </w:p>
    <w:p w14:paraId="6CA78298" w14:textId="77777777" w:rsidR="00997197" w:rsidRPr="00A93D71" w:rsidRDefault="00997197" w:rsidP="00A93D71">
      <w:pPr>
        <w:tabs>
          <w:tab w:val="left" w:pos="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Ceasing to provide the program for at least 12 consecutive months; </w:t>
      </w:r>
    </w:p>
    <w:p w14:paraId="7149F85A" w14:textId="77777777" w:rsidR="00997197" w:rsidRPr="00A93D71" w:rsidRDefault="00997197" w:rsidP="00A93D71">
      <w:pPr>
        <w:tabs>
          <w:tab w:val="left" w:pos="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(iv)  Losing program eligibility under §600.40; </w:t>
      </w:r>
    </w:p>
    <w:p w14:paraId="3DC98D8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(v)  Changing the program’s name, CIP code, as defined in 34 CFR 668.402, or credential level; </w:t>
      </w:r>
    </w:p>
    <w:p w14:paraId="784859F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or</w:t>
      </w:r>
    </w:p>
    <w:p w14:paraId="0AB09A0D" w14:textId="7F8A71B6"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(vi)  Updating the certification pursuant to §668.414(b).</w:t>
      </w:r>
    </w:p>
    <w:p w14:paraId="34128A1D"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 * * *</w:t>
      </w:r>
    </w:p>
    <w:p w14:paraId="4649468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1094, 1099b)</w:t>
      </w:r>
    </w:p>
    <w:p w14:paraId="0422F07A"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PART 668--STUDENT ASSISTANCE GENERAL PROVISIONS</w:t>
      </w:r>
    </w:p>
    <w:p w14:paraId="4B70267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6.  The authority citation for part 668 continues to read as follows:</w:t>
      </w:r>
    </w:p>
    <w:p w14:paraId="2880EBF7"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1003, 1088, 1091, 1094, 1099b, and 1099c, unless otherwise noted.</w:t>
      </w:r>
    </w:p>
    <w:p w14:paraId="308F3830"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7.</w:t>
      </w:r>
      <w:r w:rsidRPr="00A93D71">
        <w:rPr>
          <w:rFonts w:ascii="Courier New" w:eastAsia="MS Mincho" w:hAnsi="Courier New" w:cs="Courier New"/>
          <w:sz w:val="24"/>
          <w:szCs w:val="24"/>
        </w:rPr>
        <w:tab/>
        <w:t>Section 668.6 is amended by:</w:t>
      </w:r>
    </w:p>
    <w:p w14:paraId="016B6920"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A.  Removing and reserving paragraph (a).</w:t>
      </w:r>
    </w:p>
    <w:p w14:paraId="10ACA261"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B.  Adding a new paragraph (d).</w:t>
      </w:r>
    </w:p>
    <w:p w14:paraId="49DE2E18"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C.  Revising the authority citation.</w:t>
      </w:r>
    </w:p>
    <w:p w14:paraId="6B9B1F4D"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The addition and revision read as follows:</w:t>
      </w:r>
    </w:p>
    <w:p w14:paraId="390CC7A2" w14:textId="77777777" w:rsidR="00997197" w:rsidRPr="00A93D71" w:rsidRDefault="00997197" w:rsidP="00A93D71">
      <w:pPr>
        <w:tabs>
          <w:tab w:val="left" w:pos="1305"/>
        </w:tabs>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§668.6  Reporting and disclosure requirements for programs that prepare students for gainful employment in a recognized occupation</w:t>
      </w:r>
      <w:r w:rsidRPr="00A93D71">
        <w:rPr>
          <w:rFonts w:ascii="Courier New" w:eastAsia="MS Mincho" w:hAnsi="Courier New" w:cs="Courier New"/>
          <w:sz w:val="24"/>
          <w:szCs w:val="24"/>
        </w:rPr>
        <w:t>.</w:t>
      </w:r>
    </w:p>
    <w:p w14:paraId="3A5352AA" w14:textId="77777777" w:rsidR="00997197" w:rsidRPr="00A93D71" w:rsidRDefault="00997197" w:rsidP="00A93D71">
      <w:pPr>
        <w:tabs>
          <w:tab w:val="left" w:pos="1305"/>
        </w:tabs>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  *  *  *  *</w:t>
      </w:r>
    </w:p>
    <w:p w14:paraId="2997222B" w14:textId="77777777" w:rsidR="00997197" w:rsidRPr="00A93D71" w:rsidRDefault="00997197" w:rsidP="00A93D71">
      <w:pPr>
        <w:tabs>
          <w:tab w:val="left" w:pos="1305"/>
        </w:tabs>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(d)  </w:t>
      </w:r>
      <w:r w:rsidRPr="00A93D71">
        <w:rPr>
          <w:rFonts w:ascii="Courier New" w:eastAsia="MS Mincho" w:hAnsi="Courier New" w:cs="Courier New"/>
          <w:sz w:val="24"/>
          <w:szCs w:val="24"/>
          <w:u w:val="single"/>
        </w:rPr>
        <w:t>Sunset provisions</w:t>
      </w:r>
      <w:r w:rsidRPr="00A93D71">
        <w:rPr>
          <w:rFonts w:ascii="Courier New" w:eastAsia="MS Mincho" w:hAnsi="Courier New" w:cs="Courier New"/>
          <w:sz w:val="24"/>
          <w:szCs w:val="24"/>
        </w:rPr>
        <w:t>.  Institutions must comply with the requirements of this section through December 31, 2016.</w:t>
      </w:r>
    </w:p>
    <w:p w14:paraId="2606A05E" w14:textId="77777777" w:rsidR="00997197" w:rsidRPr="00A93D71" w:rsidRDefault="00997197" w:rsidP="00A93D71">
      <w:pPr>
        <w:tabs>
          <w:tab w:val="left" w:pos="1305"/>
        </w:tabs>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w:t>
      </w:r>
    </w:p>
    <w:p w14:paraId="6742FA55" w14:textId="77777777" w:rsidR="00997197" w:rsidRPr="00A93D71" w:rsidRDefault="00997197" w:rsidP="00A93D71">
      <w:pPr>
        <w:tabs>
          <w:tab w:val="left" w:pos="1305"/>
        </w:tabs>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§668.7 [Removed and Reserved]</w:t>
      </w:r>
    </w:p>
    <w:p w14:paraId="0F8A73F6" w14:textId="77777777" w:rsidR="00997197" w:rsidRPr="00A93D71" w:rsidRDefault="00997197" w:rsidP="00A93D71">
      <w:pPr>
        <w:tabs>
          <w:tab w:val="left" w:pos="1305"/>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8.</w:t>
      </w:r>
      <w:r w:rsidRPr="00A93D71">
        <w:rPr>
          <w:rFonts w:ascii="Courier New" w:eastAsia="MS Mincho" w:hAnsi="Courier New" w:cs="Courier New"/>
          <w:sz w:val="24"/>
          <w:szCs w:val="24"/>
        </w:rPr>
        <w:tab/>
        <w:t>Remove and reserve section 668.7.</w:t>
      </w:r>
    </w:p>
    <w:p w14:paraId="4D8F591E"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§668.8 [Amended]</w:t>
      </w:r>
    </w:p>
    <w:p w14:paraId="0F5AA8F2" w14:textId="77777777" w:rsidR="00997197" w:rsidRPr="00A93D71" w:rsidRDefault="00997197" w:rsidP="00A93D71">
      <w:pPr>
        <w:tabs>
          <w:tab w:val="left" w:pos="1305"/>
        </w:tabs>
        <w:spacing w:after="0" w:line="480" w:lineRule="auto"/>
        <w:ind w:left="1305" w:hanging="585"/>
        <w:rPr>
          <w:rFonts w:ascii="Courier New" w:eastAsia="MS Mincho" w:hAnsi="Courier New" w:cs="Courier New"/>
          <w:sz w:val="24"/>
          <w:szCs w:val="24"/>
        </w:rPr>
      </w:pPr>
      <w:r w:rsidRPr="00A93D71">
        <w:rPr>
          <w:rFonts w:ascii="Courier New" w:eastAsia="MS Mincho" w:hAnsi="Courier New" w:cs="Courier New"/>
          <w:sz w:val="24"/>
          <w:szCs w:val="24"/>
        </w:rPr>
        <w:t>9.</w:t>
      </w:r>
      <w:r w:rsidRPr="00A93D71">
        <w:rPr>
          <w:rFonts w:ascii="Courier New" w:eastAsia="MS Mincho" w:hAnsi="Courier New" w:cs="Courier New"/>
          <w:sz w:val="24"/>
          <w:szCs w:val="24"/>
        </w:rPr>
        <w:tab/>
        <w:t>Section 668.8 is amended by:</w:t>
      </w:r>
    </w:p>
    <w:p w14:paraId="2410059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In paragraph (d)(2)(iii), removing the reference to “§668.6” and adding, in its place, a reference to “subpart Q of this part”.</w:t>
      </w:r>
    </w:p>
    <w:p w14:paraId="15B4064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In paragraph (d)(3)(iii), removing the reference to “§668.6” and adding, in its place, a reference to “subpart Q of this part”.</w:t>
      </w:r>
    </w:p>
    <w:p w14:paraId="36613B5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10.  Section 668.14 is amended by revising paragraph (a)(26) to read as follows:</w:t>
      </w:r>
    </w:p>
    <w:p w14:paraId="4B2D5962" w14:textId="77777777" w:rsidR="00997197" w:rsidRPr="00A93D71" w:rsidRDefault="00997197" w:rsidP="00A93D71">
      <w:pPr>
        <w:spacing w:after="0" w:line="480" w:lineRule="auto"/>
        <w:outlineLvl w:val="4"/>
        <w:rPr>
          <w:rFonts w:ascii="Courier New" w:eastAsia="MS Mincho" w:hAnsi="Courier New" w:cs="Courier New"/>
          <w:bCs/>
          <w:color w:val="000000"/>
          <w:sz w:val="24"/>
          <w:szCs w:val="24"/>
        </w:rPr>
      </w:pPr>
      <w:r w:rsidRPr="00A93D71">
        <w:rPr>
          <w:rFonts w:ascii="Courier New" w:eastAsia="MS Mincho" w:hAnsi="Courier New" w:cs="Courier New"/>
          <w:sz w:val="24"/>
          <w:szCs w:val="24"/>
          <w:u w:val="single"/>
        </w:rPr>
        <w:t>§668.14  Program participation agreement</w:t>
      </w:r>
      <w:r w:rsidRPr="00A93D71">
        <w:rPr>
          <w:rFonts w:ascii="Courier New" w:eastAsia="MS Mincho" w:hAnsi="Courier New" w:cs="Courier New"/>
          <w:sz w:val="24"/>
          <w:szCs w:val="24"/>
        </w:rPr>
        <w:t>.</w:t>
      </w:r>
    </w:p>
    <w:p w14:paraId="25CADEF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 * *</w:t>
      </w:r>
    </w:p>
    <w:p w14:paraId="72D885D1" w14:textId="77777777" w:rsidR="00997197" w:rsidRPr="00A93D71" w:rsidRDefault="00997197" w:rsidP="00A93D71">
      <w:pPr>
        <w:shd w:val="clear" w:color="auto" w:fill="FFFFFF"/>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(26)  If an educational program offered by the institution is required to prepare a student for gainful employment in a recognized occupation, the institution must--</w:t>
      </w:r>
    </w:p>
    <w:p w14:paraId="779285D4" w14:textId="77777777" w:rsidR="00997197" w:rsidRPr="00A93D71" w:rsidRDefault="00997197" w:rsidP="00A93D71">
      <w:pPr>
        <w:shd w:val="clear" w:color="auto" w:fill="FFFFFF"/>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(i)  Demonstrate a reasonable relationship between the length of the program and entry level requirements for the recognized occupation for which the program prepares the student.  The Secretary considers the relationship to be reasonable if the number of clock hours provided in the program does not exceed by more than 50 percent the minimum number of clock hours required for training in the recognized occupation for which the program prepares the student, as established by the State in which the </w:t>
      </w:r>
      <w:r w:rsidRPr="00A93D71">
        <w:rPr>
          <w:rFonts w:ascii="Courier New" w:eastAsia="MS Mincho" w:hAnsi="Courier New" w:cs="Courier New"/>
          <w:sz w:val="24"/>
          <w:szCs w:val="24"/>
        </w:rPr>
        <w:t>institution is located</w:t>
      </w:r>
      <w:r w:rsidRPr="00A93D71">
        <w:rPr>
          <w:rFonts w:ascii="Courier New" w:eastAsia="MS Mincho" w:hAnsi="Courier New" w:cs="Courier New"/>
          <w:color w:val="000000"/>
          <w:sz w:val="24"/>
          <w:szCs w:val="24"/>
        </w:rPr>
        <w:t xml:space="preserve">, if the State has established such a requirement, or as established by any Federal agency; </w:t>
      </w:r>
    </w:p>
    <w:p w14:paraId="4B250D3A" w14:textId="77777777" w:rsidR="00997197" w:rsidRPr="00A93D71" w:rsidRDefault="00997197" w:rsidP="00A93D71">
      <w:pPr>
        <w:shd w:val="clear" w:color="auto" w:fill="FFFFFF"/>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Establish the need for the training for the student to obtain employment in the recognized occupation for which the program prepares the student; and</w:t>
      </w:r>
    </w:p>
    <w:p w14:paraId="6779439C" w14:textId="77777777" w:rsidR="00997197" w:rsidRPr="00A93D71" w:rsidRDefault="00997197" w:rsidP="00A93D71">
      <w:pPr>
        <w:shd w:val="clear" w:color="auto" w:fill="FFFFFF"/>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(iii)  Provide for that program the certification required in §668.414.</w:t>
      </w:r>
    </w:p>
    <w:p w14:paraId="322393D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 * * *</w:t>
      </w:r>
    </w:p>
    <w:p w14:paraId="19EB3C4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11.  Add subpart Q to read as follows:</w:t>
      </w:r>
    </w:p>
    <w:p w14:paraId="7073565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Subpart Q—Gainful Employment (GE) Programs</w:t>
      </w:r>
    </w:p>
    <w:p w14:paraId="13C4217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Sec.</w:t>
      </w:r>
    </w:p>
    <w:p w14:paraId="6643E429"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668.401  Scope and purpose.</w:t>
      </w:r>
    </w:p>
    <w:p w14:paraId="5594D94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668.402  Definitions.</w:t>
      </w:r>
    </w:p>
    <w:p w14:paraId="4A5F5CB8"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668.403  Gainful employment framework.</w:t>
      </w:r>
    </w:p>
    <w:p w14:paraId="4774CAF9" w14:textId="77777777" w:rsidR="00997197" w:rsidRPr="00A93D71" w:rsidRDefault="00997197" w:rsidP="00A93D71">
      <w:pPr>
        <w:spacing w:after="0" w:line="480" w:lineRule="auto"/>
        <w:rPr>
          <w:rFonts w:ascii="Courier New" w:eastAsia="MS Mincho" w:hAnsi="Courier New" w:cs="Courier New"/>
          <w:b/>
          <w:sz w:val="24"/>
          <w:szCs w:val="24"/>
        </w:rPr>
      </w:pPr>
      <w:r w:rsidRPr="00A93D71">
        <w:rPr>
          <w:rFonts w:ascii="Courier New" w:eastAsia="MS Mincho" w:hAnsi="Courier New" w:cs="Courier New"/>
          <w:sz w:val="24"/>
          <w:szCs w:val="24"/>
        </w:rPr>
        <w:t>668.404  Calculating D/E rates.</w:t>
      </w:r>
    </w:p>
    <w:p w14:paraId="669B7AE9"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668.405  Issuing and challenging D/E rates. </w:t>
      </w:r>
    </w:p>
    <w:p w14:paraId="75C72F48"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668.406  D/E rates alternate earnings appeals. </w:t>
      </w:r>
    </w:p>
    <w:p w14:paraId="756DD9E9"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668.407  [Reserved].    </w:t>
      </w:r>
    </w:p>
    <w:p w14:paraId="124DAA1F"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668.408  [Reserved].  </w:t>
      </w:r>
    </w:p>
    <w:p w14:paraId="48841F15"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668.409  Final determination of the D/E rates measure. </w:t>
      </w:r>
    </w:p>
    <w:p w14:paraId="0FA94ED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668.410  Consequences of the D/E rates measure. </w:t>
      </w:r>
    </w:p>
    <w:p w14:paraId="6D4211ED"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668.411  Reporting requirements for GE programs.</w:t>
      </w:r>
    </w:p>
    <w:p w14:paraId="1AB6950E"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668.412  Disclosure requirements for GE programs.  </w:t>
      </w:r>
    </w:p>
    <w:p w14:paraId="6980F96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668.413  Calculating, issuing, and challenging completion rates, withdrawal rates, repayment rates, median loan debt, median earnings, and program cohort default rate. </w:t>
      </w:r>
    </w:p>
    <w:p w14:paraId="13ECAA8E"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668.414  Certification requirements for GE programs.</w:t>
      </w:r>
    </w:p>
    <w:p w14:paraId="7957BDA8"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668.415  Severability.</w:t>
      </w:r>
    </w:p>
    <w:p w14:paraId="3613DF7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Subpart Q—Gainful Employment (GE) Programs</w:t>
      </w:r>
    </w:p>
    <w:p w14:paraId="33701D9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§668.401  Scope and purpose</w:t>
      </w:r>
      <w:r w:rsidRPr="00A93D71">
        <w:rPr>
          <w:rFonts w:ascii="Courier New" w:eastAsia="MS Mincho" w:hAnsi="Courier New" w:cs="Courier New"/>
          <w:sz w:val="24"/>
          <w:szCs w:val="24"/>
        </w:rPr>
        <w:t xml:space="preserve">.  </w:t>
      </w:r>
    </w:p>
    <w:p w14:paraId="6F2AEE88" w14:textId="77777777" w:rsidR="00997197" w:rsidRPr="00A93D71" w:rsidRDefault="00997197" w:rsidP="00A93D71">
      <w:pPr>
        <w:spacing w:after="0" w:line="480" w:lineRule="auto"/>
        <w:rPr>
          <w:rFonts w:ascii="Courier New" w:eastAsia="MS Mincho" w:hAnsi="Courier New" w:cs="Courier New"/>
          <w:color w:val="000000"/>
          <w:sz w:val="24"/>
          <w:szCs w:val="24"/>
          <w:shd w:val="clear" w:color="auto" w:fill="FFFFFF"/>
        </w:rPr>
      </w:pPr>
      <w:r w:rsidRPr="00A93D71">
        <w:rPr>
          <w:rFonts w:ascii="Courier New" w:eastAsia="MS Mincho" w:hAnsi="Courier New" w:cs="Courier New"/>
          <w:sz w:val="24"/>
          <w:szCs w:val="24"/>
        </w:rPr>
        <w:tab/>
      </w:r>
      <w:r w:rsidRPr="00A93D71">
        <w:rPr>
          <w:rFonts w:ascii="Courier New" w:eastAsia="MS Mincho" w:hAnsi="Courier New" w:cs="Courier New"/>
          <w:color w:val="000000"/>
          <w:sz w:val="24"/>
          <w:szCs w:val="24"/>
          <w:shd w:val="clear" w:color="auto" w:fill="FFFFFF"/>
        </w:rPr>
        <w:t>This subpart applies to an educational program offered by an eligible institution that prepares students for gainful employment in a recognized occupation, and establishes the rules and procedures under which--</w:t>
      </w:r>
    </w:p>
    <w:p w14:paraId="5D0DD3B6" w14:textId="77777777" w:rsidR="00997197" w:rsidRPr="00A93D71" w:rsidRDefault="00997197" w:rsidP="00A93D71">
      <w:pPr>
        <w:spacing w:after="0" w:line="480" w:lineRule="auto"/>
        <w:ind w:firstLine="720"/>
        <w:rPr>
          <w:rFonts w:ascii="Courier New" w:eastAsia="MS Mincho" w:hAnsi="Courier New" w:cs="Courier New"/>
          <w:color w:val="000000"/>
          <w:sz w:val="24"/>
          <w:szCs w:val="24"/>
          <w:shd w:val="clear" w:color="auto" w:fill="FFFFFF"/>
        </w:rPr>
      </w:pPr>
      <w:r w:rsidRPr="00A93D71">
        <w:rPr>
          <w:rFonts w:ascii="Courier New" w:eastAsia="MS Mincho" w:hAnsi="Courier New" w:cs="Courier New"/>
          <w:color w:val="000000"/>
          <w:sz w:val="24"/>
          <w:szCs w:val="24"/>
          <w:shd w:val="clear" w:color="auto" w:fill="FFFFFF"/>
        </w:rPr>
        <w:t xml:space="preserve">(a)  The Secretary determines that the program is eligible for title IV, HEA program funds; </w:t>
      </w:r>
    </w:p>
    <w:p w14:paraId="767FD424" w14:textId="77777777" w:rsidR="00997197" w:rsidRPr="00A93D71" w:rsidRDefault="00997197" w:rsidP="00A93D71">
      <w:pPr>
        <w:spacing w:after="0" w:line="480" w:lineRule="auto"/>
        <w:ind w:firstLine="720"/>
        <w:rPr>
          <w:rFonts w:ascii="Courier New" w:eastAsia="MS Mincho" w:hAnsi="Courier New" w:cs="Courier New"/>
          <w:color w:val="000000"/>
          <w:sz w:val="24"/>
          <w:szCs w:val="24"/>
          <w:shd w:val="clear" w:color="auto" w:fill="FFFFFF"/>
        </w:rPr>
      </w:pPr>
      <w:r w:rsidRPr="00A93D71">
        <w:rPr>
          <w:rFonts w:ascii="Courier New" w:eastAsia="MS Mincho" w:hAnsi="Courier New" w:cs="Courier New"/>
          <w:color w:val="000000"/>
          <w:sz w:val="24"/>
          <w:szCs w:val="24"/>
          <w:shd w:val="clear" w:color="auto" w:fill="FFFFFF"/>
        </w:rPr>
        <w:t>(b)  An institution reports information about the program to the Secretary; and</w:t>
      </w:r>
    </w:p>
    <w:p w14:paraId="20FA5FEB" w14:textId="77777777" w:rsidR="00997197" w:rsidRPr="00A93D71" w:rsidRDefault="00997197" w:rsidP="00A93D71">
      <w:pPr>
        <w:spacing w:after="0" w:line="480" w:lineRule="auto"/>
        <w:ind w:firstLine="720"/>
        <w:rPr>
          <w:rFonts w:ascii="Courier New" w:eastAsia="MS Mincho" w:hAnsi="Courier New" w:cs="Courier New"/>
          <w:color w:val="000000"/>
          <w:sz w:val="24"/>
          <w:szCs w:val="24"/>
          <w:shd w:val="clear" w:color="auto" w:fill="FFFFFF"/>
        </w:rPr>
      </w:pPr>
      <w:r w:rsidRPr="00A93D71">
        <w:rPr>
          <w:rFonts w:ascii="Courier New" w:eastAsia="MS Mincho" w:hAnsi="Courier New" w:cs="Courier New"/>
          <w:color w:val="000000"/>
          <w:sz w:val="24"/>
          <w:szCs w:val="24"/>
          <w:shd w:val="clear" w:color="auto" w:fill="FFFFFF"/>
        </w:rPr>
        <w:t>(c)  An institution discloses information about the program to students and prospective students.</w:t>
      </w:r>
    </w:p>
    <w:p w14:paraId="403E70FE" w14:textId="77777777" w:rsidR="00997197" w:rsidRPr="00A93D71" w:rsidRDefault="00997197" w:rsidP="00A93D71">
      <w:pPr>
        <w:spacing w:after="0" w:line="480" w:lineRule="auto"/>
        <w:rPr>
          <w:rFonts w:ascii="Courier New" w:eastAsia="MS Mincho" w:hAnsi="Courier New" w:cs="Courier New"/>
          <w:color w:val="000000"/>
          <w:sz w:val="24"/>
          <w:szCs w:val="24"/>
          <w:shd w:val="clear" w:color="auto" w:fill="FFFFFF"/>
        </w:rPr>
      </w:pPr>
      <w:r w:rsidRPr="00A93D71">
        <w:rPr>
          <w:rFonts w:ascii="Courier New" w:eastAsia="MS Mincho" w:hAnsi="Courier New" w:cs="Courier New"/>
          <w:sz w:val="24"/>
          <w:szCs w:val="24"/>
        </w:rPr>
        <w:t>(Authority:  20 U.S.C. 1001, 1002, 1088, 1231a)</w:t>
      </w:r>
    </w:p>
    <w:p w14:paraId="3681AA1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§668.402  Definitions</w:t>
      </w:r>
      <w:r w:rsidRPr="00A93D71">
        <w:rPr>
          <w:rFonts w:ascii="Courier New" w:eastAsia="MS Mincho" w:hAnsi="Courier New" w:cs="Courier New"/>
          <w:sz w:val="24"/>
          <w:szCs w:val="24"/>
        </w:rPr>
        <w:t xml:space="preserve">.  </w:t>
      </w:r>
    </w:p>
    <w:p w14:paraId="276660AA"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b/>
        <w:t>The following definitions apply to this subpart.</w:t>
      </w:r>
    </w:p>
    <w:p w14:paraId="1D97115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Annual earnings rate</w:t>
      </w:r>
      <w:r w:rsidRPr="00A93D71">
        <w:rPr>
          <w:rFonts w:ascii="Courier New" w:eastAsia="MS Mincho" w:hAnsi="Courier New" w:cs="Courier New"/>
          <w:sz w:val="24"/>
          <w:szCs w:val="24"/>
        </w:rPr>
        <w:t xml:space="preserve">.  The percentage of a GE program’s annual loan payment compared to the annual earnings of the students who completed the program, as calculated under §668.404. </w:t>
      </w:r>
    </w:p>
    <w:p w14:paraId="4781A15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Classification of instructional program (CIP) code</w:t>
      </w:r>
      <w:r w:rsidRPr="00A93D71">
        <w:rPr>
          <w:rFonts w:ascii="Courier New" w:eastAsia="MS Mincho" w:hAnsi="Courier New" w:cs="Courier New"/>
          <w:sz w:val="24"/>
          <w:szCs w:val="24"/>
        </w:rPr>
        <w:t xml:space="preserve">.  A taxonomy of instructional program classifications and descriptions developed by the U.S. Department of Education’s National Center for Education Statistics (NCES).  The CIP code for a program is six digits.  </w:t>
      </w:r>
    </w:p>
    <w:p w14:paraId="5317FCF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Cohort period</w:t>
      </w:r>
      <w:r w:rsidRPr="00A93D71">
        <w:rPr>
          <w:rFonts w:ascii="Courier New" w:eastAsia="MS Mincho" w:hAnsi="Courier New" w:cs="Courier New"/>
          <w:sz w:val="24"/>
          <w:szCs w:val="24"/>
        </w:rPr>
        <w:t>.  The two-year cohort period or the four-year cohort period, as applicable, during which those students who complete a program are identified in order to assess their loan debt and earnings.  The Secretary uses the two-year cohort period when the number of students completing the program is 30 or more.  The Secretary uses the four-year cohort period when the number of students completing the program in the two-year cohort period is less than 30 and when the number of students completing the program in the four-year cohort period is 30 or more.</w:t>
      </w:r>
    </w:p>
    <w:p w14:paraId="5A5098E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Credential level</w:t>
      </w:r>
      <w:r w:rsidRPr="00A93D71">
        <w:rPr>
          <w:rFonts w:ascii="Courier New" w:eastAsia="MS Mincho" w:hAnsi="Courier New" w:cs="Courier New"/>
          <w:sz w:val="24"/>
          <w:szCs w:val="24"/>
        </w:rPr>
        <w:t>.  The level of the academic credential awarded by an institution to students who complete the program.  For the purposes of this subpart, the undergraduate credential levels are:  undergraduate certificate or diploma, associate degree, bachelor’s degree, and post-baccalaureate certificate; and the graduate credential levels are graduate certificate (including a postgraduate certificate), master’s degree, doctoral degree, and first-professional degree (e.g., MD, DDS, JD).</w:t>
      </w:r>
    </w:p>
    <w:p w14:paraId="610785F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Debt-to-earnings rates (D/E rates)</w:t>
      </w:r>
      <w:r w:rsidRPr="00A93D71">
        <w:rPr>
          <w:rFonts w:ascii="Courier New" w:eastAsia="MS Mincho" w:hAnsi="Courier New" w:cs="Courier New"/>
          <w:sz w:val="24"/>
          <w:szCs w:val="24"/>
        </w:rPr>
        <w:t>.  The discretionary income rate and annual earnings rate as calculated under §668.404.</w:t>
      </w:r>
    </w:p>
    <w:p w14:paraId="78ABA56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Discretionary income rate</w:t>
      </w:r>
      <w:r w:rsidRPr="00A93D71">
        <w:rPr>
          <w:rFonts w:ascii="Courier New" w:eastAsia="MS Mincho" w:hAnsi="Courier New" w:cs="Courier New"/>
          <w:sz w:val="24"/>
          <w:szCs w:val="24"/>
        </w:rPr>
        <w:t>.  The percentage of a GE program’s annual loan payment compared to the discretionary income of the students who completed the program, as calculated under §668.404.</w:t>
      </w:r>
    </w:p>
    <w:p w14:paraId="6BF55B9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F</w:t>
      </w:r>
      <w:r w:rsidRPr="00A93D71">
        <w:rPr>
          <w:rFonts w:ascii="Courier New" w:eastAsia="MS Mincho" w:hAnsi="Courier New" w:cs="Courier New"/>
          <w:iCs/>
          <w:sz w:val="24"/>
          <w:szCs w:val="24"/>
          <w:u w:val="single"/>
        </w:rPr>
        <w:t>our-year cohort period</w:t>
      </w:r>
      <w:r w:rsidRPr="00A93D71">
        <w:rPr>
          <w:rFonts w:ascii="Courier New" w:eastAsia="MS Mincho" w:hAnsi="Courier New" w:cs="Courier New"/>
          <w:iCs/>
          <w:sz w:val="24"/>
          <w:szCs w:val="24"/>
        </w:rPr>
        <w:t xml:space="preserve">. </w:t>
      </w:r>
      <w:r w:rsidRPr="00A93D71">
        <w:rPr>
          <w:rFonts w:ascii="Courier New" w:eastAsia="MS Mincho" w:hAnsi="Courier New" w:cs="Courier New"/>
          <w:sz w:val="24"/>
          <w:szCs w:val="24"/>
        </w:rPr>
        <w:t xml:space="preserve"> The cohort period covering four consecutive award years that are--</w:t>
      </w:r>
    </w:p>
    <w:p w14:paraId="3EC7EE1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The third, fourth, fifth, and sixth award years prior to the award year for which the D/E rates are calculated pursuant to §668.404.  For example, if D/E rates are calculated for award year 2014-2015, the four-year cohort period is award years 2008-2009, 2009-2010, 2010-2011, and 2011-2012; or</w:t>
      </w:r>
    </w:p>
    <w:p w14:paraId="1706161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For a program whose students are required to complete a medical or dental internship or residency, the sixth, seventh, eighth, and ninth award years prior to the award year for which the D/E rates are calculated.  For example, if D/E rates are calculated for award year 2014-2015, the four-year cohort period is award years 2005-2006, 2006-2007, 2007-2008, and 2008-2009.  For this purpose, a required medical or dental internship or residency is a supervised training program that--</w:t>
      </w:r>
    </w:p>
    <w:p w14:paraId="5F8B38F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iCs/>
          <w:sz w:val="24"/>
          <w:szCs w:val="24"/>
        </w:rPr>
        <w:t>i</w:t>
      </w:r>
      <w:r w:rsidRPr="00A93D71">
        <w:rPr>
          <w:rFonts w:ascii="Courier New" w:eastAsia="MS Mincho" w:hAnsi="Courier New" w:cs="Courier New"/>
          <w:sz w:val="24"/>
          <w:szCs w:val="24"/>
        </w:rPr>
        <w:t>)  Requires the student to hold a degree as a doctor of medicine or osteopathy, or a doctor of dental science;</w:t>
      </w:r>
    </w:p>
    <w:p w14:paraId="7B1635A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iCs/>
          <w:sz w:val="24"/>
          <w:szCs w:val="24"/>
        </w:rPr>
        <w:t>ii</w:t>
      </w:r>
      <w:r w:rsidRPr="00A93D71">
        <w:rPr>
          <w:rFonts w:ascii="Courier New" w:eastAsia="MS Mincho" w:hAnsi="Courier New" w:cs="Courier New"/>
          <w:sz w:val="24"/>
          <w:szCs w:val="24"/>
        </w:rPr>
        <w:t>)  Leads to a degree or certificate awarded by an institution of higher education, a hospital, or a health care facility that offers post-graduate training; and</w:t>
      </w:r>
    </w:p>
    <w:p w14:paraId="1E15F9A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iCs/>
          <w:sz w:val="24"/>
          <w:szCs w:val="24"/>
        </w:rPr>
        <w:t>iii</w:t>
      </w:r>
      <w:r w:rsidRPr="00A93D71">
        <w:rPr>
          <w:rFonts w:ascii="Courier New" w:eastAsia="MS Mincho" w:hAnsi="Courier New" w:cs="Courier New"/>
          <w:sz w:val="24"/>
          <w:szCs w:val="24"/>
        </w:rPr>
        <w:t>)  Must be completed before the student may be licensed by a State and board certified for professional practice or service.</w:t>
      </w:r>
    </w:p>
    <w:p w14:paraId="4C1834C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Gainful employment program (GE program)</w:t>
      </w:r>
      <w:r w:rsidRPr="00A93D71">
        <w:rPr>
          <w:rFonts w:ascii="Courier New" w:eastAsia="MS Mincho" w:hAnsi="Courier New" w:cs="Courier New"/>
          <w:sz w:val="24"/>
          <w:szCs w:val="24"/>
        </w:rPr>
        <w:t>.  An educational program offered by an institution under §668.8(c)(3) or (d) and identified by a combination of the institution’s six-digit Office of Postsecondary Education ID (OPEID) number, the program’s six-digit CIP code as assigned by the institution or determined by the Secretary, and the program’s credential level.</w:t>
      </w:r>
    </w:p>
    <w:p w14:paraId="57AE2C82" w14:textId="77777777" w:rsidR="00997197" w:rsidRPr="00A93D71" w:rsidRDefault="00997197" w:rsidP="00A93D71">
      <w:pPr>
        <w:tabs>
          <w:tab w:val="left" w:pos="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Length of the program</w:t>
      </w:r>
      <w:r w:rsidRPr="00A93D71">
        <w:rPr>
          <w:rFonts w:ascii="Courier New" w:eastAsia="MS Mincho" w:hAnsi="Courier New" w:cs="Courier New"/>
          <w:sz w:val="24"/>
          <w:szCs w:val="24"/>
        </w:rPr>
        <w:t>.  The amount of time in weeks, months, or years that is specified in the institution’s catalog, marketing materials, or other official publications for a student to complete the requirements needed to obtain the degree or credential offered by the program.</w:t>
      </w:r>
    </w:p>
    <w:p w14:paraId="4FEE4C1F" w14:textId="77777777" w:rsidR="00997197" w:rsidRPr="00A93D71" w:rsidRDefault="00997197" w:rsidP="00A93D71">
      <w:pPr>
        <w:tabs>
          <w:tab w:val="left" w:pos="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Metropolitan Statistical Area (MSA)</w:t>
      </w:r>
      <w:r w:rsidRPr="00A93D71">
        <w:rPr>
          <w:rFonts w:ascii="Courier New" w:eastAsia="MS Mincho" w:hAnsi="Courier New" w:cs="Courier New"/>
          <w:sz w:val="24"/>
          <w:szCs w:val="24"/>
        </w:rPr>
        <w:t xml:space="preserve">.  The Metropolitan Statistical Area as published by the U.S. Office of Management and Budget and available at </w:t>
      </w:r>
      <w:r w:rsidRPr="00A93D71">
        <w:rPr>
          <w:rFonts w:ascii="Courier New" w:eastAsia="MS Mincho" w:hAnsi="Courier New" w:cs="Courier New"/>
          <w:sz w:val="24"/>
          <w:szCs w:val="24"/>
          <w:u w:val="single"/>
        </w:rPr>
        <w:t>www.census.gov/population/metro/</w:t>
      </w:r>
      <w:r w:rsidRPr="00A93D71">
        <w:rPr>
          <w:rFonts w:ascii="Courier New" w:eastAsia="MS Mincho" w:hAnsi="Courier New" w:cs="Courier New"/>
          <w:sz w:val="24"/>
          <w:szCs w:val="24"/>
        </w:rPr>
        <w:t xml:space="preserve"> or its successor site.</w:t>
      </w:r>
    </w:p>
    <w:p w14:paraId="03EB136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Poverty Guideline</w:t>
      </w:r>
      <w:r w:rsidRPr="00A93D71">
        <w:rPr>
          <w:rFonts w:ascii="Courier New" w:eastAsia="MS Mincho" w:hAnsi="Courier New" w:cs="Courier New"/>
          <w:sz w:val="24"/>
          <w:szCs w:val="24"/>
        </w:rPr>
        <w:t>.  The Poverty Guideline for a single person in the continental United States as published by the U.S. Department of Health and Human Services and available at http://aspe.hhs.gov/poverty or its successor site.</w:t>
      </w:r>
    </w:p>
    <w:p w14:paraId="6C53736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Prospective student</w:t>
      </w:r>
      <w:r w:rsidRPr="00A93D71">
        <w:rPr>
          <w:rFonts w:ascii="Courier New" w:eastAsia="MS Mincho" w:hAnsi="Courier New" w:cs="Courier New"/>
          <w:sz w:val="24"/>
          <w:szCs w:val="24"/>
        </w:rPr>
        <w:t>.  An individual who has contacted an eligible institution for the purpose of requesting information about enrolling in a GE program or who has been contacted directly by the institution or by a third party on behalf of the institution about enrolling in a GE program.</w:t>
      </w:r>
    </w:p>
    <w:p w14:paraId="58806B8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Student</w:t>
      </w:r>
      <w:r w:rsidRPr="00A93D71">
        <w:rPr>
          <w:rFonts w:ascii="Courier New" w:eastAsia="MS Mincho" w:hAnsi="Courier New" w:cs="Courier New"/>
          <w:sz w:val="24"/>
          <w:szCs w:val="24"/>
        </w:rPr>
        <w:t>.  An individual who received title IV, HEA program funds for enrolling in the GE program.</w:t>
      </w:r>
    </w:p>
    <w:p w14:paraId="51AACE3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Title IV loan</w:t>
      </w:r>
      <w:r w:rsidRPr="00A93D71">
        <w:rPr>
          <w:rFonts w:ascii="Courier New" w:eastAsia="MS Mincho" w:hAnsi="Courier New" w:cs="Courier New"/>
          <w:sz w:val="24"/>
          <w:szCs w:val="24"/>
        </w:rPr>
        <w:t>.  A loan authorized under the Federal Perkins Loan Program (Perkins Loan), the Federal Family Education Loan Program (FFEL Loan), or the William D. Ford Direct Loan Program (Direct Loan).</w:t>
      </w:r>
    </w:p>
    <w:p w14:paraId="20B63DE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u w:val="single"/>
        </w:rPr>
        <w:t>Two-year cohort period</w:t>
      </w:r>
      <w:r w:rsidRPr="00A93D71">
        <w:rPr>
          <w:rFonts w:ascii="Courier New" w:eastAsia="MS Mincho" w:hAnsi="Courier New" w:cs="Courier New"/>
          <w:sz w:val="24"/>
          <w:szCs w:val="24"/>
        </w:rPr>
        <w:t>.  The cohort period covering two consecutive award years that are--</w:t>
      </w:r>
    </w:p>
    <w:p w14:paraId="0A7238B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The third and fourth award years prior to the award year for which the D/E rates are calculated pursuant to §668.404.  For example, if D/E rates are calculated for award year 2014-2015, the two-year cohort period is award years 2010-2011 and 2011-2012; or</w:t>
      </w:r>
    </w:p>
    <w:p w14:paraId="5AF67DE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For a program whose students are required to complete a medical or dental internship or residency, the sixth and seventh award years prior to the award year for which the D/E rates are calculated.  For example, if D/E rates are calculated for award year 2014-2015, the two-year cohort period is award years 2007-2008 and 2008-2009.  For this purpose, a required medical or dental internship or residency is a supervised training program that--</w:t>
      </w:r>
    </w:p>
    <w:p w14:paraId="3D47D97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Requires the student to hold a degree as a doctor of medicine or osteopathy, or as a doctor of dental science; </w:t>
      </w:r>
    </w:p>
    <w:p w14:paraId="086E4A9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Leads to a degree or certificate awarded by an institution of higher education, a hospital, or a health care facility that offers post-graduate training; and </w:t>
      </w:r>
    </w:p>
    <w:p w14:paraId="0A30BB6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Must be completed before the student may be licensed by a State and board certified for professional practice or service.</w:t>
      </w:r>
    </w:p>
    <w:p w14:paraId="0A9246DF"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w:t>
      </w:r>
    </w:p>
    <w:p w14:paraId="28B5946E" w14:textId="77777777" w:rsidR="00997197" w:rsidRPr="00A93D71" w:rsidDel="004D332D"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§668.403  Gainful employment program framework</w:t>
      </w:r>
      <w:r w:rsidRPr="00A93D71">
        <w:rPr>
          <w:rFonts w:ascii="Courier New" w:eastAsia="MS Mincho" w:hAnsi="Courier New" w:cs="Courier New"/>
          <w:sz w:val="24"/>
          <w:szCs w:val="24"/>
        </w:rPr>
        <w:t>.</w:t>
      </w:r>
    </w:p>
    <w:p w14:paraId="590C1B5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General</w:t>
      </w:r>
      <w:r w:rsidRPr="00A93D71">
        <w:rPr>
          <w:rFonts w:ascii="Courier New" w:eastAsia="MS Mincho" w:hAnsi="Courier New" w:cs="Courier New"/>
          <w:sz w:val="24"/>
          <w:szCs w:val="24"/>
        </w:rPr>
        <w:t>.  A program provides training that prepares students for gainful employment in a recognized occupation if the program--</w:t>
      </w:r>
    </w:p>
    <w:p w14:paraId="4082FC6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Satisfies the applicable certification requirements in §668.414; and </w:t>
      </w:r>
    </w:p>
    <w:p w14:paraId="7C1AD78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Is not an ineligible program under the D/E rates measure</w:t>
      </w:r>
      <w:r w:rsidRPr="00A93D71" w:rsidDel="00BD00A2">
        <w:rPr>
          <w:rFonts w:ascii="Courier New" w:eastAsia="MS Mincho" w:hAnsi="Courier New" w:cs="Courier New"/>
          <w:sz w:val="24"/>
          <w:szCs w:val="24"/>
        </w:rPr>
        <w:t>.</w:t>
      </w:r>
    </w:p>
    <w:p w14:paraId="2CCB78D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Debt-to-earnings rates (D/E rates)</w:t>
      </w:r>
      <w:r w:rsidRPr="00A93D71">
        <w:rPr>
          <w:rFonts w:ascii="Courier New" w:eastAsia="MS Mincho" w:hAnsi="Courier New" w:cs="Courier New"/>
          <w:sz w:val="24"/>
          <w:szCs w:val="24"/>
        </w:rPr>
        <w:t xml:space="preserve">.  For each award year and for each eligible GE program offered by an institution, the Secretary calculates two D/E rates, the discretionary income rate and the annual earnings rate, using the procedures in §§668.404 through 668.406.  </w:t>
      </w:r>
    </w:p>
    <w:p w14:paraId="14E884E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Outcomes of the D/E rates measure</w:t>
      </w:r>
      <w:r w:rsidRPr="00A93D71">
        <w:rPr>
          <w:rFonts w:ascii="Courier New" w:eastAsia="MS Mincho" w:hAnsi="Courier New" w:cs="Courier New"/>
          <w:sz w:val="24"/>
          <w:szCs w:val="24"/>
        </w:rPr>
        <w:t>.  (1)  A GE program is “passing” the D/E rates measure if--</w:t>
      </w:r>
    </w:p>
    <w:p w14:paraId="373EC0B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Its discretionary income rate is less than or equal to 20 percent; or</w:t>
      </w:r>
      <w:r w:rsidRPr="00A93D71" w:rsidDel="003820C6">
        <w:rPr>
          <w:rFonts w:ascii="Courier New" w:eastAsia="MS Mincho" w:hAnsi="Courier New" w:cs="Courier New"/>
          <w:sz w:val="24"/>
          <w:szCs w:val="24"/>
        </w:rPr>
        <w:t xml:space="preserve"> </w:t>
      </w:r>
    </w:p>
    <w:p w14:paraId="7D734A6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Its annual earnings rate is less than or equal to eight percent.</w:t>
      </w:r>
    </w:p>
    <w:p w14:paraId="4AFA0DC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A GE program is “failing” the D/E rates measure if--</w:t>
      </w:r>
    </w:p>
    <w:p w14:paraId="75F0A77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Its discretionary income rate is greater than 30 percent or the income for the denominator of the rate (discretionary earnings) is negative or zero; and</w:t>
      </w:r>
    </w:p>
    <w:p w14:paraId="2C55AEA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Its annual earnings rate is greater than 12 percent or the denominator of the rate (annual earnings) is zero.</w:t>
      </w:r>
    </w:p>
    <w:p w14:paraId="6E1A843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w:t>
      </w:r>
      <w:r w:rsidRPr="00A93D71">
        <w:rPr>
          <w:rFonts w:ascii="Courier New" w:eastAsia="MS Mincho" w:hAnsi="Courier New" w:cs="Courier New"/>
          <w:color w:val="FF0000"/>
          <w:sz w:val="24"/>
          <w:szCs w:val="24"/>
        </w:rPr>
        <w:t xml:space="preserve">  </w:t>
      </w:r>
      <w:r w:rsidRPr="00A93D71">
        <w:rPr>
          <w:rFonts w:ascii="Courier New" w:eastAsia="MS Mincho" w:hAnsi="Courier New" w:cs="Courier New"/>
          <w:sz w:val="24"/>
          <w:szCs w:val="24"/>
        </w:rPr>
        <w:t xml:space="preserve">A GE program is “in the zone” </w:t>
      </w:r>
      <w:r w:rsidRPr="00A93D71">
        <w:rPr>
          <w:rFonts w:ascii="Courier New" w:eastAsia="MS Mincho" w:hAnsi="Courier New" w:cs="Courier New"/>
          <w:color w:val="000000"/>
          <w:sz w:val="24"/>
          <w:szCs w:val="24"/>
        </w:rPr>
        <w:t>for the purpose of the D/E rates measure</w:t>
      </w:r>
      <w:r w:rsidRPr="00A93D71">
        <w:rPr>
          <w:rFonts w:ascii="Courier New" w:eastAsia="MS Mincho" w:hAnsi="Courier New" w:cs="Courier New"/>
          <w:color w:val="FF0000"/>
          <w:sz w:val="24"/>
          <w:szCs w:val="24"/>
        </w:rPr>
        <w:t xml:space="preserve"> </w:t>
      </w:r>
      <w:r w:rsidRPr="00A93D71">
        <w:rPr>
          <w:rFonts w:ascii="Courier New" w:eastAsia="MS Mincho" w:hAnsi="Courier New" w:cs="Courier New"/>
          <w:sz w:val="24"/>
          <w:szCs w:val="24"/>
        </w:rPr>
        <w:t>if it is not a passing GE program and its--</w:t>
      </w:r>
    </w:p>
    <w:p w14:paraId="0A4E8D92"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w:t>
      </w:r>
      <w:r w:rsidRPr="00A93D71">
        <w:rPr>
          <w:rFonts w:ascii="Courier New" w:eastAsia="MS Mincho" w:hAnsi="Courier New" w:cs="Courier New"/>
          <w:sz w:val="24"/>
          <w:szCs w:val="24"/>
        </w:rPr>
        <w:tab/>
        <w:t>Discretionary income rate is greater than 20 percent but less than or equal to 30 percent; or</w:t>
      </w:r>
    </w:p>
    <w:p w14:paraId="0299C2E1"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  Annual earnings rate is greater than eight percent but less than or equal to 12 percent.</w:t>
      </w:r>
    </w:p>
    <w:p w14:paraId="5FD5E4FD" w14:textId="0D46050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For the purpose of the D/E rates measure, subject to paragraph (c)(5) of this section, a GE program becomes ineligible if the program either--</w:t>
      </w:r>
    </w:p>
    <w:p w14:paraId="2BBEA10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w:t>
      </w:r>
      <w:r w:rsidRPr="00A93D71">
        <w:rPr>
          <w:rFonts w:ascii="Courier New" w:eastAsia="MS Mincho" w:hAnsi="Courier New" w:cs="Courier New"/>
          <w:color w:val="000000"/>
          <w:sz w:val="24"/>
          <w:szCs w:val="24"/>
        </w:rPr>
        <w:t>Is failing</w:t>
      </w:r>
      <w:r w:rsidRPr="00A93D71">
        <w:rPr>
          <w:rFonts w:ascii="Courier New" w:eastAsia="MS Mincho" w:hAnsi="Courier New" w:cs="Courier New"/>
          <w:sz w:val="24"/>
          <w:szCs w:val="24"/>
        </w:rPr>
        <w:t xml:space="preserve"> the D/E rates measure in two out of any three consecutive award years for which the program’s D/E rates are calculated; or</w:t>
      </w:r>
    </w:p>
    <w:p w14:paraId="4B34F96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Has a combination of zone and failing D/E rates for four consecutive award years for which the program’s D/E rates are calculated.</w:t>
      </w:r>
    </w:p>
    <w:p w14:paraId="4A50355D" w14:textId="2ABD0B9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(5)  If the Secretary does not calculate or issue D/E rates for a program for an award year, the program receives no result under the D/E rates measure for that award year and remains in the same status under the D/E rates measure as the previous award year</w:t>
      </w:r>
      <w:r w:rsidRPr="00A93D71" w:rsidDel="00C26A0A">
        <w:rPr>
          <w:rFonts w:ascii="Courier New" w:eastAsia="MS Mincho" w:hAnsi="Courier New" w:cs="Courier New"/>
          <w:sz w:val="24"/>
          <w:szCs w:val="24"/>
        </w:rPr>
        <w:t>; provided that if</w:t>
      </w:r>
      <w:r w:rsidRPr="00A93D71">
        <w:rPr>
          <w:rFonts w:ascii="Courier New" w:eastAsia="MS Mincho" w:hAnsi="Courier New" w:cs="Courier New"/>
          <w:sz w:val="24"/>
          <w:szCs w:val="24"/>
        </w:rPr>
        <w:t xml:space="preserve"> the Secretary does not calculate D/E rates for the program for four or more consecutive award years, the Secretary disregards the program’s D/E rates for any award year prior to the four-year period in determining the program’s eligibility.</w:t>
      </w:r>
    </w:p>
    <w:p w14:paraId="021C07EE" w14:textId="31717013"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w:t>
      </w:r>
    </w:p>
    <w:p w14:paraId="0868F275" w14:textId="77777777" w:rsidR="00997197" w:rsidRPr="00A93D71" w:rsidRDefault="00997197" w:rsidP="00A93D71">
      <w:pPr>
        <w:spacing w:after="0" w:line="480" w:lineRule="auto"/>
        <w:rPr>
          <w:rFonts w:ascii="Courier New" w:eastAsia="MS Mincho" w:hAnsi="Courier New" w:cs="Courier New"/>
          <w:b/>
          <w:sz w:val="24"/>
          <w:szCs w:val="24"/>
        </w:rPr>
      </w:pPr>
      <w:r w:rsidRPr="00A93D71">
        <w:rPr>
          <w:rFonts w:ascii="Courier New" w:eastAsia="MS Mincho" w:hAnsi="Courier New" w:cs="Courier New"/>
          <w:sz w:val="24"/>
          <w:szCs w:val="24"/>
          <w:u w:val="single"/>
        </w:rPr>
        <w:t>§668.404  Calculating D/E rates</w:t>
      </w:r>
      <w:r w:rsidRPr="00A93D71">
        <w:rPr>
          <w:rFonts w:ascii="Courier New" w:eastAsia="MS Mincho" w:hAnsi="Courier New" w:cs="Courier New"/>
          <w:sz w:val="24"/>
          <w:szCs w:val="24"/>
        </w:rPr>
        <w:t>.</w:t>
      </w:r>
    </w:p>
    <w:p w14:paraId="3D2A207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General</w:t>
      </w:r>
      <w:r w:rsidRPr="00A93D71">
        <w:rPr>
          <w:rFonts w:ascii="Courier New" w:eastAsia="MS Mincho" w:hAnsi="Courier New" w:cs="Courier New"/>
          <w:sz w:val="24"/>
          <w:szCs w:val="24"/>
        </w:rPr>
        <w:t>.  Except as provided in paragraph (f) of this section, for each award year, the Secretary calculates D/E rates for a GE program as follows:</w:t>
      </w:r>
    </w:p>
    <w:p w14:paraId="142B406C" w14:textId="0E9CD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Discretionary income rate = annual loan payment / (the higher of the mean or median annual earnings – (1.5 x Poverty Guideline)).  For the purposes of this paragraph, the Secretary applies the Poverty Guideline for the calendar year immediately following the calendar year for which annual earnings are obtained under paragraph (c) of this section.</w:t>
      </w:r>
    </w:p>
    <w:p w14:paraId="5A532E5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Annual earnings rate = annual loan payment / the higher of the mean or median annual earnings.</w:t>
      </w:r>
    </w:p>
    <w:p w14:paraId="4424FDB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Annual loan payment</w:t>
      </w:r>
      <w:r w:rsidRPr="00A93D71">
        <w:rPr>
          <w:rFonts w:ascii="Courier New" w:eastAsia="MS Mincho" w:hAnsi="Courier New" w:cs="Courier New"/>
          <w:sz w:val="24"/>
          <w:szCs w:val="24"/>
        </w:rPr>
        <w:t>.  The Secretary calculates the annual loan payment for a GE program by--</w:t>
      </w:r>
    </w:p>
    <w:p w14:paraId="5A2748D3" w14:textId="5EB8EF42" w:rsidR="00997197" w:rsidRPr="00A93D71" w:rsidRDefault="00997197" w:rsidP="00A93D71">
      <w:pPr>
        <w:autoSpaceDE w:val="0"/>
        <w:autoSpaceDN w:val="0"/>
        <w:adjustRightInd w:val="0"/>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(1)(i)  Determining the median loan debt of the students who completed the program during the cohort period, based on the lesser of the loan debt incurred by each student as determined under paragraph (d)(1) of this section and the total amount for tuition and fees and books, equipment, and supplies for each student as determined under paragraph (d)(2) of this section; </w:t>
      </w:r>
    </w:p>
    <w:p w14:paraId="3021A89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Removing, if applicable, the appropriate number of highest loan debts as described in §668.405(e)(2); and</w:t>
      </w:r>
    </w:p>
    <w:p w14:paraId="164D457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Calculating the median of the remaining amounts.</w:t>
      </w:r>
    </w:p>
    <w:p w14:paraId="2D6F41FF"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(2)  Amortizing the median loan debt--</w:t>
      </w:r>
    </w:p>
    <w:p w14:paraId="2043A3F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(i)(A)  Over a 10-year repayment period for a program that leads to an undergraduate certificate, a post-baccalaureate certificate, an associate degree, or a graduate certificate;</w:t>
      </w:r>
    </w:p>
    <w:p w14:paraId="5DF5E36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Over a 15-year repayment period for a program that leads to a bachelor's degree or a master's degree; or</w:t>
      </w:r>
    </w:p>
    <w:p w14:paraId="3D224B8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(C)  Over a 20-year repayment period for a program that leads to a doctoral or first-professional degree; and</w:t>
      </w:r>
    </w:p>
    <w:p w14:paraId="67B9253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(ii)  Using an annual interest rate that is the average of the annual statutory interest rates on Federal Direct Unsubsidized Loans that were in effect during--</w:t>
      </w:r>
    </w:p>
    <w:p w14:paraId="44D62D7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(A)  The three-year period prior to the end of the cohort period, for undergraduate certificate programs, post-baccalaureate certificate programs, and associate degree programs.  For these programs, the Secretary uses the Federal Direct Unsubsidized Loan interest rate applicable to undergraduate students;</w:t>
      </w:r>
    </w:p>
    <w:p w14:paraId="6799F5D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The three-year period prior to the end of the cohort period, for graduate certificate programs and master’s degree programs.  For these programs, the Secretary uses the Federal Direct Unsubsidized Loan interest rate applicable to graduate students;</w:t>
      </w:r>
    </w:p>
    <w:p w14:paraId="1878C58C"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(C)  The six-year period prior to the end of the cohort period, for bachelor’s degree programs.  For these programs, the Secretary uses the Federal Direct Unsubsidized Loan interest rate applicable to undergraduate students; and</w:t>
      </w:r>
    </w:p>
    <w:p w14:paraId="6C3F452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(D)  The six-year period prior to the end of the cohort period, for doctoral programs and first professional degree programs.  For these programs, the Secretary uses the Federal Direct Unsubsidized Loan interest rate applicable to graduate students.</w:t>
      </w:r>
    </w:p>
    <w:p w14:paraId="524DCDD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Note to paragraph (b)(2)(ii):  For example, for an undergraduate certificate program, if the two-year cohort period is award years 2010-2011 and 2011-2012, the interest rate would be the average of the interest rates for the years from 2009-2010 through 2011-2012.</w:t>
      </w:r>
    </w:p>
    <w:p w14:paraId="0DDE08D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Annual earnings</w:t>
      </w:r>
      <w:r w:rsidRPr="00A93D71">
        <w:rPr>
          <w:rFonts w:ascii="Courier New" w:eastAsia="MS Mincho" w:hAnsi="Courier New" w:cs="Courier New"/>
          <w:sz w:val="24"/>
          <w:szCs w:val="24"/>
        </w:rPr>
        <w:t>.  (1)  The Secretary obtains from the Social Security Administration (SSA), under §668.405, the most currently available mean and median annual earnings of the students who completed the GE program during the cohort period and who are not excluded under paragraph (e) of this section; and</w:t>
      </w:r>
    </w:p>
    <w:p w14:paraId="1A07181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The Secretary uses the higher of the mean or median annual earnings to calculate the D/E rates. </w:t>
      </w:r>
    </w:p>
    <w:p w14:paraId="1D343CB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Loan debt and assessed charges</w:t>
      </w:r>
      <w:r w:rsidRPr="00A93D71">
        <w:rPr>
          <w:rFonts w:ascii="Courier New" w:eastAsia="MS Mincho" w:hAnsi="Courier New" w:cs="Courier New"/>
          <w:sz w:val="24"/>
          <w:szCs w:val="24"/>
        </w:rPr>
        <w:t xml:space="preserve">.  (1) In determining the loan debt for a student, the Secretary includes-- </w:t>
      </w:r>
    </w:p>
    <w:p w14:paraId="1176A3B2" w14:textId="4DF0BBAA" w:rsidR="00997197" w:rsidRPr="00A93D71" w:rsidRDefault="00997197" w:rsidP="00A5206D">
      <w:pPr>
        <w:tabs>
          <w:tab w:val="left" w:pos="552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amount of title IV loans that the student borrowed (total amount disbursed less any cancellations or adjustments) for enrollment in the GE program (Federal PLUS Loans made to parents of dependent students, Direct PLUS Loans made to parents of dependent students, and Direct Unsubsidized Loans that were converted from TEACH Grants are not included);</w:t>
      </w:r>
    </w:p>
    <w:p w14:paraId="0F72998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Any private education loans as defined in 34 CFR 601.2, including private education loans made by the institution, that the student borrowed for enrollment in the program and that were required to be reported by the institution under §668.411; and</w:t>
      </w:r>
    </w:p>
    <w:p w14:paraId="3A790D9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w:t>
      </w:r>
      <w:r w:rsidRPr="00A93D71">
        <w:rPr>
          <w:rFonts w:ascii="Courier New" w:hAnsi="Courier New" w:cs="Courier New"/>
          <w:sz w:val="24"/>
          <w:szCs w:val="24"/>
        </w:rPr>
        <w:t>The amount outstanding, as of the date the student completes the program, on any other credit (including any unpaid charges) extended by or on behalf of the institution for enrollment in any GE program attended at the institution that the student is obligated to repay after completing the GE program, including extensions of credit described in clauses (1) and (2) of the definition of, and excluded from, the term “private education loan” in 34 CFR 601.2;</w:t>
      </w:r>
      <w:r w:rsidRPr="00A93D71">
        <w:rPr>
          <w:rFonts w:ascii="Courier New" w:eastAsia="MS Mincho" w:hAnsi="Courier New" w:cs="Courier New"/>
          <w:sz w:val="24"/>
          <w:szCs w:val="24"/>
        </w:rPr>
        <w:t xml:space="preserve"> </w:t>
      </w:r>
    </w:p>
    <w:p w14:paraId="510C08A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The Secretary attributes all of the loan debt incurred by the student, and attributes the amount reported for the student under §668.411(a)(2)(iv) and (v), for enrollment in any--</w:t>
      </w:r>
    </w:p>
    <w:p w14:paraId="55B455C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Undergraduate GE program at the institution to the highest credentialed undergraduate GE program subsequently completed by the student at the institution as of the end of the most recently completed award year prior to the calculation of the draft D/E rates under this section; and</w:t>
      </w:r>
    </w:p>
    <w:p w14:paraId="024C1AE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Graduate GE program at the institution to the highest credentialed graduate GE program completed by the student at the institution as of the end of the most recently completed award year prior to the calculation of the draft D/E rates under this section; and</w:t>
      </w:r>
    </w:p>
    <w:p w14:paraId="3CB0AE5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The Secretary excludes any loan debt incurred by the student for enrollment in programs at other institutions.  However, the Secretary may include loan debt incurred by the student for enrollment in GE programs at other institutions if the institution and the other institutions are under common ownership or control, as determined by the Secretary in accordance with 34 CFR 600.31. </w:t>
      </w:r>
    </w:p>
    <w:p w14:paraId="611D0FB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(e)  </w:t>
      </w:r>
      <w:r w:rsidRPr="00A93D71">
        <w:rPr>
          <w:rFonts w:ascii="Courier New" w:eastAsia="MS Mincho" w:hAnsi="Courier New" w:cs="Courier New"/>
          <w:sz w:val="24"/>
          <w:szCs w:val="24"/>
          <w:u w:val="single"/>
        </w:rPr>
        <w:t>Exclusions</w:t>
      </w:r>
      <w:r w:rsidRPr="00A93D71">
        <w:rPr>
          <w:rFonts w:ascii="Courier New" w:eastAsia="MS Mincho" w:hAnsi="Courier New" w:cs="Courier New"/>
          <w:sz w:val="24"/>
          <w:szCs w:val="24"/>
        </w:rPr>
        <w:t xml:space="preserve">.  The Secretary excludes a student from both the numerator and the denominator of the D/E rates calculation if the Secretary determines that-- </w:t>
      </w:r>
    </w:p>
    <w:p w14:paraId="32F063E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One or more of the student’s title IV loans were in a military-related deferment status at any time during the calendar year for which the Secretary obtains earnings information under paragraph (c) of this section; </w:t>
      </w:r>
    </w:p>
    <w:p w14:paraId="4B3563E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One or more of the student’s title IV loans are under consideration by the Secretary, or have been approved, for a discharge on the basis of the student’s total and permanent disability, under 34 CFR 674.61, 682.402, or 685.212;</w:t>
      </w:r>
    </w:p>
    <w:p w14:paraId="5A460CE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The student was enrolled in any other eligible program at the institution or at another institution during the calendar year for which the Secretary obtains earnings information under paragraph (c) of this section; </w:t>
      </w:r>
    </w:p>
    <w:p w14:paraId="4C69C30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For undergraduate GE programs, the student completed a higher credentialed undergraduate GE program at the institution subsequent to completing the program as of the end of the most recently completed award year prior to the calculation of the draft D/E rates under this section;</w:t>
      </w:r>
    </w:p>
    <w:p w14:paraId="106C87F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(5)  For graduate GE programs, the student completed a higher credentialed graduate GE program at the institution subsequent to completing the program as of the end of the most recently completed award year prior to the calculation of the draft D/E rates under this section; or</w:t>
      </w:r>
    </w:p>
    <w:p w14:paraId="2EA9CC9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(6)  The student died. </w:t>
      </w:r>
    </w:p>
    <w:p w14:paraId="431A112C" w14:textId="26AD53F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(f)  </w:t>
      </w:r>
      <w:r w:rsidRPr="00A93D71">
        <w:rPr>
          <w:rFonts w:ascii="Courier New" w:eastAsia="MS Mincho" w:hAnsi="Courier New" w:cs="Courier New"/>
          <w:sz w:val="24"/>
          <w:szCs w:val="24"/>
          <w:u w:val="single"/>
        </w:rPr>
        <w:t>D/E rates not issued</w:t>
      </w:r>
      <w:r w:rsidRPr="00A93D71">
        <w:rPr>
          <w:rFonts w:ascii="Courier New" w:eastAsia="MS Mincho" w:hAnsi="Courier New" w:cs="Courier New"/>
          <w:sz w:val="24"/>
          <w:szCs w:val="24"/>
        </w:rPr>
        <w:t>.  The Secretary does not issue draft or final D/E rates for a GE program under §668.405 if--</w:t>
      </w:r>
    </w:p>
    <w:p w14:paraId="5A11A2C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After applying the exclusions in paragraph (e) of this section, </w:t>
      </w:r>
      <w:r w:rsidRPr="00A93D71">
        <w:rPr>
          <w:rFonts w:ascii="Courier New" w:eastAsia="MS Mincho" w:hAnsi="Courier New" w:cs="Courier New"/>
          <w:iCs/>
          <w:sz w:val="24"/>
          <w:szCs w:val="24"/>
        </w:rPr>
        <w:t>fewer than 30 students completed the program during the two-year cohort period and fewer than 30 students completed the program during the four-year cohort period;</w:t>
      </w:r>
      <w:r w:rsidRPr="00A93D71">
        <w:rPr>
          <w:rFonts w:ascii="Courier New" w:eastAsia="MS Mincho" w:hAnsi="Courier New" w:cs="Courier New"/>
          <w:sz w:val="24"/>
          <w:szCs w:val="24"/>
        </w:rPr>
        <w:t xml:space="preserve"> or</w:t>
      </w:r>
    </w:p>
    <w:p w14:paraId="719F2F78" w14:textId="6279E392"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SSA does not provide the mean and median earnings for the program as provided under paragraph (c) of this section.</w:t>
      </w:r>
    </w:p>
    <w:p w14:paraId="02ECF3C0" w14:textId="2EB6951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(g)  </w:t>
      </w:r>
      <w:r w:rsidRPr="00A93D71">
        <w:rPr>
          <w:rFonts w:ascii="Courier New" w:eastAsia="MS Mincho" w:hAnsi="Courier New" w:cs="Courier New"/>
          <w:sz w:val="24"/>
          <w:szCs w:val="24"/>
          <w:u w:val="single"/>
        </w:rPr>
        <w:t>Transition period</w:t>
      </w:r>
      <w:r w:rsidRPr="00A93D71">
        <w:rPr>
          <w:rFonts w:ascii="Courier New" w:eastAsia="MS Mincho" w:hAnsi="Courier New" w:cs="Courier New"/>
          <w:sz w:val="24"/>
          <w:szCs w:val="24"/>
        </w:rPr>
        <w:t>.  (1)  The transition period is determined by the length of the GE program for which the Secretary calculates D/E rates under this subpart.  The transition period is--</w:t>
      </w:r>
    </w:p>
    <w:p w14:paraId="574FC877" w14:textId="0092BAE3"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first five award years for which the Secretary calculates D/E rates under this subpart if the length of the program is one year or less;</w:t>
      </w:r>
    </w:p>
    <w:p w14:paraId="2ACA7485" w14:textId="10B09D0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The first six award years for which the Secretary calculates D/E rates under this subpart if the length of the program is between one and two years; and</w:t>
      </w:r>
    </w:p>
    <w:p w14:paraId="33E4E364" w14:textId="4C32A69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The first seven award years for which the Secretary calculates D/E rates if the length of the program is more than two years.</w:t>
      </w:r>
    </w:p>
    <w:p w14:paraId="0D5AC615" w14:textId="5EEB338E"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If a GE program is failing or in the zone based on its draft D/E rates for any award year during the transition period, the Secretary calculates transitional draft D/E rates for that award year by using--</w:t>
      </w:r>
    </w:p>
    <w:p w14:paraId="6E6DDCAE" w14:textId="145C595B"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median loan debt of the students who completed the program during the most recently completed award year; and</w:t>
      </w:r>
    </w:p>
    <w:p w14:paraId="07B8033D" w14:textId="35DCA34B"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The earnings used to calculate the draft D/E rates under paragraph (c) of this section.</w:t>
      </w:r>
    </w:p>
    <w:p w14:paraId="56FA7186" w14:textId="595E1078"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For any award year for which the Secretary calculates transitional draft D/E rates for a program, the Secretary determines the final D/E rates for the program based on the lower of the draft or transitional draft D/E rates.  </w:t>
      </w:r>
    </w:p>
    <w:p w14:paraId="60E20303" w14:textId="076C723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An institution may challenge or appeal the draft or transitional draft D/E rates, or both, under the procedures in §668.405 and §668.406, respectively.</w:t>
      </w:r>
    </w:p>
    <w:p w14:paraId="7FCFDDD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w:t>
      </w:r>
    </w:p>
    <w:p w14:paraId="647D7E94"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u w:val="single"/>
        </w:rPr>
        <w:t>§668.405  Issuing and challenging D/E rates</w:t>
      </w:r>
      <w:r w:rsidRPr="00A93D71">
        <w:rPr>
          <w:rFonts w:ascii="Courier New" w:eastAsia="MS Mincho" w:hAnsi="Courier New" w:cs="Courier New"/>
          <w:sz w:val="24"/>
          <w:szCs w:val="24"/>
        </w:rPr>
        <w:t xml:space="preserve">.  </w:t>
      </w:r>
    </w:p>
    <w:p w14:paraId="3D6DE3EF"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Overview</w:t>
      </w:r>
      <w:r w:rsidRPr="00A93D71">
        <w:rPr>
          <w:rFonts w:ascii="Courier New" w:eastAsia="MS Mincho" w:hAnsi="Courier New" w:cs="Courier New"/>
          <w:sz w:val="24"/>
          <w:szCs w:val="24"/>
        </w:rPr>
        <w:t>.  For each award year, the Secretary determines the D/E rates for a GE program at an institution by--</w:t>
      </w:r>
    </w:p>
    <w:p w14:paraId="3BCE1E71"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(1)  Creating a list of the students who completed the program during the cohort period and providing the list to the institution, as provided in paragraph (b) of this section;</w:t>
      </w:r>
    </w:p>
    <w:p w14:paraId="6D72ADFD"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(2)  Allowing the institution to correct the information about the students on the list, as provided in paragraph (c) of this section;</w:t>
      </w:r>
    </w:p>
    <w:p w14:paraId="6389B40D"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(3)  Obtaining from SSA the mean and median annual earnings of the students on the list, as provided in paragraph (d) of this section; </w:t>
      </w:r>
    </w:p>
    <w:p w14:paraId="34CD3B34"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(4)  Calculating draft D/E rates and providing them to the institution, as provided in paragraph (e) of this section; </w:t>
      </w:r>
    </w:p>
    <w:p w14:paraId="4065039F"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(5)  Allowing the institution to challenge the median loan debt used to calculate the draft D/E rates, as provided in paragraph (f) of this section;</w:t>
      </w:r>
    </w:p>
    <w:p w14:paraId="7E48BA68"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(6)  Calculating final D/E rates and providing them to the institution, as provided in paragraph (g) of this section; and</w:t>
      </w:r>
    </w:p>
    <w:p w14:paraId="47242B35"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(7)  Allowing the institution to appeal the final D/E rates as provided in §668.406.</w:t>
      </w:r>
    </w:p>
    <w:p w14:paraId="519A5AA8"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Creating the list of students</w:t>
      </w:r>
      <w:r w:rsidRPr="00A93D71">
        <w:rPr>
          <w:rFonts w:ascii="Courier New" w:eastAsia="MS Mincho" w:hAnsi="Courier New" w:cs="Courier New"/>
          <w:sz w:val="24"/>
          <w:szCs w:val="24"/>
        </w:rPr>
        <w:t>.  (1)  The Secretary selects the students to be included on the list by--</w:t>
      </w:r>
    </w:p>
    <w:p w14:paraId="2994C709"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(i)  Identifying the students who completed the program during the cohort period from the data provided by the institution under §668.411; and</w:t>
      </w:r>
    </w:p>
    <w:p w14:paraId="4BA45C3E"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(ii)  Indicating which students would be removed from the list under §668.404(e) and the specific reason for the exclusion.</w:t>
      </w:r>
      <w:r w:rsidRPr="00A93D71" w:rsidDel="00987CE2">
        <w:rPr>
          <w:rFonts w:ascii="Courier New" w:eastAsia="MS Mincho" w:hAnsi="Courier New" w:cs="Courier New"/>
          <w:sz w:val="24"/>
          <w:szCs w:val="24"/>
        </w:rPr>
        <w:t xml:space="preserve"> </w:t>
      </w:r>
    </w:p>
    <w:p w14:paraId="7B73844C"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The Secretary provides the list to the institution and states which cohort period was used to select the students. </w:t>
      </w:r>
    </w:p>
    <w:p w14:paraId="19A74648"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Institutional corrections to the list</w:t>
      </w:r>
      <w:r w:rsidRPr="00A93D71">
        <w:rPr>
          <w:rFonts w:ascii="Courier New" w:eastAsia="MS Mincho" w:hAnsi="Courier New" w:cs="Courier New"/>
          <w:sz w:val="24"/>
          <w:szCs w:val="24"/>
        </w:rPr>
        <w:t xml:space="preserve">.  (1)  The Secretary presumes that the list of students and the identity information for those students are correct unless, as set forth in procedures established by the Secretary, the institution provides evidence to the contrary satisfactory to the Secretary.  The institution bears the burden of proof that the list is incorrect. </w:t>
      </w:r>
    </w:p>
    <w:p w14:paraId="413FF692"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No later than 45 days after the date the Secretary provides the list to the institution, the institution may--  </w:t>
      </w:r>
    </w:p>
    <w:p w14:paraId="4DE324A4"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(i)  Provide evidence showing that a student should be included on or removed from the list pursuant to §668.404(e); or</w:t>
      </w:r>
    </w:p>
    <w:p w14:paraId="1E018D1C"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(ii)  Correct or update a student’s identity information and the student’s program attendance information.</w:t>
      </w:r>
    </w:p>
    <w:p w14:paraId="3C8F235E"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(3)  After the 45-day period expires, the institution may no longer seek to correct the list of students or revise the identity or program information of those students included on the list.  </w:t>
      </w:r>
    </w:p>
    <w:p w14:paraId="5A4CAFD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The Secretary considers the evidence provided by the institution and either accepts the correction or notifies the institution of the reasons for not accepting the correction.  If the Secretary accepts the correction, the Secretary uses the corrected information to create the final list.  The Secretary provides the institution with the final list and indicates the cohort period or cohort periods used to create the final list.</w:t>
      </w:r>
    </w:p>
    <w:p w14:paraId="4B023A5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Obtaining earnings data</w:t>
      </w:r>
      <w:r w:rsidRPr="00A93D71">
        <w:rPr>
          <w:rFonts w:ascii="Courier New" w:eastAsia="MS Mincho" w:hAnsi="Courier New" w:cs="Courier New"/>
          <w:sz w:val="24"/>
          <w:szCs w:val="24"/>
        </w:rPr>
        <w:t xml:space="preserve">.  The Secretary submits the final list to SSA.  For the purposes of this section, SSA returns to the Secretary-- </w:t>
      </w:r>
    </w:p>
    <w:p w14:paraId="2F84419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The mean and median annual earnings of the students on the list whom SSA has matched to SSA earnings data, in aggregate and not in individual form; and </w:t>
      </w:r>
    </w:p>
    <w:p w14:paraId="7FD61E7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The number, but not the identities, of students on the list that SSA could not match.</w:t>
      </w:r>
    </w:p>
    <w:p w14:paraId="545BB3C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(e)  </w:t>
      </w:r>
      <w:r w:rsidRPr="00A93D71">
        <w:rPr>
          <w:rFonts w:ascii="Courier New" w:eastAsia="MS Mincho" w:hAnsi="Courier New" w:cs="Courier New"/>
          <w:sz w:val="24"/>
          <w:szCs w:val="24"/>
          <w:u w:val="single"/>
        </w:rPr>
        <w:t>Calculating draft D/E rates</w:t>
      </w:r>
      <w:r w:rsidRPr="00A93D71">
        <w:rPr>
          <w:rFonts w:ascii="Courier New" w:eastAsia="MS Mincho" w:hAnsi="Courier New" w:cs="Courier New"/>
          <w:sz w:val="24"/>
          <w:szCs w:val="24"/>
        </w:rPr>
        <w:t>.  (1)(i)  If the SSA earnings data includes reports from records of earnings on at least 30 students, the Secretary uses the higher of the mean or median annual earnings provided by SSA to calculate draft D/E rates for a GE program, as provided in §668.404.</w:t>
      </w:r>
    </w:p>
    <w:p w14:paraId="5D0D304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If the SSA earnings data includes reports from records of earnings on fewer than 30 but at least 10 students, the Secretary uses the earnings provided by SSA only for the purpose of disclosure under §668.412(a)(13). </w:t>
      </w:r>
    </w:p>
    <w:p w14:paraId="5E01590C"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ab/>
        <w:t xml:space="preserve">(2)  If SSA reports that it was unable to match one or more of the students on the final list, the Secretary does not include in the calculation of the median loan debt the same number of students with the highest loan debts as the number of students whose earnings SSA did not match.  For example, if SSA is unable to match three students out of 100 students, the Secretary orders by amount the debts of the 100 listed students and excludes from the D/E rates calculation the three largest loan debts. </w:t>
      </w:r>
    </w:p>
    <w:p w14:paraId="74C211F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(3)(i)  The Secretary notifies the institution of the draft D/E rates for the program and provides the mean and median annual earnings obtained from SSA and the individual student loan information used to calculate the rates, including the loan debt that was used in the calculation for each student.</w:t>
      </w:r>
    </w:p>
    <w:p w14:paraId="54387DE2"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The draft D/E rates and the data described in paragraphs (b) through (e) of this section are not considered public information.  </w:t>
      </w:r>
    </w:p>
    <w:p w14:paraId="16422DAE"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     (f)  </w:t>
      </w:r>
      <w:r w:rsidRPr="00A93D71">
        <w:rPr>
          <w:rFonts w:ascii="Courier New" w:eastAsia="MS Mincho" w:hAnsi="Courier New" w:cs="Courier New"/>
          <w:sz w:val="24"/>
          <w:szCs w:val="24"/>
          <w:u w:val="single"/>
        </w:rPr>
        <w:t>Institutional challenges to draft D/E rates</w:t>
      </w:r>
      <w:r w:rsidRPr="00A93D71">
        <w:rPr>
          <w:rFonts w:ascii="Courier New" w:eastAsia="MS Mincho" w:hAnsi="Courier New" w:cs="Courier New"/>
          <w:sz w:val="24"/>
          <w:szCs w:val="24"/>
        </w:rPr>
        <w:t xml:space="preserve">.  (1)  The Secretary presumes that the loan debt information used to calculate the median loan debt for the program under §668.404 is correct unless the institution provides evidence satisfactory to the Secretary, as provided in paragraph (f)(2) of this section, that the information is incorrect.  The institution bears the burden of proof to show that the loan debt information is incorrect and to show how it should be corrected. </w:t>
      </w:r>
    </w:p>
    <w:p w14:paraId="03DF393E"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No later than 45 days after the Secretary notifies an institution of the draft D/E rates for a program, the institution may challenge the accuracy of the loan debt information that the Secretary used to calculate the median loan debt for the program under §668.404 by submitting evidence, in a format and through a process determined by the Secretary, that demonstrates that the median loan debt calculated by the Secretary is incorrect.  </w:t>
      </w:r>
    </w:p>
    <w:p w14:paraId="25A3A88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(3)  In a challenge under this section, the Secretary does not consider--</w:t>
      </w:r>
    </w:p>
    <w:p w14:paraId="12846AC8"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  Any objection to the mean or median annual earnings that SSA provided to the Secretary; </w:t>
      </w:r>
    </w:p>
    <w:p w14:paraId="7D012F2D"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  More than one challenge to the student-specific data on which draft D/E rates are based for a program for an award year; or</w:t>
      </w:r>
    </w:p>
    <w:p w14:paraId="317BDE37"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(iii)  Any challenge that is not timely submitted.</w:t>
      </w:r>
    </w:p>
    <w:p w14:paraId="7808AA0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(4)  The Secretary considers the evidence provided by an institution challenging the median loan debt and notifies the institution of whether the challenge is accepted or the reasons why the challenge is not accepted.  </w:t>
      </w:r>
    </w:p>
    <w:p w14:paraId="7F70151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(5)  If the information from an accepted challenge changes the median loan debt of the program, the Secretary recalculates the program’s draft D/E rates. </w:t>
      </w:r>
    </w:p>
    <w:p w14:paraId="09E66DA0"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(6)  Except as provided under §668.406, an institution that does not timely challenge the draft D/E rates for a program waives any objection to those rates.</w:t>
      </w:r>
    </w:p>
    <w:p w14:paraId="68084B3F"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(g)  </w:t>
      </w:r>
      <w:r w:rsidRPr="00A93D71">
        <w:rPr>
          <w:rFonts w:ascii="Courier New" w:eastAsia="MS Mincho" w:hAnsi="Courier New" w:cs="Courier New"/>
          <w:sz w:val="24"/>
          <w:szCs w:val="24"/>
          <w:u w:val="single"/>
        </w:rPr>
        <w:t>Final D/E rates</w:t>
      </w:r>
      <w:r w:rsidRPr="00A93D71">
        <w:rPr>
          <w:rFonts w:ascii="Courier New" w:eastAsia="MS Mincho" w:hAnsi="Courier New" w:cs="Courier New"/>
          <w:sz w:val="24"/>
          <w:szCs w:val="24"/>
        </w:rPr>
        <w:t>.  (1)  After expiration of the 45-day period and subject to resolution of any challenge under paragraph (f) of this section, a program’s draft D/E rates constitute its final D/E rates.</w:t>
      </w:r>
    </w:p>
    <w:p w14:paraId="213B8B9A"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The Secretary informs the institution of the final D/E rates for each of its GE programs by issuing the notice of determination described in §668.409(a).  </w:t>
      </w:r>
    </w:p>
    <w:p w14:paraId="0467530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(3)  After the Secretary provides the notice of determination to the institution, the Secretary may publish the final D/E rates for the program. </w:t>
      </w:r>
    </w:p>
    <w:p w14:paraId="0AE8592F"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(h)  </w:t>
      </w:r>
      <w:r w:rsidRPr="00A93D71">
        <w:rPr>
          <w:rFonts w:ascii="Courier New" w:eastAsia="MS Mincho" w:hAnsi="Courier New" w:cs="Courier New"/>
          <w:sz w:val="24"/>
          <w:szCs w:val="24"/>
          <w:u w:val="single"/>
        </w:rPr>
        <w:t>Conditions for corrections and challenges</w:t>
      </w:r>
      <w:r w:rsidRPr="00A93D71">
        <w:rPr>
          <w:rFonts w:ascii="Courier New" w:eastAsia="MS Mincho" w:hAnsi="Courier New" w:cs="Courier New"/>
          <w:sz w:val="24"/>
          <w:szCs w:val="24"/>
        </w:rPr>
        <w:t xml:space="preserve">.  An institution must ensure that any material that it submits to make any correction or challenge under this section is complete, timely, accurate, and in a format acceptable to the Secretary and consistent with any instructions provided to the institution with the notice of its draft D/E rates and the notice of determination. </w:t>
      </w:r>
    </w:p>
    <w:p w14:paraId="0EB2114E" w14:textId="77777777" w:rsidR="00997197" w:rsidRPr="00A93D71" w:rsidRDefault="00997197" w:rsidP="00A93D71">
      <w:pPr>
        <w:spacing w:after="0" w:line="480" w:lineRule="auto"/>
        <w:contextualSpacing/>
        <w:rPr>
          <w:rFonts w:ascii="Courier New" w:eastAsia="MS Mincho" w:hAnsi="Courier New" w:cs="Courier New"/>
          <w:sz w:val="24"/>
          <w:szCs w:val="24"/>
          <w:u w:val="single"/>
        </w:rPr>
      </w:pPr>
      <w:r w:rsidRPr="00A93D71">
        <w:rPr>
          <w:rFonts w:ascii="Courier New" w:eastAsia="MS Mincho" w:hAnsi="Courier New" w:cs="Courier New"/>
          <w:sz w:val="24"/>
          <w:szCs w:val="24"/>
        </w:rPr>
        <w:t>(Authority:  20 U.S.C. 1001, 1002, 1088, 1094)</w:t>
      </w:r>
    </w:p>
    <w:p w14:paraId="604E9DC6"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u w:val="single"/>
        </w:rPr>
        <w:t>§668.406  D/E rates alternate earnings appeals</w:t>
      </w:r>
      <w:r w:rsidRPr="00A93D71">
        <w:rPr>
          <w:rFonts w:ascii="Courier New" w:eastAsia="MS Mincho" w:hAnsi="Courier New" w:cs="Courier New"/>
          <w:sz w:val="24"/>
          <w:szCs w:val="24"/>
        </w:rPr>
        <w:t>.</w:t>
      </w:r>
    </w:p>
    <w:p w14:paraId="430796D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General</w:t>
      </w:r>
      <w:r w:rsidRPr="00A93D71">
        <w:rPr>
          <w:rFonts w:ascii="Courier New" w:eastAsia="MS Mincho" w:hAnsi="Courier New" w:cs="Courier New"/>
          <w:sz w:val="24"/>
          <w:szCs w:val="24"/>
        </w:rPr>
        <w:t>.  If a GE program is failing or in the zone under the D/E rates measure, an institution may file an alternate earnings appeal to request recalculation of the program’s most recent final D/E rates issued by the Secretary.  The alternate earnings must be from the same calendar year for which the Secretary obtained earnings data from SSA to calculate the final D/E rates under §668.404.</w:t>
      </w:r>
    </w:p>
    <w:p w14:paraId="15335F4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Basis for appeals</w:t>
      </w:r>
      <w:r w:rsidRPr="00A93D71">
        <w:rPr>
          <w:rFonts w:ascii="Courier New" w:eastAsia="MS Mincho" w:hAnsi="Courier New" w:cs="Courier New"/>
          <w:sz w:val="24"/>
          <w:szCs w:val="24"/>
        </w:rPr>
        <w:t>.  (1)  The institution may use alternate earnings from an institutional survey conducted under paragraph (c) of this section, or from a State-sponsored data system under paragraph (d) of this section, to recalculate the program’s final D/E rates and file an appeal if by using the alternate earnings--</w:t>
      </w:r>
    </w:p>
    <w:p w14:paraId="6EDAC2BD" w14:textId="01A66F7A"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For a program that was failing the D/E rates measure, the program is passing or in the zone with respect to the D/E rates measure; or</w:t>
      </w:r>
    </w:p>
    <w:p w14:paraId="596DC358" w14:textId="3D123A1A"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For a program that was in the zone for the purpose of the D/E rates measure, the program is passing the D/E rates measure.  </w:t>
      </w:r>
    </w:p>
    <w:p w14:paraId="62EBFC6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When submitting its appeal of the final D/E rates, the institution must--</w:t>
      </w:r>
    </w:p>
    <w:p w14:paraId="123E074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Use the annual loan payment used in the calculation of the final D/E rates; and</w:t>
      </w:r>
    </w:p>
    <w:p w14:paraId="70AA1A2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Use the higher of the mean or median alternate earnings.</w:t>
      </w:r>
    </w:p>
    <w:p w14:paraId="48BAA243" w14:textId="3751F2CE"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The institution must include in its appeal the alternate earnings of all the students who completed the program during the same cohort period that the Secretary used to calculate the final D/E rates under §668.404 or a comparable cohort period, provided that the institution may elect--</w:t>
      </w:r>
    </w:p>
    <w:p w14:paraId="3AEFB87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If conducting an alternate earnings survey, to exclude from the survey, in accordance with the standards established by NCES, all or some of the students excluded from the D/E rates calculation under §668.404(e); or</w:t>
      </w:r>
    </w:p>
    <w:p w14:paraId="19854637"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If obtaining annual earnings data from one or more State-sponsored data systems, and in accordance with paragraph (d)(2) of this section, to exclude from the list of students submitted to the administrator of the State-administered data system all or some of the students excluded from the D/E rates calculation under §668.404(e). </w:t>
      </w:r>
    </w:p>
    <w:p w14:paraId="28E3654D"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Survey requirements for appeals</w:t>
      </w:r>
      <w:r w:rsidRPr="00A93D71">
        <w:rPr>
          <w:rFonts w:ascii="Courier New" w:eastAsia="MS Mincho" w:hAnsi="Courier New" w:cs="Courier New"/>
          <w:sz w:val="24"/>
          <w:szCs w:val="24"/>
        </w:rPr>
        <w:t xml:space="preserve">.  An institution must-- </w:t>
      </w:r>
    </w:p>
    <w:p w14:paraId="36B21317" w14:textId="49828E8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hAnsi="Courier New" w:cs="Courier New"/>
          <w:sz w:val="24"/>
          <w:szCs w:val="24"/>
        </w:rPr>
        <w:t>(1)  In accordance with the standards included on an Earnings Survey Form developed by NCES, conduct a survey to obtain annual earnings information</w:t>
      </w:r>
      <w:r w:rsidRPr="00A93D71">
        <w:rPr>
          <w:rFonts w:ascii="Courier New" w:eastAsia="MS Mincho" w:hAnsi="Courier New" w:cs="Courier New"/>
          <w:sz w:val="24"/>
          <w:szCs w:val="24"/>
        </w:rPr>
        <w:t xml:space="preserve"> of the students described in paragraph (b)(3) of this section.  </w:t>
      </w:r>
      <w:r w:rsidRPr="00A93D71">
        <w:rPr>
          <w:rFonts w:ascii="Courier New" w:hAnsi="Courier New" w:cs="Courier New"/>
          <w:sz w:val="24"/>
          <w:szCs w:val="24"/>
        </w:rPr>
        <w:t xml:space="preserve">The Secretary will publish in the </w:t>
      </w:r>
      <w:r w:rsidRPr="00A93D71">
        <w:rPr>
          <w:rFonts w:ascii="Courier New" w:hAnsi="Courier New" w:cs="Courier New"/>
          <w:sz w:val="24"/>
          <w:szCs w:val="24"/>
          <w:u w:val="single"/>
        </w:rPr>
        <w:t>Federal Register</w:t>
      </w:r>
      <w:r w:rsidRPr="00A93D71">
        <w:rPr>
          <w:rFonts w:ascii="Courier New" w:hAnsi="Courier New" w:cs="Courier New"/>
          <w:sz w:val="24"/>
          <w:szCs w:val="24"/>
        </w:rPr>
        <w:t xml:space="preserve"> the Earnings Survey Form that will include a pilot-tested universe survey as well as the survey standards.  An institution is not required to use the Earnings Survey Form but, in conducting a survey under this section, must adhere to the survey standards and present to the survey respondent in the same order and same manner the same survey items, included in the Earnings Survey Form; and  </w:t>
      </w:r>
      <w:r w:rsidRPr="00A93D71">
        <w:rPr>
          <w:rFonts w:ascii="Courier New" w:eastAsia="MS Mincho" w:hAnsi="Courier New" w:cs="Courier New"/>
          <w:sz w:val="24"/>
          <w:szCs w:val="24"/>
        </w:rPr>
        <w:t xml:space="preserve"> </w:t>
      </w:r>
    </w:p>
    <w:p w14:paraId="68932435"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  Submit to the Secretary as part of its appeal--</w:t>
      </w:r>
    </w:p>
    <w:p w14:paraId="6FE0F0B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  A certification signed by the institution’s chief executive officer attesting that the survey was conducted in accordance with the survey standards in the Earnings Survey Form, and that the mean or median earnings used to recalculate the D/E rates was accurately determined from the survey results; </w:t>
      </w:r>
    </w:p>
    <w:p w14:paraId="237EEF00" w14:textId="5AA9444F"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An examination–level attestation engagement report prepared by an independent public accountant or independent governmental auditor, as appropriate, that the survey was conducted in accordance with the requirements set forth in the NCES Earnings Survey Form.  The attestation must be conducted in accordance with the attestation standards contained in the Government Accountability Office’s Government Auditing Standards promulgated by the Comptroller General of the United States (available at </w:t>
      </w:r>
      <w:hyperlink r:id="rId22" w:history="1">
        <w:r w:rsidRPr="00A93D71">
          <w:rPr>
            <w:rFonts w:ascii="Courier New" w:eastAsia="MS Mincho" w:hAnsi="Courier New" w:cs="Courier New"/>
            <w:color w:val="0000FF"/>
            <w:sz w:val="24"/>
            <w:szCs w:val="24"/>
            <w:u w:val="single"/>
          </w:rPr>
          <w:t>www.gao.gov/yellowbook/overview</w:t>
        </w:r>
      </w:hyperlink>
      <w:r w:rsidRPr="00A93D71">
        <w:rPr>
          <w:rFonts w:ascii="Courier New" w:eastAsia="MS Mincho" w:hAnsi="Courier New" w:cs="Courier New"/>
          <w:sz w:val="24"/>
          <w:szCs w:val="24"/>
        </w:rPr>
        <w:t xml:space="preserve"> or its successor site), and with procedures for attestations contained in guides developed by and available from the Department of Education’s Office of Inspector General; and</w:t>
      </w:r>
    </w:p>
    <w:p w14:paraId="57A3A31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(iii)  Supporting documentation requested by the Secretary.</w:t>
      </w:r>
    </w:p>
    <w:p w14:paraId="239936E6"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State-sponsored data system requirements for appeals</w:t>
      </w:r>
      <w:r w:rsidRPr="00A93D71">
        <w:rPr>
          <w:rFonts w:ascii="Courier New" w:eastAsia="MS Mincho" w:hAnsi="Courier New" w:cs="Courier New"/>
          <w:sz w:val="24"/>
          <w:szCs w:val="24"/>
        </w:rPr>
        <w:t>.  An institution must--</w:t>
      </w:r>
    </w:p>
    <w:p w14:paraId="47DBD971"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(1)  Obtain annual earnings data from one or more State-sponsored data systems by submitting a list of the students described in paragraph (b)(3) of this section to the administrator of each State-sponsored data system used for the appeal; </w:t>
      </w:r>
    </w:p>
    <w:p w14:paraId="58318D41" w14:textId="7BA87F05"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  Demonstrate that annual earnings data were obtained for more than 50 percent of the number of students in the cohort period not excluded pursuant to paragraph (b)(3) of this section, and that number of students must be 30 or more; and</w:t>
      </w:r>
    </w:p>
    <w:p w14:paraId="0004E237"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(3)  Submit as part of its appeal--</w:t>
      </w:r>
    </w:p>
    <w:p w14:paraId="5667052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  A certification signed by the institution’s chief executive officer attesting that it accurately used the State-provided earnings data to recalculate the D/E rates; and </w:t>
      </w:r>
    </w:p>
    <w:p w14:paraId="493DE40A"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  Supporting documentation requested by the Secretary.</w:t>
      </w:r>
    </w:p>
    <w:p w14:paraId="66623BC8"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(e)  </w:t>
      </w:r>
      <w:r w:rsidRPr="00A93D71">
        <w:rPr>
          <w:rFonts w:ascii="Courier New" w:eastAsia="MS Mincho" w:hAnsi="Courier New" w:cs="Courier New"/>
          <w:sz w:val="24"/>
          <w:szCs w:val="24"/>
          <w:u w:val="single"/>
        </w:rPr>
        <w:t>Appeals procedure</w:t>
      </w:r>
      <w:r w:rsidRPr="00A93D71">
        <w:rPr>
          <w:rFonts w:ascii="Courier New" w:eastAsia="MS Mincho" w:hAnsi="Courier New" w:cs="Courier New"/>
          <w:sz w:val="24"/>
          <w:szCs w:val="24"/>
        </w:rPr>
        <w:t>.  (1)  For any appeal under this section, in accordance with procedures established by the Secretary and provided in the notice of draft D/E rates under §668.405 and the notice of determination under §668.409, the institution must--</w:t>
      </w:r>
    </w:p>
    <w:p w14:paraId="619C53ED"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  Notify the Secretary of its intent to submit an appeal no earlier than the date that the Secretary provides the institution the draft D/E rates under §668.405(e)(3), but no later than 14 days after the date the Secretary issues the notice of determination under §668.409(a) informing the institution of the final D/E rates under §668.405(g); and</w:t>
      </w:r>
    </w:p>
    <w:p w14:paraId="454C96FF"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Submit the recalculated D/E rates, all certifications, and specified supporting documentation related to the appeal no later than 60 days after the date the Secretary issues the notice of determination. </w:t>
      </w:r>
    </w:p>
    <w:p w14:paraId="26497DB2"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  An institution that timely submits an appeal that meets the requirements of this section is not subject to any consequences under §668.410 based on the D/E rates under appeal while the Secretary considers the appeal.  If the Secretary has published final D/E rates under §668.405(g), the program’s final D/E rates will be annotated to indicate that they are under appeal.</w:t>
      </w:r>
    </w:p>
    <w:p w14:paraId="6C67CCF5"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(3)  An institution that does not submit a timely appeal waives its right to appeal the GE program’s failing or zone D/E rates for the relevant award year.</w:t>
      </w:r>
    </w:p>
    <w:p w14:paraId="652ED527"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(f)  </w:t>
      </w:r>
      <w:r w:rsidRPr="00A93D71">
        <w:rPr>
          <w:rFonts w:ascii="Courier New" w:eastAsia="MS Mincho" w:hAnsi="Courier New" w:cs="Courier New"/>
          <w:sz w:val="24"/>
          <w:szCs w:val="24"/>
          <w:u w:val="single"/>
        </w:rPr>
        <w:t>Appeals determinations</w:t>
      </w:r>
      <w:r w:rsidRPr="00A93D71">
        <w:rPr>
          <w:rFonts w:ascii="Courier New" w:eastAsia="MS Mincho" w:hAnsi="Courier New" w:cs="Courier New"/>
          <w:sz w:val="24"/>
          <w:szCs w:val="24"/>
        </w:rPr>
        <w:t xml:space="preserve">.  (1)  </w:t>
      </w:r>
      <w:r w:rsidRPr="00A93D71">
        <w:rPr>
          <w:rFonts w:ascii="Courier New" w:eastAsia="MS Mincho" w:hAnsi="Courier New" w:cs="Courier New"/>
          <w:sz w:val="24"/>
          <w:szCs w:val="24"/>
          <w:u w:val="single"/>
        </w:rPr>
        <w:t>Appeals denied</w:t>
      </w:r>
      <w:r w:rsidRPr="00A93D71">
        <w:rPr>
          <w:rFonts w:ascii="Courier New" w:eastAsia="MS Mincho" w:hAnsi="Courier New" w:cs="Courier New"/>
          <w:sz w:val="24"/>
          <w:szCs w:val="24"/>
        </w:rPr>
        <w:t>.  If the Secretary denies an appeal, the Secretary notifies the institution of the reasons for denying the appeal, and the program’s final D/E rates previously issued in the notice of determination under §668.409(a) remain the final D/E rates for the program for the award year.</w:t>
      </w:r>
    </w:p>
    <w:p w14:paraId="50B426A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Appeals granted</w:t>
      </w:r>
      <w:r w:rsidRPr="00A93D71">
        <w:rPr>
          <w:rFonts w:ascii="Courier New" w:eastAsia="MS Mincho" w:hAnsi="Courier New" w:cs="Courier New"/>
          <w:sz w:val="24"/>
          <w:szCs w:val="24"/>
        </w:rPr>
        <w:t>.  If the Secretary grants the appeal, the Secretary notifies the institution that the appeal is granted, that the recalculated D/E rates are the new final D/E rates for the program for the award year, and of any consequences of the recalculated rates under §668.410.  If the Secretary has published final D/E rates under §668.405(g), the program’s published rates will be updated to reflect the new final D/E rates.</w:t>
      </w:r>
    </w:p>
    <w:p w14:paraId="2A3B238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(g)  </w:t>
      </w:r>
      <w:r w:rsidRPr="00A93D71">
        <w:rPr>
          <w:rFonts w:ascii="Courier New" w:eastAsia="MS Mincho" w:hAnsi="Courier New" w:cs="Courier New"/>
          <w:sz w:val="24"/>
          <w:szCs w:val="24"/>
          <w:u w:val="single"/>
        </w:rPr>
        <w:t>Conditions for alternate earnings appeals</w:t>
      </w:r>
      <w:r w:rsidRPr="00A93D71">
        <w:rPr>
          <w:rFonts w:ascii="Courier New" w:eastAsia="MS Mincho" w:hAnsi="Courier New" w:cs="Courier New"/>
          <w:sz w:val="24"/>
          <w:szCs w:val="24"/>
        </w:rPr>
        <w:t>.  An institution must ensure that any material that it submits to make an appeal under this section is complete, timely, accurate, and in a format acceptable to the Secretary and consistent with any instructions provided to the institution with the notice of determination.</w:t>
      </w:r>
    </w:p>
    <w:p w14:paraId="39CE52CC"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w:t>
      </w:r>
    </w:p>
    <w:p w14:paraId="3B4B3FC4"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§668.407  [Reserved]</w:t>
      </w:r>
      <w:r w:rsidRPr="00A93D71">
        <w:rPr>
          <w:rFonts w:ascii="Courier New" w:eastAsia="MS Mincho" w:hAnsi="Courier New" w:cs="Courier New"/>
          <w:sz w:val="24"/>
          <w:szCs w:val="24"/>
        </w:rPr>
        <w:t xml:space="preserve">.  </w:t>
      </w:r>
    </w:p>
    <w:p w14:paraId="50DA0C02"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§668.408  [Reserved]</w:t>
      </w:r>
      <w:r w:rsidRPr="00A93D71">
        <w:rPr>
          <w:rFonts w:ascii="Courier New" w:eastAsia="MS Mincho" w:hAnsi="Courier New" w:cs="Courier New"/>
          <w:sz w:val="24"/>
          <w:szCs w:val="24"/>
        </w:rPr>
        <w:t xml:space="preserve">.  </w:t>
      </w:r>
    </w:p>
    <w:p w14:paraId="580B7F58" w14:textId="77777777" w:rsidR="00997197" w:rsidRPr="00A93D71" w:rsidRDefault="00997197" w:rsidP="00A93D71">
      <w:pPr>
        <w:spacing w:after="0" w:line="480" w:lineRule="auto"/>
        <w:rPr>
          <w:rFonts w:ascii="Courier New" w:eastAsia="MS Mincho" w:hAnsi="Courier New" w:cs="Courier New"/>
          <w:sz w:val="24"/>
          <w:szCs w:val="24"/>
          <w:u w:val="single"/>
        </w:rPr>
      </w:pPr>
      <w:r w:rsidRPr="00A93D71">
        <w:rPr>
          <w:rFonts w:ascii="Courier New" w:eastAsia="MS Mincho" w:hAnsi="Courier New" w:cs="Courier New"/>
          <w:sz w:val="24"/>
          <w:szCs w:val="24"/>
          <w:u w:val="single"/>
        </w:rPr>
        <w:t>§668.409  Final determination of the D/E rates measure</w:t>
      </w: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 xml:space="preserve"> </w:t>
      </w:r>
    </w:p>
    <w:p w14:paraId="4C212BE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Notice of determination</w:t>
      </w:r>
      <w:r w:rsidRPr="00A93D71">
        <w:rPr>
          <w:rFonts w:ascii="Courier New" w:eastAsia="MS Mincho" w:hAnsi="Courier New" w:cs="Courier New"/>
          <w:sz w:val="24"/>
          <w:szCs w:val="24"/>
        </w:rPr>
        <w:t xml:space="preserve">.  For each award year for which the Secretary calculates a D/E rates measure for a GE program, the Secretary issues a notice of determination informing the institution of the following: </w:t>
      </w:r>
    </w:p>
    <w:p w14:paraId="2F9E546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The final D/E rates for the program as determined under §668.404, §668.405, and, if applicable, §668.406;</w:t>
      </w:r>
    </w:p>
    <w:p w14:paraId="681997B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The final determination by the Secretary of whether the program is passing, failing, in the zone, or ineligible, as described in §668.403, and the consequences of that determination;</w:t>
      </w:r>
    </w:p>
    <w:p w14:paraId="38DE113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Whether the program could become ineligible based on its final D/E rates for the next award year for which D/E rates are calculated for the program</w:t>
      </w:r>
      <w:r w:rsidRPr="00A93D71">
        <w:rPr>
          <w:rFonts w:ascii="Courier New" w:eastAsia="MS Mincho" w:hAnsi="Courier New" w:cs="Courier New"/>
          <w:color w:val="000000"/>
          <w:sz w:val="24"/>
          <w:szCs w:val="24"/>
        </w:rPr>
        <w:t>;</w:t>
      </w:r>
      <w:r w:rsidRPr="00A93D71">
        <w:rPr>
          <w:rFonts w:ascii="Courier New" w:eastAsia="MS Mincho" w:hAnsi="Courier New" w:cs="Courier New"/>
          <w:sz w:val="24"/>
          <w:szCs w:val="24"/>
        </w:rPr>
        <w:t xml:space="preserve"> </w:t>
      </w:r>
    </w:p>
    <w:p w14:paraId="3A47144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Whether the institution is required to provide the student warning under §668.410(a); and</w:t>
      </w:r>
    </w:p>
    <w:p w14:paraId="53E151C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(5)  If the program’s final D/E rates are failing or in the zone, instructions on how it may make an alternate earnings appeal pursuant to §668.406. </w:t>
      </w:r>
    </w:p>
    <w:p w14:paraId="060A969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Effective date of Secretary’s final determination</w:t>
      </w:r>
      <w:r w:rsidRPr="00A93D71">
        <w:rPr>
          <w:rFonts w:ascii="Courier New" w:eastAsia="MS Mincho" w:hAnsi="Courier New" w:cs="Courier New"/>
          <w:sz w:val="24"/>
          <w:szCs w:val="24"/>
        </w:rPr>
        <w:t>.  The Secretary’s determination as to the D/E rates measure is effective on the date that is specified in the notice of determination.  The determination, including, as applicable, the determination with respect to an appeal under §668.406, constitutes the final decision of the Secretary with respect to the D/E rates measure and the Secretary provides for no further appeal of that determination.</w:t>
      </w:r>
    </w:p>
    <w:p w14:paraId="5F40A04F"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w:t>
      </w:r>
    </w:p>
    <w:p w14:paraId="4D52D509" w14:textId="77777777" w:rsidR="00997197" w:rsidRPr="00A93D71" w:rsidRDefault="00997197" w:rsidP="00A93D71">
      <w:pPr>
        <w:spacing w:after="0" w:line="480" w:lineRule="auto"/>
        <w:contextualSpacing/>
        <w:rPr>
          <w:rFonts w:ascii="Courier New" w:eastAsia="MS Mincho" w:hAnsi="Courier New" w:cs="Courier New"/>
          <w:sz w:val="24"/>
          <w:szCs w:val="24"/>
          <w:u w:val="single"/>
        </w:rPr>
      </w:pPr>
      <w:r w:rsidRPr="00A93D71">
        <w:rPr>
          <w:rFonts w:ascii="Courier New" w:eastAsia="MS Mincho" w:hAnsi="Courier New" w:cs="Courier New"/>
          <w:sz w:val="24"/>
          <w:szCs w:val="24"/>
          <w:u w:val="single"/>
        </w:rPr>
        <w:t>§668.410  Consequences of the D/E rates measure</w:t>
      </w: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 xml:space="preserve"> </w:t>
      </w:r>
    </w:p>
    <w:p w14:paraId="7DC3880B" w14:textId="27811FD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Student warning</w:t>
      </w:r>
      <w:r w:rsidRPr="00A93D71">
        <w:rPr>
          <w:rFonts w:ascii="Courier New" w:eastAsia="MS Mincho" w:hAnsi="Courier New" w:cs="Courier New"/>
          <w:sz w:val="24"/>
          <w:szCs w:val="24"/>
        </w:rPr>
        <w:t xml:space="preserve">.  (1)  </w:t>
      </w:r>
      <w:r w:rsidRPr="00A93D71">
        <w:rPr>
          <w:rFonts w:ascii="Courier New" w:eastAsia="MS Mincho" w:hAnsi="Courier New" w:cs="Courier New"/>
          <w:sz w:val="24"/>
          <w:szCs w:val="24"/>
          <w:u w:val="single"/>
        </w:rPr>
        <w:t>Events requiring a warning to students and prospective students</w:t>
      </w:r>
      <w:r w:rsidRPr="00A93D71">
        <w:rPr>
          <w:rFonts w:ascii="Courier New" w:eastAsia="MS Mincho" w:hAnsi="Courier New" w:cs="Courier New"/>
          <w:sz w:val="24"/>
          <w:szCs w:val="24"/>
        </w:rPr>
        <w:t>.  The institution must provide a warning with respect to a GE program to students and to prospective students for any year for which the Secretary notifies an institution that the program could become ineligible based on its final D/E rates measure for the next award year.</w:t>
      </w:r>
    </w:p>
    <w:p w14:paraId="5146FCAA" w14:textId="1FB02FB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Content of warning</w:t>
      </w:r>
      <w:r w:rsidRPr="00A93D71">
        <w:rPr>
          <w:rFonts w:ascii="Courier New" w:eastAsia="MS Mincho" w:hAnsi="Courier New" w:cs="Courier New"/>
          <w:sz w:val="24"/>
          <w:szCs w:val="24"/>
        </w:rPr>
        <w:t xml:space="preserve">.  Unless otherwise specified by the Secretary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xml:space="preserve">, the warning must--  </w:t>
      </w:r>
    </w:p>
    <w:p w14:paraId="2B57EA8A" w14:textId="68DFC46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State that:  “This program has not passed standards established by the U.S. Department of Education.  The Department based these standards on the amounts students borrow for enrollment in this program and their reported earnings.  </w:t>
      </w:r>
    </w:p>
    <w:p w14:paraId="66CD6F5F" w14:textId="1760B6E5"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If in the future the program does not pass the standards, students who are then enrolled may not be able to use federal student grants or loans to pay for the program, and may have to find other ways, such as private loans, to pay for the program.”; and</w:t>
      </w:r>
    </w:p>
    <w:p w14:paraId="72367509" w14:textId="706B34ED"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Refer students and prospective students to (and include a link for) College Navigator, its successor site, or another similar Federal resource, for information about other similar programs.</w:t>
      </w:r>
    </w:p>
    <w:p w14:paraId="3D633D7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For warnings provided to enrolled students--</w:t>
      </w:r>
    </w:p>
    <w:p w14:paraId="233A79F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Describe the academic and financial options available to students to continue their education in another program at the institution, including whether the students could transfer credits earned in the program to another program at the institution and which course credits would transfer, in the event that the program loses eligibility for title IV, HEA program funds; </w:t>
      </w:r>
    </w:p>
    <w:p w14:paraId="1566C4B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Indicate whether or not the institution will--</w:t>
      </w:r>
    </w:p>
    <w:p w14:paraId="22965ABB" w14:textId="77777777" w:rsidR="00997197" w:rsidRPr="00A93D71" w:rsidRDefault="00997197" w:rsidP="0087423C">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Continue to provide instruction in the program to allow students to complete the program; and</w:t>
      </w:r>
    </w:p>
    <w:p w14:paraId="7D238A2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Refund the tuition, fees, and other required charges paid to the institution by, or on behalf of, students for enrollment in the program; and</w:t>
      </w:r>
    </w:p>
    <w:p w14:paraId="5776F7CB" w14:textId="4660EC32"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(C)  Explain whether the students could transfer credits earned in the program to another institution.</w:t>
      </w:r>
    </w:p>
    <w:p w14:paraId="2F8BCFC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sidDel="0092274A">
        <w:rPr>
          <w:rFonts w:ascii="Courier New" w:eastAsia="MS Mincho" w:hAnsi="Courier New" w:cs="Courier New"/>
          <w:sz w:val="24"/>
          <w:szCs w:val="24"/>
        </w:rPr>
        <w:t xml:space="preserve"> </w:t>
      </w:r>
      <w:r w:rsidRPr="00A93D71">
        <w:rPr>
          <w:rFonts w:ascii="Courier New" w:eastAsia="MS Mincho" w:hAnsi="Courier New" w:cs="Courier New"/>
          <w:sz w:val="24"/>
          <w:szCs w:val="24"/>
        </w:rPr>
        <w:t xml:space="preserve">(3)  </w:t>
      </w:r>
      <w:r w:rsidRPr="00A93D71">
        <w:rPr>
          <w:rFonts w:ascii="Courier New" w:eastAsia="MS Mincho" w:hAnsi="Courier New" w:cs="Courier New"/>
          <w:sz w:val="24"/>
          <w:szCs w:val="24"/>
          <w:u w:val="single"/>
        </w:rPr>
        <w:t>Consumer testing</w:t>
      </w:r>
      <w:r w:rsidRPr="00A93D71">
        <w:rPr>
          <w:rFonts w:ascii="Courier New" w:eastAsia="MS Mincho" w:hAnsi="Courier New" w:cs="Courier New"/>
          <w:sz w:val="24"/>
          <w:szCs w:val="24"/>
        </w:rPr>
        <w:t xml:space="preserve">.  The Secretary will conduct consumer testing to determine how to make the student warning as meaningful as possible. </w:t>
      </w:r>
    </w:p>
    <w:p w14:paraId="21AF2BB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(4)  </w:t>
      </w:r>
      <w:r w:rsidRPr="00A93D71">
        <w:rPr>
          <w:rFonts w:ascii="Courier New" w:eastAsia="MS Mincho" w:hAnsi="Courier New" w:cs="Courier New"/>
          <w:sz w:val="24"/>
          <w:szCs w:val="24"/>
          <w:u w:val="single"/>
        </w:rPr>
        <w:t>Alternative languages</w:t>
      </w:r>
      <w:r w:rsidRPr="00A93D71">
        <w:rPr>
          <w:rFonts w:ascii="Courier New" w:eastAsia="MS Mincho" w:hAnsi="Courier New" w:cs="Courier New"/>
          <w:sz w:val="24"/>
          <w:szCs w:val="24"/>
        </w:rPr>
        <w:t>.  To the extent practicable, the institution must provide alternatives to the English-language student warning for those students and prospective students for whom English is not their first language.</w:t>
      </w:r>
    </w:p>
    <w:p w14:paraId="582CA8DA"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(5)  </w:t>
      </w:r>
      <w:r w:rsidRPr="00A93D71">
        <w:rPr>
          <w:rFonts w:ascii="Courier New" w:eastAsia="MS Mincho" w:hAnsi="Courier New" w:cs="Courier New"/>
          <w:sz w:val="24"/>
          <w:szCs w:val="24"/>
          <w:u w:val="single"/>
        </w:rPr>
        <w:t>Delivery to students</w:t>
      </w:r>
      <w:r w:rsidRPr="00A93D71">
        <w:rPr>
          <w:rFonts w:ascii="Courier New" w:eastAsia="MS Mincho" w:hAnsi="Courier New" w:cs="Courier New"/>
          <w:sz w:val="24"/>
          <w:szCs w:val="24"/>
        </w:rPr>
        <w:t>.  (i)  An institution must provide the warning required under this section in writing to each student enrolled in the program no later than 30 days after the date of the Secretary’s notice of determination under §668.409 by--</w:t>
      </w:r>
    </w:p>
    <w:p w14:paraId="445694D4"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w:t>
      </w:r>
      <w:r w:rsidRPr="00A93D71">
        <w:rPr>
          <w:rFonts w:ascii="Courier New" w:eastAsia="MS Mincho" w:hAnsi="Courier New" w:cs="Courier New"/>
          <w:sz w:val="24"/>
          <w:szCs w:val="24"/>
        </w:rPr>
        <w:tab/>
        <w:t>(A)  Hand-delivering the warning as a separate document to the student individually or as part of a group presentation; or</w:t>
      </w:r>
    </w:p>
    <w:p w14:paraId="4898567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Sending the warning to </w:t>
      </w:r>
      <w:r w:rsidRPr="00A93D71" w:rsidDel="006B422B">
        <w:rPr>
          <w:rFonts w:ascii="Courier New" w:eastAsia="MS Mincho" w:hAnsi="Courier New" w:cs="Courier New"/>
          <w:sz w:val="24"/>
          <w:szCs w:val="24"/>
        </w:rPr>
        <w:t>the primary</w:t>
      </w:r>
      <w:r w:rsidRPr="00A93D71">
        <w:rPr>
          <w:rFonts w:ascii="Courier New" w:eastAsia="MS Mincho" w:hAnsi="Courier New" w:cs="Courier New"/>
          <w:sz w:val="24"/>
          <w:szCs w:val="24"/>
        </w:rPr>
        <w:t xml:space="preserve"> email address </w:t>
      </w:r>
      <w:r w:rsidRPr="00A93D71" w:rsidDel="006B422B">
        <w:rPr>
          <w:rFonts w:ascii="Courier New" w:eastAsia="MS Mincho" w:hAnsi="Courier New" w:cs="Courier New"/>
          <w:sz w:val="24"/>
          <w:szCs w:val="24"/>
        </w:rPr>
        <w:t>used by the institution</w:t>
      </w:r>
      <w:r w:rsidRPr="00A93D71">
        <w:rPr>
          <w:rFonts w:ascii="Courier New" w:eastAsia="MS Mincho" w:hAnsi="Courier New" w:cs="Courier New"/>
          <w:sz w:val="24"/>
          <w:szCs w:val="24"/>
        </w:rPr>
        <w:t xml:space="preserve"> for communicating with the student about the program. </w:t>
      </w:r>
    </w:p>
    <w:p w14:paraId="173AF292"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(ii)  If the institution sends the warning by email, the institution must--</w:t>
      </w:r>
    </w:p>
    <w:p w14:paraId="4B7899DD"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(A)  Ensure that the warning is the only substantive content in the email;</w:t>
      </w:r>
    </w:p>
    <w:p w14:paraId="6CB3906B" w14:textId="5CB0CFBB"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(B)  Receive electronic or other written acknowledgement from the student that the student has received the email; </w:t>
      </w:r>
    </w:p>
    <w:p w14:paraId="3FB8509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(C)  Send the warning using a different address or method of delivery if the institution receives a response that the email could not be delivered; and</w:t>
      </w:r>
    </w:p>
    <w:p w14:paraId="1CF92E31"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(D)</w:t>
      </w:r>
      <w:r w:rsidRPr="00A93D71" w:rsidDel="006B422B">
        <w:rPr>
          <w:rFonts w:ascii="Courier New" w:eastAsia="MS Mincho" w:hAnsi="Courier New" w:cs="Courier New"/>
          <w:sz w:val="24"/>
          <w:szCs w:val="24"/>
        </w:rPr>
        <w:t xml:space="preserve"> </w:t>
      </w:r>
      <w:r w:rsidRPr="00A93D71">
        <w:rPr>
          <w:rFonts w:ascii="Courier New" w:eastAsia="MS Mincho" w:hAnsi="Courier New" w:cs="Courier New"/>
          <w:sz w:val="24"/>
          <w:szCs w:val="24"/>
        </w:rPr>
        <w:t xml:space="preserve"> Maintain records of its efforts to provide the warnings required by this section.  </w:t>
      </w:r>
    </w:p>
    <w:p w14:paraId="1E6DC626" w14:textId="4FFF4761"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(6)  </w:t>
      </w:r>
      <w:r w:rsidRPr="00A93D71">
        <w:rPr>
          <w:rFonts w:ascii="Courier New" w:eastAsia="MS Mincho" w:hAnsi="Courier New" w:cs="Courier New"/>
          <w:sz w:val="24"/>
          <w:szCs w:val="24"/>
          <w:u w:val="single"/>
        </w:rPr>
        <w:t>Delivery to prospective students</w:t>
      </w:r>
      <w:r w:rsidRPr="00A93D71">
        <w:rPr>
          <w:rFonts w:ascii="Courier New" w:eastAsia="MS Mincho" w:hAnsi="Courier New" w:cs="Courier New"/>
          <w:sz w:val="24"/>
          <w:szCs w:val="24"/>
        </w:rPr>
        <w:t xml:space="preserve">.  (i)  </w:t>
      </w:r>
      <w:r w:rsidRPr="00A93D71">
        <w:rPr>
          <w:rFonts w:ascii="Courier New" w:eastAsia="MS Mincho" w:hAnsi="Courier New" w:cs="Courier New"/>
          <w:sz w:val="24"/>
          <w:szCs w:val="24"/>
          <w:u w:val="single"/>
        </w:rPr>
        <w:t>General</w:t>
      </w:r>
      <w:r w:rsidRPr="00A93D71">
        <w:rPr>
          <w:rFonts w:ascii="Courier New" w:eastAsia="MS Mincho" w:hAnsi="Courier New" w:cs="Courier New"/>
          <w:sz w:val="24"/>
          <w:szCs w:val="24"/>
        </w:rPr>
        <w:t>.  An institution must provide any warning required under this section to each prospective student or to each third party acting on behalf of the prospective student at the first contact about the program between the institution and the student or the third party acting on behalf of the student  by--</w:t>
      </w:r>
    </w:p>
    <w:p w14:paraId="74576A0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Hand-delivering the warning as a separate document to the prospective student or third party individually, or as part of a group presentation; </w:t>
      </w:r>
    </w:p>
    <w:p w14:paraId="588C9B8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Sending the warning to the primary email address used by the institution for communicating with the prospective student or third party about the program; </w:t>
      </w:r>
    </w:p>
    <w:p w14:paraId="2536D72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(C)  Providing the prospective student or third party a copy of the disclosure template as required by §668.412(e) that includes the student warning required by this section; or</w:t>
      </w:r>
    </w:p>
    <w:p w14:paraId="43E959A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Providing the warning orally to the student or third party if the contact is by telephone.   </w:t>
      </w:r>
    </w:p>
    <w:p w14:paraId="6A2104A7" w14:textId="566AE7F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w:t>
      </w:r>
      <w:r w:rsidRPr="00A93D71">
        <w:rPr>
          <w:rFonts w:ascii="Courier New" w:eastAsia="MS Mincho" w:hAnsi="Courier New" w:cs="Courier New"/>
          <w:sz w:val="24"/>
          <w:szCs w:val="24"/>
          <w:u w:val="single"/>
        </w:rPr>
        <w:t>Special warning requirements before enrolling a prospective student</w:t>
      </w:r>
      <w:r w:rsidRPr="00A93D71">
        <w:rPr>
          <w:rFonts w:ascii="Courier New" w:eastAsia="MS Mincho" w:hAnsi="Courier New" w:cs="Courier New"/>
          <w:sz w:val="24"/>
          <w:szCs w:val="24"/>
        </w:rPr>
        <w:t xml:space="preserve">.  (A)  Before an institution enrolls, registers, or enters into a financial commitment with a prospective student with respect to the program, the institution must provide any warning required under this section  to the prospective student in the manner prescribed in paragraph (a)(6)(i)(A) through (C) of this section.  </w:t>
      </w:r>
    </w:p>
    <w:p w14:paraId="0FBC623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An institution may not enroll, register, or enter into a financial commitment with the prospective student with respect to the program earlier than--</w:t>
      </w:r>
    </w:p>
    <w:p w14:paraId="4910D93B"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Three business days after the institution first provides the student warning to the prospective student; or</w:t>
      </w:r>
    </w:p>
    <w:p w14:paraId="266A92F0"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If more than 30 days have passed from the date the institution first provided the student warning to the prospective student, three business days after the institution provides another warning as required by this paragraph.</w:t>
      </w:r>
    </w:p>
    <w:p w14:paraId="7D4F8F5A" w14:textId="65AE52FC" w:rsidR="00997197" w:rsidRPr="00A93D71" w:rsidRDefault="00997197" w:rsidP="00A5206D">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(iii)  </w:t>
      </w:r>
      <w:r w:rsidRPr="00A93D71">
        <w:rPr>
          <w:rFonts w:ascii="Courier New" w:eastAsia="MS Mincho" w:hAnsi="Courier New" w:cs="Courier New"/>
          <w:sz w:val="24"/>
          <w:szCs w:val="24"/>
          <w:u w:val="single"/>
        </w:rPr>
        <w:t xml:space="preserve">Email delivery and </w:t>
      </w:r>
      <w:r w:rsidR="006428AC" w:rsidRPr="006221CA">
        <w:rPr>
          <w:rFonts w:ascii="Courier New" w:hAnsi="Courier New" w:cs="Courier New"/>
          <w:sz w:val="24"/>
          <w:szCs w:val="24"/>
          <w:u w:val="single"/>
        </w:rPr>
        <w:t>acknowledgement</w:t>
      </w:r>
      <w:r w:rsidRPr="00A93D71">
        <w:rPr>
          <w:rFonts w:ascii="Courier New" w:eastAsia="MS Mincho" w:hAnsi="Courier New" w:cs="Courier New"/>
          <w:sz w:val="24"/>
          <w:szCs w:val="24"/>
        </w:rPr>
        <w:t>.  If the institution sends the warning to the prospective student or the third party by email, including by providing the prospective student or third party an electronic copy of the disclosure template, the institution must--</w:t>
      </w:r>
    </w:p>
    <w:p w14:paraId="703B7D3B"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(A)  Ensure that the warning is the only substantive content in the email;</w:t>
      </w:r>
    </w:p>
    <w:p w14:paraId="35404548"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(B)  Receive electronic or other written acknowledgement from the prospective student or third party that the student or third party has received the email; </w:t>
      </w:r>
    </w:p>
    <w:p w14:paraId="7DAEB6F1"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(C)  Send the warning using a different address or method of delivery if the institution receives a response that the email could not be delivered; and</w:t>
      </w:r>
    </w:p>
    <w:p w14:paraId="32AD28F2"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(D)  Maintain records of its efforts to provide the warning required under this section.  </w:t>
      </w:r>
    </w:p>
    <w:p w14:paraId="3808AD3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(7)  </w:t>
      </w:r>
      <w:r w:rsidRPr="00A93D71">
        <w:rPr>
          <w:rFonts w:ascii="Courier New" w:eastAsia="MS Mincho" w:hAnsi="Courier New" w:cs="Courier New"/>
          <w:sz w:val="24"/>
          <w:szCs w:val="24"/>
          <w:u w:val="single"/>
        </w:rPr>
        <w:t>Disclosure template</w:t>
      </w:r>
      <w:r w:rsidRPr="00A93D71">
        <w:rPr>
          <w:rFonts w:ascii="Courier New" w:eastAsia="MS Mincho" w:hAnsi="Courier New" w:cs="Courier New"/>
          <w:sz w:val="24"/>
          <w:szCs w:val="24"/>
        </w:rPr>
        <w:t xml:space="preserve">.  Within 30 days of receiving notice from the Secretary that the institution must provide a student warning for the program, the institution must update the disclosure template described in §668.412 to include the warning in paragraph (a)(2) of this section or such other warning specified by the Secretary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xml:space="preserve">.  </w:t>
      </w:r>
    </w:p>
    <w:p w14:paraId="3FEB21D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Restrictions</w:t>
      </w:r>
      <w:r w:rsidRPr="00A93D71">
        <w:rPr>
          <w:rFonts w:ascii="Courier New" w:eastAsia="MS Mincho" w:hAnsi="Courier New" w:cs="Courier New"/>
          <w:sz w:val="24"/>
          <w:szCs w:val="24"/>
        </w:rPr>
        <w:t xml:space="preserve">.  (1)  </w:t>
      </w:r>
      <w:r w:rsidRPr="00A93D71">
        <w:rPr>
          <w:rFonts w:ascii="Courier New" w:eastAsia="MS Mincho" w:hAnsi="Courier New" w:cs="Courier New"/>
          <w:sz w:val="24"/>
          <w:szCs w:val="24"/>
          <w:u w:val="single"/>
        </w:rPr>
        <w:t>Ineligible program</w:t>
      </w:r>
      <w:r w:rsidRPr="00A93D71">
        <w:rPr>
          <w:rFonts w:ascii="Courier New" w:eastAsia="MS Mincho" w:hAnsi="Courier New" w:cs="Courier New"/>
          <w:sz w:val="24"/>
          <w:szCs w:val="24"/>
        </w:rPr>
        <w:t xml:space="preserve">.  Except as provided in §668.26(d), an institution may not disburse title IV, HEA program funds to students enrolled in an ineligible program.  </w:t>
      </w:r>
    </w:p>
    <w:p w14:paraId="3A7E8B7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Period of ineligibility</w:t>
      </w:r>
      <w:r w:rsidRPr="00A93D71">
        <w:rPr>
          <w:rFonts w:ascii="Courier New" w:eastAsia="MS Mincho" w:hAnsi="Courier New" w:cs="Courier New"/>
          <w:sz w:val="24"/>
          <w:szCs w:val="24"/>
        </w:rPr>
        <w:t xml:space="preserve">.  (i)  An institution may not seek to reestablish the eligibility of a failing or zone program that it discontinued voluntarily, reestablish the eligibility of a program that is ineligible under the D/E rates measure, or establish the eligibility of a program that is substantially similar to the discontinued or ineligible program, until three years following the date specified in the notice of determination informing the institution of the program’s ineligibility or the date the institution discontinued the failing or zone program.  </w:t>
      </w:r>
    </w:p>
    <w:p w14:paraId="23B994A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An institution may not seek to reestablish the eligibility of a program that it discontinued voluntarily after receiving draft D/E rates that are failing or in the zone, or establish the eligibility of a program that is substantially similar to the discontinued program, until--</w:t>
      </w:r>
    </w:p>
    <w:p w14:paraId="2188692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Final D/E rates that are passing are issued for the program for that award year; or</w:t>
      </w:r>
    </w:p>
    <w:p w14:paraId="0937475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If the final D/E rates for the program for that award year are failing or in the zone, three years following the date the institution discontinued the program.  </w:t>
      </w:r>
    </w:p>
    <w:p w14:paraId="28B8178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For the purposes of this section, an institution voluntarily discontinues a program on the date the institution provides written notice to the Secretary that it relinquishes the title IV, HEA program eligibility of that program.</w:t>
      </w:r>
    </w:p>
    <w:p w14:paraId="396BE18D" w14:textId="33F472D9"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(iv)  For the purposes of this subpart, a program is</w:t>
      </w:r>
      <w:r w:rsidRPr="0087423C">
        <w:rPr>
          <w:rFonts w:ascii="Courier New" w:eastAsia="MS Mincho" w:hAnsi="Courier New" w:cs="Courier New"/>
          <w:sz w:val="24"/>
          <w:szCs w:val="24"/>
        </w:rPr>
        <w:t xml:space="preserve"> </w:t>
      </w:r>
      <w:r w:rsidRPr="000644CD">
        <w:rPr>
          <w:rFonts w:ascii="Courier New" w:eastAsia="MS Mincho" w:hAnsi="Courier New" w:cs="Courier New"/>
          <w:sz w:val="24"/>
          <w:szCs w:val="24"/>
        </w:rPr>
        <w:t>substantially similar</w:t>
      </w:r>
      <w:r w:rsidRPr="00A93D71">
        <w:rPr>
          <w:rFonts w:ascii="Courier New" w:eastAsia="MS Mincho" w:hAnsi="Courier New" w:cs="Courier New"/>
          <w:sz w:val="24"/>
          <w:szCs w:val="24"/>
        </w:rPr>
        <w:t xml:space="preserve"> to another program if the two programs share the same four-digit CIP code.  The Secretary presumes a program </w:t>
      </w:r>
      <w:r w:rsidRPr="0087423C">
        <w:rPr>
          <w:rFonts w:ascii="Courier New" w:eastAsia="MS Mincho" w:hAnsi="Courier New" w:cs="Courier New"/>
          <w:sz w:val="24"/>
          <w:szCs w:val="24"/>
        </w:rPr>
        <w:t>is not substantially similar</w:t>
      </w:r>
      <w:r w:rsidRPr="00A93D71">
        <w:rPr>
          <w:rFonts w:ascii="Courier New" w:eastAsia="MS Mincho" w:hAnsi="Courier New" w:cs="Courier New"/>
          <w:sz w:val="24"/>
          <w:szCs w:val="24"/>
        </w:rPr>
        <w:t xml:space="preserve"> to another program if the two programs have different four-digit CIP codes but the institution must provide an explanation of how the new program is not substantially similar to the ineligible or voluntarily discontinued program with its certification under §668.414.  </w:t>
      </w:r>
    </w:p>
    <w:p w14:paraId="3F2C3E9C"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(3)  </w:t>
      </w:r>
      <w:r w:rsidRPr="00A93D71">
        <w:rPr>
          <w:rFonts w:ascii="Courier New" w:eastAsia="MS Mincho" w:hAnsi="Courier New" w:cs="Courier New"/>
          <w:sz w:val="24"/>
          <w:szCs w:val="24"/>
          <w:u w:val="single"/>
        </w:rPr>
        <w:t>Restoring eligibility</w:t>
      </w:r>
      <w:r w:rsidRPr="00A93D71">
        <w:rPr>
          <w:rFonts w:ascii="Courier New" w:eastAsia="MS Mincho" w:hAnsi="Courier New" w:cs="Courier New"/>
          <w:sz w:val="24"/>
          <w:szCs w:val="24"/>
        </w:rPr>
        <w:t xml:space="preserve">.  An ineligible program, or a failing or zone program that an institution voluntarily discontinues, remains ineligible until the institution establishes the eligibility of that program under §668.414(c).  </w:t>
      </w:r>
    </w:p>
    <w:p w14:paraId="1F6ACEF9"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 1094, 1099c)</w:t>
      </w:r>
    </w:p>
    <w:p w14:paraId="5F92FA4D"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§668.411  Reporting requirements for GE programs</w:t>
      </w:r>
      <w:r w:rsidRPr="00A93D71">
        <w:rPr>
          <w:rFonts w:ascii="Courier New" w:eastAsia="MS Mincho" w:hAnsi="Courier New" w:cs="Courier New"/>
          <w:sz w:val="24"/>
          <w:szCs w:val="24"/>
        </w:rPr>
        <w:t>.</w:t>
      </w:r>
    </w:p>
    <w:p w14:paraId="24993FA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In accordance with procedures established by the Secretary, an institution must report--</w:t>
      </w:r>
    </w:p>
    <w:p w14:paraId="262ACD4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For each student enrolled in a GE program during an award year who received title IV, HEA program funds for enrolling in that program--</w:t>
      </w:r>
    </w:p>
    <w:p w14:paraId="53128CD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Information needed to identify the student and the institution;</w:t>
      </w:r>
    </w:p>
    <w:p w14:paraId="09B2D33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The name, CIP code, credential level, and length of the program; </w:t>
      </w:r>
    </w:p>
    <w:p w14:paraId="2C5E22D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Whether the program is a medical or dental program whose students are required to complete an internship or residency, as described in §668.402; </w:t>
      </w:r>
    </w:p>
    <w:p w14:paraId="326BC35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(iv)  The date the student initially enrolled in the program;</w:t>
      </w:r>
    </w:p>
    <w:p w14:paraId="6B309DC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(v)  The student’s attendance dates and attendance status (e.g., enrolled, withdrawn, or completed) in the program during the award year; and</w:t>
      </w:r>
    </w:p>
    <w:p w14:paraId="4322446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(vi)  The student’s enrollment status (e.g., full-time, three-quarter time, half-time, less than half-time) as of the first day of the student’s enrollment in the program;</w:t>
      </w:r>
    </w:p>
    <w:p w14:paraId="14A6B3D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If the student completed or withdrew from the GE program during the award year--</w:t>
      </w:r>
    </w:p>
    <w:p w14:paraId="5A4D9D6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date the student completed or withdrew from the program;</w:t>
      </w:r>
    </w:p>
    <w:p w14:paraId="6E9BC2D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The total amount the student received from private education loans, as described in §668.404(d)(1)(ii), for enrollment in the program that the institution is, or should reasonably be, aware of; </w:t>
      </w:r>
    </w:p>
    <w:p w14:paraId="688EB72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The total amount of institutional debt, as described in §668.404(d)(1)(iii), the student owes any party after completing or withdrawing from the program; </w:t>
      </w:r>
    </w:p>
    <w:p w14:paraId="461629F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(iv)  The total amount of tuition and fees assessed the student for the student’s entire enrollment in the program; and</w:t>
      </w:r>
    </w:p>
    <w:p w14:paraId="5B54C2C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(v)  The total amount of the allowances for books, supplies, and equipment included in the student’s title IV Cost of Attendance (COA) for each award year in which the student was enrolled in the program, or a higher amount if assessed the student by the institution; </w:t>
      </w:r>
    </w:p>
    <w:p w14:paraId="5DC1CC52" w14:textId="00D7633F"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If the institution is required by its accrediting agency or State to calculate a placement rate for either the institution or the program, or both, the placement rate for the program, calculated using the methodology</w:t>
      </w:r>
      <w:r w:rsidRPr="00A93D71" w:rsidDel="00BA18B9">
        <w:rPr>
          <w:rFonts w:ascii="Courier New" w:eastAsia="MS Mincho" w:hAnsi="Courier New" w:cs="Courier New"/>
          <w:sz w:val="24"/>
          <w:szCs w:val="24"/>
        </w:rPr>
        <w:t xml:space="preserve"> </w:t>
      </w:r>
      <w:r w:rsidRPr="00A93D71">
        <w:rPr>
          <w:rFonts w:ascii="Courier New" w:eastAsia="MS Mincho" w:hAnsi="Courier New" w:cs="Courier New"/>
          <w:sz w:val="24"/>
          <w:szCs w:val="24"/>
        </w:rPr>
        <w:t xml:space="preserve">required by that accrediting agency or State, and the name of that accrediting agency or State; and  </w:t>
      </w:r>
    </w:p>
    <w:p w14:paraId="6EC8592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(4)  As described in a notice published by the Secretary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any other information the Secretary requires the institution to report.</w:t>
      </w:r>
    </w:p>
    <w:p w14:paraId="1712091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(b)(1)  An institution must report the information required under paragraphs (a)(1) and (a)(2) of this section no later than--</w:t>
      </w:r>
    </w:p>
    <w:p w14:paraId="29F26C1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July 31, following the date these regulations take effect, for the second through seventh award years prior to that date;</w:t>
      </w:r>
    </w:p>
    <w:p w14:paraId="5428F6C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For medical and dental programs that require an internship or residency, July 31, following the date these regulations take effect for the second through eighth award years prior to that date; and </w:t>
      </w:r>
    </w:p>
    <w:p w14:paraId="428F52D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For subsequent award years, October 1, following the end of the award year, unless the Secretary establishes different dates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w:t>
      </w:r>
    </w:p>
    <w:p w14:paraId="0F6A885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An institution must report the information required under paragraph (a)(3) of this section on the date </w:t>
      </w:r>
      <w:r w:rsidRPr="00A93D71" w:rsidDel="00676267">
        <w:rPr>
          <w:rFonts w:ascii="Courier New" w:eastAsia="MS Mincho" w:hAnsi="Courier New" w:cs="Courier New"/>
          <w:sz w:val="24"/>
          <w:szCs w:val="24"/>
        </w:rPr>
        <w:t xml:space="preserve">and in the manner </w:t>
      </w:r>
      <w:r w:rsidRPr="00A93D71">
        <w:rPr>
          <w:rFonts w:ascii="Courier New" w:eastAsia="MS Mincho" w:hAnsi="Courier New" w:cs="Courier New"/>
          <w:sz w:val="24"/>
          <w:szCs w:val="24"/>
        </w:rPr>
        <w:t xml:space="preserve">prescribed by the Secretary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xml:space="preserve">. </w:t>
      </w:r>
    </w:p>
    <w:p w14:paraId="04FDDB0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For any award year, if an institution fails to provide all or some of the information in paragraph (a) of this section to the extent required, the institution must provide to the Secretary an explanation, acceptable to the Secretary, of why the institution failed to comply with any of the reporting requirements.</w:t>
      </w:r>
    </w:p>
    <w:p w14:paraId="19C7AE4D" w14:textId="77777777" w:rsidR="00997197" w:rsidRPr="00A93D71" w:rsidRDefault="00997197" w:rsidP="00A93D71">
      <w:pPr>
        <w:spacing w:after="0" w:line="480" w:lineRule="auto"/>
        <w:rPr>
          <w:rFonts w:ascii="Courier New" w:eastAsia="MS Mincho" w:hAnsi="Courier New" w:cs="Courier New"/>
          <w:sz w:val="24"/>
          <w:szCs w:val="24"/>
          <w:u w:val="single"/>
        </w:rPr>
      </w:pPr>
      <w:r w:rsidRPr="00A93D71">
        <w:rPr>
          <w:rFonts w:ascii="Courier New" w:eastAsia="MS Mincho" w:hAnsi="Courier New" w:cs="Courier New"/>
          <w:sz w:val="24"/>
          <w:szCs w:val="24"/>
        </w:rPr>
        <w:t>(Authority:  20 U.S.C. 1001, 1002, 1088, 1231a)</w:t>
      </w:r>
    </w:p>
    <w:p w14:paraId="1C7679E5"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§668.412  Disclosure requirements for GE programs</w:t>
      </w:r>
      <w:r w:rsidRPr="00A93D71">
        <w:rPr>
          <w:rFonts w:ascii="Courier New" w:eastAsia="MS Mincho" w:hAnsi="Courier New" w:cs="Courier New"/>
          <w:sz w:val="24"/>
          <w:szCs w:val="24"/>
        </w:rPr>
        <w:t xml:space="preserve">.  </w:t>
      </w:r>
    </w:p>
    <w:p w14:paraId="082F0955" w14:textId="77777777" w:rsidR="00997197" w:rsidRPr="00A93D71" w:rsidRDefault="00997197" w:rsidP="00A93D71">
      <w:pPr>
        <w:tabs>
          <w:tab w:val="left" w:pos="0"/>
        </w:tabs>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Disclosure template</w:t>
      </w:r>
      <w:r w:rsidRPr="00A93D71">
        <w:rPr>
          <w:rFonts w:ascii="Courier New" w:eastAsia="MS Mincho" w:hAnsi="Courier New" w:cs="Courier New"/>
          <w:sz w:val="24"/>
          <w:szCs w:val="24"/>
        </w:rPr>
        <w:t xml:space="preserve">.  An institution must use the disclosure template provided by the Secretary to disclose information about each of its GE programs to enrolled and prospective students.  The Secretary will conduct consumer testing to determine how to make the disclosure template as meaningful as possible.  The Secretary identifies the information that must be included in the template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That information may include, but is not limited to:</w:t>
      </w:r>
    </w:p>
    <w:p w14:paraId="0F85ABC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The primary occupations (by name and SOC code) that the program prepares students to enter, along with links to occupational profiles on O*NET (www.onetonline.org) or its successor site. </w:t>
      </w:r>
    </w:p>
    <w:p w14:paraId="161B464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As calculated by the Secretary under §668.413, the program’s completion rates for full-time and less-than-full-time students and the program’s withdrawal rates.</w:t>
      </w:r>
    </w:p>
    <w:p w14:paraId="2F642E5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The length of the program in calendar time (i.e., weeks, months, years).</w:t>
      </w:r>
    </w:p>
    <w:p w14:paraId="3151C46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The number of clock or credit hours or equivalent, as applicable, in the program.</w:t>
      </w:r>
    </w:p>
    <w:p w14:paraId="28E94BC3" w14:textId="77777777" w:rsidR="00997197" w:rsidRPr="00A93D71" w:rsidDel="004B6962"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(5)  The total number of individuals enrolled in the program during the most recently completed award year.</w:t>
      </w:r>
    </w:p>
    <w:p w14:paraId="190C3A3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(6)  As calculated by the Secretary under §668.413, the loan repayment rate for any one or all of the following groups of students who entered repayment on title IV loans during the two-year cohort period:</w:t>
      </w:r>
    </w:p>
    <w:p w14:paraId="05229A5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All students who enrolled in the program.</w:t>
      </w:r>
    </w:p>
    <w:p w14:paraId="1B88ACB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Students who completed the program.</w:t>
      </w:r>
    </w:p>
    <w:p w14:paraId="6556B48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Students who withdrew from the program.</w:t>
      </w:r>
    </w:p>
    <w:p w14:paraId="4A58AD4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(7)  The total cost of tuition and fees, and the total cost of books, supplies, and equipment, that a student would incur for completing the program within the length of the program. </w:t>
      </w:r>
    </w:p>
    <w:p w14:paraId="46FB8D6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(8)  The placement rate for the program, if the institution is required by its accrediting agency or State to calculate a placement rate either for the program or the institution, or both, using the required methodology of that accrediting agency or State.</w:t>
      </w:r>
    </w:p>
    <w:p w14:paraId="3B6B71E5" w14:textId="64AA5F84"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(9)  Of the individuals enrolled in the program during the most recently completed award year, the percentage who received a title IV loan or a private loan for enrollment in the program.</w:t>
      </w:r>
    </w:p>
    <w:p w14:paraId="23FD25C0"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(10)  As calculated by the Secretary, the median loan debt as determined under §668.413 of any one or all of the following groups:</w:t>
      </w:r>
    </w:p>
    <w:p w14:paraId="419DFC2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Those students who completed the program during the most recently completed award year.  </w:t>
      </w:r>
    </w:p>
    <w:p w14:paraId="64DE85D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Those students who withdrew from the program during the most recently completed award year. </w:t>
      </w:r>
    </w:p>
    <w:p w14:paraId="47C1224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All of the students described in paragraphs (a)(10)(i) and (ii) of this section.</w:t>
      </w:r>
    </w:p>
    <w:p w14:paraId="574CFF3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(11)  As provided by the Secretary, the mean or median earnings of any one or all of the following groups of students:</w:t>
      </w:r>
    </w:p>
    <w:p w14:paraId="3FE6EF3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Students who completed the program during the cohort period used by the Secretary to calculate the most recent D/E rates for the program under this subpart.</w:t>
      </w:r>
    </w:p>
    <w:p w14:paraId="1974DB5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Students who were in withdrawn status at the end of the cohort period used by the Secretary to calculate the most recent D/E rates for the program under this subpart. </w:t>
      </w:r>
    </w:p>
    <w:p w14:paraId="330F6CD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All of the students described in paragraph (a)(11)(i) and (ii) of this section.  </w:t>
      </w:r>
    </w:p>
    <w:p w14:paraId="71CEBAC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(12)  As calculated by the Secretary under §668.413, the most recent program cohort default rate.</w:t>
      </w:r>
    </w:p>
    <w:p w14:paraId="22E08C9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(13)  As calculated by the Secretary under §668.404, the most recent annual earnings rate. </w:t>
      </w:r>
    </w:p>
    <w:p w14:paraId="4D1D8318" w14:textId="13617F55"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(14)  (i)  Whether the program does or does not satisfy--</w:t>
      </w:r>
    </w:p>
    <w:p w14:paraId="003B069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(A)  The applicable educational prerequisites for professional licensure or certification in each State within the institution’s MSA; and</w:t>
      </w:r>
    </w:p>
    <w:p w14:paraId="737789CB" w14:textId="3623DB9E"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The applicable educational prerequisites for professional licensure or certification in any other State for which the institution has made a determination regarding such requirements.</w:t>
      </w:r>
    </w:p>
    <w:p w14:paraId="4BEE1587" w14:textId="43F2FD16"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For any States not described in paragraph (a)(14)(i) of this section, a statement that the institution has not made a determination with respect to the licensure or certification requirements of those States. </w:t>
      </w:r>
    </w:p>
    <w:p w14:paraId="07BCA999" w14:textId="5BE4106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(15)  Whether the program is programmatically accredited and the name of the accrediting agency.  </w:t>
      </w:r>
    </w:p>
    <w:p w14:paraId="6BC305F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(16)  A link to the U.S. Department of Education’s College Navigator Web site</w:t>
      </w:r>
      <w:r w:rsidRPr="00A93D71">
        <w:rPr>
          <w:rFonts w:ascii="Courier New" w:eastAsia="MS Mincho" w:hAnsi="Courier New" w:cs="Courier New"/>
          <w:sz w:val="24"/>
          <w:szCs w:val="24"/>
        </w:rPr>
        <w:fldChar w:fldCharType="begin"/>
      </w:r>
      <w:r w:rsidRPr="00A93D71">
        <w:rPr>
          <w:rFonts w:ascii="Courier New" w:eastAsia="MS Mincho" w:hAnsi="Courier New" w:cs="Courier New"/>
          <w:sz w:val="24"/>
          <w:szCs w:val="24"/>
        </w:rPr>
        <w:instrText>"http://nces.ed.gov/collegenavigator/"</w:instrText>
      </w:r>
      <w:r w:rsidRPr="00A93D71">
        <w:rPr>
          <w:rFonts w:ascii="Courier New" w:eastAsia="MS Mincho" w:hAnsi="Courier New" w:cs="Courier New"/>
          <w:sz w:val="24"/>
          <w:szCs w:val="24"/>
        </w:rPr>
        <w:fldChar w:fldCharType="separate"/>
      </w:r>
      <w:r w:rsidRPr="00A93D71">
        <w:rPr>
          <w:rFonts w:ascii="Courier New" w:eastAsia="MS Mincho" w:hAnsi="Courier New" w:cs="Courier New"/>
          <w:sz w:val="24"/>
          <w:szCs w:val="24"/>
          <w:u w:val="single"/>
        </w:rPr>
        <w:t>http://nces.ed.gov/collegenavigator/</w:t>
      </w:r>
      <w:r w:rsidRPr="00A93D71">
        <w:rPr>
          <w:rFonts w:ascii="Courier New" w:eastAsia="MS Mincho" w:hAnsi="Courier New" w:cs="Courier New"/>
          <w:sz w:val="24"/>
          <w:szCs w:val="24"/>
        </w:rPr>
        <w:fldChar w:fldCharType="end"/>
      </w:r>
      <w:r w:rsidRPr="00A93D71">
        <w:rPr>
          <w:rFonts w:ascii="Courier New" w:eastAsia="MS Mincho" w:hAnsi="Courier New" w:cs="Courier New"/>
          <w:sz w:val="24"/>
          <w:szCs w:val="24"/>
        </w:rPr>
        <w:t>, or its successor site, or other similar Federal resource.</w:t>
      </w:r>
    </w:p>
    <w:p w14:paraId="33C95F4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Disclosure updates</w:t>
      </w:r>
      <w:r w:rsidRPr="00A93D71">
        <w:rPr>
          <w:rFonts w:ascii="Courier New" w:eastAsia="MS Mincho" w:hAnsi="Courier New" w:cs="Courier New"/>
          <w:sz w:val="24"/>
          <w:szCs w:val="24"/>
        </w:rPr>
        <w:t>.  (1)  In accordance with procedures and timelines established by the Secretary, the institution must update at least annually the information contained in the disclosure template with the most recent data available for each of its GE programs.</w:t>
      </w:r>
    </w:p>
    <w:p w14:paraId="4F57F7D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The institution must update the disclosure template to include any student warning as required under §668.410(a)(7).</w:t>
      </w:r>
    </w:p>
    <w:p w14:paraId="7CCBA18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Program Web pages</w:t>
      </w:r>
      <w:r w:rsidRPr="00A93D71">
        <w:rPr>
          <w:rFonts w:ascii="Courier New" w:eastAsia="MS Mincho" w:hAnsi="Courier New" w:cs="Courier New"/>
          <w:sz w:val="24"/>
          <w:szCs w:val="24"/>
        </w:rPr>
        <w:t xml:space="preserve">.  (1)  On any Web page containing academic, cost, financial aid, or admissions information about a GE program maintained by or on behalf of an institution, the institution must provide the disclosure template for that program or a prominent, readily accessible, clear, conspicuous, and direct link to the disclosure template for that program.  </w:t>
      </w:r>
    </w:p>
    <w:p w14:paraId="2B01DC7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The Secretary may require the institution to modify a Web page if it provides a link to the disclosure template and the link is not prominent, readily accessible, clear, conspicuous, and direct.  </w:t>
      </w:r>
    </w:p>
    <w:p w14:paraId="0173A24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Promotional materials</w:t>
      </w:r>
      <w:r w:rsidRPr="00A93D71">
        <w:rPr>
          <w:rFonts w:ascii="Courier New" w:eastAsia="MS Mincho" w:hAnsi="Courier New" w:cs="Courier New"/>
          <w:sz w:val="24"/>
          <w:szCs w:val="24"/>
        </w:rPr>
        <w:t>.  (1)  All promotional materials made available by or on behalf of an institution to prospective students that identify a GE program by name or otherwise promote the program must include--</w:t>
      </w:r>
    </w:p>
    <w:p w14:paraId="4C24C6C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disclosure template in a prominent manner; or</w:t>
      </w:r>
    </w:p>
    <w:p w14:paraId="39EB4D83" w14:textId="77777777" w:rsidR="00997197" w:rsidRPr="00A93D71" w:rsidRDefault="00997197" w:rsidP="00A93D71">
      <w:pPr>
        <w:spacing w:after="0" w:line="480" w:lineRule="auto"/>
        <w:ind w:firstLine="720"/>
        <w:rPr>
          <w:rFonts w:ascii="Courier New" w:eastAsia="MS Mincho" w:hAnsi="Courier New" w:cs="Courier New"/>
          <w:sz w:val="24"/>
          <w:szCs w:val="24"/>
          <w:u w:val="single"/>
        </w:rPr>
      </w:pPr>
      <w:r w:rsidRPr="00A93D71">
        <w:rPr>
          <w:rFonts w:ascii="Courier New" w:eastAsia="MS Mincho" w:hAnsi="Courier New" w:cs="Courier New"/>
          <w:sz w:val="24"/>
          <w:szCs w:val="24"/>
        </w:rPr>
        <w:t xml:space="preserve">(ii)  Where space or airtime constraints would preclude the inclusion of the disclosure template, the Web address (URL) of, or the direct link to, the disclosure template, provided that the URL or link is prominent, readily accessible, clear, conspicuous, and direct and the institution identifies the URL or link as “Important Information about the educational debt, earnings, and completion rates of students who attended this program” or as otherwise specified by the Secretary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w:t>
      </w:r>
    </w:p>
    <w:p w14:paraId="130971E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Promotional materials include, but are not limited to, an institution’s catalogs, invitations, flyers, billboards, and advertising on or through radio, television, print media, the Internet, and social media. </w:t>
      </w:r>
    </w:p>
    <w:p w14:paraId="6C62B60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(3)  The institution must ensure that all promotional materials, including printed materials, about a GE program are accurate and current at the time they are published, approved by a State agency, or broadcast.</w:t>
      </w:r>
    </w:p>
    <w:p w14:paraId="21EE1CF6"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(e)  </w:t>
      </w:r>
      <w:r w:rsidRPr="00A93D71">
        <w:rPr>
          <w:rFonts w:ascii="Courier New" w:eastAsia="MS Mincho" w:hAnsi="Courier New" w:cs="Courier New"/>
          <w:sz w:val="24"/>
          <w:szCs w:val="24"/>
          <w:u w:val="single"/>
        </w:rPr>
        <w:t>Direct distribution to prospective students</w:t>
      </w:r>
      <w:r w:rsidRPr="00A93D71">
        <w:rPr>
          <w:rFonts w:ascii="Courier New" w:eastAsia="MS Mincho" w:hAnsi="Courier New" w:cs="Courier New"/>
          <w:sz w:val="24"/>
          <w:szCs w:val="24"/>
        </w:rPr>
        <w:t xml:space="preserve">.  </w:t>
      </w:r>
    </w:p>
    <w:p w14:paraId="46D9CAEE"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(1)  Before a prospective student signs an enrollment agreement, completes registration, or makes a financial commitment to the institution, the institution must provide the prospective student or a third party acting on behalf of the prospective student, as a separate document, a copy of the disclosure template.</w:t>
      </w:r>
    </w:p>
    <w:p w14:paraId="2C4AE3D4" w14:textId="48098205"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  The disclosure template may be provided to the prospective student or third party by--</w:t>
      </w:r>
    </w:p>
    <w:p w14:paraId="50130DE9" w14:textId="419C3D2E"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  Hand-delivering the disclosure template to the prospective student or third party individually or as part of a group presentation; or</w:t>
      </w:r>
    </w:p>
    <w:p w14:paraId="060991F1" w14:textId="6BF918CD"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  Sending the disclosure template to the primary email address used by the institution for communicating with the prospective student or third party about the program.</w:t>
      </w:r>
    </w:p>
    <w:p w14:paraId="39878B63" w14:textId="5D1288EC"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(3)  If the institution hand</w:t>
      </w:r>
      <w:r w:rsidR="000644CD">
        <w:rPr>
          <w:rFonts w:ascii="Courier New" w:eastAsia="MS Mincho" w:hAnsi="Courier New" w:cs="Courier New"/>
          <w:sz w:val="24"/>
          <w:szCs w:val="24"/>
        </w:rPr>
        <w:t>-</w:t>
      </w:r>
      <w:r w:rsidRPr="00A93D71">
        <w:rPr>
          <w:rFonts w:ascii="Courier New" w:eastAsia="MS Mincho" w:hAnsi="Courier New" w:cs="Courier New"/>
          <w:sz w:val="24"/>
          <w:szCs w:val="24"/>
        </w:rPr>
        <w:t xml:space="preserve">delivers the disclosure template to the prospective student or third party, it must obtain written confirmation from the prospective student or third party that the prospective student or third party received a copy of the disclosure template. </w:t>
      </w:r>
    </w:p>
    <w:p w14:paraId="1FFB1661"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(4)  If the institution sends the disclosure template to the prospective student or third party by email, the institution must--</w:t>
      </w:r>
    </w:p>
    <w:p w14:paraId="7E9650AA"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  Ensure that the disclosure template is the only substantive content in the email; </w:t>
      </w:r>
    </w:p>
    <w:p w14:paraId="67A18A42" w14:textId="29331B34"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(ii)  Receive electronic or other written acknowledgement from the prospective student or third party that the prospective student or third party received the email;</w:t>
      </w:r>
    </w:p>
    <w:p w14:paraId="3B41F399" w14:textId="36CE2F9F"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(iii)  Send the disclosure template using a different address or method of delivery if the institution receives a response that the email could not be delivered; and  </w:t>
      </w:r>
    </w:p>
    <w:p w14:paraId="6C2B0474" w14:textId="77777777" w:rsidR="00997197" w:rsidRPr="00A93D71" w:rsidRDefault="00997197" w:rsidP="000644CD">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(iv)  Maintain records of its efforts to provide the disclosure template required under this section.</w:t>
      </w:r>
    </w:p>
    <w:p w14:paraId="4956C81B" w14:textId="50AD2632" w:rsidR="00997197" w:rsidRPr="00A93D71" w:rsidRDefault="00997197" w:rsidP="00A93D71">
      <w:pPr>
        <w:spacing w:after="0" w:line="480" w:lineRule="auto"/>
        <w:ind w:firstLine="720"/>
        <w:rPr>
          <w:rFonts w:ascii="Courier New" w:eastAsia="MS Mincho" w:hAnsi="Courier New" w:cs="Courier New"/>
          <w:sz w:val="24"/>
          <w:szCs w:val="24"/>
          <w:u w:val="single"/>
        </w:rPr>
      </w:pPr>
      <w:r w:rsidRPr="00A93D71">
        <w:rPr>
          <w:rFonts w:ascii="Courier New" w:eastAsia="MS Mincho" w:hAnsi="Courier New" w:cs="Courier New"/>
          <w:sz w:val="24"/>
          <w:szCs w:val="24"/>
        </w:rPr>
        <w:t xml:space="preserve">(f)  </w:t>
      </w:r>
      <w:r w:rsidRPr="00A93D71">
        <w:rPr>
          <w:rFonts w:ascii="Courier New" w:eastAsia="MS Mincho" w:hAnsi="Courier New" w:cs="Courier New"/>
          <w:sz w:val="24"/>
          <w:szCs w:val="24"/>
          <w:u w:val="single"/>
        </w:rPr>
        <w:t>Disclosure templates by program length, location, or format</w:t>
      </w:r>
      <w:r w:rsidRPr="00A93D71">
        <w:rPr>
          <w:rFonts w:ascii="Courier New" w:eastAsia="MS Mincho" w:hAnsi="Courier New" w:cs="Courier New"/>
          <w:sz w:val="24"/>
          <w:szCs w:val="24"/>
        </w:rPr>
        <w:t>.  (1)  An institution that offers a GE program in more than one program length must publish a separate disclosure template for each length of the program.  The institution must ensure that each disclosure template clearly identifies the applicable length of the program.</w:t>
      </w:r>
    </w:p>
    <w:p w14:paraId="2147984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An institution that offers a GE program in more than one location or format (e.g., full-time, part-time, accelerated) may publish a separate disclosure template for each location or format if doing so would result in clearer disclosures under paragraph (a) of this section.  An institution that chooses to publish separate disclosure templates for each location or format must ensure that each disclosure template clearly identifies the applicable location or format.</w:t>
      </w:r>
    </w:p>
    <w:p w14:paraId="52AA189D" w14:textId="0E7B96C9"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If an institution publishes a separate disclosure template for each length, or for each location or format, of the program, the institution must disaggregate, by length of the program, location, or format, those disclosures set forth in paragraphs (a)(4)-(a)(5), (a)(7)-(a)(9), and (a)(14) and as otherwise provided by the Secretary in a notice published in the </w:t>
      </w:r>
      <w:r w:rsidRPr="00A93D71">
        <w:rPr>
          <w:rFonts w:ascii="Courier New" w:eastAsia="MS Mincho" w:hAnsi="Courier New" w:cs="Courier New"/>
          <w:sz w:val="24"/>
          <w:szCs w:val="24"/>
          <w:u w:val="single"/>
        </w:rPr>
        <w:t>Federal Register</w:t>
      </w:r>
      <w:r w:rsidRPr="00A93D71">
        <w:rPr>
          <w:rFonts w:ascii="Courier New" w:eastAsia="MS Mincho" w:hAnsi="Courier New" w:cs="Courier New"/>
          <w:sz w:val="24"/>
          <w:szCs w:val="24"/>
        </w:rPr>
        <w:t xml:space="preserve">.  </w:t>
      </w:r>
    </w:p>
    <w:p w14:paraId="627F0EA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(g)  </w:t>
      </w:r>
      <w:r w:rsidRPr="00A93D71">
        <w:rPr>
          <w:rFonts w:ascii="Courier New" w:eastAsia="MS Mincho" w:hAnsi="Courier New" w:cs="Courier New"/>
          <w:sz w:val="24"/>
          <w:szCs w:val="24"/>
          <w:u w:val="single"/>
        </w:rPr>
        <w:t>Privacy considerations</w:t>
      </w:r>
      <w:r w:rsidRPr="00A93D71">
        <w:rPr>
          <w:rFonts w:ascii="Courier New" w:eastAsia="MS Mincho" w:hAnsi="Courier New" w:cs="Courier New"/>
          <w:sz w:val="24"/>
          <w:szCs w:val="24"/>
        </w:rPr>
        <w:t xml:space="preserve">.  An institution may not include on the disclosure template any of the disclosures described in paragraphs (a)(2), (a)(5), and (a)(6) or paragraphs (a)(8) through (a)(13) of this section if they are based on fewer than 10 students. </w:t>
      </w:r>
    </w:p>
    <w:p w14:paraId="3F632CA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w:t>
      </w:r>
    </w:p>
    <w:p w14:paraId="5AB4339E"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§668.413  Calculating, issuing, and challenging completion rates, withdrawal rates, repayment rates, median loan debt,  median earnings, and program cohort default rate</w:t>
      </w:r>
      <w:r w:rsidRPr="00A93D71">
        <w:rPr>
          <w:rFonts w:ascii="Courier New" w:eastAsia="MS Mincho" w:hAnsi="Courier New" w:cs="Courier New"/>
          <w:sz w:val="24"/>
          <w:szCs w:val="24"/>
        </w:rPr>
        <w:t xml:space="preserve">.  </w:t>
      </w:r>
    </w:p>
    <w:p w14:paraId="4E2D1C6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(a)(1)  </w:t>
      </w:r>
      <w:r w:rsidRPr="00A93D71">
        <w:rPr>
          <w:rFonts w:ascii="Courier New" w:eastAsia="MS Mincho" w:hAnsi="Courier New" w:cs="Courier New"/>
          <w:sz w:val="24"/>
          <w:szCs w:val="24"/>
          <w:u w:val="single"/>
        </w:rPr>
        <w:t>General</w:t>
      </w:r>
      <w:r w:rsidRPr="00A93D71">
        <w:rPr>
          <w:rFonts w:ascii="Courier New" w:eastAsia="MS Mincho" w:hAnsi="Courier New" w:cs="Courier New"/>
          <w:sz w:val="24"/>
          <w:szCs w:val="24"/>
        </w:rPr>
        <w:t>.  Under the procedures in this section, the Secretary determines the completion rates, withdrawal rates, repayment rates, median loan debt, median earnings, and program cohort default rate an institution must disclose under §668.412 for each of its GE programs, notifies the institution of that information, and provides the institution an opportunity to challenge the calculations.</w:t>
      </w:r>
    </w:p>
    <w:p w14:paraId="33A75364" w14:textId="3D187DBC"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Enrollment cohort</w:t>
      </w:r>
      <w:r w:rsidRPr="00A93D71">
        <w:rPr>
          <w:rFonts w:ascii="Courier New" w:eastAsia="MS Mincho" w:hAnsi="Courier New" w:cs="Courier New"/>
          <w:sz w:val="24"/>
          <w:szCs w:val="24"/>
        </w:rPr>
        <w:t>.  (i)  Subject to paragraph (a)(2)(ii) of this section, for the purpose of calculating the completion and withdrawal rates under paragraph (b) of this section, the enrollment cohort is comprised of all the students who began enrollment in a GE program during an award year.  For example, the students who began enrollment in a GE program during the 2014-2015 award year constitute the enrollment cohort for that award year.</w:t>
      </w:r>
    </w:p>
    <w:p w14:paraId="3536F11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A student is excluded from the enrollment cohort for the purpose of calculating the completion and withdrawal rates under paragraph (b) of this section if, while enrolled in the program, the student died or became totally and permanently disabled and was unable to continue enrollment on at least a half-time basis, as determined under the standards in 34 CFR 685.213.  </w:t>
      </w:r>
    </w:p>
    <w:p w14:paraId="17CC611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Calculating completion rates, withdrawal rates, repayment rates, median loan debt, median earnings, and program cohort default rate</w:t>
      </w:r>
      <w:r w:rsidRPr="00A93D71">
        <w:rPr>
          <w:rFonts w:ascii="Courier New" w:eastAsia="MS Mincho" w:hAnsi="Courier New" w:cs="Courier New"/>
          <w:sz w:val="24"/>
          <w:szCs w:val="24"/>
        </w:rPr>
        <w:t xml:space="preserve">. </w:t>
      </w:r>
    </w:p>
    <w:p w14:paraId="16B67A3E" w14:textId="0BC5A404"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  </w:t>
      </w:r>
      <w:r w:rsidRPr="00A93D71">
        <w:rPr>
          <w:rFonts w:ascii="Courier New" w:eastAsia="MS Mincho" w:hAnsi="Courier New" w:cs="Courier New"/>
          <w:sz w:val="24"/>
          <w:szCs w:val="24"/>
          <w:u w:val="single"/>
        </w:rPr>
        <w:t>Completion rates</w:t>
      </w:r>
      <w:r w:rsidRPr="00A93D71">
        <w:rPr>
          <w:rFonts w:ascii="Courier New" w:eastAsia="MS Mincho" w:hAnsi="Courier New" w:cs="Courier New"/>
          <w:sz w:val="24"/>
          <w:szCs w:val="24"/>
        </w:rPr>
        <w:t xml:space="preserve">.  For each enrollment cohort, the Secretary calculates the completion rates of a GE program as follows:  </w:t>
      </w:r>
    </w:p>
    <w:p w14:paraId="717C54C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For students whose enrollment status is full-time on the first day of the student’s enrollment in the program:</w:t>
      </w:r>
    </w:p>
    <w:p w14:paraId="49CDD965" w14:textId="77777777" w:rsidR="00997197" w:rsidRPr="00A93D71" w:rsidRDefault="00997197" w:rsidP="00A93D71">
      <w:pPr>
        <w:spacing w:after="0" w:line="480" w:lineRule="auto"/>
        <w:ind w:firstLine="720"/>
        <w:rPr>
          <w:rFonts w:ascii="Courier New" w:eastAsia="MS Mincho" w:hAnsi="Courier New" w:cs="Courier New"/>
          <w:sz w:val="24"/>
          <w:szCs w:val="24"/>
        </w:rPr>
      </w:pPr>
    </w:p>
    <w:p w14:paraId="7919D5E0" w14:textId="4A46FECF" w:rsidR="00997197" w:rsidRPr="00A93D71" w:rsidRDefault="00997197" w:rsidP="00A93D71">
      <w:pPr>
        <w:spacing w:after="0" w:line="480" w:lineRule="auto"/>
        <w:jc w:val="center"/>
        <w:rPr>
          <w:rFonts w:ascii="Courier New" w:eastAsia="MS Mincho" w:hAnsi="Courier New" w:cs="Courier New"/>
          <w:sz w:val="24"/>
          <w:szCs w:val="24"/>
          <w:u w:val="single"/>
        </w:rPr>
      </w:pPr>
      <w:r w:rsidRPr="00A93D71">
        <w:rPr>
          <w:rFonts w:ascii="Courier New" w:eastAsia="MS Mincho" w:hAnsi="Courier New" w:cs="Courier New"/>
          <w:noProof/>
          <w:sz w:val="24"/>
          <w:szCs w:val="24"/>
        </w:rPr>
        <mc:AlternateContent>
          <mc:Choice Requires="wps">
            <w:drawing>
              <wp:anchor distT="4294967291" distB="4294967291" distL="114300" distR="114300" simplePos="0" relativeHeight="251658240" behindDoc="0" locked="0" layoutInCell="1" allowOverlap="1" wp14:anchorId="21593DE9" wp14:editId="0970DFD1">
                <wp:simplePos x="0" y="0"/>
                <wp:positionH relativeFrom="column">
                  <wp:posOffset>209550</wp:posOffset>
                </wp:positionH>
                <wp:positionV relativeFrom="paragraph">
                  <wp:posOffset>919479</wp:posOffset>
                </wp:positionV>
                <wp:extent cx="49625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pt,72.4pt" to="407.2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" strokecolor="#4579b8"/>
            </w:pict>
          </mc:Fallback>
        </mc:AlternateContent>
      </w:r>
      <w:r w:rsidRPr="00A93D71">
        <w:rPr>
          <w:rFonts w:ascii="Courier New" w:eastAsia="MS Mincho" w:hAnsi="Courier New" w:cs="Courier New"/>
          <w:sz w:val="24"/>
          <w:szCs w:val="24"/>
        </w:rPr>
        <w:t>Number of full-time students in the enrollment cohort who completed the program within 100% of the length of the program</w:t>
      </w:r>
    </w:p>
    <w:p w14:paraId="6F2ED893" w14:textId="77777777" w:rsidR="00997197" w:rsidRPr="00A93D71" w:rsidDel="00CA1A65" w:rsidRDefault="00997197" w:rsidP="00A93D71">
      <w:pPr>
        <w:spacing w:after="0" w:line="480" w:lineRule="auto"/>
        <w:jc w:val="center"/>
        <w:rPr>
          <w:rFonts w:ascii="Courier New" w:eastAsia="MS Mincho" w:hAnsi="Courier New" w:cs="Courier New"/>
          <w:sz w:val="24"/>
          <w:szCs w:val="24"/>
        </w:rPr>
      </w:pPr>
      <w:r w:rsidRPr="00A93D71" w:rsidDel="00CA1A65">
        <w:rPr>
          <w:rFonts w:ascii="Courier New" w:eastAsia="MS Mincho" w:hAnsi="Courier New" w:cs="Courier New"/>
          <w:sz w:val="24"/>
          <w:szCs w:val="24"/>
        </w:rPr>
        <w:t>Number of full-time students in the enrollment cohort</w:t>
      </w:r>
    </w:p>
    <w:p w14:paraId="73377650"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p>
    <w:p w14:paraId="31C2BF18"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r w:rsidRPr="00A93D71">
        <w:rPr>
          <w:rFonts w:ascii="Courier New" w:eastAsia="MS Mincho" w:hAnsi="Courier New" w:cs="Courier New"/>
          <w:sz w:val="24"/>
          <w:szCs w:val="24"/>
        </w:rPr>
        <w:t>and</w:t>
      </w:r>
    </w:p>
    <w:p w14:paraId="1729C214"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p>
    <w:p w14:paraId="3807423F" w14:textId="2155D217"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noProof/>
          <w:sz w:val="24"/>
          <w:szCs w:val="24"/>
        </w:rPr>
        <mc:AlternateContent>
          <mc:Choice Requires="wps">
            <w:drawing>
              <wp:anchor distT="4294967291" distB="4294967291" distL="114300" distR="114300" simplePos="0" relativeHeight="251658243" behindDoc="0" locked="0" layoutInCell="1" allowOverlap="1" wp14:anchorId="77A8C625" wp14:editId="49A02FC7">
                <wp:simplePos x="0" y="0"/>
                <wp:positionH relativeFrom="column">
                  <wp:posOffset>349250</wp:posOffset>
                </wp:positionH>
                <wp:positionV relativeFrom="paragraph">
                  <wp:posOffset>886459</wp:posOffset>
                </wp:positionV>
                <wp:extent cx="48196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5pt,69.8pt" to="407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" strokecolor="#4579b8"/>
            </w:pict>
          </mc:Fallback>
        </mc:AlternateContent>
      </w:r>
      <w:r w:rsidRPr="00A93D71">
        <w:rPr>
          <w:rFonts w:ascii="Courier New" w:eastAsia="MS Mincho" w:hAnsi="Courier New" w:cs="Courier New"/>
          <w:sz w:val="24"/>
          <w:szCs w:val="24"/>
        </w:rPr>
        <w:t>Number of full-time students in the enrollment cohort who completed the program within 150% of the length of the program</w:t>
      </w:r>
    </w:p>
    <w:p w14:paraId="09854195" w14:textId="77777777"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sz w:val="24"/>
          <w:szCs w:val="24"/>
        </w:rPr>
        <w:t>Number of full-time students in the enrollment cohort</w:t>
      </w:r>
    </w:p>
    <w:p w14:paraId="5831AAAC" w14:textId="77777777" w:rsidR="00997197" w:rsidRPr="00A93D71" w:rsidRDefault="00997197" w:rsidP="00A93D71">
      <w:pPr>
        <w:spacing w:after="0" w:line="480" w:lineRule="auto"/>
        <w:jc w:val="center"/>
        <w:rPr>
          <w:rFonts w:ascii="Courier New" w:eastAsia="MS Mincho" w:hAnsi="Courier New" w:cs="Courier New"/>
          <w:sz w:val="24"/>
          <w:szCs w:val="24"/>
          <w:u w:val="single"/>
        </w:rPr>
      </w:pPr>
    </w:p>
    <w:p w14:paraId="046D758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For students whose enrollment status is less than full-time on the first day of the student’s enrollment in the program:</w:t>
      </w:r>
    </w:p>
    <w:p w14:paraId="7641BAB7" w14:textId="44D73F49" w:rsidR="00997197" w:rsidRPr="00A93D71" w:rsidRDefault="00997197" w:rsidP="00A93D71">
      <w:pPr>
        <w:spacing w:after="0" w:line="480" w:lineRule="auto"/>
        <w:jc w:val="center"/>
        <w:rPr>
          <w:rFonts w:ascii="Courier New" w:eastAsia="MS Mincho" w:hAnsi="Courier New" w:cs="Courier New"/>
          <w:sz w:val="24"/>
          <w:szCs w:val="24"/>
          <w:u w:val="single"/>
        </w:rPr>
      </w:pPr>
      <w:r w:rsidRPr="00A93D71">
        <w:rPr>
          <w:rFonts w:ascii="Courier New" w:eastAsia="MS Mincho" w:hAnsi="Courier New" w:cs="Courier New"/>
          <w:noProof/>
          <w:sz w:val="24"/>
          <w:szCs w:val="24"/>
        </w:rPr>
        <mc:AlternateContent>
          <mc:Choice Requires="wps">
            <w:drawing>
              <wp:anchor distT="4294967291" distB="4294967291" distL="114300" distR="114300" simplePos="0" relativeHeight="251658242" behindDoc="0" locked="0" layoutInCell="1" allowOverlap="1" wp14:anchorId="20C6639E" wp14:editId="1296F8E6">
                <wp:simplePos x="0" y="0"/>
                <wp:positionH relativeFrom="column">
                  <wp:posOffset>457200</wp:posOffset>
                </wp:positionH>
                <wp:positionV relativeFrom="paragraph">
                  <wp:posOffset>876299</wp:posOffset>
                </wp:positionV>
                <wp:extent cx="47148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69pt" to="40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" strokecolor="#4579b8"/>
            </w:pict>
          </mc:Fallback>
        </mc:AlternateContent>
      </w:r>
      <w:r w:rsidRPr="00A93D71">
        <w:rPr>
          <w:rFonts w:ascii="Courier New" w:eastAsia="MS Mincho" w:hAnsi="Courier New" w:cs="Courier New"/>
          <w:sz w:val="24"/>
          <w:szCs w:val="24"/>
        </w:rPr>
        <w:t>Number of less-than-full-time students in the enrollment cohort who completed the program within 200% of the length of the program</w:t>
      </w:r>
    </w:p>
    <w:p w14:paraId="52A4EB0D" w14:textId="77777777"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sz w:val="24"/>
          <w:szCs w:val="24"/>
        </w:rPr>
        <w:t>Number of less-than-full-time students in the enrollment cohort</w:t>
      </w:r>
    </w:p>
    <w:p w14:paraId="1BDA3335"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p>
    <w:p w14:paraId="1CEB37CC"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r w:rsidRPr="00A93D71">
        <w:rPr>
          <w:rFonts w:ascii="Courier New" w:eastAsia="MS Mincho" w:hAnsi="Courier New" w:cs="Courier New"/>
          <w:sz w:val="24"/>
          <w:szCs w:val="24"/>
        </w:rPr>
        <w:t>and</w:t>
      </w:r>
    </w:p>
    <w:p w14:paraId="06C841CA"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p>
    <w:p w14:paraId="4B908A18" w14:textId="727643D1" w:rsidR="00997197" w:rsidRPr="00A93D71" w:rsidRDefault="00997197" w:rsidP="00A93D71">
      <w:pPr>
        <w:spacing w:after="0" w:line="480" w:lineRule="auto"/>
        <w:jc w:val="center"/>
        <w:rPr>
          <w:rFonts w:ascii="Courier New" w:eastAsia="MS Mincho" w:hAnsi="Courier New" w:cs="Courier New"/>
          <w:sz w:val="24"/>
          <w:szCs w:val="24"/>
          <w:u w:val="single"/>
        </w:rPr>
      </w:pPr>
      <w:r w:rsidRPr="00A93D71">
        <w:rPr>
          <w:rFonts w:ascii="Courier New" w:eastAsia="MS Mincho" w:hAnsi="Courier New" w:cs="Courier New"/>
          <w:noProof/>
          <w:sz w:val="24"/>
          <w:szCs w:val="24"/>
        </w:rPr>
        <mc:AlternateContent>
          <mc:Choice Requires="wps">
            <w:drawing>
              <wp:anchor distT="4294967291" distB="4294967291" distL="114300" distR="114300" simplePos="0" relativeHeight="251658241" behindDoc="0" locked="0" layoutInCell="1" allowOverlap="1" wp14:anchorId="75E866B5" wp14:editId="523C6833">
                <wp:simplePos x="0" y="0"/>
                <wp:positionH relativeFrom="column">
                  <wp:posOffset>457200</wp:posOffset>
                </wp:positionH>
                <wp:positionV relativeFrom="paragraph">
                  <wp:posOffset>866774</wp:posOffset>
                </wp:positionV>
                <wp:extent cx="49625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68.25pt" to="426.7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" strokecolor="#4579b8"/>
            </w:pict>
          </mc:Fallback>
        </mc:AlternateContent>
      </w:r>
      <w:r w:rsidRPr="00A93D71">
        <w:rPr>
          <w:rFonts w:ascii="Courier New" w:eastAsia="MS Mincho" w:hAnsi="Courier New" w:cs="Courier New"/>
          <w:sz w:val="24"/>
          <w:szCs w:val="24"/>
        </w:rPr>
        <w:t>Number of less-than-full-time students in the enrollment cohort who completed the program within 300% of the length of the program</w:t>
      </w:r>
    </w:p>
    <w:p w14:paraId="030E9EE7" w14:textId="77777777"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sz w:val="24"/>
          <w:szCs w:val="24"/>
        </w:rPr>
        <w:t>Number of less-than-full-time students in the enrollment cohort</w:t>
      </w:r>
    </w:p>
    <w:p w14:paraId="62F2B1C6" w14:textId="77777777" w:rsidR="00997197" w:rsidRPr="00A93D71" w:rsidRDefault="00997197" w:rsidP="00A93D71">
      <w:pPr>
        <w:spacing w:after="0" w:line="480" w:lineRule="auto"/>
        <w:rPr>
          <w:rFonts w:ascii="Courier New" w:eastAsia="MS Mincho" w:hAnsi="Courier New" w:cs="Courier New"/>
          <w:sz w:val="24"/>
          <w:szCs w:val="24"/>
        </w:rPr>
      </w:pPr>
    </w:p>
    <w:p w14:paraId="139AD91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Withdrawal rate</w:t>
      </w:r>
      <w:r w:rsidRPr="00A93D71">
        <w:rPr>
          <w:rFonts w:ascii="Courier New" w:eastAsia="MS Mincho" w:hAnsi="Courier New" w:cs="Courier New"/>
          <w:sz w:val="24"/>
          <w:szCs w:val="24"/>
        </w:rPr>
        <w:t>.  For each enrollment cohort, the Secretary calculates two withdrawal rates for a GE program as follows:</w:t>
      </w:r>
      <w:r w:rsidRPr="00A93D71" w:rsidDel="00E82F29">
        <w:rPr>
          <w:rFonts w:ascii="Courier New" w:eastAsia="MS Mincho" w:hAnsi="Courier New" w:cs="Courier New"/>
          <w:sz w:val="24"/>
          <w:szCs w:val="24"/>
        </w:rPr>
        <w:t xml:space="preserve"> </w:t>
      </w:r>
    </w:p>
    <w:p w14:paraId="36862D6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  The percentage of students in the enrollment cohort who withdrew from the program within 100 percent of the length of the program;</w:t>
      </w:r>
    </w:p>
    <w:p w14:paraId="5487B1A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The percentage of students in the enrollment cohort who withdrew from the program within 150 percent of the length of the program.</w:t>
      </w:r>
    </w:p>
    <w:p w14:paraId="74B78EE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w:t>
      </w:r>
      <w:r w:rsidRPr="00A93D71">
        <w:rPr>
          <w:rFonts w:ascii="Courier New" w:eastAsia="MS Mincho" w:hAnsi="Courier New" w:cs="Courier New"/>
          <w:sz w:val="24"/>
          <w:szCs w:val="24"/>
          <w:u w:val="single"/>
        </w:rPr>
        <w:t>Loan repayment rate</w:t>
      </w:r>
      <w:r w:rsidRPr="00A93D71">
        <w:rPr>
          <w:rFonts w:ascii="Courier New" w:eastAsia="MS Mincho" w:hAnsi="Courier New" w:cs="Courier New"/>
          <w:sz w:val="24"/>
          <w:szCs w:val="24"/>
        </w:rPr>
        <w:t>.  For an award year, the Secretary calculates a loan repayment rate for borrowers not excluded under paragraph (b)(3)(vi) of this section who enrolled in a GE program as follows:</w:t>
      </w:r>
    </w:p>
    <w:p w14:paraId="40F27DC6" w14:textId="77777777" w:rsidR="00997197" w:rsidRPr="00A93D71" w:rsidRDefault="00997197" w:rsidP="00A93D71">
      <w:pPr>
        <w:spacing w:after="0" w:line="480" w:lineRule="auto"/>
        <w:ind w:firstLine="720"/>
        <w:rPr>
          <w:rFonts w:ascii="Courier New" w:eastAsia="MS Mincho" w:hAnsi="Courier New" w:cs="Courier New"/>
          <w:sz w:val="24"/>
          <w:szCs w:val="24"/>
        </w:rPr>
      </w:pPr>
    </w:p>
    <w:p w14:paraId="31CFFBCF" w14:textId="5D4A5A49"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noProof/>
          <w:sz w:val="24"/>
          <w:szCs w:val="24"/>
        </w:rPr>
        <mc:AlternateContent>
          <mc:Choice Requires="wps">
            <w:drawing>
              <wp:anchor distT="4294967291" distB="4294967291" distL="114300" distR="114300" simplePos="0" relativeHeight="251658244" behindDoc="0" locked="0" layoutInCell="1" allowOverlap="1" wp14:anchorId="6FB92470" wp14:editId="56C1A100">
                <wp:simplePos x="0" y="0"/>
                <wp:positionH relativeFrom="column">
                  <wp:posOffset>57150</wp:posOffset>
                </wp:positionH>
                <wp:positionV relativeFrom="paragraph">
                  <wp:posOffset>535939</wp:posOffset>
                </wp:positionV>
                <wp:extent cx="5362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42.2pt" to="426.7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" strokecolor="#4579b8"/>
            </w:pict>
          </mc:Fallback>
        </mc:AlternateContent>
      </w:r>
      <w:r w:rsidRPr="00A93D71">
        <w:rPr>
          <w:rFonts w:ascii="Courier New" w:eastAsia="MS Mincho" w:hAnsi="Courier New" w:cs="Courier New"/>
          <w:sz w:val="24"/>
          <w:szCs w:val="24"/>
        </w:rPr>
        <w:t>Number of borrowers paid in full plus number of borrowers in active repayment</w:t>
      </w:r>
    </w:p>
    <w:p w14:paraId="12FBF6BD" w14:textId="77777777" w:rsidR="00997197" w:rsidRPr="00A93D71" w:rsidRDefault="00997197" w:rsidP="00A93D71">
      <w:pPr>
        <w:spacing w:after="0" w:line="480" w:lineRule="auto"/>
        <w:jc w:val="center"/>
        <w:rPr>
          <w:rFonts w:ascii="Courier New" w:eastAsia="MS Mincho" w:hAnsi="Courier New" w:cs="Courier New"/>
          <w:sz w:val="24"/>
          <w:szCs w:val="24"/>
        </w:rPr>
      </w:pPr>
      <w:r w:rsidRPr="00A93D71">
        <w:rPr>
          <w:rFonts w:ascii="Courier New" w:eastAsia="MS Mincho" w:hAnsi="Courier New" w:cs="Courier New"/>
          <w:sz w:val="24"/>
          <w:szCs w:val="24"/>
        </w:rPr>
        <w:t>Number of borrowers entering repayment</w:t>
      </w:r>
    </w:p>
    <w:p w14:paraId="67356F86" w14:textId="77777777" w:rsidR="00997197" w:rsidRPr="00A93D71" w:rsidRDefault="00997197" w:rsidP="00A93D71">
      <w:pPr>
        <w:spacing w:after="0" w:line="480" w:lineRule="auto"/>
        <w:ind w:firstLine="720"/>
        <w:jc w:val="center"/>
        <w:rPr>
          <w:rFonts w:ascii="Courier New" w:eastAsia="MS Mincho" w:hAnsi="Courier New" w:cs="Courier New"/>
          <w:sz w:val="24"/>
          <w:szCs w:val="24"/>
        </w:rPr>
      </w:pPr>
    </w:p>
    <w:p w14:paraId="080450B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w:t>
      </w:r>
      <w:r w:rsidRPr="00A93D71">
        <w:rPr>
          <w:rFonts w:ascii="Courier New" w:eastAsia="MS Mincho" w:hAnsi="Courier New" w:cs="Courier New"/>
          <w:sz w:val="24"/>
          <w:szCs w:val="24"/>
          <w:u w:val="single"/>
        </w:rPr>
        <w:t>Number of borrowers entering repayment</w:t>
      </w:r>
      <w:r w:rsidRPr="00A93D71">
        <w:rPr>
          <w:rFonts w:ascii="Courier New" w:eastAsia="MS Mincho" w:hAnsi="Courier New" w:cs="Courier New"/>
          <w:sz w:val="24"/>
          <w:szCs w:val="24"/>
        </w:rPr>
        <w:t>.  The total number of borrowers who entered repayment during the two-year cohort period on FFEL or Direct Loans received for enrollment in the program.</w:t>
      </w:r>
    </w:p>
    <w:p w14:paraId="2899E2B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w:t>
      </w:r>
      <w:r w:rsidRPr="00A93D71">
        <w:rPr>
          <w:rFonts w:ascii="Courier New" w:eastAsia="MS Mincho" w:hAnsi="Courier New" w:cs="Courier New"/>
          <w:sz w:val="24"/>
          <w:szCs w:val="24"/>
          <w:u w:val="single"/>
        </w:rPr>
        <w:t>Number of borrowers paid in full</w:t>
      </w:r>
      <w:r w:rsidRPr="00A93D71">
        <w:rPr>
          <w:rFonts w:ascii="Courier New" w:eastAsia="MS Mincho" w:hAnsi="Courier New" w:cs="Courier New"/>
          <w:sz w:val="24"/>
          <w:szCs w:val="24"/>
        </w:rPr>
        <w:t xml:space="preserve">.  Of the number of borrowers entering repayment, the number who have fully repaid all FFEL or Direct Loans received for enrollment in the program.  </w:t>
      </w:r>
    </w:p>
    <w:p w14:paraId="329C271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w:t>
      </w:r>
      <w:r w:rsidRPr="00A93D71">
        <w:rPr>
          <w:rFonts w:ascii="Courier New" w:eastAsia="MS Mincho" w:hAnsi="Courier New" w:cs="Courier New"/>
          <w:sz w:val="24"/>
          <w:szCs w:val="24"/>
          <w:u w:val="single"/>
        </w:rPr>
        <w:t>Number of borrowers in active repayment</w:t>
      </w:r>
      <w:r w:rsidRPr="00A93D71">
        <w:rPr>
          <w:rFonts w:ascii="Courier New" w:eastAsia="MS Mincho" w:hAnsi="Courier New" w:cs="Courier New"/>
          <w:sz w:val="24"/>
          <w:szCs w:val="24"/>
        </w:rPr>
        <w:t xml:space="preserve">.  Of the number of borrowers entering repayment, the number who, during the most recently completed award year, made loan payments sufficient to reduce by at least one dollar the outstanding balance of each of the borrower’s FFEL or Direct Loans received for enrollment in the program, including consolidation loans that include a FFEL or Direct Loan received for enrollment in the program, by comparing the outstanding balance of each loan at the beginning and end of the award year.  </w:t>
      </w:r>
    </w:p>
    <w:p w14:paraId="2B95045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(iv)  </w:t>
      </w:r>
      <w:r w:rsidRPr="00A93D71">
        <w:rPr>
          <w:rFonts w:ascii="Courier New" w:eastAsia="MS Mincho" w:hAnsi="Courier New" w:cs="Courier New"/>
          <w:sz w:val="24"/>
          <w:szCs w:val="24"/>
          <w:u w:val="single"/>
        </w:rPr>
        <w:t>Loan defaults</w:t>
      </w:r>
      <w:r w:rsidRPr="00A93D71">
        <w:rPr>
          <w:rFonts w:ascii="Courier New" w:eastAsia="MS Mincho" w:hAnsi="Courier New" w:cs="Courier New"/>
          <w:sz w:val="24"/>
          <w:szCs w:val="24"/>
        </w:rPr>
        <w:t>.  A borrower who defaulted on a FFEL or Direct Loan is not included in the numerator of the loan repayment rate formula even if that loan has been paid in full or meets the definition of being in active repayment.</w:t>
      </w:r>
    </w:p>
    <w:p w14:paraId="0ED5173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(v)  </w:t>
      </w:r>
      <w:r w:rsidRPr="00A93D71">
        <w:rPr>
          <w:rFonts w:ascii="Courier New" w:eastAsia="MS Mincho" w:hAnsi="Courier New" w:cs="Courier New"/>
          <w:sz w:val="24"/>
          <w:szCs w:val="24"/>
          <w:u w:val="single"/>
        </w:rPr>
        <w:t>Repayment rates for borrowers who completed or withdrew</w:t>
      </w:r>
      <w:r w:rsidRPr="00A93D71">
        <w:rPr>
          <w:rFonts w:ascii="Courier New" w:eastAsia="MS Mincho" w:hAnsi="Courier New" w:cs="Courier New"/>
          <w:sz w:val="24"/>
          <w:szCs w:val="24"/>
        </w:rPr>
        <w:t>.  The Secretary may modify the formula in this paragraph to calculate repayment rates for only those borrowers who completed the program or for only those borrowers who withdrew from the program.</w:t>
      </w:r>
    </w:p>
    <w:p w14:paraId="1FE7572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(vi)  </w:t>
      </w:r>
      <w:r w:rsidRPr="00A93D71">
        <w:rPr>
          <w:rFonts w:ascii="Courier New" w:eastAsia="MS Mincho" w:hAnsi="Courier New" w:cs="Courier New"/>
          <w:sz w:val="24"/>
          <w:szCs w:val="24"/>
          <w:u w:val="single"/>
        </w:rPr>
        <w:t>Exclusions</w:t>
      </w:r>
      <w:r w:rsidRPr="00A93D71">
        <w:rPr>
          <w:rFonts w:ascii="Courier New" w:eastAsia="MS Mincho" w:hAnsi="Courier New" w:cs="Courier New"/>
          <w:sz w:val="24"/>
          <w:szCs w:val="24"/>
        </w:rPr>
        <w:t>.  For the award year the Secretary calculates the loan repayment rate for a program, the Secretary excludes a borrower from the repayment rate calculation if the Secretary determines that--</w:t>
      </w:r>
    </w:p>
    <w:p w14:paraId="0906DD9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One or more of the borrower’s FFEL or Direct loans were in a military-related deferment status at any time during the most recently completed award year; </w:t>
      </w:r>
    </w:p>
    <w:p w14:paraId="676FB7B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One or more of the borrower’s FFEL or Direct loans are either under consideration by the Secretary, or have been approved, for a discharge on the basis of the borrower’s total and permanent disability, under 34 CFR 682.402 or 685.212;</w:t>
      </w:r>
    </w:p>
    <w:p w14:paraId="43E76A0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(C)  The borrower was enrolled in any other eligible program at the institution or at another institution during the most recently completed award year; or</w:t>
      </w:r>
    </w:p>
    <w:p w14:paraId="1FDB6F21"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(D)  The borrower died.</w:t>
      </w:r>
    </w:p>
    <w:p w14:paraId="4042FDA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(4)  </w:t>
      </w:r>
      <w:r w:rsidRPr="00A93D71">
        <w:rPr>
          <w:rFonts w:ascii="Courier New" w:eastAsia="MS Mincho" w:hAnsi="Courier New" w:cs="Courier New"/>
          <w:sz w:val="24"/>
          <w:szCs w:val="24"/>
          <w:u w:val="single"/>
        </w:rPr>
        <w:t>Median loan debt for students who completed the GE program</w:t>
      </w:r>
      <w:r w:rsidRPr="00A93D71">
        <w:rPr>
          <w:rFonts w:ascii="Courier New" w:eastAsia="MS Mincho" w:hAnsi="Courier New" w:cs="Courier New"/>
          <w:sz w:val="24"/>
          <w:szCs w:val="24"/>
        </w:rPr>
        <w:t>.  For the most recently completed award year, the Secretary calculates a median loan debt for the students described in §668.412(a)(10)(i) who completed the GE program during the award year.  The median is calculated on debt described in §668.404(d)(1).</w:t>
      </w:r>
    </w:p>
    <w:p w14:paraId="650915F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(5)  </w:t>
      </w:r>
      <w:r w:rsidRPr="00A93D71">
        <w:rPr>
          <w:rFonts w:ascii="Courier New" w:eastAsia="MS Mincho" w:hAnsi="Courier New" w:cs="Courier New"/>
          <w:sz w:val="24"/>
          <w:szCs w:val="24"/>
          <w:u w:val="single"/>
        </w:rPr>
        <w:t>Median loan debt for students who withdrew from the GE program</w:t>
      </w:r>
      <w:r w:rsidRPr="00A93D71">
        <w:rPr>
          <w:rFonts w:ascii="Courier New" w:eastAsia="MS Mincho" w:hAnsi="Courier New" w:cs="Courier New"/>
          <w:sz w:val="24"/>
          <w:szCs w:val="24"/>
        </w:rPr>
        <w:t>.  For the most recently completed award year, the Secretary calculates a median loan debt for the students described in §668.412(a)(10)(ii) who withdrew from the program during the award year.  The median is calculated on debt described in §668.404(d)(1).</w:t>
      </w:r>
    </w:p>
    <w:p w14:paraId="289D07C4" w14:textId="77777777" w:rsidR="00997197" w:rsidRPr="00A93D71" w:rsidRDefault="00997197" w:rsidP="00A93D71">
      <w:pPr>
        <w:spacing w:after="0" w:line="480" w:lineRule="auto"/>
        <w:ind w:firstLine="720"/>
        <w:rPr>
          <w:rFonts w:ascii="Courier New" w:eastAsia="MS Mincho" w:hAnsi="Courier New" w:cs="Courier New"/>
          <w:sz w:val="24"/>
          <w:szCs w:val="24"/>
          <w:u w:val="single"/>
        </w:rPr>
      </w:pPr>
      <w:r w:rsidRPr="00A93D71">
        <w:rPr>
          <w:rFonts w:ascii="Courier New" w:eastAsia="MS Mincho" w:hAnsi="Courier New" w:cs="Courier New"/>
          <w:sz w:val="24"/>
          <w:szCs w:val="24"/>
        </w:rPr>
        <w:t xml:space="preserve">(6)  </w:t>
      </w:r>
      <w:r w:rsidRPr="00A93D71">
        <w:rPr>
          <w:rFonts w:ascii="Courier New" w:eastAsia="MS Mincho" w:hAnsi="Courier New" w:cs="Courier New"/>
          <w:sz w:val="24"/>
          <w:szCs w:val="24"/>
          <w:u w:val="single"/>
        </w:rPr>
        <w:t>Median loan debt for students who completed and withdrew from the GE program</w:t>
      </w:r>
      <w:r w:rsidRPr="00A93D71">
        <w:rPr>
          <w:rFonts w:ascii="Courier New" w:eastAsia="MS Mincho" w:hAnsi="Courier New" w:cs="Courier New"/>
          <w:sz w:val="24"/>
          <w:szCs w:val="24"/>
        </w:rPr>
        <w:t>.  For the most recently completed award year, the Secretary calculates a median loan debt for the students described in §668.412(a)(10)(iii)  who completed the GE program during the award year and those students who withdrew from the GE program during the award year.  The median is calculated on debt described in §668.404(d)(1).</w:t>
      </w:r>
    </w:p>
    <w:p w14:paraId="2B3FABE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(7)  </w:t>
      </w:r>
      <w:r w:rsidRPr="00A93D71">
        <w:rPr>
          <w:rFonts w:ascii="Courier New" w:eastAsia="MS Mincho" w:hAnsi="Courier New" w:cs="Courier New"/>
          <w:sz w:val="24"/>
          <w:szCs w:val="24"/>
          <w:u w:val="single"/>
        </w:rPr>
        <w:t>Median earnings</w:t>
      </w:r>
      <w:r w:rsidRPr="00A93D71">
        <w:rPr>
          <w:rFonts w:ascii="Courier New" w:eastAsia="MS Mincho" w:hAnsi="Courier New" w:cs="Courier New"/>
          <w:sz w:val="24"/>
          <w:szCs w:val="24"/>
        </w:rPr>
        <w:t>.  The Secretary calculates the median earnings of a GE program as described in paragraphs (b)(8) through (b)(12) of this section.</w:t>
      </w:r>
    </w:p>
    <w:p w14:paraId="44B3155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(8)  </w:t>
      </w:r>
      <w:r w:rsidRPr="00A93D71">
        <w:rPr>
          <w:rFonts w:ascii="Courier New" w:eastAsia="MS Mincho" w:hAnsi="Courier New" w:cs="Courier New"/>
          <w:sz w:val="24"/>
          <w:szCs w:val="24"/>
          <w:u w:val="single"/>
        </w:rPr>
        <w:t>Median earnings for students who completed the GE program</w:t>
      </w:r>
      <w:r w:rsidRPr="00A93D71">
        <w:rPr>
          <w:rFonts w:ascii="Courier New" w:eastAsia="MS Mincho" w:hAnsi="Courier New" w:cs="Courier New"/>
          <w:sz w:val="24"/>
          <w:szCs w:val="24"/>
        </w:rPr>
        <w:t>.  (i)  The Secretary determines the median earnings for the students who completed the GE program during the cohort period by--</w:t>
      </w:r>
    </w:p>
    <w:p w14:paraId="254567B8"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(A)  Creating a list of the students who completed the program during the cohort period and providing it to the institution, as provided in paragraph (b)(8)(ii) of this section;</w:t>
      </w:r>
    </w:p>
    <w:p w14:paraId="72A8C685"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(B)  Allowing the institution to correct the information about the students on the list, as provided in paragraph (b)(8)(iii) of this section;</w:t>
      </w:r>
    </w:p>
    <w:p w14:paraId="4FD4E3DC"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(C)  Obtaining from SSA the median annual earnings of the students on the list, as provided in paragraph (b)(8)(iv) of this section; and</w:t>
      </w:r>
    </w:p>
    <w:p w14:paraId="35365F64"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(D)  Notifying the institution of the median annual earnings for the students on the list. </w:t>
      </w:r>
    </w:p>
    <w:p w14:paraId="01F64B76"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w:t>
      </w:r>
      <w:r w:rsidRPr="00A93D71">
        <w:rPr>
          <w:rFonts w:ascii="Courier New" w:eastAsia="MS Mincho" w:hAnsi="Courier New" w:cs="Courier New"/>
          <w:sz w:val="24"/>
          <w:szCs w:val="24"/>
          <w:u w:val="single"/>
        </w:rPr>
        <w:t>Creating the list of students</w:t>
      </w:r>
      <w:r w:rsidRPr="00A93D71">
        <w:rPr>
          <w:rFonts w:ascii="Courier New" w:eastAsia="MS Mincho" w:hAnsi="Courier New" w:cs="Courier New"/>
          <w:sz w:val="24"/>
          <w:szCs w:val="24"/>
        </w:rPr>
        <w:t>.  (A)  The Secretary selects the students to be included on the list by--</w:t>
      </w:r>
    </w:p>
    <w:p w14:paraId="60B98FF5"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Identifying the students who were enrolled in the program and completed the program during the cohort period from the data provided by the institution under §668.411; and</w:t>
      </w:r>
    </w:p>
    <w:p w14:paraId="49D49CA5"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Indicating which students would be removed from the list under paragraph (b)(11) of this section and the specific reason for the exclusion.</w:t>
      </w:r>
    </w:p>
    <w:p w14:paraId="7C8A5355"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(B)  The Secretary provides the list to the institution and states which cohort period was used to select the students. </w:t>
      </w:r>
    </w:p>
    <w:p w14:paraId="61ABEB93"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(iii)  </w:t>
      </w:r>
      <w:r w:rsidRPr="00A93D71">
        <w:rPr>
          <w:rFonts w:ascii="Courier New" w:eastAsia="MS Mincho" w:hAnsi="Courier New" w:cs="Courier New"/>
          <w:sz w:val="24"/>
          <w:szCs w:val="24"/>
          <w:u w:val="single"/>
        </w:rPr>
        <w:t>Institutional corrections to the list</w:t>
      </w:r>
      <w:r w:rsidRPr="00A93D71">
        <w:rPr>
          <w:rFonts w:ascii="Courier New" w:eastAsia="MS Mincho" w:hAnsi="Courier New" w:cs="Courier New"/>
          <w:sz w:val="24"/>
          <w:szCs w:val="24"/>
        </w:rPr>
        <w:t xml:space="preserve">.  (A)  The Secretary presumes that the list of students and the identity information for those students are correct unless the institution provides evidence to the contrary that is satisfactory to the Secretary.  The institution bears the burden of proof that the list is incorrect. </w:t>
      </w:r>
    </w:p>
    <w:p w14:paraId="1B793E72"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(B)  No later than 45 days after the date the Secretary provides the list to the institution, the institution may--  </w:t>
      </w:r>
    </w:p>
    <w:p w14:paraId="155D5F4D"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Provide evidence showing that a student should be included on or removed from the list pursuant to paragraph (b)(11) of this section or otherwise; or</w:t>
      </w:r>
    </w:p>
    <w:p w14:paraId="3A1DD62E" w14:textId="66C1B4FA"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Correct or update a student’s identity information and the student’s program attendance information.</w:t>
      </w:r>
    </w:p>
    <w:p w14:paraId="25AE67F2"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(C)  After the 45-day period expires, the institution may no longer seek to correct the list of students or revise the identity or program information of those students included on the list.  </w:t>
      </w:r>
    </w:p>
    <w:p w14:paraId="2ED6827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(D)  The Secretary considers the evidence provided by the institution and either accepts the correction or notifies the institution of the reasons for not accepting the correction.  If the Secretary accepts the correction, the Secretary uses the corrected information to create the final list.  The Secretary notifies the institution which students are included on the final list and the cohort period used to create the list.</w:t>
      </w:r>
    </w:p>
    <w:p w14:paraId="7657B0A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(iv)  </w:t>
      </w:r>
      <w:r w:rsidRPr="00A93D71">
        <w:rPr>
          <w:rFonts w:ascii="Courier New" w:eastAsia="MS Mincho" w:hAnsi="Courier New" w:cs="Courier New"/>
          <w:sz w:val="24"/>
          <w:szCs w:val="24"/>
          <w:u w:val="single"/>
        </w:rPr>
        <w:t>Obtaining earnings data</w:t>
      </w:r>
      <w:r w:rsidRPr="00A93D71">
        <w:rPr>
          <w:rFonts w:ascii="Courier New" w:eastAsia="MS Mincho" w:hAnsi="Courier New" w:cs="Courier New"/>
          <w:sz w:val="24"/>
          <w:szCs w:val="24"/>
        </w:rPr>
        <w:t xml:space="preserve">.  If the final list includes 10 or more students, the Secretary submits the final list to SSA.  For the purposes of this section, SSA returns to the Secretary-- </w:t>
      </w:r>
    </w:p>
    <w:p w14:paraId="1D20AA9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The median earnings of the students on the list whom SSA has matched to SSA earnings data, in aggregate and not in individual form; and </w:t>
      </w:r>
    </w:p>
    <w:p w14:paraId="093D5E6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The number, but not the identities, of students on the list that SSA could not match.</w:t>
      </w:r>
    </w:p>
    <w:p w14:paraId="125BD02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(9)  </w:t>
      </w:r>
      <w:r w:rsidRPr="00A93D71">
        <w:rPr>
          <w:rFonts w:ascii="Courier New" w:eastAsia="MS Mincho" w:hAnsi="Courier New" w:cs="Courier New"/>
          <w:sz w:val="24"/>
          <w:szCs w:val="24"/>
          <w:u w:val="single"/>
        </w:rPr>
        <w:t>Median earnings for students who withdrew from the program</w:t>
      </w:r>
      <w:r w:rsidRPr="00A93D71">
        <w:rPr>
          <w:rFonts w:ascii="Courier New" w:eastAsia="MS Mincho" w:hAnsi="Courier New" w:cs="Courier New"/>
          <w:sz w:val="24"/>
          <w:szCs w:val="24"/>
        </w:rPr>
        <w:t>.  (i)  The Secretary determines the median earnings for the students who withdrew from the program during the cohort period by--</w:t>
      </w:r>
    </w:p>
    <w:p w14:paraId="674CC16E"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(A)  Creating a list of the students who were enrolled in the program but withdrew from the program during the cohort period and providing it to the institution, as provided in paragraph (b)(9)(ii) of this section;</w:t>
      </w:r>
    </w:p>
    <w:p w14:paraId="06A57653"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(B)  Allowing the institution to correct the information about the students on the list, as provided in paragraph (b)(9)(iii) of this section;</w:t>
      </w:r>
    </w:p>
    <w:p w14:paraId="14B90E12"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(C)  Obtaining from SSA the median annual earnings of the students on the list, as provided in paragraph (b)(9)(iv) of this section; and</w:t>
      </w:r>
    </w:p>
    <w:p w14:paraId="1A5D79B2"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(D)  Notifying the institution of the median annual earnings for the students on the list. </w:t>
      </w:r>
    </w:p>
    <w:p w14:paraId="0F125B23"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  </w:t>
      </w:r>
      <w:r w:rsidRPr="00A93D71">
        <w:rPr>
          <w:rFonts w:ascii="Courier New" w:eastAsia="MS Mincho" w:hAnsi="Courier New" w:cs="Courier New"/>
          <w:sz w:val="24"/>
          <w:szCs w:val="24"/>
          <w:u w:val="single"/>
        </w:rPr>
        <w:t>Creating the list of students</w:t>
      </w:r>
      <w:r w:rsidRPr="00A93D71">
        <w:rPr>
          <w:rFonts w:ascii="Courier New" w:eastAsia="MS Mincho" w:hAnsi="Courier New" w:cs="Courier New"/>
          <w:sz w:val="24"/>
          <w:szCs w:val="24"/>
        </w:rPr>
        <w:t>.  (A)  The Secretary selects the students to be included on the list by--</w:t>
      </w:r>
    </w:p>
    <w:p w14:paraId="4E3F0D67"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Identifying the students who were enrolled in the program but withdrew from the program during the cohort period from the data provided by the institution under §668.411; and</w:t>
      </w:r>
    </w:p>
    <w:p w14:paraId="63F21164"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Indicating which students would be removed from the list under paragraph (b)(11) of this section and the specific reason for the exclusion.</w:t>
      </w:r>
    </w:p>
    <w:p w14:paraId="58921586"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(B)  The Secretary provides the list to the institution and states which cohort period was used to select the students. </w:t>
      </w:r>
    </w:p>
    <w:p w14:paraId="77509A9B"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(iii)  </w:t>
      </w:r>
      <w:r w:rsidRPr="00A93D71">
        <w:rPr>
          <w:rFonts w:ascii="Courier New" w:eastAsia="MS Mincho" w:hAnsi="Courier New" w:cs="Courier New"/>
          <w:sz w:val="24"/>
          <w:szCs w:val="24"/>
          <w:u w:val="single"/>
        </w:rPr>
        <w:t>Institutional corrections to the list</w:t>
      </w:r>
      <w:r w:rsidRPr="00A93D71">
        <w:rPr>
          <w:rFonts w:ascii="Courier New" w:eastAsia="MS Mincho" w:hAnsi="Courier New" w:cs="Courier New"/>
          <w:sz w:val="24"/>
          <w:szCs w:val="24"/>
        </w:rPr>
        <w:t xml:space="preserve">.  (A)  The Secretary presumes that the list of students and the identity information for those students are correct unless the institution provides evidence to the contrary that is satisfactory to the Secretary, in a format and process determined by the Secretary.  The institution bears the burden of proof that the list is incorrect. </w:t>
      </w:r>
    </w:p>
    <w:p w14:paraId="6A481FD9"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(B)  No later than 45 days after the date the Secretary provides the list to the institution, the institution may--  </w:t>
      </w:r>
    </w:p>
    <w:p w14:paraId="6BFAA51E"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1</w:t>
      </w:r>
      <w:r w:rsidRPr="00A93D71">
        <w:rPr>
          <w:rFonts w:ascii="Courier New" w:eastAsia="MS Mincho" w:hAnsi="Courier New" w:cs="Courier New"/>
          <w:sz w:val="24"/>
          <w:szCs w:val="24"/>
        </w:rPr>
        <w:t>)  Provide evidence showing that a student should be included on or removed from the list pursuant to paragraph (b)(11) of this section or otherwise; or</w:t>
      </w:r>
    </w:p>
    <w:p w14:paraId="099D4F36" w14:textId="77777777" w:rsidR="00997197" w:rsidRPr="00A93D71" w:rsidRDefault="00997197" w:rsidP="00A93D71">
      <w:pPr>
        <w:spacing w:after="0" w:line="480" w:lineRule="auto"/>
        <w:ind w:left="90" w:firstLine="630"/>
        <w:contextualSpacing/>
        <w:rPr>
          <w:rFonts w:ascii="Courier New" w:eastAsia="MS Mincho" w:hAnsi="Courier New" w:cs="Courier New"/>
          <w:sz w:val="24"/>
          <w:szCs w:val="24"/>
        </w:rPr>
      </w:pP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2</w:t>
      </w:r>
      <w:r w:rsidRPr="00A93D71">
        <w:rPr>
          <w:rFonts w:ascii="Courier New" w:eastAsia="MS Mincho" w:hAnsi="Courier New" w:cs="Courier New"/>
          <w:sz w:val="24"/>
          <w:szCs w:val="24"/>
        </w:rPr>
        <w:t>)  Correct or update a student’s identity information and the student’s program attendance information.</w:t>
      </w:r>
    </w:p>
    <w:p w14:paraId="72F47FE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(C)  After the 45-day period expires, the institution may no longer seek to correct the list of students or revise the identity or program information of those students included on the list.  </w:t>
      </w:r>
    </w:p>
    <w:p w14:paraId="28DB2D4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(D)  The Secretary considers the evidence provided by the institution and either accepts the correction or notifies the institution of the reasons for not accepting the correction.  If the Secretary accepts the correction, the Secretary uses the corrected information to create the final list.  The Secretary notifies the institution which students are included on the final list and the cohort period used to create the list.</w:t>
      </w:r>
    </w:p>
    <w:p w14:paraId="7B65331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(iv)  </w:t>
      </w:r>
      <w:r w:rsidRPr="00A93D71">
        <w:rPr>
          <w:rFonts w:ascii="Courier New" w:eastAsia="MS Mincho" w:hAnsi="Courier New" w:cs="Courier New"/>
          <w:sz w:val="24"/>
          <w:szCs w:val="24"/>
          <w:u w:val="single"/>
        </w:rPr>
        <w:t>Obtaining earnings data</w:t>
      </w:r>
      <w:r w:rsidRPr="00A93D71">
        <w:rPr>
          <w:rFonts w:ascii="Courier New" w:eastAsia="MS Mincho" w:hAnsi="Courier New" w:cs="Courier New"/>
          <w:sz w:val="24"/>
          <w:szCs w:val="24"/>
        </w:rPr>
        <w:t xml:space="preserve">.  If the final list includes 10 or more students, the Secretary submits the final list to SSA.  For the purposes of this section SSA returns to the Secretary-- </w:t>
      </w:r>
    </w:p>
    <w:p w14:paraId="7465F6E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The median earnings of the students on the list whom SSA has matched to SSA earnings data, in aggregate and not in individual form; and </w:t>
      </w:r>
    </w:p>
    <w:p w14:paraId="06BF192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(B)  The number, but not the identities, of students on the list that SSA could not match.</w:t>
      </w:r>
    </w:p>
    <w:p w14:paraId="6C34970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(10)  </w:t>
      </w:r>
      <w:r w:rsidRPr="00A93D71">
        <w:rPr>
          <w:rFonts w:ascii="Courier New" w:eastAsia="MS Mincho" w:hAnsi="Courier New" w:cs="Courier New"/>
          <w:sz w:val="24"/>
          <w:szCs w:val="24"/>
          <w:u w:val="single"/>
        </w:rPr>
        <w:t>Median earnings for students who completed and withdrew from the program</w:t>
      </w:r>
      <w:r w:rsidRPr="00A93D71">
        <w:rPr>
          <w:rFonts w:ascii="Courier New" w:eastAsia="MS Mincho" w:hAnsi="Courier New" w:cs="Courier New"/>
          <w:sz w:val="24"/>
          <w:szCs w:val="24"/>
        </w:rPr>
        <w:t>.  The Secretary calculates the median earnings for both the students who completed the program during the cohort period and students who withdrew from the program during the cohort period in accordance with paragraphs (b)(8) and (b)(9) of this section.</w:t>
      </w:r>
    </w:p>
    <w:p w14:paraId="3893BC2B"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(11)  </w:t>
      </w:r>
      <w:r w:rsidRPr="00A93D71">
        <w:rPr>
          <w:rFonts w:ascii="Courier New" w:eastAsia="MS Mincho" w:hAnsi="Courier New" w:cs="Courier New"/>
          <w:sz w:val="24"/>
          <w:szCs w:val="24"/>
          <w:u w:val="single"/>
        </w:rPr>
        <w:t>Exclusions from median earnings calculations</w:t>
      </w:r>
      <w:r w:rsidRPr="00A93D71">
        <w:rPr>
          <w:rFonts w:ascii="Courier New" w:eastAsia="MS Mincho" w:hAnsi="Courier New" w:cs="Courier New"/>
          <w:sz w:val="24"/>
          <w:szCs w:val="24"/>
        </w:rPr>
        <w:t xml:space="preserve">.  The Secretary excludes a student from the calculation of the median earnings of a GE program if the Secretary determines that-- </w:t>
      </w:r>
    </w:p>
    <w:p w14:paraId="16A68D6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  One or more of the student’s title IV loans were in a military-related deferment status at any time during the calendar year for which the Secretary obtains earnings information under this section; </w:t>
      </w:r>
    </w:p>
    <w:p w14:paraId="0E8C2CDF"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  One or more of the student’s title IV loans are under consideration by the Secretary, or have been approved, for a discharge on the basis of the student’s total and permanent disability, under 34 CFR 674.61, 682.402 or 685.212;</w:t>
      </w:r>
    </w:p>
    <w:p w14:paraId="32A2292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(iii)  The student was enrolled in any other eligible program at the institution or at another institution during the calendar year for which the Secretary obtains earnings information under this section; or</w:t>
      </w:r>
    </w:p>
    <w:p w14:paraId="121265B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(iv)  The student died. </w:t>
      </w:r>
    </w:p>
    <w:p w14:paraId="66D5B496"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(12)  </w:t>
      </w:r>
      <w:r w:rsidRPr="00A93D71">
        <w:rPr>
          <w:rFonts w:ascii="Courier New" w:eastAsia="MS Mincho" w:hAnsi="Courier New" w:cs="Courier New"/>
          <w:sz w:val="24"/>
          <w:szCs w:val="24"/>
          <w:u w:val="single"/>
        </w:rPr>
        <w:t>Median earnings not calculated</w:t>
      </w:r>
      <w:r w:rsidRPr="00A93D71">
        <w:rPr>
          <w:rFonts w:ascii="Courier New" w:eastAsia="MS Mincho" w:hAnsi="Courier New" w:cs="Courier New"/>
          <w:sz w:val="24"/>
          <w:szCs w:val="24"/>
        </w:rPr>
        <w:t xml:space="preserve">.  The Secretary does not calculate the median earnings for a GE program if SSA does not provide the median earnings for the program. </w:t>
      </w:r>
    </w:p>
    <w:p w14:paraId="2F7DCFC9"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(13)  </w:t>
      </w:r>
      <w:r w:rsidRPr="00A93D71">
        <w:rPr>
          <w:rFonts w:ascii="Courier New" w:eastAsia="MS Mincho" w:hAnsi="Courier New" w:cs="Courier New"/>
          <w:sz w:val="24"/>
          <w:szCs w:val="24"/>
          <w:u w:val="single"/>
        </w:rPr>
        <w:t>Program cohort default rate</w:t>
      </w:r>
      <w:r w:rsidRPr="00A93D71">
        <w:rPr>
          <w:rFonts w:ascii="Courier New" w:eastAsia="MS Mincho" w:hAnsi="Courier New" w:cs="Courier New"/>
          <w:sz w:val="24"/>
          <w:szCs w:val="24"/>
        </w:rPr>
        <w:t xml:space="preserve">.  The Secretary calculates the program cohort default rate using the methodology and procedures set forth in subpart R of this part. </w:t>
      </w:r>
    </w:p>
    <w:p w14:paraId="08991E13"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     (c)  </w:t>
      </w:r>
      <w:r w:rsidRPr="00A93D71">
        <w:rPr>
          <w:rFonts w:ascii="Courier New" w:eastAsia="MS Mincho" w:hAnsi="Courier New" w:cs="Courier New"/>
          <w:sz w:val="24"/>
          <w:szCs w:val="24"/>
          <w:u w:val="single"/>
        </w:rPr>
        <w:t>Notification to institutions</w:t>
      </w:r>
      <w:r w:rsidRPr="00A93D71">
        <w:rPr>
          <w:rFonts w:ascii="Courier New" w:eastAsia="MS Mincho" w:hAnsi="Courier New" w:cs="Courier New"/>
          <w:sz w:val="24"/>
          <w:szCs w:val="24"/>
        </w:rPr>
        <w:t>.  The Secretary notifies the institution of the--</w:t>
      </w:r>
    </w:p>
    <w:p w14:paraId="75238063"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w:t>
      </w:r>
      <w:r w:rsidRPr="00A93D71">
        <w:rPr>
          <w:rFonts w:ascii="Courier New" w:eastAsia="MS Mincho" w:hAnsi="Courier New" w:cs="Courier New"/>
          <w:sz w:val="24"/>
          <w:szCs w:val="24"/>
        </w:rPr>
        <w:tab/>
        <w:t xml:space="preserve">Draft completion, withdrawal, and repayment rates calculated under paragraph (b)(1) through (b)(3) of this section and the information the Secretary used to calculate those rates.  </w:t>
      </w:r>
    </w:p>
    <w:p w14:paraId="6E014CB9"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w:t>
      </w:r>
      <w:r w:rsidRPr="00A93D71">
        <w:rPr>
          <w:rFonts w:ascii="Courier New" w:eastAsia="MS Mincho" w:hAnsi="Courier New" w:cs="Courier New"/>
          <w:sz w:val="24"/>
          <w:szCs w:val="24"/>
        </w:rPr>
        <w:tab/>
        <w:t xml:space="preserve">Median loan debt of the students who completed the program, as described in paragraph (b)(4) of this section, the students who withdrew from the program, as described in paragraph (b)(5) of this section, and both the students who completed and withdrew from the program, as described in paragraph (b)(6) of this section, in each case during the cohort period. </w:t>
      </w:r>
    </w:p>
    <w:p w14:paraId="42E951AA"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Median earnings of the students who completed the program, as described in paragraph (b)(8) of this section, the students who withdrew from the program, as described in paragraph (b)(9) of this section, or both the students who completed the program and the students who withdrew from the program, as described in paragraph (b)(10) of this section, in each case during the cohort period. </w:t>
      </w:r>
    </w:p>
    <w:p w14:paraId="0BEEB55C"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(4)  Draft program cohort default rate, as described in paragraph (b)(13) of this section.</w:t>
      </w:r>
    </w:p>
    <w:p w14:paraId="5FB052A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Challenges to completion rates, withdrawal rates, repayment rates, median loan debt, median earnings, and program cohort default rate</w:t>
      </w:r>
      <w:r w:rsidRPr="00A93D71">
        <w:rPr>
          <w:rFonts w:ascii="Courier New" w:eastAsia="MS Mincho" w:hAnsi="Courier New" w:cs="Courier New"/>
          <w:sz w:val="24"/>
          <w:szCs w:val="24"/>
        </w:rPr>
        <w:t xml:space="preserve">.  (1)  </w:t>
      </w:r>
      <w:r w:rsidRPr="00A93D71">
        <w:rPr>
          <w:rFonts w:ascii="Courier New" w:eastAsia="MS Mincho" w:hAnsi="Courier New" w:cs="Courier New"/>
          <w:sz w:val="24"/>
          <w:szCs w:val="24"/>
          <w:u w:val="single"/>
        </w:rPr>
        <w:t>Completion rates, withdrawal rates, repayment rates, and median loan debt</w:t>
      </w:r>
      <w:r w:rsidRPr="00A93D71">
        <w:rPr>
          <w:rFonts w:ascii="Courier New" w:eastAsia="MS Mincho" w:hAnsi="Courier New" w:cs="Courier New"/>
          <w:sz w:val="24"/>
          <w:szCs w:val="24"/>
        </w:rPr>
        <w:t>.  (i)  No later than 45 days after the Secretary notifies an institution of a GE program’s draft completion rate, withdrawal rate, repayment rate, and median loan debt, the institution may challenge the accuracy of the information that the Secretary used to calculate the draft rates and the draft median loan debt by submitting, in a form prescribed by the Secretary, evidence satisfactory to the Secretary demonstrating that the information was incorrect.</w:t>
      </w:r>
    </w:p>
    <w:p w14:paraId="0A5FAE68"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The Secretary considers any evidence provided by the institution challenging the accuracy of the information the Secretary used to calculate the rates and the median loan debt and notifies the institution whether the challenge is accepted or the reasons the challenge is not accepted.  If the Secretary accepts the challenge, the Secretary uses the corrected data to calculate the rates or median loan debt.  </w:t>
      </w:r>
    </w:p>
    <w:p w14:paraId="13B2882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(iii)  An institution may challenge the Secretary’s calculation of the completion rates, withdrawal rates, repayment rates, and median loan debt only once for an award year.  An institution that does not timely challenge the rates or median loan debt waives any objection to the rates or median loan debt as stated in the notice. </w:t>
      </w:r>
    </w:p>
    <w:p w14:paraId="431EE94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Median earnings</w:t>
      </w:r>
      <w:r w:rsidRPr="00A93D71">
        <w:rPr>
          <w:rFonts w:ascii="Courier New" w:eastAsia="MS Mincho" w:hAnsi="Courier New" w:cs="Courier New"/>
          <w:sz w:val="24"/>
          <w:szCs w:val="24"/>
        </w:rPr>
        <w:t>.  The Secretary does not consider any challenges to the median earnings calculated under this section.</w:t>
      </w:r>
    </w:p>
    <w:p w14:paraId="13E76AB0"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w:t>
      </w:r>
      <w:r w:rsidRPr="00A93D71">
        <w:rPr>
          <w:rFonts w:ascii="Courier New" w:eastAsia="MS Mincho" w:hAnsi="Courier New" w:cs="Courier New"/>
          <w:sz w:val="24"/>
          <w:szCs w:val="24"/>
          <w:u w:val="single"/>
        </w:rPr>
        <w:t>Program cohort default rate</w:t>
      </w:r>
      <w:r w:rsidRPr="00A93D71">
        <w:rPr>
          <w:rFonts w:ascii="Courier New" w:eastAsia="MS Mincho" w:hAnsi="Courier New" w:cs="Courier New"/>
          <w:sz w:val="24"/>
          <w:szCs w:val="24"/>
        </w:rPr>
        <w:t xml:space="preserve">.  The Secretary considers any challenges to the program cohort default rate under the procedures for challenges set forth in subpart R of this part. </w:t>
      </w:r>
    </w:p>
    <w:p w14:paraId="2FF4900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(e)  </w:t>
      </w:r>
      <w:r w:rsidRPr="00A93D71">
        <w:rPr>
          <w:rFonts w:ascii="Courier New" w:eastAsia="MS Mincho" w:hAnsi="Courier New" w:cs="Courier New"/>
          <w:sz w:val="24"/>
          <w:szCs w:val="24"/>
          <w:u w:val="single"/>
        </w:rPr>
        <w:t>Final calculations</w:t>
      </w:r>
      <w:r w:rsidRPr="00A93D71">
        <w:rPr>
          <w:rFonts w:ascii="Courier New" w:eastAsia="MS Mincho" w:hAnsi="Courier New" w:cs="Courier New"/>
          <w:sz w:val="24"/>
          <w:szCs w:val="24"/>
        </w:rPr>
        <w:t xml:space="preserve">.  (1)  </w:t>
      </w:r>
      <w:r w:rsidRPr="00A93D71">
        <w:rPr>
          <w:rFonts w:ascii="Courier New" w:eastAsia="MS Mincho" w:hAnsi="Courier New" w:cs="Courier New"/>
          <w:sz w:val="24"/>
          <w:szCs w:val="24"/>
          <w:u w:val="single"/>
        </w:rPr>
        <w:t>Completion rates, withdrawal rates, repayment rates, and median loan debt</w:t>
      </w:r>
      <w:r w:rsidRPr="00A93D71">
        <w:rPr>
          <w:rFonts w:ascii="Courier New" w:eastAsia="MS Mincho" w:hAnsi="Courier New" w:cs="Courier New"/>
          <w:sz w:val="24"/>
          <w:szCs w:val="24"/>
        </w:rPr>
        <w:t>.  (i)  After expiration of the 45-day period, and subject to resolution of any challenge under paragraph (d)(1) of this section, a program’s draft completion rate, withdrawal rate, repayment rate, and median loan debt constitute the final rates and median loan debt for that program.</w:t>
      </w:r>
    </w:p>
    <w:p w14:paraId="5445DE7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(ii)  The Secretary informs the institution of the final completion rate, withdrawal rate, repayment rate, and median loan debt for each of its GE programs by issuing a notice of determination.  </w:t>
      </w:r>
    </w:p>
    <w:p w14:paraId="177556FA"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ab/>
        <w:t>(iii)  Unless paragraph (g) of this section applies, after the Secretary provides the notice of determination, the Secretary may publish the final completion rate, withdrawal rate, repayment rate, and median loan debt.</w:t>
      </w:r>
    </w:p>
    <w:p w14:paraId="0B966813"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(2)  </w:t>
      </w:r>
      <w:r w:rsidRPr="00A93D71">
        <w:rPr>
          <w:rFonts w:ascii="Courier New" w:eastAsia="MS Mincho" w:hAnsi="Courier New" w:cs="Courier New"/>
          <w:sz w:val="24"/>
          <w:szCs w:val="24"/>
          <w:u w:val="single"/>
        </w:rPr>
        <w:t>Median earnings</w:t>
      </w:r>
      <w:r w:rsidRPr="00A93D71">
        <w:rPr>
          <w:rFonts w:ascii="Courier New" w:eastAsia="MS Mincho" w:hAnsi="Courier New" w:cs="Courier New"/>
          <w:sz w:val="24"/>
          <w:szCs w:val="24"/>
        </w:rPr>
        <w:t>.  The median earnings of a program calculated by the Secretary under this section constitute the final median earnings for that program.  After the Secretary provides the institution with the notice in paragraph (c) of this section, the Secretary may publish the final median earnings for the program.</w:t>
      </w:r>
    </w:p>
    <w:p w14:paraId="24235DAC"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(3)  </w:t>
      </w:r>
      <w:r w:rsidRPr="00A93D71">
        <w:rPr>
          <w:rFonts w:ascii="Courier New" w:eastAsia="MS Mincho" w:hAnsi="Courier New" w:cs="Courier New"/>
          <w:sz w:val="24"/>
          <w:szCs w:val="24"/>
          <w:u w:val="single"/>
        </w:rPr>
        <w:t>Program cohort default rate</w:t>
      </w:r>
      <w:r w:rsidRPr="00A93D71">
        <w:rPr>
          <w:rFonts w:ascii="Courier New" w:eastAsia="MS Mincho" w:hAnsi="Courier New" w:cs="Courier New"/>
          <w:sz w:val="24"/>
          <w:szCs w:val="24"/>
        </w:rPr>
        <w:t>.  Subject to resolution of any challenge under subpart R of this part, a program’s program cohort default rate calculated by the Secretary under subpart R constitutes the official program cohort default rate for that program.  After the Secretary provides the notice of determination, the Secretary may publish the official program cohort default rate.</w:t>
      </w:r>
    </w:p>
    <w:p w14:paraId="7BCD4EDF"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(f)  </w:t>
      </w:r>
      <w:r w:rsidRPr="00A93D71">
        <w:rPr>
          <w:rFonts w:ascii="Courier New" w:eastAsia="MS Mincho" w:hAnsi="Courier New" w:cs="Courier New"/>
          <w:sz w:val="24"/>
          <w:szCs w:val="24"/>
          <w:u w:val="single"/>
        </w:rPr>
        <w:t>Conditions for challenges</w:t>
      </w:r>
      <w:r w:rsidRPr="00A93D71">
        <w:rPr>
          <w:rFonts w:ascii="Courier New" w:eastAsia="MS Mincho" w:hAnsi="Courier New" w:cs="Courier New"/>
          <w:sz w:val="24"/>
          <w:szCs w:val="24"/>
        </w:rPr>
        <w:t>.  An institution must ensure that any material that it submits to make any corrections or challenge under this section is--</w:t>
      </w:r>
    </w:p>
    <w:p w14:paraId="0E57B47B"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(1)  Complete, timely, accurate, and in a format acceptable to the Secretary as described in this subpart and, with respect to program cohort default rate, in subpart R of this part; and</w:t>
      </w:r>
    </w:p>
    <w:p w14:paraId="55B382B6" w14:textId="7777777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(2)  Consistent with any instructions provided to the institution with the notice of its draft completion, withdrawal, and repayment rates, median loan debt, or program cohort default rate.</w:t>
      </w:r>
    </w:p>
    <w:p w14:paraId="62AA6A83" w14:textId="026941B7" w:rsidR="00997197" w:rsidRPr="00A93D71" w:rsidRDefault="00997197" w:rsidP="00A93D71">
      <w:pPr>
        <w:spacing w:after="0" w:line="480" w:lineRule="auto"/>
        <w:ind w:firstLine="720"/>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(g)  </w:t>
      </w:r>
      <w:r w:rsidRPr="00A93D71">
        <w:rPr>
          <w:rFonts w:ascii="Courier New" w:eastAsia="MS Mincho" w:hAnsi="Courier New" w:cs="Courier New"/>
          <w:sz w:val="24"/>
          <w:szCs w:val="24"/>
          <w:u w:val="single"/>
        </w:rPr>
        <w:t>Privacy considerations</w:t>
      </w:r>
      <w:r w:rsidRPr="00A93D71">
        <w:rPr>
          <w:rFonts w:ascii="Courier New" w:eastAsia="MS Mincho" w:hAnsi="Courier New" w:cs="Courier New"/>
          <w:sz w:val="24"/>
          <w:szCs w:val="24"/>
        </w:rPr>
        <w:t>.  The Secretary does not publish a determination described in paragraphs (b)(1)-(b)(6), (b)(8) through (b)(10), and(b)(13) of this section, and an institution may not disclose a determination made by the Secretary or make any disclosures under those paragraphs, if the determination is based on fewer than 10 students.</w:t>
      </w:r>
    </w:p>
    <w:p w14:paraId="3EC52118" w14:textId="77777777" w:rsidR="00997197" w:rsidRPr="00A93D71" w:rsidRDefault="00997197" w:rsidP="00A93D71">
      <w:pPr>
        <w:spacing w:after="0" w:line="480" w:lineRule="auto"/>
        <w:contextualSpacing/>
        <w:rPr>
          <w:rFonts w:ascii="Courier New" w:eastAsia="MS Mincho" w:hAnsi="Courier New" w:cs="Courier New"/>
          <w:sz w:val="24"/>
          <w:szCs w:val="24"/>
        </w:rPr>
      </w:pPr>
      <w:r w:rsidRPr="00A93D71">
        <w:rPr>
          <w:rFonts w:ascii="Courier New" w:eastAsia="MS Mincho" w:hAnsi="Courier New" w:cs="Courier New"/>
          <w:sz w:val="24"/>
          <w:szCs w:val="24"/>
        </w:rPr>
        <w:t xml:space="preserve">(Authority:  20 U.S.C. 1001, 1002, 1088, 1094) </w:t>
      </w:r>
    </w:p>
    <w:p w14:paraId="2B937913" w14:textId="77777777" w:rsidR="00997197" w:rsidRPr="00A93D71" w:rsidRDefault="00997197" w:rsidP="00A93D71">
      <w:pPr>
        <w:spacing w:after="0" w:line="480" w:lineRule="auto"/>
        <w:contextualSpacing/>
        <w:rPr>
          <w:rFonts w:ascii="Courier New" w:eastAsia="MS Mincho" w:hAnsi="Courier New" w:cs="Courier New"/>
          <w:sz w:val="24"/>
          <w:szCs w:val="24"/>
          <w:u w:val="single"/>
        </w:rPr>
      </w:pPr>
      <w:r w:rsidRPr="00A93D71">
        <w:rPr>
          <w:rFonts w:ascii="Courier New" w:eastAsia="MS Mincho" w:hAnsi="Courier New" w:cs="Courier New"/>
          <w:sz w:val="24"/>
          <w:szCs w:val="24"/>
          <w:u w:val="single"/>
        </w:rPr>
        <w:t>§668.414  Certification requirements for GE programs</w:t>
      </w:r>
      <w:r w:rsidRPr="00A93D71">
        <w:rPr>
          <w:rFonts w:ascii="Courier New" w:eastAsia="MS Mincho" w:hAnsi="Courier New" w:cs="Courier New"/>
          <w:sz w:val="24"/>
          <w:szCs w:val="24"/>
        </w:rPr>
        <w:t>.</w:t>
      </w:r>
    </w:p>
    <w:p w14:paraId="5398A23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(a)  </w:t>
      </w:r>
      <w:r w:rsidRPr="00A93D71">
        <w:rPr>
          <w:rFonts w:ascii="Courier New" w:eastAsia="MS Mincho" w:hAnsi="Courier New" w:cs="Courier New"/>
          <w:sz w:val="24"/>
          <w:szCs w:val="24"/>
          <w:u w:val="single"/>
        </w:rPr>
        <w:t>Transitional certification for existing programs</w:t>
      </w:r>
      <w:r w:rsidRPr="00A93D71">
        <w:rPr>
          <w:rFonts w:ascii="Courier New" w:eastAsia="MS Mincho" w:hAnsi="Courier New" w:cs="Courier New"/>
          <w:sz w:val="24"/>
          <w:szCs w:val="24"/>
        </w:rPr>
        <w:t>.  (1)  Except as provided in paragraph (a)(2) of this section, an institution must provide to the Secretary no later than December 31 of the year in which this regulation takes effect, in accordance with procedures established by the Secretary, a certification signed by its most senior executive officer that each of its currently eligible GE programs included on its Eligibility and Certification Approval Report meets the requirements of paragraph (d) of this section.  The Secretary accepts the certification as an addendum to the institution’s program participation agreement with the Secretary under §668.14.</w:t>
      </w:r>
    </w:p>
    <w:p w14:paraId="21933F44"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(2)  If an institution makes the certification in its program participation agreement pursuant to paragraph (b) of this section between July 1 and December 31 of the year in which this regulation takes effect, it is not required to provide the transitional certification under this paragraph.</w:t>
      </w:r>
    </w:p>
    <w:p w14:paraId="28EEEB25" w14:textId="1BEB6CFA"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(b)  </w:t>
      </w:r>
      <w:r w:rsidRPr="00A93D71">
        <w:rPr>
          <w:rFonts w:ascii="Courier New" w:eastAsia="MS Mincho" w:hAnsi="Courier New" w:cs="Courier New"/>
          <w:sz w:val="24"/>
          <w:szCs w:val="24"/>
          <w:u w:val="single"/>
        </w:rPr>
        <w:t>Program participation agreement certification</w:t>
      </w:r>
      <w:r w:rsidRPr="00A93D71">
        <w:rPr>
          <w:rFonts w:ascii="Courier New" w:eastAsia="MS Mincho" w:hAnsi="Courier New" w:cs="Courier New"/>
          <w:sz w:val="24"/>
          <w:szCs w:val="24"/>
        </w:rPr>
        <w:t>.  As a condition of its continued participation in the title IV, HEA programs, an institution must certify in its program participation agreement with the Secretary under §668.14 that each of its currently eligible GE programs included on its Eligibility and Certification Approval Report meets the requirements of paragraph (d) of this section.</w:t>
      </w:r>
      <w:r w:rsidRPr="00A93D71" w:rsidDel="00057F43">
        <w:rPr>
          <w:rFonts w:ascii="Courier New" w:eastAsia="MS Mincho" w:hAnsi="Courier New" w:cs="Courier New"/>
          <w:sz w:val="24"/>
          <w:szCs w:val="24"/>
        </w:rPr>
        <w:t xml:space="preserve"> </w:t>
      </w:r>
      <w:r w:rsidRPr="00A93D71">
        <w:rPr>
          <w:rFonts w:ascii="Courier New" w:eastAsia="MS Mincho" w:hAnsi="Courier New" w:cs="Courier New"/>
          <w:sz w:val="24"/>
          <w:szCs w:val="24"/>
        </w:rPr>
        <w:t xml:space="preserve"> An institution must update the certification within 10 days if there are any changes in the approvals for a program, or other changes for a program that make an existing certification no longer accurate.</w:t>
      </w:r>
    </w:p>
    <w:p w14:paraId="70BFC34E"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(c)  </w:t>
      </w:r>
      <w:r w:rsidRPr="00A93D71">
        <w:rPr>
          <w:rFonts w:ascii="Courier New" w:eastAsia="MS Mincho" w:hAnsi="Courier New" w:cs="Courier New"/>
          <w:sz w:val="24"/>
          <w:szCs w:val="24"/>
          <w:u w:val="single"/>
        </w:rPr>
        <w:t>Establishing eligibility and disbursing funds</w:t>
      </w:r>
      <w:r w:rsidRPr="00A93D71">
        <w:rPr>
          <w:rFonts w:ascii="Courier New" w:eastAsia="MS Mincho" w:hAnsi="Courier New" w:cs="Courier New"/>
          <w:sz w:val="24"/>
          <w:szCs w:val="24"/>
        </w:rPr>
        <w:t xml:space="preserve">.  (1)  An institution establishes the eligibility for title IV, HEA program funds of a GE program by updating the list of the institution’s eligible programs maintained by the Department to include that program, as provided under 34 CFR 600.21(a)(11)(i).  By updating the list of the institution’s eligible programs, the institution affirms that the program satisfies the certification requirements in paragraph (d) of this section.  Except as provided in paragraph (c)(2) of this section, after the institution updates its list of eligible programs, the institution may disburse title IV, HEA program funds to students enrolled in that program. </w:t>
      </w:r>
    </w:p>
    <w:p w14:paraId="07B47183" w14:textId="31C0618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An institution may not update its list of eligible programs to include a GE program, or a GE program that is substantially similar to a failing or zone program that the institution voluntarily discontinued or became ineligible as described in §668.410(b)(2), that was subject to the three-year loss of eligibility under §668.410(b)(2), until that three-year period expires. </w:t>
      </w:r>
    </w:p>
    <w:p w14:paraId="307370E7"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(d)  </w:t>
      </w:r>
      <w:r w:rsidRPr="00A93D71">
        <w:rPr>
          <w:rFonts w:ascii="Courier New" w:eastAsia="MS Mincho" w:hAnsi="Courier New" w:cs="Courier New"/>
          <w:sz w:val="24"/>
          <w:szCs w:val="24"/>
          <w:u w:val="single"/>
        </w:rPr>
        <w:t>GE program eligibility certifications</w:t>
      </w:r>
      <w:r w:rsidRPr="00A93D71">
        <w:rPr>
          <w:rFonts w:ascii="Courier New" w:eastAsia="MS Mincho" w:hAnsi="Courier New" w:cs="Courier New"/>
          <w:sz w:val="24"/>
          <w:szCs w:val="24"/>
        </w:rPr>
        <w:t>.  An institution certifies for each eligible program included on its Eligibility and Certification Approval Report, at the time and in the form specified in this section, that--</w:t>
      </w:r>
    </w:p>
    <w:p w14:paraId="57BF1E3D"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(1)  Each eligible GE program it offers is approved by a recognized accrediting agency or is otherwise included in the institution’s accreditation by its recognized accrediting agency, or, if the institution is a public postsecondary vocational institution, the program is approved by a recognized State agency for the approval of public postsecondary vocational education in lieu of accreditation;</w:t>
      </w:r>
    </w:p>
    <w:p w14:paraId="59F7FF92"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(2)  Each eligible GE program it offers is programmatically accredited, if such accreditation is required by a Federal governmental entity or by a governmental entity in the State in which the institution is located or in which the institution is otherwise required to obtain State approval under 34 CFR 600.9; </w:t>
      </w:r>
    </w:p>
    <w:p w14:paraId="1A147615" w14:textId="77777777"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(3)  For the State in which the institution is located or in which the institution is otherwise required to obtain State approval </w:t>
      </w:r>
      <w:r w:rsidRPr="00A93D71">
        <w:rPr>
          <w:rFonts w:ascii="Courier New" w:hAnsi="Courier New" w:cs="Courier New"/>
          <w:sz w:val="24"/>
          <w:szCs w:val="24"/>
        </w:rPr>
        <w:t>under 34 CFR 600.9</w:t>
      </w:r>
      <w:r w:rsidRPr="00A93D71">
        <w:rPr>
          <w:rFonts w:ascii="Courier New" w:eastAsia="MS Mincho" w:hAnsi="Courier New" w:cs="Courier New"/>
          <w:sz w:val="24"/>
          <w:szCs w:val="24"/>
        </w:rPr>
        <w:t>, each eligible program it offers satisfies the applicable educational prerequisites for professional licensure or certification requirements in that State so that a student who completes the program and seeks employment in that State qualifies to take any licensure or certification exam that is needed for the student to practice or find employment in an occupation that the program prepares students to enter; and</w:t>
      </w:r>
    </w:p>
    <w:p w14:paraId="1E02C8A4" w14:textId="3764B340" w:rsidR="00997197" w:rsidRPr="00A93D71" w:rsidRDefault="00997197" w:rsidP="00A93D71">
      <w:pPr>
        <w:spacing w:after="0" w:line="480" w:lineRule="auto"/>
        <w:ind w:firstLine="720"/>
        <w:rPr>
          <w:rFonts w:ascii="Courier New" w:eastAsia="MS Mincho" w:hAnsi="Courier New" w:cs="Courier New"/>
          <w:sz w:val="24"/>
          <w:szCs w:val="24"/>
        </w:rPr>
      </w:pPr>
      <w:r w:rsidRPr="00A93D71">
        <w:rPr>
          <w:rFonts w:ascii="Courier New" w:eastAsia="MS Mincho" w:hAnsi="Courier New" w:cs="Courier New"/>
          <w:sz w:val="24"/>
          <w:szCs w:val="24"/>
        </w:rPr>
        <w:t xml:space="preserve">(4)  </w:t>
      </w:r>
      <w:r w:rsidRPr="00A93D71" w:rsidDel="004B5BF8">
        <w:rPr>
          <w:rFonts w:ascii="Courier New" w:eastAsia="MS Mincho" w:hAnsi="Courier New" w:cs="Courier New"/>
          <w:sz w:val="24"/>
          <w:szCs w:val="24"/>
        </w:rPr>
        <w:t xml:space="preserve">For </w:t>
      </w:r>
      <w:r w:rsidRPr="00A93D71">
        <w:rPr>
          <w:rFonts w:ascii="Courier New" w:eastAsia="MS Mincho" w:hAnsi="Courier New" w:cs="Courier New"/>
          <w:sz w:val="24"/>
          <w:szCs w:val="24"/>
        </w:rPr>
        <w:t xml:space="preserve">a program for which the institution seeks to establish eligibility for title IV, HEA program funds, the program is not substantially similar to </w:t>
      </w:r>
      <w:r w:rsidRPr="00A93D71" w:rsidDel="004B5BF8">
        <w:rPr>
          <w:rFonts w:ascii="Courier New" w:eastAsia="MS Mincho" w:hAnsi="Courier New" w:cs="Courier New"/>
          <w:sz w:val="24"/>
          <w:szCs w:val="24"/>
        </w:rPr>
        <w:t>a program offered by the institution that, in the prior three years, became ineligible for title IV, HEA program funds</w:t>
      </w:r>
      <w:r w:rsidRPr="00A93D71">
        <w:rPr>
          <w:rFonts w:ascii="Courier New" w:eastAsia="MS Mincho" w:hAnsi="Courier New" w:cs="Courier New"/>
          <w:sz w:val="24"/>
          <w:szCs w:val="24"/>
        </w:rPr>
        <w:t xml:space="preserve"> under the D/E rates measure</w:t>
      </w:r>
      <w:r w:rsidRPr="00A93D71" w:rsidDel="004B5BF8">
        <w:rPr>
          <w:rFonts w:ascii="Courier New" w:eastAsia="MS Mincho" w:hAnsi="Courier New" w:cs="Courier New"/>
          <w:sz w:val="24"/>
          <w:szCs w:val="24"/>
        </w:rPr>
        <w:t xml:space="preserve"> or was failing, or in the zone with respect to, the D/E rates measure and was voluntarily discontinued by the institution</w:t>
      </w:r>
      <w:r w:rsidRPr="00A93D71">
        <w:rPr>
          <w:rFonts w:ascii="Courier New" w:eastAsia="MS Mincho" w:hAnsi="Courier New" w:cs="Courier New"/>
          <w:sz w:val="24"/>
          <w:szCs w:val="24"/>
        </w:rPr>
        <w:t xml:space="preserve">.  The institution must include with its certification an explanation of how the new program is not substantially similar to any such ineligible or discontinued program. </w:t>
      </w:r>
    </w:p>
    <w:p w14:paraId="6BD7FA37" w14:textId="3B3C3E2A"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 xml:space="preserve">(Authority:  20 U.S.C. 1001, 1002, 1088, 1094, 1099c) </w:t>
      </w:r>
    </w:p>
    <w:p w14:paraId="57A70A7D"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§668.415  Severability</w:t>
      </w:r>
      <w:r w:rsidRPr="00A93D71">
        <w:rPr>
          <w:rFonts w:ascii="Courier New" w:eastAsia="MS Mincho" w:hAnsi="Courier New" w:cs="Courier New"/>
          <w:sz w:val="24"/>
          <w:szCs w:val="24"/>
        </w:rPr>
        <w:t xml:space="preserve">.  </w:t>
      </w:r>
    </w:p>
    <w:p w14:paraId="3E4A36A6"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b/>
      </w:r>
      <w:r w:rsidRPr="00A93D71">
        <w:rPr>
          <w:rFonts w:ascii="Courier New" w:eastAsia="MS Mincho" w:hAnsi="Courier New" w:cs="Courier New"/>
          <w:color w:val="000000"/>
          <w:sz w:val="24"/>
          <w:szCs w:val="24"/>
          <w:shd w:val="clear" w:color="auto" w:fill="FFFFFF"/>
        </w:rPr>
        <w:t>If any provision of this subpart or its application to any person, act, or practice is held invalid, the remainder of the subpart or the application of its provisions to any person, act, or practice shall not be affected thereby.</w:t>
      </w:r>
    </w:p>
    <w:p w14:paraId="401F64F5"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(Authority:  20 U.S.C. 1001, 1002, 1088)</w:t>
      </w:r>
    </w:p>
    <w:p w14:paraId="0F70DF00" w14:textId="77777777" w:rsidR="00997197" w:rsidRPr="00A93D71" w:rsidRDefault="00997197" w:rsidP="00A93D71">
      <w:pPr>
        <w:numPr>
          <w:ilvl w:val="0"/>
          <w:numId w:val="4"/>
        </w:num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Add subpart R to read as follows:</w:t>
      </w:r>
    </w:p>
    <w:p w14:paraId="7827CE3A"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bookmarkStart w:id="2" w:name="_Toc354744169"/>
      <w:r w:rsidRPr="00A93D71">
        <w:rPr>
          <w:rFonts w:ascii="Courier New" w:eastAsia="MS Mincho" w:hAnsi="Courier New" w:cs="Courier New"/>
          <w:sz w:val="24"/>
          <w:szCs w:val="24"/>
        </w:rPr>
        <w:t>Subpart R—Program Cohort Default Rate</w:t>
      </w:r>
    </w:p>
    <w:p w14:paraId="2A1F6EFF"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Sec.</w:t>
      </w:r>
    </w:p>
    <w:p w14:paraId="12F20415"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668.500</w:t>
      </w:r>
      <w:bookmarkStart w:id="3" w:name="co_anchor_I3CC7C36042EA11E080CF86EB48E62"/>
      <w:bookmarkEnd w:id="3"/>
      <w:r w:rsidRPr="00A93D71">
        <w:rPr>
          <w:rFonts w:ascii="Courier New" w:eastAsia="MS Mincho" w:hAnsi="Courier New" w:cs="Courier New"/>
          <w:sz w:val="24"/>
          <w:szCs w:val="24"/>
        </w:rPr>
        <w:t xml:space="preserve">  Purpose of this subpart</w:t>
      </w:r>
      <w:bookmarkStart w:id="4" w:name="co_anchor_I3CC79C5042EA11E080CF86EB48E62"/>
      <w:bookmarkEnd w:id="2"/>
      <w:bookmarkEnd w:id="4"/>
    </w:p>
    <w:p w14:paraId="69934C21" w14:textId="77777777" w:rsidR="00997197" w:rsidRPr="00A93D71" w:rsidRDefault="00997197" w:rsidP="00A93D71">
      <w:pPr>
        <w:spacing w:after="0" w:line="480" w:lineRule="auto"/>
        <w:rPr>
          <w:rFonts w:ascii="Courier New" w:eastAsia="MS Mincho" w:hAnsi="Courier New" w:cs="Courier New"/>
          <w:color w:val="000000"/>
          <w:sz w:val="24"/>
          <w:szCs w:val="24"/>
        </w:rPr>
      </w:pPr>
      <w:bookmarkStart w:id="5" w:name="_Toc354744170"/>
      <w:r w:rsidRPr="00A93D71">
        <w:rPr>
          <w:rFonts w:ascii="Courier New" w:eastAsia="MS Mincho" w:hAnsi="Courier New" w:cs="Courier New"/>
          <w:sz w:val="24"/>
          <w:szCs w:val="24"/>
        </w:rPr>
        <w:t>668.501</w:t>
      </w:r>
      <w:bookmarkStart w:id="6" w:name="co_anchor_I3D02A98042EA11E0ACD5888FA94BC"/>
      <w:bookmarkEnd w:id="6"/>
      <w:r w:rsidRPr="00A93D71">
        <w:rPr>
          <w:rFonts w:ascii="Courier New" w:eastAsia="MS Mincho" w:hAnsi="Courier New" w:cs="Courier New"/>
          <w:sz w:val="24"/>
          <w:szCs w:val="24"/>
        </w:rPr>
        <w:t xml:space="preserve">  Definitions of terms used in this subpart</w:t>
      </w:r>
      <w:bookmarkStart w:id="7" w:name="co_anchor_I3D025B6042EA11E0ACD5888FA94BC"/>
      <w:bookmarkEnd w:id="5"/>
      <w:bookmarkEnd w:id="7"/>
      <w:r w:rsidRPr="00A93D71">
        <w:rPr>
          <w:rFonts w:ascii="Courier New" w:eastAsia="MS Mincho" w:hAnsi="Courier New" w:cs="Courier New"/>
          <w:color w:val="000000"/>
          <w:sz w:val="24"/>
          <w:szCs w:val="24"/>
        </w:rPr>
        <w:t xml:space="preserve">  </w:t>
      </w:r>
    </w:p>
    <w:p w14:paraId="52DC7829" w14:textId="77777777" w:rsidR="00997197" w:rsidRPr="00A93D71" w:rsidRDefault="00997197" w:rsidP="00A93D71">
      <w:pPr>
        <w:spacing w:after="0" w:line="480" w:lineRule="auto"/>
        <w:rPr>
          <w:rFonts w:ascii="Courier New" w:eastAsia="MS Mincho" w:hAnsi="Courier New" w:cs="Courier New"/>
          <w:color w:val="000000"/>
          <w:sz w:val="24"/>
          <w:szCs w:val="24"/>
        </w:rPr>
      </w:pPr>
      <w:bookmarkStart w:id="8" w:name="_Toc354744171"/>
      <w:r w:rsidRPr="00A93D71">
        <w:rPr>
          <w:rFonts w:ascii="Courier New" w:eastAsia="MS Mincho" w:hAnsi="Courier New" w:cs="Courier New"/>
          <w:sz w:val="24"/>
          <w:szCs w:val="24"/>
        </w:rPr>
        <w:t>668.502</w:t>
      </w:r>
      <w:bookmarkStart w:id="9" w:name="co_anchor_I3D176A0042EA11E080CF86EB48E62"/>
      <w:bookmarkEnd w:id="9"/>
      <w:r w:rsidRPr="00A93D71">
        <w:rPr>
          <w:rFonts w:ascii="Courier New" w:eastAsia="MS Mincho" w:hAnsi="Courier New" w:cs="Courier New"/>
          <w:sz w:val="24"/>
          <w:szCs w:val="24"/>
        </w:rPr>
        <w:t xml:space="preserve">  Calculating and applying program cohort default rates</w:t>
      </w:r>
      <w:bookmarkEnd w:id="8"/>
    </w:p>
    <w:p w14:paraId="6EFAA57E"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668.503</w:t>
      </w:r>
      <w:bookmarkStart w:id="10" w:name="co_anchor_I3D11EBC442EA11E09AE28425EA942"/>
      <w:bookmarkEnd w:id="10"/>
      <w:r w:rsidRPr="00A93D71">
        <w:rPr>
          <w:rFonts w:ascii="Courier New" w:eastAsia="MS Mincho" w:hAnsi="Courier New" w:cs="Courier New"/>
          <w:sz w:val="24"/>
          <w:szCs w:val="24"/>
        </w:rPr>
        <w:t xml:space="preserve">  Determining program cohort default rates for GE programs at institutions that have undergone a change in status</w:t>
      </w:r>
      <w:bookmarkStart w:id="11" w:name="co_anchor_I3D119DA142EA11E09AE28425EA942"/>
      <w:bookmarkEnd w:id="11"/>
    </w:p>
    <w:p w14:paraId="20ABC27E" w14:textId="77777777" w:rsidR="00997197" w:rsidRPr="00A93D71" w:rsidRDefault="00997197" w:rsidP="00A93D71">
      <w:pPr>
        <w:spacing w:after="0" w:line="480" w:lineRule="auto"/>
        <w:rPr>
          <w:rFonts w:ascii="Courier New" w:eastAsia="MS Mincho" w:hAnsi="Courier New" w:cs="Courier New"/>
          <w:color w:val="000000"/>
          <w:sz w:val="24"/>
          <w:szCs w:val="24"/>
        </w:rPr>
      </w:pPr>
      <w:bookmarkStart w:id="12" w:name="_Toc354744173"/>
      <w:r w:rsidRPr="00A93D71">
        <w:rPr>
          <w:rFonts w:ascii="Courier New" w:eastAsia="MS Mincho" w:hAnsi="Courier New" w:cs="Courier New"/>
          <w:sz w:val="24"/>
          <w:szCs w:val="24"/>
        </w:rPr>
        <w:t>668.504</w:t>
      </w:r>
      <w:bookmarkStart w:id="13" w:name="co_anchor_I3CE55D8042EA11E0ACD5888FA94BC"/>
      <w:bookmarkEnd w:id="13"/>
      <w:r w:rsidRPr="00A93D71">
        <w:rPr>
          <w:rFonts w:ascii="Courier New" w:eastAsia="MS Mincho" w:hAnsi="Courier New" w:cs="Courier New"/>
          <w:sz w:val="24"/>
          <w:szCs w:val="24"/>
        </w:rPr>
        <w:t xml:space="preserve">  Draft program cohort default rates and your ability to challenge before official program cohort default rates are issued</w:t>
      </w:r>
      <w:bookmarkEnd w:id="12"/>
    </w:p>
    <w:p w14:paraId="78512F0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668.505</w:t>
      </w:r>
      <w:bookmarkStart w:id="14" w:name="co_anchor_I3CCE04F042EA11E080CF86EB48E62"/>
      <w:bookmarkEnd w:id="14"/>
      <w:r w:rsidRPr="00A93D71">
        <w:rPr>
          <w:rFonts w:ascii="Courier New" w:eastAsia="MS Mincho" w:hAnsi="Courier New" w:cs="Courier New"/>
          <w:sz w:val="24"/>
          <w:szCs w:val="24"/>
        </w:rPr>
        <w:t xml:space="preserve">  Notice of the official program cohort default rate of a GE program</w:t>
      </w:r>
      <w:bookmarkStart w:id="15" w:name="co_anchor_I3CCDDDE042EA11E080CF86EB48E62"/>
      <w:bookmarkEnd w:id="15"/>
    </w:p>
    <w:p w14:paraId="5D85A51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668.506</w:t>
      </w:r>
      <w:bookmarkStart w:id="16" w:name="co_anchor_I3D0800B042EA11E083E0CD9471F91"/>
      <w:bookmarkEnd w:id="16"/>
      <w:r w:rsidRPr="00A93D71">
        <w:rPr>
          <w:rFonts w:ascii="Courier New" w:eastAsia="MS Mincho" w:hAnsi="Courier New" w:cs="Courier New"/>
          <w:sz w:val="24"/>
          <w:szCs w:val="24"/>
        </w:rPr>
        <w:t xml:space="preserve">  [Reserved]</w:t>
      </w:r>
    </w:p>
    <w:p w14:paraId="6B1B27C3" w14:textId="77777777" w:rsidR="00997197" w:rsidRPr="00A93D71" w:rsidRDefault="00997197" w:rsidP="00A93D71">
      <w:pPr>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w:t>
      </w:r>
      <w:bookmarkStart w:id="17" w:name="co_anchor_I3D11EBC042EA11E09AE28425EA942"/>
      <w:bookmarkEnd w:id="17"/>
      <w:r w:rsidRPr="00A93D71">
        <w:rPr>
          <w:rFonts w:ascii="Courier New" w:eastAsia="MS Mincho" w:hAnsi="Courier New" w:cs="Courier New"/>
          <w:sz w:val="24"/>
          <w:szCs w:val="24"/>
        </w:rPr>
        <w:t>.507  Preventing evasion of program cohort default rates</w:t>
      </w:r>
    </w:p>
    <w:p w14:paraId="0BD15DD4" w14:textId="77777777" w:rsidR="00997197" w:rsidRPr="00A93D71" w:rsidRDefault="00997197" w:rsidP="00A93D71">
      <w:pPr>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668.508</w:t>
      </w:r>
      <w:bookmarkStart w:id="18" w:name="co_anchor_I3CFF271042EA11E08E1CD20EB0A88"/>
      <w:bookmarkEnd w:id="18"/>
      <w:r w:rsidRPr="00A93D71">
        <w:rPr>
          <w:rFonts w:ascii="Courier New" w:eastAsia="MS Mincho" w:hAnsi="Courier New" w:cs="Courier New"/>
          <w:sz w:val="24"/>
          <w:szCs w:val="24"/>
        </w:rPr>
        <w:t xml:space="preserve">  General requirements for adjusting and appealing official program cohort default rates</w:t>
      </w:r>
    </w:p>
    <w:p w14:paraId="7A09366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w:t>
      </w:r>
      <w:bookmarkStart w:id="19" w:name="co_anchor_I3CE5ABA042EA11E09AE28425EA942"/>
      <w:bookmarkEnd w:id="19"/>
      <w:r w:rsidRPr="00A93D71">
        <w:rPr>
          <w:rFonts w:ascii="Courier New" w:eastAsia="MS Mincho" w:hAnsi="Courier New" w:cs="Courier New"/>
          <w:sz w:val="24"/>
          <w:szCs w:val="24"/>
        </w:rPr>
        <w:t>.509  Uncorrected data adjustments</w:t>
      </w:r>
    </w:p>
    <w:p w14:paraId="4E78E396" w14:textId="77777777" w:rsidR="00997197" w:rsidRPr="00A93D71" w:rsidRDefault="00997197" w:rsidP="00A93D71">
      <w:pPr>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668.510</w:t>
      </w:r>
      <w:bookmarkStart w:id="20" w:name="co_anchor_I3D254CB042EA11E08E1CD20EB0A88"/>
      <w:bookmarkEnd w:id="20"/>
      <w:r w:rsidRPr="00A93D71">
        <w:rPr>
          <w:rFonts w:ascii="Courier New" w:eastAsia="MS Mincho" w:hAnsi="Courier New" w:cs="Courier New"/>
          <w:sz w:val="24"/>
          <w:szCs w:val="24"/>
        </w:rPr>
        <w:t xml:space="preserve">  New data adjustments</w:t>
      </w:r>
    </w:p>
    <w:p w14:paraId="0EBFC6FD" w14:textId="77777777" w:rsidR="00997197" w:rsidRPr="00A93D71" w:rsidRDefault="00997197" w:rsidP="00A93D71">
      <w:pPr>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w:t>
      </w:r>
      <w:bookmarkStart w:id="21" w:name="co_anchor_I3D10B34042EA11E0ACD5888FA94BC"/>
      <w:bookmarkEnd w:id="21"/>
      <w:r w:rsidRPr="00A93D71">
        <w:rPr>
          <w:rFonts w:ascii="Courier New" w:eastAsia="MS Mincho" w:hAnsi="Courier New" w:cs="Courier New"/>
          <w:sz w:val="24"/>
          <w:szCs w:val="24"/>
        </w:rPr>
        <w:t>11  Erroneous data appeals</w:t>
      </w:r>
    </w:p>
    <w:p w14:paraId="6E41950D"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w:t>
      </w:r>
      <w:bookmarkStart w:id="22" w:name="co_anchor_I3D1483D042EA11E083E0CD9471F91"/>
      <w:bookmarkEnd w:id="22"/>
      <w:r w:rsidRPr="00A93D71">
        <w:rPr>
          <w:rFonts w:ascii="Courier New" w:eastAsia="MS Mincho" w:hAnsi="Courier New" w:cs="Courier New"/>
          <w:sz w:val="24"/>
          <w:szCs w:val="24"/>
        </w:rPr>
        <w:t>512  Loan servicing appeals</w:t>
      </w:r>
      <w:bookmarkStart w:id="23" w:name="co_anchor_I3D140EA042EA11E083E0CD9471F91"/>
      <w:bookmarkEnd w:id="23"/>
    </w:p>
    <w:p w14:paraId="64FFF5F4" w14:textId="77777777" w:rsidR="00997197" w:rsidRPr="00A93D71" w:rsidRDefault="00997197" w:rsidP="00A93D71">
      <w:pPr>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rPr>
        <w:t>668.51</w:t>
      </w:r>
      <w:bookmarkStart w:id="24" w:name="co_anchor_I3CE9070042EA11E09AE28425EA942"/>
      <w:bookmarkEnd w:id="24"/>
      <w:r w:rsidRPr="00A93D71">
        <w:rPr>
          <w:rFonts w:ascii="Courier New" w:eastAsia="MS Mincho" w:hAnsi="Courier New" w:cs="Courier New"/>
          <w:sz w:val="24"/>
          <w:szCs w:val="24"/>
        </w:rPr>
        <w:t>3  [Reserved]</w:t>
      </w:r>
    </w:p>
    <w:p w14:paraId="4A8B7093"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25" w:name="_Toc354744183"/>
      <w:r w:rsidRPr="00A93D71">
        <w:rPr>
          <w:rFonts w:ascii="Courier New" w:eastAsia="MS Mincho" w:hAnsi="Courier New" w:cs="Courier New"/>
          <w:sz w:val="24"/>
          <w:szCs w:val="24"/>
        </w:rPr>
        <w:t>668.514</w:t>
      </w:r>
      <w:bookmarkStart w:id="26" w:name="co_anchor_I3CEFBDC142EA11E09AE28425EA942"/>
      <w:bookmarkEnd w:id="26"/>
      <w:r w:rsidRPr="00A93D71">
        <w:rPr>
          <w:rFonts w:ascii="Courier New" w:eastAsia="MS Mincho" w:hAnsi="Courier New" w:cs="Courier New"/>
          <w:sz w:val="24"/>
          <w:szCs w:val="24"/>
        </w:rPr>
        <w:t xml:space="preserve">  </w:t>
      </w:r>
      <w:bookmarkEnd w:id="25"/>
      <w:r w:rsidRPr="00A93D71">
        <w:rPr>
          <w:rFonts w:ascii="Courier New" w:eastAsia="MS Mincho" w:hAnsi="Courier New" w:cs="Courier New"/>
          <w:sz w:val="24"/>
          <w:szCs w:val="24"/>
        </w:rPr>
        <w:t>[Reserved]</w:t>
      </w:r>
    </w:p>
    <w:p w14:paraId="626A968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27" w:name="_Toc354744184"/>
      <w:r w:rsidRPr="00A93D71">
        <w:rPr>
          <w:rFonts w:ascii="Courier New" w:eastAsia="MS Mincho" w:hAnsi="Courier New" w:cs="Courier New"/>
          <w:sz w:val="24"/>
          <w:szCs w:val="24"/>
        </w:rPr>
        <w:t>668.51</w:t>
      </w:r>
      <w:bookmarkStart w:id="28" w:name="co_anchor_I3D16A6B042EA11E08E1CD20EB0A88"/>
      <w:bookmarkEnd w:id="28"/>
      <w:r w:rsidRPr="00A93D71">
        <w:rPr>
          <w:rFonts w:ascii="Courier New" w:eastAsia="MS Mincho" w:hAnsi="Courier New" w:cs="Courier New"/>
          <w:sz w:val="24"/>
          <w:szCs w:val="24"/>
        </w:rPr>
        <w:t xml:space="preserve">5  </w:t>
      </w:r>
      <w:bookmarkStart w:id="29" w:name="co_anchor_I3D16589042EA11E08E1CD20EB0A88"/>
      <w:bookmarkEnd w:id="27"/>
      <w:bookmarkEnd w:id="29"/>
      <w:r w:rsidRPr="00A93D71">
        <w:rPr>
          <w:rFonts w:ascii="Courier New" w:eastAsia="MS Mincho" w:hAnsi="Courier New" w:cs="Courier New"/>
          <w:sz w:val="24"/>
          <w:szCs w:val="24"/>
        </w:rPr>
        <w:t>[Reserved]</w:t>
      </w:r>
    </w:p>
    <w:p w14:paraId="2E1EE004" w14:textId="77777777" w:rsidR="00997197" w:rsidRPr="00A93D71" w:rsidRDefault="00997197" w:rsidP="00A93D71">
      <w:pPr>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66</w:t>
      </w:r>
      <w:bookmarkStart w:id="30" w:name="co_anchor_I3CEBC62042EA11E09D9BD014ACD97"/>
      <w:bookmarkEnd w:id="30"/>
      <w:r w:rsidRPr="00A93D71">
        <w:rPr>
          <w:rFonts w:ascii="Courier New" w:eastAsia="MS Mincho" w:hAnsi="Courier New" w:cs="Courier New"/>
          <w:sz w:val="24"/>
          <w:szCs w:val="24"/>
        </w:rPr>
        <w:t xml:space="preserve">8.516  Fewer-than-ten-borrowers determinations. </w:t>
      </w:r>
    </w:p>
    <w:p w14:paraId="7184BACA"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rPr>
        <w:t>Subpart R—Program Cohort Default Rate</w:t>
      </w:r>
    </w:p>
    <w:p w14:paraId="0BFEC036"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r w:rsidRPr="00A93D71">
        <w:rPr>
          <w:rFonts w:ascii="Courier New" w:eastAsia="MS Mincho" w:hAnsi="Courier New" w:cs="Courier New"/>
          <w:sz w:val="24"/>
          <w:szCs w:val="24"/>
          <w:u w:val="single"/>
        </w:rPr>
        <w:t>§668.500  Purpose of this subpart</w:t>
      </w:r>
      <w:r w:rsidRPr="00A93D71">
        <w:rPr>
          <w:rFonts w:ascii="Courier New" w:eastAsia="MS Mincho" w:hAnsi="Courier New" w:cs="Courier New"/>
          <w:sz w:val="24"/>
          <w:szCs w:val="24"/>
        </w:rPr>
        <w:t>.</w:t>
      </w:r>
    </w:p>
    <w:p w14:paraId="47208F97"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w:t>
      </w:r>
      <w:r w:rsidRPr="00A93D71">
        <w:rPr>
          <w:rFonts w:ascii="Courier New" w:eastAsia="MS Mincho" w:hAnsi="Courier New" w:cs="Courier New"/>
          <w:color w:val="000000"/>
          <w:sz w:val="24"/>
          <w:szCs w:val="24"/>
          <w:u w:val="single"/>
        </w:rPr>
        <w:t>General</w:t>
      </w:r>
      <w:r w:rsidRPr="00A93D71">
        <w:rPr>
          <w:rFonts w:ascii="Courier New" w:eastAsia="MS Mincho" w:hAnsi="Courier New" w:cs="Courier New"/>
          <w:color w:val="000000"/>
          <w:sz w:val="24"/>
          <w:szCs w:val="24"/>
        </w:rPr>
        <w:t xml:space="preserve">.  The program cohort default rate is a measure of a GE program offered by the institution. This subpart describes how program cohort default rates are calculated, and how you may request changes to your program cohort default rates or appeal the rate.  Under this subpart, you submit a “challenge” after you receive your draft program cohort default rate, and you request an “adjustment” or “appeal” after your official program cohort default rate is published.  </w:t>
      </w:r>
    </w:p>
    <w:p w14:paraId="473161A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4C7B4C28"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§668.501  Definitions of terms used in this subpart</w:t>
      </w:r>
      <w:r w:rsidRPr="00A93D71">
        <w:rPr>
          <w:rFonts w:ascii="Courier New" w:eastAsia="MS Mincho" w:hAnsi="Courier New" w:cs="Courier New"/>
          <w:color w:val="000000"/>
          <w:sz w:val="24"/>
          <w:szCs w:val="24"/>
        </w:rPr>
        <w:t>.  We use the following definitions in this subpart:</w:t>
      </w:r>
    </w:p>
    <w:p w14:paraId="31257F3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Cohort</w:t>
      </w:r>
      <w:r w:rsidRPr="00A93D71">
        <w:rPr>
          <w:rFonts w:ascii="Courier New" w:eastAsia="MS Mincho" w:hAnsi="Courier New" w:cs="Courier New"/>
          <w:color w:val="000000"/>
          <w:sz w:val="24"/>
          <w:szCs w:val="24"/>
        </w:rPr>
        <w:t xml:space="preserve">.  Your cohort is a group of borrowers used to determine your program cohort default rate.  The method for identifying the borrowers in a cohort is provided in </w:t>
      </w:r>
      <w:hyperlink r:id="rId23" w:anchor="co_pp_a83b000018c76" w:history="1">
        <w:r w:rsidRPr="00A93D71">
          <w:rPr>
            <w:rFonts w:ascii="Courier New" w:eastAsia="MS Mincho" w:hAnsi="Courier New" w:cs="Courier New"/>
            <w:color w:val="000000"/>
            <w:sz w:val="24"/>
            <w:szCs w:val="24"/>
          </w:rPr>
          <w:t>§668.502(b)</w:t>
        </w:r>
      </w:hyperlink>
      <w:r w:rsidRPr="00A93D71">
        <w:rPr>
          <w:rFonts w:ascii="Courier New" w:eastAsia="MS Mincho" w:hAnsi="Courier New" w:cs="Courier New"/>
          <w:color w:val="000000"/>
          <w:sz w:val="24"/>
          <w:szCs w:val="24"/>
        </w:rPr>
        <w:t>.</w:t>
      </w:r>
    </w:p>
    <w:p w14:paraId="068EFF6F"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Data manager</w:t>
      </w:r>
      <w:r w:rsidRPr="00A93D71">
        <w:rPr>
          <w:rFonts w:ascii="Courier New" w:eastAsia="MS Mincho" w:hAnsi="Courier New" w:cs="Courier New"/>
          <w:color w:val="000000"/>
          <w:sz w:val="24"/>
          <w:szCs w:val="24"/>
        </w:rPr>
        <w:t>.</w:t>
      </w:r>
    </w:p>
    <w:p w14:paraId="36EA089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For FFELP loans held by a guaranty agency or lender, the guaranty agency is the data manager.</w:t>
      </w:r>
    </w:p>
    <w:p w14:paraId="4B5926D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For FFELP loans that we hold, we are the data manager.</w:t>
      </w:r>
    </w:p>
    <w:p w14:paraId="363485C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For Direct Loan Program loans, the Secretary’s servicer is the data manager.</w:t>
      </w:r>
    </w:p>
    <w:p w14:paraId="17FC5A64"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Days</w:t>
      </w:r>
      <w:r w:rsidRPr="00A93D71">
        <w:rPr>
          <w:rFonts w:ascii="Courier New" w:eastAsia="MS Mincho" w:hAnsi="Courier New" w:cs="Courier New"/>
          <w:color w:val="000000"/>
          <w:sz w:val="24"/>
          <w:szCs w:val="24"/>
        </w:rPr>
        <w:t>.  In this subpart, “days” means calendar days.</w:t>
      </w:r>
    </w:p>
    <w:p w14:paraId="47246BE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(d)  </w:t>
      </w:r>
      <w:r w:rsidRPr="00A93D71">
        <w:rPr>
          <w:rFonts w:ascii="Courier New" w:eastAsia="MS Mincho" w:hAnsi="Courier New" w:cs="Courier New"/>
          <w:color w:val="000000"/>
          <w:sz w:val="24"/>
          <w:szCs w:val="24"/>
          <w:u w:val="single"/>
        </w:rPr>
        <w:t>Default</w:t>
      </w:r>
      <w:r w:rsidRPr="00A93D71">
        <w:rPr>
          <w:rFonts w:ascii="Courier New" w:eastAsia="MS Mincho" w:hAnsi="Courier New" w:cs="Courier New"/>
          <w:color w:val="000000"/>
          <w:sz w:val="24"/>
          <w:szCs w:val="24"/>
        </w:rPr>
        <w:t xml:space="preserve">.  A borrower is considered to be in default for program cohort default rate purposes under the rules in </w:t>
      </w:r>
      <w:hyperlink r:id="rId24" w:anchor="co_pp_4b24000003ba5" w:history="1">
        <w:r w:rsidRPr="00A93D71">
          <w:rPr>
            <w:rFonts w:ascii="Courier New" w:eastAsia="MS Mincho" w:hAnsi="Courier New" w:cs="Courier New"/>
            <w:color w:val="000000"/>
            <w:sz w:val="24"/>
            <w:szCs w:val="24"/>
          </w:rPr>
          <w:t>§668.502(c)</w:t>
        </w:r>
      </w:hyperlink>
      <w:r w:rsidRPr="00A93D71">
        <w:rPr>
          <w:rFonts w:ascii="Courier New" w:eastAsia="MS Mincho" w:hAnsi="Courier New" w:cs="Courier New"/>
          <w:color w:val="000000"/>
          <w:sz w:val="24"/>
          <w:szCs w:val="24"/>
        </w:rPr>
        <w:t>.</w:t>
      </w:r>
    </w:p>
    <w:p w14:paraId="5B4CFC0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(e)  </w:t>
      </w:r>
      <w:r w:rsidRPr="00A93D71">
        <w:rPr>
          <w:rFonts w:ascii="Courier New" w:eastAsia="MS Mincho" w:hAnsi="Courier New" w:cs="Courier New"/>
          <w:color w:val="000000"/>
          <w:sz w:val="24"/>
          <w:szCs w:val="24"/>
          <w:u w:val="single"/>
        </w:rPr>
        <w:t>Draft program cohort default rate</w:t>
      </w:r>
      <w:r w:rsidRPr="00A93D71">
        <w:rPr>
          <w:rFonts w:ascii="Courier New" w:eastAsia="MS Mincho" w:hAnsi="Courier New" w:cs="Courier New"/>
          <w:color w:val="000000"/>
          <w:sz w:val="24"/>
          <w:szCs w:val="24"/>
        </w:rPr>
        <w:t xml:space="preserve">.  Your draft program cohort default rate is a rate we issue, for your review, before we issue your official program cohort default rate.  A draft program cohort default rate is used only for the purposes described in </w:t>
      </w:r>
      <w:hyperlink r:id="rId25" w:history="1">
        <w:r w:rsidRPr="00A93D71">
          <w:rPr>
            <w:rFonts w:ascii="Courier New" w:eastAsia="MS Mincho" w:hAnsi="Courier New" w:cs="Courier New"/>
            <w:color w:val="000000"/>
            <w:sz w:val="24"/>
            <w:szCs w:val="24"/>
          </w:rPr>
          <w:t>§668.504</w:t>
        </w:r>
      </w:hyperlink>
      <w:r w:rsidRPr="00A93D71">
        <w:rPr>
          <w:rFonts w:ascii="Courier New" w:eastAsia="MS Mincho" w:hAnsi="Courier New" w:cs="Courier New"/>
          <w:color w:val="000000"/>
          <w:sz w:val="24"/>
          <w:szCs w:val="24"/>
        </w:rPr>
        <w:t>.</w:t>
      </w:r>
    </w:p>
    <w:p w14:paraId="336E44D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(f)  </w:t>
      </w:r>
      <w:r w:rsidRPr="00A93D71">
        <w:rPr>
          <w:rFonts w:ascii="Courier New" w:eastAsia="MS Mincho" w:hAnsi="Courier New" w:cs="Courier New"/>
          <w:color w:val="000000"/>
          <w:sz w:val="24"/>
          <w:szCs w:val="24"/>
          <w:u w:val="single"/>
        </w:rPr>
        <w:t>Entering repayment</w:t>
      </w:r>
      <w:r w:rsidRPr="00A93D71">
        <w:rPr>
          <w:rFonts w:ascii="Courier New" w:eastAsia="MS Mincho" w:hAnsi="Courier New" w:cs="Courier New"/>
          <w:color w:val="000000"/>
          <w:sz w:val="24"/>
          <w:szCs w:val="24"/>
        </w:rPr>
        <w:t>.</w:t>
      </w:r>
    </w:p>
    <w:p w14:paraId="2854600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(1)  Except as provided in paragraphs (f)(2) and (f)(3), loans are considered to enter repayment on the dates described in </w:t>
      </w:r>
      <w:hyperlink r:id="rId26" w:history="1">
        <w:r w:rsidRPr="00A93D71">
          <w:rPr>
            <w:rFonts w:ascii="Courier New" w:eastAsia="MS Mincho" w:hAnsi="Courier New" w:cs="Courier New"/>
            <w:color w:val="000000"/>
            <w:sz w:val="24"/>
            <w:szCs w:val="24"/>
          </w:rPr>
          <w:t>34 CFR 682.200</w:t>
        </w:r>
      </w:hyperlink>
      <w:r w:rsidRPr="00A93D71">
        <w:rPr>
          <w:rFonts w:ascii="Courier New" w:eastAsia="MS Mincho" w:hAnsi="Courier New" w:cs="Courier New"/>
          <w:color w:val="000000"/>
          <w:sz w:val="24"/>
          <w:szCs w:val="24"/>
        </w:rPr>
        <w:t xml:space="preserve"> (under the definition of “repayment period”) and in </w:t>
      </w:r>
      <w:hyperlink r:id="rId27" w:history="1">
        <w:r w:rsidRPr="00A93D71">
          <w:rPr>
            <w:rFonts w:ascii="Courier New" w:eastAsia="MS Mincho" w:hAnsi="Courier New" w:cs="Courier New"/>
            <w:color w:val="000000"/>
            <w:sz w:val="24"/>
            <w:szCs w:val="24"/>
          </w:rPr>
          <w:t>34 CFR 685.207</w:t>
        </w:r>
      </w:hyperlink>
      <w:r w:rsidRPr="00A93D71">
        <w:rPr>
          <w:rFonts w:ascii="Courier New" w:eastAsia="MS Mincho" w:hAnsi="Courier New" w:cs="Courier New"/>
          <w:sz w:val="24"/>
          <w:szCs w:val="24"/>
        </w:rPr>
        <w:t>, as applicable</w:t>
      </w:r>
      <w:r w:rsidRPr="00A93D71">
        <w:rPr>
          <w:rFonts w:ascii="Courier New" w:eastAsia="MS Mincho" w:hAnsi="Courier New" w:cs="Courier New"/>
          <w:color w:val="000000"/>
          <w:sz w:val="24"/>
          <w:szCs w:val="24"/>
        </w:rPr>
        <w:t>.</w:t>
      </w:r>
    </w:p>
    <w:p w14:paraId="47F39CB1" w14:textId="5B568869"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A Federal SLS Loan is considered to enter repayment--</w:t>
      </w:r>
    </w:p>
    <w:p w14:paraId="67CF1115" w14:textId="0334B7D0"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At the same time the borrower’s Federal Stafford Loan enters repayment, if the borrower received the Federal SLS Loan and the Federal Stafford Loan during the same period of continuous enrollment; or </w:t>
      </w:r>
    </w:p>
    <w:p w14:paraId="0DCF4A3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In all other cases, on the day after the student ceases to be enrolled at an institution on at least a half-time basis in an educational program leading to a degree, certificate, or other recognized educational credential.</w:t>
      </w:r>
    </w:p>
    <w:p w14:paraId="645EF5E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For the purposes of this subpart, a loan is considered to enter repayment on the date that a borrower repays it in full, if the loan is paid in full before the loan enters repayment under paragraphs (f)(1) or (f)(2).</w:t>
      </w:r>
    </w:p>
    <w:p w14:paraId="2A0D45B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(g)  </w:t>
      </w:r>
      <w:r w:rsidRPr="00A93D71">
        <w:rPr>
          <w:rFonts w:ascii="Courier New" w:eastAsia="MS Mincho" w:hAnsi="Courier New" w:cs="Courier New"/>
          <w:color w:val="000000"/>
          <w:sz w:val="24"/>
          <w:szCs w:val="24"/>
          <w:u w:val="single"/>
        </w:rPr>
        <w:t>Fiscal year</w:t>
      </w:r>
      <w:r w:rsidRPr="00A93D71">
        <w:rPr>
          <w:rFonts w:ascii="Courier New" w:eastAsia="MS Mincho" w:hAnsi="Courier New" w:cs="Courier New"/>
          <w:color w:val="000000"/>
          <w:sz w:val="24"/>
          <w:szCs w:val="24"/>
        </w:rPr>
        <w:t>.  A fiscal year begins on October 1 and ends on the following September 30.  A fiscal year is identified by the calendar year in which it ends.</w:t>
      </w:r>
    </w:p>
    <w:p w14:paraId="5A373A7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(h)  </w:t>
      </w:r>
      <w:r w:rsidRPr="00A93D71">
        <w:rPr>
          <w:rFonts w:ascii="Courier New" w:eastAsia="MS Mincho" w:hAnsi="Courier New" w:cs="Courier New"/>
          <w:color w:val="000000"/>
          <w:sz w:val="24"/>
          <w:szCs w:val="24"/>
          <w:u w:val="single"/>
        </w:rPr>
        <w:t>GE program</w:t>
      </w:r>
      <w:r w:rsidRPr="00A93D71">
        <w:rPr>
          <w:rFonts w:ascii="Courier New" w:eastAsia="MS Mincho" w:hAnsi="Courier New" w:cs="Courier New"/>
          <w:color w:val="000000"/>
          <w:sz w:val="24"/>
          <w:szCs w:val="24"/>
        </w:rPr>
        <w:t xml:space="preserve">.  </w:t>
      </w:r>
      <w:r w:rsidRPr="00A93D71">
        <w:rPr>
          <w:rFonts w:ascii="Courier New" w:eastAsia="MS Mincho" w:hAnsi="Courier New" w:cs="Courier New"/>
          <w:sz w:val="24"/>
          <w:szCs w:val="24"/>
        </w:rPr>
        <w:t>An educational program offered by an institution under §668.8(c)(3) or (d) and identified by a combination of the institution’s six-digit Office of Postsecondary Education ID (OPEID) number, the program’s six-digit CIP code as assigned by the institution or determined by the Secretary, and the program’s credential level, as defined in §668.402.</w:t>
      </w:r>
    </w:p>
    <w:p w14:paraId="13C9E22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(i)  </w:t>
      </w:r>
      <w:r w:rsidRPr="00A93D71">
        <w:rPr>
          <w:rFonts w:ascii="Courier New" w:eastAsia="MS Mincho" w:hAnsi="Courier New" w:cs="Courier New"/>
          <w:color w:val="000000"/>
          <w:sz w:val="24"/>
          <w:szCs w:val="24"/>
          <w:u w:val="single"/>
        </w:rPr>
        <w:t>Loan record detail report</w:t>
      </w:r>
      <w:r w:rsidRPr="00A93D71">
        <w:rPr>
          <w:rFonts w:ascii="Courier New" w:eastAsia="MS Mincho" w:hAnsi="Courier New" w:cs="Courier New"/>
          <w:color w:val="000000"/>
          <w:sz w:val="24"/>
          <w:szCs w:val="24"/>
        </w:rPr>
        <w:t>.  The loan record detail report is a report that we produce.  It contains the data used to calculate your draft or official program cohort default rate.</w:t>
      </w:r>
    </w:p>
    <w:p w14:paraId="42F601F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(j)  </w:t>
      </w:r>
      <w:r w:rsidRPr="00A93D71">
        <w:rPr>
          <w:rFonts w:ascii="Courier New" w:eastAsia="MS Mincho" w:hAnsi="Courier New" w:cs="Courier New"/>
          <w:color w:val="000000"/>
          <w:sz w:val="24"/>
          <w:szCs w:val="24"/>
          <w:u w:val="single"/>
        </w:rPr>
        <w:t>Official program cohort default rate</w:t>
      </w:r>
      <w:r w:rsidRPr="00A93D71">
        <w:rPr>
          <w:rFonts w:ascii="Courier New" w:eastAsia="MS Mincho" w:hAnsi="Courier New" w:cs="Courier New"/>
          <w:color w:val="000000"/>
          <w:sz w:val="24"/>
          <w:szCs w:val="24"/>
        </w:rPr>
        <w:t xml:space="preserve">.  Your official program cohort default rate is the program cohort default rate that we publish for you under </w:t>
      </w:r>
      <w:hyperlink r:id="rId28" w:history="1">
        <w:r w:rsidRPr="00A93D71">
          <w:rPr>
            <w:rFonts w:ascii="Courier New" w:eastAsia="MS Mincho" w:hAnsi="Courier New" w:cs="Courier New"/>
            <w:color w:val="000000"/>
            <w:sz w:val="24"/>
            <w:szCs w:val="24"/>
          </w:rPr>
          <w:t>§668.505</w:t>
        </w:r>
      </w:hyperlink>
      <w:r w:rsidRPr="00A93D71">
        <w:rPr>
          <w:rFonts w:ascii="Courier New" w:eastAsia="MS Mincho" w:hAnsi="Courier New" w:cs="Courier New"/>
          <w:color w:val="000000"/>
          <w:sz w:val="24"/>
          <w:szCs w:val="24"/>
        </w:rPr>
        <w:t xml:space="preserve">.  </w:t>
      </w:r>
    </w:p>
    <w:p w14:paraId="72B5DD4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(k)  </w:t>
      </w:r>
      <w:r w:rsidRPr="00A93D71">
        <w:rPr>
          <w:rFonts w:ascii="Courier New" w:eastAsia="MS Mincho" w:hAnsi="Courier New" w:cs="Courier New"/>
          <w:color w:val="000000"/>
          <w:sz w:val="24"/>
          <w:szCs w:val="24"/>
          <w:u w:val="single"/>
        </w:rPr>
        <w:t>We</w:t>
      </w:r>
      <w:r w:rsidRPr="00A93D71">
        <w:rPr>
          <w:rFonts w:ascii="Courier New" w:eastAsia="MS Mincho" w:hAnsi="Courier New" w:cs="Courier New"/>
          <w:color w:val="000000"/>
          <w:sz w:val="24"/>
          <w:szCs w:val="24"/>
        </w:rPr>
        <w:t>.  We are the Department, the Secretary, or the Secretary’s designee.</w:t>
      </w:r>
    </w:p>
    <w:p w14:paraId="45F705B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(l)  </w:t>
      </w:r>
      <w:r w:rsidRPr="00A93D71">
        <w:rPr>
          <w:rFonts w:ascii="Courier New" w:eastAsia="MS Mincho" w:hAnsi="Courier New" w:cs="Courier New"/>
          <w:color w:val="000000"/>
          <w:sz w:val="24"/>
          <w:szCs w:val="24"/>
          <w:u w:val="single"/>
        </w:rPr>
        <w:t>You</w:t>
      </w:r>
      <w:r w:rsidRPr="00A93D71">
        <w:rPr>
          <w:rFonts w:ascii="Courier New" w:eastAsia="MS Mincho" w:hAnsi="Courier New" w:cs="Courier New"/>
          <w:color w:val="000000"/>
          <w:sz w:val="24"/>
          <w:szCs w:val="24"/>
        </w:rPr>
        <w:t>.  You are an institution.  We consider each reference to “you” to apply separately to the institution with respect to each of its GE programs.</w:t>
      </w:r>
    </w:p>
    <w:p w14:paraId="30A359B5"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05B543E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§668.502  Calculating program cohort default rates</w:t>
      </w:r>
      <w:r w:rsidRPr="00A93D71">
        <w:rPr>
          <w:rFonts w:ascii="Courier New" w:eastAsia="MS Mincho" w:hAnsi="Courier New" w:cs="Courier New"/>
          <w:color w:val="000000"/>
          <w:sz w:val="24"/>
          <w:szCs w:val="24"/>
        </w:rPr>
        <w:t>.</w:t>
      </w:r>
    </w:p>
    <w:p w14:paraId="15F9E16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General</w:t>
      </w:r>
      <w:r w:rsidRPr="00A93D71">
        <w:rPr>
          <w:rFonts w:ascii="Courier New" w:eastAsia="MS Mincho" w:hAnsi="Courier New" w:cs="Courier New"/>
          <w:color w:val="000000"/>
          <w:sz w:val="24"/>
          <w:szCs w:val="24"/>
        </w:rPr>
        <w:t>.  This section describes the four steps that we follow to calculate your program cohort default rate for a fiscal year:</w:t>
      </w:r>
    </w:p>
    <w:p w14:paraId="2E4853D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First, under paragraph (b), we identify the borrowers in your GE program’s cohort for the fiscal year.  If the total number of borrowers in that cohort is fewer than 10, we also include the borrowers in your cohorts for the two most recent prior fiscal years for which we have data that identifies those borrowers who entered repayment during those fiscal years.</w:t>
      </w:r>
    </w:p>
    <w:p w14:paraId="27C5B79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Second, under paragraph (c), we identify the borrowers in the cohort (or cohorts) who are considered to be in default by the end of the second fiscal year following the fiscal year those borrowers entered repayment.  If more than one cohort will be used to calculate your program cohort default rate, we identify defaulted borrowers separately for each cohort.</w:t>
      </w:r>
    </w:p>
    <w:p w14:paraId="6720530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Third, under paragraph (d), we calculate your program cohort default rate.</w:t>
      </w:r>
    </w:p>
    <w:p w14:paraId="5E1DF81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Fourth, we apply your program cohort default rate to your program at all of your locations-- </w:t>
      </w:r>
    </w:p>
    <w:p w14:paraId="3EC3DF0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As you exist on the date you receive the notice of your official program cohort default rate; and</w:t>
      </w:r>
    </w:p>
    <w:p w14:paraId="7B4EEFD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From the date on which you receive the notice of your official program cohort default rate until you receive our notice that the program cohort default rate no longer applies.</w:t>
      </w:r>
    </w:p>
    <w:p w14:paraId="1E5514E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Identify the borrowers in a cohort</w:t>
      </w:r>
      <w:r w:rsidRPr="00A93D71">
        <w:rPr>
          <w:rFonts w:ascii="Courier New" w:eastAsia="MS Mincho" w:hAnsi="Courier New" w:cs="Courier New"/>
          <w:color w:val="000000"/>
          <w:sz w:val="24"/>
          <w:szCs w:val="24"/>
        </w:rPr>
        <w:t>.</w:t>
      </w:r>
    </w:p>
    <w:p w14:paraId="4110BCE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Except as provided in paragraph (b)(3), your cohort for a fiscal year consists of all of your current and former students who, during that fiscal year, entered repayment on any Federal Stafford Loan, Federal SLS Loan, Direct Subsidized Loan, or Direct Unsubsidized Loan that they received to attend the GE program, or on the portion of a loan made under the Federal Consolidation Loan Program or the Federal Direct Consolidation Loan Program that is used to repay those loans.</w:t>
      </w:r>
    </w:p>
    <w:p w14:paraId="3A2C174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A borrower may be included in more than one of your cohorts and may be included in the cohorts of more than one institution in the same fiscal year.</w:t>
      </w:r>
    </w:p>
    <w:p w14:paraId="4886CAF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A TEACH Grant that has been converted to a Federal Direct Unsubsidized Loan is not considered for the purpose of calculating and applying program cohort default rates.</w:t>
      </w:r>
    </w:p>
    <w:p w14:paraId="7624AE4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Identify the borrowers in a cohort who are in default</w:t>
      </w:r>
      <w:r w:rsidRPr="00A93D71">
        <w:rPr>
          <w:rFonts w:ascii="Courier New" w:eastAsia="MS Mincho" w:hAnsi="Courier New" w:cs="Courier New"/>
          <w:color w:val="000000"/>
          <w:sz w:val="24"/>
          <w:szCs w:val="24"/>
        </w:rPr>
        <w:t>.</w:t>
      </w:r>
    </w:p>
    <w:p w14:paraId="783EF07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Except as provided in paragraph (c)(2), a borrower in a cohort for a fiscal year is considered to be in default if, before the end of the second fiscal year following the fiscal year the borrower entered repayment--</w:t>
      </w:r>
    </w:p>
    <w:p w14:paraId="219C369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The borrower defaults on any FFELP loan that was used to include the borrower in the cohort or on any Federal Consolidation Loan Program loan that repaid a loan that was used to include the borrower in the cohort (however, a borrower is not considered to be in default on a FFELP loan unless a claim for insurance has been paid on the loan by a guaranty agency or by us);</w:t>
      </w:r>
    </w:p>
    <w:p w14:paraId="00E6F03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The borrower fails to make an installment payment, when due, on any Direct Loan Program loan that was used to include the borrower in the cohort or on any Federal Direct Consolidation Loan Program loan that repaid a loan that was used to include the borrower in the cohort, and the borrower’s failure persists for 360 days;</w:t>
      </w:r>
    </w:p>
    <w:p w14:paraId="369AFC2C"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(iii)  You or your owner, agent, contractor, employee, or any other affiliated entity or individual make a payment to prevent a borrower’s default on a loan that is used to include the borrower in that cohort; or</w:t>
      </w:r>
    </w:p>
    <w:p w14:paraId="72C8FDAC"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(iv)  The borrower fails to make an installment payment, when due, on a Federal Stafford Loan that is held by the Secretary or a Federal Consolidation Loan that is held by the Secretary and that was used to repay a Federal Stafford Loan, if such Federal Stafford Loan or Federal Consolidation Loan was used to include the borrower in the cohort, and the borrower’s failure persists for 360 days.</w:t>
      </w:r>
    </w:p>
    <w:p w14:paraId="23B8A50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A borrower is not considered to be in default based on a loan that is, before the end of the second fiscal year following the fiscal year in which it entered repayment--</w:t>
      </w:r>
    </w:p>
    <w:p w14:paraId="7DA0970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(i)  Rehabilitated under </w:t>
      </w:r>
      <w:hyperlink r:id="rId29" w:history="1">
        <w:r w:rsidRPr="00A93D71">
          <w:rPr>
            <w:rFonts w:ascii="Courier New" w:eastAsia="MS Mincho" w:hAnsi="Courier New" w:cs="Courier New"/>
            <w:color w:val="000000"/>
            <w:sz w:val="24"/>
            <w:szCs w:val="24"/>
          </w:rPr>
          <w:t>34 CFR 682.405</w:t>
        </w:r>
      </w:hyperlink>
      <w:r w:rsidRPr="00A93D71">
        <w:rPr>
          <w:rFonts w:ascii="Courier New" w:eastAsia="MS Mincho" w:hAnsi="Courier New" w:cs="Courier New"/>
          <w:color w:val="000000"/>
          <w:sz w:val="24"/>
          <w:szCs w:val="24"/>
        </w:rPr>
        <w:t xml:space="preserve"> or </w:t>
      </w:r>
      <w:hyperlink r:id="rId30" w:anchor="co_pp_7fdd00001ca15" w:history="1">
        <w:r w:rsidRPr="00A93D71">
          <w:rPr>
            <w:rFonts w:ascii="Courier New" w:eastAsia="MS Mincho" w:hAnsi="Courier New" w:cs="Courier New"/>
            <w:color w:val="000000"/>
            <w:sz w:val="24"/>
            <w:szCs w:val="24"/>
          </w:rPr>
          <w:t>34 CFR 685.211(e)</w:t>
        </w:r>
      </w:hyperlink>
      <w:r w:rsidRPr="00A93D71">
        <w:rPr>
          <w:rFonts w:ascii="Courier New" w:eastAsia="MS Mincho" w:hAnsi="Courier New" w:cs="Courier New"/>
          <w:color w:val="000000"/>
          <w:sz w:val="24"/>
          <w:szCs w:val="24"/>
        </w:rPr>
        <w:t>; or</w:t>
      </w:r>
    </w:p>
    <w:p w14:paraId="14CF917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Repurchased by a lender because the claim for insurance was submitted or paid in error.</w:t>
      </w:r>
    </w:p>
    <w:p w14:paraId="7A0C172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(d)  </w:t>
      </w:r>
      <w:r w:rsidRPr="00A93D71">
        <w:rPr>
          <w:rFonts w:ascii="Courier New" w:eastAsia="MS Mincho" w:hAnsi="Courier New" w:cs="Courier New"/>
          <w:color w:val="000000"/>
          <w:sz w:val="24"/>
          <w:szCs w:val="24"/>
          <w:u w:val="single"/>
        </w:rPr>
        <w:t>Calculate the program cohort default rate</w:t>
      </w:r>
      <w:r w:rsidRPr="00A93D71">
        <w:rPr>
          <w:rFonts w:ascii="Courier New" w:eastAsia="MS Mincho" w:hAnsi="Courier New" w:cs="Courier New"/>
          <w:color w:val="000000"/>
          <w:sz w:val="24"/>
          <w:szCs w:val="24"/>
        </w:rPr>
        <w:t xml:space="preserve">.  Except as provided in </w:t>
      </w:r>
      <w:hyperlink r:id="rId31" w:history="1">
        <w:r w:rsidRPr="00A93D71">
          <w:rPr>
            <w:rFonts w:ascii="Courier New" w:eastAsia="MS Mincho" w:hAnsi="Courier New" w:cs="Courier New"/>
            <w:color w:val="000000"/>
            <w:sz w:val="24"/>
            <w:szCs w:val="24"/>
          </w:rPr>
          <w:t>§668.503</w:t>
        </w:r>
      </w:hyperlink>
      <w:r w:rsidRPr="00A93D71">
        <w:rPr>
          <w:rFonts w:ascii="Courier New" w:eastAsia="MS Mincho" w:hAnsi="Courier New" w:cs="Courier New"/>
          <w:color w:val="000000"/>
          <w:sz w:val="24"/>
          <w:szCs w:val="24"/>
        </w:rPr>
        <w:t>, if there are--</w:t>
      </w:r>
    </w:p>
    <w:p w14:paraId="3CE0673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(1)(i)  Ten or more borrowers in your cohort for a fiscal year, your program cohort default rate is the percentage that is calculated by--</w:t>
      </w:r>
    </w:p>
    <w:p w14:paraId="07E3959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Dividing the number of borrowers in the cohort who are in default, as determined under paragraph (c), by the number of borrowers in the cohort, as determined under paragraph (b).</w:t>
      </w:r>
    </w:p>
    <w:p w14:paraId="40EEDD6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Fewer than 10 borrowers in your cohort for a fiscal year, your program cohort default rate is the percentage that is calculated by--</w:t>
      </w:r>
    </w:p>
    <w:p w14:paraId="26B0BBE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For the first two years we attempt to calculate program cohort default rates under this part for a program, dividing the total number of borrowers in that program’s cohort and in the two most recent prior cohorts for which we have data to identify the individuals comprising the cohort who are in default, as determined for each program’s cohort under paragraph (c), by the total number of borrowers in that program cohort and the two most recent prior cohorts for which we have data to identify the individuals comprising the cohort, as determined for each program cohort under paragraph (b).</w:t>
      </w:r>
    </w:p>
    <w:p w14:paraId="6525F7B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For other fiscal years, by dividing the total number of borrowers in that program cohort and in the two most recent prior program cohorts who are in default, as determined for each program cohort under paragraph (c), by the total number of borrowers in that program cohort and the two most recent prior program cohorts as determined for each program cohort under paragraph (b).</w:t>
      </w:r>
    </w:p>
    <w:p w14:paraId="7C9E17E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(iii)  If we identify a total of fewer than ten borrowers under paragraph (d)(2), we do not calculate a draft program cohort default rate for that fiscal year.</w:t>
      </w:r>
    </w:p>
    <w:p w14:paraId="5807D7A0"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bookmarkStart w:id="31" w:name="_Toc354744172"/>
      <w:r w:rsidRPr="00A93D71">
        <w:rPr>
          <w:rFonts w:ascii="Courier New" w:eastAsia="MS Mincho" w:hAnsi="Courier New" w:cs="Courier New"/>
          <w:color w:val="000000"/>
          <w:sz w:val="24"/>
          <w:szCs w:val="24"/>
        </w:rPr>
        <w:t>)</w:t>
      </w:r>
    </w:p>
    <w:p w14:paraId="3FE805BE"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§668.503  Determining program cohort default rates for GE programs at institutions that have undergone a change in status</w:t>
      </w:r>
      <w:bookmarkEnd w:id="31"/>
      <w:r w:rsidRPr="00A93D71">
        <w:rPr>
          <w:rFonts w:ascii="Courier New" w:eastAsia="MS Mincho" w:hAnsi="Courier New" w:cs="Courier New"/>
          <w:color w:val="000000"/>
          <w:sz w:val="24"/>
          <w:szCs w:val="24"/>
        </w:rPr>
        <w:t>.</w:t>
      </w:r>
    </w:p>
    <w:p w14:paraId="4331241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(a)  </w:t>
      </w:r>
      <w:r w:rsidRPr="00A93D71">
        <w:rPr>
          <w:rFonts w:ascii="Courier New" w:eastAsia="MS Mincho" w:hAnsi="Courier New" w:cs="Courier New"/>
          <w:color w:val="000000"/>
          <w:sz w:val="24"/>
          <w:szCs w:val="24"/>
          <w:u w:val="single"/>
        </w:rPr>
        <w:t>General</w:t>
      </w:r>
      <w:r w:rsidRPr="00A93D71">
        <w:rPr>
          <w:rFonts w:ascii="Courier New" w:eastAsia="MS Mincho" w:hAnsi="Courier New" w:cs="Courier New"/>
          <w:color w:val="000000"/>
          <w:sz w:val="24"/>
          <w:szCs w:val="24"/>
        </w:rPr>
        <w:t>.</w:t>
      </w:r>
    </w:p>
    <w:p w14:paraId="4F42469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If you undergo a change in status identified in this section, the program cohort default rate of a GE program you offer is determined under this section.</w:t>
      </w:r>
    </w:p>
    <w:p w14:paraId="3C9A1C1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In determining program cohort default rates under this section, the date of a merger, acquisition, or other change in status is the date the change occurs.</w:t>
      </w:r>
    </w:p>
    <w:p w14:paraId="7F338785"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(3)  [Reserved]</w:t>
      </w:r>
    </w:p>
    <w:p w14:paraId="76E3073A"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(4)  If the program cohort default rate of a program offered by another institution is applicable to you under this section with respect to a program you offer, you may challenge, request an adjustment, or submit an appeal for the program cohort default rate under the same requirements that would be applicable to the other institution under </w:t>
      </w:r>
      <w:hyperlink r:id="rId32" w:history="1">
        <w:r w:rsidRPr="00A93D71">
          <w:rPr>
            <w:rFonts w:ascii="Courier New" w:eastAsia="MS Mincho" w:hAnsi="Courier New" w:cs="Courier New"/>
            <w:color w:val="000000"/>
            <w:sz w:val="24"/>
            <w:szCs w:val="24"/>
          </w:rPr>
          <w:t>§§668.504</w:t>
        </w:r>
      </w:hyperlink>
      <w:r w:rsidRPr="00A93D71">
        <w:rPr>
          <w:rFonts w:ascii="Courier New" w:eastAsia="MS Mincho" w:hAnsi="Courier New" w:cs="Courier New"/>
          <w:color w:val="000000"/>
          <w:sz w:val="24"/>
          <w:szCs w:val="24"/>
        </w:rPr>
        <w:t xml:space="preserve"> and </w:t>
      </w:r>
      <w:hyperlink r:id="rId33" w:history="1">
        <w:r w:rsidRPr="00A93D71">
          <w:rPr>
            <w:rFonts w:ascii="Courier New" w:eastAsia="MS Mincho" w:hAnsi="Courier New" w:cs="Courier New"/>
            <w:color w:val="000000"/>
            <w:sz w:val="24"/>
            <w:szCs w:val="24"/>
          </w:rPr>
          <w:t>668.508</w:t>
        </w:r>
      </w:hyperlink>
      <w:r w:rsidRPr="00A93D71">
        <w:rPr>
          <w:rFonts w:ascii="Courier New" w:eastAsia="MS Mincho" w:hAnsi="Courier New" w:cs="Courier New"/>
          <w:color w:val="000000"/>
          <w:sz w:val="24"/>
          <w:szCs w:val="24"/>
        </w:rPr>
        <w:t>.</w:t>
      </w:r>
    </w:p>
    <w:p w14:paraId="7E993D5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(b)  </w:t>
      </w:r>
      <w:r w:rsidRPr="00A93D71">
        <w:rPr>
          <w:rFonts w:ascii="Courier New" w:eastAsia="MS Mincho" w:hAnsi="Courier New" w:cs="Courier New"/>
          <w:color w:val="000000"/>
          <w:sz w:val="24"/>
          <w:szCs w:val="24"/>
          <w:u w:val="single"/>
        </w:rPr>
        <w:t>Acquisition or merger of institutions</w:t>
      </w:r>
      <w:r w:rsidRPr="00A93D71">
        <w:rPr>
          <w:rFonts w:ascii="Courier New" w:eastAsia="MS Mincho" w:hAnsi="Courier New" w:cs="Courier New"/>
          <w:color w:val="000000"/>
          <w:sz w:val="24"/>
          <w:szCs w:val="24"/>
        </w:rPr>
        <w:t>.  If you offer a GE program and your institution acquires, or was created by the merger of, one or more institutions that participated independently in the title IV, HEA programs immediately before the acquisition or merger and that offered the same GE program, as identified by its 6-digit CIP code and credential level--</w:t>
      </w:r>
    </w:p>
    <w:p w14:paraId="57D2595D"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Those program cohort default rates published for a GE program offered by any of these institutions before the date of the acquisition or merger are attributed to the GE program after the merger or acquisition; and</w:t>
      </w:r>
    </w:p>
    <w:p w14:paraId="3BBB3840"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Beginning with the first program cohort default rate published after the date of the acquisition or merger, the program cohort default rates for that GE program are determined by including in the calculation under </w:t>
      </w:r>
      <w:hyperlink r:id="rId34" w:history="1">
        <w:r w:rsidRPr="00A93D71">
          <w:rPr>
            <w:rFonts w:ascii="Courier New" w:eastAsia="MS Mincho" w:hAnsi="Courier New" w:cs="Courier New"/>
            <w:color w:val="000000"/>
            <w:sz w:val="24"/>
            <w:szCs w:val="24"/>
          </w:rPr>
          <w:t>§668.502</w:t>
        </w:r>
      </w:hyperlink>
      <w:r w:rsidRPr="00A93D71">
        <w:rPr>
          <w:rFonts w:ascii="Courier New" w:eastAsia="MS Mincho" w:hAnsi="Courier New" w:cs="Courier New"/>
          <w:color w:val="000000"/>
          <w:sz w:val="24"/>
          <w:szCs w:val="24"/>
        </w:rPr>
        <w:t xml:space="preserve"> the borrowers who were enrolled in that GE program from each institution that offered that program and that was involved in the acquisition or merger.</w:t>
      </w:r>
    </w:p>
    <w:p w14:paraId="1869C59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(c)  [Reserved] </w:t>
      </w:r>
    </w:p>
    <w:p w14:paraId="2CCD2F1B"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(d)  </w:t>
      </w:r>
      <w:r w:rsidRPr="00A93D71">
        <w:rPr>
          <w:rFonts w:ascii="Courier New" w:eastAsia="MS Mincho" w:hAnsi="Courier New" w:cs="Courier New"/>
          <w:color w:val="000000"/>
          <w:sz w:val="24"/>
          <w:szCs w:val="24"/>
          <w:u w:val="single"/>
        </w:rPr>
        <w:t>Branches or locations becoming institutions</w:t>
      </w:r>
      <w:r w:rsidRPr="00A93D71">
        <w:rPr>
          <w:rFonts w:ascii="Courier New" w:eastAsia="MS Mincho" w:hAnsi="Courier New" w:cs="Courier New"/>
          <w:color w:val="000000"/>
          <w:sz w:val="24"/>
          <w:szCs w:val="24"/>
        </w:rPr>
        <w:t>.  If you are a branch or location of an institution that is participating in the title IV, HEA programs, and you become a separate, new institution for the purposes of participating in those programs--</w:t>
      </w:r>
    </w:p>
    <w:p w14:paraId="5694FA1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The program cohort default rates published for a GE program before the date of the change for your former parent institution are also applicable to you when you offer that program;</w:t>
      </w:r>
    </w:p>
    <w:p w14:paraId="2C4A6785"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Beginning with the first program cohort default rate published after the date of the change, the program cohort default rates for a GE program for the next three fiscal years are determined by including the applicable borrowers who were enrolled in the GE program from your institution and from your former parent institution (including all of its locations) in the calculation under </w:t>
      </w:r>
      <w:hyperlink r:id="rId35" w:history="1">
        <w:r w:rsidRPr="00A93D71">
          <w:rPr>
            <w:rFonts w:ascii="Courier New" w:eastAsia="MS Mincho" w:hAnsi="Courier New" w:cs="Courier New"/>
            <w:color w:val="000000"/>
            <w:sz w:val="24"/>
            <w:szCs w:val="24"/>
          </w:rPr>
          <w:t>§668.502</w:t>
        </w:r>
      </w:hyperlink>
      <w:r w:rsidRPr="00A93D71">
        <w:rPr>
          <w:rFonts w:ascii="Courier New" w:eastAsia="MS Mincho" w:hAnsi="Courier New" w:cs="Courier New"/>
          <w:color w:val="000000"/>
          <w:sz w:val="24"/>
          <w:szCs w:val="24"/>
        </w:rPr>
        <w:t>.</w:t>
      </w:r>
    </w:p>
    <w:p w14:paraId="3D72312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(Authority:  20 U.S.C. 1001, 1002, 1088) </w:t>
      </w:r>
    </w:p>
    <w:p w14:paraId="60D3BAB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§668.504  Draft program cohort default rates and your ability to challenge before official program cohort default rates are issued</w:t>
      </w:r>
      <w:r w:rsidRPr="00A93D71">
        <w:rPr>
          <w:rFonts w:ascii="Courier New" w:eastAsia="MS Mincho" w:hAnsi="Courier New" w:cs="Courier New"/>
          <w:color w:val="000000"/>
          <w:sz w:val="24"/>
          <w:szCs w:val="24"/>
        </w:rPr>
        <w:t>.</w:t>
      </w:r>
    </w:p>
    <w:p w14:paraId="35AE143C"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2" w:name="co_anchor_I3CE50F6042EA11E0ACD5888FA94BC"/>
      <w:bookmarkEnd w:id="32"/>
      <w:r w:rsidRPr="00A93D71">
        <w:rPr>
          <w:rFonts w:ascii="Courier New" w:eastAsia="MS Mincho" w:hAnsi="Courier New" w:cs="Courier New"/>
          <w:color w:val="000000"/>
          <w:sz w:val="24"/>
          <w:szCs w:val="24"/>
        </w:rPr>
        <w:t xml:space="preserve">     (a)  </w:t>
      </w:r>
      <w:r w:rsidRPr="00A93D71">
        <w:rPr>
          <w:rFonts w:ascii="Courier New" w:eastAsia="MS Mincho" w:hAnsi="Courier New" w:cs="Courier New"/>
          <w:color w:val="000000"/>
          <w:sz w:val="24"/>
          <w:szCs w:val="24"/>
          <w:u w:val="single"/>
        </w:rPr>
        <w:t>General</w:t>
      </w:r>
      <w:r w:rsidRPr="00A93D71">
        <w:rPr>
          <w:rFonts w:ascii="Courier New" w:eastAsia="MS Mincho" w:hAnsi="Courier New" w:cs="Courier New"/>
          <w:color w:val="000000"/>
          <w:sz w:val="24"/>
          <w:szCs w:val="24"/>
        </w:rPr>
        <w:t>.</w:t>
      </w:r>
    </w:p>
    <w:p w14:paraId="724B05E7"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We notify you of the draft program cohort default rate of a GE program before the official program cohort default rate of the GE program is calculated.  Our notice includes the loan record detail report for the draft program cohort default rate.</w:t>
      </w:r>
    </w:p>
    <w:p w14:paraId="432E736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Except as provided in </w:t>
      </w:r>
      <w:hyperlink r:id="rId36" w:anchor="co_pp_e07e0000a9f57" w:history="1">
        <w:r w:rsidRPr="00A93D71">
          <w:rPr>
            <w:rFonts w:ascii="Courier New" w:eastAsia="MS Mincho" w:hAnsi="Courier New" w:cs="Courier New"/>
            <w:color w:val="000000"/>
            <w:sz w:val="24"/>
            <w:szCs w:val="24"/>
          </w:rPr>
          <w:t>§668.502(d)(2)</w:t>
        </w:r>
      </w:hyperlink>
      <w:r w:rsidRPr="00A93D71">
        <w:rPr>
          <w:rFonts w:ascii="Courier New" w:eastAsia="MS Mincho" w:hAnsi="Courier New" w:cs="Courier New"/>
          <w:color w:val="000000"/>
          <w:sz w:val="24"/>
          <w:szCs w:val="24"/>
        </w:rPr>
        <w:t xml:space="preserve">(i), regardless of the number of borrowers included in the program cohort, the draft program cohort default rate of a GE program is always calculated using data for that fiscal year alone, using the method described in </w:t>
      </w:r>
      <w:hyperlink r:id="rId37" w:anchor="co_pp_e07e0000a9f57" w:history="1">
        <w:r w:rsidRPr="00A93D71">
          <w:rPr>
            <w:rFonts w:ascii="Courier New" w:eastAsia="MS Mincho" w:hAnsi="Courier New" w:cs="Courier New"/>
            <w:color w:val="000000"/>
            <w:sz w:val="24"/>
            <w:szCs w:val="24"/>
          </w:rPr>
          <w:t>§668.502(d)(1)</w:t>
        </w:r>
      </w:hyperlink>
      <w:r w:rsidRPr="00A93D71">
        <w:rPr>
          <w:rFonts w:ascii="Courier New" w:eastAsia="MS Mincho" w:hAnsi="Courier New" w:cs="Courier New"/>
          <w:color w:val="000000"/>
          <w:sz w:val="24"/>
          <w:szCs w:val="24"/>
        </w:rPr>
        <w:t xml:space="preserve">.  </w:t>
      </w:r>
    </w:p>
    <w:p w14:paraId="680DA28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(3)  The draft program cohort default rate of a GE program and the loan record detail report are not considered public information and may not be otherwise voluntarily released to the public by a data manager.</w:t>
      </w:r>
    </w:p>
    <w:p w14:paraId="6E2242FB"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(4)  Any challenge you submit under this section and any response provided by a data manager must be in a format acceptable to us.  This acceptable format is described in materials that we provide to you.  If your challenge does not comply with these requirements, we may deny your challenge.</w:t>
      </w:r>
    </w:p>
    <w:p w14:paraId="33707AC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(b)  </w:t>
      </w:r>
      <w:r w:rsidRPr="00A93D71">
        <w:rPr>
          <w:rFonts w:ascii="Courier New" w:eastAsia="MS Mincho" w:hAnsi="Courier New" w:cs="Courier New"/>
          <w:color w:val="000000"/>
          <w:sz w:val="24"/>
          <w:szCs w:val="24"/>
          <w:u w:val="single"/>
        </w:rPr>
        <w:t>Incorrect data challenges</w:t>
      </w:r>
      <w:r w:rsidRPr="00A93D71">
        <w:rPr>
          <w:rFonts w:ascii="Courier New" w:eastAsia="MS Mincho" w:hAnsi="Courier New" w:cs="Courier New"/>
          <w:color w:val="000000"/>
          <w:sz w:val="24"/>
          <w:szCs w:val="24"/>
        </w:rPr>
        <w:t>.</w:t>
      </w:r>
    </w:p>
    <w:p w14:paraId="7D22741C"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You may challenge the accuracy of the data included on the loan record detail report by sending a challenge to the relevant data manager, or data managers, within 45 days after you receive the data.  Your challenge must include--</w:t>
      </w:r>
    </w:p>
    <w:p w14:paraId="2DCD5E3E"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  A description of the information in the loan record detail report that you believe is incorrect; and </w:t>
      </w:r>
    </w:p>
    <w:p w14:paraId="3AA544F8"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(ii)  Documentation that supports your contention that the data are incorrect.</w:t>
      </w:r>
    </w:p>
    <w:p w14:paraId="7153ACC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Within 30 days after receiving your challenge, the data manager must send you and us a response that--</w:t>
      </w:r>
    </w:p>
    <w:p w14:paraId="3217D0C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  Addresses each of your allegations of error; and</w:t>
      </w:r>
    </w:p>
    <w:p w14:paraId="56B0C8E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(ii)  Includes the documentation that supports the data manager’s position.</w:t>
      </w:r>
    </w:p>
    <w:p w14:paraId="5717BCED"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(3)  If your data manager concludes that draft data in the loan record detail report are incorrect, and we agree, we use the corrected data to calculate your program cohort default rate.</w:t>
      </w:r>
    </w:p>
    <w:p w14:paraId="44B7B1BB"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(4)  If you fail to challenge the accuracy of data under this section, you cannot contest the accuracy of those data in an uncorrected data adjustment under </w:t>
      </w:r>
      <w:hyperlink r:id="rId38" w:history="1">
        <w:r w:rsidRPr="00A93D71">
          <w:rPr>
            <w:rFonts w:ascii="Courier New" w:eastAsia="MS Mincho" w:hAnsi="Courier New" w:cs="Courier New"/>
            <w:color w:val="000000"/>
            <w:sz w:val="24"/>
            <w:szCs w:val="24"/>
          </w:rPr>
          <w:t>§668.509</w:t>
        </w:r>
      </w:hyperlink>
      <w:r w:rsidRPr="00A93D71">
        <w:rPr>
          <w:rFonts w:ascii="Courier New" w:eastAsia="MS Mincho" w:hAnsi="Courier New" w:cs="Courier New"/>
          <w:color w:val="000000"/>
          <w:sz w:val="24"/>
          <w:szCs w:val="24"/>
        </w:rPr>
        <w:t xml:space="preserve">, or in an erroneous data appeal, under </w:t>
      </w:r>
      <w:hyperlink r:id="rId39" w:history="1">
        <w:r w:rsidRPr="00A93D71">
          <w:rPr>
            <w:rFonts w:ascii="Courier New" w:eastAsia="MS Mincho" w:hAnsi="Courier New" w:cs="Courier New"/>
            <w:color w:val="000000"/>
            <w:sz w:val="24"/>
            <w:szCs w:val="24"/>
          </w:rPr>
          <w:t>§668.511</w:t>
        </w:r>
      </w:hyperlink>
      <w:r w:rsidRPr="00A93D71">
        <w:rPr>
          <w:rFonts w:ascii="Courier New" w:eastAsia="MS Mincho" w:hAnsi="Courier New" w:cs="Courier New"/>
          <w:color w:val="000000"/>
          <w:sz w:val="24"/>
          <w:szCs w:val="24"/>
        </w:rPr>
        <w:t>.</w:t>
      </w:r>
    </w:p>
    <w:p w14:paraId="562A2069"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3" w:name="co_pp_6f32000041d46_7"/>
      <w:bookmarkEnd w:id="33"/>
      <w:r w:rsidRPr="00A93D71">
        <w:rPr>
          <w:rFonts w:ascii="Courier New" w:eastAsia="MS Mincho" w:hAnsi="Courier New" w:cs="Courier New"/>
          <w:color w:val="000000"/>
          <w:sz w:val="24"/>
          <w:szCs w:val="24"/>
        </w:rPr>
        <w:t>(Authority:  20 U.S.C. 1001, 1002, 1088)</w:t>
      </w:r>
    </w:p>
    <w:p w14:paraId="292A2EF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4" w:name="_Toc354744174"/>
      <w:r w:rsidRPr="00A93D71">
        <w:rPr>
          <w:rFonts w:ascii="Courier New" w:eastAsia="MS Mincho" w:hAnsi="Courier New" w:cs="Courier New"/>
          <w:sz w:val="24"/>
          <w:szCs w:val="24"/>
          <w:u w:val="single"/>
        </w:rPr>
        <w:t>§668.505  Notice of the official program cohort default rate</w:t>
      </w:r>
      <w:bookmarkEnd w:id="34"/>
      <w:r w:rsidRPr="00A93D71">
        <w:rPr>
          <w:rFonts w:ascii="Courier New" w:eastAsia="MS Mincho" w:hAnsi="Courier New" w:cs="Courier New"/>
          <w:sz w:val="24"/>
          <w:szCs w:val="24"/>
          <w:u w:val="single"/>
        </w:rPr>
        <w:t xml:space="preserve"> of a GE program</w:t>
      </w:r>
      <w:r w:rsidRPr="00A93D71">
        <w:rPr>
          <w:rFonts w:ascii="Courier New" w:eastAsia="MS Mincho" w:hAnsi="Courier New" w:cs="Courier New"/>
          <w:color w:val="000000"/>
          <w:sz w:val="24"/>
          <w:szCs w:val="24"/>
        </w:rPr>
        <w:t>.</w:t>
      </w:r>
    </w:p>
    <w:p w14:paraId="5257A260"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(a)  We notify you of the official program cohort default rate of a GE program after we calculate it.  After we send our notice to you, we publish a list of GE program cohort default rates for all institutions.</w:t>
      </w:r>
    </w:p>
    <w:p w14:paraId="06FD1A0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(b)  If one or more borrowers who were enrolled in a GE program entered repayment in the fiscal year for which the rate is calculated, you will receive a loan record detail report as part of your notification package for that program.</w:t>
      </w:r>
    </w:p>
    <w:p w14:paraId="36DBB67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(c)  You have five business days, from the date of our notification, as posted on the Department’s Web site, to report any problem with receipt of the notification package.</w:t>
      </w:r>
    </w:p>
    <w:p w14:paraId="25F3B0C0"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(d)  Except as provided in paragraph (e), timelines for submitting, adjustments, and appeals begin on the sixth business day following the date of the notification package that is posted on the Department’s Web site.</w:t>
      </w:r>
    </w:p>
    <w:p w14:paraId="10D06E19"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(e)  If you timely report a problem with receipt of your notification package under paragraph (c) and the Department agrees that the problem was not caused by you, the Department will extend the challenge, appeal, and adjustment deadlines and timeframes to account for a re-notification package.</w:t>
      </w:r>
    </w:p>
    <w:p w14:paraId="271C7F5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0B4DE04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5" w:name="_Toc354744175"/>
      <w:r w:rsidRPr="00A93D71">
        <w:rPr>
          <w:rFonts w:ascii="Courier New" w:eastAsia="MS Mincho" w:hAnsi="Courier New" w:cs="Courier New"/>
          <w:sz w:val="24"/>
          <w:szCs w:val="24"/>
          <w:u w:val="single"/>
        </w:rPr>
        <w:t xml:space="preserve">§668.506  [Reserved] </w:t>
      </w:r>
      <w:bookmarkEnd w:id="35"/>
    </w:p>
    <w:p w14:paraId="45A2F6EA"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6" w:name="_Toc354744176"/>
      <w:r w:rsidRPr="00A93D71">
        <w:rPr>
          <w:rFonts w:ascii="Courier New" w:eastAsia="MS Mincho" w:hAnsi="Courier New" w:cs="Courier New"/>
          <w:color w:val="000000"/>
          <w:sz w:val="24"/>
          <w:szCs w:val="24"/>
          <w:u w:val="single"/>
        </w:rPr>
        <w:t>§</w:t>
      </w:r>
      <w:r w:rsidRPr="00A93D71">
        <w:rPr>
          <w:rFonts w:ascii="Courier New" w:eastAsia="MS Mincho" w:hAnsi="Courier New" w:cs="Courier New"/>
          <w:sz w:val="24"/>
          <w:szCs w:val="24"/>
          <w:u w:val="single"/>
        </w:rPr>
        <w:t>668.507  Preventing evasion of program cohort default rates</w:t>
      </w:r>
      <w:bookmarkEnd w:id="36"/>
      <w:r w:rsidRPr="00A93D71">
        <w:rPr>
          <w:rFonts w:ascii="Courier New" w:eastAsia="MS Mincho" w:hAnsi="Courier New" w:cs="Courier New"/>
          <w:color w:val="000000"/>
          <w:sz w:val="24"/>
          <w:szCs w:val="24"/>
        </w:rPr>
        <w:t>.</w:t>
      </w:r>
    </w:p>
    <w:p w14:paraId="17E73C09" w14:textId="77777777" w:rsidR="00997197" w:rsidRPr="00A93D71" w:rsidRDefault="00997197" w:rsidP="00A93D71">
      <w:pPr>
        <w:spacing w:after="0" w:line="480" w:lineRule="auto"/>
        <w:rPr>
          <w:rFonts w:ascii="Courier New" w:eastAsia="MS Mincho" w:hAnsi="Courier New" w:cs="Courier New"/>
          <w:sz w:val="24"/>
          <w:szCs w:val="24"/>
        </w:rPr>
      </w:pPr>
      <w:bookmarkStart w:id="37" w:name="co_anchor_I3D119DA042EA11E09AE28425EA942"/>
      <w:bookmarkEnd w:id="37"/>
      <w:r w:rsidRPr="00A93D71">
        <w:rPr>
          <w:rFonts w:ascii="Courier New" w:eastAsia="MS Mincho" w:hAnsi="Courier New" w:cs="Courier New"/>
          <w:color w:val="000000"/>
          <w:sz w:val="24"/>
          <w:szCs w:val="24"/>
        </w:rPr>
        <w:t xml:space="preserve">     </w:t>
      </w:r>
      <w:r w:rsidRPr="00A93D71">
        <w:rPr>
          <w:rFonts w:ascii="Courier New" w:eastAsia="MS Mincho" w:hAnsi="Courier New" w:cs="Courier New"/>
          <w:sz w:val="24"/>
          <w:szCs w:val="24"/>
        </w:rPr>
        <w:t xml:space="preserve">In calculating the program cohort default rate of a GE program, the Secretary may include loan debt incurred by the borrower for enrolling in GE programs at other institutions if the institution and the other institutions are under common ownership or control, as determined by the Secretary in accordance with 34 CFR 600.31. </w:t>
      </w:r>
    </w:p>
    <w:p w14:paraId="1CF6F49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491338F3"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38" w:name="_Toc354744177"/>
      <w:r w:rsidRPr="00A93D71">
        <w:rPr>
          <w:rFonts w:ascii="Courier New" w:eastAsia="MS Mincho" w:hAnsi="Courier New" w:cs="Courier New"/>
          <w:sz w:val="24"/>
          <w:szCs w:val="24"/>
          <w:u w:val="single"/>
        </w:rPr>
        <w:t>§668.508  General requirements for adjusting and appealing official program cohort default rates</w:t>
      </w:r>
      <w:bookmarkEnd w:id="38"/>
      <w:r w:rsidRPr="00A93D71">
        <w:rPr>
          <w:rFonts w:ascii="Courier New" w:eastAsia="MS Mincho" w:hAnsi="Courier New" w:cs="Courier New"/>
          <w:color w:val="000000"/>
          <w:sz w:val="24"/>
          <w:szCs w:val="24"/>
        </w:rPr>
        <w:t>.</w:t>
      </w:r>
      <w:bookmarkStart w:id="39" w:name="co_anchor_I3CFF000042EA11E08E1CD20EB0A88"/>
      <w:bookmarkEnd w:id="39"/>
    </w:p>
    <w:p w14:paraId="017C9D2B"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(a)  [Reserved] </w:t>
      </w:r>
    </w:p>
    <w:p w14:paraId="24A63AC3"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(b)  </w:t>
      </w:r>
      <w:r w:rsidRPr="00A93D71">
        <w:rPr>
          <w:rFonts w:ascii="Courier New" w:eastAsia="MS Mincho" w:hAnsi="Courier New" w:cs="Courier New"/>
          <w:color w:val="000000"/>
          <w:sz w:val="24"/>
          <w:szCs w:val="24"/>
          <w:u w:val="single"/>
        </w:rPr>
        <w:t>Limitations on your ability to dispute a program cohort default rate</w:t>
      </w:r>
      <w:r w:rsidRPr="00A93D71">
        <w:rPr>
          <w:rFonts w:ascii="Courier New" w:eastAsia="MS Mincho" w:hAnsi="Courier New" w:cs="Courier New"/>
          <w:color w:val="000000"/>
          <w:sz w:val="24"/>
          <w:szCs w:val="24"/>
        </w:rPr>
        <w:t>.</w:t>
      </w:r>
    </w:p>
    <w:p w14:paraId="182910E7"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You may not dispute the calculation of a program cohort default rate except as described in this subpart.</w:t>
      </w:r>
    </w:p>
    <w:p w14:paraId="7A7A2686"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You may not request an adjustment, or appeal a program cohort default rate, under </w:t>
      </w:r>
      <w:hyperlink r:id="rId40" w:history="1">
        <w:r w:rsidRPr="00A93D71">
          <w:rPr>
            <w:rFonts w:ascii="Courier New" w:eastAsia="MS Mincho" w:hAnsi="Courier New" w:cs="Courier New"/>
            <w:color w:val="000000"/>
            <w:sz w:val="24"/>
            <w:szCs w:val="24"/>
          </w:rPr>
          <w:t>§668.509</w:t>
        </w:r>
      </w:hyperlink>
      <w:r w:rsidRPr="00A93D71">
        <w:rPr>
          <w:rFonts w:ascii="Courier New" w:eastAsia="MS Mincho" w:hAnsi="Courier New" w:cs="Courier New"/>
          <w:color w:val="000000"/>
          <w:sz w:val="24"/>
          <w:szCs w:val="24"/>
        </w:rPr>
        <w:t xml:space="preserve">, </w:t>
      </w:r>
      <w:hyperlink r:id="rId41" w:history="1">
        <w:r w:rsidRPr="00A93D71">
          <w:rPr>
            <w:rFonts w:ascii="Courier New" w:eastAsia="MS Mincho" w:hAnsi="Courier New" w:cs="Courier New"/>
            <w:color w:val="000000"/>
            <w:sz w:val="24"/>
            <w:szCs w:val="24"/>
          </w:rPr>
          <w:t>§668.510</w:t>
        </w:r>
      </w:hyperlink>
      <w:r w:rsidRPr="00A93D71">
        <w:rPr>
          <w:rFonts w:ascii="Courier New" w:eastAsia="MS Mincho" w:hAnsi="Courier New" w:cs="Courier New"/>
          <w:color w:val="000000"/>
          <w:sz w:val="24"/>
          <w:szCs w:val="24"/>
        </w:rPr>
        <w:t xml:space="preserve">, </w:t>
      </w:r>
      <w:hyperlink r:id="rId42" w:history="1">
        <w:r w:rsidRPr="00A93D71">
          <w:rPr>
            <w:rFonts w:ascii="Courier New" w:eastAsia="MS Mincho" w:hAnsi="Courier New" w:cs="Courier New"/>
            <w:color w:val="000000"/>
            <w:sz w:val="24"/>
            <w:szCs w:val="24"/>
          </w:rPr>
          <w:t>§668.511</w:t>
        </w:r>
      </w:hyperlink>
      <w:r w:rsidRPr="00A93D71">
        <w:rPr>
          <w:rFonts w:ascii="Courier New" w:eastAsia="MS Mincho" w:hAnsi="Courier New" w:cs="Courier New"/>
          <w:color w:val="000000"/>
          <w:sz w:val="24"/>
          <w:szCs w:val="24"/>
        </w:rPr>
        <w:t xml:space="preserve">, or </w:t>
      </w:r>
      <w:hyperlink r:id="rId43" w:history="1">
        <w:r w:rsidRPr="00A93D71">
          <w:rPr>
            <w:rFonts w:ascii="Courier New" w:eastAsia="MS Mincho" w:hAnsi="Courier New" w:cs="Courier New"/>
            <w:color w:val="000000"/>
            <w:sz w:val="24"/>
            <w:szCs w:val="24"/>
          </w:rPr>
          <w:t>§668.512</w:t>
        </w:r>
      </w:hyperlink>
      <w:r w:rsidRPr="00A93D71">
        <w:rPr>
          <w:rFonts w:ascii="Courier New" w:eastAsia="MS Mincho" w:hAnsi="Courier New" w:cs="Courier New"/>
          <w:color w:val="000000"/>
          <w:sz w:val="24"/>
          <w:szCs w:val="24"/>
        </w:rPr>
        <w:t>, more than once.</w:t>
      </w:r>
    </w:p>
    <w:p w14:paraId="3B24D88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(c)  </w:t>
      </w:r>
      <w:r w:rsidRPr="00A93D71">
        <w:rPr>
          <w:rFonts w:ascii="Courier New" w:eastAsia="MS Mincho" w:hAnsi="Courier New" w:cs="Courier New"/>
          <w:color w:val="000000"/>
          <w:sz w:val="24"/>
          <w:szCs w:val="24"/>
          <w:u w:val="single"/>
        </w:rPr>
        <w:t>Content and format of requests for adjustments and appeals</w:t>
      </w:r>
      <w:r w:rsidRPr="00A93D71">
        <w:rPr>
          <w:rFonts w:ascii="Courier New" w:eastAsia="MS Mincho" w:hAnsi="Courier New" w:cs="Courier New"/>
          <w:color w:val="000000"/>
          <w:sz w:val="24"/>
          <w:szCs w:val="24"/>
        </w:rPr>
        <w:t>.  We may deny your request for adjustment or appeal if it does not meet the following requirements:</w:t>
      </w:r>
    </w:p>
    <w:p w14:paraId="0F92ABA7"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(1)  All appeals, notices, requests, independent auditor’s opinions, management’s written assertions, and other correspondence that you are required to send under this subpart must be complete, timely, accurate, and in a format acceptable to us.  This acceptable format is described in materials that we provide to you.</w:t>
      </w:r>
    </w:p>
    <w:p w14:paraId="08CFD088"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(2)  Your completed request for adjustment or appeal must include-- </w:t>
      </w:r>
    </w:p>
    <w:p w14:paraId="277FA0FD"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  All of the information necessary to substantiate your request for adjustment or appeal; and </w:t>
      </w:r>
    </w:p>
    <w:p w14:paraId="664FCA7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(ii)  A certification by your chief executive officer, under penalty of perjury, that all the information you provide is true and correct.</w:t>
      </w:r>
    </w:p>
    <w:p w14:paraId="1E185A0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(d)  </w:t>
      </w:r>
      <w:r w:rsidRPr="00A93D71">
        <w:rPr>
          <w:rFonts w:ascii="Courier New" w:eastAsia="MS Mincho" w:hAnsi="Courier New" w:cs="Courier New"/>
          <w:color w:val="000000"/>
          <w:sz w:val="24"/>
          <w:szCs w:val="24"/>
          <w:u w:val="single"/>
        </w:rPr>
        <w:t>Our copies of your correspondence</w:t>
      </w:r>
      <w:r w:rsidRPr="00A93D71">
        <w:rPr>
          <w:rFonts w:ascii="Courier New" w:eastAsia="MS Mincho" w:hAnsi="Courier New" w:cs="Courier New"/>
          <w:color w:val="000000"/>
          <w:sz w:val="24"/>
          <w:szCs w:val="24"/>
        </w:rPr>
        <w:t>.  Whenever you are required by this subpart to correspond with a party other than us, you must send us a copy of your correspondence within the same time deadlines.  However, you are not required to send us copies of documents that you received from us originally.</w:t>
      </w:r>
    </w:p>
    <w:p w14:paraId="2741B97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(e)  </w:t>
      </w:r>
      <w:r w:rsidRPr="00A93D71">
        <w:rPr>
          <w:rFonts w:ascii="Courier New" w:eastAsia="MS Mincho" w:hAnsi="Courier New" w:cs="Courier New"/>
          <w:color w:val="000000"/>
          <w:sz w:val="24"/>
          <w:szCs w:val="24"/>
          <w:u w:val="single"/>
        </w:rPr>
        <w:t>Requirements for data managers’ responses</w:t>
      </w:r>
      <w:r w:rsidRPr="00A93D71">
        <w:rPr>
          <w:rFonts w:ascii="Courier New" w:eastAsia="MS Mincho" w:hAnsi="Courier New" w:cs="Courier New"/>
          <w:color w:val="000000"/>
          <w:sz w:val="24"/>
          <w:szCs w:val="24"/>
        </w:rPr>
        <w:t>.</w:t>
      </w:r>
    </w:p>
    <w:p w14:paraId="1F751A0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Except as otherwise provided in this subpart, if this subpart requires a data manager to correspond with any party other than us, the data manager must send us a copy of the correspondence within the same time deadlines.</w:t>
      </w:r>
    </w:p>
    <w:p w14:paraId="6A73FB1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If a data manager sends us correspondence under this subpart that is not in a format acceptable to us, we may require the data manager to revise that correspondence’s format, and we may prescribe a format for that data manager’s subsequent correspondence with us.</w:t>
      </w:r>
    </w:p>
    <w:p w14:paraId="7E74BA4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(f)  </w:t>
      </w:r>
      <w:r w:rsidRPr="00A93D71">
        <w:rPr>
          <w:rFonts w:ascii="Courier New" w:eastAsia="MS Mincho" w:hAnsi="Courier New" w:cs="Courier New"/>
          <w:color w:val="000000"/>
          <w:sz w:val="24"/>
          <w:szCs w:val="24"/>
          <w:u w:val="single"/>
        </w:rPr>
        <w:t>Our decision on your request for adjustment or appeal</w:t>
      </w:r>
      <w:r w:rsidRPr="00A93D71">
        <w:rPr>
          <w:rFonts w:ascii="Courier New" w:eastAsia="MS Mincho" w:hAnsi="Courier New" w:cs="Courier New"/>
          <w:color w:val="000000"/>
          <w:sz w:val="24"/>
          <w:szCs w:val="24"/>
        </w:rPr>
        <w:t>.</w:t>
      </w:r>
    </w:p>
    <w:p w14:paraId="5F1B51F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We determine whether your request for an adjustment or appeal is in compliance with this subpart.</w:t>
      </w:r>
    </w:p>
    <w:p w14:paraId="3623791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(2)  In making our decision for an adjustment, under </w:t>
      </w:r>
      <w:hyperlink r:id="rId44" w:history="1">
        <w:r w:rsidRPr="00A93D71">
          <w:rPr>
            <w:rFonts w:ascii="Courier New" w:eastAsia="MS Mincho" w:hAnsi="Courier New" w:cs="Courier New"/>
            <w:color w:val="000000"/>
            <w:sz w:val="24"/>
            <w:szCs w:val="24"/>
          </w:rPr>
          <w:t>§668.509</w:t>
        </w:r>
      </w:hyperlink>
      <w:r w:rsidRPr="00A93D71">
        <w:rPr>
          <w:rFonts w:ascii="Courier New" w:eastAsia="MS Mincho" w:hAnsi="Courier New" w:cs="Courier New"/>
          <w:color w:val="000000"/>
          <w:sz w:val="24"/>
          <w:szCs w:val="24"/>
        </w:rPr>
        <w:t xml:space="preserve"> or </w:t>
      </w:r>
      <w:hyperlink r:id="rId45" w:history="1">
        <w:r w:rsidRPr="00A93D71">
          <w:rPr>
            <w:rFonts w:ascii="Courier New" w:eastAsia="MS Mincho" w:hAnsi="Courier New" w:cs="Courier New"/>
            <w:color w:val="000000"/>
            <w:sz w:val="24"/>
            <w:szCs w:val="24"/>
          </w:rPr>
          <w:t>§668.510</w:t>
        </w:r>
      </w:hyperlink>
      <w:r w:rsidRPr="00A93D71">
        <w:rPr>
          <w:rFonts w:ascii="Courier New" w:eastAsia="MS Mincho" w:hAnsi="Courier New" w:cs="Courier New"/>
          <w:color w:val="000000"/>
          <w:sz w:val="24"/>
          <w:szCs w:val="24"/>
        </w:rPr>
        <w:t xml:space="preserve">, or an appeal, under </w:t>
      </w:r>
      <w:hyperlink r:id="rId46" w:history="1">
        <w:r w:rsidRPr="00A93D71">
          <w:rPr>
            <w:rFonts w:ascii="Courier New" w:eastAsia="MS Mincho" w:hAnsi="Courier New" w:cs="Courier New"/>
            <w:color w:val="000000"/>
            <w:sz w:val="24"/>
            <w:szCs w:val="24"/>
          </w:rPr>
          <w:t>§668.511</w:t>
        </w:r>
      </w:hyperlink>
      <w:r w:rsidRPr="00A93D71">
        <w:rPr>
          <w:rFonts w:ascii="Courier New" w:eastAsia="MS Mincho" w:hAnsi="Courier New" w:cs="Courier New"/>
          <w:color w:val="000000"/>
          <w:sz w:val="24"/>
          <w:szCs w:val="24"/>
        </w:rPr>
        <w:t xml:space="preserve"> or </w:t>
      </w:r>
      <w:hyperlink r:id="rId47" w:history="1">
        <w:r w:rsidRPr="00A93D71">
          <w:rPr>
            <w:rFonts w:ascii="Courier New" w:eastAsia="MS Mincho" w:hAnsi="Courier New" w:cs="Courier New"/>
            <w:color w:val="000000"/>
            <w:sz w:val="24"/>
            <w:szCs w:val="24"/>
          </w:rPr>
          <w:t>§668.512</w:t>
        </w:r>
      </w:hyperlink>
      <w:r w:rsidRPr="00A93D71">
        <w:rPr>
          <w:rFonts w:ascii="Courier New" w:eastAsia="MS Mincho" w:hAnsi="Courier New" w:cs="Courier New"/>
          <w:color w:val="000000"/>
          <w:sz w:val="24"/>
          <w:szCs w:val="24"/>
        </w:rPr>
        <w:t>--</w:t>
      </w:r>
    </w:p>
    <w:p w14:paraId="09E87E4F"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We presume that the information provided to you by a data manager is correct unless you provide substantial evidence that shows the information is not correct; and</w:t>
      </w:r>
    </w:p>
    <w:p w14:paraId="37425D3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If we determine that a data manager did not provide the necessary clarifying information or legible records in meeting the requirements of this subpart, we presume that the evidence that you provide to us is correct unless it is contradicted or otherwise proven to be incorrect by information we maintain.</w:t>
      </w:r>
    </w:p>
    <w:p w14:paraId="07FEC98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Our decision is based on the materials you submit under this subpart.  We do not provide an oral hearing.</w:t>
      </w:r>
    </w:p>
    <w:p w14:paraId="5485B22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We notify you of our decision before we notify you of your next official program cohort default rate.</w:t>
      </w:r>
    </w:p>
    <w:p w14:paraId="281177C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(5)  You may not seek judicial review of our determination of a program cohort default rate until we issue our decision on all pending requests for adjustments or appeals for that program cohort default rate.</w:t>
      </w:r>
    </w:p>
    <w:p w14:paraId="412C40A4"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59B8B462"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40" w:name="_Toc354744178"/>
      <w:r w:rsidRPr="00A93D71">
        <w:rPr>
          <w:rFonts w:ascii="Courier New" w:eastAsia="MS Mincho" w:hAnsi="Courier New" w:cs="Courier New"/>
          <w:sz w:val="24"/>
          <w:szCs w:val="24"/>
          <w:u w:val="single"/>
        </w:rPr>
        <w:t>§668.509  Uncorrected data adjustments</w:t>
      </w:r>
      <w:bookmarkEnd w:id="40"/>
      <w:r w:rsidRPr="00A93D71">
        <w:rPr>
          <w:rFonts w:ascii="Courier New" w:eastAsia="MS Mincho" w:hAnsi="Courier New" w:cs="Courier New"/>
          <w:color w:val="000000"/>
          <w:sz w:val="24"/>
          <w:szCs w:val="24"/>
        </w:rPr>
        <w:t>.</w:t>
      </w:r>
    </w:p>
    <w:p w14:paraId="1DED078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bookmarkStart w:id="41" w:name="co_anchor_I3CE5849042EA11E09AE28425EA942"/>
      <w:bookmarkEnd w:id="41"/>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Eligibility</w:t>
      </w:r>
      <w:r w:rsidRPr="00A93D71">
        <w:rPr>
          <w:rFonts w:ascii="Courier New" w:eastAsia="MS Mincho" w:hAnsi="Courier New" w:cs="Courier New"/>
          <w:color w:val="000000"/>
          <w:sz w:val="24"/>
          <w:szCs w:val="24"/>
        </w:rPr>
        <w:t xml:space="preserve">.  You may request an uncorrected data adjustment for a GE program’s most recent cohort of borrowers used to calculate the most recent official program cohort default rate if, in response to your challenge under </w:t>
      </w:r>
      <w:hyperlink r:id="rId48" w:anchor="co_pp_a83b000018c76" w:history="1">
        <w:r w:rsidRPr="00A93D71">
          <w:rPr>
            <w:rFonts w:ascii="Courier New" w:eastAsia="MS Mincho" w:hAnsi="Courier New" w:cs="Courier New"/>
            <w:color w:val="000000"/>
            <w:sz w:val="24"/>
            <w:szCs w:val="24"/>
          </w:rPr>
          <w:t>§668.504(b)</w:t>
        </w:r>
      </w:hyperlink>
      <w:r w:rsidRPr="00A93D71">
        <w:rPr>
          <w:rFonts w:ascii="Courier New" w:eastAsia="MS Mincho" w:hAnsi="Courier New" w:cs="Courier New"/>
          <w:color w:val="000000"/>
          <w:sz w:val="24"/>
          <w:szCs w:val="24"/>
        </w:rPr>
        <w:t>, a data manager agreed correctly to change the data, but the changes are not reflected in your official program cohort default rate.</w:t>
      </w:r>
    </w:p>
    <w:p w14:paraId="29462CB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Deadlines for requesting an uncorrected data adjustment</w:t>
      </w:r>
      <w:r w:rsidRPr="00A93D71">
        <w:rPr>
          <w:rFonts w:ascii="Courier New" w:eastAsia="MS Mincho" w:hAnsi="Courier New" w:cs="Courier New"/>
          <w:color w:val="000000"/>
          <w:sz w:val="24"/>
          <w:szCs w:val="24"/>
        </w:rPr>
        <w:t>.  You must send us a request for an uncorrected data adjustment, including all supporting documentation, within 30 days after you receive your loan record detail report from us.</w:t>
      </w:r>
    </w:p>
    <w:p w14:paraId="042E598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Determination</w:t>
      </w:r>
      <w:r w:rsidRPr="00A93D71">
        <w:rPr>
          <w:rFonts w:ascii="Courier New" w:eastAsia="MS Mincho" w:hAnsi="Courier New" w:cs="Courier New"/>
          <w:color w:val="000000"/>
          <w:sz w:val="24"/>
          <w:szCs w:val="24"/>
        </w:rPr>
        <w:t>.  We recalculate your program cohort default rate, based on the corrected data, and correct the rate that is publicly released, if we determine that--</w:t>
      </w:r>
    </w:p>
    <w:p w14:paraId="012E2D6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(1)  In response to your challenge under </w:t>
      </w:r>
      <w:hyperlink r:id="rId49" w:anchor="co_pp_a83b000018c76" w:history="1">
        <w:r w:rsidRPr="00A93D71">
          <w:rPr>
            <w:rFonts w:ascii="Courier New" w:eastAsia="MS Mincho" w:hAnsi="Courier New" w:cs="Courier New"/>
            <w:color w:val="000000"/>
            <w:sz w:val="24"/>
            <w:szCs w:val="24"/>
          </w:rPr>
          <w:t>§668.504(b)</w:t>
        </w:r>
      </w:hyperlink>
      <w:r w:rsidRPr="00A93D71">
        <w:rPr>
          <w:rFonts w:ascii="Courier New" w:eastAsia="MS Mincho" w:hAnsi="Courier New" w:cs="Courier New"/>
          <w:color w:val="000000"/>
          <w:sz w:val="24"/>
          <w:szCs w:val="24"/>
        </w:rPr>
        <w:t>, a data manager agreed to change the data; </w:t>
      </w:r>
    </w:p>
    <w:p w14:paraId="638F635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The changes described in paragraph (c)(1) are not reflected in your official program cohort default rate; and </w:t>
      </w:r>
    </w:p>
    <w:p w14:paraId="0EE3B61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We agree that the data are incorrect.</w:t>
      </w:r>
    </w:p>
    <w:p w14:paraId="50CC497F"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rPr>
      </w:pPr>
      <w:r w:rsidRPr="00A93D71">
        <w:rPr>
          <w:rFonts w:ascii="Courier New" w:eastAsia="MS Mincho" w:hAnsi="Courier New" w:cs="Courier New"/>
          <w:color w:val="000000"/>
          <w:sz w:val="24"/>
          <w:szCs w:val="24"/>
        </w:rPr>
        <w:t>(Authority:  20 U.S.C. 1001, 1002, 1088) </w:t>
      </w:r>
      <w:bookmarkStart w:id="42" w:name="_Toc354744179"/>
      <w:r w:rsidRPr="00A93D71">
        <w:rPr>
          <w:rFonts w:ascii="Courier New" w:eastAsia="MS Mincho" w:hAnsi="Courier New" w:cs="Courier New"/>
          <w:sz w:val="24"/>
          <w:szCs w:val="24"/>
        </w:rPr>
        <w:t xml:space="preserve"> </w:t>
      </w:r>
    </w:p>
    <w:p w14:paraId="482C6421"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§668.510  New data adjustments</w:t>
      </w:r>
      <w:bookmarkEnd w:id="42"/>
      <w:r w:rsidRPr="00A93D71">
        <w:rPr>
          <w:rFonts w:ascii="Courier New" w:eastAsia="MS Mincho" w:hAnsi="Courier New" w:cs="Courier New"/>
          <w:color w:val="000000"/>
          <w:sz w:val="24"/>
          <w:szCs w:val="24"/>
        </w:rPr>
        <w:t>.</w:t>
      </w:r>
    </w:p>
    <w:p w14:paraId="6A0A1B6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bookmarkStart w:id="43" w:name="co_anchor_I3D24FE9042EA11E08E1CD20EB0A88"/>
      <w:bookmarkEnd w:id="43"/>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Eligibility</w:t>
      </w:r>
      <w:r w:rsidRPr="00A93D71">
        <w:rPr>
          <w:rFonts w:ascii="Courier New" w:eastAsia="MS Mincho" w:hAnsi="Courier New" w:cs="Courier New"/>
          <w:color w:val="000000"/>
          <w:sz w:val="24"/>
          <w:szCs w:val="24"/>
        </w:rPr>
        <w:t>.  You may request a new data adjustment for the most recent program cohort of borrowers, used to calculate the most recent official program cohort default rate for a GE program, if--</w:t>
      </w:r>
    </w:p>
    <w:p w14:paraId="20CA415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A comparison of the loan record detail reports that we provide to you for the draft and official program cohort default rates shows that the data have been newly included, excluded, or otherwise changed; and</w:t>
      </w:r>
    </w:p>
    <w:p w14:paraId="0A38A6C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You identify errors in the data described in paragraph (a)(1) that are confirmed by the data manager.</w:t>
      </w:r>
    </w:p>
    <w:p w14:paraId="3A62FEC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Deadlines for requesting a new data adjustment</w:t>
      </w:r>
      <w:r w:rsidRPr="00A93D71">
        <w:rPr>
          <w:rFonts w:ascii="Courier New" w:eastAsia="MS Mincho" w:hAnsi="Courier New" w:cs="Courier New"/>
          <w:color w:val="000000"/>
          <w:sz w:val="24"/>
          <w:szCs w:val="24"/>
        </w:rPr>
        <w:t>.</w:t>
      </w:r>
    </w:p>
    <w:p w14:paraId="02D4F40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You must send to the relevant data manager, or data managers, and us a request for a new data adjustment, including all supporting documentation, within 15 days after you receive your loan record detail report from us.</w:t>
      </w:r>
    </w:p>
    <w:p w14:paraId="3EA1B0C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Within 20 days after receiving your request for a new data adjustment, the data manager must send you and us a response that--</w:t>
      </w:r>
    </w:p>
    <w:p w14:paraId="5C081AD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Addresses each of your allegations of error; and </w:t>
      </w:r>
    </w:p>
    <w:p w14:paraId="3DFA725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Includes the documentation used to support the data manager’s position.</w:t>
      </w:r>
    </w:p>
    <w:p w14:paraId="4C012AF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Within 15 days after receiving a guaranty agency’s notice that we hold an FFELP loan about which you are inquiring, you must send us your request for a new data adjustment for that loan.  We respond to your request as set forth under paragraph (b)(2).</w:t>
      </w:r>
    </w:p>
    <w:p w14:paraId="63DA9B9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Within 15 days after receiving incomplete or illegible records or data from a data manager, you must send a request for replacement records or clarification of data to the data manager and us.</w:t>
      </w:r>
    </w:p>
    <w:p w14:paraId="548F3FA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(5)  Within 20 days after receiving your request for replacement records or clarification of data, the data manager must--</w:t>
      </w:r>
    </w:p>
    <w:p w14:paraId="168AB18F"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Replace the missing or illegible records; </w:t>
      </w:r>
    </w:p>
    <w:p w14:paraId="61CA690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Provide clarifying information; or </w:t>
      </w:r>
    </w:p>
    <w:p w14:paraId="2D2C269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(iii)  Notify you and us that no clarifying information or additional or improved records are available.</w:t>
      </w:r>
    </w:p>
    <w:p w14:paraId="11D0F15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(6)  You must send us your completed request for a new data adjustment, including all supporting documentation--</w:t>
      </w:r>
    </w:p>
    <w:p w14:paraId="17C6FD2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Within 30 days after you receive the final data manager’s response to your request or requests; or </w:t>
      </w:r>
    </w:p>
    <w:p w14:paraId="47E9BE1E" w14:textId="77777777" w:rsidR="00997197" w:rsidRPr="00A93D71" w:rsidRDefault="00997197" w:rsidP="00A93D71">
      <w:pPr>
        <w:tabs>
          <w:tab w:val="left" w:pos="720"/>
        </w:tabs>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     (ii)  If you are also filing an erroneous data appeal or a loan servicing appeal, by the latest of the filing dates required in paragraph (b)(6)(i) or in </w:t>
      </w:r>
      <w:hyperlink r:id="rId50" w:anchor="co_pp_52cb0000b0c66" w:history="1">
        <w:r w:rsidRPr="00A93D71">
          <w:rPr>
            <w:rFonts w:ascii="Courier New" w:eastAsia="MS Mincho" w:hAnsi="Courier New" w:cs="Courier New"/>
            <w:color w:val="000000"/>
            <w:sz w:val="24"/>
            <w:szCs w:val="24"/>
          </w:rPr>
          <w:t>§668.511(b)(6)(i)</w:t>
        </w:r>
      </w:hyperlink>
      <w:r w:rsidRPr="00A93D71">
        <w:rPr>
          <w:rFonts w:ascii="Courier New" w:eastAsia="MS Mincho" w:hAnsi="Courier New" w:cs="Courier New"/>
          <w:color w:val="000000"/>
          <w:sz w:val="24"/>
          <w:szCs w:val="24"/>
        </w:rPr>
        <w:t xml:space="preserve"> or </w:t>
      </w:r>
      <w:hyperlink r:id="rId51" w:anchor="co_pp_71b40000ff0f0" w:history="1">
        <w:r w:rsidRPr="00A93D71">
          <w:rPr>
            <w:rFonts w:ascii="Courier New" w:eastAsia="MS Mincho" w:hAnsi="Courier New" w:cs="Courier New"/>
            <w:color w:val="000000"/>
            <w:sz w:val="24"/>
            <w:szCs w:val="24"/>
          </w:rPr>
          <w:t>§668.512(c)(10)(i)</w:t>
        </w:r>
      </w:hyperlink>
      <w:r w:rsidRPr="00A93D71">
        <w:rPr>
          <w:rFonts w:ascii="Courier New" w:eastAsia="MS Mincho" w:hAnsi="Courier New" w:cs="Courier New"/>
          <w:color w:val="000000"/>
          <w:sz w:val="24"/>
          <w:szCs w:val="24"/>
        </w:rPr>
        <w:t>.</w:t>
      </w:r>
    </w:p>
    <w:p w14:paraId="6D2F6AA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Determination</w:t>
      </w:r>
      <w:r w:rsidRPr="00A93D71">
        <w:rPr>
          <w:rFonts w:ascii="Courier New" w:eastAsia="MS Mincho" w:hAnsi="Courier New" w:cs="Courier New"/>
          <w:color w:val="000000"/>
          <w:sz w:val="24"/>
          <w:szCs w:val="24"/>
        </w:rPr>
        <w:t>.  If we determine that incorrect data were used to calculate your program cohort default rate, we recalculate your program cohort default rate based on the correct data and make corrections to the rate that is publicly released.</w:t>
      </w:r>
    </w:p>
    <w:p w14:paraId="4F1B55C5"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66B63CF5"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44" w:name="_Toc354744180"/>
      <w:r w:rsidRPr="00A93D71">
        <w:rPr>
          <w:rFonts w:ascii="Courier New" w:eastAsia="MS Mincho" w:hAnsi="Courier New" w:cs="Courier New"/>
          <w:sz w:val="24"/>
          <w:szCs w:val="24"/>
          <w:u w:val="single"/>
        </w:rPr>
        <w:t>§668.511  Erroneous data appeals</w:t>
      </w:r>
      <w:bookmarkEnd w:id="44"/>
      <w:r w:rsidRPr="00A93D71">
        <w:rPr>
          <w:rFonts w:ascii="Courier New" w:eastAsia="MS Mincho" w:hAnsi="Courier New" w:cs="Courier New"/>
          <w:color w:val="000000"/>
          <w:sz w:val="24"/>
          <w:szCs w:val="24"/>
        </w:rPr>
        <w:t>.</w:t>
      </w:r>
      <w:bookmarkStart w:id="45" w:name="co_anchor_I3D10652042EA11E0ACD5888FA94BC"/>
      <w:bookmarkEnd w:id="45"/>
    </w:p>
    <w:p w14:paraId="784D6D6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Eligibility</w:t>
      </w:r>
      <w:r w:rsidRPr="00A93D71">
        <w:rPr>
          <w:rFonts w:ascii="Courier New" w:eastAsia="MS Mincho" w:hAnsi="Courier New" w:cs="Courier New"/>
          <w:color w:val="000000"/>
          <w:sz w:val="24"/>
          <w:szCs w:val="24"/>
        </w:rPr>
        <w:t xml:space="preserve">.  Except as provided in </w:t>
      </w:r>
      <w:hyperlink r:id="rId52" w:anchor="co_pp_a83b000018c76" w:history="1">
        <w:r w:rsidRPr="00A93D71">
          <w:rPr>
            <w:rFonts w:ascii="Courier New" w:eastAsia="MS Mincho" w:hAnsi="Courier New" w:cs="Courier New"/>
            <w:color w:val="000000"/>
            <w:sz w:val="24"/>
            <w:szCs w:val="24"/>
          </w:rPr>
          <w:t>§668.508(b)</w:t>
        </w:r>
      </w:hyperlink>
      <w:r w:rsidRPr="00A93D71">
        <w:rPr>
          <w:rFonts w:ascii="Courier New" w:eastAsia="MS Mincho" w:hAnsi="Courier New" w:cs="Courier New"/>
          <w:color w:val="000000"/>
          <w:sz w:val="24"/>
          <w:szCs w:val="24"/>
        </w:rPr>
        <w:t>, you may appeal the calculation of a program cohort default rate if--</w:t>
      </w:r>
    </w:p>
    <w:p w14:paraId="4D6ADF8F"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(1)  You dispute the accuracy of data that you previously challenged on the basis of incorrect data under </w:t>
      </w:r>
      <w:hyperlink r:id="rId53" w:anchor="co_pp_a83b000018c76" w:history="1">
        <w:r w:rsidRPr="00A93D71">
          <w:rPr>
            <w:rFonts w:ascii="Courier New" w:eastAsia="MS Mincho" w:hAnsi="Courier New" w:cs="Courier New"/>
            <w:color w:val="000000"/>
            <w:sz w:val="24"/>
            <w:szCs w:val="24"/>
          </w:rPr>
          <w:t>§668.504(b)</w:t>
        </w:r>
      </w:hyperlink>
      <w:r w:rsidRPr="00A93D71">
        <w:rPr>
          <w:rFonts w:ascii="Courier New" w:eastAsia="MS Mincho" w:hAnsi="Courier New" w:cs="Courier New"/>
          <w:color w:val="000000"/>
          <w:sz w:val="24"/>
          <w:szCs w:val="24"/>
        </w:rPr>
        <w:t>; or</w:t>
      </w:r>
    </w:p>
    <w:p w14:paraId="180F546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A comparison of the loan record detail reports that we provide to you for the draft and official program cohort default rates shows that the data have been newly included, excluded, or otherwise changed, and you dispute the accuracy of that data.</w:t>
      </w:r>
    </w:p>
    <w:p w14:paraId="1F24E88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Deadlines for submitting an appeal</w:t>
      </w:r>
      <w:r w:rsidRPr="00A93D71">
        <w:rPr>
          <w:rFonts w:ascii="Courier New" w:eastAsia="MS Mincho" w:hAnsi="Courier New" w:cs="Courier New"/>
          <w:color w:val="000000"/>
          <w:sz w:val="24"/>
          <w:szCs w:val="24"/>
        </w:rPr>
        <w:t>.</w:t>
      </w:r>
    </w:p>
    <w:p w14:paraId="65F8597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You must send a request for verification of data errors to the relevant data manager, or data managers, and to us within 15 days after you receive the notice of your official program cohort default rate.  Your request must include a description of the information in the program cohort default rate data that you believe is incorrect and all supporting documentation that demonstrates the error.</w:t>
      </w:r>
    </w:p>
    <w:p w14:paraId="038D9B8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Within 20 days after receiving your request for verification of data errors, the data manager must send you and us a response that--</w:t>
      </w:r>
    </w:p>
    <w:p w14:paraId="6A9352D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Addresses each of your allegations of error; and </w:t>
      </w:r>
    </w:p>
    <w:p w14:paraId="30DDFE0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Includes the documentation used to support the data manager’s position.</w:t>
      </w:r>
    </w:p>
    <w:p w14:paraId="4F6789B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Within 15 days after receiving a guaranty agency’s notice that we hold an FFELP loan about which you are inquiring, you must send us your request for verification of that loan’s data errors.  Your request must include a description of the information in the program cohort default rate data that you believe is incorrect and all supporting documentation that demonstrates the error.  We respond to your request as set forth under paragraph (b)(2).</w:t>
      </w:r>
    </w:p>
    <w:p w14:paraId="521C1C2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Within 15 days after receiving incomplete or illegible records or data, you must send a request for replacement records or clarification of data to the data manager and us.</w:t>
      </w:r>
    </w:p>
    <w:p w14:paraId="1B70239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(5)  Within 20 days after receiving your request for replacement records or clarification of data, the data manager must--</w:t>
      </w:r>
    </w:p>
    <w:p w14:paraId="3812062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Replace the missing or illegible records; </w:t>
      </w:r>
    </w:p>
    <w:p w14:paraId="2683367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Provide clarifying information; or </w:t>
      </w:r>
    </w:p>
    <w:p w14:paraId="12CDA92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(iii)  Notify you and us that no clarifying information or additional or improved records are available.</w:t>
      </w:r>
    </w:p>
    <w:p w14:paraId="76DF3E44"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(6)  You must send your completed appeal to us, including all supporting documentation-- </w:t>
      </w:r>
    </w:p>
    <w:p w14:paraId="6D64B5A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Within 30 days after you receive the final data manager’s response to your request; or </w:t>
      </w:r>
    </w:p>
    <w:p w14:paraId="4B98D62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(ii)  If you are also requesting a new data adjustment or filing a loan servicing appeal, by the latest of the filing dates required in paragraph (b)(6)(i) or in </w:t>
      </w:r>
      <w:hyperlink r:id="rId54" w:anchor="co_pp_52cb0000b0c66" w:history="1">
        <w:r w:rsidRPr="00A93D71">
          <w:rPr>
            <w:rFonts w:ascii="Courier New" w:eastAsia="MS Mincho" w:hAnsi="Courier New" w:cs="Courier New"/>
            <w:color w:val="000000"/>
            <w:sz w:val="24"/>
            <w:szCs w:val="24"/>
          </w:rPr>
          <w:t>§668.510(b)(6)(i)</w:t>
        </w:r>
      </w:hyperlink>
      <w:r w:rsidRPr="00A93D71">
        <w:rPr>
          <w:rFonts w:ascii="Courier New" w:eastAsia="MS Mincho" w:hAnsi="Courier New" w:cs="Courier New"/>
          <w:color w:val="000000"/>
          <w:sz w:val="24"/>
          <w:szCs w:val="24"/>
        </w:rPr>
        <w:t xml:space="preserve"> or </w:t>
      </w:r>
      <w:hyperlink r:id="rId55" w:anchor="co_pp_71b40000ff0f0" w:history="1">
        <w:r w:rsidRPr="00A93D71">
          <w:rPr>
            <w:rFonts w:ascii="Courier New" w:eastAsia="MS Mincho" w:hAnsi="Courier New" w:cs="Courier New"/>
            <w:color w:val="000000"/>
            <w:sz w:val="24"/>
            <w:szCs w:val="24"/>
          </w:rPr>
          <w:t>§668.512(c)(10)(i)</w:t>
        </w:r>
      </w:hyperlink>
      <w:r w:rsidRPr="00A93D71">
        <w:rPr>
          <w:rFonts w:ascii="Courier New" w:eastAsia="MS Mincho" w:hAnsi="Courier New" w:cs="Courier New"/>
          <w:color w:val="000000"/>
          <w:sz w:val="24"/>
          <w:szCs w:val="24"/>
        </w:rPr>
        <w:t>.</w:t>
      </w:r>
    </w:p>
    <w:p w14:paraId="415C68F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Determination</w:t>
      </w:r>
      <w:r w:rsidRPr="00A93D71">
        <w:rPr>
          <w:rFonts w:ascii="Courier New" w:eastAsia="MS Mincho" w:hAnsi="Courier New" w:cs="Courier New"/>
          <w:color w:val="000000"/>
          <w:sz w:val="24"/>
          <w:szCs w:val="24"/>
        </w:rPr>
        <w:t>.  If we determine that incorrect data were used to calculate your program cohort default rate, we recalculate your program cohort default rate based on the correct data and correct the rate that is publicly released.</w:t>
      </w:r>
    </w:p>
    <w:p w14:paraId="11339A8F"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p>
    <w:p w14:paraId="03BD16BA"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bookmarkStart w:id="46" w:name="_Toc354744181"/>
      <w:r w:rsidRPr="00A93D71">
        <w:rPr>
          <w:rFonts w:ascii="Courier New" w:eastAsia="MS Mincho" w:hAnsi="Courier New" w:cs="Courier New"/>
          <w:sz w:val="24"/>
          <w:szCs w:val="24"/>
          <w:u w:val="single"/>
        </w:rPr>
        <w:t>§668.512  Loan servicing appeals</w:t>
      </w:r>
      <w:bookmarkEnd w:id="46"/>
      <w:r w:rsidRPr="00A93D71">
        <w:rPr>
          <w:rFonts w:ascii="Courier New" w:eastAsia="MS Mincho" w:hAnsi="Courier New" w:cs="Courier New"/>
          <w:color w:val="000000"/>
          <w:sz w:val="24"/>
          <w:szCs w:val="24"/>
        </w:rPr>
        <w:t>.</w:t>
      </w:r>
    </w:p>
    <w:p w14:paraId="081D8895" w14:textId="77777777" w:rsidR="00997197" w:rsidRPr="00A93D71" w:rsidRDefault="00997197" w:rsidP="00A93D71">
      <w:pPr>
        <w:keepNext/>
        <w:keepLines/>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(a)  </w:t>
      </w:r>
      <w:r w:rsidRPr="00A93D71">
        <w:rPr>
          <w:rFonts w:ascii="Courier New" w:eastAsia="MS Mincho" w:hAnsi="Courier New" w:cs="Courier New"/>
          <w:color w:val="000000"/>
          <w:sz w:val="24"/>
          <w:szCs w:val="24"/>
          <w:u w:val="single"/>
        </w:rPr>
        <w:t>Eligibility</w:t>
      </w:r>
      <w:r w:rsidRPr="00A93D71">
        <w:rPr>
          <w:rFonts w:ascii="Courier New" w:eastAsia="MS Mincho" w:hAnsi="Courier New" w:cs="Courier New"/>
          <w:color w:val="000000"/>
          <w:sz w:val="24"/>
          <w:szCs w:val="24"/>
        </w:rPr>
        <w:t xml:space="preserve">.  Except as provided in </w:t>
      </w:r>
      <w:hyperlink r:id="rId56" w:anchor="co_pp_a83b000018c76" w:history="1">
        <w:r w:rsidRPr="00A93D71">
          <w:rPr>
            <w:rFonts w:ascii="Courier New" w:eastAsia="MS Mincho" w:hAnsi="Courier New" w:cs="Courier New"/>
            <w:color w:val="000000"/>
            <w:sz w:val="24"/>
            <w:szCs w:val="24"/>
          </w:rPr>
          <w:t>§668.508(b)</w:t>
        </w:r>
      </w:hyperlink>
      <w:r w:rsidRPr="00A93D71">
        <w:rPr>
          <w:rFonts w:ascii="Courier New" w:eastAsia="MS Mincho" w:hAnsi="Courier New" w:cs="Courier New"/>
          <w:color w:val="000000"/>
          <w:sz w:val="24"/>
          <w:szCs w:val="24"/>
        </w:rPr>
        <w:t>, you may appeal, on the basis of improper loan servicing or collection, the calculation of the most recent program cohort default rate for a GE program.</w:t>
      </w:r>
    </w:p>
    <w:p w14:paraId="700D79A4"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(b)  </w:t>
      </w:r>
      <w:r w:rsidRPr="00A93D71">
        <w:rPr>
          <w:rFonts w:ascii="Courier New" w:eastAsia="MS Mincho" w:hAnsi="Courier New" w:cs="Courier New"/>
          <w:color w:val="000000"/>
          <w:sz w:val="24"/>
          <w:szCs w:val="24"/>
          <w:u w:val="single"/>
        </w:rPr>
        <w:t>Improper loan servicing</w:t>
      </w:r>
      <w:r w:rsidRPr="00A93D71">
        <w:rPr>
          <w:rFonts w:ascii="Courier New" w:eastAsia="MS Mincho" w:hAnsi="Courier New" w:cs="Courier New"/>
          <w:color w:val="000000"/>
          <w:sz w:val="24"/>
          <w:szCs w:val="24"/>
        </w:rPr>
        <w:t>.  For the purposes of this section, a default is considered to have been due to improper loan servicing or collection only if the borrower did not make a payment on the loan and you prove that the responsible party failed to perform one or more of the following activities, if that activity applies to the loan:</w:t>
      </w:r>
    </w:p>
    <w:p w14:paraId="50008DA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Send at least one letter (other than the final demand letter) urging the borrower to make payments on the loan.</w:t>
      </w:r>
    </w:p>
    <w:p w14:paraId="404709E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Attempt at least one phone call to the borrower.</w:t>
      </w:r>
    </w:p>
    <w:p w14:paraId="00547CC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Send a final demand letter to the borrower.</w:t>
      </w:r>
    </w:p>
    <w:p w14:paraId="444484B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For a FFELP loan held by us or for a Direct Loan Program loan, document that skip tracing was performed if the applicable servicer determined that it did not have the borrower’s current address.</w:t>
      </w:r>
    </w:p>
    <w:p w14:paraId="13A320F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(5)  For an FFELP loan only-- </w:t>
      </w:r>
    </w:p>
    <w:p w14:paraId="74348177"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Submit a request for preclaims or default aversion assistance to the guaranty agency; and </w:t>
      </w:r>
    </w:p>
    <w:p w14:paraId="1D5794F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Submit a certification or other documentation that skip tracing was performed to the guaranty agency.</w:t>
      </w:r>
    </w:p>
    <w:p w14:paraId="43FB70D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(c)  </w:t>
      </w:r>
      <w:r w:rsidRPr="00A93D71">
        <w:rPr>
          <w:rFonts w:ascii="Courier New" w:eastAsia="MS Mincho" w:hAnsi="Courier New" w:cs="Courier New"/>
          <w:color w:val="000000"/>
          <w:sz w:val="24"/>
          <w:szCs w:val="24"/>
          <w:u w:val="single"/>
        </w:rPr>
        <w:t>Deadlines for submitting an appeal</w:t>
      </w:r>
      <w:r w:rsidRPr="00A93D71">
        <w:rPr>
          <w:rFonts w:ascii="Courier New" w:eastAsia="MS Mincho" w:hAnsi="Courier New" w:cs="Courier New"/>
          <w:color w:val="000000"/>
          <w:sz w:val="24"/>
          <w:szCs w:val="24"/>
        </w:rPr>
        <w:t>.</w:t>
      </w:r>
    </w:p>
    <w:p w14:paraId="202409FF"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If the loan record detail report was not included with your official program cohort default rate notice, you must request it within 15 days after you receive the notice of your official program cohort default rate.</w:t>
      </w:r>
    </w:p>
    <w:p w14:paraId="21A05015"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You must send a request for loan servicing records to the relevant data manager, or data managers, and to us within 15 days after you receive your loan record detail report from us.  If the data manager is a guaranty agency, your request must include a copy of the loan record detail report.</w:t>
      </w:r>
    </w:p>
    <w:p w14:paraId="1E2D044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(3)  Within 20 days after receiving your request for loan servicing records, the data manager must-- </w:t>
      </w:r>
    </w:p>
    <w:p w14:paraId="400AF38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Send you and us a list of the borrowers in your representative sample, as described in paragraph (d) (the list must be in Social Security number order, and it must include the number of defaulted loans included in the program cohort for each listed borrower); </w:t>
      </w:r>
    </w:p>
    <w:p w14:paraId="7F2DA86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Send you and us a description of how your representative sample was chosen; and </w:t>
      </w:r>
    </w:p>
    <w:p w14:paraId="15A19AB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(iii)  Either send you copies of the loan servicing records for the borrowers in your representative sample and send us a copy of its cover letter indicating that the records were sent, or send you and us a notice of the amount of its fee for providing copies of the loan servicing records.</w:t>
      </w:r>
    </w:p>
    <w:p w14:paraId="73B9DDC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(4)  The data manager may charge you a reasonable fee for providing copies of loan servicing records, but it may not charge more than $10 per borrower file.  If a data manager charges a fee, it is not required to send the documents to you until it receives your payment of the fee.</w:t>
      </w:r>
    </w:p>
    <w:p w14:paraId="3C7D55E9"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(5)  If the data manager charges a fee for providing copies of loan servicing records, you must send payment in full to the data manager within 15 days after you receive the notice of the fee.</w:t>
      </w:r>
    </w:p>
    <w:p w14:paraId="2F559DD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(6)  If the data manager charges a fee for providing copies of loan servicing records, and--</w:t>
      </w:r>
    </w:p>
    <w:p w14:paraId="029524EA"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You pay the fee in full and on time, the data manager must send you, within 20 days after it receives your payment, a copy of all loan servicing records for each loan in your representative sample (the copies are provided to you in hard copy format unless the data manager and you agree that another format may be used), and it must send us a copy of its cover letter indicating that the records were sent; or</w:t>
      </w:r>
    </w:p>
    <w:p w14:paraId="2EB5D66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You do not pay the fee in full and on time, the data manager must notify you and us of your failure to pay the fee and that you have waived your right to challenge the calculation of your program cohort default rate based on the data manager’s records.  We accept that determination unless you prove that it is incorrect.</w:t>
      </w:r>
    </w:p>
    <w:p w14:paraId="10EE625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(7)  Within 15 days after receiving a guaranty agency’s notice that we hold an FFELP loan about which you are inquiring, you must send us your request for the loan servicing records for that loan.  We respond to your request under paragraph (c)(3).</w:t>
      </w:r>
    </w:p>
    <w:p w14:paraId="243F944D"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(8)  Within 15 days after receiving incomplete or illegible records, you must send a request for replacement records to the data manager and us.</w:t>
      </w:r>
    </w:p>
    <w:p w14:paraId="362908A4"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(9)  Within 20 days after receiving your request for replacement records, the data manager must either-- </w:t>
      </w:r>
    </w:p>
    <w:p w14:paraId="5F3D5E0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Replace the missing or illegible records; or </w:t>
      </w:r>
    </w:p>
    <w:p w14:paraId="504D4CAB"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(ii)  Notify you and us that no additional or improved copies are available.</w:t>
      </w:r>
    </w:p>
    <w:p w14:paraId="40832E50"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(10)  You must send your appeal to us, including all supporting documentation-- </w:t>
      </w:r>
    </w:p>
    <w:p w14:paraId="03948603"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(i)  Within 30 days after you receive the final data manager’s response to your request for loan servicing records; or </w:t>
      </w:r>
    </w:p>
    <w:p w14:paraId="73E5D77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(ii)  If you are also requesting a new data adjustment or filing an erroneous data appeal, by the latest of the filing dates required in paragraph (c)(10)(i) or in </w:t>
      </w:r>
      <w:hyperlink r:id="rId57" w:anchor="co_pp_52cb0000b0c66" w:history="1">
        <w:r w:rsidRPr="00A93D71">
          <w:rPr>
            <w:rFonts w:ascii="Courier New" w:eastAsia="MS Mincho" w:hAnsi="Courier New" w:cs="Courier New"/>
            <w:color w:val="000000"/>
            <w:sz w:val="24"/>
            <w:szCs w:val="24"/>
          </w:rPr>
          <w:t>§668.510(b)(6)(i)</w:t>
        </w:r>
      </w:hyperlink>
      <w:r w:rsidRPr="00A93D71">
        <w:rPr>
          <w:rFonts w:ascii="Courier New" w:eastAsia="MS Mincho" w:hAnsi="Courier New" w:cs="Courier New"/>
          <w:color w:val="000000"/>
          <w:sz w:val="24"/>
          <w:szCs w:val="24"/>
        </w:rPr>
        <w:t xml:space="preserve"> or </w:t>
      </w:r>
      <w:hyperlink r:id="rId58" w:anchor="co_pp_52cb0000b0c66" w:history="1">
        <w:r w:rsidRPr="00A93D71">
          <w:rPr>
            <w:rFonts w:ascii="Courier New" w:eastAsia="MS Mincho" w:hAnsi="Courier New" w:cs="Courier New"/>
            <w:color w:val="000000"/>
            <w:sz w:val="24"/>
            <w:szCs w:val="24"/>
          </w:rPr>
          <w:t>§668.511(b)(6)(i)</w:t>
        </w:r>
      </w:hyperlink>
      <w:r w:rsidRPr="00A93D71">
        <w:rPr>
          <w:rFonts w:ascii="Courier New" w:eastAsia="MS Mincho" w:hAnsi="Courier New" w:cs="Courier New"/>
          <w:color w:val="000000"/>
          <w:sz w:val="24"/>
          <w:szCs w:val="24"/>
        </w:rPr>
        <w:t>.</w:t>
      </w:r>
    </w:p>
    <w:p w14:paraId="5388AB4E"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(d)  </w:t>
      </w:r>
      <w:r w:rsidRPr="00A93D71">
        <w:rPr>
          <w:rFonts w:ascii="Courier New" w:eastAsia="MS Mincho" w:hAnsi="Courier New" w:cs="Courier New"/>
          <w:color w:val="000000"/>
          <w:sz w:val="24"/>
          <w:szCs w:val="24"/>
          <w:u w:val="single"/>
        </w:rPr>
        <w:t>Representative sample of records</w:t>
      </w:r>
      <w:r w:rsidRPr="00A93D71">
        <w:rPr>
          <w:rFonts w:ascii="Courier New" w:eastAsia="MS Mincho" w:hAnsi="Courier New" w:cs="Courier New"/>
          <w:color w:val="000000"/>
          <w:sz w:val="24"/>
          <w:szCs w:val="24"/>
        </w:rPr>
        <w:t>.</w:t>
      </w:r>
    </w:p>
    <w:p w14:paraId="3D20A188"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To select a representative sample of records, the data manager first identifies all of the borrowers for whom it is responsible and who had loans that were considered to be in default in the calculation of the program cohort default rate you are appealing.</w:t>
      </w:r>
    </w:p>
    <w:p w14:paraId="27E1C23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From the group of borrowers identified under paragraph (d)(1), the data manager identifies a sample that is large enough to derive an estimate, acceptable at a 95 percent confidence level with a plus or minus 5 percent confidence interval, for use in determining the number of borrowers who should be excluded from the calculation of the program cohort default rate due to improper loan servicing or collection.</w:t>
      </w:r>
    </w:p>
    <w:p w14:paraId="1AE4695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(e)  </w:t>
      </w:r>
      <w:r w:rsidRPr="00A93D71">
        <w:rPr>
          <w:rFonts w:ascii="Courier New" w:eastAsia="MS Mincho" w:hAnsi="Courier New" w:cs="Courier New"/>
          <w:color w:val="000000"/>
          <w:sz w:val="24"/>
          <w:szCs w:val="24"/>
          <w:u w:val="single"/>
        </w:rPr>
        <w:t>Loan servicing records</w:t>
      </w:r>
      <w:r w:rsidRPr="00A93D71">
        <w:rPr>
          <w:rFonts w:ascii="Courier New" w:eastAsia="MS Mincho" w:hAnsi="Courier New" w:cs="Courier New"/>
          <w:color w:val="000000"/>
          <w:sz w:val="24"/>
          <w:szCs w:val="24"/>
        </w:rPr>
        <w:t>.  Loan servicing records are the collection and payment history records--</w:t>
      </w:r>
    </w:p>
    <w:p w14:paraId="47AABCC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Provided to the guaranty agency by the lender and used by the guaranty agency in determining whether to pay a claim on a defaulted loan; or </w:t>
      </w:r>
    </w:p>
    <w:p w14:paraId="7C19B7C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Maintained by our servicer that are used in determining your program cohort default rate.</w:t>
      </w:r>
    </w:p>
    <w:p w14:paraId="01ACF736"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(f)  </w:t>
      </w:r>
      <w:r w:rsidRPr="00A93D71">
        <w:rPr>
          <w:rFonts w:ascii="Courier New" w:eastAsia="MS Mincho" w:hAnsi="Courier New" w:cs="Courier New"/>
          <w:color w:val="000000"/>
          <w:sz w:val="24"/>
          <w:szCs w:val="24"/>
          <w:u w:val="single"/>
        </w:rPr>
        <w:t>Determination</w:t>
      </w:r>
      <w:r w:rsidRPr="00A93D71">
        <w:rPr>
          <w:rFonts w:ascii="Courier New" w:eastAsia="MS Mincho" w:hAnsi="Courier New" w:cs="Courier New"/>
          <w:color w:val="000000"/>
          <w:sz w:val="24"/>
          <w:szCs w:val="24"/>
        </w:rPr>
        <w:t>.</w:t>
      </w:r>
    </w:p>
    <w:p w14:paraId="63948DE2"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(1)  We determine the number of loans, based on the loans included in your representative sample of loan servicing records, that defaulted due to improper loan servicing or collection, as described in paragraph (b).</w:t>
      </w:r>
    </w:p>
    <w:p w14:paraId="55140AF1"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(2)  Based on our determination, we use a statistically valid methodology to exclude the corresponding percentage of borrowers from both the numerator and denominator of the calculation of the program cohort default rate for the GE program, and correct the rate that is publicly released.</w:t>
      </w:r>
    </w:p>
    <w:p w14:paraId="7CF4A959"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bookmarkStart w:id="47" w:name="_Toc354744182"/>
    </w:p>
    <w:p w14:paraId="5111A774"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u w:val="single"/>
        </w:rPr>
      </w:pPr>
      <w:r w:rsidRPr="00A93D71">
        <w:rPr>
          <w:rFonts w:ascii="Courier New" w:eastAsia="MS Mincho" w:hAnsi="Courier New" w:cs="Courier New"/>
          <w:sz w:val="24"/>
          <w:szCs w:val="24"/>
          <w:u w:val="single"/>
        </w:rPr>
        <w:t xml:space="preserve">§668.513  [Reserved] </w:t>
      </w:r>
      <w:bookmarkStart w:id="48" w:name="co_pp_345900002d201_16"/>
      <w:bookmarkStart w:id="49" w:name="co_pp_713500008f542_16"/>
      <w:bookmarkStart w:id="50" w:name="co_pp_ed900000f7a65_16"/>
      <w:bookmarkStart w:id="51" w:name="co_pp_803d000060000_16"/>
      <w:bookmarkStart w:id="52" w:name="co_pp_4b250000f9dd6_16"/>
      <w:bookmarkStart w:id="53" w:name="co_pp_3dfd0000f1e07_16"/>
      <w:bookmarkStart w:id="54" w:name="co_pp_aee70000127e3_16"/>
      <w:bookmarkStart w:id="55" w:name="co_pp_03a5000089d66_16"/>
      <w:bookmarkStart w:id="56" w:name="co_pp_22700000861f0_16"/>
      <w:bookmarkStart w:id="57" w:name="co_pp_2d8d0000f3311_16"/>
      <w:bookmarkStart w:id="58" w:name="co_pp_504d0000df0a0_16"/>
      <w:bookmarkStart w:id="59" w:name="co_pp_b6970000de7d3_16"/>
      <w:bookmarkEnd w:id="47"/>
      <w:bookmarkEnd w:id="48"/>
      <w:bookmarkEnd w:id="49"/>
      <w:bookmarkEnd w:id="50"/>
      <w:bookmarkEnd w:id="51"/>
      <w:bookmarkEnd w:id="52"/>
      <w:bookmarkEnd w:id="53"/>
      <w:bookmarkEnd w:id="54"/>
      <w:bookmarkEnd w:id="55"/>
      <w:bookmarkEnd w:id="56"/>
      <w:bookmarkEnd w:id="57"/>
      <w:bookmarkEnd w:id="58"/>
      <w:bookmarkEnd w:id="59"/>
    </w:p>
    <w:p w14:paraId="2D51EB2D"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u w:val="single"/>
        </w:rPr>
      </w:pPr>
      <w:r w:rsidRPr="00A93D71">
        <w:rPr>
          <w:rFonts w:ascii="Courier New" w:eastAsia="MS Mincho" w:hAnsi="Courier New" w:cs="Courier New"/>
          <w:sz w:val="24"/>
          <w:szCs w:val="24"/>
          <w:u w:val="single"/>
        </w:rPr>
        <w:t xml:space="preserve">§668.514  [Reserved] </w:t>
      </w:r>
      <w:bookmarkStart w:id="60" w:name="co_anchor_I3CEF6FA042EA11E09AE28425EA942"/>
      <w:bookmarkEnd w:id="60"/>
    </w:p>
    <w:p w14:paraId="3AB7F59D"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sz w:val="24"/>
          <w:szCs w:val="24"/>
          <w:u w:val="single"/>
        </w:rPr>
        <w:t xml:space="preserve">§668.515  [Reserved] </w:t>
      </w:r>
    </w:p>
    <w:p w14:paraId="3E5660D3" w14:textId="77777777" w:rsidR="00997197" w:rsidRPr="00A93D71" w:rsidRDefault="00997197" w:rsidP="00A93D71">
      <w:pPr>
        <w:autoSpaceDE w:val="0"/>
        <w:autoSpaceDN w:val="0"/>
        <w:adjustRightInd w:val="0"/>
        <w:spacing w:after="0" w:line="480" w:lineRule="auto"/>
        <w:rPr>
          <w:rFonts w:ascii="Courier New" w:eastAsia="MS Mincho" w:hAnsi="Courier New" w:cs="Courier New"/>
          <w:sz w:val="24"/>
          <w:szCs w:val="24"/>
          <w:u w:val="single"/>
        </w:rPr>
      </w:pPr>
      <w:bookmarkStart w:id="61" w:name="_Toc354744185"/>
      <w:r w:rsidRPr="00A93D71">
        <w:rPr>
          <w:rFonts w:ascii="Courier New" w:eastAsia="MS Mincho" w:hAnsi="Courier New" w:cs="Courier New"/>
          <w:sz w:val="24"/>
          <w:szCs w:val="24"/>
          <w:u w:val="single"/>
        </w:rPr>
        <w:t xml:space="preserve">§668.516  Fewer-than-ten-borrowers </w:t>
      </w:r>
      <w:bookmarkStart w:id="62" w:name="co_anchor_I3CEB9F1042EA11E09D9BD014ACD97"/>
      <w:bookmarkEnd w:id="61"/>
      <w:bookmarkEnd w:id="62"/>
      <w:r w:rsidRPr="00A93D71">
        <w:rPr>
          <w:rFonts w:ascii="Courier New" w:eastAsia="MS Mincho" w:hAnsi="Courier New" w:cs="Courier New"/>
          <w:sz w:val="24"/>
          <w:szCs w:val="24"/>
          <w:u w:val="single"/>
        </w:rPr>
        <w:t>determinations</w:t>
      </w:r>
      <w:r w:rsidRPr="00A93D71">
        <w:rPr>
          <w:rFonts w:ascii="Courier New" w:eastAsia="MS Mincho" w:hAnsi="Courier New" w:cs="Courier New"/>
          <w:sz w:val="24"/>
          <w:szCs w:val="24"/>
        </w:rPr>
        <w:t>.</w:t>
      </w:r>
      <w:r w:rsidRPr="00A93D71">
        <w:rPr>
          <w:rFonts w:ascii="Courier New" w:eastAsia="MS Mincho" w:hAnsi="Courier New" w:cs="Courier New"/>
          <w:sz w:val="24"/>
          <w:szCs w:val="24"/>
          <w:u w:val="single"/>
        </w:rPr>
        <w:t xml:space="preserve"> </w:t>
      </w:r>
    </w:p>
    <w:p w14:paraId="12CD61DC" w14:textId="77777777" w:rsidR="00997197" w:rsidRPr="00A93D71" w:rsidRDefault="00997197" w:rsidP="00A93D71">
      <w:pPr>
        <w:autoSpaceDE w:val="0"/>
        <w:autoSpaceDN w:val="0"/>
        <w:adjustRightInd w:val="0"/>
        <w:spacing w:after="0" w:line="480" w:lineRule="auto"/>
        <w:ind w:firstLine="720"/>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 xml:space="preserve">We calculate an official program cohort default rate regardless of the number of borrowers included in the applicable cohort or cohorts.  However, an institution may not disclose an official program cohort default rate under §668.412(a)(12) or otherwise, if the number of borrowers in the applicable cohorts is fewer than ten.  </w:t>
      </w:r>
    </w:p>
    <w:p w14:paraId="6C2FFB47" w14:textId="77777777" w:rsidR="00997197" w:rsidRPr="00A93D71" w:rsidRDefault="00997197" w:rsidP="00A93D71">
      <w:pPr>
        <w:autoSpaceDE w:val="0"/>
        <w:autoSpaceDN w:val="0"/>
        <w:adjustRightInd w:val="0"/>
        <w:spacing w:after="0" w:line="480" w:lineRule="auto"/>
        <w:rPr>
          <w:rFonts w:ascii="Courier New" w:eastAsia="MS Mincho" w:hAnsi="Courier New" w:cs="Courier New"/>
          <w:color w:val="000000"/>
          <w:sz w:val="24"/>
          <w:szCs w:val="24"/>
        </w:rPr>
      </w:pPr>
      <w:r w:rsidRPr="00A93D71">
        <w:rPr>
          <w:rFonts w:ascii="Courier New" w:eastAsia="MS Mincho" w:hAnsi="Courier New" w:cs="Courier New"/>
          <w:color w:val="000000"/>
          <w:sz w:val="24"/>
          <w:szCs w:val="24"/>
        </w:rPr>
        <w:t>(Authority:  20 U.S.C. 1001, 1002, 1088)</w:t>
      </w:r>
      <w:bookmarkStart w:id="63" w:name="_Toc354744186"/>
    </w:p>
    <w:bookmarkEnd w:id="63"/>
    <w:p w14:paraId="07C7C224" w14:textId="77777777" w:rsidR="00997197" w:rsidRPr="00A93D71" w:rsidRDefault="00997197" w:rsidP="00A93D71">
      <w:pPr>
        <w:spacing w:after="0" w:line="480" w:lineRule="auto"/>
        <w:rPr>
          <w:rFonts w:ascii="Courier New" w:eastAsia="MS Mincho" w:hAnsi="Courier New" w:cs="Courier New"/>
          <w:sz w:val="24"/>
          <w:szCs w:val="24"/>
        </w:rPr>
      </w:pPr>
    </w:p>
    <w:p w14:paraId="156F8F69" w14:textId="77777777" w:rsidR="00997197" w:rsidRPr="00A93D71" w:rsidRDefault="00997197" w:rsidP="00A93D71">
      <w:pPr>
        <w:spacing w:after="0" w:line="480" w:lineRule="auto"/>
        <w:rPr>
          <w:rFonts w:ascii="Courier New" w:hAnsi="Courier New" w:cs="Courier New"/>
          <w:sz w:val="24"/>
          <w:szCs w:val="24"/>
        </w:rPr>
      </w:pPr>
    </w:p>
    <w:p w14:paraId="4269B37F" w14:textId="603527F7" w:rsidR="00BF10A3" w:rsidRDefault="00BF10A3">
      <w:pPr>
        <w:rPr>
          <w:rFonts w:ascii="Courier New" w:hAnsi="Courier New" w:cs="Courier New"/>
          <w:sz w:val="24"/>
          <w:szCs w:val="24"/>
        </w:rPr>
      </w:pPr>
      <w:r>
        <w:rPr>
          <w:rFonts w:ascii="Courier New" w:hAnsi="Courier New" w:cs="Courier New"/>
          <w:sz w:val="24"/>
          <w:szCs w:val="24"/>
        </w:rPr>
        <w:br w:type="page"/>
      </w:r>
    </w:p>
    <w:p w14:paraId="0ED15808" w14:textId="77777777" w:rsidR="00BF10A3" w:rsidRPr="00AA6DFD" w:rsidRDefault="00BF10A3" w:rsidP="00BF1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color w:val="000000"/>
          <w:sz w:val="24"/>
          <w:szCs w:val="24"/>
          <w:u w:val="single"/>
        </w:rPr>
      </w:pPr>
      <w:r w:rsidRPr="00AA6DFD">
        <w:rPr>
          <w:rFonts w:ascii="Courier New" w:hAnsi="Courier New" w:cs="Courier New"/>
          <w:color w:val="000000"/>
          <w:sz w:val="24"/>
          <w:szCs w:val="24"/>
          <w:u w:val="single"/>
        </w:rPr>
        <w:t>Appendix A -- Regulatory Impact Analysis</w:t>
      </w:r>
    </w:p>
    <w:p w14:paraId="102ADC9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This regulatory impact analysis (RIA) is divided into the following sections: </w:t>
      </w:r>
    </w:p>
    <w:p w14:paraId="575D2A60"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1.  Need for Regulatory Action </w:t>
      </w:r>
    </w:p>
    <w:p w14:paraId="2C2F947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“Background” and “Outcomes and Practices” we discuss how high debt and relatively poor earnings affect students who enroll in gainful employment programs (“GE programs”).  In “Basis of Regulatory Approach,” we consider the legislative history of the statutory provisions pursuant to which the Department is promulgating these regulations.  “Regulatory Framework” provides an overview of the Department’s efforts, through these regulations, to establish an institutional accountability system for GE programs and to increase transparency of student outcomes in GE programs for the benefit of students, prospective students, and their families, the public, taxpayers, the Government, and institutions of higher education.  </w:t>
      </w:r>
    </w:p>
    <w:p w14:paraId="385E9EA6"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2.  Analysis of the Regulations  </w:t>
      </w:r>
    </w:p>
    <w:p w14:paraId="20F919DA"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 </w:t>
      </w:r>
      <w:r w:rsidRPr="00AA6DFD">
        <w:rPr>
          <w:rFonts w:ascii="Courier New" w:hAnsi="Courier New" w:cs="Courier New"/>
          <w:sz w:val="24"/>
          <w:szCs w:val="24"/>
        </w:rPr>
        <w:tab/>
        <w:t xml:space="preserve">Using data reported by institutions pursuant to the 2011 Prior Rule, we estimate how existing GE programs would have fared under these regulations and how students would have been impacted.    </w:t>
      </w:r>
    </w:p>
    <w:p w14:paraId="0F6187FB"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3.</w:t>
      </w:r>
      <w:r w:rsidRPr="00AA6DFD">
        <w:rPr>
          <w:rFonts w:ascii="Courier New" w:hAnsi="Courier New" w:cs="Courier New"/>
          <w:sz w:val="24"/>
          <w:szCs w:val="24"/>
        </w:rPr>
        <w:tab/>
        <w:t xml:space="preserve">Costs, Benefits, and Transfers </w:t>
      </w:r>
    </w:p>
    <w:p w14:paraId="2BAA5C1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impact estimates provided in “Analysis of the Regulations” are used to consider the costs and benefits of the regulations to students, institutions, the Federal Government, and State and local governments.  In “Net Budget Impacts” we estimate the budget impact of the regulations.  We also provide a “Sensitivity Analysis” to demonstrate how alternative student and program impact assumptions would change our budget estimates.  </w:t>
      </w:r>
    </w:p>
    <w:p w14:paraId="419C734A"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4.  Regulatory Alternatives Considered </w:t>
      </w:r>
    </w:p>
    <w:p w14:paraId="29FFC4E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this section, we describe the other approaches the Department considered for key features of the regulations, including components of the D/E rates measures and possible alternative metrics.   </w:t>
      </w:r>
      <w:r w:rsidRPr="00AA6DFD">
        <w:rPr>
          <w:rFonts w:ascii="Courier New" w:hAnsi="Courier New" w:cs="Courier New"/>
          <w:b/>
          <w:sz w:val="24"/>
          <w:szCs w:val="24"/>
        </w:rPr>
        <w:t xml:space="preserve"> </w:t>
      </w:r>
    </w:p>
    <w:p w14:paraId="5431EF1E"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5.  Regulatory Flexibility Analysis </w:t>
      </w:r>
    </w:p>
    <w:p w14:paraId="1AAF2EE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RIA concludes with an analysis of the potential impact of the regulations on small businesses and non-profit institutions.</w:t>
      </w:r>
    </w:p>
    <w:p w14:paraId="4DA67DE6" w14:textId="77777777" w:rsidR="00BF10A3" w:rsidRPr="00AA6DFD" w:rsidRDefault="00BF10A3" w:rsidP="00BF10A3">
      <w:pPr>
        <w:pStyle w:val="Heading2"/>
      </w:pPr>
      <w:r w:rsidRPr="00AA6DFD">
        <w:t>1. Need for Regulatory Action</w:t>
      </w:r>
    </w:p>
    <w:p w14:paraId="0738CCAE" w14:textId="77777777" w:rsidR="00BF10A3" w:rsidRPr="00AA6DFD" w:rsidRDefault="00BF10A3" w:rsidP="00BF10A3">
      <w:pPr>
        <w:pStyle w:val="Heading2"/>
      </w:pPr>
      <w:r w:rsidRPr="00B53B21">
        <w:rPr>
          <w:rFonts w:cs="Times New Roman"/>
          <w:szCs w:val="20"/>
          <w:u w:val="none"/>
        </w:rPr>
        <w:tab/>
      </w:r>
      <w:r w:rsidRPr="00AA6DFD">
        <w:t>Background</w:t>
      </w:r>
    </w:p>
    <w:p w14:paraId="2910E6CF"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These regulations are intended to address growing concerns about educational programs that, as a condition of eligibility for title IV, HEA program funds, are required by statute to provide training that prepares students for gainful employment in a recognized occupation, but instead are leaving students with unaffordable levels of loan debt in relation to their income. </w:t>
      </w:r>
    </w:p>
    <w:p w14:paraId="08736480" w14:textId="77777777" w:rsidR="00BF10A3" w:rsidRPr="00AA6DFD" w:rsidRDefault="00BF10A3" w:rsidP="00BF10A3">
      <w:pPr>
        <w:spacing w:after="0" w:line="480" w:lineRule="auto"/>
        <w:ind w:firstLine="720"/>
        <w:contextualSpacing/>
        <w:rPr>
          <w:rFonts w:ascii="Courier New" w:hAnsi="Courier New" w:cs="Courier New"/>
          <w:sz w:val="24"/>
          <w:szCs w:val="24"/>
        </w:rPr>
      </w:pPr>
      <w:r w:rsidRPr="00AA6DFD">
        <w:rPr>
          <w:rFonts w:ascii="Courier New" w:hAnsi="Courier New" w:cs="Courier New"/>
          <w:sz w:val="24"/>
          <w:szCs w:val="24"/>
        </w:rPr>
        <w:t>Through this regulatory action, the Department establishes:  (1) an accountability framework for GE programs that defines what it means to prepare students for gainful employment in a recognized occupation by establishing measures by which the Department will evaluate whether a GE program remains eligible for title IV, HEA program funds, and (2) a transparency framework that will increase the quality and availability of information about the outcomes of students enrolled in GE programs.</w:t>
      </w:r>
    </w:p>
    <w:p w14:paraId="4DE3390C" w14:textId="77777777" w:rsidR="00BF10A3" w:rsidRPr="00AA6DFD" w:rsidRDefault="00BF10A3" w:rsidP="00BF10A3">
      <w:pPr>
        <w:spacing w:after="0" w:line="480" w:lineRule="auto"/>
        <w:ind w:firstLine="720"/>
        <w:contextualSpacing/>
        <w:rPr>
          <w:rFonts w:ascii="Courier New" w:hAnsi="Courier New" w:cs="Courier New"/>
          <w:sz w:val="24"/>
          <w:szCs w:val="24"/>
        </w:rPr>
      </w:pPr>
      <w:r w:rsidRPr="00AA6DFD">
        <w:rPr>
          <w:rFonts w:ascii="Courier New" w:hAnsi="Courier New" w:cs="Courier New"/>
          <w:sz w:val="24"/>
          <w:szCs w:val="24"/>
        </w:rPr>
        <w:t xml:space="preserve">The accountability framework defines what it means to prepare students for gainful employment by establishing measures that will assess whether programs provide quality education and training that allow students to pay back their student loan debt.  </w:t>
      </w:r>
      <w:r w:rsidRPr="00AA6DFD" w:rsidDel="009E7168">
        <w:rPr>
          <w:rFonts w:ascii="Courier New" w:hAnsi="Courier New" w:cs="Courier New"/>
          <w:sz w:val="24"/>
          <w:szCs w:val="24"/>
        </w:rPr>
        <w:t xml:space="preserve">   </w:t>
      </w:r>
    </w:p>
    <w:p w14:paraId="21106431"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The transparency framework establishes reporting and disclosure requirements that will increase the transparency of student outcomes of GE programs so that information is disseminated to students, prospective students, and their families that is accurate and comparable to help them make better informed decisions about where to invest their time and money in pursuit of a postsecondary degree or credential.  Further, this information will provide the public, taxpayers, and the Government with relevant information to understand the outcomes of the Federal investment in these programs.  Finally, the transparency framework will provide institutions with meaningful information that they can use to improve the outcomes of students that attend their programs.</w:t>
      </w:r>
    </w:p>
    <w:p w14:paraId="0CE075AF" w14:textId="77777777" w:rsidR="00BF10A3" w:rsidRPr="00AA6DFD" w:rsidRDefault="00BF10A3" w:rsidP="00BF10A3">
      <w:pPr>
        <w:pStyle w:val="Heading2"/>
      </w:pPr>
      <w:r w:rsidRPr="00B53B21">
        <w:rPr>
          <w:rFonts w:cs="Times New Roman"/>
          <w:szCs w:val="20"/>
          <w:u w:val="none"/>
        </w:rPr>
        <w:tab/>
      </w:r>
      <w:r w:rsidRPr="00AA6DFD">
        <w:t>Outcomes and Practices</w:t>
      </w:r>
    </w:p>
    <w:p w14:paraId="1A0F71CD"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b/>
          <w:sz w:val="24"/>
          <w:szCs w:val="24"/>
        </w:rPr>
      </w:pPr>
      <w:r w:rsidRPr="00AA6DFD">
        <w:rPr>
          <w:rFonts w:ascii="Courier New" w:hAnsi="Courier New" w:cs="Courier New"/>
          <w:sz w:val="24"/>
          <w:szCs w:val="24"/>
        </w:rPr>
        <w:t>GE programs include non-degree programs, including diploma and certificate programs, at public and private non-profit institutions such as community colleges and nearly all educational programs at for-profit institutions of higher education regardless of program length or credential level.  Common GE programs provide training for occupations in fields such as cosmetology, business administration, medical assisting, dental assisting, nursing, and massage therapy.</w:t>
      </w:r>
      <w:r w:rsidRPr="00AA6DFD">
        <w:rPr>
          <w:rFonts w:ascii="Courier New" w:hAnsi="Courier New" w:cs="Courier New"/>
          <w:b/>
          <w:sz w:val="24"/>
          <w:szCs w:val="24"/>
        </w:rPr>
        <w:t xml:space="preserve">  </w:t>
      </w:r>
    </w:p>
    <w:p w14:paraId="5D8D73ED" w14:textId="77777777" w:rsidR="00BF10A3" w:rsidRPr="00AA6DFD" w:rsidRDefault="00BF10A3" w:rsidP="00BF10A3">
      <w:pPr>
        <w:spacing w:after="0" w:line="480" w:lineRule="auto"/>
        <w:ind w:firstLine="720"/>
        <w:contextualSpacing/>
        <w:rPr>
          <w:rFonts w:ascii="Courier New" w:hAnsi="Courier New" w:cs="Courier New"/>
          <w:sz w:val="24"/>
          <w:szCs w:val="24"/>
        </w:rPr>
      </w:pPr>
      <w:r w:rsidRPr="00AA6DFD">
        <w:rPr>
          <w:rFonts w:ascii="Courier New" w:hAnsi="Courier New" w:cs="Courier New"/>
          <w:sz w:val="24"/>
          <w:szCs w:val="24"/>
        </w:rPr>
        <w:t>For fiscal year (FY) 2010, 37,589 GE programs with an enrollment of 3,985,329 students receiving title IV, HEA program funds reported program information to the Department.</w:t>
      </w:r>
      <w:r w:rsidRPr="00AA6DFD">
        <w:rPr>
          <w:rStyle w:val="FootnoteReference"/>
          <w:rFonts w:ascii="Courier New" w:hAnsi="Courier New" w:cs="Courier New"/>
          <w:sz w:val="24"/>
          <w:szCs w:val="24"/>
        </w:rPr>
        <w:footnoteReference w:id="187"/>
      </w:r>
      <w:r w:rsidRPr="00AA6DFD">
        <w:rPr>
          <w:rFonts w:ascii="Courier New" w:hAnsi="Courier New" w:cs="Courier New"/>
          <w:sz w:val="24"/>
          <w:szCs w:val="24"/>
        </w:rPr>
        <w:t xml:space="preserve">  About 61 percent of these programs are at public institutions, 6 percent at private non-profit institutions, and 33 percent at for-profit institutions.  The Federal investment in students attending these programs is significant.  In FY 2010, students attending GE programs received approximately $9.7 billion in Federal student aid grants and approximately $26 billion in Federal student aid loans. </w:t>
      </w:r>
      <w:r w:rsidRPr="00AA6DFD">
        <w:rPr>
          <w:rFonts w:ascii="Courier New" w:hAnsi="Courier New" w:cs="Courier New"/>
          <w:sz w:val="24"/>
          <w:szCs w:val="24"/>
        </w:rPr>
        <w:tab/>
      </w:r>
    </w:p>
    <w:p w14:paraId="16A53C9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1.1 provides, by two-digit Classification of Instructional Program (CIP) code, the number of GE programs for which institutions reported program information to the Department in FY 2010.  Table 1.2 provides the enrollment of students receiving title IV, HEA program funds in GE programs, by two-digit CIP code, for which institutions reported program information to the Department.</w:t>
      </w:r>
    </w:p>
    <w:p w14:paraId="5C1333FE" w14:textId="77777777" w:rsidR="00BF10A3" w:rsidRPr="00AA6DFD" w:rsidRDefault="00BF10A3" w:rsidP="00BF10A3">
      <w:pPr>
        <w:spacing w:after="0" w:line="480" w:lineRule="auto"/>
        <w:ind w:firstLine="720"/>
        <w:rPr>
          <w:rFonts w:ascii="Courier New" w:hAnsi="Courier New" w:cs="Courier New"/>
          <w:sz w:val="24"/>
          <w:szCs w:val="24"/>
        </w:rPr>
      </w:pPr>
    </w:p>
    <w:p w14:paraId="67BE72C2" w14:textId="77777777" w:rsidR="00BF10A3" w:rsidRDefault="00BF10A3" w:rsidP="00BF10A3">
      <w:pPr>
        <w:rPr>
          <w:rFonts w:ascii="Courier New" w:hAnsi="Courier New" w:cs="Courier New"/>
          <w:b/>
          <w:sz w:val="24"/>
          <w:szCs w:val="24"/>
        </w:rPr>
      </w:pPr>
      <w:r>
        <w:rPr>
          <w:rFonts w:ascii="Courier New" w:hAnsi="Courier New" w:cs="Courier New"/>
          <w:b/>
          <w:sz w:val="24"/>
          <w:szCs w:val="24"/>
        </w:rPr>
        <w:br w:type="page"/>
      </w:r>
    </w:p>
    <w:p w14:paraId="1045745D" w14:textId="77777777" w:rsidR="00BF10A3" w:rsidRDefault="00BF10A3" w:rsidP="00BF10A3">
      <w:pPr>
        <w:rPr>
          <w:rFonts w:ascii="Courier New" w:hAnsi="Courier New" w:cs="Courier New"/>
          <w:b/>
          <w:sz w:val="24"/>
          <w:szCs w:val="24"/>
        </w:rPr>
        <w:sectPr w:rsidR="00BF10A3">
          <w:footerReference w:type="default" r:id="rId59"/>
          <w:pgSz w:w="12240" w:h="15840"/>
          <w:pgMar w:top="1440" w:right="1440" w:bottom="1440" w:left="1440" w:header="720" w:footer="720" w:gutter="0"/>
          <w:cols w:space="720"/>
          <w:docGrid w:linePitch="360"/>
        </w:sectPr>
      </w:pPr>
    </w:p>
    <w:p w14:paraId="538DDF3D" w14:textId="77777777" w:rsidR="00BF10A3" w:rsidRPr="00F94DD8" w:rsidRDefault="00BF10A3" w:rsidP="00BF10A3">
      <w:pPr>
        <w:rPr>
          <w:rFonts w:ascii="Courier New" w:eastAsia="Times New Roman" w:hAnsi="Courier New" w:cs="Courier New"/>
          <w:color w:val="000000"/>
          <w:sz w:val="24"/>
          <w:szCs w:val="24"/>
        </w:rPr>
      </w:pPr>
      <w:r w:rsidRPr="00F94DD8">
        <w:rPr>
          <w:rFonts w:ascii="Courier New" w:hAnsi="Courier New" w:cs="Courier New"/>
          <w:b/>
          <w:sz w:val="24"/>
          <w:szCs w:val="24"/>
        </w:rPr>
        <w:t xml:space="preserve">Table 1.1: </w:t>
      </w:r>
      <w:r w:rsidRPr="00F94DD8">
        <w:rPr>
          <w:rFonts w:ascii="Courier New" w:eastAsia="Times New Roman" w:hAnsi="Courier New" w:cs="Courier New"/>
          <w:b/>
          <w:color w:val="000000"/>
          <w:sz w:val="24"/>
          <w:szCs w:val="24"/>
        </w:rPr>
        <w:t>FY 2010 GE Program Count</w:t>
      </w:r>
    </w:p>
    <w:tbl>
      <w:tblPr>
        <w:tblStyle w:val="TableGrid14"/>
        <w:tblW w:w="13550" w:type="dxa"/>
        <w:tblLook w:val="04A0" w:firstRow="1" w:lastRow="0" w:firstColumn="1" w:lastColumn="0" w:noHBand="0" w:noVBand="1"/>
      </w:tblPr>
      <w:tblGrid>
        <w:gridCol w:w="697"/>
        <w:gridCol w:w="3879"/>
        <w:gridCol w:w="793"/>
        <w:gridCol w:w="729"/>
        <w:gridCol w:w="729"/>
        <w:gridCol w:w="729"/>
        <w:gridCol w:w="729"/>
        <w:gridCol w:w="729"/>
        <w:gridCol w:w="729"/>
        <w:gridCol w:w="729"/>
        <w:gridCol w:w="729"/>
        <w:gridCol w:w="729"/>
        <w:gridCol w:w="729"/>
        <w:gridCol w:w="891"/>
      </w:tblGrid>
      <w:tr w:rsidR="00BF10A3" w:rsidRPr="00F94DD8" w14:paraId="25275A4C" w14:textId="77777777" w:rsidTr="001F7400">
        <w:trPr>
          <w:trHeight w:val="440"/>
        </w:trPr>
        <w:tc>
          <w:tcPr>
            <w:tcW w:w="697" w:type="dxa"/>
            <w:vMerge w:val="restart"/>
            <w:vAlign w:val="center"/>
            <w:hideMark/>
          </w:tcPr>
          <w:p w14:paraId="04B9FDA2"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2-Digit CIP Code</w:t>
            </w:r>
          </w:p>
        </w:tc>
        <w:tc>
          <w:tcPr>
            <w:tcW w:w="3879" w:type="dxa"/>
            <w:vMerge w:val="restart"/>
            <w:vAlign w:val="center"/>
            <w:hideMark/>
          </w:tcPr>
          <w:p w14:paraId="6E43D47D"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2-Digit CIP Name</w:t>
            </w:r>
          </w:p>
        </w:tc>
        <w:tc>
          <w:tcPr>
            <w:tcW w:w="1522" w:type="dxa"/>
            <w:gridSpan w:val="2"/>
            <w:noWrap/>
            <w:vAlign w:val="center"/>
            <w:hideMark/>
          </w:tcPr>
          <w:p w14:paraId="3B3BB8CB"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Public</w:t>
            </w:r>
          </w:p>
        </w:tc>
        <w:tc>
          <w:tcPr>
            <w:tcW w:w="1458" w:type="dxa"/>
            <w:gridSpan w:val="2"/>
            <w:noWrap/>
            <w:vAlign w:val="center"/>
            <w:hideMark/>
          </w:tcPr>
          <w:p w14:paraId="7D2D2779"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Private</w:t>
            </w:r>
          </w:p>
        </w:tc>
        <w:tc>
          <w:tcPr>
            <w:tcW w:w="5103" w:type="dxa"/>
            <w:gridSpan w:val="7"/>
            <w:noWrap/>
            <w:vAlign w:val="center"/>
            <w:hideMark/>
          </w:tcPr>
          <w:p w14:paraId="48504418"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Proprietary</w:t>
            </w:r>
          </w:p>
        </w:tc>
        <w:tc>
          <w:tcPr>
            <w:tcW w:w="891" w:type="dxa"/>
            <w:vMerge w:val="restart"/>
            <w:vAlign w:val="center"/>
          </w:tcPr>
          <w:p w14:paraId="4A511F37"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Total</w:t>
            </w:r>
            <w:r>
              <w:rPr>
                <w:rFonts w:ascii="Courier New" w:eastAsiaTheme="minorHAnsi" w:hAnsi="Courier New" w:cstheme="minorBidi"/>
                <w:b/>
                <w:bCs/>
                <w:sz w:val="16"/>
              </w:rPr>
              <w:t xml:space="preserve"> for All Sectors</w:t>
            </w:r>
          </w:p>
        </w:tc>
      </w:tr>
      <w:tr w:rsidR="00BF10A3" w:rsidRPr="00F94DD8" w14:paraId="3110F23C" w14:textId="77777777" w:rsidTr="001F7400">
        <w:trPr>
          <w:trHeight w:val="1070"/>
        </w:trPr>
        <w:tc>
          <w:tcPr>
            <w:tcW w:w="697" w:type="dxa"/>
            <w:vMerge/>
            <w:vAlign w:val="center"/>
            <w:hideMark/>
          </w:tcPr>
          <w:p w14:paraId="71BFDCDD" w14:textId="77777777" w:rsidR="00BF10A3" w:rsidRPr="00F94DD8" w:rsidRDefault="00BF10A3" w:rsidP="001F7400">
            <w:pPr>
              <w:jc w:val="center"/>
              <w:rPr>
                <w:rFonts w:ascii="Courier New" w:eastAsiaTheme="minorHAnsi" w:hAnsi="Courier New" w:cstheme="minorBidi"/>
                <w:b/>
                <w:bCs/>
                <w:sz w:val="16"/>
              </w:rPr>
            </w:pPr>
          </w:p>
        </w:tc>
        <w:tc>
          <w:tcPr>
            <w:tcW w:w="3879" w:type="dxa"/>
            <w:vMerge/>
            <w:vAlign w:val="center"/>
            <w:hideMark/>
          </w:tcPr>
          <w:p w14:paraId="68890085" w14:textId="77777777" w:rsidR="00BF10A3" w:rsidRPr="00F94DD8" w:rsidRDefault="00BF10A3" w:rsidP="001F7400">
            <w:pPr>
              <w:jc w:val="center"/>
              <w:rPr>
                <w:rFonts w:ascii="Courier New" w:eastAsiaTheme="minorHAnsi" w:hAnsi="Courier New" w:cstheme="minorBidi"/>
                <w:b/>
                <w:bCs/>
                <w:sz w:val="16"/>
              </w:rPr>
            </w:pPr>
          </w:p>
        </w:tc>
        <w:tc>
          <w:tcPr>
            <w:tcW w:w="793" w:type="dxa"/>
            <w:textDirection w:val="btLr"/>
            <w:vAlign w:val="center"/>
            <w:hideMark/>
          </w:tcPr>
          <w:p w14:paraId="6AE5E048"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Ugrad cert</w:t>
            </w:r>
          </w:p>
        </w:tc>
        <w:tc>
          <w:tcPr>
            <w:tcW w:w="729" w:type="dxa"/>
            <w:textDirection w:val="btLr"/>
            <w:vAlign w:val="center"/>
            <w:hideMark/>
          </w:tcPr>
          <w:p w14:paraId="0FDA0E90"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Post bacc cert</w:t>
            </w:r>
          </w:p>
        </w:tc>
        <w:tc>
          <w:tcPr>
            <w:tcW w:w="729" w:type="dxa"/>
            <w:textDirection w:val="btLr"/>
            <w:vAlign w:val="center"/>
            <w:hideMark/>
          </w:tcPr>
          <w:p w14:paraId="3B6D6D13"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Ugrad cert</w:t>
            </w:r>
          </w:p>
        </w:tc>
        <w:tc>
          <w:tcPr>
            <w:tcW w:w="729" w:type="dxa"/>
            <w:textDirection w:val="btLr"/>
            <w:vAlign w:val="center"/>
            <w:hideMark/>
          </w:tcPr>
          <w:p w14:paraId="6FFE45AB"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Post bacc cert</w:t>
            </w:r>
          </w:p>
        </w:tc>
        <w:tc>
          <w:tcPr>
            <w:tcW w:w="729" w:type="dxa"/>
            <w:textDirection w:val="btLr"/>
            <w:vAlign w:val="center"/>
            <w:hideMark/>
          </w:tcPr>
          <w:p w14:paraId="08C3B42D"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Ugrad cert</w:t>
            </w:r>
          </w:p>
        </w:tc>
        <w:tc>
          <w:tcPr>
            <w:tcW w:w="729" w:type="dxa"/>
            <w:textDirection w:val="btLr"/>
            <w:vAlign w:val="center"/>
            <w:hideMark/>
          </w:tcPr>
          <w:p w14:paraId="56E3C9FC"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Associates</w:t>
            </w:r>
          </w:p>
        </w:tc>
        <w:tc>
          <w:tcPr>
            <w:tcW w:w="729" w:type="dxa"/>
            <w:textDirection w:val="btLr"/>
            <w:vAlign w:val="center"/>
            <w:hideMark/>
          </w:tcPr>
          <w:p w14:paraId="7BC8A5C1"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Bachelor's</w:t>
            </w:r>
          </w:p>
        </w:tc>
        <w:tc>
          <w:tcPr>
            <w:tcW w:w="729" w:type="dxa"/>
            <w:textDirection w:val="btLr"/>
            <w:vAlign w:val="center"/>
            <w:hideMark/>
          </w:tcPr>
          <w:p w14:paraId="5B8BDBD1"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Post bacc cert</w:t>
            </w:r>
          </w:p>
        </w:tc>
        <w:tc>
          <w:tcPr>
            <w:tcW w:w="729" w:type="dxa"/>
            <w:textDirection w:val="btLr"/>
            <w:vAlign w:val="center"/>
            <w:hideMark/>
          </w:tcPr>
          <w:p w14:paraId="1F7CC0C3"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Master's</w:t>
            </w:r>
          </w:p>
        </w:tc>
        <w:tc>
          <w:tcPr>
            <w:tcW w:w="729" w:type="dxa"/>
            <w:textDirection w:val="btLr"/>
            <w:vAlign w:val="center"/>
            <w:hideMark/>
          </w:tcPr>
          <w:p w14:paraId="0FFBB888"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Doctoral</w:t>
            </w:r>
          </w:p>
        </w:tc>
        <w:tc>
          <w:tcPr>
            <w:tcW w:w="729" w:type="dxa"/>
            <w:textDirection w:val="btLr"/>
            <w:vAlign w:val="center"/>
            <w:hideMark/>
          </w:tcPr>
          <w:p w14:paraId="46E2FC04" w14:textId="77777777" w:rsidR="00BF10A3" w:rsidRPr="00F94DD8" w:rsidRDefault="00BF10A3" w:rsidP="001F7400">
            <w:pPr>
              <w:jc w:val="center"/>
              <w:rPr>
                <w:rFonts w:ascii="Courier New" w:eastAsiaTheme="minorHAnsi" w:hAnsi="Courier New" w:cstheme="minorBidi"/>
                <w:b/>
                <w:bCs/>
                <w:sz w:val="16"/>
              </w:rPr>
            </w:pPr>
            <w:r w:rsidRPr="00F94DD8">
              <w:rPr>
                <w:rFonts w:ascii="Courier New" w:eastAsiaTheme="minorHAnsi" w:hAnsi="Courier New" w:cstheme="minorBidi"/>
                <w:b/>
                <w:bCs/>
                <w:sz w:val="16"/>
              </w:rPr>
              <w:t>First prof</w:t>
            </w:r>
          </w:p>
        </w:tc>
        <w:tc>
          <w:tcPr>
            <w:tcW w:w="891" w:type="dxa"/>
            <w:vMerge/>
            <w:textDirection w:val="btLr"/>
            <w:hideMark/>
          </w:tcPr>
          <w:p w14:paraId="0CEB11A7" w14:textId="77777777" w:rsidR="00BF10A3" w:rsidRPr="00F94DD8" w:rsidRDefault="00BF10A3" w:rsidP="001F7400">
            <w:pPr>
              <w:rPr>
                <w:rFonts w:ascii="Courier New" w:eastAsiaTheme="minorHAnsi" w:hAnsi="Courier New" w:cstheme="minorBidi"/>
                <w:b/>
                <w:bCs/>
                <w:sz w:val="16"/>
              </w:rPr>
            </w:pPr>
          </w:p>
        </w:tc>
      </w:tr>
      <w:tr w:rsidR="00BF10A3" w:rsidRPr="00F94DD8" w14:paraId="61095AA6" w14:textId="77777777" w:rsidTr="001F7400">
        <w:trPr>
          <w:trHeight w:val="315"/>
        </w:trPr>
        <w:tc>
          <w:tcPr>
            <w:tcW w:w="697" w:type="dxa"/>
            <w:noWrap/>
            <w:hideMark/>
          </w:tcPr>
          <w:p w14:paraId="7229B4F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51</w:t>
            </w:r>
          </w:p>
        </w:tc>
        <w:tc>
          <w:tcPr>
            <w:tcW w:w="3879" w:type="dxa"/>
            <w:noWrap/>
            <w:hideMark/>
          </w:tcPr>
          <w:p w14:paraId="451091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Health Professions and Related Sciences</w:t>
            </w:r>
          </w:p>
        </w:tc>
        <w:tc>
          <w:tcPr>
            <w:tcW w:w="793" w:type="dxa"/>
            <w:noWrap/>
            <w:hideMark/>
          </w:tcPr>
          <w:p w14:paraId="27B4056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4,735</w:t>
            </w:r>
          </w:p>
        </w:tc>
        <w:tc>
          <w:tcPr>
            <w:tcW w:w="729" w:type="dxa"/>
            <w:noWrap/>
            <w:hideMark/>
          </w:tcPr>
          <w:p w14:paraId="4040496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291</w:t>
            </w:r>
          </w:p>
        </w:tc>
        <w:tc>
          <w:tcPr>
            <w:tcW w:w="729" w:type="dxa"/>
            <w:noWrap/>
            <w:hideMark/>
          </w:tcPr>
          <w:p w14:paraId="7D4C364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404</w:t>
            </w:r>
          </w:p>
        </w:tc>
        <w:tc>
          <w:tcPr>
            <w:tcW w:w="729" w:type="dxa"/>
            <w:noWrap/>
            <w:hideMark/>
          </w:tcPr>
          <w:p w14:paraId="6FCC11E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274</w:t>
            </w:r>
          </w:p>
        </w:tc>
        <w:tc>
          <w:tcPr>
            <w:tcW w:w="729" w:type="dxa"/>
            <w:noWrap/>
            <w:hideMark/>
          </w:tcPr>
          <w:p w14:paraId="02D85E6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2,493</w:t>
            </w:r>
          </w:p>
        </w:tc>
        <w:tc>
          <w:tcPr>
            <w:tcW w:w="729" w:type="dxa"/>
            <w:noWrap/>
            <w:hideMark/>
          </w:tcPr>
          <w:p w14:paraId="41AB77C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1,078</w:t>
            </w:r>
          </w:p>
        </w:tc>
        <w:tc>
          <w:tcPr>
            <w:tcW w:w="729" w:type="dxa"/>
            <w:noWrap/>
            <w:hideMark/>
          </w:tcPr>
          <w:p w14:paraId="6A1E002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155</w:t>
            </w:r>
          </w:p>
        </w:tc>
        <w:tc>
          <w:tcPr>
            <w:tcW w:w="729" w:type="dxa"/>
            <w:noWrap/>
            <w:hideMark/>
          </w:tcPr>
          <w:p w14:paraId="1BF7DA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w:t>
            </w:r>
          </w:p>
        </w:tc>
        <w:tc>
          <w:tcPr>
            <w:tcW w:w="729" w:type="dxa"/>
            <w:noWrap/>
            <w:hideMark/>
          </w:tcPr>
          <w:p w14:paraId="0E8F5BF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87</w:t>
            </w:r>
          </w:p>
        </w:tc>
        <w:tc>
          <w:tcPr>
            <w:tcW w:w="729" w:type="dxa"/>
            <w:noWrap/>
            <w:hideMark/>
          </w:tcPr>
          <w:p w14:paraId="2CC76A9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18</w:t>
            </w:r>
          </w:p>
        </w:tc>
        <w:tc>
          <w:tcPr>
            <w:tcW w:w="729" w:type="dxa"/>
            <w:noWrap/>
            <w:hideMark/>
          </w:tcPr>
          <w:p w14:paraId="79502F1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891" w:type="dxa"/>
            <w:noWrap/>
            <w:hideMark/>
          </w:tcPr>
          <w:p w14:paraId="142B6D3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9,562</w:t>
            </w:r>
          </w:p>
        </w:tc>
      </w:tr>
      <w:tr w:rsidR="00BF10A3" w:rsidRPr="00F94DD8" w14:paraId="275F3592" w14:textId="77777777" w:rsidTr="001F7400">
        <w:trPr>
          <w:trHeight w:val="315"/>
        </w:trPr>
        <w:tc>
          <w:tcPr>
            <w:tcW w:w="697" w:type="dxa"/>
            <w:noWrap/>
            <w:hideMark/>
          </w:tcPr>
          <w:p w14:paraId="3EE78E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52</w:t>
            </w:r>
          </w:p>
        </w:tc>
        <w:tc>
          <w:tcPr>
            <w:tcW w:w="3879" w:type="dxa"/>
            <w:noWrap/>
            <w:hideMark/>
          </w:tcPr>
          <w:p w14:paraId="5459BD7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Business Management and Administrative Services</w:t>
            </w:r>
          </w:p>
        </w:tc>
        <w:tc>
          <w:tcPr>
            <w:tcW w:w="793" w:type="dxa"/>
            <w:noWrap/>
            <w:hideMark/>
          </w:tcPr>
          <w:p w14:paraId="11C776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3,401</w:t>
            </w:r>
          </w:p>
        </w:tc>
        <w:tc>
          <w:tcPr>
            <w:tcW w:w="729" w:type="dxa"/>
            <w:noWrap/>
            <w:hideMark/>
          </w:tcPr>
          <w:p w14:paraId="2C1AAD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117</w:t>
            </w:r>
          </w:p>
        </w:tc>
        <w:tc>
          <w:tcPr>
            <w:tcW w:w="729" w:type="dxa"/>
            <w:noWrap/>
            <w:hideMark/>
          </w:tcPr>
          <w:p w14:paraId="168A510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127</w:t>
            </w:r>
          </w:p>
        </w:tc>
        <w:tc>
          <w:tcPr>
            <w:tcW w:w="729" w:type="dxa"/>
            <w:noWrap/>
            <w:hideMark/>
          </w:tcPr>
          <w:p w14:paraId="5352BB2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166</w:t>
            </w:r>
          </w:p>
        </w:tc>
        <w:tc>
          <w:tcPr>
            <w:tcW w:w="729" w:type="dxa"/>
            <w:noWrap/>
            <w:hideMark/>
          </w:tcPr>
          <w:p w14:paraId="27E1AF1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474</w:t>
            </w:r>
          </w:p>
        </w:tc>
        <w:tc>
          <w:tcPr>
            <w:tcW w:w="729" w:type="dxa"/>
            <w:noWrap/>
            <w:hideMark/>
          </w:tcPr>
          <w:p w14:paraId="1805DC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649</w:t>
            </w:r>
          </w:p>
        </w:tc>
        <w:tc>
          <w:tcPr>
            <w:tcW w:w="729" w:type="dxa"/>
            <w:noWrap/>
            <w:hideMark/>
          </w:tcPr>
          <w:p w14:paraId="33FBD07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376</w:t>
            </w:r>
          </w:p>
        </w:tc>
        <w:tc>
          <w:tcPr>
            <w:tcW w:w="729" w:type="dxa"/>
            <w:noWrap/>
            <w:hideMark/>
          </w:tcPr>
          <w:p w14:paraId="5E7A51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30</w:t>
            </w:r>
          </w:p>
        </w:tc>
        <w:tc>
          <w:tcPr>
            <w:tcW w:w="729" w:type="dxa"/>
            <w:noWrap/>
            <w:hideMark/>
          </w:tcPr>
          <w:p w14:paraId="15A50C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119</w:t>
            </w:r>
          </w:p>
        </w:tc>
        <w:tc>
          <w:tcPr>
            <w:tcW w:w="729" w:type="dxa"/>
            <w:noWrap/>
            <w:hideMark/>
          </w:tcPr>
          <w:p w14:paraId="77EA92F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w:t>
            </w:r>
          </w:p>
        </w:tc>
        <w:tc>
          <w:tcPr>
            <w:tcW w:w="729" w:type="dxa"/>
            <w:noWrap/>
            <w:hideMark/>
          </w:tcPr>
          <w:p w14:paraId="7D14AEB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891" w:type="dxa"/>
            <w:noWrap/>
            <w:hideMark/>
          </w:tcPr>
          <w:p w14:paraId="1D7EDFD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5,483</w:t>
            </w:r>
          </w:p>
        </w:tc>
      </w:tr>
      <w:tr w:rsidR="00BF10A3" w:rsidRPr="00F94DD8" w14:paraId="7B81EF8E" w14:textId="77777777" w:rsidTr="001F7400">
        <w:trPr>
          <w:trHeight w:val="315"/>
        </w:trPr>
        <w:tc>
          <w:tcPr>
            <w:tcW w:w="697" w:type="dxa"/>
            <w:noWrap/>
            <w:hideMark/>
          </w:tcPr>
          <w:p w14:paraId="0A96E76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w:t>
            </w:r>
          </w:p>
        </w:tc>
        <w:tc>
          <w:tcPr>
            <w:tcW w:w="3879" w:type="dxa"/>
            <w:noWrap/>
            <w:hideMark/>
          </w:tcPr>
          <w:p w14:paraId="5A38FBB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Personal and Miscellaneous Services</w:t>
            </w:r>
          </w:p>
        </w:tc>
        <w:tc>
          <w:tcPr>
            <w:tcW w:w="793" w:type="dxa"/>
            <w:noWrap/>
            <w:hideMark/>
          </w:tcPr>
          <w:p w14:paraId="571D816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1,059</w:t>
            </w:r>
          </w:p>
        </w:tc>
        <w:tc>
          <w:tcPr>
            <w:tcW w:w="729" w:type="dxa"/>
            <w:noWrap/>
            <w:hideMark/>
          </w:tcPr>
          <w:p w14:paraId="21F967A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809CCA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47</w:t>
            </w:r>
          </w:p>
        </w:tc>
        <w:tc>
          <w:tcPr>
            <w:tcW w:w="729" w:type="dxa"/>
            <w:noWrap/>
            <w:hideMark/>
          </w:tcPr>
          <w:p w14:paraId="2AFD06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47FC872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2,354</w:t>
            </w:r>
          </w:p>
        </w:tc>
        <w:tc>
          <w:tcPr>
            <w:tcW w:w="729" w:type="dxa"/>
            <w:noWrap/>
            <w:hideMark/>
          </w:tcPr>
          <w:p w14:paraId="3DD8BDB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127</w:t>
            </w:r>
          </w:p>
        </w:tc>
        <w:tc>
          <w:tcPr>
            <w:tcW w:w="729" w:type="dxa"/>
            <w:noWrap/>
            <w:hideMark/>
          </w:tcPr>
          <w:p w14:paraId="3EF3600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28</w:t>
            </w:r>
          </w:p>
        </w:tc>
        <w:tc>
          <w:tcPr>
            <w:tcW w:w="729" w:type="dxa"/>
            <w:noWrap/>
            <w:hideMark/>
          </w:tcPr>
          <w:p w14:paraId="19B72BF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31E19D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54D1292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724F99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17</w:t>
            </w:r>
          </w:p>
        </w:tc>
        <w:tc>
          <w:tcPr>
            <w:tcW w:w="891" w:type="dxa"/>
            <w:noWrap/>
            <w:hideMark/>
          </w:tcPr>
          <w:p w14:paraId="6088CF3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3,639</w:t>
            </w:r>
          </w:p>
        </w:tc>
      </w:tr>
      <w:tr w:rsidR="00BF10A3" w:rsidRPr="00F94DD8" w14:paraId="36CC50AC" w14:textId="77777777" w:rsidTr="001F7400">
        <w:trPr>
          <w:trHeight w:val="315"/>
        </w:trPr>
        <w:tc>
          <w:tcPr>
            <w:tcW w:w="697" w:type="dxa"/>
            <w:noWrap/>
            <w:hideMark/>
          </w:tcPr>
          <w:p w14:paraId="42D0097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47</w:t>
            </w:r>
          </w:p>
        </w:tc>
        <w:tc>
          <w:tcPr>
            <w:tcW w:w="3879" w:type="dxa"/>
            <w:noWrap/>
            <w:hideMark/>
          </w:tcPr>
          <w:p w14:paraId="420886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Mechanics and Repairs</w:t>
            </w:r>
          </w:p>
        </w:tc>
        <w:tc>
          <w:tcPr>
            <w:tcW w:w="793" w:type="dxa"/>
            <w:noWrap/>
            <w:hideMark/>
          </w:tcPr>
          <w:p w14:paraId="5C2D2AB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2,254</w:t>
            </w:r>
          </w:p>
        </w:tc>
        <w:tc>
          <w:tcPr>
            <w:tcW w:w="729" w:type="dxa"/>
            <w:noWrap/>
            <w:hideMark/>
          </w:tcPr>
          <w:p w14:paraId="4BCD32B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A1F1D6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54</w:t>
            </w:r>
          </w:p>
        </w:tc>
        <w:tc>
          <w:tcPr>
            <w:tcW w:w="729" w:type="dxa"/>
            <w:noWrap/>
            <w:hideMark/>
          </w:tcPr>
          <w:p w14:paraId="36B6BA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B22624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266</w:t>
            </w:r>
          </w:p>
        </w:tc>
        <w:tc>
          <w:tcPr>
            <w:tcW w:w="729" w:type="dxa"/>
            <w:noWrap/>
            <w:hideMark/>
          </w:tcPr>
          <w:p w14:paraId="1121AC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84</w:t>
            </w:r>
          </w:p>
        </w:tc>
        <w:tc>
          <w:tcPr>
            <w:tcW w:w="729" w:type="dxa"/>
            <w:noWrap/>
            <w:hideMark/>
          </w:tcPr>
          <w:p w14:paraId="53ECB22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A7BD7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C06B54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864F04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361E5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5DB9AA6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2,660</w:t>
            </w:r>
          </w:p>
        </w:tc>
      </w:tr>
      <w:tr w:rsidR="00BF10A3" w:rsidRPr="00F94DD8" w14:paraId="2DC68BF1" w14:textId="77777777" w:rsidTr="001F7400">
        <w:trPr>
          <w:trHeight w:val="315"/>
        </w:trPr>
        <w:tc>
          <w:tcPr>
            <w:tcW w:w="697" w:type="dxa"/>
            <w:noWrap/>
            <w:hideMark/>
          </w:tcPr>
          <w:p w14:paraId="573FA2F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3879" w:type="dxa"/>
            <w:noWrap/>
            <w:hideMark/>
          </w:tcPr>
          <w:p w14:paraId="3F5C88D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Computer and Information Sciences</w:t>
            </w:r>
          </w:p>
        </w:tc>
        <w:tc>
          <w:tcPr>
            <w:tcW w:w="793" w:type="dxa"/>
            <w:noWrap/>
            <w:hideMark/>
          </w:tcPr>
          <w:p w14:paraId="5BFAA48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1,613</w:t>
            </w:r>
          </w:p>
        </w:tc>
        <w:tc>
          <w:tcPr>
            <w:tcW w:w="729" w:type="dxa"/>
            <w:noWrap/>
            <w:hideMark/>
          </w:tcPr>
          <w:p w14:paraId="3985C12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51</w:t>
            </w:r>
          </w:p>
        </w:tc>
        <w:tc>
          <w:tcPr>
            <w:tcW w:w="729" w:type="dxa"/>
            <w:noWrap/>
            <w:hideMark/>
          </w:tcPr>
          <w:p w14:paraId="5B4EE7C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52</w:t>
            </w:r>
          </w:p>
        </w:tc>
        <w:tc>
          <w:tcPr>
            <w:tcW w:w="729" w:type="dxa"/>
            <w:noWrap/>
            <w:hideMark/>
          </w:tcPr>
          <w:p w14:paraId="7D1EA07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38</w:t>
            </w:r>
          </w:p>
        </w:tc>
        <w:tc>
          <w:tcPr>
            <w:tcW w:w="729" w:type="dxa"/>
            <w:noWrap/>
            <w:hideMark/>
          </w:tcPr>
          <w:p w14:paraId="1B0014D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292</w:t>
            </w:r>
          </w:p>
        </w:tc>
        <w:tc>
          <w:tcPr>
            <w:tcW w:w="729" w:type="dxa"/>
            <w:noWrap/>
            <w:hideMark/>
          </w:tcPr>
          <w:p w14:paraId="6D2D04F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342</w:t>
            </w:r>
          </w:p>
        </w:tc>
        <w:tc>
          <w:tcPr>
            <w:tcW w:w="729" w:type="dxa"/>
            <w:noWrap/>
            <w:hideMark/>
          </w:tcPr>
          <w:p w14:paraId="7324C87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219</w:t>
            </w:r>
          </w:p>
        </w:tc>
        <w:tc>
          <w:tcPr>
            <w:tcW w:w="729" w:type="dxa"/>
            <w:noWrap/>
            <w:hideMark/>
          </w:tcPr>
          <w:p w14:paraId="652BF27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6201D31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39</w:t>
            </w:r>
          </w:p>
        </w:tc>
        <w:tc>
          <w:tcPr>
            <w:tcW w:w="729" w:type="dxa"/>
            <w:noWrap/>
            <w:hideMark/>
          </w:tcPr>
          <w:p w14:paraId="7B0AF51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6E6A2D6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A5BC5F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2,658</w:t>
            </w:r>
          </w:p>
        </w:tc>
      </w:tr>
      <w:tr w:rsidR="00BF10A3" w:rsidRPr="00F94DD8" w14:paraId="34D8B1F4" w14:textId="77777777" w:rsidTr="001F7400">
        <w:trPr>
          <w:trHeight w:val="315"/>
        </w:trPr>
        <w:tc>
          <w:tcPr>
            <w:tcW w:w="697" w:type="dxa"/>
            <w:noWrap/>
            <w:hideMark/>
          </w:tcPr>
          <w:p w14:paraId="34F3761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3879" w:type="dxa"/>
            <w:noWrap/>
            <w:hideMark/>
          </w:tcPr>
          <w:p w14:paraId="7B062C8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Engineering Related Technologies</w:t>
            </w:r>
          </w:p>
        </w:tc>
        <w:tc>
          <w:tcPr>
            <w:tcW w:w="793" w:type="dxa"/>
            <w:noWrap/>
            <w:hideMark/>
          </w:tcPr>
          <w:p w14:paraId="36E6ADD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1,689</w:t>
            </w:r>
          </w:p>
        </w:tc>
        <w:tc>
          <w:tcPr>
            <w:tcW w:w="729" w:type="dxa"/>
            <w:noWrap/>
            <w:hideMark/>
          </w:tcPr>
          <w:p w14:paraId="4AA76AD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13B9B4B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42</w:t>
            </w:r>
          </w:p>
        </w:tc>
        <w:tc>
          <w:tcPr>
            <w:tcW w:w="729" w:type="dxa"/>
            <w:noWrap/>
            <w:hideMark/>
          </w:tcPr>
          <w:p w14:paraId="56575D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70B827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143</w:t>
            </w:r>
          </w:p>
        </w:tc>
        <w:tc>
          <w:tcPr>
            <w:tcW w:w="729" w:type="dxa"/>
            <w:noWrap/>
            <w:hideMark/>
          </w:tcPr>
          <w:p w14:paraId="63D3E34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145</w:t>
            </w:r>
          </w:p>
        </w:tc>
        <w:tc>
          <w:tcPr>
            <w:tcW w:w="729" w:type="dxa"/>
            <w:noWrap/>
            <w:hideMark/>
          </w:tcPr>
          <w:p w14:paraId="52C3451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w:t>
            </w:r>
          </w:p>
        </w:tc>
        <w:tc>
          <w:tcPr>
            <w:tcW w:w="729" w:type="dxa"/>
            <w:noWrap/>
            <w:hideMark/>
          </w:tcPr>
          <w:p w14:paraId="283EF1A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11C878A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2C90C8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5F2BF4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CA0188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2,061</w:t>
            </w:r>
          </w:p>
        </w:tc>
      </w:tr>
      <w:tr w:rsidR="00BF10A3" w:rsidRPr="00F94DD8" w14:paraId="71DA7198" w14:textId="77777777" w:rsidTr="001F7400">
        <w:trPr>
          <w:trHeight w:val="315"/>
        </w:trPr>
        <w:tc>
          <w:tcPr>
            <w:tcW w:w="697" w:type="dxa"/>
            <w:noWrap/>
            <w:hideMark/>
          </w:tcPr>
          <w:p w14:paraId="782FB41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50</w:t>
            </w:r>
          </w:p>
        </w:tc>
        <w:tc>
          <w:tcPr>
            <w:tcW w:w="3879" w:type="dxa"/>
            <w:noWrap/>
            <w:hideMark/>
          </w:tcPr>
          <w:p w14:paraId="591D612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Visual and Performing Arts</w:t>
            </w:r>
          </w:p>
        </w:tc>
        <w:tc>
          <w:tcPr>
            <w:tcW w:w="793" w:type="dxa"/>
            <w:noWrap/>
            <w:hideMark/>
          </w:tcPr>
          <w:p w14:paraId="5725CE7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583</w:t>
            </w:r>
          </w:p>
        </w:tc>
        <w:tc>
          <w:tcPr>
            <w:tcW w:w="729" w:type="dxa"/>
            <w:noWrap/>
            <w:hideMark/>
          </w:tcPr>
          <w:p w14:paraId="606DAFB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28</w:t>
            </w:r>
          </w:p>
        </w:tc>
        <w:tc>
          <w:tcPr>
            <w:tcW w:w="729" w:type="dxa"/>
            <w:noWrap/>
            <w:hideMark/>
          </w:tcPr>
          <w:p w14:paraId="6AFC25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53</w:t>
            </w:r>
          </w:p>
        </w:tc>
        <w:tc>
          <w:tcPr>
            <w:tcW w:w="729" w:type="dxa"/>
            <w:noWrap/>
            <w:hideMark/>
          </w:tcPr>
          <w:p w14:paraId="6633B34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72</w:t>
            </w:r>
          </w:p>
        </w:tc>
        <w:tc>
          <w:tcPr>
            <w:tcW w:w="729" w:type="dxa"/>
            <w:noWrap/>
            <w:hideMark/>
          </w:tcPr>
          <w:p w14:paraId="6871F3A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107</w:t>
            </w:r>
          </w:p>
        </w:tc>
        <w:tc>
          <w:tcPr>
            <w:tcW w:w="729" w:type="dxa"/>
            <w:noWrap/>
            <w:hideMark/>
          </w:tcPr>
          <w:p w14:paraId="769E0CD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238</w:t>
            </w:r>
          </w:p>
        </w:tc>
        <w:tc>
          <w:tcPr>
            <w:tcW w:w="729" w:type="dxa"/>
            <w:noWrap/>
            <w:hideMark/>
          </w:tcPr>
          <w:p w14:paraId="28604C0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275</w:t>
            </w:r>
          </w:p>
        </w:tc>
        <w:tc>
          <w:tcPr>
            <w:tcW w:w="729" w:type="dxa"/>
            <w:noWrap/>
            <w:hideMark/>
          </w:tcPr>
          <w:p w14:paraId="1151AF5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5C06DA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38</w:t>
            </w:r>
          </w:p>
        </w:tc>
        <w:tc>
          <w:tcPr>
            <w:tcW w:w="729" w:type="dxa"/>
            <w:noWrap/>
            <w:hideMark/>
          </w:tcPr>
          <w:p w14:paraId="423C743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443512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58DF41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1,395</w:t>
            </w:r>
          </w:p>
        </w:tc>
      </w:tr>
      <w:tr w:rsidR="00BF10A3" w:rsidRPr="00F94DD8" w14:paraId="315C3727" w14:textId="77777777" w:rsidTr="001F7400">
        <w:trPr>
          <w:trHeight w:val="315"/>
        </w:trPr>
        <w:tc>
          <w:tcPr>
            <w:tcW w:w="697" w:type="dxa"/>
            <w:noWrap/>
            <w:hideMark/>
          </w:tcPr>
          <w:p w14:paraId="6444C0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w:t>
            </w:r>
          </w:p>
        </w:tc>
        <w:tc>
          <w:tcPr>
            <w:tcW w:w="3879" w:type="dxa"/>
            <w:noWrap/>
            <w:hideMark/>
          </w:tcPr>
          <w:p w14:paraId="3C99676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Education</w:t>
            </w:r>
          </w:p>
        </w:tc>
        <w:tc>
          <w:tcPr>
            <w:tcW w:w="793" w:type="dxa"/>
            <w:noWrap/>
            <w:hideMark/>
          </w:tcPr>
          <w:p w14:paraId="641FEA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389</w:t>
            </w:r>
          </w:p>
        </w:tc>
        <w:tc>
          <w:tcPr>
            <w:tcW w:w="729" w:type="dxa"/>
            <w:noWrap/>
            <w:hideMark/>
          </w:tcPr>
          <w:p w14:paraId="3778D5A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298</w:t>
            </w:r>
          </w:p>
        </w:tc>
        <w:tc>
          <w:tcPr>
            <w:tcW w:w="729" w:type="dxa"/>
            <w:noWrap/>
            <w:hideMark/>
          </w:tcPr>
          <w:p w14:paraId="31A9B6E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w:t>
            </w:r>
          </w:p>
        </w:tc>
        <w:tc>
          <w:tcPr>
            <w:tcW w:w="729" w:type="dxa"/>
            <w:noWrap/>
            <w:hideMark/>
          </w:tcPr>
          <w:p w14:paraId="56DB3F3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389</w:t>
            </w:r>
          </w:p>
        </w:tc>
        <w:tc>
          <w:tcPr>
            <w:tcW w:w="729" w:type="dxa"/>
            <w:noWrap/>
            <w:hideMark/>
          </w:tcPr>
          <w:p w14:paraId="3416209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52</w:t>
            </w:r>
          </w:p>
        </w:tc>
        <w:tc>
          <w:tcPr>
            <w:tcW w:w="729" w:type="dxa"/>
            <w:noWrap/>
            <w:hideMark/>
          </w:tcPr>
          <w:p w14:paraId="4FEE00E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w:t>
            </w:r>
          </w:p>
        </w:tc>
        <w:tc>
          <w:tcPr>
            <w:tcW w:w="729" w:type="dxa"/>
            <w:noWrap/>
            <w:hideMark/>
          </w:tcPr>
          <w:p w14:paraId="78A4630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57</w:t>
            </w:r>
          </w:p>
        </w:tc>
        <w:tc>
          <w:tcPr>
            <w:tcW w:w="729" w:type="dxa"/>
            <w:noWrap/>
            <w:hideMark/>
          </w:tcPr>
          <w:p w14:paraId="55789CB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0F22400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78</w:t>
            </w:r>
          </w:p>
        </w:tc>
        <w:tc>
          <w:tcPr>
            <w:tcW w:w="729" w:type="dxa"/>
            <w:noWrap/>
            <w:hideMark/>
          </w:tcPr>
          <w:p w14:paraId="3000057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30</w:t>
            </w:r>
          </w:p>
        </w:tc>
        <w:tc>
          <w:tcPr>
            <w:tcW w:w="729" w:type="dxa"/>
            <w:noWrap/>
            <w:hideMark/>
          </w:tcPr>
          <w:p w14:paraId="0BDDAE4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891" w:type="dxa"/>
            <w:noWrap/>
            <w:hideMark/>
          </w:tcPr>
          <w:p w14:paraId="52736E5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1,364</w:t>
            </w:r>
          </w:p>
        </w:tc>
      </w:tr>
      <w:tr w:rsidR="00BF10A3" w:rsidRPr="00F94DD8" w14:paraId="4A063D85" w14:textId="77777777" w:rsidTr="001F7400">
        <w:trPr>
          <w:trHeight w:val="315"/>
        </w:trPr>
        <w:tc>
          <w:tcPr>
            <w:tcW w:w="697" w:type="dxa"/>
            <w:noWrap/>
            <w:hideMark/>
          </w:tcPr>
          <w:p w14:paraId="39BC94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43</w:t>
            </w:r>
          </w:p>
        </w:tc>
        <w:tc>
          <w:tcPr>
            <w:tcW w:w="3879" w:type="dxa"/>
            <w:noWrap/>
            <w:hideMark/>
          </w:tcPr>
          <w:p w14:paraId="128E82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Protective Services</w:t>
            </w:r>
          </w:p>
        </w:tc>
        <w:tc>
          <w:tcPr>
            <w:tcW w:w="793" w:type="dxa"/>
            <w:noWrap/>
            <w:hideMark/>
          </w:tcPr>
          <w:p w14:paraId="0025F3A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869</w:t>
            </w:r>
          </w:p>
        </w:tc>
        <w:tc>
          <w:tcPr>
            <w:tcW w:w="729" w:type="dxa"/>
            <w:noWrap/>
            <w:hideMark/>
          </w:tcPr>
          <w:p w14:paraId="4B0079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6C42E43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5D39243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c>
          <w:tcPr>
            <w:tcW w:w="729" w:type="dxa"/>
            <w:noWrap/>
            <w:hideMark/>
          </w:tcPr>
          <w:p w14:paraId="742F018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55</w:t>
            </w:r>
          </w:p>
        </w:tc>
        <w:tc>
          <w:tcPr>
            <w:tcW w:w="729" w:type="dxa"/>
            <w:noWrap/>
            <w:hideMark/>
          </w:tcPr>
          <w:p w14:paraId="4A5BB1E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189</w:t>
            </w:r>
          </w:p>
        </w:tc>
        <w:tc>
          <w:tcPr>
            <w:tcW w:w="729" w:type="dxa"/>
            <w:noWrap/>
            <w:hideMark/>
          </w:tcPr>
          <w:p w14:paraId="3AC4B46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112</w:t>
            </w:r>
          </w:p>
        </w:tc>
        <w:tc>
          <w:tcPr>
            <w:tcW w:w="729" w:type="dxa"/>
            <w:noWrap/>
            <w:hideMark/>
          </w:tcPr>
          <w:p w14:paraId="274A745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6E5E170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w:t>
            </w:r>
          </w:p>
        </w:tc>
        <w:tc>
          <w:tcPr>
            <w:tcW w:w="729" w:type="dxa"/>
            <w:noWrap/>
            <w:hideMark/>
          </w:tcPr>
          <w:p w14:paraId="2AA657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4A6B98A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CCB9B0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1,304</w:t>
            </w:r>
          </w:p>
        </w:tc>
      </w:tr>
      <w:tr w:rsidR="00BF10A3" w:rsidRPr="00F94DD8" w14:paraId="1F897B86" w14:textId="77777777" w:rsidTr="001F7400">
        <w:trPr>
          <w:trHeight w:val="315"/>
        </w:trPr>
        <w:tc>
          <w:tcPr>
            <w:tcW w:w="697" w:type="dxa"/>
            <w:noWrap/>
            <w:hideMark/>
          </w:tcPr>
          <w:p w14:paraId="6C72EE1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48</w:t>
            </w:r>
          </w:p>
        </w:tc>
        <w:tc>
          <w:tcPr>
            <w:tcW w:w="3879" w:type="dxa"/>
            <w:noWrap/>
            <w:hideMark/>
          </w:tcPr>
          <w:p w14:paraId="1024828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Precision Production Trades</w:t>
            </w:r>
          </w:p>
        </w:tc>
        <w:tc>
          <w:tcPr>
            <w:tcW w:w="793" w:type="dxa"/>
            <w:noWrap/>
            <w:hideMark/>
          </w:tcPr>
          <w:p w14:paraId="63AF77D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1,047</w:t>
            </w:r>
          </w:p>
        </w:tc>
        <w:tc>
          <w:tcPr>
            <w:tcW w:w="729" w:type="dxa"/>
            <w:noWrap/>
            <w:hideMark/>
          </w:tcPr>
          <w:p w14:paraId="5D9538F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0B6341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28FA301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113263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41</w:t>
            </w:r>
          </w:p>
        </w:tc>
        <w:tc>
          <w:tcPr>
            <w:tcW w:w="729" w:type="dxa"/>
            <w:noWrap/>
            <w:hideMark/>
          </w:tcPr>
          <w:p w14:paraId="76ACDE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w:t>
            </w:r>
          </w:p>
        </w:tc>
        <w:tc>
          <w:tcPr>
            <w:tcW w:w="729" w:type="dxa"/>
            <w:noWrap/>
            <w:hideMark/>
          </w:tcPr>
          <w:p w14:paraId="60EA210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101C2B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B97B0A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56116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8A8A41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8AC92D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1,123</w:t>
            </w:r>
          </w:p>
        </w:tc>
      </w:tr>
      <w:tr w:rsidR="00BF10A3" w:rsidRPr="00F94DD8" w14:paraId="130A27E8" w14:textId="77777777" w:rsidTr="001F7400">
        <w:trPr>
          <w:trHeight w:val="315"/>
        </w:trPr>
        <w:tc>
          <w:tcPr>
            <w:tcW w:w="697" w:type="dxa"/>
            <w:noWrap/>
            <w:hideMark/>
          </w:tcPr>
          <w:p w14:paraId="7854997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46</w:t>
            </w:r>
          </w:p>
        </w:tc>
        <w:tc>
          <w:tcPr>
            <w:tcW w:w="3879" w:type="dxa"/>
            <w:noWrap/>
            <w:hideMark/>
          </w:tcPr>
          <w:p w14:paraId="60908FF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Construction Trades</w:t>
            </w:r>
          </w:p>
        </w:tc>
        <w:tc>
          <w:tcPr>
            <w:tcW w:w="793" w:type="dxa"/>
            <w:noWrap/>
            <w:hideMark/>
          </w:tcPr>
          <w:p w14:paraId="24F015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956</w:t>
            </w:r>
          </w:p>
        </w:tc>
        <w:tc>
          <w:tcPr>
            <w:tcW w:w="729" w:type="dxa"/>
            <w:noWrap/>
            <w:hideMark/>
          </w:tcPr>
          <w:p w14:paraId="296A4C4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DFBFD5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w:t>
            </w:r>
          </w:p>
        </w:tc>
        <w:tc>
          <w:tcPr>
            <w:tcW w:w="729" w:type="dxa"/>
            <w:noWrap/>
            <w:hideMark/>
          </w:tcPr>
          <w:p w14:paraId="7733582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7CAF1E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98</w:t>
            </w:r>
          </w:p>
        </w:tc>
        <w:tc>
          <w:tcPr>
            <w:tcW w:w="729" w:type="dxa"/>
            <w:noWrap/>
            <w:hideMark/>
          </w:tcPr>
          <w:p w14:paraId="0FAEAA8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26</w:t>
            </w:r>
          </w:p>
        </w:tc>
        <w:tc>
          <w:tcPr>
            <w:tcW w:w="729" w:type="dxa"/>
            <w:noWrap/>
            <w:hideMark/>
          </w:tcPr>
          <w:p w14:paraId="3AD173D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0567ED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14CAF4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5EC56C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6CB294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AFA653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1,106</w:t>
            </w:r>
          </w:p>
        </w:tc>
      </w:tr>
      <w:tr w:rsidR="00BF10A3" w:rsidRPr="00F94DD8" w14:paraId="494BB11F" w14:textId="77777777" w:rsidTr="001F7400">
        <w:trPr>
          <w:trHeight w:val="315"/>
        </w:trPr>
        <w:tc>
          <w:tcPr>
            <w:tcW w:w="697" w:type="dxa"/>
            <w:noWrap/>
            <w:hideMark/>
          </w:tcPr>
          <w:p w14:paraId="07A9ADD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3879" w:type="dxa"/>
            <w:noWrap/>
            <w:hideMark/>
          </w:tcPr>
          <w:p w14:paraId="137F2B0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Law and Legal Services</w:t>
            </w:r>
          </w:p>
        </w:tc>
        <w:tc>
          <w:tcPr>
            <w:tcW w:w="793" w:type="dxa"/>
            <w:noWrap/>
            <w:hideMark/>
          </w:tcPr>
          <w:p w14:paraId="10A1C90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312</w:t>
            </w:r>
          </w:p>
        </w:tc>
        <w:tc>
          <w:tcPr>
            <w:tcW w:w="729" w:type="dxa"/>
            <w:noWrap/>
            <w:hideMark/>
          </w:tcPr>
          <w:p w14:paraId="29A957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608ABFB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40</w:t>
            </w:r>
          </w:p>
        </w:tc>
        <w:tc>
          <w:tcPr>
            <w:tcW w:w="729" w:type="dxa"/>
            <w:noWrap/>
            <w:hideMark/>
          </w:tcPr>
          <w:p w14:paraId="45E8C8C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w:t>
            </w:r>
          </w:p>
        </w:tc>
        <w:tc>
          <w:tcPr>
            <w:tcW w:w="729" w:type="dxa"/>
            <w:noWrap/>
            <w:hideMark/>
          </w:tcPr>
          <w:p w14:paraId="0E6AA40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118</w:t>
            </w:r>
          </w:p>
        </w:tc>
        <w:tc>
          <w:tcPr>
            <w:tcW w:w="729" w:type="dxa"/>
            <w:noWrap/>
            <w:hideMark/>
          </w:tcPr>
          <w:p w14:paraId="2C245DF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197</w:t>
            </w:r>
          </w:p>
        </w:tc>
        <w:tc>
          <w:tcPr>
            <w:tcW w:w="729" w:type="dxa"/>
            <w:noWrap/>
            <w:hideMark/>
          </w:tcPr>
          <w:p w14:paraId="0A34AA8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40</w:t>
            </w:r>
          </w:p>
        </w:tc>
        <w:tc>
          <w:tcPr>
            <w:tcW w:w="729" w:type="dxa"/>
            <w:noWrap/>
            <w:hideMark/>
          </w:tcPr>
          <w:p w14:paraId="217E33C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0194A75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3EE3A25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DD7F4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891" w:type="dxa"/>
            <w:noWrap/>
            <w:hideMark/>
          </w:tcPr>
          <w:p w14:paraId="20CF3C5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749</w:t>
            </w:r>
          </w:p>
        </w:tc>
      </w:tr>
      <w:tr w:rsidR="00BF10A3" w:rsidRPr="00F94DD8" w14:paraId="41ECE50A" w14:textId="77777777" w:rsidTr="001F7400">
        <w:trPr>
          <w:trHeight w:val="315"/>
        </w:trPr>
        <w:tc>
          <w:tcPr>
            <w:tcW w:w="697" w:type="dxa"/>
            <w:noWrap/>
            <w:hideMark/>
          </w:tcPr>
          <w:p w14:paraId="77D6DD5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w:t>
            </w:r>
          </w:p>
        </w:tc>
        <w:tc>
          <w:tcPr>
            <w:tcW w:w="3879" w:type="dxa"/>
            <w:noWrap/>
            <w:hideMark/>
          </w:tcPr>
          <w:p w14:paraId="08F5F56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Home Economics</w:t>
            </w:r>
          </w:p>
        </w:tc>
        <w:tc>
          <w:tcPr>
            <w:tcW w:w="793" w:type="dxa"/>
            <w:noWrap/>
            <w:hideMark/>
          </w:tcPr>
          <w:p w14:paraId="5ED3222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667</w:t>
            </w:r>
          </w:p>
        </w:tc>
        <w:tc>
          <w:tcPr>
            <w:tcW w:w="729" w:type="dxa"/>
            <w:noWrap/>
            <w:hideMark/>
          </w:tcPr>
          <w:p w14:paraId="64D196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5790E4C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w:t>
            </w:r>
          </w:p>
        </w:tc>
        <w:tc>
          <w:tcPr>
            <w:tcW w:w="729" w:type="dxa"/>
            <w:noWrap/>
            <w:hideMark/>
          </w:tcPr>
          <w:p w14:paraId="6CA61D8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w:t>
            </w:r>
          </w:p>
        </w:tc>
        <w:tc>
          <w:tcPr>
            <w:tcW w:w="729" w:type="dxa"/>
            <w:noWrap/>
            <w:hideMark/>
          </w:tcPr>
          <w:p w14:paraId="3BC8BA4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1EA04D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06DA662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w:t>
            </w:r>
          </w:p>
        </w:tc>
        <w:tc>
          <w:tcPr>
            <w:tcW w:w="729" w:type="dxa"/>
            <w:noWrap/>
            <w:hideMark/>
          </w:tcPr>
          <w:p w14:paraId="038D8C9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6857F71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1B0077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91AA08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D8DBF3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746</w:t>
            </w:r>
          </w:p>
        </w:tc>
      </w:tr>
      <w:tr w:rsidR="00BF10A3" w:rsidRPr="00F94DD8" w14:paraId="032FF341" w14:textId="77777777" w:rsidTr="001F7400">
        <w:trPr>
          <w:trHeight w:val="315"/>
        </w:trPr>
        <w:tc>
          <w:tcPr>
            <w:tcW w:w="697" w:type="dxa"/>
            <w:noWrap/>
            <w:hideMark/>
          </w:tcPr>
          <w:p w14:paraId="381B7E7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3879" w:type="dxa"/>
            <w:noWrap/>
            <w:hideMark/>
          </w:tcPr>
          <w:p w14:paraId="11D02A5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Agricultural Business and Production</w:t>
            </w:r>
          </w:p>
        </w:tc>
        <w:tc>
          <w:tcPr>
            <w:tcW w:w="793" w:type="dxa"/>
            <w:noWrap/>
            <w:hideMark/>
          </w:tcPr>
          <w:p w14:paraId="79F46C5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502</w:t>
            </w:r>
          </w:p>
        </w:tc>
        <w:tc>
          <w:tcPr>
            <w:tcW w:w="729" w:type="dxa"/>
            <w:noWrap/>
            <w:hideMark/>
          </w:tcPr>
          <w:p w14:paraId="30EE57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2A06F7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1FE031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6EAC55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27A1CCA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53452E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435BFDB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B20507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1BC6F1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4FE176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2D57D2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518</w:t>
            </w:r>
          </w:p>
        </w:tc>
      </w:tr>
      <w:tr w:rsidR="00BF10A3" w:rsidRPr="00F94DD8" w14:paraId="12BAB14D" w14:textId="77777777" w:rsidTr="001F7400">
        <w:trPr>
          <w:trHeight w:val="315"/>
        </w:trPr>
        <w:tc>
          <w:tcPr>
            <w:tcW w:w="697" w:type="dxa"/>
            <w:noWrap/>
            <w:hideMark/>
          </w:tcPr>
          <w:p w14:paraId="6193B83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3879" w:type="dxa"/>
            <w:noWrap/>
            <w:hideMark/>
          </w:tcPr>
          <w:p w14:paraId="7B0FDBC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Telecommunications Technologies</w:t>
            </w:r>
          </w:p>
        </w:tc>
        <w:tc>
          <w:tcPr>
            <w:tcW w:w="793" w:type="dxa"/>
            <w:noWrap/>
            <w:hideMark/>
          </w:tcPr>
          <w:p w14:paraId="2A6EFCB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378</w:t>
            </w:r>
          </w:p>
        </w:tc>
        <w:tc>
          <w:tcPr>
            <w:tcW w:w="729" w:type="dxa"/>
            <w:noWrap/>
            <w:hideMark/>
          </w:tcPr>
          <w:p w14:paraId="7EE1E4C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B1185A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2A40FA5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19D1791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31</w:t>
            </w:r>
          </w:p>
        </w:tc>
        <w:tc>
          <w:tcPr>
            <w:tcW w:w="729" w:type="dxa"/>
            <w:noWrap/>
            <w:hideMark/>
          </w:tcPr>
          <w:p w14:paraId="141EF66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42</w:t>
            </w:r>
          </w:p>
        </w:tc>
        <w:tc>
          <w:tcPr>
            <w:tcW w:w="729" w:type="dxa"/>
            <w:noWrap/>
            <w:hideMark/>
          </w:tcPr>
          <w:p w14:paraId="02E02D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55</w:t>
            </w:r>
          </w:p>
        </w:tc>
        <w:tc>
          <w:tcPr>
            <w:tcW w:w="729" w:type="dxa"/>
            <w:noWrap/>
            <w:hideMark/>
          </w:tcPr>
          <w:p w14:paraId="6D4DD83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E6DE73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94C23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8EECC1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3C187E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514</w:t>
            </w:r>
          </w:p>
        </w:tc>
      </w:tr>
      <w:tr w:rsidR="00BF10A3" w:rsidRPr="00F94DD8" w14:paraId="627CC6B5" w14:textId="77777777" w:rsidTr="001F7400">
        <w:trPr>
          <w:trHeight w:val="315"/>
        </w:trPr>
        <w:tc>
          <w:tcPr>
            <w:tcW w:w="697" w:type="dxa"/>
            <w:noWrap/>
            <w:hideMark/>
          </w:tcPr>
          <w:p w14:paraId="1F30898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44</w:t>
            </w:r>
          </w:p>
        </w:tc>
        <w:tc>
          <w:tcPr>
            <w:tcW w:w="3879" w:type="dxa"/>
            <w:noWrap/>
            <w:hideMark/>
          </w:tcPr>
          <w:p w14:paraId="2419B10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Public Administration and Services</w:t>
            </w:r>
          </w:p>
        </w:tc>
        <w:tc>
          <w:tcPr>
            <w:tcW w:w="793" w:type="dxa"/>
            <w:noWrap/>
            <w:hideMark/>
          </w:tcPr>
          <w:p w14:paraId="08A8317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146</w:t>
            </w:r>
          </w:p>
        </w:tc>
        <w:tc>
          <w:tcPr>
            <w:tcW w:w="729" w:type="dxa"/>
            <w:noWrap/>
            <w:hideMark/>
          </w:tcPr>
          <w:p w14:paraId="377F056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41</w:t>
            </w:r>
          </w:p>
        </w:tc>
        <w:tc>
          <w:tcPr>
            <w:tcW w:w="729" w:type="dxa"/>
            <w:noWrap/>
            <w:hideMark/>
          </w:tcPr>
          <w:p w14:paraId="1EFF832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4B5772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c>
          <w:tcPr>
            <w:tcW w:w="729" w:type="dxa"/>
            <w:noWrap/>
            <w:hideMark/>
          </w:tcPr>
          <w:p w14:paraId="74D3FB9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368EAC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w:t>
            </w:r>
          </w:p>
        </w:tc>
        <w:tc>
          <w:tcPr>
            <w:tcW w:w="729" w:type="dxa"/>
            <w:noWrap/>
            <w:hideMark/>
          </w:tcPr>
          <w:p w14:paraId="6B03192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70E9A11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DD710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w:t>
            </w:r>
          </w:p>
        </w:tc>
        <w:tc>
          <w:tcPr>
            <w:tcW w:w="729" w:type="dxa"/>
            <w:noWrap/>
            <w:hideMark/>
          </w:tcPr>
          <w:p w14:paraId="4EB15F3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059F8CC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54E7FA5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258</w:t>
            </w:r>
          </w:p>
        </w:tc>
      </w:tr>
      <w:tr w:rsidR="00BF10A3" w:rsidRPr="00F94DD8" w14:paraId="4F5E4EC0" w14:textId="77777777" w:rsidTr="001F7400">
        <w:trPr>
          <w:trHeight w:val="315"/>
        </w:trPr>
        <w:tc>
          <w:tcPr>
            <w:tcW w:w="697" w:type="dxa"/>
            <w:noWrap/>
            <w:hideMark/>
          </w:tcPr>
          <w:p w14:paraId="67DFF06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w:t>
            </w:r>
          </w:p>
        </w:tc>
        <w:tc>
          <w:tcPr>
            <w:tcW w:w="3879" w:type="dxa"/>
            <w:noWrap/>
            <w:hideMark/>
          </w:tcPr>
          <w:p w14:paraId="1517B4A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Communications</w:t>
            </w:r>
          </w:p>
        </w:tc>
        <w:tc>
          <w:tcPr>
            <w:tcW w:w="793" w:type="dxa"/>
            <w:noWrap/>
            <w:hideMark/>
          </w:tcPr>
          <w:p w14:paraId="49796A5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131</w:t>
            </w:r>
          </w:p>
        </w:tc>
        <w:tc>
          <w:tcPr>
            <w:tcW w:w="729" w:type="dxa"/>
            <w:noWrap/>
            <w:hideMark/>
          </w:tcPr>
          <w:p w14:paraId="51F0797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1171CF5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729" w:type="dxa"/>
            <w:noWrap/>
            <w:hideMark/>
          </w:tcPr>
          <w:p w14:paraId="562BD3A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6A64B85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w:t>
            </w:r>
          </w:p>
        </w:tc>
        <w:tc>
          <w:tcPr>
            <w:tcW w:w="729" w:type="dxa"/>
            <w:noWrap/>
            <w:hideMark/>
          </w:tcPr>
          <w:p w14:paraId="34FFC9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53ED972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37</w:t>
            </w:r>
          </w:p>
        </w:tc>
        <w:tc>
          <w:tcPr>
            <w:tcW w:w="729" w:type="dxa"/>
            <w:noWrap/>
            <w:hideMark/>
          </w:tcPr>
          <w:p w14:paraId="5CCCE9F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C3996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085F0FC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1EC584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2303444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254</w:t>
            </w:r>
          </w:p>
        </w:tc>
      </w:tr>
      <w:tr w:rsidR="00BF10A3" w:rsidRPr="00F94DD8" w14:paraId="1147957E" w14:textId="77777777" w:rsidTr="001F7400">
        <w:trPr>
          <w:trHeight w:val="315"/>
        </w:trPr>
        <w:tc>
          <w:tcPr>
            <w:tcW w:w="697" w:type="dxa"/>
            <w:noWrap/>
            <w:hideMark/>
          </w:tcPr>
          <w:p w14:paraId="6FFFED1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49</w:t>
            </w:r>
          </w:p>
        </w:tc>
        <w:tc>
          <w:tcPr>
            <w:tcW w:w="3879" w:type="dxa"/>
            <w:noWrap/>
            <w:hideMark/>
          </w:tcPr>
          <w:p w14:paraId="4838A22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Transportation and Material Moving Workers</w:t>
            </w:r>
          </w:p>
        </w:tc>
        <w:tc>
          <w:tcPr>
            <w:tcW w:w="793" w:type="dxa"/>
            <w:noWrap/>
            <w:hideMark/>
          </w:tcPr>
          <w:p w14:paraId="3FB11DD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170</w:t>
            </w:r>
          </w:p>
        </w:tc>
        <w:tc>
          <w:tcPr>
            <w:tcW w:w="729" w:type="dxa"/>
            <w:noWrap/>
            <w:hideMark/>
          </w:tcPr>
          <w:p w14:paraId="08D3788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3C2E92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5777FD9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3147B9E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28</w:t>
            </w:r>
          </w:p>
        </w:tc>
        <w:tc>
          <w:tcPr>
            <w:tcW w:w="729" w:type="dxa"/>
            <w:noWrap/>
            <w:hideMark/>
          </w:tcPr>
          <w:p w14:paraId="27B3DA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39CDF1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2CB2529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017F6E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266BE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AB286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2DE3A54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221</w:t>
            </w:r>
          </w:p>
        </w:tc>
      </w:tr>
      <w:tr w:rsidR="00BF10A3" w:rsidRPr="00F94DD8" w14:paraId="7C806964" w14:textId="77777777" w:rsidTr="001F7400">
        <w:trPr>
          <w:trHeight w:val="315"/>
        </w:trPr>
        <w:tc>
          <w:tcPr>
            <w:tcW w:w="697" w:type="dxa"/>
            <w:noWrap/>
            <w:hideMark/>
          </w:tcPr>
          <w:p w14:paraId="023EC55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31</w:t>
            </w:r>
          </w:p>
        </w:tc>
        <w:tc>
          <w:tcPr>
            <w:tcW w:w="3879" w:type="dxa"/>
            <w:noWrap/>
            <w:hideMark/>
          </w:tcPr>
          <w:p w14:paraId="3D244C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Parks, Recreation, Leisure, and Fitness Studies</w:t>
            </w:r>
          </w:p>
        </w:tc>
        <w:tc>
          <w:tcPr>
            <w:tcW w:w="793" w:type="dxa"/>
            <w:noWrap/>
            <w:hideMark/>
          </w:tcPr>
          <w:p w14:paraId="34A8092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106</w:t>
            </w:r>
          </w:p>
        </w:tc>
        <w:tc>
          <w:tcPr>
            <w:tcW w:w="729" w:type="dxa"/>
            <w:noWrap/>
            <w:hideMark/>
          </w:tcPr>
          <w:p w14:paraId="2D73DA9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50966A6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357D32E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F15E1C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36</w:t>
            </w:r>
          </w:p>
        </w:tc>
        <w:tc>
          <w:tcPr>
            <w:tcW w:w="729" w:type="dxa"/>
            <w:noWrap/>
            <w:hideMark/>
          </w:tcPr>
          <w:p w14:paraId="2583EC7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c>
          <w:tcPr>
            <w:tcW w:w="729" w:type="dxa"/>
            <w:noWrap/>
            <w:hideMark/>
          </w:tcPr>
          <w:p w14:paraId="51140C5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09294C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0780CB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688C974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495687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22D5BB5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196</w:t>
            </w:r>
          </w:p>
        </w:tc>
      </w:tr>
      <w:tr w:rsidR="00BF10A3" w:rsidRPr="00F94DD8" w14:paraId="144924F4" w14:textId="77777777" w:rsidTr="001F7400">
        <w:trPr>
          <w:trHeight w:val="315"/>
        </w:trPr>
        <w:tc>
          <w:tcPr>
            <w:tcW w:w="697" w:type="dxa"/>
            <w:noWrap/>
            <w:hideMark/>
          </w:tcPr>
          <w:p w14:paraId="655826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w:t>
            </w:r>
          </w:p>
        </w:tc>
        <w:tc>
          <w:tcPr>
            <w:tcW w:w="3879" w:type="dxa"/>
            <w:noWrap/>
            <w:hideMark/>
          </w:tcPr>
          <w:p w14:paraId="01C607A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Liberal Arts and Sciences, General Studies and Humanities</w:t>
            </w:r>
          </w:p>
        </w:tc>
        <w:tc>
          <w:tcPr>
            <w:tcW w:w="793" w:type="dxa"/>
            <w:noWrap/>
            <w:hideMark/>
          </w:tcPr>
          <w:p w14:paraId="25212B8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130</w:t>
            </w:r>
          </w:p>
        </w:tc>
        <w:tc>
          <w:tcPr>
            <w:tcW w:w="729" w:type="dxa"/>
            <w:noWrap/>
            <w:hideMark/>
          </w:tcPr>
          <w:p w14:paraId="0490807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69C2CB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206C552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770A94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6C02FBD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49833A1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17</w:t>
            </w:r>
          </w:p>
        </w:tc>
        <w:tc>
          <w:tcPr>
            <w:tcW w:w="729" w:type="dxa"/>
            <w:noWrap/>
            <w:hideMark/>
          </w:tcPr>
          <w:p w14:paraId="4A589B5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444C0C4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3480F2E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1F3C80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04DD09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186</w:t>
            </w:r>
          </w:p>
        </w:tc>
      </w:tr>
      <w:tr w:rsidR="00BF10A3" w:rsidRPr="00F94DD8" w14:paraId="6694C22E" w14:textId="77777777" w:rsidTr="001F7400">
        <w:trPr>
          <w:trHeight w:val="315"/>
        </w:trPr>
        <w:tc>
          <w:tcPr>
            <w:tcW w:w="697" w:type="dxa"/>
            <w:noWrap/>
            <w:hideMark/>
          </w:tcPr>
          <w:p w14:paraId="551B592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30</w:t>
            </w:r>
          </w:p>
        </w:tc>
        <w:tc>
          <w:tcPr>
            <w:tcW w:w="3879" w:type="dxa"/>
            <w:noWrap/>
            <w:hideMark/>
          </w:tcPr>
          <w:p w14:paraId="153886C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Multi-interdisciplinary Studies</w:t>
            </w:r>
          </w:p>
        </w:tc>
        <w:tc>
          <w:tcPr>
            <w:tcW w:w="793" w:type="dxa"/>
            <w:noWrap/>
            <w:hideMark/>
          </w:tcPr>
          <w:p w14:paraId="3496ACE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60</w:t>
            </w:r>
          </w:p>
        </w:tc>
        <w:tc>
          <w:tcPr>
            <w:tcW w:w="729" w:type="dxa"/>
            <w:noWrap/>
            <w:hideMark/>
          </w:tcPr>
          <w:p w14:paraId="1373C70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52</w:t>
            </w:r>
          </w:p>
        </w:tc>
        <w:tc>
          <w:tcPr>
            <w:tcW w:w="729" w:type="dxa"/>
            <w:noWrap/>
            <w:hideMark/>
          </w:tcPr>
          <w:p w14:paraId="5BA7185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w:t>
            </w:r>
          </w:p>
        </w:tc>
        <w:tc>
          <w:tcPr>
            <w:tcW w:w="729" w:type="dxa"/>
            <w:noWrap/>
            <w:hideMark/>
          </w:tcPr>
          <w:p w14:paraId="345E397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30</w:t>
            </w:r>
          </w:p>
        </w:tc>
        <w:tc>
          <w:tcPr>
            <w:tcW w:w="729" w:type="dxa"/>
            <w:noWrap/>
            <w:hideMark/>
          </w:tcPr>
          <w:p w14:paraId="1DCF855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3D3B1EC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2019107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7C9959F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221DC73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6B70DC3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3BC927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544B44A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181</w:t>
            </w:r>
          </w:p>
        </w:tc>
      </w:tr>
      <w:tr w:rsidR="00BF10A3" w:rsidRPr="00F94DD8" w14:paraId="1CCC7FD4" w14:textId="77777777" w:rsidTr="001F7400">
        <w:trPr>
          <w:trHeight w:val="315"/>
        </w:trPr>
        <w:tc>
          <w:tcPr>
            <w:tcW w:w="697" w:type="dxa"/>
            <w:noWrap/>
            <w:hideMark/>
          </w:tcPr>
          <w:p w14:paraId="73EA5BE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45</w:t>
            </w:r>
          </w:p>
        </w:tc>
        <w:tc>
          <w:tcPr>
            <w:tcW w:w="3879" w:type="dxa"/>
            <w:noWrap/>
            <w:hideMark/>
          </w:tcPr>
          <w:p w14:paraId="00D50DD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Social Sciences and History</w:t>
            </w:r>
          </w:p>
        </w:tc>
        <w:tc>
          <w:tcPr>
            <w:tcW w:w="793" w:type="dxa"/>
            <w:noWrap/>
            <w:hideMark/>
          </w:tcPr>
          <w:p w14:paraId="088148F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79</w:t>
            </w:r>
          </w:p>
        </w:tc>
        <w:tc>
          <w:tcPr>
            <w:tcW w:w="729" w:type="dxa"/>
            <w:noWrap/>
            <w:hideMark/>
          </w:tcPr>
          <w:p w14:paraId="62D95E0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48</w:t>
            </w:r>
          </w:p>
        </w:tc>
        <w:tc>
          <w:tcPr>
            <w:tcW w:w="729" w:type="dxa"/>
            <w:noWrap/>
            <w:hideMark/>
          </w:tcPr>
          <w:p w14:paraId="47FA567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69D4739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1662551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56673B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567348E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18</w:t>
            </w:r>
          </w:p>
        </w:tc>
        <w:tc>
          <w:tcPr>
            <w:tcW w:w="729" w:type="dxa"/>
            <w:noWrap/>
            <w:hideMark/>
          </w:tcPr>
          <w:p w14:paraId="1FC133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1EAC7B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6FD244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864AAD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38FB53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179</w:t>
            </w:r>
          </w:p>
        </w:tc>
      </w:tr>
      <w:tr w:rsidR="00BF10A3" w:rsidRPr="00F94DD8" w14:paraId="0547D557" w14:textId="77777777" w:rsidTr="001F7400">
        <w:trPr>
          <w:trHeight w:val="315"/>
        </w:trPr>
        <w:tc>
          <w:tcPr>
            <w:tcW w:w="697" w:type="dxa"/>
            <w:noWrap/>
            <w:hideMark/>
          </w:tcPr>
          <w:p w14:paraId="6C50B33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42</w:t>
            </w:r>
          </w:p>
        </w:tc>
        <w:tc>
          <w:tcPr>
            <w:tcW w:w="3879" w:type="dxa"/>
            <w:noWrap/>
            <w:hideMark/>
          </w:tcPr>
          <w:p w14:paraId="6EF9397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Psychology</w:t>
            </w:r>
          </w:p>
        </w:tc>
        <w:tc>
          <w:tcPr>
            <w:tcW w:w="793" w:type="dxa"/>
            <w:noWrap/>
            <w:hideMark/>
          </w:tcPr>
          <w:p w14:paraId="6A1DC83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w:t>
            </w:r>
          </w:p>
        </w:tc>
        <w:tc>
          <w:tcPr>
            <w:tcW w:w="729" w:type="dxa"/>
            <w:noWrap/>
            <w:hideMark/>
          </w:tcPr>
          <w:p w14:paraId="1396E54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w:t>
            </w:r>
          </w:p>
        </w:tc>
        <w:tc>
          <w:tcPr>
            <w:tcW w:w="729" w:type="dxa"/>
            <w:noWrap/>
            <w:hideMark/>
          </w:tcPr>
          <w:p w14:paraId="1EE6EC4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1C04041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55</w:t>
            </w:r>
          </w:p>
        </w:tc>
        <w:tc>
          <w:tcPr>
            <w:tcW w:w="729" w:type="dxa"/>
            <w:noWrap/>
            <w:hideMark/>
          </w:tcPr>
          <w:p w14:paraId="611DB01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AF90BA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4F406FA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w:t>
            </w:r>
          </w:p>
        </w:tc>
        <w:tc>
          <w:tcPr>
            <w:tcW w:w="729" w:type="dxa"/>
            <w:noWrap/>
            <w:hideMark/>
          </w:tcPr>
          <w:p w14:paraId="7607B0F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201D75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27</w:t>
            </w:r>
          </w:p>
        </w:tc>
        <w:tc>
          <w:tcPr>
            <w:tcW w:w="729" w:type="dxa"/>
            <w:noWrap/>
            <w:hideMark/>
          </w:tcPr>
          <w:p w14:paraId="25256A6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c>
          <w:tcPr>
            <w:tcW w:w="729" w:type="dxa"/>
            <w:noWrap/>
            <w:hideMark/>
          </w:tcPr>
          <w:p w14:paraId="27700BE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086250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170</w:t>
            </w:r>
          </w:p>
        </w:tc>
      </w:tr>
      <w:tr w:rsidR="00BF10A3" w:rsidRPr="00F94DD8" w14:paraId="0B290C32" w14:textId="77777777" w:rsidTr="001F7400">
        <w:trPr>
          <w:trHeight w:val="315"/>
        </w:trPr>
        <w:tc>
          <w:tcPr>
            <w:tcW w:w="697" w:type="dxa"/>
            <w:noWrap/>
            <w:hideMark/>
          </w:tcPr>
          <w:p w14:paraId="2FD022E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w:t>
            </w:r>
          </w:p>
        </w:tc>
        <w:tc>
          <w:tcPr>
            <w:tcW w:w="3879" w:type="dxa"/>
            <w:noWrap/>
            <w:hideMark/>
          </w:tcPr>
          <w:p w14:paraId="5ED6D50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Engineering</w:t>
            </w:r>
          </w:p>
        </w:tc>
        <w:tc>
          <w:tcPr>
            <w:tcW w:w="793" w:type="dxa"/>
            <w:noWrap/>
            <w:hideMark/>
          </w:tcPr>
          <w:p w14:paraId="72B7255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39</w:t>
            </w:r>
          </w:p>
        </w:tc>
        <w:tc>
          <w:tcPr>
            <w:tcW w:w="729" w:type="dxa"/>
            <w:noWrap/>
            <w:hideMark/>
          </w:tcPr>
          <w:p w14:paraId="772146F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44</w:t>
            </w:r>
          </w:p>
        </w:tc>
        <w:tc>
          <w:tcPr>
            <w:tcW w:w="729" w:type="dxa"/>
            <w:noWrap/>
            <w:hideMark/>
          </w:tcPr>
          <w:p w14:paraId="52AD287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7F5F48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w:t>
            </w:r>
          </w:p>
        </w:tc>
        <w:tc>
          <w:tcPr>
            <w:tcW w:w="729" w:type="dxa"/>
            <w:noWrap/>
            <w:hideMark/>
          </w:tcPr>
          <w:p w14:paraId="11B2F20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18FCC51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34222AE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c>
          <w:tcPr>
            <w:tcW w:w="729" w:type="dxa"/>
            <w:noWrap/>
            <w:hideMark/>
          </w:tcPr>
          <w:p w14:paraId="1DD472B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A4213B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w:t>
            </w:r>
          </w:p>
        </w:tc>
        <w:tc>
          <w:tcPr>
            <w:tcW w:w="729" w:type="dxa"/>
            <w:noWrap/>
            <w:hideMark/>
          </w:tcPr>
          <w:p w14:paraId="53FC7FD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8C16C3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F625A2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132</w:t>
            </w:r>
          </w:p>
        </w:tc>
      </w:tr>
      <w:tr w:rsidR="00BF10A3" w:rsidRPr="00F94DD8" w14:paraId="1AF73785" w14:textId="77777777" w:rsidTr="001F7400">
        <w:trPr>
          <w:trHeight w:val="315"/>
        </w:trPr>
        <w:tc>
          <w:tcPr>
            <w:tcW w:w="697" w:type="dxa"/>
            <w:noWrap/>
            <w:hideMark/>
          </w:tcPr>
          <w:p w14:paraId="40C589F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16</w:t>
            </w:r>
          </w:p>
        </w:tc>
        <w:tc>
          <w:tcPr>
            <w:tcW w:w="3879" w:type="dxa"/>
            <w:noWrap/>
            <w:hideMark/>
          </w:tcPr>
          <w:p w14:paraId="754AC49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Foreign Languages and Literature</w:t>
            </w:r>
          </w:p>
        </w:tc>
        <w:tc>
          <w:tcPr>
            <w:tcW w:w="793" w:type="dxa"/>
            <w:noWrap/>
            <w:hideMark/>
          </w:tcPr>
          <w:p w14:paraId="506491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105</w:t>
            </w:r>
          </w:p>
        </w:tc>
        <w:tc>
          <w:tcPr>
            <w:tcW w:w="729" w:type="dxa"/>
            <w:noWrap/>
            <w:hideMark/>
          </w:tcPr>
          <w:p w14:paraId="3D41C5D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1F50B48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7629B76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w:t>
            </w:r>
          </w:p>
        </w:tc>
        <w:tc>
          <w:tcPr>
            <w:tcW w:w="729" w:type="dxa"/>
            <w:noWrap/>
            <w:hideMark/>
          </w:tcPr>
          <w:p w14:paraId="396E55B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8DA4E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A073C7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12A7BA7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7A905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A50678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99FBE7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05BC09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132</w:t>
            </w:r>
          </w:p>
        </w:tc>
      </w:tr>
      <w:tr w:rsidR="00BF10A3" w:rsidRPr="00F94DD8" w14:paraId="0C890C39" w14:textId="77777777" w:rsidTr="001F7400">
        <w:trPr>
          <w:trHeight w:val="315"/>
        </w:trPr>
        <w:tc>
          <w:tcPr>
            <w:tcW w:w="697" w:type="dxa"/>
            <w:noWrap/>
            <w:hideMark/>
          </w:tcPr>
          <w:p w14:paraId="1919AFA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23</w:t>
            </w:r>
          </w:p>
        </w:tc>
        <w:tc>
          <w:tcPr>
            <w:tcW w:w="3879" w:type="dxa"/>
            <w:noWrap/>
            <w:hideMark/>
          </w:tcPr>
          <w:p w14:paraId="097548D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English Language and Literature/Letters</w:t>
            </w:r>
          </w:p>
        </w:tc>
        <w:tc>
          <w:tcPr>
            <w:tcW w:w="793" w:type="dxa"/>
            <w:noWrap/>
            <w:hideMark/>
          </w:tcPr>
          <w:p w14:paraId="7377C3B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53</w:t>
            </w:r>
          </w:p>
        </w:tc>
        <w:tc>
          <w:tcPr>
            <w:tcW w:w="729" w:type="dxa"/>
            <w:noWrap/>
            <w:hideMark/>
          </w:tcPr>
          <w:p w14:paraId="549BD6A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w:t>
            </w:r>
          </w:p>
        </w:tc>
        <w:tc>
          <w:tcPr>
            <w:tcW w:w="729" w:type="dxa"/>
            <w:noWrap/>
            <w:hideMark/>
          </w:tcPr>
          <w:p w14:paraId="7986FE6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729" w:type="dxa"/>
            <w:noWrap/>
            <w:hideMark/>
          </w:tcPr>
          <w:p w14:paraId="4ADB0D5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509C6EF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1C5AE7A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6676DD2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729" w:type="dxa"/>
            <w:noWrap/>
            <w:hideMark/>
          </w:tcPr>
          <w:p w14:paraId="790EB39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40CE8A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E45E9B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B24014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F51B49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116</w:t>
            </w:r>
          </w:p>
        </w:tc>
      </w:tr>
      <w:tr w:rsidR="00BF10A3" w:rsidRPr="00F94DD8" w14:paraId="02871A13" w14:textId="77777777" w:rsidTr="001F7400">
        <w:trPr>
          <w:trHeight w:val="315"/>
        </w:trPr>
        <w:tc>
          <w:tcPr>
            <w:tcW w:w="697" w:type="dxa"/>
            <w:noWrap/>
            <w:hideMark/>
          </w:tcPr>
          <w:p w14:paraId="00A6AF9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39</w:t>
            </w:r>
          </w:p>
        </w:tc>
        <w:tc>
          <w:tcPr>
            <w:tcW w:w="3879" w:type="dxa"/>
            <w:noWrap/>
            <w:hideMark/>
          </w:tcPr>
          <w:p w14:paraId="15ABE9C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Theological Studies and Religious Vocations</w:t>
            </w:r>
          </w:p>
        </w:tc>
        <w:tc>
          <w:tcPr>
            <w:tcW w:w="793" w:type="dxa"/>
            <w:noWrap/>
            <w:hideMark/>
          </w:tcPr>
          <w:p w14:paraId="7F339B8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9E19C0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F2AEFC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45</w:t>
            </w:r>
          </w:p>
        </w:tc>
        <w:tc>
          <w:tcPr>
            <w:tcW w:w="729" w:type="dxa"/>
            <w:noWrap/>
            <w:hideMark/>
          </w:tcPr>
          <w:p w14:paraId="0D3DE3F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43</w:t>
            </w:r>
          </w:p>
        </w:tc>
        <w:tc>
          <w:tcPr>
            <w:tcW w:w="729" w:type="dxa"/>
            <w:noWrap/>
            <w:hideMark/>
          </w:tcPr>
          <w:p w14:paraId="1A601EF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49039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5BF6F8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w:t>
            </w:r>
          </w:p>
        </w:tc>
        <w:tc>
          <w:tcPr>
            <w:tcW w:w="729" w:type="dxa"/>
            <w:noWrap/>
            <w:hideMark/>
          </w:tcPr>
          <w:p w14:paraId="2C9C262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D6F678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35E4627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5A24BC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0E41848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107</w:t>
            </w:r>
          </w:p>
        </w:tc>
      </w:tr>
      <w:tr w:rsidR="00BF10A3" w:rsidRPr="00F94DD8" w14:paraId="1E7CFBC2" w14:textId="77777777" w:rsidTr="001F7400">
        <w:trPr>
          <w:trHeight w:val="315"/>
        </w:trPr>
        <w:tc>
          <w:tcPr>
            <w:tcW w:w="697" w:type="dxa"/>
            <w:noWrap/>
            <w:hideMark/>
          </w:tcPr>
          <w:p w14:paraId="1400004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26</w:t>
            </w:r>
          </w:p>
        </w:tc>
        <w:tc>
          <w:tcPr>
            <w:tcW w:w="3879" w:type="dxa"/>
            <w:noWrap/>
            <w:hideMark/>
          </w:tcPr>
          <w:p w14:paraId="5F167DA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Biological and Biomedical Sciences</w:t>
            </w:r>
          </w:p>
        </w:tc>
        <w:tc>
          <w:tcPr>
            <w:tcW w:w="793" w:type="dxa"/>
            <w:noWrap/>
            <w:hideMark/>
          </w:tcPr>
          <w:p w14:paraId="7CE0524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35</w:t>
            </w:r>
          </w:p>
        </w:tc>
        <w:tc>
          <w:tcPr>
            <w:tcW w:w="729" w:type="dxa"/>
            <w:noWrap/>
            <w:hideMark/>
          </w:tcPr>
          <w:p w14:paraId="44C248D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30</w:t>
            </w:r>
          </w:p>
        </w:tc>
        <w:tc>
          <w:tcPr>
            <w:tcW w:w="729" w:type="dxa"/>
            <w:noWrap/>
            <w:hideMark/>
          </w:tcPr>
          <w:p w14:paraId="6C72078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6D9867B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w:t>
            </w:r>
          </w:p>
        </w:tc>
        <w:tc>
          <w:tcPr>
            <w:tcW w:w="729" w:type="dxa"/>
            <w:noWrap/>
            <w:hideMark/>
          </w:tcPr>
          <w:p w14:paraId="0ACFB9D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E1A19C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2A5C57A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729" w:type="dxa"/>
            <w:noWrap/>
            <w:hideMark/>
          </w:tcPr>
          <w:p w14:paraId="339BE3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E6848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1C1F8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96BCD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07C4A8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92</w:t>
            </w:r>
          </w:p>
        </w:tc>
      </w:tr>
      <w:tr w:rsidR="00BF10A3" w:rsidRPr="00F94DD8" w14:paraId="5DCAF8CC" w14:textId="77777777" w:rsidTr="001F7400">
        <w:trPr>
          <w:trHeight w:val="315"/>
        </w:trPr>
        <w:tc>
          <w:tcPr>
            <w:tcW w:w="697" w:type="dxa"/>
            <w:noWrap/>
            <w:hideMark/>
          </w:tcPr>
          <w:p w14:paraId="3BD2FA3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3879" w:type="dxa"/>
            <w:noWrap/>
            <w:hideMark/>
          </w:tcPr>
          <w:p w14:paraId="27D6513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Conservation and Renewable Natural Resources</w:t>
            </w:r>
          </w:p>
        </w:tc>
        <w:tc>
          <w:tcPr>
            <w:tcW w:w="793" w:type="dxa"/>
            <w:noWrap/>
            <w:hideMark/>
          </w:tcPr>
          <w:p w14:paraId="63F6BC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62</w:t>
            </w:r>
          </w:p>
        </w:tc>
        <w:tc>
          <w:tcPr>
            <w:tcW w:w="729" w:type="dxa"/>
            <w:noWrap/>
            <w:hideMark/>
          </w:tcPr>
          <w:p w14:paraId="0BA9FDE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137D34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554AA5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5C184F4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BA752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D24538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w:t>
            </w:r>
          </w:p>
        </w:tc>
        <w:tc>
          <w:tcPr>
            <w:tcW w:w="729" w:type="dxa"/>
            <w:noWrap/>
            <w:hideMark/>
          </w:tcPr>
          <w:p w14:paraId="05A4C28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1CC6704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03CE547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D8A6E8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62BF3E6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84</w:t>
            </w:r>
          </w:p>
        </w:tc>
      </w:tr>
      <w:tr w:rsidR="00BF10A3" w:rsidRPr="00F94DD8" w14:paraId="208D49A8" w14:textId="77777777" w:rsidTr="001F7400">
        <w:trPr>
          <w:trHeight w:val="315"/>
        </w:trPr>
        <w:tc>
          <w:tcPr>
            <w:tcW w:w="697" w:type="dxa"/>
            <w:noWrap/>
            <w:hideMark/>
          </w:tcPr>
          <w:p w14:paraId="4EB7871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41</w:t>
            </w:r>
          </w:p>
        </w:tc>
        <w:tc>
          <w:tcPr>
            <w:tcW w:w="3879" w:type="dxa"/>
            <w:noWrap/>
            <w:hideMark/>
          </w:tcPr>
          <w:p w14:paraId="71C68D8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Science Technologies</w:t>
            </w:r>
          </w:p>
        </w:tc>
        <w:tc>
          <w:tcPr>
            <w:tcW w:w="793" w:type="dxa"/>
            <w:noWrap/>
            <w:hideMark/>
          </w:tcPr>
          <w:p w14:paraId="692FED1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70</w:t>
            </w:r>
          </w:p>
        </w:tc>
        <w:tc>
          <w:tcPr>
            <w:tcW w:w="729" w:type="dxa"/>
            <w:noWrap/>
            <w:hideMark/>
          </w:tcPr>
          <w:p w14:paraId="6EA6CFE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1084027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35EF4E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CE731A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2C69337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5AE8BEA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DE7567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EEC59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C397B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4475B1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07DAE1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78</w:t>
            </w:r>
          </w:p>
        </w:tc>
      </w:tr>
      <w:tr w:rsidR="00BF10A3" w:rsidRPr="00F94DD8" w14:paraId="212A94F1" w14:textId="77777777" w:rsidTr="001F7400">
        <w:trPr>
          <w:trHeight w:val="315"/>
        </w:trPr>
        <w:tc>
          <w:tcPr>
            <w:tcW w:w="697" w:type="dxa"/>
            <w:noWrap/>
            <w:hideMark/>
          </w:tcPr>
          <w:p w14:paraId="674F71A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3879" w:type="dxa"/>
            <w:noWrap/>
            <w:hideMark/>
          </w:tcPr>
          <w:p w14:paraId="6DC7A8F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Architecture and Related Programs</w:t>
            </w:r>
          </w:p>
        </w:tc>
        <w:tc>
          <w:tcPr>
            <w:tcW w:w="793" w:type="dxa"/>
            <w:noWrap/>
            <w:hideMark/>
          </w:tcPr>
          <w:p w14:paraId="1FA93C3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39</w:t>
            </w:r>
          </w:p>
        </w:tc>
        <w:tc>
          <w:tcPr>
            <w:tcW w:w="729" w:type="dxa"/>
            <w:noWrap/>
            <w:hideMark/>
          </w:tcPr>
          <w:p w14:paraId="3A78881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3D08A57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FC1271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00057B2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6D52E3F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000F95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606A481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85D3B4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5BB7FC3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C53B9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891" w:type="dxa"/>
            <w:noWrap/>
            <w:hideMark/>
          </w:tcPr>
          <w:p w14:paraId="7304FB5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59</w:t>
            </w:r>
          </w:p>
        </w:tc>
      </w:tr>
      <w:tr w:rsidR="00BF10A3" w:rsidRPr="00F94DD8" w14:paraId="61483591" w14:textId="77777777" w:rsidTr="001F7400">
        <w:trPr>
          <w:trHeight w:val="315"/>
        </w:trPr>
        <w:tc>
          <w:tcPr>
            <w:tcW w:w="697" w:type="dxa"/>
            <w:noWrap/>
            <w:hideMark/>
          </w:tcPr>
          <w:p w14:paraId="79A0A9B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3879" w:type="dxa"/>
            <w:noWrap/>
            <w:hideMark/>
          </w:tcPr>
          <w:p w14:paraId="239B5B8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Area, Cultural, Ethnic, and Gender Studies</w:t>
            </w:r>
          </w:p>
        </w:tc>
        <w:tc>
          <w:tcPr>
            <w:tcW w:w="793" w:type="dxa"/>
            <w:noWrap/>
            <w:hideMark/>
          </w:tcPr>
          <w:p w14:paraId="1A12E43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20</w:t>
            </w:r>
          </w:p>
        </w:tc>
        <w:tc>
          <w:tcPr>
            <w:tcW w:w="729" w:type="dxa"/>
            <w:noWrap/>
            <w:hideMark/>
          </w:tcPr>
          <w:p w14:paraId="61C914B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w:t>
            </w:r>
          </w:p>
        </w:tc>
        <w:tc>
          <w:tcPr>
            <w:tcW w:w="729" w:type="dxa"/>
            <w:noWrap/>
            <w:hideMark/>
          </w:tcPr>
          <w:p w14:paraId="7A2BFC4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047932A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3899708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17FFEC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65D260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4E88B46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D7CE54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B7487D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08B519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2BC5E0A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55</w:t>
            </w:r>
          </w:p>
        </w:tc>
      </w:tr>
      <w:tr w:rsidR="00BF10A3" w:rsidRPr="00F94DD8" w14:paraId="3D1E4A9C" w14:textId="77777777" w:rsidTr="001F7400">
        <w:trPr>
          <w:trHeight w:val="315"/>
        </w:trPr>
        <w:tc>
          <w:tcPr>
            <w:tcW w:w="697" w:type="dxa"/>
            <w:noWrap/>
            <w:hideMark/>
          </w:tcPr>
          <w:p w14:paraId="2A3BDFC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25</w:t>
            </w:r>
          </w:p>
        </w:tc>
        <w:tc>
          <w:tcPr>
            <w:tcW w:w="3879" w:type="dxa"/>
            <w:noWrap/>
            <w:hideMark/>
          </w:tcPr>
          <w:p w14:paraId="5604C8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Library Studies</w:t>
            </w:r>
          </w:p>
        </w:tc>
        <w:tc>
          <w:tcPr>
            <w:tcW w:w="793" w:type="dxa"/>
            <w:noWrap/>
            <w:hideMark/>
          </w:tcPr>
          <w:p w14:paraId="109C508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22</w:t>
            </w:r>
          </w:p>
        </w:tc>
        <w:tc>
          <w:tcPr>
            <w:tcW w:w="729" w:type="dxa"/>
            <w:noWrap/>
            <w:hideMark/>
          </w:tcPr>
          <w:p w14:paraId="57CA72F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0CA8FD0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9FF5E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64D4F74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91FF7B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A6E66B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868634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7B4CBD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DFBFFE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794CE6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42BF39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41</w:t>
            </w:r>
          </w:p>
        </w:tc>
      </w:tr>
      <w:tr w:rsidR="00BF10A3" w:rsidRPr="00F94DD8" w14:paraId="480F2D79" w14:textId="77777777" w:rsidTr="001F7400">
        <w:trPr>
          <w:trHeight w:val="315"/>
        </w:trPr>
        <w:tc>
          <w:tcPr>
            <w:tcW w:w="697" w:type="dxa"/>
            <w:noWrap/>
            <w:hideMark/>
          </w:tcPr>
          <w:p w14:paraId="4E2112C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40</w:t>
            </w:r>
          </w:p>
        </w:tc>
        <w:tc>
          <w:tcPr>
            <w:tcW w:w="3879" w:type="dxa"/>
            <w:noWrap/>
            <w:hideMark/>
          </w:tcPr>
          <w:p w14:paraId="65D9F01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Physical Sciences</w:t>
            </w:r>
          </w:p>
        </w:tc>
        <w:tc>
          <w:tcPr>
            <w:tcW w:w="793" w:type="dxa"/>
            <w:noWrap/>
            <w:hideMark/>
          </w:tcPr>
          <w:p w14:paraId="74DBE0F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w:t>
            </w:r>
          </w:p>
        </w:tc>
        <w:tc>
          <w:tcPr>
            <w:tcW w:w="729" w:type="dxa"/>
            <w:noWrap/>
            <w:hideMark/>
          </w:tcPr>
          <w:p w14:paraId="325167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11</w:t>
            </w:r>
          </w:p>
        </w:tc>
        <w:tc>
          <w:tcPr>
            <w:tcW w:w="729" w:type="dxa"/>
            <w:noWrap/>
            <w:hideMark/>
          </w:tcPr>
          <w:p w14:paraId="7807ECA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30F947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67BEACF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18FE212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84A891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0E7A32D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0FD22C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A2BB00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90D4C9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E413EB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31</w:t>
            </w:r>
          </w:p>
        </w:tc>
      </w:tr>
      <w:tr w:rsidR="00BF10A3" w:rsidRPr="00F94DD8" w14:paraId="6B92B4BA" w14:textId="77777777" w:rsidTr="001F7400">
        <w:trPr>
          <w:trHeight w:val="315"/>
        </w:trPr>
        <w:tc>
          <w:tcPr>
            <w:tcW w:w="697" w:type="dxa"/>
            <w:noWrap/>
            <w:hideMark/>
          </w:tcPr>
          <w:p w14:paraId="095049A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54</w:t>
            </w:r>
          </w:p>
        </w:tc>
        <w:tc>
          <w:tcPr>
            <w:tcW w:w="3879" w:type="dxa"/>
            <w:noWrap/>
            <w:hideMark/>
          </w:tcPr>
          <w:p w14:paraId="68259B0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History</w:t>
            </w:r>
          </w:p>
        </w:tc>
        <w:tc>
          <w:tcPr>
            <w:tcW w:w="793" w:type="dxa"/>
            <w:noWrap/>
            <w:hideMark/>
          </w:tcPr>
          <w:p w14:paraId="05BA1B5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FB7955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50EA434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62354C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5479392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992709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11F678D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3786D97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4B50E8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79F7E48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6083DE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53ACB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25</w:t>
            </w:r>
          </w:p>
        </w:tc>
      </w:tr>
      <w:tr w:rsidR="00BF10A3" w:rsidRPr="00F94DD8" w14:paraId="7D3AD738" w14:textId="77777777" w:rsidTr="001F7400">
        <w:trPr>
          <w:trHeight w:val="315"/>
        </w:trPr>
        <w:tc>
          <w:tcPr>
            <w:tcW w:w="697" w:type="dxa"/>
            <w:noWrap/>
            <w:hideMark/>
          </w:tcPr>
          <w:p w14:paraId="762C22C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27</w:t>
            </w:r>
          </w:p>
        </w:tc>
        <w:tc>
          <w:tcPr>
            <w:tcW w:w="3879" w:type="dxa"/>
            <w:noWrap/>
            <w:hideMark/>
          </w:tcPr>
          <w:p w14:paraId="16400D9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Mathematics and Statistics</w:t>
            </w:r>
          </w:p>
        </w:tc>
        <w:tc>
          <w:tcPr>
            <w:tcW w:w="793" w:type="dxa"/>
            <w:noWrap/>
            <w:hideMark/>
          </w:tcPr>
          <w:p w14:paraId="3255D1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214EAF0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14</w:t>
            </w:r>
          </w:p>
        </w:tc>
        <w:tc>
          <w:tcPr>
            <w:tcW w:w="729" w:type="dxa"/>
            <w:noWrap/>
            <w:hideMark/>
          </w:tcPr>
          <w:p w14:paraId="629CDD1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6DA440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6E715CE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E05A38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95FE9F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FA01DE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CA7C09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A9552D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D984CC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36C6A1D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24</w:t>
            </w:r>
          </w:p>
        </w:tc>
      </w:tr>
      <w:tr w:rsidR="00BF10A3" w:rsidRPr="00F94DD8" w14:paraId="322A7D71" w14:textId="77777777" w:rsidTr="001F7400">
        <w:trPr>
          <w:trHeight w:val="315"/>
        </w:trPr>
        <w:tc>
          <w:tcPr>
            <w:tcW w:w="697" w:type="dxa"/>
            <w:noWrap/>
            <w:hideMark/>
          </w:tcPr>
          <w:p w14:paraId="555F68B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38</w:t>
            </w:r>
          </w:p>
        </w:tc>
        <w:tc>
          <w:tcPr>
            <w:tcW w:w="3879" w:type="dxa"/>
            <w:noWrap/>
            <w:hideMark/>
          </w:tcPr>
          <w:p w14:paraId="484036F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Philosophy and Religious Studies</w:t>
            </w:r>
          </w:p>
        </w:tc>
        <w:tc>
          <w:tcPr>
            <w:tcW w:w="793" w:type="dxa"/>
            <w:noWrap/>
            <w:hideMark/>
          </w:tcPr>
          <w:p w14:paraId="6289E52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F288B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17C2C7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7</w:t>
            </w:r>
          </w:p>
        </w:tc>
        <w:tc>
          <w:tcPr>
            <w:tcW w:w="729" w:type="dxa"/>
            <w:noWrap/>
            <w:hideMark/>
          </w:tcPr>
          <w:p w14:paraId="03C2232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49CB4DC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774D25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7B6532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28A01F0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1D3747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4827A4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3E5DB4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41985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r>
      <w:tr w:rsidR="00BF10A3" w:rsidRPr="00F94DD8" w14:paraId="35F1F31F" w14:textId="77777777" w:rsidTr="001F7400">
        <w:trPr>
          <w:trHeight w:val="315"/>
        </w:trPr>
        <w:tc>
          <w:tcPr>
            <w:tcW w:w="697" w:type="dxa"/>
            <w:noWrap/>
            <w:hideMark/>
          </w:tcPr>
          <w:p w14:paraId="231B1CF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32</w:t>
            </w:r>
          </w:p>
        </w:tc>
        <w:tc>
          <w:tcPr>
            <w:tcW w:w="3879" w:type="dxa"/>
            <w:noWrap/>
            <w:hideMark/>
          </w:tcPr>
          <w:p w14:paraId="6233CD9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Basic Skills</w:t>
            </w:r>
          </w:p>
        </w:tc>
        <w:tc>
          <w:tcPr>
            <w:tcW w:w="793" w:type="dxa"/>
            <w:noWrap/>
            <w:hideMark/>
          </w:tcPr>
          <w:p w14:paraId="7862A5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10</w:t>
            </w:r>
          </w:p>
        </w:tc>
        <w:tc>
          <w:tcPr>
            <w:tcW w:w="729" w:type="dxa"/>
            <w:noWrap/>
            <w:hideMark/>
          </w:tcPr>
          <w:p w14:paraId="7B6FEC7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FD00DF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BB48A2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824062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90DE5A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5303AC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64C52A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90B2FB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D31C2D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90D742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42DA3C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15</w:t>
            </w:r>
          </w:p>
        </w:tc>
      </w:tr>
      <w:tr w:rsidR="00BF10A3" w:rsidRPr="00F94DD8" w14:paraId="5F6521C5" w14:textId="77777777" w:rsidTr="001F7400">
        <w:trPr>
          <w:trHeight w:val="315"/>
        </w:trPr>
        <w:tc>
          <w:tcPr>
            <w:tcW w:w="697" w:type="dxa"/>
            <w:noWrap/>
            <w:hideMark/>
          </w:tcPr>
          <w:p w14:paraId="1E08CB9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34</w:t>
            </w:r>
          </w:p>
        </w:tc>
        <w:tc>
          <w:tcPr>
            <w:tcW w:w="3879" w:type="dxa"/>
            <w:noWrap/>
            <w:hideMark/>
          </w:tcPr>
          <w:p w14:paraId="52767BA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Health-related Knowledge and Skills</w:t>
            </w:r>
          </w:p>
        </w:tc>
        <w:tc>
          <w:tcPr>
            <w:tcW w:w="793" w:type="dxa"/>
            <w:noWrap/>
            <w:hideMark/>
          </w:tcPr>
          <w:p w14:paraId="26737B4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c>
          <w:tcPr>
            <w:tcW w:w="729" w:type="dxa"/>
            <w:noWrap/>
            <w:hideMark/>
          </w:tcPr>
          <w:p w14:paraId="374E48E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14FE9D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01CB874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8104C0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c>
          <w:tcPr>
            <w:tcW w:w="729" w:type="dxa"/>
            <w:noWrap/>
            <w:hideMark/>
          </w:tcPr>
          <w:p w14:paraId="2442C2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03CE90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BC4466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3CC976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AD8618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A21F9C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6477B4E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13</w:t>
            </w:r>
          </w:p>
        </w:tc>
      </w:tr>
      <w:tr w:rsidR="00BF10A3" w:rsidRPr="00F94DD8" w14:paraId="12E29511" w14:textId="77777777" w:rsidTr="001F7400">
        <w:trPr>
          <w:trHeight w:val="315"/>
        </w:trPr>
        <w:tc>
          <w:tcPr>
            <w:tcW w:w="697" w:type="dxa"/>
            <w:noWrap/>
            <w:hideMark/>
          </w:tcPr>
          <w:p w14:paraId="45CD607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36</w:t>
            </w:r>
          </w:p>
        </w:tc>
        <w:tc>
          <w:tcPr>
            <w:tcW w:w="3879" w:type="dxa"/>
            <w:noWrap/>
            <w:hideMark/>
          </w:tcPr>
          <w:p w14:paraId="72FA0C7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Leisure and Recreational Activities</w:t>
            </w:r>
          </w:p>
        </w:tc>
        <w:tc>
          <w:tcPr>
            <w:tcW w:w="793" w:type="dxa"/>
            <w:noWrap/>
            <w:hideMark/>
          </w:tcPr>
          <w:p w14:paraId="7DBD389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5F3234A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41AE57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c>
          <w:tcPr>
            <w:tcW w:w="729" w:type="dxa"/>
            <w:noWrap/>
            <w:hideMark/>
          </w:tcPr>
          <w:p w14:paraId="36E247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1F0D0D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E887B5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4F135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749258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D4E1CE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8B7A05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78DE11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0901533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12</w:t>
            </w:r>
          </w:p>
        </w:tc>
      </w:tr>
      <w:tr w:rsidR="00BF10A3" w:rsidRPr="00F94DD8" w14:paraId="4384A5C3" w14:textId="77777777" w:rsidTr="001F7400">
        <w:trPr>
          <w:trHeight w:val="315"/>
        </w:trPr>
        <w:tc>
          <w:tcPr>
            <w:tcW w:w="697" w:type="dxa"/>
            <w:noWrap/>
            <w:hideMark/>
          </w:tcPr>
          <w:p w14:paraId="197D5B1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28</w:t>
            </w:r>
          </w:p>
        </w:tc>
        <w:tc>
          <w:tcPr>
            <w:tcW w:w="3879" w:type="dxa"/>
            <w:noWrap/>
            <w:hideMark/>
          </w:tcPr>
          <w:p w14:paraId="791D01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Reserve Officer Training Corps</w:t>
            </w:r>
          </w:p>
        </w:tc>
        <w:tc>
          <w:tcPr>
            <w:tcW w:w="793" w:type="dxa"/>
            <w:noWrap/>
            <w:hideMark/>
          </w:tcPr>
          <w:p w14:paraId="68DF1F1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2B867E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778069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2A2266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1A8ED5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08A57F2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00C4B5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2B2533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E2E66C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52AA4D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0017DF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044AC56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r>
      <w:tr w:rsidR="00BF10A3" w:rsidRPr="00F94DD8" w14:paraId="10B4842B" w14:textId="77777777" w:rsidTr="001F7400">
        <w:trPr>
          <w:trHeight w:val="315"/>
        </w:trPr>
        <w:tc>
          <w:tcPr>
            <w:tcW w:w="697" w:type="dxa"/>
            <w:noWrap/>
            <w:hideMark/>
          </w:tcPr>
          <w:p w14:paraId="52D8086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60</w:t>
            </w:r>
          </w:p>
        </w:tc>
        <w:tc>
          <w:tcPr>
            <w:tcW w:w="3879" w:type="dxa"/>
            <w:noWrap/>
            <w:hideMark/>
          </w:tcPr>
          <w:p w14:paraId="44C713B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Residency Programs</w:t>
            </w:r>
          </w:p>
        </w:tc>
        <w:tc>
          <w:tcPr>
            <w:tcW w:w="793" w:type="dxa"/>
            <w:noWrap/>
            <w:hideMark/>
          </w:tcPr>
          <w:p w14:paraId="244CF59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776FAC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w:t>
            </w:r>
          </w:p>
        </w:tc>
        <w:tc>
          <w:tcPr>
            <w:tcW w:w="729" w:type="dxa"/>
            <w:noWrap/>
            <w:hideMark/>
          </w:tcPr>
          <w:p w14:paraId="6A7F51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1799C3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16A0DF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CA6BAD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35A721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FD8C29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9ADDE9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3E41287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4BB10E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783A74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6</w:t>
            </w:r>
          </w:p>
        </w:tc>
      </w:tr>
      <w:tr w:rsidR="00BF10A3" w:rsidRPr="00F94DD8" w14:paraId="37723361" w14:textId="77777777" w:rsidTr="001F7400">
        <w:trPr>
          <w:trHeight w:val="315"/>
        </w:trPr>
        <w:tc>
          <w:tcPr>
            <w:tcW w:w="697" w:type="dxa"/>
            <w:noWrap/>
            <w:hideMark/>
          </w:tcPr>
          <w:p w14:paraId="783F1C64"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21</w:t>
            </w:r>
          </w:p>
        </w:tc>
        <w:tc>
          <w:tcPr>
            <w:tcW w:w="3879" w:type="dxa"/>
            <w:noWrap/>
            <w:hideMark/>
          </w:tcPr>
          <w:p w14:paraId="2831201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Technology/Education Industrial Arts</w:t>
            </w:r>
          </w:p>
        </w:tc>
        <w:tc>
          <w:tcPr>
            <w:tcW w:w="793" w:type="dxa"/>
            <w:noWrap/>
            <w:hideMark/>
          </w:tcPr>
          <w:p w14:paraId="7FA7E9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7BD0A0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5A35DF5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FC60D0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4BEED27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40DAC1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3B8F244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D6E92C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6029D5D"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D5BB8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2D5020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00BB95E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r>
      <w:tr w:rsidR="00BF10A3" w:rsidRPr="00F94DD8" w14:paraId="09AB7AA7" w14:textId="77777777" w:rsidTr="001F7400">
        <w:trPr>
          <w:trHeight w:val="315"/>
        </w:trPr>
        <w:tc>
          <w:tcPr>
            <w:tcW w:w="697" w:type="dxa"/>
            <w:noWrap/>
            <w:hideMark/>
          </w:tcPr>
          <w:p w14:paraId="3329EB21"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29</w:t>
            </w:r>
          </w:p>
        </w:tc>
        <w:tc>
          <w:tcPr>
            <w:tcW w:w="3879" w:type="dxa"/>
            <w:noWrap/>
            <w:hideMark/>
          </w:tcPr>
          <w:p w14:paraId="6A2E1C9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Military Technologies</w:t>
            </w:r>
          </w:p>
        </w:tc>
        <w:tc>
          <w:tcPr>
            <w:tcW w:w="793" w:type="dxa"/>
            <w:noWrap/>
            <w:hideMark/>
          </w:tcPr>
          <w:p w14:paraId="060BB14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99C1A1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4A22B3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C60B9A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5BFA30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63DED99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774EC56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23F8062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D115BE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E00E87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3E40F9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7F375B0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4</w:t>
            </w:r>
          </w:p>
        </w:tc>
      </w:tr>
      <w:tr w:rsidR="00BF10A3" w:rsidRPr="00F94DD8" w14:paraId="0AF88747" w14:textId="77777777" w:rsidTr="001F7400">
        <w:trPr>
          <w:trHeight w:val="315"/>
        </w:trPr>
        <w:tc>
          <w:tcPr>
            <w:tcW w:w="697" w:type="dxa"/>
            <w:noWrap/>
            <w:hideMark/>
          </w:tcPr>
          <w:p w14:paraId="128D16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33</w:t>
            </w:r>
          </w:p>
        </w:tc>
        <w:tc>
          <w:tcPr>
            <w:tcW w:w="3879" w:type="dxa"/>
            <w:noWrap/>
            <w:hideMark/>
          </w:tcPr>
          <w:p w14:paraId="4998E7C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Citizenship Activities</w:t>
            </w:r>
          </w:p>
        </w:tc>
        <w:tc>
          <w:tcPr>
            <w:tcW w:w="793" w:type="dxa"/>
            <w:noWrap/>
            <w:hideMark/>
          </w:tcPr>
          <w:p w14:paraId="0A00D44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2</w:t>
            </w:r>
          </w:p>
        </w:tc>
        <w:tc>
          <w:tcPr>
            <w:tcW w:w="729" w:type="dxa"/>
            <w:noWrap/>
            <w:hideMark/>
          </w:tcPr>
          <w:p w14:paraId="5CDC5B7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0CAED75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A8864B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D8CDC8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FF61B2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F7BE89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F97427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8DCFBD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0B61437"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43242C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739442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w:t>
            </w:r>
          </w:p>
        </w:tc>
      </w:tr>
      <w:tr w:rsidR="00BF10A3" w:rsidRPr="00F94DD8" w14:paraId="14F1086A" w14:textId="77777777" w:rsidTr="001F7400">
        <w:trPr>
          <w:trHeight w:val="315"/>
        </w:trPr>
        <w:tc>
          <w:tcPr>
            <w:tcW w:w="697" w:type="dxa"/>
            <w:noWrap/>
            <w:hideMark/>
          </w:tcPr>
          <w:p w14:paraId="7B6A72F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37</w:t>
            </w:r>
          </w:p>
        </w:tc>
        <w:tc>
          <w:tcPr>
            <w:tcW w:w="3879" w:type="dxa"/>
            <w:noWrap/>
            <w:hideMark/>
          </w:tcPr>
          <w:p w14:paraId="3DC9C5E6"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Personal Awareness and Self Improvement</w:t>
            </w:r>
          </w:p>
        </w:tc>
        <w:tc>
          <w:tcPr>
            <w:tcW w:w="793" w:type="dxa"/>
            <w:noWrap/>
            <w:hideMark/>
          </w:tcPr>
          <w:p w14:paraId="00B9E3B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7662CC0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473A513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234A3EB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253B70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0A0B61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076A5FE"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2CAAAA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400ECE3"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28C6BDA"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012443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37CED5E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r>
      <w:tr w:rsidR="00BF10A3" w:rsidRPr="00F94DD8" w14:paraId="5516F6AE" w14:textId="77777777" w:rsidTr="001F7400">
        <w:trPr>
          <w:trHeight w:val="315"/>
        </w:trPr>
        <w:tc>
          <w:tcPr>
            <w:tcW w:w="697" w:type="dxa"/>
            <w:noWrap/>
            <w:hideMark/>
          </w:tcPr>
          <w:p w14:paraId="7DDC89E5"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53</w:t>
            </w:r>
          </w:p>
        </w:tc>
        <w:tc>
          <w:tcPr>
            <w:tcW w:w="3879" w:type="dxa"/>
            <w:noWrap/>
            <w:hideMark/>
          </w:tcPr>
          <w:p w14:paraId="10A309A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High School/Secondary Diplomas and Certificates</w:t>
            </w:r>
          </w:p>
        </w:tc>
        <w:tc>
          <w:tcPr>
            <w:tcW w:w="793" w:type="dxa"/>
            <w:noWrap/>
            <w:hideMark/>
          </w:tcPr>
          <w:p w14:paraId="59B6486C"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c>
          <w:tcPr>
            <w:tcW w:w="729" w:type="dxa"/>
            <w:noWrap/>
            <w:hideMark/>
          </w:tcPr>
          <w:p w14:paraId="410541A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1B3BAFF"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71985A0"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92845C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790A07C2"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0D8923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5F6E21A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1F0E8739"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0B6650F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729" w:type="dxa"/>
            <w:noWrap/>
            <w:hideMark/>
          </w:tcPr>
          <w:p w14:paraId="6F3D544B"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0</w:t>
            </w:r>
          </w:p>
        </w:tc>
        <w:tc>
          <w:tcPr>
            <w:tcW w:w="891" w:type="dxa"/>
            <w:noWrap/>
            <w:hideMark/>
          </w:tcPr>
          <w:p w14:paraId="1ED7BA68" w14:textId="77777777" w:rsidR="00BF10A3" w:rsidRPr="00F94DD8" w:rsidRDefault="00BF10A3" w:rsidP="001F7400">
            <w:pPr>
              <w:rPr>
                <w:rFonts w:ascii="Courier New" w:eastAsiaTheme="minorHAnsi" w:hAnsi="Courier New" w:cstheme="minorBidi"/>
                <w:sz w:val="16"/>
              </w:rPr>
            </w:pPr>
            <w:r w:rsidRPr="00F94DD8">
              <w:rPr>
                <w:rFonts w:ascii="Courier New" w:eastAsiaTheme="minorHAnsi" w:hAnsi="Courier New" w:cstheme="minorBidi"/>
                <w:sz w:val="16"/>
              </w:rPr>
              <w:t>1</w:t>
            </w:r>
          </w:p>
        </w:tc>
      </w:tr>
      <w:tr w:rsidR="00BF10A3" w:rsidRPr="00F94DD8" w14:paraId="18165448" w14:textId="77777777" w:rsidTr="001F7400">
        <w:trPr>
          <w:trHeight w:val="315"/>
        </w:trPr>
        <w:tc>
          <w:tcPr>
            <w:tcW w:w="4576" w:type="dxa"/>
            <w:gridSpan w:val="2"/>
            <w:noWrap/>
            <w:hideMark/>
          </w:tcPr>
          <w:p w14:paraId="6D025550"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Total</w:t>
            </w:r>
          </w:p>
        </w:tc>
        <w:tc>
          <w:tcPr>
            <w:tcW w:w="793" w:type="dxa"/>
            <w:noWrap/>
            <w:hideMark/>
          </w:tcPr>
          <w:p w14:paraId="0D8FD1AE"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21,775</w:t>
            </w:r>
          </w:p>
        </w:tc>
        <w:tc>
          <w:tcPr>
            <w:tcW w:w="729" w:type="dxa"/>
            <w:noWrap/>
            <w:hideMark/>
          </w:tcPr>
          <w:p w14:paraId="616BBE2D"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1,221</w:t>
            </w:r>
          </w:p>
        </w:tc>
        <w:tc>
          <w:tcPr>
            <w:tcW w:w="729" w:type="dxa"/>
            <w:noWrap/>
            <w:hideMark/>
          </w:tcPr>
          <w:p w14:paraId="7D6BA680"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1,064</w:t>
            </w:r>
          </w:p>
        </w:tc>
        <w:tc>
          <w:tcPr>
            <w:tcW w:w="729" w:type="dxa"/>
            <w:noWrap/>
            <w:hideMark/>
          </w:tcPr>
          <w:p w14:paraId="25DF7AC2"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1,279</w:t>
            </w:r>
          </w:p>
        </w:tc>
        <w:tc>
          <w:tcPr>
            <w:tcW w:w="729" w:type="dxa"/>
            <w:noWrap/>
            <w:hideMark/>
          </w:tcPr>
          <w:p w14:paraId="09751A81"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6,665</w:t>
            </w:r>
          </w:p>
        </w:tc>
        <w:tc>
          <w:tcPr>
            <w:tcW w:w="729" w:type="dxa"/>
            <w:noWrap/>
            <w:hideMark/>
          </w:tcPr>
          <w:p w14:paraId="6C8678EA"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3,267</w:t>
            </w:r>
          </w:p>
        </w:tc>
        <w:tc>
          <w:tcPr>
            <w:tcW w:w="729" w:type="dxa"/>
            <w:noWrap/>
            <w:hideMark/>
          </w:tcPr>
          <w:p w14:paraId="7DD98FBB"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1,571</w:t>
            </w:r>
          </w:p>
        </w:tc>
        <w:tc>
          <w:tcPr>
            <w:tcW w:w="729" w:type="dxa"/>
            <w:noWrap/>
            <w:hideMark/>
          </w:tcPr>
          <w:p w14:paraId="1E6BFA56"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109</w:t>
            </w:r>
          </w:p>
        </w:tc>
        <w:tc>
          <w:tcPr>
            <w:tcW w:w="729" w:type="dxa"/>
            <w:noWrap/>
            <w:hideMark/>
          </w:tcPr>
          <w:p w14:paraId="2F6F8365"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484</w:t>
            </w:r>
          </w:p>
        </w:tc>
        <w:tc>
          <w:tcPr>
            <w:tcW w:w="729" w:type="dxa"/>
            <w:noWrap/>
            <w:hideMark/>
          </w:tcPr>
          <w:p w14:paraId="64107E79"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113</w:t>
            </w:r>
          </w:p>
        </w:tc>
        <w:tc>
          <w:tcPr>
            <w:tcW w:w="729" w:type="dxa"/>
            <w:noWrap/>
            <w:hideMark/>
          </w:tcPr>
          <w:p w14:paraId="67D0DE6B"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41</w:t>
            </w:r>
          </w:p>
        </w:tc>
        <w:tc>
          <w:tcPr>
            <w:tcW w:w="891" w:type="dxa"/>
            <w:noWrap/>
            <w:hideMark/>
          </w:tcPr>
          <w:p w14:paraId="52F18F61" w14:textId="77777777" w:rsidR="00BF10A3" w:rsidRPr="00D16C6B" w:rsidRDefault="00BF10A3" w:rsidP="001F7400">
            <w:pPr>
              <w:rPr>
                <w:rFonts w:ascii="Courier New" w:eastAsiaTheme="minorHAnsi" w:hAnsi="Courier New" w:cstheme="minorBidi"/>
                <w:b/>
                <w:sz w:val="16"/>
              </w:rPr>
            </w:pPr>
            <w:r w:rsidRPr="00D16C6B">
              <w:rPr>
                <w:rFonts w:ascii="Courier New" w:eastAsiaTheme="minorHAnsi" w:hAnsi="Courier New" w:cstheme="minorBidi"/>
                <w:b/>
                <w:sz w:val="16"/>
              </w:rPr>
              <w:t>37,589</w:t>
            </w:r>
          </w:p>
        </w:tc>
      </w:tr>
    </w:tbl>
    <w:p w14:paraId="2BAC120B" w14:textId="77777777" w:rsidR="00BF10A3" w:rsidRPr="00F94DD8" w:rsidRDefault="00BF10A3" w:rsidP="00BF10A3">
      <w:pPr>
        <w:spacing w:after="0" w:line="240" w:lineRule="auto"/>
        <w:rPr>
          <w:rFonts w:ascii="Courier New" w:eastAsiaTheme="minorHAnsi" w:hAnsi="Courier New" w:cstheme="minorBidi"/>
          <w:sz w:val="16"/>
        </w:rPr>
      </w:pPr>
    </w:p>
    <w:p w14:paraId="033CF934" w14:textId="77777777" w:rsidR="00BF10A3" w:rsidRDefault="00BF10A3" w:rsidP="00BF10A3">
      <w:pPr>
        <w:spacing w:after="0" w:line="240" w:lineRule="auto"/>
        <w:rPr>
          <w:rFonts w:ascii="Courier New" w:eastAsia="Times New Roman" w:hAnsi="Courier New" w:cs="Courier New"/>
          <w:b/>
          <w:bCs/>
          <w:color w:val="000000"/>
          <w:sz w:val="24"/>
          <w:szCs w:val="24"/>
        </w:rPr>
      </w:pPr>
      <w:r w:rsidRPr="00F828BD">
        <w:rPr>
          <w:rFonts w:ascii="Courier New" w:hAnsi="Courier New" w:cs="Courier New"/>
          <w:b/>
          <w:sz w:val="24"/>
          <w:szCs w:val="24"/>
        </w:rPr>
        <w:t xml:space="preserve">Table </w:t>
      </w:r>
      <w:r>
        <w:rPr>
          <w:rFonts w:ascii="Courier New" w:hAnsi="Courier New" w:cs="Courier New"/>
          <w:b/>
          <w:sz w:val="24"/>
          <w:szCs w:val="24"/>
        </w:rPr>
        <w:t>1.2</w:t>
      </w:r>
      <w:r w:rsidRPr="00F828BD">
        <w:rPr>
          <w:rFonts w:ascii="Courier New" w:hAnsi="Courier New" w:cs="Courier New"/>
          <w:b/>
          <w:sz w:val="24"/>
          <w:szCs w:val="24"/>
        </w:rPr>
        <w:t>:</w:t>
      </w:r>
      <w:r>
        <w:rPr>
          <w:rFonts w:ascii="Courier New" w:hAnsi="Courier New" w:cs="Courier New"/>
          <w:b/>
          <w:sz w:val="24"/>
          <w:szCs w:val="24"/>
        </w:rPr>
        <w:t xml:space="preserve"> </w:t>
      </w:r>
      <w:r w:rsidRPr="00F828BD">
        <w:rPr>
          <w:rFonts w:ascii="Courier New" w:eastAsia="Times New Roman" w:hAnsi="Courier New" w:cs="Courier New"/>
          <w:b/>
          <w:bCs/>
          <w:color w:val="000000"/>
          <w:sz w:val="24"/>
          <w:szCs w:val="24"/>
        </w:rPr>
        <w:t>FY 2010 Title IV Enrollment in GE Programs</w:t>
      </w:r>
    </w:p>
    <w:p w14:paraId="55310520" w14:textId="77777777" w:rsidR="00BF10A3" w:rsidRPr="007F58F4" w:rsidRDefault="00BF10A3" w:rsidP="00BF10A3">
      <w:pPr>
        <w:spacing w:after="0" w:line="240" w:lineRule="auto"/>
        <w:rPr>
          <w:rFonts w:ascii="Courier New" w:eastAsiaTheme="minorHAnsi" w:hAnsi="Courier New" w:cstheme="minorBidi"/>
          <w:sz w:val="24"/>
          <w:szCs w:val="24"/>
        </w:rPr>
      </w:pPr>
    </w:p>
    <w:tbl>
      <w:tblPr>
        <w:tblStyle w:val="TableGrid14"/>
        <w:tblW w:w="13181" w:type="dxa"/>
        <w:tblLayout w:type="fixed"/>
        <w:tblLook w:val="04A0" w:firstRow="1" w:lastRow="0" w:firstColumn="1" w:lastColumn="0" w:noHBand="0" w:noVBand="1"/>
      </w:tblPr>
      <w:tblGrid>
        <w:gridCol w:w="685"/>
        <w:gridCol w:w="2303"/>
        <w:gridCol w:w="849"/>
        <w:gridCol w:w="849"/>
        <w:gridCol w:w="314"/>
        <w:gridCol w:w="536"/>
        <w:gridCol w:w="849"/>
        <w:gridCol w:w="141"/>
        <w:gridCol w:w="709"/>
        <w:gridCol w:w="973"/>
        <w:gridCol w:w="725"/>
        <w:gridCol w:w="850"/>
        <w:gridCol w:w="849"/>
        <w:gridCol w:w="850"/>
        <w:gridCol w:w="776"/>
        <w:gridCol w:w="923"/>
      </w:tblGrid>
      <w:tr w:rsidR="00BF10A3" w:rsidRPr="00F37243" w14:paraId="7F33793E" w14:textId="77777777" w:rsidTr="001F7400">
        <w:trPr>
          <w:trHeight w:val="260"/>
        </w:trPr>
        <w:tc>
          <w:tcPr>
            <w:tcW w:w="685" w:type="dxa"/>
            <w:vMerge w:val="restart"/>
            <w:vAlign w:val="center"/>
            <w:hideMark/>
          </w:tcPr>
          <w:p w14:paraId="549E702C"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2-Digit CIP Code</w:t>
            </w:r>
          </w:p>
        </w:tc>
        <w:tc>
          <w:tcPr>
            <w:tcW w:w="2303" w:type="dxa"/>
            <w:vMerge w:val="restart"/>
            <w:vAlign w:val="center"/>
            <w:hideMark/>
          </w:tcPr>
          <w:p w14:paraId="5D4226C4"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2-Digit CIP Name</w:t>
            </w:r>
          </w:p>
        </w:tc>
        <w:tc>
          <w:tcPr>
            <w:tcW w:w="2012" w:type="dxa"/>
            <w:gridSpan w:val="3"/>
            <w:noWrap/>
            <w:vAlign w:val="center"/>
            <w:hideMark/>
          </w:tcPr>
          <w:p w14:paraId="4DD624CA"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Public</w:t>
            </w:r>
          </w:p>
        </w:tc>
        <w:tc>
          <w:tcPr>
            <w:tcW w:w="1526" w:type="dxa"/>
            <w:gridSpan w:val="3"/>
            <w:noWrap/>
            <w:vAlign w:val="center"/>
            <w:hideMark/>
          </w:tcPr>
          <w:p w14:paraId="2B4E2F54"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Private</w:t>
            </w:r>
          </w:p>
        </w:tc>
        <w:tc>
          <w:tcPr>
            <w:tcW w:w="5732" w:type="dxa"/>
            <w:gridSpan w:val="7"/>
            <w:noWrap/>
            <w:vAlign w:val="center"/>
            <w:hideMark/>
          </w:tcPr>
          <w:p w14:paraId="717A6A1A"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Proprietary</w:t>
            </w:r>
          </w:p>
        </w:tc>
        <w:tc>
          <w:tcPr>
            <w:tcW w:w="923" w:type="dxa"/>
            <w:vAlign w:val="center"/>
          </w:tcPr>
          <w:p w14:paraId="00455751" w14:textId="77777777" w:rsidR="00BF10A3" w:rsidRPr="00F37243" w:rsidRDefault="00BF10A3" w:rsidP="001F7400">
            <w:pPr>
              <w:jc w:val="center"/>
              <w:rPr>
                <w:rFonts w:ascii="Courier New" w:eastAsiaTheme="minorHAnsi" w:hAnsi="Courier New" w:cs="Courier New"/>
                <w:b/>
                <w:bCs/>
                <w:sz w:val="12"/>
                <w:szCs w:val="12"/>
              </w:rPr>
            </w:pPr>
          </w:p>
        </w:tc>
      </w:tr>
      <w:tr w:rsidR="00BF10A3" w:rsidRPr="00F37243" w14:paraId="1843DC70" w14:textId="77777777" w:rsidTr="001F7400">
        <w:trPr>
          <w:trHeight w:val="1070"/>
        </w:trPr>
        <w:tc>
          <w:tcPr>
            <w:tcW w:w="685" w:type="dxa"/>
            <w:vMerge/>
            <w:vAlign w:val="center"/>
            <w:hideMark/>
          </w:tcPr>
          <w:p w14:paraId="74BF2FEA" w14:textId="77777777" w:rsidR="00BF10A3" w:rsidRPr="00F37243" w:rsidRDefault="00BF10A3" w:rsidP="001F7400">
            <w:pPr>
              <w:jc w:val="center"/>
              <w:rPr>
                <w:rFonts w:ascii="Courier New" w:eastAsiaTheme="minorHAnsi" w:hAnsi="Courier New" w:cs="Courier New"/>
                <w:b/>
                <w:bCs/>
                <w:sz w:val="12"/>
                <w:szCs w:val="12"/>
              </w:rPr>
            </w:pPr>
          </w:p>
        </w:tc>
        <w:tc>
          <w:tcPr>
            <w:tcW w:w="2303" w:type="dxa"/>
            <w:vMerge/>
            <w:vAlign w:val="center"/>
            <w:hideMark/>
          </w:tcPr>
          <w:p w14:paraId="659E1DEA" w14:textId="77777777" w:rsidR="00BF10A3" w:rsidRPr="00F37243" w:rsidRDefault="00BF10A3" w:rsidP="001F7400">
            <w:pPr>
              <w:jc w:val="center"/>
              <w:rPr>
                <w:rFonts w:ascii="Courier New" w:eastAsiaTheme="minorHAnsi" w:hAnsi="Courier New" w:cs="Courier New"/>
                <w:b/>
                <w:bCs/>
                <w:sz w:val="12"/>
                <w:szCs w:val="12"/>
              </w:rPr>
            </w:pPr>
          </w:p>
        </w:tc>
        <w:tc>
          <w:tcPr>
            <w:tcW w:w="849" w:type="dxa"/>
            <w:textDirection w:val="btLr"/>
            <w:vAlign w:val="center"/>
            <w:hideMark/>
          </w:tcPr>
          <w:p w14:paraId="7DEE8839"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Ugrad cert</w:t>
            </w:r>
          </w:p>
        </w:tc>
        <w:tc>
          <w:tcPr>
            <w:tcW w:w="849" w:type="dxa"/>
            <w:textDirection w:val="btLr"/>
            <w:vAlign w:val="center"/>
            <w:hideMark/>
          </w:tcPr>
          <w:p w14:paraId="42ECFA54"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Post bacc cert</w:t>
            </w:r>
          </w:p>
        </w:tc>
        <w:tc>
          <w:tcPr>
            <w:tcW w:w="850" w:type="dxa"/>
            <w:gridSpan w:val="2"/>
            <w:textDirection w:val="btLr"/>
            <w:vAlign w:val="center"/>
            <w:hideMark/>
          </w:tcPr>
          <w:p w14:paraId="184C3984"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Ugrad cert</w:t>
            </w:r>
          </w:p>
        </w:tc>
        <w:tc>
          <w:tcPr>
            <w:tcW w:w="849" w:type="dxa"/>
            <w:textDirection w:val="btLr"/>
            <w:vAlign w:val="center"/>
            <w:hideMark/>
          </w:tcPr>
          <w:p w14:paraId="3F473DFE"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Post bacc cert</w:t>
            </w:r>
          </w:p>
        </w:tc>
        <w:tc>
          <w:tcPr>
            <w:tcW w:w="850" w:type="dxa"/>
            <w:gridSpan w:val="2"/>
            <w:textDirection w:val="btLr"/>
            <w:vAlign w:val="center"/>
            <w:hideMark/>
          </w:tcPr>
          <w:p w14:paraId="2B22063A"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Ugrad cert</w:t>
            </w:r>
          </w:p>
        </w:tc>
        <w:tc>
          <w:tcPr>
            <w:tcW w:w="973" w:type="dxa"/>
            <w:textDirection w:val="btLr"/>
            <w:vAlign w:val="center"/>
            <w:hideMark/>
          </w:tcPr>
          <w:p w14:paraId="5355A773"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Associates</w:t>
            </w:r>
          </w:p>
        </w:tc>
        <w:tc>
          <w:tcPr>
            <w:tcW w:w="725" w:type="dxa"/>
            <w:textDirection w:val="btLr"/>
            <w:vAlign w:val="center"/>
            <w:hideMark/>
          </w:tcPr>
          <w:p w14:paraId="1805D274"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Bachelor's</w:t>
            </w:r>
          </w:p>
        </w:tc>
        <w:tc>
          <w:tcPr>
            <w:tcW w:w="850" w:type="dxa"/>
            <w:textDirection w:val="btLr"/>
            <w:vAlign w:val="center"/>
            <w:hideMark/>
          </w:tcPr>
          <w:p w14:paraId="3267604B"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Post bacc cert</w:t>
            </w:r>
          </w:p>
        </w:tc>
        <w:tc>
          <w:tcPr>
            <w:tcW w:w="849" w:type="dxa"/>
            <w:textDirection w:val="btLr"/>
            <w:vAlign w:val="center"/>
            <w:hideMark/>
          </w:tcPr>
          <w:p w14:paraId="42E5E0E8"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Master's</w:t>
            </w:r>
          </w:p>
        </w:tc>
        <w:tc>
          <w:tcPr>
            <w:tcW w:w="850" w:type="dxa"/>
            <w:textDirection w:val="btLr"/>
            <w:vAlign w:val="center"/>
            <w:hideMark/>
          </w:tcPr>
          <w:p w14:paraId="07F1FEF3"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Doctoral</w:t>
            </w:r>
          </w:p>
        </w:tc>
        <w:tc>
          <w:tcPr>
            <w:tcW w:w="776" w:type="dxa"/>
            <w:textDirection w:val="btLr"/>
            <w:vAlign w:val="center"/>
            <w:hideMark/>
          </w:tcPr>
          <w:p w14:paraId="69CE5B82"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First prof</w:t>
            </w:r>
          </w:p>
        </w:tc>
        <w:tc>
          <w:tcPr>
            <w:tcW w:w="923" w:type="dxa"/>
            <w:textDirection w:val="btLr"/>
            <w:vAlign w:val="center"/>
            <w:hideMark/>
          </w:tcPr>
          <w:p w14:paraId="2C998303" w14:textId="77777777" w:rsidR="00BF10A3" w:rsidRPr="00F37243" w:rsidRDefault="00BF10A3" w:rsidP="001F7400">
            <w:pPr>
              <w:jc w:val="center"/>
              <w:rPr>
                <w:rFonts w:ascii="Courier New" w:eastAsiaTheme="minorHAnsi" w:hAnsi="Courier New" w:cs="Courier New"/>
                <w:b/>
                <w:bCs/>
                <w:sz w:val="12"/>
                <w:szCs w:val="12"/>
              </w:rPr>
            </w:pPr>
            <w:r w:rsidRPr="00F37243">
              <w:rPr>
                <w:rFonts w:ascii="Courier New" w:eastAsiaTheme="minorHAnsi" w:hAnsi="Courier New" w:cs="Courier New"/>
                <w:b/>
                <w:bCs/>
                <w:sz w:val="12"/>
                <w:szCs w:val="12"/>
              </w:rPr>
              <w:t>Total</w:t>
            </w:r>
            <w:r>
              <w:rPr>
                <w:rFonts w:ascii="Courier New" w:eastAsiaTheme="minorHAnsi" w:hAnsi="Courier New" w:cs="Courier New"/>
                <w:b/>
                <w:bCs/>
                <w:sz w:val="12"/>
                <w:szCs w:val="12"/>
              </w:rPr>
              <w:t xml:space="preserve"> for All Sectors</w:t>
            </w:r>
          </w:p>
        </w:tc>
      </w:tr>
      <w:tr w:rsidR="00BF10A3" w:rsidRPr="00F94DD8" w14:paraId="5F78A552" w14:textId="77777777" w:rsidTr="001F7400">
        <w:trPr>
          <w:trHeight w:val="315"/>
        </w:trPr>
        <w:tc>
          <w:tcPr>
            <w:tcW w:w="685" w:type="dxa"/>
            <w:noWrap/>
            <w:hideMark/>
          </w:tcPr>
          <w:p w14:paraId="7E6C801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51</w:t>
            </w:r>
          </w:p>
        </w:tc>
        <w:tc>
          <w:tcPr>
            <w:tcW w:w="2303" w:type="dxa"/>
            <w:noWrap/>
            <w:hideMark/>
          </w:tcPr>
          <w:p w14:paraId="2379DBA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Health Professions and Related Sciences</w:t>
            </w:r>
          </w:p>
        </w:tc>
        <w:tc>
          <w:tcPr>
            <w:tcW w:w="849" w:type="dxa"/>
            <w:noWrap/>
            <w:hideMark/>
          </w:tcPr>
          <w:p w14:paraId="14ED4B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277,010</w:t>
            </w:r>
          </w:p>
        </w:tc>
        <w:tc>
          <w:tcPr>
            <w:tcW w:w="849" w:type="dxa"/>
            <w:noWrap/>
            <w:hideMark/>
          </w:tcPr>
          <w:p w14:paraId="6E64E4F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2,475</w:t>
            </w:r>
          </w:p>
        </w:tc>
        <w:tc>
          <w:tcPr>
            <w:tcW w:w="850" w:type="dxa"/>
            <w:gridSpan w:val="2"/>
            <w:noWrap/>
            <w:hideMark/>
          </w:tcPr>
          <w:p w14:paraId="2FB1079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35,356</w:t>
            </w:r>
          </w:p>
        </w:tc>
        <w:tc>
          <w:tcPr>
            <w:tcW w:w="849" w:type="dxa"/>
            <w:noWrap/>
            <w:hideMark/>
          </w:tcPr>
          <w:p w14:paraId="357CEB5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3,130</w:t>
            </w:r>
          </w:p>
        </w:tc>
        <w:tc>
          <w:tcPr>
            <w:tcW w:w="850" w:type="dxa"/>
            <w:gridSpan w:val="2"/>
            <w:noWrap/>
            <w:hideMark/>
          </w:tcPr>
          <w:p w14:paraId="145C7C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445,923</w:t>
            </w:r>
          </w:p>
        </w:tc>
        <w:tc>
          <w:tcPr>
            <w:tcW w:w="973" w:type="dxa"/>
            <w:noWrap/>
            <w:hideMark/>
          </w:tcPr>
          <w:p w14:paraId="3B2ED61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306,061</w:t>
            </w:r>
          </w:p>
        </w:tc>
        <w:tc>
          <w:tcPr>
            <w:tcW w:w="725" w:type="dxa"/>
            <w:noWrap/>
            <w:hideMark/>
          </w:tcPr>
          <w:p w14:paraId="0ED920B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94,512</w:t>
            </w:r>
          </w:p>
        </w:tc>
        <w:tc>
          <w:tcPr>
            <w:tcW w:w="850" w:type="dxa"/>
            <w:noWrap/>
            <w:hideMark/>
          </w:tcPr>
          <w:p w14:paraId="3AC871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735</w:t>
            </w:r>
          </w:p>
        </w:tc>
        <w:tc>
          <w:tcPr>
            <w:tcW w:w="849" w:type="dxa"/>
            <w:noWrap/>
            <w:hideMark/>
          </w:tcPr>
          <w:p w14:paraId="36A8F3B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41,885</w:t>
            </w:r>
          </w:p>
        </w:tc>
        <w:tc>
          <w:tcPr>
            <w:tcW w:w="850" w:type="dxa"/>
            <w:noWrap/>
            <w:hideMark/>
          </w:tcPr>
          <w:p w14:paraId="0A9B004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5,035</w:t>
            </w:r>
          </w:p>
        </w:tc>
        <w:tc>
          <w:tcPr>
            <w:tcW w:w="776" w:type="dxa"/>
            <w:noWrap/>
            <w:hideMark/>
          </w:tcPr>
          <w:p w14:paraId="7765CE1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9,116</w:t>
            </w:r>
          </w:p>
        </w:tc>
        <w:tc>
          <w:tcPr>
            <w:tcW w:w="923" w:type="dxa"/>
            <w:noWrap/>
            <w:hideMark/>
          </w:tcPr>
          <w:p w14:paraId="179F908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1,221,238</w:t>
            </w:r>
          </w:p>
        </w:tc>
      </w:tr>
      <w:tr w:rsidR="00BF10A3" w:rsidRPr="00F94DD8" w14:paraId="57162A3E" w14:textId="77777777" w:rsidTr="001F7400">
        <w:trPr>
          <w:trHeight w:val="315"/>
        </w:trPr>
        <w:tc>
          <w:tcPr>
            <w:tcW w:w="685" w:type="dxa"/>
            <w:noWrap/>
            <w:hideMark/>
          </w:tcPr>
          <w:p w14:paraId="326B148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52</w:t>
            </w:r>
          </w:p>
        </w:tc>
        <w:tc>
          <w:tcPr>
            <w:tcW w:w="2303" w:type="dxa"/>
            <w:noWrap/>
            <w:hideMark/>
          </w:tcPr>
          <w:p w14:paraId="5100564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Business Management and Administrative Services</w:t>
            </w:r>
          </w:p>
        </w:tc>
        <w:tc>
          <w:tcPr>
            <w:tcW w:w="849" w:type="dxa"/>
            <w:noWrap/>
            <w:hideMark/>
          </w:tcPr>
          <w:p w14:paraId="14FB326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129,593</w:t>
            </w:r>
          </w:p>
        </w:tc>
        <w:tc>
          <w:tcPr>
            <w:tcW w:w="849" w:type="dxa"/>
            <w:noWrap/>
            <w:hideMark/>
          </w:tcPr>
          <w:p w14:paraId="03C91A8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1,690</w:t>
            </w:r>
          </w:p>
        </w:tc>
        <w:tc>
          <w:tcPr>
            <w:tcW w:w="850" w:type="dxa"/>
            <w:gridSpan w:val="2"/>
            <w:noWrap/>
            <w:hideMark/>
          </w:tcPr>
          <w:p w14:paraId="550C15C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3,904</w:t>
            </w:r>
          </w:p>
        </w:tc>
        <w:tc>
          <w:tcPr>
            <w:tcW w:w="849" w:type="dxa"/>
            <w:noWrap/>
            <w:hideMark/>
          </w:tcPr>
          <w:p w14:paraId="4BAC072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2,180</w:t>
            </w:r>
          </w:p>
        </w:tc>
        <w:tc>
          <w:tcPr>
            <w:tcW w:w="850" w:type="dxa"/>
            <w:gridSpan w:val="2"/>
            <w:noWrap/>
            <w:hideMark/>
          </w:tcPr>
          <w:p w14:paraId="219B1BD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16,174</w:t>
            </w:r>
          </w:p>
        </w:tc>
        <w:tc>
          <w:tcPr>
            <w:tcW w:w="973" w:type="dxa"/>
            <w:noWrap/>
            <w:hideMark/>
          </w:tcPr>
          <w:p w14:paraId="5686E0B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231,033</w:t>
            </w:r>
          </w:p>
        </w:tc>
        <w:tc>
          <w:tcPr>
            <w:tcW w:w="725" w:type="dxa"/>
            <w:noWrap/>
            <w:hideMark/>
          </w:tcPr>
          <w:p w14:paraId="0F66AFE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308,843</w:t>
            </w:r>
          </w:p>
        </w:tc>
        <w:tc>
          <w:tcPr>
            <w:tcW w:w="850" w:type="dxa"/>
            <w:noWrap/>
            <w:hideMark/>
          </w:tcPr>
          <w:p w14:paraId="717632D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2,184</w:t>
            </w:r>
          </w:p>
        </w:tc>
        <w:tc>
          <w:tcPr>
            <w:tcW w:w="849" w:type="dxa"/>
            <w:noWrap/>
            <w:hideMark/>
          </w:tcPr>
          <w:p w14:paraId="5E883A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109,180</w:t>
            </w:r>
          </w:p>
        </w:tc>
        <w:tc>
          <w:tcPr>
            <w:tcW w:w="850" w:type="dxa"/>
            <w:noWrap/>
            <w:hideMark/>
          </w:tcPr>
          <w:p w14:paraId="2B47204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15,357</w:t>
            </w:r>
          </w:p>
        </w:tc>
        <w:tc>
          <w:tcPr>
            <w:tcW w:w="776" w:type="dxa"/>
            <w:noWrap/>
            <w:hideMark/>
          </w:tcPr>
          <w:p w14:paraId="62AF190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25F8FA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820,138</w:t>
            </w:r>
          </w:p>
        </w:tc>
      </w:tr>
      <w:tr w:rsidR="00BF10A3" w:rsidRPr="00F94DD8" w14:paraId="4E2380E5" w14:textId="77777777" w:rsidTr="001F7400">
        <w:trPr>
          <w:trHeight w:val="315"/>
        </w:trPr>
        <w:tc>
          <w:tcPr>
            <w:tcW w:w="685" w:type="dxa"/>
            <w:noWrap/>
            <w:hideMark/>
          </w:tcPr>
          <w:p w14:paraId="085F78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w:t>
            </w:r>
          </w:p>
        </w:tc>
        <w:tc>
          <w:tcPr>
            <w:tcW w:w="2303" w:type="dxa"/>
            <w:noWrap/>
            <w:hideMark/>
          </w:tcPr>
          <w:p w14:paraId="518D30E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Personal and Miscellaneous Services</w:t>
            </w:r>
          </w:p>
        </w:tc>
        <w:tc>
          <w:tcPr>
            <w:tcW w:w="849" w:type="dxa"/>
            <w:noWrap/>
            <w:hideMark/>
          </w:tcPr>
          <w:p w14:paraId="309B331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44,669</w:t>
            </w:r>
          </w:p>
        </w:tc>
        <w:tc>
          <w:tcPr>
            <w:tcW w:w="849" w:type="dxa"/>
            <w:noWrap/>
            <w:hideMark/>
          </w:tcPr>
          <w:p w14:paraId="4D03D34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6CCD6B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3,169</w:t>
            </w:r>
          </w:p>
        </w:tc>
        <w:tc>
          <w:tcPr>
            <w:tcW w:w="849" w:type="dxa"/>
            <w:noWrap/>
            <w:hideMark/>
          </w:tcPr>
          <w:p w14:paraId="1B55B30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w:t>
            </w:r>
          </w:p>
        </w:tc>
        <w:tc>
          <w:tcPr>
            <w:tcW w:w="850" w:type="dxa"/>
            <w:gridSpan w:val="2"/>
            <w:noWrap/>
            <w:hideMark/>
          </w:tcPr>
          <w:p w14:paraId="41C1BBC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198,590</w:t>
            </w:r>
          </w:p>
        </w:tc>
        <w:tc>
          <w:tcPr>
            <w:tcW w:w="973" w:type="dxa"/>
            <w:noWrap/>
            <w:hideMark/>
          </w:tcPr>
          <w:p w14:paraId="404DAFE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34,860</w:t>
            </w:r>
          </w:p>
        </w:tc>
        <w:tc>
          <w:tcPr>
            <w:tcW w:w="725" w:type="dxa"/>
            <w:noWrap/>
            <w:hideMark/>
          </w:tcPr>
          <w:p w14:paraId="7F61753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5,857</w:t>
            </w:r>
          </w:p>
        </w:tc>
        <w:tc>
          <w:tcPr>
            <w:tcW w:w="850" w:type="dxa"/>
            <w:noWrap/>
            <w:hideMark/>
          </w:tcPr>
          <w:p w14:paraId="58DA084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F7C9B6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w:t>
            </w:r>
          </w:p>
        </w:tc>
        <w:tc>
          <w:tcPr>
            <w:tcW w:w="850" w:type="dxa"/>
            <w:noWrap/>
            <w:hideMark/>
          </w:tcPr>
          <w:p w14:paraId="2A63ACA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4CE3F09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568</w:t>
            </w:r>
          </w:p>
        </w:tc>
        <w:tc>
          <w:tcPr>
            <w:tcW w:w="923" w:type="dxa"/>
            <w:noWrap/>
            <w:hideMark/>
          </w:tcPr>
          <w:p w14:paraId="5F90B95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287,734</w:t>
            </w:r>
          </w:p>
        </w:tc>
      </w:tr>
      <w:tr w:rsidR="00BF10A3" w:rsidRPr="00F94DD8" w14:paraId="2B36833A" w14:textId="77777777" w:rsidTr="001F7400">
        <w:trPr>
          <w:trHeight w:val="315"/>
        </w:trPr>
        <w:tc>
          <w:tcPr>
            <w:tcW w:w="685" w:type="dxa"/>
            <w:noWrap/>
            <w:hideMark/>
          </w:tcPr>
          <w:p w14:paraId="4314AAC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w:t>
            </w:r>
          </w:p>
        </w:tc>
        <w:tc>
          <w:tcPr>
            <w:tcW w:w="2303" w:type="dxa"/>
            <w:noWrap/>
            <w:hideMark/>
          </w:tcPr>
          <w:p w14:paraId="0AE983F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Protective Services</w:t>
            </w:r>
          </w:p>
        </w:tc>
        <w:tc>
          <w:tcPr>
            <w:tcW w:w="849" w:type="dxa"/>
            <w:noWrap/>
            <w:hideMark/>
          </w:tcPr>
          <w:p w14:paraId="3B78807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57,765</w:t>
            </w:r>
          </w:p>
        </w:tc>
        <w:tc>
          <w:tcPr>
            <w:tcW w:w="849" w:type="dxa"/>
            <w:noWrap/>
            <w:hideMark/>
          </w:tcPr>
          <w:p w14:paraId="18E5E22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152</w:t>
            </w:r>
          </w:p>
        </w:tc>
        <w:tc>
          <w:tcPr>
            <w:tcW w:w="850" w:type="dxa"/>
            <w:gridSpan w:val="2"/>
            <w:noWrap/>
            <w:hideMark/>
          </w:tcPr>
          <w:p w14:paraId="4621A21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841</w:t>
            </w:r>
          </w:p>
        </w:tc>
        <w:tc>
          <w:tcPr>
            <w:tcW w:w="849" w:type="dxa"/>
            <w:noWrap/>
            <w:hideMark/>
          </w:tcPr>
          <w:p w14:paraId="135562B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171</w:t>
            </w:r>
          </w:p>
        </w:tc>
        <w:tc>
          <w:tcPr>
            <w:tcW w:w="850" w:type="dxa"/>
            <w:gridSpan w:val="2"/>
            <w:noWrap/>
            <w:hideMark/>
          </w:tcPr>
          <w:p w14:paraId="4DB7FB9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3,209</w:t>
            </w:r>
          </w:p>
        </w:tc>
        <w:tc>
          <w:tcPr>
            <w:tcW w:w="973" w:type="dxa"/>
            <w:noWrap/>
            <w:hideMark/>
          </w:tcPr>
          <w:p w14:paraId="263AA64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115,239</w:t>
            </w:r>
          </w:p>
        </w:tc>
        <w:tc>
          <w:tcPr>
            <w:tcW w:w="725" w:type="dxa"/>
            <w:noWrap/>
            <w:hideMark/>
          </w:tcPr>
          <w:p w14:paraId="330A631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85,657</w:t>
            </w:r>
          </w:p>
        </w:tc>
        <w:tc>
          <w:tcPr>
            <w:tcW w:w="850" w:type="dxa"/>
            <w:noWrap/>
            <w:hideMark/>
          </w:tcPr>
          <w:p w14:paraId="3087322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90</w:t>
            </w:r>
          </w:p>
        </w:tc>
        <w:tc>
          <w:tcPr>
            <w:tcW w:w="849" w:type="dxa"/>
            <w:noWrap/>
            <w:hideMark/>
          </w:tcPr>
          <w:p w14:paraId="4D9BFE1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8,098</w:t>
            </w:r>
          </w:p>
        </w:tc>
        <w:tc>
          <w:tcPr>
            <w:tcW w:w="850" w:type="dxa"/>
            <w:noWrap/>
            <w:hideMark/>
          </w:tcPr>
          <w:p w14:paraId="746FEF8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1,014</w:t>
            </w:r>
          </w:p>
        </w:tc>
        <w:tc>
          <w:tcPr>
            <w:tcW w:w="776" w:type="dxa"/>
            <w:noWrap/>
            <w:hideMark/>
          </w:tcPr>
          <w:p w14:paraId="0545F8B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862A3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272,236</w:t>
            </w:r>
          </w:p>
        </w:tc>
      </w:tr>
      <w:tr w:rsidR="00BF10A3" w:rsidRPr="00F94DD8" w14:paraId="741612C3" w14:textId="77777777" w:rsidTr="001F7400">
        <w:trPr>
          <w:trHeight w:val="315"/>
        </w:trPr>
        <w:tc>
          <w:tcPr>
            <w:tcW w:w="685" w:type="dxa"/>
            <w:noWrap/>
            <w:hideMark/>
          </w:tcPr>
          <w:p w14:paraId="6555054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w:t>
            </w:r>
          </w:p>
        </w:tc>
        <w:tc>
          <w:tcPr>
            <w:tcW w:w="2303" w:type="dxa"/>
            <w:noWrap/>
            <w:hideMark/>
          </w:tcPr>
          <w:p w14:paraId="09B8AA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Computer and Information Sciences</w:t>
            </w:r>
          </w:p>
        </w:tc>
        <w:tc>
          <w:tcPr>
            <w:tcW w:w="849" w:type="dxa"/>
            <w:noWrap/>
            <w:hideMark/>
          </w:tcPr>
          <w:p w14:paraId="0C7A2F9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36,207</w:t>
            </w:r>
          </w:p>
        </w:tc>
        <w:tc>
          <w:tcPr>
            <w:tcW w:w="849" w:type="dxa"/>
            <w:noWrap/>
            <w:hideMark/>
          </w:tcPr>
          <w:p w14:paraId="46803FB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385</w:t>
            </w:r>
          </w:p>
        </w:tc>
        <w:tc>
          <w:tcPr>
            <w:tcW w:w="850" w:type="dxa"/>
            <w:gridSpan w:val="2"/>
            <w:noWrap/>
            <w:hideMark/>
          </w:tcPr>
          <w:p w14:paraId="41185DF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1,252</w:t>
            </w:r>
          </w:p>
        </w:tc>
        <w:tc>
          <w:tcPr>
            <w:tcW w:w="849" w:type="dxa"/>
            <w:noWrap/>
            <w:hideMark/>
          </w:tcPr>
          <w:p w14:paraId="5ED99F7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436</w:t>
            </w:r>
          </w:p>
        </w:tc>
        <w:tc>
          <w:tcPr>
            <w:tcW w:w="850" w:type="dxa"/>
            <w:gridSpan w:val="2"/>
            <w:noWrap/>
            <w:hideMark/>
          </w:tcPr>
          <w:p w14:paraId="5DC6ECF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14,659</w:t>
            </w:r>
          </w:p>
        </w:tc>
        <w:tc>
          <w:tcPr>
            <w:tcW w:w="973" w:type="dxa"/>
            <w:noWrap/>
            <w:hideMark/>
          </w:tcPr>
          <w:p w14:paraId="337ED3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100,225</w:t>
            </w:r>
          </w:p>
        </w:tc>
        <w:tc>
          <w:tcPr>
            <w:tcW w:w="725" w:type="dxa"/>
            <w:noWrap/>
            <w:hideMark/>
          </w:tcPr>
          <w:p w14:paraId="2393C93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88,824</w:t>
            </w:r>
          </w:p>
        </w:tc>
        <w:tc>
          <w:tcPr>
            <w:tcW w:w="850" w:type="dxa"/>
            <w:noWrap/>
            <w:hideMark/>
          </w:tcPr>
          <w:p w14:paraId="779A1DD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222</w:t>
            </w:r>
          </w:p>
        </w:tc>
        <w:tc>
          <w:tcPr>
            <w:tcW w:w="849" w:type="dxa"/>
            <w:noWrap/>
            <w:hideMark/>
          </w:tcPr>
          <w:p w14:paraId="6E778E0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6,089</w:t>
            </w:r>
          </w:p>
        </w:tc>
        <w:tc>
          <w:tcPr>
            <w:tcW w:w="850" w:type="dxa"/>
            <w:noWrap/>
            <w:hideMark/>
          </w:tcPr>
          <w:p w14:paraId="7B919DE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771</w:t>
            </w:r>
          </w:p>
        </w:tc>
        <w:tc>
          <w:tcPr>
            <w:tcW w:w="776" w:type="dxa"/>
            <w:noWrap/>
            <w:hideMark/>
          </w:tcPr>
          <w:p w14:paraId="1C6399A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409B94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249,070</w:t>
            </w:r>
          </w:p>
        </w:tc>
      </w:tr>
      <w:tr w:rsidR="00BF10A3" w:rsidRPr="00F94DD8" w14:paraId="1BB33A1D" w14:textId="77777777" w:rsidTr="001F7400">
        <w:trPr>
          <w:trHeight w:val="315"/>
        </w:trPr>
        <w:tc>
          <w:tcPr>
            <w:tcW w:w="685" w:type="dxa"/>
            <w:noWrap/>
            <w:hideMark/>
          </w:tcPr>
          <w:p w14:paraId="0DDABC9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47</w:t>
            </w:r>
          </w:p>
        </w:tc>
        <w:tc>
          <w:tcPr>
            <w:tcW w:w="2303" w:type="dxa"/>
            <w:noWrap/>
            <w:hideMark/>
          </w:tcPr>
          <w:p w14:paraId="1B8219D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Mechanics and Repairs</w:t>
            </w:r>
          </w:p>
        </w:tc>
        <w:tc>
          <w:tcPr>
            <w:tcW w:w="849" w:type="dxa"/>
            <w:noWrap/>
            <w:hideMark/>
          </w:tcPr>
          <w:p w14:paraId="69271CC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67,155</w:t>
            </w:r>
          </w:p>
        </w:tc>
        <w:tc>
          <w:tcPr>
            <w:tcW w:w="849" w:type="dxa"/>
            <w:noWrap/>
            <w:hideMark/>
          </w:tcPr>
          <w:p w14:paraId="1C881B4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w:t>
            </w:r>
          </w:p>
        </w:tc>
        <w:tc>
          <w:tcPr>
            <w:tcW w:w="850" w:type="dxa"/>
            <w:gridSpan w:val="2"/>
            <w:noWrap/>
            <w:hideMark/>
          </w:tcPr>
          <w:p w14:paraId="2C8AEE2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3,878</w:t>
            </w:r>
          </w:p>
        </w:tc>
        <w:tc>
          <w:tcPr>
            <w:tcW w:w="849" w:type="dxa"/>
            <w:noWrap/>
            <w:hideMark/>
          </w:tcPr>
          <w:p w14:paraId="68DEF79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4CCDB9F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79,074</w:t>
            </w:r>
          </w:p>
        </w:tc>
        <w:tc>
          <w:tcPr>
            <w:tcW w:w="973" w:type="dxa"/>
            <w:noWrap/>
            <w:hideMark/>
          </w:tcPr>
          <w:p w14:paraId="0B633B1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15,040</w:t>
            </w:r>
          </w:p>
        </w:tc>
        <w:tc>
          <w:tcPr>
            <w:tcW w:w="725" w:type="dxa"/>
            <w:noWrap/>
            <w:hideMark/>
          </w:tcPr>
          <w:p w14:paraId="78DE30A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7EFD4DF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56A4A15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4CF8C9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2952010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49FD766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165,153</w:t>
            </w:r>
          </w:p>
        </w:tc>
      </w:tr>
      <w:tr w:rsidR="00BF10A3" w:rsidRPr="00F94DD8" w14:paraId="6A091214" w14:textId="77777777" w:rsidTr="001F7400">
        <w:trPr>
          <w:trHeight w:val="315"/>
        </w:trPr>
        <w:tc>
          <w:tcPr>
            <w:tcW w:w="685" w:type="dxa"/>
            <w:noWrap/>
            <w:hideMark/>
          </w:tcPr>
          <w:p w14:paraId="45C919F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w:t>
            </w:r>
          </w:p>
        </w:tc>
        <w:tc>
          <w:tcPr>
            <w:tcW w:w="2303" w:type="dxa"/>
            <w:noWrap/>
            <w:hideMark/>
          </w:tcPr>
          <w:p w14:paraId="4EF5F1B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Education</w:t>
            </w:r>
          </w:p>
        </w:tc>
        <w:tc>
          <w:tcPr>
            <w:tcW w:w="849" w:type="dxa"/>
            <w:noWrap/>
            <w:hideMark/>
          </w:tcPr>
          <w:p w14:paraId="4C47FE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13,697</w:t>
            </w:r>
          </w:p>
        </w:tc>
        <w:tc>
          <w:tcPr>
            <w:tcW w:w="849" w:type="dxa"/>
            <w:noWrap/>
            <w:hideMark/>
          </w:tcPr>
          <w:p w14:paraId="00ED3EB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6,376</w:t>
            </w:r>
          </w:p>
        </w:tc>
        <w:tc>
          <w:tcPr>
            <w:tcW w:w="850" w:type="dxa"/>
            <w:gridSpan w:val="2"/>
            <w:noWrap/>
            <w:hideMark/>
          </w:tcPr>
          <w:p w14:paraId="288B963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1,124</w:t>
            </w:r>
          </w:p>
        </w:tc>
        <w:tc>
          <w:tcPr>
            <w:tcW w:w="849" w:type="dxa"/>
            <w:noWrap/>
            <w:hideMark/>
          </w:tcPr>
          <w:p w14:paraId="0E0ED4D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6,932</w:t>
            </w:r>
          </w:p>
        </w:tc>
        <w:tc>
          <w:tcPr>
            <w:tcW w:w="850" w:type="dxa"/>
            <w:gridSpan w:val="2"/>
            <w:noWrap/>
            <w:hideMark/>
          </w:tcPr>
          <w:p w14:paraId="6A07E9B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1,838</w:t>
            </w:r>
          </w:p>
        </w:tc>
        <w:tc>
          <w:tcPr>
            <w:tcW w:w="973" w:type="dxa"/>
            <w:noWrap/>
            <w:hideMark/>
          </w:tcPr>
          <w:p w14:paraId="4C9D52F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21,473</w:t>
            </w:r>
          </w:p>
        </w:tc>
        <w:tc>
          <w:tcPr>
            <w:tcW w:w="725" w:type="dxa"/>
            <w:noWrap/>
            <w:hideMark/>
          </w:tcPr>
          <w:p w14:paraId="4A8431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29,290</w:t>
            </w:r>
          </w:p>
        </w:tc>
        <w:tc>
          <w:tcPr>
            <w:tcW w:w="850" w:type="dxa"/>
            <w:noWrap/>
            <w:hideMark/>
          </w:tcPr>
          <w:p w14:paraId="4C6B298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1,616</w:t>
            </w:r>
          </w:p>
        </w:tc>
        <w:tc>
          <w:tcPr>
            <w:tcW w:w="849" w:type="dxa"/>
            <w:noWrap/>
            <w:hideMark/>
          </w:tcPr>
          <w:p w14:paraId="462504D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58,768</w:t>
            </w:r>
          </w:p>
        </w:tc>
        <w:tc>
          <w:tcPr>
            <w:tcW w:w="850" w:type="dxa"/>
            <w:noWrap/>
            <w:hideMark/>
          </w:tcPr>
          <w:p w14:paraId="1536D1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21,659</w:t>
            </w:r>
          </w:p>
        </w:tc>
        <w:tc>
          <w:tcPr>
            <w:tcW w:w="776" w:type="dxa"/>
            <w:noWrap/>
            <w:hideMark/>
          </w:tcPr>
          <w:p w14:paraId="731EFD5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923" w:type="dxa"/>
            <w:noWrap/>
            <w:hideMark/>
          </w:tcPr>
          <w:p w14:paraId="06EA6A9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162,777</w:t>
            </w:r>
          </w:p>
        </w:tc>
      </w:tr>
      <w:tr w:rsidR="00BF10A3" w:rsidRPr="00F94DD8" w14:paraId="6D6A812C" w14:textId="77777777" w:rsidTr="001F7400">
        <w:trPr>
          <w:trHeight w:val="315"/>
        </w:trPr>
        <w:tc>
          <w:tcPr>
            <w:tcW w:w="685" w:type="dxa"/>
            <w:noWrap/>
            <w:hideMark/>
          </w:tcPr>
          <w:p w14:paraId="79076B9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50</w:t>
            </w:r>
          </w:p>
        </w:tc>
        <w:tc>
          <w:tcPr>
            <w:tcW w:w="2303" w:type="dxa"/>
            <w:noWrap/>
            <w:hideMark/>
          </w:tcPr>
          <w:p w14:paraId="2CB6A5D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Visual and Performing Arts</w:t>
            </w:r>
          </w:p>
        </w:tc>
        <w:tc>
          <w:tcPr>
            <w:tcW w:w="849" w:type="dxa"/>
            <w:noWrap/>
            <w:hideMark/>
          </w:tcPr>
          <w:p w14:paraId="760609C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14,935</w:t>
            </w:r>
          </w:p>
        </w:tc>
        <w:tc>
          <w:tcPr>
            <w:tcW w:w="849" w:type="dxa"/>
            <w:noWrap/>
            <w:hideMark/>
          </w:tcPr>
          <w:p w14:paraId="60B289E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153</w:t>
            </w:r>
          </w:p>
        </w:tc>
        <w:tc>
          <w:tcPr>
            <w:tcW w:w="850" w:type="dxa"/>
            <w:gridSpan w:val="2"/>
            <w:noWrap/>
            <w:hideMark/>
          </w:tcPr>
          <w:p w14:paraId="3C618F5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1,104</w:t>
            </w:r>
          </w:p>
        </w:tc>
        <w:tc>
          <w:tcPr>
            <w:tcW w:w="849" w:type="dxa"/>
            <w:noWrap/>
            <w:hideMark/>
          </w:tcPr>
          <w:p w14:paraId="05C461A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548</w:t>
            </w:r>
          </w:p>
        </w:tc>
        <w:tc>
          <w:tcPr>
            <w:tcW w:w="850" w:type="dxa"/>
            <w:gridSpan w:val="2"/>
            <w:noWrap/>
            <w:hideMark/>
          </w:tcPr>
          <w:p w14:paraId="59E24EB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6,573</w:t>
            </w:r>
          </w:p>
        </w:tc>
        <w:tc>
          <w:tcPr>
            <w:tcW w:w="973" w:type="dxa"/>
            <w:noWrap/>
            <w:hideMark/>
          </w:tcPr>
          <w:p w14:paraId="59F23AD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36,354</w:t>
            </w:r>
          </w:p>
        </w:tc>
        <w:tc>
          <w:tcPr>
            <w:tcW w:w="725" w:type="dxa"/>
            <w:noWrap/>
            <w:hideMark/>
          </w:tcPr>
          <w:p w14:paraId="3CC80FB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66,897</w:t>
            </w:r>
          </w:p>
        </w:tc>
        <w:tc>
          <w:tcPr>
            <w:tcW w:w="850" w:type="dxa"/>
            <w:noWrap/>
            <w:hideMark/>
          </w:tcPr>
          <w:p w14:paraId="620FAF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0ECCC16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3,166</w:t>
            </w:r>
          </w:p>
        </w:tc>
        <w:tc>
          <w:tcPr>
            <w:tcW w:w="850" w:type="dxa"/>
            <w:noWrap/>
            <w:hideMark/>
          </w:tcPr>
          <w:p w14:paraId="6024689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w:t>
            </w:r>
          </w:p>
        </w:tc>
        <w:tc>
          <w:tcPr>
            <w:tcW w:w="776" w:type="dxa"/>
            <w:noWrap/>
            <w:hideMark/>
          </w:tcPr>
          <w:p w14:paraId="6FCCDFA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21AC634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129,743</w:t>
            </w:r>
          </w:p>
        </w:tc>
      </w:tr>
      <w:tr w:rsidR="00BF10A3" w:rsidRPr="00F94DD8" w14:paraId="56360522" w14:textId="77777777" w:rsidTr="001F7400">
        <w:trPr>
          <w:trHeight w:val="315"/>
        </w:trPr>
        <w:tc>
          <w:tcPr>
            <w:tcW w:w="685" w:type="dxa"/>
            <w:noWrap/>
            <w:hideMark/>
          </w:tcPr>
          <w:p w14:paraId="29EA6D0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w:t>
            </w:r>
          </w:p>
        </w:tc>
        <w:tc>
          <w:tcPr>
            <w:tcW w:w="2303" w:type="dxa"/>
            <w:noWrap/>
            <w:hideMark/>
          </w:tcPr>
          <w:p w14:paraId="2165323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Engineering Related Technologies</w:t>
            </w:r>
          </w:p>
        </w:tc>
        <w:tc>
          <w:tcPr>
            <w:tcW w:w="849" w:type="dxa"/>
            <w:noWrap/>
            <w:hideMark/>
          </w:tcPr>
          <w:p w14:paraId="4243E9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25,641</w:t>
            </w:r>
          </w:p>
        </w:tc>
        <w:tc>
          <w:tcPr>
            <w:tcW w:w="849" w:type="dxa"/>
            <w:noWrap/>
            <w:hideMark/>
          </w:tcPr>
          <w:p w14:paraId="4260DF7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w:t>
            </w:r>
          </w:p>
        </w:tc>
        <w:tc>
          <w:tcPr>
            <w:tcW w:w="850" w:type="dxa"/>
            <w:gridSpan w:val="2"/>
            <w:noWrap/>
            <w:hideMark/>
          </w:tcPr>
          <w:p w14:paraId="196897A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1,479</w:t>
            </w:r>
          </w:p>
        </w:tc>
        <w:tc>
          <w:tcPr>
            <w:tcW w:w="849" w:type="dxa"/>
            <w:noWrap/>
            <w:hideMark/>
          </w:tcPr>
          <w:p w14:paraId="5C8F35A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w:t>
            </w:r>
          </w:p>
        </w:tc>
        <w:tc>
          <w:tcPr>
            <w:tcW w:w="850" w:type="dxa"/>
            <w:gridSpan w:val="2"/>
            <w:noWrap/>
            <w:hideMark/>
          </w:tcPr>
          <w:p w14:paraId="7D09A91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21,879</w:t>
            </w:r>
          </w:p>
        </w:tc>
        <w:tc>
          <w:tcPr>
            <w:tcW w:w="973" w:type="dxa"/>
            <w:noWrap/>
            <w:hideMark/>
          </w:tcPr>
          <w:p w14:paraId="76A8F9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48,954</w:t>
            </w:r>
          </w:p>
        </w:tc>
        <w:tc>
          <w:tcPr>
            <w:tcW w:w="725" w:type="dxa"/>
            <w:noWrap/>
            <w:hideMark/>
          </w:tcPr>
          <w:p w14:paraId="4B811F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11,964</w:t>
            </w:r>
          </w:p>
        </w:tc>
        <w:tc>
          <w:tcPr>
            <w:tcW w:w="850" w:type="dxa"/>
            <w:noWrap/>
            <w:hideMark/>
          </w:tcPr>
          <w:p w14:paraId="33AADD3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w:t>
            </w:r>
          </w:p>
        </w:tc>
        <w:tc>
          <w:tcPr>
            <w:tcW w:w="849" w:type="dxa"/>
            <w:noWrap/>
            <w:hideMark/>
          </w:tcPr>
          <w:p w14:paraId="3CF64F9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695</w:t>
            </w:r>
          </w:p>
        </w:tc>
        <w:tc>
          <w:tcPr>
            <w:tcW w:w="850" w:type="dxa"/>
            <w:noWrap/>
            <w:hideMark/>
          </w:tcPr>
          <w:p w14:paraId="50592DC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83EDD4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EBCA5E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110,679</w:t>
            </w:r>
          </w:p>
        </w:tc>
      </w:tr>
      <w:tr w:rsidR="00BF10A3" w:rsidRPr="00F94DD8" w14:paraId="53CB6104" w14:textId="77777777" w:rsidTr="001F7400">
        <w:trPr>
          <w:trHeight w:val="315"/>
        </w:trPr>
        <w:tc>
          <w:tcPr>
            <w:tcW w:w="685" w:type="dxa"/>
            <w:noWrap/>
            <w:hideMark/>
          </w:tcPr>
          <w:p w14:paraId="716FBE3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42</w:t>
            </w:r>
          </w:p>
        </w:tc>
        <w:tc>
          <w:tcPr>
            <w:tcW w:w="2303" w:type="dxa"/>
            <w:noWrap/>
            <w:hideMark/>
          </w:tcPr>
          <w:p w14:paraId="66E2490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Psychology</w:t>
            </w:r>
          </w:p>
        </w:tc>
        <w:tc>
          <w:tcPr>
            <w:tcW w:w="849" w:type="dxa"/>
            <w:noWrap/>
            <w:hideMark/>
          </w:tcPr>
          <w:p w14:paraId="1217AE9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1,021</w:t>
            </w:r>
          </w:p>
        </w:tc>
        <w:tc>
          <w:tcPr>
            <w:tcW w:w="849" w:type="dxa"/>
            <w:noWrap/>
            <w:hideMark/>
          </w:tcPr>
          <w:p w14:paraId="3190A62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711</w:t>
            </w:r>
          </w:p>
        </w:tc>
        <w:tc>
          <w:tcPr>
            <w:tcW w:w="850" w:type="dxa"/>
            <w:gridSpan w:val="2"/>
            <w:noWrap/>
            <w:hideMark/>
          </w:tcPr>
          <w:p w14:paraId="1543DA5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w:t>
            </w:r>
          </w:p>
        </w:tc>
        <w:tc>
          <w:tcPr>
            <w:tcW w:w="849" w:type="dxa"/>
            <w:noWrap/>
            <w:hideMark/>
          </w:tcPr>
          <w:p w14:paraId="671C658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1,071</w:t>
            </w:r>
          </w:p>
        </w:tc>
        <w:tc>
          <w:tcPr>
            <w:tcW w:w="850" w:type="dxa"/>
            <w:gridSpan w:val="2"/>
            <w:noWrap/>
            <w:hideMark/>
          </w:tcPr>
          <w:p w14:paraId="47705DD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3CCCBA8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463</w:t>
            </w:r>
          </w:p>
        </w:tc>
        <w:tc>
          <w:tcPr>
            <w:tcW w:w="725" w:type="dxa"/>
            <w:noWrap/>
            <w:hideMark/>
          </w:tcPr>
          <w:p w14:paraId="151B9F9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36,866</w:t>
            </w:r>
          </w:p>
        </w:tc>
        <w:tc>
          <w:tcPr>
            <w:tcW w:w="850" w:type="dxa"/>
            <w:noWrap/>
            <w:hideMark/>
          </w:tcPr>
          <w:p w14:paraId="5FC6043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218</w:t>
            </w:r>
          </w:p>
        </w:tc>
        <w:tc>
          <w:tcPr>
            <w:tcW w:w="849" w:type="dxa"/>
            <w:noWrap/>
            <w:hideMark/>
          </w:tcPr>
          <w:p w14:paraId="4A9CEA8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18,666</w:t>
            </w:r>
          </w:p>
        </w:tc>
        <w:tc>
          <w:tcPr>
            <w:tcW w:w="850" w:type="dxa"/>
            <w:noWrap/>
            <w:hideMark/>
          </w:tcPr>
          <w:p w14:paraId="00DE257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12,990</w:t>
            </w:r>
          </w:p>
        </w:tc>
        <w:tc>
          <w:tcPr>
            <w:tcW w:w="776" w:type="dxa"/>
            <w:noWrap/>
            <w:hideMark/>
          </w:tcPr>
          <w:p w14:paraId="6551348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75A06F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72,016</w:t>
            </w:r>
          </w:p>
        </w:tc>
      </w:tr>
      <w:tr w:rsidR="00BF10A3" w:rsidRPr="00F94DD8" w14:paraId="178B5A0F" w14:textId="77777777" w:rsidTr="001F7400">
        <w:trPr>
          <w:trHeight w:val="315"/>
        </w:trPr>
        <w:tc>
          <w:tcPr>
            <w:tcW w:w="685" w:type="dxa"/>
            <w:noWrap/>
            <w:hideMark/>
          </w:tcPr>
          <w:p w14:paraId="3C55C46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22</w:t>
            </w:r>
          </w:p>
        </w:tc>
        <w:tc>
          <w:tcPr>
            <w:tcW w:w="2303" w:type="dxa"/>
            <w:noWrap/>
            <w:hideMark/>
          </w:tcPr>
          <w:p w14:paraId="415B5C4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Law and Legal Services</w:t>
            </w:r>
          </w:p>
        </w:tc>
        <w:tc>
          <w:tcPr>
            <w:tcW w:w="849" w:type="dxa"/>
            <w:noWrap/>
            <w:hideMark/>
          </w:tcPr>
          <w:p w14:paraId="68EF317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10,629</w:t>
            </w:r>
          </w:p>
        </w:tc>
        <w:tc>
          <w:tcPr>
            <w:tcW w:w="849" w:type="dxa"/>
            <w:noWrap/>
            <w:hideMark/>
          </w:tcPr>
          <w:p w14:paraId="3B493B6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235</w:t>
            </w:r>
          </w:p>
        </w:tc>
        <w:tc>
          <w:tcPr>
            <w:tcW w:w="850" w:type="dxa"/>
            <w:gridSpan w:val="2"/>
            <w:noWrap/>
            <w:hideMark/>
          </w:tcPr>
          <w:p w14:paraId="0378DFD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768</w:t>
            </w:r>
          </w:p>
        </w:tc>
        <w:tc>
          <w:tcPr>
            <w:tcW w:w="849" w:type="dxa"/>
            <w:noWrap/>
            <w:hideMark/>
          </w:tcPr>
          <w:p w14:paraId="4F2F495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875</w:t>
            </w:r>
          </w:p>
        </w:tc>
        <w:tc>
          <w:tcPr>
            <w:tcW w:w="850" w:type="dxa"/>
            <w:gridSpan w:val="2"/>
            <w:noWrap/>
            <w:hideMark/>
          </w:tcPr>
          <w:p w14:paraId="641E58F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5,047</w:t>
            </w:r>
          </w:p>
        </w:tc>
        <w:tc>
          <w:tcPr>
            <w:tcW w:w="973" w:type="dxa"/>
            <w:noWrap/>
            <w:hideMark/>
          </w:tcPr>
          <w:p w14:paraId="7B47CFF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31,550</w:t>
            </w:r>
          </w:p>
        </w:tc>
        <w:tc>
          <w:tcPr>
            <w:tcW w:w="725" w:type="dxa"/>
            <w:noWrap/>
            <w:hideMark/>
          </w:tcPr>
          <w:p w14:paraId="0D017D6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7,948</w:t>
            </w:r>
          </w:p>
        </w:tc>
        <w:tc>
          <w:tcPr>
            <w:tcW w:w="850" w:type="dxa"/>
            <w:noWrap/>
            <w:hideMark/>
          </w:tcPr>
          <w:p w14:paraId="0D3500C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213</w:t>
            </w:r>
          </w:p>
        </w:tc>
        <w:tc>
          <w:tcPr>
            <w:tcW w:w="849" w:type="dxa"/>
            <w:noWrap/>
            <w:hideMark/>
          </w:tcPr>
          <w:p w14:paraId="456BD81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724</w:t>
            </w:r>
          </w:p>
        </w:tc>
        <w:tc>
          <w:tcPr>
            <w:tcW w:w="850" w:type="dxa"/>
            <w:noWrap/>
            <w:hideMark/>
          </w:tcPr>
          <w:p w14:paraId="554EBA1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591</w:t>
            </w:r>
          </w:p>
        </w:tc>
        <w:tc>
          <w:tcPr>
            <w:tcW w:w="776" w:type="dxa"/>
            <w:noWrap/>
            <w:hideMark/>
          </w:tcPr>
          <w:p w14:paraId="48469B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5,742</w:t>
            </w:r>
          </w:p>
        </w:tc>
        <w:tc>
          <w:tcPr>
            <w:tcW w:w="923" w:type="dxa"/>
            <w:noWrap/>
            <w:hideMark/>
          </w:tcPr>
          <w:p w14:paraId="57C40F4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64,322</w:t>
            </w:r>
          </w:p>
        </w:tc>
      </w:tr>
      <w:tr w:rsidR="00BF10A3" w:rsidRPr="00F94DD8" w14:paraId="614706FB" w14:textId="77777777" w:rsidTr="001F7400">
        <w:trPr>
          <w:trHeight w:val="315"/>
        </w:trPr>
        <w:tc>
          <w:tcPr>
            <w:tcW w:w="685" w:type="dxa"/>
            <w:noWrap/>
            <w:hideMark/>
          </w:tcPr>
          <w:p w14:paraId="580AB29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w:t>
            </w:r>
          </w:p>
        </w:tc>
        <w:tc>
          <w:tcPr>
            <w:tcW w:w="2303" w:type="dxa"/>
            <w:noWrap/>
            <w:hideMark/>
          </w:tcPr>
          <w:p w14:paraId="2D71123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Multi-interdisciplinary Studies</w:t>
            </w:r>
          </w:p>
        </w:tc>
        <w:tc>
          <w:tcPr>
            <w:tcW w:w="849" w:type="dxa"/>
            <w:noWrap/>
            <w:hideMark/>
          </w:tcPr>
          <w:p w14:paraId="65D54C0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1,448</w:t>
            </w:r>
          </w:p>
        </w:tc>
        <w:tc>
          <w:tcPr>
            <w:tcW w:w="849" w:type="dxa"/>
            <w:noWrap/>
            <w:hideMark/>
          </w:tcPr>
          <w:p w14:paraId="42D3A1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507</w:t>
            </w:r>
          </w:p>
        </w:tc>
        <w:tc>
          <w:tcPr>
            <w:tcW w:w="850" w:type="dxa"/>
            <w:gridSpan w:val="2"/>
            <w:noWrap/>
            <w:hideMark/>
          </w:tcPr>
          <w:p w14:paraId="4BD96C5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57</w:t>
            </w:r>
          </w:p>
        </w:tc>
        <w:tc>
          <w:tcPr>
            <w:tcW w:w="849" w:type="dxa"/>
            <w:noWrap/>
            <w:hideMark/>
          </w:tcPr>
          <w:p w14:paraId="6F1E416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209</w:t>
            </w:r>
          </w:p>
        </w:tc>
        <w:tc>
          <w:tcPr>
            <w:tcW w:w="850" w:type="dxa"/>
            <w:gridSpan w:val="2"/>
            <w:noWrap/>
            <w:hideMark/>
          </w:tcPr>
          <w:p w14:paraId="76BF4F8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74</w:t>
            </w:r>
          </w:p>
        </w:tc>
        <w:tc>
          <w:tcPr>
            <w:tcW w:w="973" w:type="dxa"/>
            <w:noWrap/>
            <w:hideMark/>
          </w:tcPr>
          <w:p w14:paraId="2459C7E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32,287</w:t>
            </w:r>
          </w:p>
        </w:tc>
        <w:tc>
          <w:tcPr>
            <w:tcW w:w="725" w:type="dxa"/>
            <w:noWrap/>
            <w:hideMark/>
          </w:tcPr>
          <w:p w14:paraId="2357B4A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23,772</w:t>
            </w:r>
          </w:p>
        </w:tc>
        <w:tc>
          <w:tcPr>
            <w:tcW w:w="850" w:type="dxa"/>
            <w:noWrap/>
            <w:hideMark/>
          </w:tcPr>
          <w:p w14:paraId="76B93CA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117</w:t>
            </w:r>
          </w:p>
        </w:tc>
        <w:tc>
          <w:tcPr>
            <w:tcW w:w="849" w:type="dxa"/>
            <w:noWrap/>
            <w:hideMark/>
          </w:tcPr>
          <w:p w14:paraId="3B59E84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2,076</w:t>
            </w:r>
          </w:p>
        </w:tc>
        <w:tc>
          <w:tcPr>
            <w:tcW w:w="850" w:type="dxa"/>
            <w:noWrap/>
            <w:hideMark/>
          </w:tcPr>
          <w:p w14:paraId="032FE80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5FE3E81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454ACA7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60,547</w:t>
            </w:r>
          </w:p>
        </w:tc>
      </w:tr>
      <w:tr w:rsidR="00BF10A3" w:rsidRPr="00F94DD8" w14:paraId="7FF64685" w14:textId="77777777" w:rsidTr="001F7400">
        <w:trPr>
          <w:trHeight w:val="315"/>
        </w:trPr>
        <w:tc>
          <w:tcPr>
            <w:tcW w:w="685" w:type="dxa"/>
            <w:noWrap/>
            <w:hideMark/>
          </w:tcPr>
          <w:p w14:paraId="7CE3C8C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19</w:t>
            </w:r>
          </w:p>
        </w:tc>
        <w:tc>
          <w:tcPr>
            <w:tcW w:w="2303" w:type="dxa"/>
            <w:noWrap/>
            <w:hideMark/>
          </w:tcPr>
          <w:p w14:paraId="4999CB2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Home Economics</w:t>
            </w:r>
          </w:p>
        </w:tc>
        <w:tc>
          <w:tcPr>
            <w:tcW w:w="849" w:type="dxa"/>
            <w:noWrap/>
            <w:hideMark/>
          </w:tcPr>
          <w:p w14:paraId="2C13DA8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50,594</w:t>
            </w:r>
          </w:p>
        </w:tc>
        <w:tc>
          <w:tcPr>
            <w:tcW w:w="849" w:type="dxa"/>
            <w:noWrap/>
            <w:hideMark/>
          </w:tcPr>
          <w:p w14:paraId="10B2755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133</w:t>
            </w:r>
          </w:p>
        </w:tc>
        <w:tc>
          <w:tcPr>
            <w:tcW w:w="850" w:type="dxa"/>
            <w:gridSpan w:val="2"/>
            <w:noWrap/>
            <w:hideMark/>
          </w:tcPr>
          <w:p w14:paraId="294B278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946</w:t>
            </w:r>
          </w:p>
        </w:tc>
        <w:tc>
          <w:tcPr>
            <w:tcW w:w="849" w:type="dxa"/>
            <w:noWrap/>
            <w:hideMark/>
          </w:tcPr>
          <w:p w14:paraId="43371E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78</w:t>
            </w:r>
          </w:p>
        </w:tc>
        <w:tc>
          <w:tcPr>
            <w:tcW w:w="850" w:type="dxa"/>
            <w:gridSpan w:val="2"/>
            <w:noWrap/>
            <w:hideMark/>
          </w:tcPr>
          <w:p w14:paraId="348BE6E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785</w:t>
            </w:r>
          </w:p>
        </w:tc>
        <w:tc>
          <w:tcPr>
            <w:tcW w:w="973" w:type="dxa"/>
            <w:noWrap/>
            <w:hideMark/>
          </w:tcPr>
          <w:p w14:paraId="7625081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999</w:t>
            </w:r>
          </w:p>
        </w:tc>
        <w:tc>
          <w:tcPr>
            <w:tcW w:w="725" w:type="dxa"/>
            <w:noWrap/>
            <w:hideMark/>
          </w:tcPr>
          <w:p w14:paraId="05B58AE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2,846</w:t>
            </w:r>
          </w:p>
        </w:tc>
        <w:tc>
          <w:tcPr>
            <w:tcW w:w="850" w:type="dxa"/>
            <w:noWrap/>
            <w:hideMark/>
          </w:tcPr>
          <w:p w14:paraId="209F246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85</w:t>
            </w:r>
          </w:p>
        </w:tc>
        <w:tc>
          <w:tcPr>
            <w:tcW w:w="849" w:type="dxa"/>
            <w:noWrap/>
            <w:hideMark/>
          </w:tcPr>
          <w:p w14:paraId="144349E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1,442</w:t>
            </w:r>
          </w:p>
        </w:tc>
        <w:tc>
          <w:tcPr>
            <w:tcW w:w="850" w:type="dxa"/>
            <w:noWrap/>
            <w:hideMark/>
          </w:tcPr>
          <w:p w14:paraId="7476B9E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446</w:t>
            </w:r>
          </w:p>
        </w:tc>
        <w:tc>
          <w:tcPr>
            <w:tcW w:w="776" w:type="dxa"/>
            <w:noWrap/>
            <w:hideMark/>
          </w:tcPr>
          <w:p w14:paraId="09C7638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414144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58,354</w:t>
            </w:r>
          </w:p>
        </w:tc>
      </w:tr>
      <w:tr w:rsidR="00BF10A3" w:rsidRPr="00F94DD8" w14:paraId="1AE554EF" w14:textId="77777777" w:rsidTr="001F7400">
        <w:trPr>
          <w:trHeight w:val="315"/>
        </w:trPr>
        <w:tc>
          <w:tcPr>
            <w:tcW w:w="685" w:type="dxa"/>
            <w:noWrap/>
            <w:hideMark/>
          </w:tcPr>
          <w:p w14:paraId="25FC49F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44</w:t>
            </w:r>
          </w:p>
        </w:tc>
        <w:tc>
          <w:tcPr>
            <w:tcW w:w="2303" w:type="dxa"/>
            <w:noWrap/>
            <w:hideMark/>
          </w:tcPr>
          <w:p w14:paraId="5AAD4C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Public Administration and Services</w:t>
            </w:r>
          </w:p>
        </w:tc>
        <w:tc>
          <w:tcPr>
            <w:tcW w:w="849" w:type="dxa"/>
            <w:noWrap/>
            <w:hideMark/>
          </w:tcPr>
          <w:p w14:paraId="454EAD4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5,624</w:t>
            </w:r>
          </w:p>
        </w:tc>
        <w:tc>
          <w:tcPr>
            <w:tcW w:w="849" w:type="dxa"/>
            <w:noWrap/>
            <w:hideMark/>
          </w:tcPr>
          <w:p w14:paraId="765AA9C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458</w:t>
            </w:r>
          </w:p>
        </w:tc>
        <w:tc>
          <w:tcPr>
            <w:tcW w:w="850" w:type="dxa"/>
            <w:gridSpan w:val="2"/>
            <w:noWrap/>
            <w:hideMark/>
          </w:tcPr>
          <w:p w14:paraId="0F3106F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147</w:t>
            </w:r>
          </w:p>
        </w:tc>
        <w:tc>
          <w:tcPr>
            <w:tcW w:w="849" w:type="dxa"/>
            <w:noWrap/>
            <w:hideMark/>
          </w:tcPr>
          <w:p w14:paraId="66E54EB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233</w:t>
            </w:r>
          </w:p>
        </w:tc>
        <w:tc>
          <w:tcPr>
            <w:tcW w:w="850" w:type="dxa"/>
            <w:gridSpan w:val="2"/>
            <w:noWrap/>
            <w:hideMark/>
          </w:tcPr>
          <w:p w14:paraId="06093DD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2B960A8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18,642</w:t>
            </w:r>
          </w:p>
        </w:tc>
        <w:tc>
          <w:tcPr>
            <w:tcW w:w="725" w:type="dxa"/>
            <w:noWrap/>
            <w:hideMark/>
          </w:tcPr>
          <w:p w14:paraId="361F3B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18,865</w:t>
            </w:r>
          </w:p>
        </w:tc>
        <w:tc>
          <w:tcPr>
            <w:tcW w:w="850" w:type="dxa"/>
            <w:noWrap/>
            <w:hideMark/>
          </w:tcPr>
          <w:p w14:paraId="672C498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35</w:t>
            </w:r>
          </w:p>
        </w:tc>
        <w:tc>
          <w:tcPr>
            <w:tcW w:w="849" w:type="dxa"/>
            <w:noWrap/>
            <w:hideMark/>
          </w:tcPr>
          <w:p w14:paraId="290D0F5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10,339</w:t>
            </w:r>
          </w:p>
        </w:tc>
        <w:tc>
          <w:tcPr>
            <w:tcW w:w="850" w:type="dxa"/>
            <w:noWrap/>
            <w:hideMark/>
          </w:tcPr>
          <w:p w14:paraId="751253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3,955</w:t>
            </w:r>
          </w:p>
        </w:tc>
        <w:tc>
          <w:tcPr>
            <w:tcW w:w="776" w:type="dxa"/>
            <w:noWrap/>
            <w:hideMark/>
          </w:tcPr>
          <w:p w14:paraId="5B2969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5EC0861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58,298</w:t>
            </w:r>
          </w:p>
        </w:tc>
      </w:tr>
      <w:tr w:rsidR="00BF10A3" w:rsidRPr="00F94DD8" w14:paraId="31F87195" w14:textId="77777777" w:rsidTr="001F7400">
        <w:trPr>
          <w:trHeight w:val="315"/>
        </w:trPr>
        <w:tc>
          <w:tcPr>
            <w:tcW w:w="685" w:type="dxa"/>
            <w:noWrap/>
            <w:hideMark/>
          </w:tcPr>
          <w:p w14:paraId="6AF8253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46</w:t>
            </w:r>
          </w:p>
        </w:tc>
        <w:tc>
          <w:tcPr>
            <w:tcW w:w="2303" w:type="dxa"/>
            <w:noWrap/>
            <w:hideMark/>
          </w:tcPr>
          <w:p w14:paraId="4CB8D1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Construction Trades</w:t>
            </w:r>
          </w:p>
        </w:tc>
        <w:tc>
          <w:tcPr>
            <w:tcW w:w="849" w:type="dxa"/>
            <w:noWrap/>
            <w:hideMark/>
          </w:tcPr>
          <w:p w14:paraId="6952942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21,776</w:t>
            </w:r>
          </w:p>
        </w:tc>
        <w:tc>
          <w:tcPr>
            <w:tcW w:w="849" w:type="dxa"/>
            <w:noWrap/>
            <w:hideMark/>
          </w:tcPr>
          <w:p w14:paraId="20097B6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6CECCF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1,988</w:t>
            </w:r>
          </w:p>
        </w:tc>
        <w:tc>
          <w:tcPr>
            <w:tcW w:w="849" w:type="dxa"/>
            <w:noWrap/>
            <w:hideMark/>
          </w:tcPr>
          <w:p w14:paraId="669B122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6615236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13,271</w:t>
            </w:r>
          </w:p>
        </w:tc>
        <w:tc>
          <w:tcPr>
            <w:tcW w:w="973" w:type="dxa"/>
            <w:noWrap/>
            <w:hideMark/>
          </w:tcPr>
          <w:p w14:paraId="53FB5B0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2,529</w:t>
            </w:r>
          </w:p>
        </w:tc>
        <w:tc>
          <w:tcPr>
            <w:tcW w:w="725" w:type="dxa"/>
            <w:noWrap/>
            <w:hideMark/>
          </w:tcPr>
          <w:p w14:paraId="6CE072C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51</w:t>
            </w:r>
          </w:p>
        </w:tc>
        <w:tc>
          <w:tcPr>
            <w:tcW w:w="850" w:type="dxa"/>
            <w:noWrap/>
            <w:hideMark/>
          </w:tcPr>
          <w:p w14:paraId="79A169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063FDC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570C0A0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3E9414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267A040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39,615</w:t>
            </w:r>
          </w:p>
        </w:tc>
      </w:tr>
      <w:tr w:rsidR="00BF10A3" w:rsidRPr="00F94DD8" w14:paraId="7A70FDC8" w14:textId="77777777" w:rsidTr="001F7400">
        <w:trPr>
          <w:trHeight w:val="315"/>
        </w:trPr>
        <w:tc>
          <w:tcPr>
            <w:tcW w:w="685" w:type="dxa"/>
            <w:noWrap/>
            <w:hideMark/>
          </w:tcPr>
          <w:p w14:paraId="232A251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48</w:t>
            </w:r>
          </w:p>
        </w:tc>
        <w:tc>
          <w:tcPr>
            <w:tcW w:w="2303" w:type="dxa"/>
            <w:noWrap/>
            <w:hideMark/>
          </w:tcPr>
          <w:p w14:paraId="22DDB3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Precision Production Trades</w:t>
            </w:r>
          </w:p>
        </w:tc>
        <w:tc>
          <w:tcPr>
            <w:tcW w:w="849" w:type="dxa"/>
            <w:noWrap/>
            <w:hideMark/>
          </w:tcPr>
          <w:p w14:paraId="2E3D298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29,078</w:t>
            </w:r>
          </w:p>
        </w:tc>
        <w:tc>
          <w:tcPr>
            <w:tcW w:w="849" w:type="dxa"/>
            <w:noWrap/>
            <w:hideMark/>
          </w:tcPr>
          <w:p w14:paraId="7B6EA73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5F12936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1,356</w:t>
            </w:r>
          </w:p>
        </w:tc>
        <w:tc>
          <w:tcPr>
            <w:tcW w:w="849" w:type="dxa"/>
            <w:noWrap/>
            <w:hideMark/>
          </w:tcPr>
          <w:p w14:paraId="66AE5BF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4A0BFD3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6,566</w:t>
            </w:r>
          </w:p>
        </w:tc>
        <w:tc>
          <w:tcPr>
            <w:tcW w:w="973" w:type="dxa"/>
            <w:noWrap/>
            <w:hideMark/>
          </w:tcPr>
          <w:p w14:paraId="48FEB81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972</w:t>
            </w:r>
          </w:p>
        </w:tc>
        <w:tc>
          <w:tcPr>
            <w:tcW w:w="725" w:type="dxa"/>
            <w:noWrap/>
            <w:hideMark/>
          </w:tcPr>
          <w:p w14:paraId="6EE94DA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753FC5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C039FB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7214209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9329E7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5F606D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37,972</w:t>
            </w:r>
          </w:p>
        </w:tc>
      </w:tr>
      <w:tr w:rsidR="00BF10A3" w:rsidRPr="00F94DD8" w14:paraId="720F073E" w14:textId="77777777" w:rsidTr="001F7400">
        <w:trPr>
          <w:trHeight w:val="315"/>
        </w:trPr>
        <w:tc>
          <w:tcPr>
            <w:tcW w:w="685" w:type="dxa"/>
            <w:noWrap/>
            <w:hideMark/>
          </w:tcPr>
          <w:p w14:paraId="5BC4CA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w:t>
            </w:r>
          </w:p>
        </w:tc>
        <w:tc>
          <w:tcPr>
            <w:tcW w:w="2303" w:type="dxa"/>
            <w:noWrap/>
            <w:hideMark/>
          </w:tcPr>
          <w:p w14:paraId="27A42E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Telecommunications Technologies</w:t>
            </w:r>
          </w:p>
        </w:tc>
        <w:tc>
          <w:tcPr>
            <w:tcW w:w="849" w:type="dxa"/>
            <w:noWrap/>
            <w:hideMark/>
          </w:tcPr>
          <w:p w14:paraId="6098C82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9,587</w:t>
            </w:r>
          </w:p>
        </w:tc>
        <w:tc>
          <w:tcPr>
            <w:tcW w:w="849" w:type="dxa"/>
            <w:noWrap/>
            <w:hideMark/>
          </w:tcPr>
          <w:p w14:paraId="6043705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163969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105</w:t>
            </w:r>
          </w:p>
        </w:tc>
        <w:tc>
          <w:tcPr>
            <w:tcW w:w="849" w:type="dxa"/>
            <w:noWrap/>
            <w:hideMark/>
          </w:tcPr>
          <w:p w14:paraId="339EF5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850" w:type="dxa"/>
            <w:gridSpan w:val="2"/>
            <w:noWrap/>
            <w:hideMark/>
          </w:tcPr>
          <w:p w14:paraId="744AEA1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3,730</w:t>
            </w:r>
          </w:p>
        </w:tc>
        <w:tc>
          <w:tcPr>
            <w:tcW w:w="973" w:type="dxa"/>
            <w:noWrap/>
            <w:hideMark/>
          </w:tcPr>
          <w:p w14:paraId="79024C4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4,841</w:t>
            </w:r>
          </w:p>
        </w:tc>
        <w:tc>
          <w:tcPr>
            <w:tcW w:w="725" w:type="dxa"/>
            <w:noWrap/>
            <w:hideMark/>
          </w:tcPr>
          <w:p w14:paraId="6835A30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12,737</w:t>
            </w:r>
          </w:p>
        </w:tc>
        <w:tc>
          <w:tcPr>
            <w:tcW w:w="850" w:type="dxa"/>
            <w:noWrap/>
            <w:hideMark/>
          </w:tcPr>
          <w:p w14:paraId="6CBD006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9C5C26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490</w:t>
            </w:r>
          </w:p>
        </w:tc>
        <w:tc>
          <w:tcPr>
            <w:tcW w:w="850" w:type="dxa"/>
            <w:noWrap/>
            <w:hideMark/>
          </w:tcPr>
          <w:p w14:paraId="22C049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45D1A4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6AFD1C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31,492</w:t>
            </w:r>
          </w:p>
        </w:tc>
      </w:tr>
      <w:tr w:rsidR="00BF10A3" w:rsidRPr="00F94DD8" w14:paraId="7EF46BD3" w14:textId="77777777" w:rsidTr="001F7400">
        <w:trPr>
          <w:trHeight w:val="315"/>
        </w:trPr>
        <w:tc>
          <w:tcPr>
            <w:tcW w:w="685" w:type="dxa"/>
            <w:noWrap/>
            <w:hideMark/>
          </w:tcPr>
          <w:p w14:paraId="4595DAD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24</w:t>
            </w:r>
          </w:p>
        </w:tc>
        <w:tc>
          <w:tcPr>
            <w:tcW w:w="2303" w:type="dxa"/>
            <w:noWrap/>
            <w:hideMark/>
          </w:tcPr>
          <w:p w14:paraId="20F8898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Liberal Arts and Sciences, General Studies and Humanities</w:t>
            </w:r>
          </w:p>
        </w:tc>
        <w:tc>
          <w:tcPr>
            <w:tcW w:w="849" w:type="dxa"/>
            <w:noWrap/>
            <w:hideMark/>
          </w:tcPr>
          <w:p w14:paraId="79C0AE5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14,539</w:t>
            </w:r>
          </w:p>
        </w:tc>
        <w:tc>
          <w:tcPr>
            <w:tcW w:w="849" w:type="dxa"/>
            <w:noWrap/>
            <w:hideMark/>
          </w:tcPr>
          <w:p w14:paraId="6FED6FE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gridSpan w:val="2"/>
            <w:noWrap/>
            <w:hideMark/>
          </w:tcPr>
          <w:p w14:paraId="02EB26E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w:t>
            </w:r>
          </w:p>
        </w:tc>
        <w:tc>
          <w:tcPr>
            <w:tcW w:w="849" w:type="dxa"/>
            <w:noWrap/>
            <w:hideMark/>
          </w:tcPr>
          <w:p w14:paraId="1240E72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435</w:t>
            </w:r>
          </w:p>
        </w:tc>
        <w:tc>
          <w:tcPr>
            <w:tcW w:w="850" w:type="dxa"/>
            <w:gridSpan w:val="2"/>
            <w:noWrap/>
            <w:hideMark/>
          </w:tcPr>
          <w:p w14:paraId="5EF09E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w:t>
            </w:r>
          </w:p>
        </w:tc>
        <w:tc>
          <w:tcPr>
            <w:tcW w:w="973" w:type="dxa"/>
            <w:noWrap/>
            <w:hideMark/>
          </w:tcPr>
          <w:p w14:paraId="50009BA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9,178</w:t>
            </w:r>
          </w:p>
        </w:tc>
        <w:tc>
          <w:tcPr>
            <w:tcW w:w="725" w:type="dxa"/>
            <w:noWrap/>
            <w:hideMark/>
          </w:tcPr>
          <w:p w14:paraId="4261757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1,318</w:t>
            </w:r>
          </w:p>
        </w:tc>
        <w:tc>
          <w:tcPr>
            <w:tcW w:w="850" w:type="dxa"/>
            <w:noWrap/>
            <w:hideMark/>
          </w:tcPr>
          <w:p w14:paraId="2FE36D5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97</w:t>
            </w:r>
          </w:p>
        </w:tc>
        <w:tc>
          <w:tcPr>
            <w:tcW w:w="849" w:type="dxa"/>
            <w:noWrap/>
            <w:hideMark/>
          </w:tcPr>
          <w:p w14:paraId="42E6245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138</w:t>
            </w:r>
          </w:p>
        </w:tc>
        <w:tc>
          <w:tcPr>
            <w:tcW w:w="850" w:type="dxa"/>
            <w:noWrap/>
            <w:hideMark/>
          </w:tcPr>
          <w:p w14:paraId="120C8B2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174</w:t>
            </w:r>
          </w:p>
        </w:tc>
        <w:tc>
          <w:tcPr>
            <w:tcW w:w="776" w:type="dxa"/>
            <w:noWrap/>
            <w:hideMark/>
          </w:tcPr>
          <w:p w14:paraId="0643FCF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94C4B5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25,904</w:t>
            </w:r>
          </w:p>
        </w:tc>
      </w:tr>
      <w:tr w:rsidR="00BF10A3" w:rsidRPr="00F94DD8" w14:paraId="1A355089" w14:textId="77777777" w:rsidTr="001F7400">
        <w:trPr>
          <w:trHeight w:val="315"/>
        </w:trPr>
        <w:tc>
          <w:tcPr>
            <w:tcW w:w="685" w:type="dxa"/>
            <w:noWrap/>
            <w:hideMark/>
          </w:tcPr>
          <w:p w14:paraId="01D988A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45</w:t>
            </w:r>
          </w:p>
        </w:tc>
        <w:tc>
          <w:tcPr>
            <w:tcW w:w="2303" w:type="dxa"/>
            <w:noWrap/>
            <w:hideMark/>
          </w:tcPr>
          <w:p w14:paraId="115BF9B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Social Sciences and History</w:t>
            </w:r>
          </w:p>
        </w:tc>
        <w:tc>
          <w:tcPr>
            <w:tcW w:w="849" w:type="dxa"/>
            <w:noWrap/>
            <w:hideMark/>
          </w:tcPr>
          <w:p w14:paraId="10867CF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741</w:t>
            </w:r>
          </w:p>
        </w:tc>
        <w:tc>
          <w:tcPr>
            <w:tcW w:w="849" w:type="dxa"/>
            <w:noWrap/>
            <w:hideMark/>
          </w:tcPr>
          <w:p w14:paraId="127466F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381</w:t>
            </w:r>
          </w:p>
        </w:tc>
        <w:tc>
          <w:tcPr>
            <w:tcW w:w="850" w:type="dxa"/>
            <w:gridSpan w:val="2"/>
            <w:noWrap/>
            <w:hideMark/>
          </w:tcPr>
          <w:p w14:paraId="169F192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76</w:t>
            </w:r>
          </w:p>
        </w:tc>
        <w:tc>
          <w:tcPr>
            <w:tcW w:w="849" w:type="dxa"/>
            <w:noWrap/>
            <w:hideMark/>
          </w:tcPr>
          <w:p w14:paraId="7093C31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391</w:t>
            </w:r>
          </w:p>
        </w:tc>
        <w:tc>
          <w:tcPr>
            <w:tcW w:w="850" w:type="dxa"/>
            <w:gridSpan w:val="2"/>
            <w:noWrap/>
            <w:hideMark/>
          </w:tcPr>
          <w:p w14:paraId="6FAFCA0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89</w:t>
            </w:r>
          </w:p>
        </w:tc>
        <w:tc>
          <w:tcPr>
            <w:tcW w:w="973" w:type="dxa"/>
            <w:noWrap/>
            <w:hideMark/>
          </w:tcPr>
          <w:p w14:paraId="45E660C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61</w:t>
            </w:r>
          </w:p>
        </w:tc>
        <w:tc>
          <w:tcPr>
            <w:tcW w:w="725" w:type="dxa"/>
            <w:noWrap/>
            <w:hideMark/>
          </w:tcPr>
          <w:p w14:paraId="321CBF3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14,869</w:t>
            </w:r>
          </w:p>
        </w:tc>
        <w:tc>
          <w:tcPr>
            <w:tcW w:w="850" w:type="dxa"/>
            <w:noWrap/>
            <w:hideMark/>
          </w:tcPr>
          <w:p w14:paraId="13DF74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7E73C1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740</w:t>
            </w:r>
          </w:p>
        </w:tc>
        <w:tc>
          <w:tcPr>
            <w:tcW w:w="850" w:type="dxa"/>
            <w:noWrap/>
            <w:hideMark/>
          </w:tcPr>
          <w:p w14:paraId="39D3673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7E2AFA9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51DCAF1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17,348</w:t>
            </w:r>
          </w:p>
        </w:tc>
      </w:tr>
      <w:tr w:rsidR="00BF10A3" w:rsidRPr="00F94DD8" w14:paraId="655B0E80" w14:textId="77777777" w:rsidTr="001F7400">
        <w:trPr>
          <w:trHeight w:val="315"/>
        </w:trPr>
        <w:tc>
          <w:tcPr>
            <w:tcW w:w="685" w:type="dxa"/>
            <w:noWrap/>
            <w:hideMark/>
          </w:tcPr>
          <w:p w14:paraId="0A5F491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w:t>
            </w:r>
          </w:p>
        </w:tc>
        <w:tc>
          <w:tcPr>
            <w:tcW w:w="2303" w:type="dxa"/>
            <w:noWrap/>
            <w:hideMark/>
          </w:tcPr>
          <w:p w14:paraId="0483255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English Language and Literature/Letters</w:t>
            </w:r>
          </w:p>
        </w:tc>
        <w:tc>
          <w:tcPr>
            <w:tcW w:w="849" w:type="dxa"/>
            <w:noWrap/>
            <w:hideMark/>
          </w:tcPr>
          <w:p w14:paraId="363B258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8,436</w:t>
            </w:r>
          </w:p>
        </w:tc>
        <w:tc>
          <w:tcPr>
            <w:tcW w:w="849" w:type="dxa"/>
            <w:noWrap/>
            <w:hideMark/>
          </w:tcPr>
          <w:p w14:paraId="161AD5F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156</w:t>
            </w:r>
          </w:p>
        </w:tc>
        <w:tc>
          <w:tcPr>
            <w:tcW w:w="850" w:type="dxa"/>
            <w:gridSpan w:val="2"/>
            <w:noWrap/>
            <w:hideMark/>
          </w:tcPr>
          <w:p w14:paraId="1E8EB06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1,142</w:t>
            </w:r>
          </w:p>
        </w:tc>
        <w:tc>
          <w:tcPr>
            <w:tcW w:w="849" w:type="dxa"/>
            <w:noWrap/>
            <w:hideMark/>
          </w:tcPr>
          <w:p w14:paraId="63134E0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w:t>
            </w:r>
          </w:p>
        </w:tc>
        <w:tc>
          <w:tcPr>
            <w:tcW w:w="850" w:type="dxa"/>
            <w:gridSpan w:val="2"/>
            <w:noWrap/>
            <w:hideMark/>
          </w:tcPr>
          <w:p w14:paraId="76A5CCE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2,059</w:t>
            </w:r>
          </w:p>
        </w:tc>
        <w:tc>
          <w:tcPr>
            <w:tcW w:w="973" w:type="dxa"/>
            <w:noWrap/>
            <w:hideMark/>
          </w:tcPr>
          <w:p w14:paraId="51B333C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3,668</w:t>
            </w:r>
          </w:p>
        </w:tc>
        <w:tc>
          <w:tcPr>
            <w:tcW w:w="725" w:type="dxa"/>
            <w:noWrap/>
            <w:hideMark/>
          </w:tcPr>
          <w:p w14:paraId="62D736F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1,476</w:t>
            </w:r>
          </w:p>
        </w:tc>
        <w:tc>
          <w:tcPr>
            <w:tcW w:w="850" w:type="dxa"/>
            <w:noWrap/>
            <w:hideMark/>
          </w:tcPr>
          <w:p w14:paraId="7565308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603496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119</w:t>
            </w:r>
          </w:p>
        </w:tc>
        <w:tc>
          <w:tcPr>
            <w:tcW w:w="850" w:type="dxa"/>
            <w:noWrap/>
            <w:hideMark/>
          </w:tcPr>
          <w:p w14:paraId="07234A8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6FEF2F0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45EB0CE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17,077</w:t>
            </w:r>
          </w:p>
        </w:tc>
      </w:tr>
      <w:tr w:rsidR="00BF10A3" w:rsidRPr="00F94DD8" w14:paraId="36D76E6A" w14:textId="77777777" w:rsidTr="001F7400">
        <w:trPr>
          <w:trHeight w:val="315"/>
        </w:trPr>
        <w:tc>
          <w:tcPr>
            <w:tcW w:w="685" w:type="dxa"/>
            <w:noWrap/>
            <w:hideMark/>
          </w:tcPr>
          <w:p w14:paraId="714825C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w:t>
            </w:r>
          </w:p>
        </w:tc>
        <w:tc>
          <w:tcPr>
            <w:tcW w:w="2303" w:type="dxa"/>
            <w:noWrap/>
            <w:hideMark/>
          </w:tcPr>
          <w:p w14:paraId="77DD547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Communications</w:t>
            </w:r>
          </w:p>
        </w:tc>
        <w:tc>
          <w:tcPr>
            <w:tcW w:w="849" w:type="dxa"/>
            <w:noWrap/>
            <w:hideMark/>
          </w:tcPr>
          <w:p w14:paraId="00FE8D7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3,684</w:t>
            </w:r>
          </w:p>
        </w:tc>
        <w:tc>
          <w:tcPr>
            <w:tcW w:w="849" w:type="dxa"/>
            <w:noWrap/>
            <w:hideMark/>
          </w:tcPr>
          <w:p w14:paraId="4084AF5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85</w:t>
            </w:r>
          </w:p>
        </w:tc>
        <w:tc>
          <w:tcPr>
            <w:tcW w:w="850" w:type="dxa"/>
            <w:gridSpan w:val="2"/>
            <w:noWrap/>
            <w:hideMark/>
          </w:tcPr>
          <w:p w14:paraId="3D46A80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63</w:t>
            </w:r>
          </w:p>
        </w:tc>
        <w:tc>
          <w:tcPr>
            <w:tcW w:w="849" w:type="dxa"/>
            <w:noWrap/>
            <w:hideMark/>
          </w:tcPr>
          <w:p w14:paraId="5AA894D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112</w:t>
            </w:r>
          </w:p>
        </w:tc>
        <w:tc>
          <w:tcPr>
            <w:tcW w:w="850" w:type="dxa"/>
            <w:gridSpan w:val="2"/>
            <w:noWrap/>
            <w:hideMark/>
          </w:tcPr>
          <w:p w14:paraId="1062F1D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2,046</w:t>
            </w:r>
          </w:p>
        </w:tc>
        <w:tc>
          <w:tcPr>
            <w:tcW w:w="973" w:type="dxa"/>
            <w:noWrap/>
            <w:hideMark/>
          </w:tcPr>
          <w:p w14:paraId="3EE3C67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873</w:t>
            </w:r>
          </w:p>
        </w:tc>
        <w:tc>
          <w:tcPr>
            <w:tcW w:w="725" w:type="dxa"/>
            <w:noWrap/>
            <w:hideMark/>
          </w:tcPr>
          <w:p w14:paraId="4342113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8,424</w:t>
            </w:r>
          </w:p>
        </w:tc>
        <w:tc>
          <w:tcPr>
            <w:tcW w:w="850" w:type="dxa"/>
            <w:noWrap/>
            <w:hideMark/>
          </w:tcPr>
          <w:p w14:paraId="589B04C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E124C8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277</w:t>
            </w:r>
          </w:p>
        </w:tc>
        <w:tc>
          <w:tcPr>
            <w:tcW w:w="850" w:type="dxa"/>
            <w:noWrap/>
            <w:hideMark/>
          </w:tcPr>
          <w:p w14:paraId="2F0EF73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6C2FC65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FD8AFA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15,564</w:t>
            </w:r>
          </w:p>
        </w:tc>
      </w:tr>
      <w:tr w:rsidR="00BF10A3" w:rsidRPr="00F94DD8" w14:paraId="1F450B7A" w14:textId="77777777" w:rsidTr="001F7400">
        <w:trPr>
          <w:trHeight w:val="315"/>
        </w:trPr>
        <w:tc>
          <w:tcPr>
            <w:tcW w:w="685" w:type="dxa"/>
            <w:noWrap/>
            <w:hideMark/>
          </w:tcPr>
          <w:p w14:paraId="01B39CC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49</w:t>
            </w:r>
          </w:p>
        </w:tc>
        <w:tc>
          <w:tcPr>
            <w:tcW w:w="2303" w:type="dxa"/>
            <w:noWrap/>
            <w:hideMark/>
          </w:tcPr>
          <w:p w14:paraId="6291F73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Transportation and Material Moving Workers</w:t>
            </w:r>
          </w:p>
        </w:tc>
        <w:tc>
          <w:tcPr>
            <w:tcW w:w="849" w:type="dxa"/>
            <w:noWrap/>
            <w:hideMark/>
          </w:tcPr>
          <w:p w14:paraId="14C7293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4,109</w:t>
            </w:r>
          </w:p>
        </w:tc>
        <w:tc>
          <w:tcPr>
            <w:tcW w:w="849" w:type="dxa"/>
            <w:noWrap/>
            <w:hideMark/>
          </w:tcPr>
          <w:p w14:paraId="37861BF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EEAE6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725</w:t>
            </w:r>
          </w:p>
        </w:tc>
        <w:tc>
          <w:tcPr>
            <w:tcW w:w="849" w:type="dxa"/>
            <w:noWrap/>
            <w:hideMark/>
          </w:tcPr>
          <w:p w14:paraId="049524C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22</w:t>
            </w:r>
          </w:p>
        </w:tc>
        <w:tc>
          <w:tcPr>
            <w:tcW w:w="850" w:type="dxa"/>
            <w:gridSpan w:val="2"/>
            <w:noWrap/>
            <w:hideMark/>
          </w:tcPr>
          <w:p w14:paraId="68B0C4B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7,518</w:t>
            </w:r>
          </w:p>
        </w:tc>
        <w:tc>
          <w:tcPr>
            <w:tcW w:w="973" w:type="dxa"/>
            <w:noWrap/>
            <w:hideMark/>
          </w:tcPr>
          <w:p w14:paraId="607702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436</w:t>
            </w:r>
          </w:p>
        </w:tc>
        <w:tc>
          <w:tcPr>
            <w:tcW w:w="725" w:type="dxa"/>
            <w:noWrap/>
            <w:hideMark/>
          </w:tcPr>
          <w:p w14:paraId="5099BCE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430</w:t>
            </w:r>
          </w:p>
        </w:tc>
        <w:tc>
          <w:tcPr>
            <w:tcW w:w="850" w:type="dxa"/>
            <w:noWrap/>
            <w:hideMark/>
          </w:tcPr>
          <w:p w14:paraId="34F0A8A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w:t>
            </w:r>
          </w:p>
        </w:tc>
        <w:tc>
          <w:tcPr>
            <w:tcW w:w="849" w:type="dxa"/>
            <w:noWrap/>
            <w:hideMark/>
          </w:tcPr>
          <w:p w14:paraId="0F8229F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146</w:t>
            </w:r>
          </w:p>
        </w:tc>
        <w:tc>
          <w:tcPr>
            <w:tcW w:w="850" w:type="dxa"/>
            <w:noWrap/>
            <w:hideMark/>
          </w:tcPr>
          <w:p w14:paraId="0F90BD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3ECD34F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176A2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13,389</w:t>
            </w:r>
          </w:p>
        </w:tc>
      </w:tr>
      <w:tr w:rsidR="00BF10A3" w:rsidRPr="00F94DD8" w14:paraId="7813838E" w14:textId="77777777" w:rsidTr="001F7400">
        <w:trPr>
          <w:trHeight w:val="315"/>
        </w:trPr>
        <w:tc>
          <w:tcPr>
            <w:tcW w:w="685" w:type="dxa"/>
            <w:noWrap/>
            <w:hideMark/>
          </w:tcPr>
          <w:p w14:paraId="36D60E4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31</w:t>
            </w:r>
          </w:p>
        </w:tc>
        <w:tc>
          <w:tcPr>
            <w:tcW w:w="2303" w:type="dxa"/>
            <w:noWrap/>
            <w:hideMark/>
          </w:tcPr>
          <w:p w14:paraId="4CEE942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Parks, Recreation, Leisure, and Fitness Studies</w:t>
            </w:r>
          </w:p>
        </w:tc>
        <w:tc>
          <w:tcPr>
            <w:tcW w:w="849" w:type="dxa"/>
            <w:noWrap/>
            <w:hideMark/>
          </w:tcPr>
          <w:p w14:paraId="77B69E9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2,445</w:t>
            </w:r>
          </w:p>
        </w:tc>
        <w:tc>
          <w:tcPr>
            <w:tcW w:w="849" w:type="dxa"/>
            <w:noWrap/>
            <w:hideMark/>
          </w:tcPr>
          <w:p w14:paraId="33EFF64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824</w:t>
            </w:r>
          </w:p>
        </w:tc>
        <w:tc>
          <w:tcPr>
            <w:tcW w:w="850" w:type="dxa"/>
            <w:gridSpan w:val="2"/>
            <w:noWrap/>
            <w:hideMark/>
          </w:tcPr>
          <w:p w14:paraId="17C8DF3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165</w:t>
            </w:r>
          </w:p>
        </w:tc>
        <w:tc>
          <w:tcPr>
            <w:tcW w:w="849" w:type="dxa"/>
            <w:noWrap/>
            <w:hideMark/>
          </w:tcPr>
          <w:p w14:paraId="1026E78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w:t>
            </w:r>
          </w:p>
        </w:tc>
        <w:tc>
          <w:tcPr>
            <w:tcW w:w="850" w:type="dxa"/>
            <w:gridSpan w:val="2"/>
            <w:noWrap/>
            <w:hideMark/>
          </w:tcPr>
          <w:p w14:paraId="3F8D6E5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2,073</w:t>
            </w:r>
          </w:p>
        </w:tc>
        <w:tc>
          <w:tcPr>
            <w:tcW w:w="973" w:type="dxa"/>
            <w:noWrap/>
            <w:hideMark/>
          </w:tcPr>
          <w:p w14:paraId="2FCE542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3,271</w:t>
            </w:r>
          </w:p>
        </w:tc>
        <w:tc>
          <w:tcPr>
            <w:tcW w:w="725" w:type="dxa"/>
            <w:noWrap/>
            <w:hideMark/>
          </w:tcPr>
          <w:p w14:paraId="197F022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3,263</w:t>
            </w:r>
          </w:p>
        </w:tc>
        <w:tc>
          <w:tcPr>
            <w:tcW w:w="850" w:type="dxa"/>
            <w:noWrap/>
            <w:hideMark/>
          </w:tcPr>
          <w:p w14:paraId="388295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19</w:t>
            </w:r>
          </w:p>
        </w:tc>
        <w:tc>
          <w:tcPr>
            <w:tcW w:w="849" w:type="dxa"/>
            <w:noWrap/>
            <w:hideMark/>
          </w:tcPr>
          <w:p w14:paraId="04BD321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645</w:t>
            </w:r>
          </w:p>
        </w:tc>
        <w:tc>
          <w:tcPr>
            <w:tcW w:w="850" w:type="dxa"/>
            <w:noWrap/>
            <w:hideMark/>
          </w:tcPr>
          <w:p w14:paraId="69380D5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266408F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6B9919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12,708</w:t>
            </w:r>
          </w:p>
        </w:tc>
      </w:tr>
      <w:tr w:rsidR="00BF10A3" w:rsidRPr="00F94DD8" w14:paraId="52F5A493" w14:textId="77777777" w:rsidTr="001F7400">
        <w:trPr>
          <w:trHeight w:val="315"/>
        </w:trPr>
        <w:tc>
          <w:tcPr>
            <w:tcW w:w="685" w:type="dxa"/>
            <w:noWrap/>
            <w:hideMark/>
          </w:tcPr>
          <w:p w14:paraId="1FAACAC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w:t>
            </w:r>
          </w:p>
        </w:tc>
        <w:tc>
          <w:tcPr>
            <w:tcW w:w="2303" w:type="dxa"/>
            <w:noWrap/>
            <w:hideMark/>
          </w:tcPr>
          <w:p w14:paraId="76323F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Engineering</w:t>
            </w:r>
          </w:p>
        </w:tc>
        <w:tc>
          <w:tcPr>
            <w:tcW w:w="849" w:type="dxa"/>
            <w:noWrap/>
            <w:hideMark/>
          </w:tcPr>
          <w:p w14:paraId="00BE2AA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980</w:t>
            </w:r>
          </w:p>
        </w:tc>
        <w:tc>
          <w:tcPr>
            <w:tcW w:w="849" w:type="dxa"/>
            <w:noWrap/>
            <w:hideMark/>
          </w:tcPr>
          <w:p w14:paraId="1A77BF6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385</w:t>
            </w:r>
          </w:p>
        </w:tc>
        <w:tc>
          <w:tcPr>
            <w:tcW w:w="850" w:type="dxa"/>
            <w:gridSpan w:val="2"/>
            <w:noWrap/>
            <w:hideMark/>
          </w:tcPr>
          <w:p w14:paraId="7EF6D81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w:t>
            </w:r>
          </w:p>
        </w:tc>
        <w:tc>
          <w:tcPr>
            <w:tcW w:w="849" w:type="dxa"/>
            <w:noWrap/>
            <w:hideMark/>
          </w:tcPr>
          <w:p w14:paraId="5ECCD17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289</w:t>
            </w:r>
          </w:p>
        </w:tc>
        <w:tc>
          <w:tcPr>
            <w:tcW w:w="850" w:type="dxa"/>
            <w:gridSpan w:val="2"/>
            <w:noWrap/>
            <w:hideMark/>
          </w:tcPr>
          <w:p w14:paraId="728DBCD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46</w:t>
            </w:r>
          </w:p>
        </w:tc>
        <w:tc>
          <w:tcPr>
            <w:tcW w:w="973" w:type="dxa"/>
            <w:noWrap/>
            <w:hideMark/>
          </w:tcPr>
          <w:p w14:paraId="42927DC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149</w:t>
            </w:r>
          </w:p>
        </w:tc>
        <w:tc>
          <w:tcPr>
            <w:tcW w:w="725" w:type="dxa"/>
            <w:noWrap/>
            <w:hideMark/>
          </w:tcPr>
          <w:p w14:paraId="08F087A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5,241</w:t>
            </w:r>
          </w:p>
        </w:tc>
        <w:tc>
          <w:tcPr>
            <w:tcW w:w="850" w:type="dxa"/>
            <w:noWrap/>
            <w:hideMark/>
          </w:tcPr>
          <w:p w14:paraId="0E8FC56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49" w:type="dxa"/>
            <w:noWrap/>
            <w:hideMark/>
          </w:tcPr>
          <w:p w14:paraId="3C9547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174</w:t>
            </w:r>
          </w:p>
        </w:tc>
        <w:tc>
          <w:tcPr>
            <w:tcW w:w="850" w:type="dxa"/>
            <w:noWrap/>
            <w:hideMark/>
          </w:tcPr>
          <w:p w14:paraId="45E4EB1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7A1BB94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49FD68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7,272</w:t>
            </w:r>
          </w:p>
        </w:tc>
      </w:tr>
      <w:tr w:rsidR="00BF10A3" w:rsidRPr="00F94DD8" w14:paraId="4E179510" w14:textId="77777777" w:rsidTr="001F7400">
        <w:trPr>
          <w:trHeight w:val="315"/>
        </w:trPr>
        <w:tc>
          <w:tcPr>
            <w:tcW w:w="685" w:type="dxa"/>
            <w:noWrap/>
            <w:hideMark/>
          </w:tcPr>
          <w:p w14:paraId="34B789B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2303" w:type="dxa"/>
            <w:noWrap/>
            <w:hideMark/>
          </w:tcPr>
          <w:p w14:paraId="002A59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Agricultural Business and Production</w:t>
            </w:r>
          </w:p>
        </w:tc>
        <w:tc>
          <w:tcPr>
            <w:tcW w:w="849" w:type="dxa"/>
            <w:noWrap/>
            <w:hideMark/>
          </w:tcPr>
          <w:p w14:paraId="73C74CB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6,562</w:t>
            </w:r>
          </w:p>
        </w:tc>
        <w:tc>
          <w:tcPr>
            <w:tcW w:w="849" w:type="dxa"/>
            <w:noWrap/>
            <w:hideMark/>
          </w:tcPr>
          <w:p w14:paraId="3FD67D2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w:t>
            </w:r>
          </w:p>
        </w:tc>
        <w:tc>
          <w:tcPr>
            <w:tcW w:w="850" w:type="dxa"/>
            <w:gridSpan w:val="2"/>
            <w:noWrap/>
            <w:hideMark/>
          </w:tcPr>
          <w:p w14:paraId="228CB25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116</w:t>
            </w:r>
          </w:p>
        </w:tc>
        <w:tc>
          <w:tcPr>
            <w:tcW w:w="849" w:type="dxa"/>
            <w:noWrap/>
            <w:hideMark/>
          </w:tcPr>
          <w:p w14:paraId="0AA3682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39DFC69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236</w:t>
            </w:r>
          </w:p>
        </w:tc>
        <w:tc>
          <w:tcPr>
            <w:tcW w:w="973" w:type="dxa"/>
            <w:noWrap/>
            <w:hideMark/>
          </w:tcPr>
          <w:p w14:paraId="58D22C3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725" w:type="dxa"/>
            <w:noWrap/>
            <w:hideMark/>
          </w:tcPr>
          <w:p w14:paraId="11F78EB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42</w:t>
            </w:r>
          </w:p>
        </w:tc>
        <w:tc>
          <w:tcPr>
            <w:tcW w:w="850" w:type="dxa"/>
            <w:noWrap/>
            <w:hideMark/>
          </w:tcPr>
          <w:p w14:paraId="612A5C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139837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6747B3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3DA8B04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0B8024F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6,970</w:t>
            </w:r>
          </w:p>
        </w:tc>
      </w:tr>
      <w:tr w:rsidR="00BF10A3" w:rsidRPr="00F94DD8" w14:paraId="1FFE0B4D" w14:textId="77777777" w:rsidTr="001F7400">
        <w:trPr>
          <w:trHeight w:val="315"/>
        </w:trPr>
        <w:tc>
          <w:tcPr>
            <w:tcW w:w="685" w:type="dxa"/>
            <w:noWrap/>
            <w:hideMark/>
          </w:tcPr>
          <w:p w14:paraId="79BE658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54</w:t>
            </w:r>
          </w:p>
        </w:tc>
        <w:tc>
          <w:tcPr>
            <w:tcW w:w="2303" w:type="dxa"/>
            <w:noWrap/>
            <w:hideMark/>
          </w:tcPr>
          <w:p w14:paraId="18498FF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History</w:t>
            </w:r>
          </w:p>
        </w:tc>
        <w:tc>
          <w:tcPr>
            <w:tcW w:w="849" w:type="dxa"/>
            <w:noWrap/>
            <w:hideMark/>
          </w:tcPr>
          <w:p w14:paraId="59239DF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w:t>
            </w:r>
          </w:p>
        </w:tc>
        <w:tc>
          <w:tcPr>
            <w:tcW w:w="849" w:type="dxa"/>
            <w:noWrap/>
            <w:hideMark/>
          </w:tcPr>
          <w:p w14:paraId="466FD3E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w:t>
            </w:r>
          </w:p>
        </w:tc>
        <w:tc>
          <w:tcPr>
            <w:tcW w:w="850" w:type="dxa"/>
            <w:gridSpan w:val="2"/>
            <w:noWrap/>
            <w:hideMark/>
          </w:tcPr>
          <w:p w14:paraId="4B2180E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5F5B60B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850" w:type="dxa"/>
            <w:gridSpan w:val="2"/>
            <w:noWrap/>
            <w:hideMark/>
          </w:tcPr>
          <w:p w14:paraId="4F9AC9F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0042CF0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140</w:t>
            </w:r>
          </w:p>
        </w:tc>
        <w:tc>
          <w:tcPr>
            <w:tcW w:w="725" w:type="dxa"/>
            <w:noWrap/>
            <w:hideMark/>
          </w:tcPr>
          <w:p w14:paraId="1E0C8E7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2,473</w:t>
            </w:r>
          </w:p>
        </w:tc>
        <w:tc>
          <w:tcPr>
            <w:tcW w:w="850" w:type="dxa"/>
            <w:noWrap/>
            <w:hideMark/>
          </w:tcPr>
          <w:p w14:paraId="62C2460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44</w:t>
            </w:r>
          </w:p>
        </w:tc>
        <w:tc>
          <w:tcPr>
            <w:tcW w:w="849" w:type="dxa"/>
            <w:noWrap/>
            <w:hideMark/>
          </w:tcPr>
          <w:p w14:paraId="520601E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1,629</w:t>
            </w:r>
          </w:p>
        </w:tc>
        <w:tc>
          <w:tcPr>
            <w:tcW w:w="850" w:type="dxa"/>
            <w:noWrap/>
            <w:hideMark/>
          </w:tcPr>
          <w:p w14:paraId="4B8459C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2F74229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560072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4,325</w:t>
            </w:r>
          </w:p>
        </w:tc>
      </w:tr>
      <w:tr w:rsidR="00BF10A3" w:rsidRPr="00F94DD8" w14:paraId="43EA7003" w14:textId="77777777" w:rsidTr="001F7400">
        <w:trPr>
          <w:trHeight w:val="315"/>
        </w:trPr>
        <w:tc>
          <w:tcPr>
            <w:tcW w:w="685" w:type="dxa"/>
            <w:noWrap/>
            <w:hideMark/>
          </w:tcPr>
          <w:p w14:paraId="7004570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2303" w:type="dxa"/>
            <w:noWrap/>
            <w:hideMark/>
          </w:tcPr>
          <w:p w14:paraId="718C4B8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Architecture and Related Programs</w:t>
            </w:r>
          </w:p>
        </w:tc>
        <w:tc>
          <w:tcPr>
            <w:tcW w:w="849" w:type="dxa"/>
            <w:noWrap/>
            <w:hideMark/>
          </w:tcPr>
          <w:p w14:paraId="2E3AC16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2,718</w:t>
            </w:r>
          </w:p>
        </w:tc>
        <w:tc>
          <w:tcPr>
            <w:tcW w:w="849" w:type="dxa"/>
            <w:noWrap/>
            <w:hideMark/>
          </w:tcPr>
          <w:p w14:paraId="1F1B59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114</w:t>
            </w:r>
          </w:p>
        </w:tc>
        <w:tc>
          <w:tcPr>
            <w:tcW w:w="850" w:type="dxa"/>
            <w:gridSpan w:val="2"/>
            <w:noWrap/>
            <w:hideMark/>
          </w:tcPr>
          <w:p w14:paraId="774FDF5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49" w:type="dxa"/>
            <w:noWrap/>
            <w:hideMark/>
          </w:tcPr>
          <w:p w14:paraId="4E37E15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89</w:t>
            </w:r>
          </w:p>
        </w:tc>
        <w:tc>
          <w:tcPr>
            <w:tcW w:w="850" w:type="dxa"/>
            <w:gridSpan w:val="2"/>
            <w:noWrap/>
            <w:hideMark/>
          </w:tcPr>
          <w:p w14:paraId="50CCFDF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973" w:type="dxa"/>
            <w:noWrap/>
            <w:hideMark/>
          </w:tcPr>
          <w:p w14:paraId="633765A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5F44E7E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114</w:t>
            </w:r>
          </w:p>
        </w:tc>
        <w:tc>
          <w:tcPr>
            <w:tcW w:w="850" w:type="dxa"/>
            <w:noWrap/>
            <w:hideMark/>
          </w:tcPr>
          <w:p w14:paraId="71826AE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34B164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97</w:t>
            </w:r>
          </w:p>
        </w:tc>
        <w:tc>
          <w:tcPr>
            <w:tcW w:w="850" w:type="dxa"/>
            <w:noWrap/>
            <w:hideMark/>
          </w:tcPr>
          <w:p w14:paraId="62A261D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A90F40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532</w:t>
            </w:r>
          </w:p>
        </w:tc>
        <w:tc>
          <w:tcPr>
            <w:tcW w:w="923" w:type="dxa"/>
            <w:noWrap/>
            <w:hideMark/>
          </w:tcPr>
          <w:p w14:paraId="75EDEEA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3,667</w:t>
            </w:r>
          </w:p>
        </w:tc>
      </w:tr>
      <w:tr w:rsidR="00BF10A3" w:rsidRPr="00F94DD8" w14:paraId="4715CBE7" w14:textId="77777777" w:rsidTr="001F7400">
        <w:trPr>
          <w:trHeight w:val="315"/>
        </w:trPr>
        <w:tc>
          <w:tcPr>
            <w:tcW w:w="685" w:type="dxa"/>
            <w:noWrap/>
            <w:hideMark/>
          </w:tcPr>
          <w:p w14:paraId="13D8050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w:t>
            </w:r>
          </w:p>
        </w:tc>
        <w:tc>
          <w:tcPr>
            <w:tcW w:w="2303" w:type="dxa"/>
            <w:noWrap/>
            <w:hideMark/>
          </w:tcPr>
          <w:p w14:paraId="61457A2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Conservation and Renewable Natural Resources</w:t>
            </w:r>
          </w:p>
        </w:tc>
        <w:tc>
          <w:tcPr>
            <w:tcW w:w="849" w:type="dxa"/>
            <w:noWrap/>
            <w:hideMark/>
          </w:tcPr>
          <w:p w14:paraId="416C85E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1,253</w:t>
            </w:r>
          </w:p>
        </w:tc>
        <w:tc>
          <w:tcPr>
            <w:tcW w:w="849" w:type="dxa"/>
            <w:noWrap/>
            <w:hideMark/>
          </w:tcPr>
          <w:p w14:paraId="7B5AF22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850" w:type="dxa"/>
            <w:gridSpan w:val="2"/>
            <w:noWrap/>
            <w:hideMark/>
          </w:tcPr>
          <w:p w14:paraId="6B086AD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849" w:type="dxa"/>
            <w:noWrap/>
            <w:hideMark/>
          </w:tcPr>
          <w:p w14:paraId="3CF81F5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52</w:t>
            </w:r>
          </w:p>
        </w:tc>
        <w:tc>
          <w:tcPr>
            <w:tcW w:w="850" w:type="dxa"/>
            <w:gridSpan w:val="2"/>
            <w:noWrap/>
            <w:hideMark/>
          </w:tcPr>
          <w:p w14:paraId="15D60C1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w:t>
            </w:r>
          </w:p>
        </w:tc>
        <w:tc>
          <w:tcPr>
            <w:tcW w:w="973" w:type="dxa"/>
            <w:noWrap/>
            <w:hideMark/>
          </w:tcPr>
          <w:p w14:paraId="4F9B9C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1FCB525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2,075</w:t>
            </w:r>
          </w:p>
        </w:tc>
        <w:tc>
          <w:tcPr>
            <w:tcW w:w="850" w:type="dxa"/>
            <w:noWrap/>
            <w:hideMark/>
          </w:tcPr>
          <w:p w14:paraId="56238FC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w:t>
            </w:r>
          </w:p>
        </w:tc>
        <w:tc>
          <w:tcPr>
            <w:tcW w:w="849" w:type="dxa"/>
            <w:noWrap/>
            <w:hideMark/>
          </w:tcPr>
          <w:p w14:paraId="2D50996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258</w:t>
            </w:r>
          </w:p>
        </w:tc>
        <w:tc>
          <w:tcPr>
            <w:tcW w:w="850" w:type="dxa"/>
            <w:noWrap/>
            <w:hideMark/>
          </w:tcPr>
          <w:p w14:paraId="08197D1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54E0236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5BA4C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3,661</w:t>
            </w:r>
          </w:p>
        </w:tc>
      </w:tr>
      <w:tr w:rsidR="00BF10A3" w:rsidRPr="00F94DD8" w14:paraId="4FFA8AC9" w14:textId="77777777" w:rsidTr="001F7400">
        <w:trPr>
          <w:trHeight w:val="315"/>
        </w:trPr>
        <w:tc>
          <w:tcPr>
            <w:tcW w:w="685" w:type="dxa"/>
            <w:noWrap/>
            <w:hideMark/>
          </w:tcPr>
          <w:p w14:paraId="2A3C2AF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w:t>
            </w:r>
          </w:p>
        </w:tc>
        <w:tc>
          <w:tcPr>
            <w:tcW w:w="2303" w:type="dxa"/>
            <w:noWrap/>
            <w:hideMark/>
          </w:tcPr>
          <w:p w14:paraId="614A367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Foreign Languages and Literature</w:t>
            </w:r>
          </w:p>
        </w:tc>
        <w:tc>
          <w:tcPr>
            <w:tcW w:w="849" w:type="dxa"/>
            <w:noWrap/>
            <w:hideMark/>
          </w:tcPr>
          <w:p w14:paraId="7717D45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2,574</w:t>
            </w:r>
          </w:p>
        </w:tc>
        <w:tc>
          <w:tcPr>
            <w:tcW w:w="849" w:type="dxa"/>
            <w:noWrap/>
            <w:hideMark/>
          </w:tcPr>
          <w:p w14:paraId="683AAD8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48</w:t>
            </w:r>
          </w:p>
        </w:tc>
        <w:tc>
          <w:tcPr>
            <w:tcW w:w="850" w:type="dxa"/>
            <w:gridSpan w:val="2"/>
            <w:noWrap/>
            <w:hideMark/>
          </w:tcPr>
          <w:p w14:paraId="2E20FC3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849" w:type="dxa"/>
            <w:noWrap/>
            <w:hideMark/>
          </w:tcPr>
          <w:p w14:paraId="4278F62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47</w:t>
            </w:r>
          </w:p>
        </w:tc>
        <w:tc>
          <w:tcPr>
            <w:tcW w:w="850" w:type="dxa"/>
            <w:gridSpan w:val="2"/>
            <w:noWrap/>
            <w:hideMark/>
          </w:tcPr>
          <w:p w14:paraId="358892D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w:t>
            </w:r>
          </w:p>
        </w:tc>
        <w:tc>
          <w:tcPr>
            <w:tcW w:w="973" w:type="dxa"/>
            <w:noWrap/>
            <w:hideMark/>
          </w:tcPr>
          <w:p w14:paraId="5375CC9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6936CD8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w:t>
            </w:r>
          </w:p>
        </w:tc>
        <w:tc>
          <w:tcPr>
            <w:tcW w:w="850" w:type="dxa"/>
            <w:noWrap/>
            <w:hideMark/>
          </w:tcPr>
          <w:p w14:paraId="76781DA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7917109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4E491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4FB1A61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D3CC91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2,730</w:t>
            </w:r>
          </w:p>
        </w:tc>
      </w:tr>
      <w:tr w:rsidR="00BF10A3" w:rsidRPr="00F94DD8" w14:paraId="5D8A1FAF" w14:textId="77777777" w:rsidTr="001F7400">
        <w:trPr>
          <w:trHeight w:val="315"/>
        </w:trPr>
        <w:tc>
          <w:tcPr>
            <w:tcW w:w="685" w:type="dxa"/>
            <w:noWrap/>
            <w:hideMark/>
          </w:tcPr>
          <w:p w14:paraId="59AB135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38</w:t>
            </w:r>
          </w:p>
        </w:tc>
        <w:tc>
          <w:tcPr>
            <w:tcW w:w="2303" w:type="dxa"/>
            <w:noWrap/>
            <w:hideMark/>
          </w:tcPr>
          <w:p w14:paraId="1312C8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Philosophy and Religious Studies</w:t>
            </w:r>
          </w:p>
        </w:tc>
        <w:tc>
          <w:tcPr>
            <w:tcW w:w="849" w:type="dxa"/>
            <w:noWrap/>
            <w:hideMark/>
          </w:tcPr>
          <w:p w14:paraId="52A3B28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6D054D9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w:t>
            </w:r>
          </w:p>
        </w:tc>
        <w:tc>
          <w:tcPr>
            <w:tcW w:w="850" w:type="dxa"/>
            <w:gridSpan w:val="2"/>
            <w:noWrap/>
            <w:hideMark/>
          </w:tcPr>
          <w:p w14:paraId="7F7F9F6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64</w:t>
            </w:r>
          </w:p>
        </w:tc>
        <w:tc>
          <w:tcPr>
            <w:tcW w:w="849" w:type="dxa"/>
            <w:noWrap/>
            <w:hideMark/>
          </w:tcPr>
          <w:p w14:paraId="5E13401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850" w:type="dxa"/>
            <w:gridSpan w:val="2"/>
            <w:noWrap/>
            <w:hideMark/>
          </w:tcPr>
          <w:p w14:paraId="238F383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486D02E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19153F1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2,146</w:t>
            </w:r>
          </w:p>
        </w:tc>
        <w:tc>
          <w:tcPr>
            <w:tcW w:w="850" w:type="dxa"/>
            <w:noWrap/>
            <w:hideMark/>
          </w:tcPr>
          <w:p w14:paraId="5F225A2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3E878B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411</w:t>
            </w:r>
          </w:p>
        </w:tc>
        <w:tc>
          <w:tcPr>
            <w:tcW w:w="850" w:type="dxa"/>
            <w:noWrap/>
            <w:hideMark/>
          </w:tcPr>
          <w:p w14:paraId="486C88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776" w:type="dxa"/>
            <w:noWrap/>
            <w:hideMark/>
          </w:tcPr>
          <w:p w14:paraId="06BCBBC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17C02F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2,634</w:t>
            </w:r>
          </w:p>
        </w:tc>
      </w:tr>
      <w:tr w:rsidR="00BF10A3" w:rsidRPr="00F94DD8" w14:paraId="5AAEE690" w14:textId="77777777" w:rsidTr="001F7400">
        <w:trPr>
          <w:trHeight w:val="315"/>
        </w:trPr>
        <w:tc>
          <w:tcPr>
            <w:tcW w:w="685" w:type="dxa"/>
            <w:noWrap/>
            <w:hideMark/>
          </w:tcPr>
          <w:p w14:paraId="16EE5CA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41</w:t>
            </w:r>
          </w:p>
        </w:tc>
        <w:tc>
          <w:tcPr>
            <w:tcW w:w="2303" w:type="dxa"/>
            <w:noWrap/>
            <w:hideMark/>
          </w:tcPr>
          <w:p w14:paraId="5164877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Science Technologies</w:t>
            </w:r>
          </w:p>
        </w:tc>
        <w:tc>
          <w:tcPr>
            <w:tcW w:w="849" w:type="dxa"/>
            <w:noWrap/>
            <w:hideMark/>
          </w:tcPr>
          <w:p w14:paraId="18ACFD0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1,602</w:t>
            </w:r>
          </w:p>
        </w:tc>
        <w:tc>
          <w:tcPr>
            <w:tcW w:w="849" w:type="dxa"/>
            <w:noWrap/>
            <w:hideMark/>
          </w:tcPr>
          <w:p w14:paraId="3F73BC8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w:t>
            </w:r>
          </w:p>
        </w:tc>
        <w:tc>
          <w:tcPr>
            <w:tcW w:w="850" w:type="dxa"/>
            <w:gridSpan w:val="2"/>
            <w:noWrap/>
            <w:hideMark/>
          </w:tcPr>
          <w:p w14:paraId="561354D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EAB7E5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541BE56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169</w:t>
            </w:r>
          </w:p>
        </w:tc>
        <w:tc>
          <w:tcPr>
            <w:tcW w:w="973" w:type="dxa"/>
            <w:noWrap/>
            <w:hideMark/>
          </w:tcPr>
          <w:p w14:paraId="4D3D0AB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422</w:t>
            </w:r>
          </w:p>
        </w:tc>
        <w:tc>
          <w:tcPr>
            <w:tcW w:w="725" w:type="dxa"/>
            <w:noWrap/>
            <w:hideMark/>
          </w:tcPr>
          <w:p w14:paraId="39D10E4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241EC1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B0135D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87AAC0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65257F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AA1C2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2,196</w:t>
            </w:r>
          </w:p>
        </w:tc>
      </w:tr>
      <w:tr w:rsidR="00BF10A3" w:rsidRPr="00F94DD8" w14:paraId="14E70B29" w14:textId="77777777" w:rsidTr="001F7400">
        <w:trPr>
          <w:trHeight w:val="315"/>
        </w:trPr>
        <w:tc>
          <w:tcPr>
            <w:tcW w:w="685" w:type="dxa"/>
            <w:noWrap/>
            <w:hideMark/>
          </w:tcPr>
          <w:p w14:paraId="02D0022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26</w:t>
            </w:r>
          </w:p>
        </w:tc>
        <w:tc>
          <w:tcPr>
            <w:tcW w:w="2303" w:type="dxa"/>
            <w:noWrap/>
            <w:hideMark/>
          </w:tcPr>
          <w:p w14:paraId="00EF2B7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Biological and Biomedical Sciences</w:t>
            </w:r>
          </w:p>
        </w:tc>
        <w:tc>
          <w:tcPr>
            <w:tcW w:w="849" w:type="dxa"/>
            <w:noWrap/>
            <w:hideMark/>
          </w:tcPr>
          <w:p w14:paraId="726469B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482</w:t>
            </w:r>
          </w:p>
        </w:tc>
        <w:tc>
          <w:tcPr>
            <w:tcW w:w="849" w:type="dxa"/>
            <w:noWrap/>
            <w:hideMark/>
          </w:tcPr>
          <w:p w14:paraId="1139C7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282</w:t>
            </w:r>
          </w:p>
        </w:tc>
        <w:tc>
          <w:tcPr>
            <w:tcW w:w="850" w:type="dxa"/>
            <w:gridSpan w:val="2"/>
            <w:noWrap/>
            <w:hideMark/>
          </w:tcPr>
          <w:p w14:paraId="70AA67E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49" w:type="dxa"/>
            <w:noWrap/>
            <w:hideMark/>
          </w:tcPr>
          <w:p w14:paraId="5460314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45</w:t>
            </w:r>
          </w:p>
        </w:tc>
        <w:tc>
          <w:tcPr>
            <w:tcW w:w="850" w:type="dxa"/>
            <w:gridSpan w:val="2"/>
            <w:noWrap/>
            <w:hideMark/>
          </w:tcPr>
          <w:p w14:paraId="094E508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71</w:t>
            </w:r>
          </w:p>
        </w:tc>
        <w:tc>
          <w:tcPr>
            <w:tcW w:w="973" w:type="dxa"/>
            <w:noWrap/>
            <w:hideMark/>
          </w:tcPr>
          <w:p w14:paraId="1C73EA3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107</w:t>
            </w:r>
          </w:p>
        </w:tc>
        <w:tc>
          <w:tcPr>
            <w:tcW w:w="725" w:type="dxa"/>
            <w:noWrap/>
            <w:hideMark/>
          </w:tcPr>
          <w:p w14:paraId="25ED090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719</w:t>
            </w:r>
          </w:p>
        </w:tc>
        <w:tc>
          <w:tcPr>
            <w:tcW w:w="850" w:type="dxa"/>
            <w:noWrap/>
            <w:hideMark/>
          </w:tcPr>
          <w:p w14:paraId="11807BE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091F354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D4A9F4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2CD6E7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E14896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1,707</w:t>
            </w:r>
          </w:p>
        </w:tc>
      </w:tr>
      <w:tr w:rsidR="00BF10A3" w:rsidRPr="00F94DD8" w14:paraId="544714DE" w14:textId="77777777" w:rsidTr="001F7400">
        <w:trPr>
          <w:trHeight w:val="315"/>
        </w:trPr>
        <w:tc>
          <w:tcPr>
            <w:tcW w:w="685" w:type="dxa"/>
            <w:noWrap/>
            <w:hideMark/>
          </w:tcPr>
          <w:p w14:paraId="7EA3E1D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w:t>
            </w:r>
          </w:p>
        </w:tc>
        <w:tc>
          <w:tcPr>
            <w:tcW w:w="2303" w:type="dxa"/>
            <w:noWrap/>
            <w:hideMark/>
          </w:tcPr>
          <w:p w14:paraId="701C971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Theological Studies and Religious Vocations</w:t>
            </w:r>
          </w:p>
        </w:tc>
        <w:tc>
          <w:tcPr>
            <w:tcW w:w="849" w:type="dxa"/>
            <w:noWrap/>
            <w:hideMark/>
          </w:tcPr>
          <w:p w14:paraId="13DCB22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49" w:type="dxa"/>
            <w:noWrap/>
            <w:hideMark/>
          </w:tcPr>
          <w:p w14:paraId="14AB84E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131703C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780</w:t>
            </w:r>
          </w:p>
        </w:tc>
        <w:tc>
          <w:tcPr>
            <w:tcW w:w="849" w:type="dxa"/>
            <w:noWrap/>
            <w:hideMark/>
          </w:tcPr>
          <w:p w14:paraId="74F91CB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361</w:t>
            </w:r>
          </w:p>
        </w:tc>
        <w:tc>
          <w:tcPr>
            <w:tcW w:w="850" w:type="dxa"/>
            <w:gridSpan w:val="2"/>
            <w:noWrap/>
            <w:hideMark/>
          </w:tcPr>
          <w:p w14:paraId="13D0A65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468A91C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54</w:t>
            </w:r>
          </w:p>
        </w:tc>
        <w:tc>
          <w:tcPr>
            <w:tcW w:w="725" w:type="dxa"/>
            <w:noWrap/>
            <w:hideMark/>
          </w:tcPr>
          <w:p w14:paraId="4D084DC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341</w:t>
            </w:r>
          </w:p>
        </w:tc>
        <w:tc>
          <w:tcPr>
            <w:tcW w:w="850" w:type="dxa"/>
            <w:noWrap/>
            <w:hideMark/>
          </w:tcPr>
          <w:p w14:paraId="529C78C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57D227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73</w:t>
            </w:r>
          </w:p>
        </w:tc>
        <w:tc>
          <w:tcPr>
            <w:tcW w:w="850" w:type="dxa"/>
            <w:noWrap/>
            <w:hideMark/>
          </w:tcPr>
          <w:p w14:paraId="34456F4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w:t>
            </w:r>
          </w:p>
        </w:tc>
        <w:tc>
          <w:tcPr>
            <w:tcW w:w="776" w:type="dxa"/>
            <w:noWrap/>
            <w:hideMark/>
          </w:tcPr>
          <w:p w14:paraId="66CB8D3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29F5C30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1,613</w:t>
            </w:r>
          </w:p>
        </w:tc>
      </w:tr>
      <w:tr w:rsidR="00BF10A3" w:rsidRPr="00F94DD8" w14:paraId="34E7B6B0" w14:textId="77777777" w:rsidTr="001F7400">
        <w:trPr>
          <w:trHeight w:val="315"/>
        </w:trPr>
        <w:tc>
          <w:tcPr>
            <w:tcW w:w="685" w:type="dxa"/>
            <w:noWrap/>
            <w:hideMark/>
          </w:tcPr>
          <w:p w14:paraId="45F86D2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34</w:t>
            </w:r>
          </w:p>
        </w:tc>
        <w:tc>
          <w:tcPr>
            <w:tcW w:w="2303" w:type="dxa"/>
            <w:noWrap/>
            <w:hideMark/>
          </w:tcPr>
          <w:p w14:paraId="667F54B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Health-related Knowledge and Skills</w:t>
            </w:r>
          </w:p>
        </w:tc>
        <w:tc>
          <w:tcPr>
            <w:tcW w:w="849" w:type="dxa"/>
            <w:noWrap/>
            <w:hideMark/>
          </w:tcPr>
          <w:p w14:paraId="3DE1E67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103</w:t>
            </w:r>
          </w:p>
        </w:tc>
        <w:tc>
          <w:tcPr>
            <w:tcW w:w="849" w:type="dxa"/>
            <w:noWrap/>
            <w:hideMark/>
          </w:tcPr>
          <w:p w14:paraId="1E544CD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314782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w:t>
            </w:r>
          </w:p>
        </w:tc>
        <w:tc>
          <w:tcPr>
            <w:tcW w:w="849" w:type="dxa"/>
            <w:noWrap/>
            <w:hideMark/>
          </w:tcPr>
          <w:p w14:paraId="63520B7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gridSpan w:val="2"/>
            <w:noWrap/>
            <w:hideMark/>
          </w:tcPr>
          <w:p w14:paraId="5D8DCC6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1,320</w:t>
            </w:r>
          </w:p>
        </w:tc>
        <w:tc>
          <w:tcPr>
            <w:tcW w:w="973" w:type="dxa"/>
            <w:noWrap/>
            <w:hideMark/>
          </w:tcPr>
          <w:p w14:paraId="23E6BFB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6656A45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24EB0F3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68B3B5F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5159217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6365D6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54ED767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1,451</w:t>
            </w:r>
          </w:p>
        </w:tc>
      </w:tr>
      <w:tr w:rsidR="00BF10A3" w:rsidRPr="00F94DD8" w14:paraId="0CAE9460" w14:textId="77777777" w:rsidTr="001F7400">
        <w:trPr>
          <w:trHeight w:val="315"/>
        </w:trPr>
        <w:tc>
          <w:tcPr>
            <w:tcW w:w="685" w:type="dxa"/>
            <w:noWrap/>
            <w:hideMark/>
          </w:tcPr>
          <w:p w14:paraId="38583B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21</w:t>
            </w:r>
          </w:p>
        </w:tc>
        <w:tc>
          <w:tcPr>
            <w:tcW w:w="2303" w:type="dxa"/>
            <w:noWrap/>
            <w:hideMark/>
          </w:tcPr>
          <w:p w14:paraId="2BF08FB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Technology/Education Industrial Arts</w:t>
            </w:r>
          </w:p>
        </w:tc>
        <w:tc>
          <w:tcPr>
            <w:tcW w:w="849" w:type="dxa"/>
            <w:noWrap/>
            <w:hideMark/>
          </w:tcPr>
          <w:p w14:paraId="46C6725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461D4E0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850" w:type="dxa"/>
            <w:gridSpan w:val="2"/>
            <w:noWrap/>
            <w:hideMark/>
          </w:tcPr>
          <w:p w14:paraId="6D47DF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7944D48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850" w:type="dxa"/>
            <w:gridSpan w:val="2"/>
            <w:noWrap/>
            <w:hideMark/>
          </w:tcPr>
          <w:p w14:paraId="6099508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74B301A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761</w:t>
            </w:r>
          </w:p>
        </w:tc>
        <w:tc>
          <w:tcPr>
            <w:tcW w:w="725" w:type="dxa"/>
            <w:noWrap/>
            <w:hideMark/>
          </w:tcPr>
          <w:p w14:paraId="1253C08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305</w:t>
            </w:r>
          </w:p>
        </w:tc>
        <w:tc>
          <w:tcPr>
            <w:tcW w:w="850" w:type="dxa"/>
            <w:noWrap/>
            <w:hideMark/>
          </w:tcPr>
          <w:p w14:paraId="320EF3B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02A844B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C60F1C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7E283C3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689A90B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1,072</w:t>
            </w:r>
          </w:p>
        </w:tc>
      </w:tr>
      <w:tr w:rsidR="00BF10A3" w:rsidRPr="00F94DD8" w14:paraId="5E6EF45B" w14:textId="77777777" w:rsidTr="001F7400">
        <w:trPr>
          <w:trHeight w:val="315"/>
        </w:trPr>
        <w:tc>
          <w:tcPr>
            <w:tcW w:w="685" w:type="dxa"/>
            <w:noWrap/>
            <w:hideMark/>
          </w:tcPr>
          <w:p w14:paraId="207EDCD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25</w:t>
            </w:r>
          </w:p>
        </w:tc>
        <w:tc>
          <w:tcPr>
            <w:tcW w:w="2303" w:type="dxa"/>
            <w:noWrap/>
            <w:hideMark/>
          </w:tcPr>
          <w:p w14:paraId="3DEA5C1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Library Studies</w:t>
            </w:r>
          </w:p>
        </w:tc>
        <w:tc>
          <w:tcPr>
            <w:tcW w:w="849" w:type="dxa"/>
            <w:noWrap/>
            <w:hideMark/>
          </w:tcPr>
          <w:p w14:paraId="62DC15E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575</w:t>
            </w:r>
          </w:p>
        </w:tc>
        <w:tc>
          <w:tcPr>
            <w:tcW w:w="849" w:type="dxa"/>
            <w:noWrap/>
            <w:hideMark/>
          </w:tcPr>
          <w:p w14:paraId="304226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130</w:t>
            </w:r>
          </w:p>
        </w:tc>
        <w:tc>
          <w:tcPr>
            <w:tcW w:w="850" w:type="dxa"/>
            <w:gridSpan w:val="2"/>
            <w:noWrap/>
            <w:hideMark/>
          </w:tcPr>
          <w:p w14:paraId="74BA8B5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380D23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177</w:t>
            </w:r>
          </w:p>
        </w:tc>
        <w:tc>
          <w:tcPr>
            <w:tcW w:w="850" w:type="dxa"/>
            <w:gridSpan w:val="2"/>
            <w:noWrap/>
            <w:hideMark/>
          </w:tcPr>
          <w:p w14:paraId="700E403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6DC2071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4798103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noWrap/>
            <w:hideMark/>
          </w:tcPr>
          <w:p w14:paraId="2FB40E9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9A0783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0C2FD8A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229650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B96ACC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883</w:t>
            </w:r>
          </w:p>
        </w:tc>
      </w:tr>
      <w:tr w:rsidR="00BF10A3" w:rsidRPr="00F94DD8" w14:paraId="5EBD786D" w14:textId="77777777" w:rsidTr="001F7400">
        <w:trPr>
          <w:trHeight w:val="315"/>
        </w:trPr>
        <w:tc>
          <w:tcPr>
            <w:tcW w:w="685" w:type="dxa"/>
            <w:noWrap/>
            <w:hideMark/>
          </w:tcPr>
          <w:p w14:paraId="61A12B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w:t>
            </w:r>
          </w:p>
        </w:tc>
        <w:tc>
          <w:tcPr>
            <w:tcW w:w="2303" w:type="dxa"/>
            <w:noWrap/>
            <w:hideMark/>
          </w:tcPr>
          <w:p w14:paraId="7F0A571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Basic Skills</w:t>
            </w:r>
          </w:p>
        </w:tc>
        <w:tc>
          <w:tcPr>
            <w:tcW w:w="849" w:type="dxa"/>
            <w:noWrap/>
            <w:hideMark/>
          </w:tcPr>
          <w:p w14:paraId="4ABD182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176</w:t>
            </w:r>
          </w:p>
        </w:tc>
        <w:tc>
          <w:tcPr>
            <w:tcW w:w="849" w:type="dxa"/>
            <w:noWrap/>
            <w:hideMark/>
          </w:tcPr>
          <w:p w14:paraId="53546C8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gridSpan w:val="2"/>
            <w:noWrap/>
            <w:hideMark/>
          </w:tcPr>
          <w:p w14:paraId="68D55C0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w:t>
            </w:r>
          </w:p>
        </w:tc>
        <w:tc>
          <w:tcPr>
            <w:tcW w:w="849" w:type="dxa"/>
            <w:noWrap/>
            <w:hideMark/>
          </w:tcPr>
          <w:p w14:paraId="5C3752B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516D84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366</w:t>
            </w:r>
          </w:p>
        </w:tc>
        <w:tc>
          <w:tcPr>
            <w:tcW w:w="973" w:type="dxa"/>
            <w:noWrap/>
            <w:hideMark/>
          </w:tcPr>
          <w:p w14:paraId="718242E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2D4C73A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8FE87B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07A874F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49BA4C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420E6FD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EE47DD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553</w:t>
            </w:r>
          </w:p>
        </w:tc>
      </w:tr>
      <w:tr w:rsidR="00BF10A3" w:rsidRPr="00F94DD8" w14:paraId="65A5EED3" w14:textId="77777777" w:rsidTr="001F7400">
        <w:trPr>
          <w:trHeight w:val="315"/>
        </w:trPr>
        <w:tc>
          <w:tcPr>
            <w:tcW w:w="685" w:type="dxa"/>
            <w:noWrap/>
            <w:hideMark/>
          </w:tcPr>
          <w:p w14:paraId="25C1D21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2303" w:type="dxa"/>
            <w:noWrap/>
            <w:hideMark/>
          </w:tcPr>
          <w:p w14:paraId="17A512F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Area, Cultural, Ethnic, and Gender Studies</w:t>
            </w:r>
          </w:p>
        </w:tc>
        <w:tc>
          <w:tcPr>
            <w:tcW w:w="849" w:type="dxa"/>
            <w:noWrap/>
            <w:hideMark/>
          </w:tcPr>
          <w:p w14:paraId="32D6904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133</w:t>
            </w:r>
          </w:p>
        </w:tc>
        <w:tc>
          <w:tcPr>
            <w:tcW w:w="849" w:type="dxa"/>
            <w:noWrap/>
            <w:hideMark/>
          </w:tcPr>
          <w:p w14:paraId="6C6A1D9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140</w:t>
            </w:r>
          </w:p>
        </w:tc>
        <w:tc>
          <w:tcPr>
            <w:tcW w:w="850" w:type="dxa"/>
            <w:gridSpan w:val="2"/>
            <w:noWrap/>
            <w:hideMark/>
          </w:tcPr>
          <w:p w14:paraId="3DFDA7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w:t>
            </w:r>
          </w:p>
        </w:tc>
        <w:tc>
          <w:tcPr>
            <w:tcW w:w="849" w:type="dxa"/>
            <w:noWrap/>
            <w:hideMark/>
          </w:tcPr>
          <w:p w14:paraId="4710F4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w:t>
            </w:r>
          </w:p>
        </w:tc>
        <w:tc>
          <w:tcPr>
            <w:tcW w:w="850" w:type="dxa"/>
            <w:gridSpan w:val="2"/>
            <w:noWrap/>
            <w:hideMark/>
          </w:tcPr>
          <w:p w14:paraId="707FF7F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78596E9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19F3796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noWrap/>
            <w:hideMark/>
          </w:tcPr>
          <w:p w14:paraId="2C86593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918535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75410BD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5B70008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2D161E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305</w:t>
            </w:r>
          </w:p>
        </w:tc>
      </w:tr>
      <w:tr w:rsidR="00BF10A3" w:rsidRPr="00F94DD8" w14:paraId="03D99A70" w14:textId="77777777" w:rsidTr="001F7400">
        <w:trPr>
          <w:trHeight w:val="315"/>
        </w:trPr>
        <w:tc>
          <w:tcPr>
            <w:tcW w:w="685" w:type="dxa"/>
            <w:noWrap/>
            <w:hideMark/>
          </w:tcPr>
          <w:p w14:paraId="29C803E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w:t>
            </w:r>
          </w:p>
        </w:tc>
        <w:tc>
          <w:tcPr>
            <w:tcW w:w="2303" w:type="dxa"/>
            <w:noWrap/>
            <w:hideMark/>
          </w:tcPr>
          <w:p w14:paraId="794B447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Leisure and Recreational Activities</w:t>
            </w:r>
          </w:p>
        </w:tc>
        <w:tc>
          <w:tcPr>
            <w:tcW w:w="849" w:type="dxa"/>
            <w:noWrap/>
            <w:hideMark/>
          </w:tcPr>
          <w:p w14:paraId="578E208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171</w:t>
            </w:r>
          </w:p>
        </w:tc>
        <w:tc>
          <w:tcPr>
            <w:tcW w:w="849" w:type="dxa"/>
            <w:noWrap/>
            <w:hideMark/>
          </w:tcPr>
          <w:p w14:paraId="0282EE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gridSpan w:val="2"/>
            <w:noWrap/>
            <w:hideMark/>
          </w:tcPr>
          <w:p w14:paraId="73F630F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w:t>
            </w:r>
          </w:p>
        </w:tc>
        <w:tc>
          <w:tcPr>
            <w:tcW w:w="849" w:type="dxa"/>
            <w:noWrap/>
            <w:hideMark/>
          </w:tcPr>
          <w:p w14:paraId="46C170C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0610C5E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4C861F6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50700B2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114</w:t>
            </w:r>
          </w:p>
        </w:tc>
        <w:tc>
          <w:tcPr>
            <w:tcW w:w="850" w:type="dxa"/>
            <w:noWrap/>
            <w:hideMark/>
          </w:tcPr>
          <w:p w14:paraId="7569F69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7D25197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850" w:type="dxa"/>
            <w:noWrap/>
            <w:hideMark/>
          </w:tcPr>
          <w:p w14:paraId="134F407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6268619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59754B6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305</w:t>
            </w:r>
          </w:p>
        </w:tc>
      </w:tr>
      <w:tr w:rsidR="00BF10A3" w:rsidRPr="00F94DD8" w14:paraId="439E7B3C" w14:textId="77777777" w:rsidTr="001F7400">
        <w:trPr>
          <w:trHeight w:val="315"/>
        </w:trPr>
        <w:tc>
          <w:tcPr>
            <w:tcW w:w="685" w:type="dxa"/>
            <w:noWrap/>
            <w:hideMark/>
          </w:tcPr>
          <w:p w14:paraId="4E06782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w:t>
            </w:r>
          </w:p>
        </w:tc>
        <w:tc>
          <w:tcPr>
            <w:tcW w:w="2303" w:type="dxa"/>
            <w:noWrap/>
            <w:hideMark/>
          </w:tcPr>
          <w:p w14:paraId="693B61B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Reserve Officer Training Corps</w:t>
            </w:r>
          </w:p>
        </w:tc>
        <w:tc>
          <w:tcPr>
            <w:tcW w:w="849" w:type="dxa"/>
            <w:noWrap/>
            <w:hideMark/>
          </w:tcPr>
          <w:p w14:paraId="2621114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849" w:type="dxa"/>
            <w:noWrap/>
            <w:hideMark/>
          </w:tcPr>
          <w:p w14:paraId="5DA1DD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5B7091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79E38C7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98FBEE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11</w:t>
            </w:r>
          </w:p>
        </w:tc>
        <w:tc>
          <w:tcPr>
            <w:tcW w:w="973" w:type="dxa"/>
            <w:noWrap/>
            <w:hideMark/>
          </w:tcPr>
          <w:p w14:paraId="0A9B03A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w:t>
            </w:r>
          </w:p>
        </w:tc>
        <w:tc>
          <w:tcPr>
            <w:tcW w:w="725" w:type="dxa"/>
            <w:noWrap/>
            <w:hideMark/>
          </w:tcPr>
          <w:p w14:paraId="77E6DFF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139</w:t>
            </w:r>
          </w:p>
        </w:tc>
        <w:tc>
          <w:tcPr>
            <w:tcW w:w="850" w:type="dxa"/>
            <w:noWrap/>
            <w:hideMark/>
          </w:tcPr>
          <w:p w14:paraId="6F2A4A6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10</w:t>
            </w:r>
          </w:p>
        </w:tc>
        <w:tc>
          <w:tcPr>
            <w:tcW w:w="849" w:type="dxa"/>
            <w:noWrap/>
            <w:hideMark/>
          </w:tcPr>
          <w:p w14:paraId="447595F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E069C9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EB121D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C6D2E8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182</w:t>
            </w:r>
          </w:p>
        </w:tc>
      </w:tr>
      <w:tr w:rsidR="00BF10A3" w:rsidRPr="00F94DD8" w14:paraId="4889956B" w14:textId="77777777" w:rsidTr="001F7400">
        <w:trPr>
          <w:trHeight w:val="315"/>
        </w:trPr>
        <w:tc>
          <w:tcPr>
            <w:tcW w:w="685" w:type="dxa"/>
            <w:noWrap/>
            <w:hideMark/>
          </w:tcPr>
          <w:p w14:paraId="31EA7B3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40</w:t>
            </w:r>
          </w:p>
        </w:tc>
        <w:tc>
          <w:tcPr>
            <w:tcW w:w="2303" w:type="dxa"/>
            <w:noWrap/>
            <w:hideMark/>
          </w:tcPr>
          <w:p w14:paraId="0B87008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Physical Sciences</w:t>
            </w:r>
          </w:p>
        </w:tc>
        <w:tc>
          <w:tcPr>
            <w:tcW w:w="849" w:type="dxa"/>
            <w:noWrap/>
            <w:hideMark/>
          </w:tcPr>
          <w:p w14:paraId="552CBA7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70</w:t>
            </w:r>
          </w:p>
        </w:tc>
        <w:tc>
          <w:tcPr>
            <w:tcW w:w="849" w:type="dxa"/>
            <w:noWrap/>
            <w:hideMark/>
          </w:tcPr>
          <w:p w14:paraId="2FFA95F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34</w:t>
            </w:r>
          </w:p>
        </w:tc>
        <w:tc>
          <w:tcPr>
            <w:tcW w:w="850" w:type="dxa"/>
            <w:gridSpan w:val="2"/>
            <w:noWrap/>
            <w:hideMark/>
          </w:tcPr>
          <w:p w14:paraId="3B57EEA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76C942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36</w:t>
            </w:r>
          </w:p>
        </w:tc>
        <w:tc>
          <w:tcPr>
            <w:tcW w:w="850" w:type="dxa"/>
            <w:gridSpan w:val="2"/>
            <w:noWrap/>
            <w:hideMark/>
          </w:tcPr>
          <w:p w14:paraId="5B7B86A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2CEAD97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48A587A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17</w:t>
            </w:r>
          </w:p>
        </w:tc>
        <w:tc>
          <w:tcPr>
            <w:tcW w:w="850" w:type="dxa"/>
            <w:noWrap/>
            <w:hideMark/>
          </w:tcPr>
          <w:p w14:paraId="1152720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2EC63C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1BBE9A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100C11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14FCFD2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157</w:t>
            </w:r>
          </w:p>
        </w:tc>
      </w:tr>
      <w:tr w:rsidR="00BF10A3" w:rsidRPr="00F94DD8" w14:paraId="6F14562E" w14:textId="77777777" w:rsidTr="001F7400">
        <w:trPr>
          <w:trHeight w:val="315"/>
        </w:trPr>
        <w:tc>
          <w:tcPr>
            <w:tcW w:w="685" w:type="dxa"/>
            <w:noWrap/>
            <w:hideMark/>
          </w:tcPr>
          <w:p w14:paraId="613608B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27</w:t>
            </w:r>
          </w:p>
        </w:tc>
        <w:tc>
          <w:tcPr>
            <w:tcW w:w="2303" w:type="dxa"/>
            <w:noWrap/>
            <w:hideMark/>
          </w:tcPr>
          <w:p w14:paraId="70F8563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Mathematics and Statistics</w:t>
            </w:r>
          </w:p>
        </w:tc>
        <w:tc>
          <w:tcPr>
            <w:tcW w:w="849" w:type="dxa"/>
            <w:noWrap/>
            <w:hideMark/>
          </w:tcPr>
          <w:p w14:paraId="0210C67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32</w:t>
            </w:r>
          </w:p>
        </w:tc>
        <w:tc>
          <w:tcPr>
            <w:tcW w:w="849" w:type="dxa"/>
            <w:noWrap/>
            <w:hideMark/>
          </w:tcPr>
          <w:p w14:paraId="5899889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77</w:t>
            </w:r>
          </w:p>
        </w:tc>
        <w:tc>
          <w:tcPr>
            <w:tcW w:w="850" w:type="dxa"/>
            <w:gridSpan w:val="2"/>
            <w:noWrap/>
            <w:hideMark/>
          </w:tcPr>
          <w:p w14:paraId="1519AA6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w:t>
            </w:r>
          </w:p>
        </w:tc>
        <w:tc>
          <w:tcPr>
            <w:tcW w:w="849" w:type="dxa"/>
            <w:noWrap/>
            <w:hideMark/>
          </w:tcPr>
          <w:p w14:paraId="14ABF07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w:t>
            </w:r>
          </w:p>
        </w:tc>
        <w:tc>
          <w:tcPr>
            <w:tcW w:w="850" w:type="dxa"/>
            <w:gridSpan w:val="2"/>
            <w:noWrap/>
            <w:hideMark/>
          </w:tcPr>
          <w:p w14:paraId="2334C90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3B116D3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28</w:t>
            </w:r>
          </w:p>
        </w:tc>
        <w:tc>
          <w:tcPr>
            <w:tcW w:w="725" w:type="dxa"/>
            <w:noWrap/>
            <w:hideMark/>
          </w:tcPr>
          <w:p w14:paraId="2698602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w:t>
            </w:r>
          </w:p>
        </w:tc>
        <w:tc>
          <w:tcPr>
            <w:tcW w:w="850" w:type="dxa"/>
            <w:noWrap/>
            <w:hideMark/>
          </w:tcPr>
          <w:p w14:paraId="3EAD8B5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2C753E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53EADA2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73C0C39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451C707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156</w:t>
            </w:r>
          </w:p>
        </w:tc>
      </w:tr>
      <w:tr w:rsidR="00BF10A3" w:rsidRPr="00F94DD8" w14:paraId="77F5808F" w14:textId="77777777" w:rsidTr="001F7400">
        <w:trPr>
          <w:trHeight w:val="315"/>
        </w:trPr>
        <w:tc>
          <w:tcPr>
            <w:tcW w:w="685" w:type="dxa"/>
            <w:noWrap/>
            <w:hideMark/>
          </w:tcPr>
          <w:p w14:paraId="7A3B1CB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29</w:t>
            </w:r>
          </w:p>
        </w:tc>
        <w:tc>
          <w:tcPr>
            <w:tcW w:w="2303" w:type="dxa"/>
            <w:noWrap/>
            <w:hideMark/>
          </w:tcPr>
          <w:p w14:paraId="48C8A76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Military Technologies</w:t>
            </w:r>
          </w:p>
        </w:tc>
        <w:tc>
          <w:tcPr>
            <w:tcW w:w="849" w:type="dxa"/>
            <w:noWrap/>
            <w:hideMark/>
          </w:tcPr>
          <w:p w14:paraId="54CB63C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19BE993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40088C0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2EFBE9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62701BA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12</w:t>
            </w:r>
          </w:p>
        </w:tc>
        <w:tc>
          <w:tcPr>
            <w:tcW w:w="973" w:type="dxa"/>
            <w:noWrap/>
            <w:hideMark/>
          </w:tcPr>
          <w:p w14:paraId="01E172E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62</w:t>
            </w:r>
          </w:p>
        </w:tc>
        <w:tc>
          <w:tcPr>
            <w:tcW w:w="725" w:type="dxa"/>
            <w:noWrap/>
            <w:hideMark/>
          </w:tcPr>
          <w:p w14:paraId="4101688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4</w:t>
            </w:r>
          </w:p>
        </w:tc>
        <w:tc>
          <w:tcPr>
            <w:tcW w:w="850" w:type="dxa"/>
            <w:noWrap/>
            <w:hideMark/>
          </w:tcPr>
          <w:p w14:paraId="6E13B26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04AFDC1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99BC49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17D275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7FF1BD3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78</w:t>
            </w:r>
          </w:p>
        </w:tc>
      </w:tr>
      <w:tr w:rsidR="00BF10A3" w:rsidRPr="00F94DD8" w14:paraId="1C499B05" w14:textId="77777777" w:rsidTr="001F7400">
        <w:trPr>
          <w:trHeight w:val="315"/>
        </w:trPr>
        <w:tc>
          <w:tcPr>
            <w:tcW w:w="685" w:type="dxa"/>
            <w:noWrap/>
            <w:hideMark/>
          </w:tcPr>
          <w:p w14:paraId="2051DF0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60</w:t>
            </w:r>
          </w:p>
        </w:tc>
        <w:tc>
          <w:tcPr>
            <w:tcW w:w="2303" w:type="dxa"/>
            <w:noWrap/>
            <w:hideMark/>
          </w:tcPr>
          <w:p w14:paraId="7FE57A0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Residency Programs</w:t>
            </w:r>
          </w:p>
        </w:tc>
        <w:tc>
          <w:tcPr>
            <w:tcW w:w="849" w:type="dxa"/>
            <w:noWrap/>
            <w:hideMark/>
          </w:tcPr>
          <w:p w14:paraId="2187A67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6C097B4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14</w:t>
            </w:r>
          </w:p>
        </w:tc>
        <w:tc>
          <w:tcPr>
            <w:tcW w:w="850" w:type="dxa"/>
            <w:gridSpan w:val="2"/>
            <w:noWrap/>
            <w:hideMark/>
          </w:tcPr>
          <w:p w14:paraId="42CBCD3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1F8C1F6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9</w:t>
            </w:r>
          </w:p>
        </w:tc>
        <w:tc>
          <w:tcPr>
            <w:tcW w:w="850" w:type="dxa"/>
            <w:gridSpan w:val="2"/>
            <w:noWrap/>
            <w:hideMark/>
          </w:tcPr>
          <w:p w14:paraId="5D9C9DC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5C5D0D4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78D3CCB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706153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60CC8F2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229C42DA"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5FBD78D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02D0B8A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23</w:t>
            </w:r>
          </w:p>
        </w:tc>
      </w:tr>
      <w:tr w:rsidR="00BF10A3" w:rsidRPr="00F94DD8" w14:paraId="510F1732" w14:textId="77777777" w:rsidTr="001F7400">
        <w:trPr>
          <w:trHeight w:val="315"/>
        </w:trPr>
        <w:tc>
          <w:tcPr>
            <w:tcW w:w="685" w:type="dxa"/>
            <w:noWrap/>
            <w:hideMark/>
          </w:tcPr>
          <w:p w14:paraId="4ECCBDF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33</w:t>
            </w:r>
          </w:p>
        </w:tc>
        <w:tc>
          <w:tcPr>
            <w:tcW w:w="2303" w:type="dxa"/>
            <w:noWrap/>
            <w:hideMark/>
          </w:tcPr>
          <w:p w14:paraId="1F9FE76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Citizenship Activities</w:t>
            </w:r>
          </w:p>
        </w:tc>
        <w:tc>
          <w:tcPr>
            <w:tcW w:w="849" w:type="dxa"/>
            <w:noWrap/>
            <w:hideMark/>
          </w:tcPr>
          <w:p w14:paraId="547DF36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w:t>
            </w:r>
          </w:p>
        </w:tc>
        <w:tc>
          <w:tcPr>
            <w:tcW w:w="849" w:type="dxa"/>
            <w:noWrap/>
            <w:hideMark/>
          </w:tcPr>
          <w:p w14:paraId="7EEF6FB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50" w:type="dxa"/>
            <w:gridSpan w:val="2"/>
            <w:noWrap/>
            <w:hideMark/>
          </w:tcPr>
          <w:p w14:paraId="429E7DC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554C062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6094A4E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4186847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60938CB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1789FBA9"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2388383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3BE099A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32744E9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2F7373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w:t>
            </w:r>
          </w:p>
        </w:tc>
      </w:tr>
      <w:tr w:rsidR="00BF10A3" w:rsidRPr="00F94DD8" w14:paraId="3CBD3364" w14:textId="77777777" w:rsidTr="001F7400">
        <w:trPr>
          <w:trHeight w:val="315"/>
        </w:trPr>
        <w:tc>
          <w:tcPr>
            <w:tcW w:w="685" w:type="dxa"/>
            <w:noWrap/>
            <w:hideMark/>
          </w:tcPr>
          <w:p w14:paraId="4AF9B28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37</w:t>
            </w:r>
          </w:p>
        </w:tc>
        <w:tc>
          <w:tcPr>
            <w:tcW w:w="2303" w:type="dxa"/>
            <w:noWrap/>
            <w:hideMark/>
          </w:tcPr>
          <w:p w14:paraId="6843BFC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Personal Awareness and Self Improvement</w:t>
            </w:r>
          </w:p>
        </w:tc>
        <w:tc>
          <w:tcPr>
            <w:tcW w:w="849" w:type="dxa"/>
            <w:noWrap/>
            <w:hideMark/>
          </w:tcPr>
          <w:p w14:paraId="0A225A5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w:t>
            </w:r>
          </w:p>
        </w:tc>
        <w:tc>
          <w:tcPr>
            <w:tcW w:w="849" w:type="dxa"/>
            <w:noWrap/>
            <w:hideMark/>
          </w:tcPr>
          <w:p w14:paraId="62EFA167"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1E0FCD4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5F43D77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48AED26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75CB1DF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0C48CD4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5FF7896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65E731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071B7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0598D52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53353EF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7</w:t>
            </w:r>
          </w:p>
        </w:tc>
      </w:tr>
      <w:tr w:rsidR="00BF10A3" w:rsidRPr="00F94DD8" w14:paraId="7612E42C" w14:textId="77777777" w:rsidTr="001F7400">
        <w:trPr>
          <w:trHeight w:val="315"/>
        </w:trPr>
        <w:tc>
          <w:tcPr>
            <w:tcW w:w="685" w:type="dxa"/>
            <w:noWrap/>
            <w:hideMark/>
          </w:tcPr>
          <w:p w14:paraId="41695CD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53</w:t>
            </w:r>
          </w:p>
        </w:tc>
        <w:tc>
          <w:tcPr>
            <w:tcW w:w="2303" w:type="dxa"/>
            <w:noWrap/>
            <w:hideMark/>
          </w:tcPr>
          <w:p w14:paraId="021C8CD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High School/Secondary Diplomas and Certificates</w:t>
            </w:r>
          </w:p>
        </w:tc>
        <w:tc>
          <w:tcPr>
            <w:tcW w:w="849" w:type="dxa"/>
            <w:noWrap/>
            <w:hideMark/>
          </w:tcPr>
          <w:p w14:paraId="1C52CB1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c>
          <w:tcPr>
            <w:tcW w:w="849" w:type="dxa"/>
            <w:noWrap/>
            <w:hideMark/>
          </w:tcPr>
          <w:p w14:paraId="2F4564A2"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1432655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6C66367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gridSpan w:val="2"/>
            <w:noWrap/>
            <w:hideMark/>
          </w:tcPr>
          <w:p w14:paraId="28450D43"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73" w:type="dxa"/>
            <w:noWrap/>
            <w:hideMark/>
          </w:tcPr>
          <w:p w14:paraId="7C1A917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25" w:type="dxa"/>
            <w:noWrap/>
            <w:hideMark/>
          </w:tcPr>
          <w:p w14:paraId="224C538F"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652E650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49" w:type="dxa"/>
            <w:noWrap/>
            <w:hideMark/>
          </w:tcPr>
          <w:p w14:paraId="3FE75DDE"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850" w:type="dxa"/>
            <w:noWrap/>
            <w:hideMark/>
          </w:tcPr>
          <w:p w14:paraId="2A08E5B1"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776" w:type="dxa"/>
            <w:noWrap/>
            <w:hideMark/>
          </w:tcPr>
          <w:p w14:paraId="32607B3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0</w:t>
            </w:r>
          </w:p>
        </w:tc>
        <w:tc>
          <w:tcPr>
            <w:tcW w:w="923" w:type="dxa"/>
            <w:noWrap/>
            <w:hideMark/>
          </w:tcPr>
          <w:p w14:paraId="3A62A9A5"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w:t>
            </w:r>
          </w:p>
        </w:tc>
      </w:tr>
      <w:tr w:rsidR="00BF10A3" w:rsidRPr="00F94DD8" w14:paraId="4A3FCA16" w14:textId="77777777" w:rsidTr="001F7400">
        <w:trPr>
          <w:trHeight w:val="315"/>
        </w:trPr>
        <w:tc>
          <w:tcPr>
            <w:tcW w:w="2988" w:type="dxa"/>
            <w:gridSpan w:val="2"/>
            <w:noWrap/>
            <w:hideMark/>
          </w:tcPr>
          <w:p w14:paraId="4DC865E4"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Total</w:t>
            </w:r>
          </w:p>
        </w:tc>
        <w:tc>
          <w:tcPr>
            <w:tcW w:w="849" w:type="dxa"/>
            <w:noWrap/>
            <w:hideMark/>
          </w:tcPr>
          <w:p w14:paraId="1BF9CA0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847,843</w:t>
            </w:r>
          </w:p>
        </w:tc>
        <w:tc>
          <w:tcPr>
            <w:tcW w:w="849" w:type="dxa"/>
            <w:noWrap/>
            <w:hideMark/>
          </w:tcPr>
          <w:p w14:paraId="58C90F9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16,049</w:t>
            </w:r>
          </w:p>
        </w:tc>
        <w:tc>
          <w:tcPr>
            <w:tcW w:w="850" w:type="dxa"/>
            <w:gridSpan w:val="2"/>
            <w:noWrap/>
            <w:hideMark/>
          </w:tcPr>
          <w:p w14:paraId="3468F166"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60,714</w:t>
            </w:r>
          </w:p>
        </w:tc>
        <w:tc>
          <w:tcPr>
            <w:tcW w:w="849" w:type="dxa"/>
            <w:noWrap/>
            <w:hideMark/>
          </w:tcPr>
          <w:p w14:paraId="3901971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18,006</w:t>
            </w:r>
          </w:p>
        </w:tc>
        <w:tc>
          <w:tcPr>
            <w:tcW w:w="850" w:type="dxa"/>
            <w:gridSpan w:val="2"/>
            <w:noWrap/>
            <w:hideMark/>
          </w:tcPr>
          <w:p w14:paraId="0D0E40A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833,458</w:t>
            </w:r>
          </w:p>
        </w:tc>
        <w:tc>
          <w:tcPr>
            <w:tcW w:w="973" w:type="dxa"/>
            <w:noWrap/>
            <w:hideMark/>
          </w:tcPr>
          <w:p w14:paraId="76D3CEDD" w14:textId="77777777" w:rsidR="00BF10A3" w:rsidRPr="00F37243" w:rsidRDefault="00BF10A3" w:rsidP="001F7400">
            <w:pPr>
              <w:rPr>
                <w:rFonts w:ascii="Courier" w:hAnsi="Courier" w:cs="Calibri"/>
                <w:color w:val="000000"/>
                <w:sz w:val="12"/>
                <w:szCs w:val="12"/>
              </w:rPr>
            </w:pPr>
            <w:r w:rsidRPr="00F37243">
              <w:rPr>
                <w:rFonts w:ascii="Courier" w:hAnsi="Courier" w:cs="Calibri"/>
                <w:color w:val="000000"/>
                <w:sz w:val="12"/>
                <w:szCs w:val="12"/>
              </w:rPr>
              <w:t>1,020,751</w:t>
            </w:r>
          </w:p>
          <w:p w14:paraId="36B3DFF5" w14:textId="77777777" w:rsidR="00BF10A3" w:rsidRPr="00F37243" w:rsidRDefault="00BF10A3" w:rsidP="001F7400">
            <w:pPr>
              <w:rPr>
                <w:rFonts w:ascii="Courier New" w:eastAsiaTheme="minorHAnsi" w:hAnsi="Courier New" w:cs="Courier New"/>
                <w:sz w:val="12"/>
                <w:szCs w:val="12"/>
              </w:rPr>
            </w:pPr>
          </w:p>
        </w:tc>
        <w:tc>
          <w:tcPr>
            <w:tcW w:w="725" w:type="dxa"/>
            <w:noWrap/>
            <w:hideMark/>
          </w:tcPr>
          <w:p w14:paraId="2DA3949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838,483</w:t>
            </w:r>
          </w:p>
        </w:tc>
        <w:tc>
          <w:tcPr>
            <w:tcW w:w="850" w:type="dxa"/>
            <w:noWrap/>
            <w:hideMark/>
          </w:tcPr>
          <w:p w14:paraId="778855D8"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5,709</w:t>
            </w:r>
          </w:p>
        </w:tc>
        <w:tc>
          <w:tcPr>
            <w:tcW w:w="849" w:type="dxa"/>
            <w:noWrap/>
            <w:hideMark/>
          </w:tcPr>
          <w:p w14:paraId="44523C60"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266,344</w:t>
            </w:r>
          </w:p>
        </w:tc>
        <w:tc>
          <w:tcPr>
            <w:tcW w:w="850" w:type="dxa"/>
            <w:noWrap/>
            <w:hideMark/>
          </w:tcPr>
          <w:p w14:paraId="21E300EC"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62,010</w:t>
            </w:r>
          </w:p>
        </w:tc>
        <w:tc>
          <w:tcPr>
            <w:tcW w:w="776" w:type="dxa"/>
            <w:noWrap/>
            <w:hideMark/>
          </w:tcPr>
          <w:p w14:paraId="1CA7339B"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15,962</w:t>
            </w:r>
          </w:p>
        </w:tc>
        <w:tc>
          <w:tcPr>
            <w:tcW w:w="923" w:type="dxa"/>
            <w:noWrap/>
            <w:hideMark/>
          </w:tcPr>
          <w:p w14:paraId="55737AED" w14:textId="77777777" w:rsidR="00BF10A3" w:rsidRPr="00F37243" w:rsidRDefault="00BF10A3" w:rsidP="001F7400">
            <w:pPr>
              <w:rPr>
                <w:rFonts w:ascii="Courier New" w:eastAsiaTheme="minorHAnsi" w:hAnsi="Courier New" w:cs="Courier New"/>
                <w:sz w:val="12"/>
                <w:szCs w:val="12"/>
              </w:rPr>
            </w:pPr>
            <w:r w:rsidRPr="00F37243">
              <w:rPr>
                <w:rFonts w:ascii="Courier New" w:eastAsiaTheme="minorHAnsi" w:hAnsi="Courier New" w:cs="Courier New"/>
                <w:sz w:val="12"/>
                <w:szCs w:val="12"/>
              </w:rPr>
              <w:t>3,985,329</w:t>
            </w:r>
          </w:p>
        </w:tc>
      </w:tr>
    </w:tbl>
    <w:p w14:paraId="0C388EBA" w14:textId="77777777" w:rsidR="00BF10A3" w:rsidRPr="00F94DD8" w:rsidRDefault="00BF10A3" w:rsidP="00BF10A3">
      <w:pPr>
        <w:rPr>
          <w:rFonts w:ascii="Courier New" w:eastAsiaTheme="minorHAnsi" w:hAnsi="Courier New" w:cstheme="minorBidi"/>
          <w:sz w:val="16"/>
        </w:rPr>
      </w:pPr>
    </w:p>
    <w:p w14:paraId="70C83C26" w14:textId="77777777" w:rsidR="00BF10A3" w:rsidRPr="007F58F4" w:rsidRDefault="00BF10A3" w:rsidP="00BF10A3">
      <w:pPr>
        <w:spacing w:after="0" w:line="240" w:lineRule="auto"/>
        <w:rPr>
          <w:rFonts w:ascii="Courier New" w:eastAsiaTheme="minorHAnsi" w:hAnsi="Courier New" w:cstheme="minorBidi"/>
          <w:sz w:val="24"/>
          <w:szCs w:val="24"/>
        </w:rPr>
      </w:pPr>
    </w:p>
    <w:p w14:paraId="4CB8820D" w14:textId="77777777" w:rsidR="00BF10A3" w:rsidRDefault="00BF10A3" w:rsidP="00BF10A3">
      <w:pPr>
        <w:spacing w:after="0" w:line="240" w:lineRule="auto"/>
        <w:rPr>
          <w:rFonts w:ascii="Courier New" w:eastAsiaTheme="minorHAnsi" w:hAnsi="Courier New" w:cstheme="minorBidi"/>
          <w:sz w:val="24"/>
          <w:szCs w:val="24"/>
        </w:rPr>
        <w:sectPr w:rsidR="00BF10A3" w:rsidSect="00F94DD8">
          <w:pgSz w:w="15840" w:h="12240" w:orient="landscape"/>
          <w:pgMar w:top="1440" w:right="1440" w:bottom="1440" w:left="1440" w:header="720" w:footer="720" w:gutter="0"/>
          <w:cols w:space="720"/>
          <w:docGrid w:linePitch="360"/>
        </w:sectPr>
      </w:pPr>
    </w:p>
    <w:p w14:paraId="5D621D7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1.3 provides the percentage of students receiving title IV, HEA program funds in GE programs who fall within the following demographic categories:  Pell grant recipients; received zero estimated family contribution (EFC) as indicated by their Free Application for Federal Student Aid (FAFSA); married; over the age of 24; veteran; and female.</w:t>
      </w:r>
    </w:p>
    <w:p w14:paraId="18122C6A" w14:textId="77777777" w:rsidR="00BF10A3" w:rsidRDefault="00BF10A3" w:rsidP="00BF10A3">
      <w:pPr>
        <w:rPr>
          <w:rFonts w:ascii="Courier New" w:eastAsiaTheme="minorHAnsi" w:hAnsi="Courier New" w:cstheme="minorBidi"/>
          <w:sz w:val="24"/>
          <w:szCs w:val="24"/>
        </w:rPr>
      </w:pPr>
    </w:p>
    <w:p w14:paraId="0C3E967C" w14:textId="77777777" w:rsidR="00BF10A3" w:rsidRDefault="00BF10A3" w:rsidP="00BF10A3">
      <w:pPr>
        <w:spacing w:after="0" w:line="240" w:lineRule="auto"/>
        <w:rPr>
          <w:rFonts w:ascii="Courier New" w:eastAsiaTheme="minorHAnsi" w:hAnsi="Courier New" w:cstheme="minorBidi"/>
          <w:sz w:val="24"/>
          <w:szCs w:val="24"/>
        </w:rPr>
        <w:sectPr w:rsidR="00BF10A3" w:rsidSect="007F58F4">
          <w:pgSz w:w="12240" w:h="15840"/>
          <w:pgMar w:top="1440" w:right="1440" w:bottom="1440" w:left="1440" w:header="720" w:footer="720" w:gutter="0"/>
          <w:cols w:space="720"/>
          <w:docGrid w:linePitch="360"/>
        </w:sectPr>
      </w:pPr>
      <w:r w:rsidRPr="007F58F4">
        <w:rPr>
          <w:rFonts w:ascii="Courier New" w:eastAsiaTheme="minorHAnsi" w:hAnsi="Courier New" w:cstheme="minorBidi"/>
          <w:sz w:val="24"/>
          <w:szCs w:val="24"/>
        </w:rPr>
        <w:t xml:space="preserve"> </w:t>
      </w:r>
    </w:p>
    <w:p w14:paraId="581FBA75" w14:textId="77777777" w:rsidR="00BF10A3" w:rsidRPr="00AA6DFD" w:rsidRDefault="00BF10A3" w:rsidP="00BF10A3">
      <w:pPr>
        <w:widowControl w:val="0"/>
        <w:autoSpaceDE w:val="0"/>
        <w:autoSpaceDN w:val="0"/>
        <w:adjustRightInd w:val="0"/>
        <w:spacing w:after="0" w:line="240" w:lineRule="auto"/>
        <w:rPr>
          <w:rFonts w:ascii="Courier New" w:hAnsi="Courier New" w:cs="Courier New"/>
          <w:sz w:val="24"/>
          <w:szCs w:val="24"/>
        </w:rPr>
      </w:pPr>
      <w:r w:rsidRPr="00AA6DFD">
        <w:rPr>
          <w:rFonts w:ascii="Courier New" w:hAnsi="Courier New" w:cs="Courier New"/>
          <w:b/>
          <w:sz w:val="24"/>
          <w:szCs w:val="24"/>
        </w:rPr>
        <w:t>Table 1.3: Characteristics of Students Enrolled in GE Programs (FY 2010)</w:t>
      </w:r>
      <w:r w:rsidRPr="00AA6DFD">
        <w:rPr>
          <w:rStyle w:val="FootnoteReference"/>
          <w:rFonts w:ascii="Courier New" w:hAnsi="Courier New" w:cs="Courier New"/>
          <w:sz w:val="24"/>
          <w:szCs w:val="24"/>
        </w:rPr>
        <w:footnoteReference w:id="188"/>
      </w:r>
    </w:p>
    <w:p w14:paraId="5441092C" w14:textId="77777777" w:rsidR="00BF10A3" w:rsidRPr="007F58F4" w:rsidRDefault="00BF10A3" w:rsidP="00BF10A3">
      <w:pPr>
        <w:spacing w:after="0" w:line="240" w:lineRule="auto"/>
        <w:rPr>
          <w:rFonts w:ascii="Courier New" w:eastAsiaTheme="minorHAnsi" w:hAnsi="Courier New" w:cstheme="minorBidi"/>
          <w:sz w:val="24"/>
          <w:szCs w:val="24"/>
        </w:rPr>
      </w:pPr>
    </w:p>
    <w:tbl>
      <w:tblPr>
        <w:tblStyle w:val="TableGrid14"/>
        <w:tblW w:w="11514" w:type="dxa"/>
        <w:tblLook w:val="04A0" w:firstRow="1" w:lastRow="0" w:firstColumn="1" w:lastColumn="0" w:noHBand="0" w:noVBand="1"/>
      </w:tblPr>
      <w:tblGrid>
        <w:gridCol w:w="901"/>
        <w:gridCol w:w="1651"/>
        <w:gridCol w:w="1938"/>
        <w:gridCol w:w="1218"/>
        <w:gridCol w:w="1388"/>
        <w:gridCol w:w="1083"/>
        <w:gridCol w:w="1008"/>
        <w:gridCol w:w="1022"/>
        <w:gridCol w:w="1305"/>
      </w:tblGrid>
      <w:tr w:rsidR="00BF10A3" w:rsidRPr="007F58F4" w14:paraId="2139B2A4" w14:textId="77777777" w:rsidTr="001F7400">
        <w:trPr>
          <w:trHeight w:val="658"/>
        </w:trPr>
        <w:tc>
          <w:tcPr>
            <w:tcW w:w="901" w:type="dxa"/>
            <w:vAlign w:val="center"/>
            <w:hideMark/>
          </w:tcPr>
          <w:p w14:paraId="5E09C1B0"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Sector</w:t>
            </w:r>
          </w:p>
        </w:tc>
        <w:tc>
          <w:tcPr>
            <w:tcW w:w="1651" w:type="dxa"/>
            <w:vAlign w:val="center"/>
            <w:hideMark/>
          </w:tcPr>
          <w:p w14:paraId="37585B93"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Institution type</w:t>
            </w:r>
          </w:p>
        </w:tc>
        <w:tc>
          <w:tcPr>
            <w:tcW w:w="1938" w:type="dxa"/>
            <w:vAlign w:val="center"/>
            <w:hideMark/>
          </w:tcPr>
          <w:p w14:paraId="53BDD9B0"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Credential level</w:t>
            </w:r>
          </w:p>
        </w:tc>
        <w:tc>
          <w:tcPr>
            <w:tcW w:w="1218" w:type="dxa"/>
            <w:vAlign w:val="center"/>
            <w:hideMark/>
          </w:tcPr>
          <w:p w14:paraId="35551320"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Pell Recipient</w:t>
            </w:r>
          </w:p>
        </w:tc>
        <w:tc>
          <w:tcPr>
            <w:tcW w:w="1388" w:type="dxa"/>
            <w:vAlign w:val="center"/>
            <w:hideMark/>
          </w:tcPr>
          <w:p w14:paraId="1BCB7277"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zero estimated family contribution</w:t>
            </w:r>
          </w:p>
        </w:tc>
        <w:tc>
          <w:tcPr>
            <w:tcW w:w="1083" w:type="dxa"/>
            <w:vAlign w:val="center"/>
            <w:hideMark/>
          </w:tcPr>
          <w:p w14:paraId="66F30FC7"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married</w:t>
            </w:r>
          </w:p>
        </w:tc>
        <w:tc>
          <w:tcPr>
            <w:tcW w:w="1008" w:type="dxa"/>
            <w:vAlign w:val="center"/>
            <w:hideMark/>
          </w:tcPr>
          <w:p w14:paraId="15B12940"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above 24 in age</w:t>
            </w:r>
          </w:p>
        </w:tc>
        <w:tc>
          <w:tcPr>
            <w:tcW w:w="1022" w:type="dxa"/>
            <w:vAlign w:val="center"/>
            <w:hideMark/>
          </w:tcPr>
          <w:p w14:paraId="48883B90"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of veteran</w:t>
            </w:r>
          </w:p>
        </w:tc>
        <w:tc>
          <w:tcPr>
            <w:tcW w:w="1305" w:type="dxa"/>
            <w:vAlign w:val="center"/>
            <w:hideMark/>
          </w:tcPr>
          <w:p w14:paraId="2D61EFCF" w14:textId="77777777" w:rsidR="00BF10A3" w:rsidRPr="007F58F4" w:rsidRDefault="00BF10A3" w:rsidP="001F7400">
            <w:pPr>
              <w:jc w:val="center"/>
              <w:rPr>
                <w:rFonts w:ascii="Courier New" w:eastAsiaTheme="minorHAnsi" w:hAnsi="Courier New" w:cs="Courier New"/>
                <w:b/>
                <w:bCs/>
                <w:sz w:val="16"/>
                <w:szCs w:val="16"/>
              </w:rPr>
            </w:pPr>
            <w:r w:rsidRPr="007F58F4">
              <w:rPr>
                <w:rFonts w:ascii="Courier New" w:eastAsiaTheme="minorHAnsi" w:hAnsi="Courier New" w:cs="Courier New"/>
                <w:b/>
                <w:bCs/>
                <w:sz w:val="16"/>
                <w:szCs w:val="16"/>
              </w:rPr>
              <w:t>Percent female</w:t>
            </w:r>
          </w:p>
        </w:tc>
      </w:tr>
      <w:tr w:rsidR="00BF10A3" w:rsidRPr="007F58F4" w14:paraId="2FCC975D" w14:textId="77777777" w:rsidTr="001F7400">
        <w:trPr>
          <w:trHeight w:val="252"/>
        </w:trPr>
        <w:tc>
          <w:tcPr>
            <w:tcW w:w="901" w:type="dxa"/>
            <w:vMerge w:val="restart"/>
            <w:noWrap/>
            <w:hideMark/>
          </w:tcPr>
          <w:p w14:paraId="3D86FA4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Public</w:t>
            </w:r>
          </w:p>
        </w:tc>
        <w:tc>
          <w:tcPr>
            <w:tcW w:w="3589" w:type="dxa"/>
            <w:gridSpan w:val="2"/>
            <w:hideMark/>
          </w:tcPr>
          <w:p w14:paraId="7E3C07D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All</w:t>
            </w:r>
          </w:p>
        </w:tc>
        <w:tc>
          <w:tcPr>
            <w:tcW w:w="1218" w:type="dxa"/>
            <w:hideMark/>
          </w:tcPr>
          <w:p w14:paraId="6006076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70.50%</w:t>
            </w:r>
          </w:p>
        </w:tc>
        <w:tc>
          <w:tcPr>
            <w:tcW w:w="1388" w:type="dxa"/>
            <w:hideMark/>
          </w:tcPr>
          <w:p w14:paraId="625769D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41.50%</w:t>
            </w:r>
          </w:p>
        </w:tc>
        <w:tc>
          <w:tcPr>
            <w:tcW w:w="1083" w:type="dxa"/>
            <w:hideMark/>
          </w:tcPr>
          <w:p w14:paraId="4E83378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30.10%</w:t>
            </w:r>
          </w:p>
        </w:tc>
        <w:tc>
          <w:tcPr>
            <w:tcW w:w="1008" w:type="dxa"/>
            <w:hideMark/>
          </w:tcPr>
          <w:p w14:paraId="1AF58C7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66.20%</w:t>
            </w:r>
          </w:p>
        </w:tc>
        <w:tc>
          <w:tcPr>
            <w:tcW w:w="1022" w:type="dxa"/>
            <w:hideMark/>
          </w:tcPr>
          <w:p w14:paraId="591A459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3.70%</w:t>
            </w:r>
          </w:p>
        </w:tc>
        <w:tc>
          <w:tcPr>
            <w:tcW w:w="1305" w:type="dxa"/>
            <w:hideMark/>
          </w:tcPr>
          <w:p w14:paraId="5FED5B1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70.10%</w:t>
            </w:r>
          </w:p>
        </w:tc>
      </w:tr>
      <w:tr w:rsidR="00BF10A3" w:rsidRPr="007F58F4" w14:paraId="4BC55847" w14:textId="77777777" w:rsidTr="001F7400">
        <w:trPr>
          <w:trHeight w:val="252"/>
        </w:trPr>
        <w:tc>
          <w:tcPr>
            <w:tcW w:w="901" w:type="dxa"/>
            <w:vMerge/>
            <w:hideMark/>
          </w:tcPr>
          <w:p w14:paraId="56D796FC" w14:textId="77777777" w:rsidR="00BF10A3" w:rsidRPr="007F58F4" w:rsidRDefault="00BF10A3" w:rsidP="001F7400">
            <w:pPr>
              <w:rPr>
                <w:rFonts w:ascii="Courier New" w:eastAsiaTheme="minorHAnsi" w:hAnsi="Courier New" w:cs="Courier New"/>
                <w:sz w:val="16"/>
                <w:szCs w:val="16"/>
              </w:rPr>
            </w:pPr>
          </w:p>
        </w:tc>
        <w:tc>
          <w:tcPr>
            <w:tcW w:w="1651" w:type="dxa"/>
            <w:noWrap/>
            <w:hideMark/>
          </w:tcPr>
          <w:p w14:paraId="27C8375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&lt; 2 year</w:t>
            </w:r>
          </w:p>
        </w:tc>
        <w:tc>
          <w:tcPr>
            <w:tcW w:w="1938" w:type="dxa"/>
            <w:noWrap/>
            <w:hideMark/>
          </w:tcPr>
          <w:p w14:paraId="46FFA66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589F6DD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67.50%</w:t>
            </w:r>
          </w:p>
        </w:tc>
        <w:tc>
          <w:tcPr>
            <w:tcW w:w="1388" w:type="dxa"/>
            <w:noWrap/>
            <w:hideMark/>
          </w:tcPr>
          <w:p w14:paraId="7744F82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37.30%</w:t>
            </w:r>
          </w:p>
        </w:tc>
        <w:tc>
          <w:tcPr>
            <w:tcW w:w="1083" w:type="dxa"/>
            <w:noWrap/>
            <w:hideMark/>
          </w:tcPr>
          <w:p w14:paraId="2BF14C2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39.30%</w:t>
            </w:r>
          </w:p>
        </w:tc>
        <w:tc>
          <w:tcPr>
            <w:tcW w:w="1008" w:type="dxa"/>
            <w:noWrap/>
            <w:hideMark/>
          </w:tcPr>
          <w:p w14:paraId="63037FC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72.00%</w:t>
            </w:r>
          </w:p>
        </w:tc>
        <w:tc>
          <w:tcPr>
            <w:tcW w:w="1022" w:type="dxa"/>
            <w:noWrap/>
            <w:hideMark/>
          </w:tcPr>
          <w:p w14:paraId="18491E8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3.60%</w:t>
            </w:r>
          </w:p>
        </w:tc>
        <w:tc>
          <w:tcPr>
            <w:tcW w:w="1305" w:type="dxa"/>
            <w:noWrap/>
            <w:hideMark/>
          </w:tcPr>
          <w:p w14:paraId="4824EDD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83.70%</w:t>
            </w:r>
          </w:p>
        </w:tc>
      </w:tr>
      <w:tr w:rsidR="00BF10A3" w:rsidRPr="007F58F4" w14:paraId="350F3353" w14:textId="77777777" w:rsidTr="001F7400">
        <w:trPr>
          <w:trHeight w:val="252"/>
        </w:trPr>
        <w:tc>
          <w:tcPr>
            <w:tcW w:w="901" w:type="dxa"/>
            <w:vMerge/>
            <w:hideMark/>
          </w:tcPr>
          <w:p w14:paraId="6CD86957" w14:textId="77777777" w:rsidR="00BF10A3" w:rsidRPr="007F58F4" w:rsidRDefault="00BF10A3" w:rsidP="001F7400">
            <w:pPr>
              <w:rPr>
                <w:rFonts w:ascii="Courier New" w:eastAsiaTheme="minorHAnsi" w:hAnsi="Courier New" w:cs="Courier New"/>
                <w:sz w:val="16"/>
                <w:szCs w:val="16"/>
              </w:rPr>
            </w:pPr>
          </w:p>
        </w:tc>
        <w:tc>
          <w:tcPr>
            <w:tcW w:w="1651" w:type="dxa"/>
            <w:noWrap/>
            <w:hideMark/>
          </w:tcPr>
          <w:p w14:paraId="454E2EB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2-3 year</w:t>
            </w:r>
          </w:p>
        </w:tc>
        <w:tc>
          <w:tcPr>
            <w:tcW w:w="1938" w:type="dxa"/>
            <w:noWrap/>
            <w:hideMark/>
          </w:tcPr>
          <w:p w14:paraId="6363AD0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01F0B68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71.10%</w:t>
            </w:r>
          </w:p>
        </w:tc>
        <w:tc>
          <w:tcPr>
            <w:tcW w:w="1388" w:type="dxa"/>
            <w:noWrap/>
            <w:hideMark/>
          </w:tcPr>
          <w:p w14:paraId="0A968D7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43.20%</w:t>
            </w:r>
          </w:p>
        </w:tc>
        <w:tc>
          <w:tcPr>
            <w:tcW w:w="1083" w:type="dxa"/>
            <w:noWrap/>
            <w:hideMark/>
          </w:tcPr>
          <w:p w14:paraId="4CBCF75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28.90%</w:t>
            </w:r>
          </w:p>
        </w:tc>
        <w:tc>
          <w:tcPr>
            <w:tcW w:w="1008" w:type="dxa"/>
            <w:noWrap/>
            <w:hideMark/>
          </w:tcPr>
          <w:p w14:paraId="086922B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65.20%</w:t>
            </w:r>
          </w:p>
        </w:tc>
        <w:tc>
          <w:tcPr>
            <w:tcW w:w="1022" w:type="dxa"/>
            <w:noWrap/>
            <w:hideMark/>
          </w:tcPr>
          <w:p w14:paraId="4466269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3.70%</w:t>
            </w:r>
          </w:p>
        </w:tc>
        <w:tc>
          <w:tcPr>
            <w:tcW w:w="1305" w:type="dxa"/>
            <w:noWrap/>
            <w:hideMark/>
          </w:tcPr>
          <w:p w14:paraId="1DE353B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69.60%</w:t>
            </w:r>
          </w:p>
        </w:tc>
      </w:tr>
      <w:tr w:rsidR="00BF10A3" w:rsidRPr="007F58F4" w14:paraId="462CDCB7" w14:textId="77777777" w:rsidTr="001F7400">
        <w:trPr>
          <w:trHeight w:val="252"/>
        </w:trPr>
        <w:tc>
          <w:tcPr>
            <w:tcW w:w="901" w:type="dxa"/>
            <w:vMerge/>
            <w:hideMark/>
          </w:tcPr>
          <w:p w14:paraId="2330D890"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23F0C4E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 year</w:t>
            </w:r>
          </w:p>
        </w:tc>
        <w:tc>
          <w:tcPr>
            <w:tcW w:w="1938" w:type="dxa"/>
            <w:noWrap/>
            <w:hideMark/>
          </w:tcPr>
          <w:p w14:paraId="66BDF14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1FDD650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63.60%</w:t>
            </w:r>
          </w:p>
        </w:tc>
        <w:tc>
          <w:tcPr>
            <w:tcW w:w="1388" w:type="dxa"/>
            <w:noWrap/>
            <w:hideMark/>
          </w:tcPr>
          <w:p w14:paraId="0B7A185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33.20%</w:t>
            </w:r>
          </w:p>
        </w:tc>
        <w:tc>
          <w:tcPr>
            <w:tcW w:w="1083" w:type="dxa"/>
            <w:noWrap/>
            <w:hideMark/>
          </w:tcPr>
          <w:p w14:paraId="66045DB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30.30%</w:t>
            </w:r>
          </w:p>
        </w:tc>
        <w:tc>
          <w:tcPr>
            <w:tcW w:w="1008" w:type="dxa"/>
            <w:noWrap/>
            <w:hideMark/>
          </w:tcPr>
          <w:p w14:paraId="508BA0A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63.60%</w:t>
            </w:r>
          </w:p>
        </w:tc>
        <w:tc>
          <w:tcPr>
            <w:tcW w:w="1022" w:type="dxa"/>
            <w:noWrap/>
            <w:hideMark/>
          </w:tcPr>
          <w:p w14:paraId="179EED7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4.30%</w:t>
            </w:r>
          </w:p>
        </w:tc>
        <w:tc>
          <w:tcPr>
            <w:tcW w:w="1305" w:type="dxa"/>
            <w:noWrap/>
            <w:hideMark/>
          </w:tcPr>
          <w:p w14:paraId="47092DB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67.50%</w:t>
            </w:r>
          </w:p>
        </w:tc>
      </w:tr>
      <w:tr w:rsidR="00BF10A3" w:rsidRPr="007F58F4" w14:paraId="6C638FB0" w14:textId="77777777" w:rsidTr="001F7400">
        <w:trPr>
          <w:trHeight w:val="252"/>
        </w:trPr>
        <w:tc>
          <w:tcPr>
            <w:tcW w:w="901" w:type="dxa"/>
            <w:vMerge/>
            <w:hideMark/>
          </w:tcPr>
          <w:p w14:paraId="421C3AA3"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5002571B"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04D4832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67B70DB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7495C39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15.40%</w:t>
            </w:r>
          </w:p>
        </w:tc>
        <w:tc>
          <w:tcPr>
            <w:tcW w:w="1083" w:type="dxa"/>
            <w:noWrap/>
            <w:hideMark/>
          </w:tcPr>
          <w:p w14:paraId="307DC58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47.00%</w:t>
            </w:r>
          </w:p>
        </w:tc>
        <w:tc>
          <w:tcPr>
            <w:tcW w:w="1008" w:type="dxa"/>
            <w:noWrap/>
            <w:hideMark/>
          </w:tcPr>
          <w:p w14:paraId="640FE37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94.30%</w:t>
            </w:r>
          </w:p>
        </w:tc>
        <w:tc>
          <w:tcPr>
            <w:tcW w:w="1022" w:type="dxa"/>
            <w:noWrap/>
            <w:hideMark/>
          </w:tcPr>
          <w:p w14:paraId="5096767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4.00%</w:t>
            </w:r>
          </w:p>
        </w:tc>
        <w:tc>
          <w:tcPr>
            <w:tcW w:w="1305" w:type="dxa"/>
            <w:noWrap/>
            <w:hideMark/>
          </w:tcPr>
          <w:p w14:paraId="374BA77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65.00%</w:t>
            </w:r>
          </w:p>
        </w:tc>
      </w:tr>
      <w:tr w:rsidR="00BF10A3" w:rsidRPr="007F58F4" w14:paraId="13E24C62" w14:textId="77777777" w:rsidTr="001F7400">
        <w:trPr>
          <w:trHeight w:val="252"/>
        </w:trPr>
        <w:tc>
          <w:tcPr>
            <w:tcW w:w="901" w:type="dxa"/>
            <w:vMerge w:val="restart"/>
            <w:noWrap/>
            <w:hideMark/>
          </w:tcPr>
          <w:p w14:paraId="428C338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Private</w:t>
            </w:r>
          </w:p>
        </w:tc>
        <w:tc>
          <w:tcPr>
            <w:tcW w:w="3589" w:type="dxa"/>
            <w:gridSpan w:val="2"/>
            <w:hideMark/>
          </w:tcPr>
          <w:p w14:paraId="17A1546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All</w:t>
            </w:r>
          </w:p>
        </w:tc>
        <w:tc>
          <w:tcPr>
            <w:tcW w:w="1218" w:type="dxa"/>
            <w:noWrap/>
            <w:hideMark/>
          </w:tcPr>
          <w:p w14:paraId="232FBA2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67.80%</w:t>
            </w:r>
          </w:p>
        </w:tc>
        <w:tc>
          <w:tcPr>
            <w:tcW w:w="1388" w:type="dxa"/>
            <w:noWrap/>
            <w:hideMark/>
          </w:tcPr>
          <w:p w14:paraId="79052FA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40.80%</w:t>
            </w:r>
          </w:p>
        </w:tc>
        <w:tc>
          <w:tcPr>
            <w:tcW w:w="1083" w:type="dxa"/>
            <w:noWrap/>
            <w:hideMark/>
          </w:tcPr>
          <w:p w14:paraId="5700F59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31.20%</w:t>
            </w:r>
          </w:p>
        </w:tc>
        <w:tc>
          <w:tcPr>
            <w:tcW w:w="1008" w:type="dxa"/>
            <w:noWrap/>
            <w:hideMark/>
          </w:tcPr>
          <w:p w14:paraId="5AD9EA2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63.60%</w:t>
            </w:r>
          </w:p>
        </w:tc>
        <w:tc>
          <w:tcPr>
            <w:tcW w:w="1022" w:type="dxa"/>
            <w:noWrap/>
            <w:hideMark/>
          </w:tcPr>
          <w:p w14:paraId="74F9E87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3.40%</w:t>
            </w:r>
          </w:p>
        </w:tc>
        <w:tc>
          <w:tcPr>
            <w:tcW w:w="1305" w:type="dxa"/>
            <w:noWrap/>
            <w:hideMark/>
          </w:tcPr>
          <w:p w14:paraId="3258CDF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67.00%</w:t>
            </w:r>
          </w:p>
        </w:tc>
      </w:tr>
      <w:tr w:rsidR="00BF10A3" w:rsidRPr="007F58F4" w14:paraId="076430B4" w14:textId="77777777" w:rsidTr="001F7400">
        <w:trPr>
          <w:trHeight w:val="252"/>
        </w:trPr>
        <w:tc>
          <w:tcPr>
            <w:tcW w:w="901" w:type="dxa"/>
            <w:vMerge/>
            <w:hideMark/>
          </w:tcPr>
          <w:p w14:paraId="6B99024C"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67FA0E6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&lt; 2 year</w:t>
            </w:r>
          </w:p>
        </w:tc>
        <w:tc>
          <w:tcPr>
            <w:tcW w:w="1938" w:type="dxa"/>
            <w:noWrap/>
            <w:hideMark/>
          </w:tcPr>
          <w:p w14:paraId="7F0660F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32C22F9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81.40%</w:t>
            </w:r>
          </w:p>
        </w:tc>
        <w:tc>
          <w:tcPr>
            <w:tcW w:w="1388" w:type="dxa"/>
            <w:noWrap/>
            <w:hideMark/>
          </w:tcPr>
          <w:p w14:paraId="5EA830C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52.10%</w:t>
            </w:r>
          </w:p>
        </w:tc>
        <w:tc>
          <w:tcPr>
            <w:tcW w:w="1083" w:type="dxa"/>
            <w:noWrap/>
            <w:hideMark/>
          </w:tcPr>
          <w:p w14:paraId="756457B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31.90%</w:t>
            </w:r>
          </w:p>
        </w:tc>
        <w:tc>
          <w:tcPr>
            <w:tcW w:w="1008" w:type="dxa"/>
            <w:noWrap/>
            <w:hideMark/>
          </w:tcPr>
          <w:p w14:paraId="25854F3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63.30%</w:t>
            </w:r>
          </w:p>
        </w:tc>
        <w:tc>
          <w:tcPr>
            <w:tcW w:w="1022" w:type="dxa"/>
            <w:noWrap/>
            <w:hideMark/>
          </w:tcPr>
          <w:p w14:paraId="063C94B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3.00%</w:t>
            </w:r>
          </w:p>
        </w:tc>
        <w:tc>
          <w:tcPr>
            <w:tcW w:w="1305" w:type="dxa"/>
            <w:noWrap/>
            <w:hideMark/>
          </w:tcPr>
          <w:p w14:paraId="5D22495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53.90%</w:t>
            </w:r>
          </w:p>
        </w:tc>
      </w:tr>
      <w:tr w:rsidR="00BF10A3" w:rsidRPr="007F58F4" w14:paraId="4BB7FB3A" w14:textId="77777777" w:rsidTr="001F7400">
        <w:trPr>
          <w:trHeight w:val="252"/>
        </w:trPr>
        <w:tc>
          <w:tcPr>
            <w:tcW w:w="901" w:type="dxa"/>
            <w:vMerge/>
            <w:hideMark/>
          </w:tcPr>
          <w:p w14:paraId="29AD0F4E"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6F30F9BA"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44E93EF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4321873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784DEC2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33.30%</w:t>
            </w:r>
          </w:p>
        </w:tc>
        <w:tc>
          <w:tcPr>
            <w:tcW w:w="1083" w:type="dxa"/>
            <w:noWrap/>
            <w:hideMark/>
          </w:tcPr>
          <w:p w14:paraId="6069687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66.70%</w:t>
            </w:r>
          </w:p>
        </w:tc>
        <w:tc>
          <w:tcPr>
            <w:tcW w:w="1008" w:type="dxa"/>
            <w:noWrap/>
            <w:hideMark/>
          </w:tcPr>
          <w:p w14:paraId="46D95E0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100.00%</w:t>
            </w:r>
          </w:p>
        </w:tc>
        <w:tc>
          <w:tcPr>
            <w:tcW w:w="1022" w:type="dxa"/>
            <w:noWrap/>
            <w:hideMark/>
          </w:tcPr>
          <w:p w14:paraId="1BF9AA6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0.00%</w:t>
            </w:r>
          </w:p>
        </w:tc>
        <w:tc>
          <w:tcPr>
            <w:tcW w:w="1305" w:type="dxa"/>
            <w:noWrap/>
            <w:hideMark/>
          </w:tcPr>
          <w:p w14:paraId="540B2C8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66.70%</w:t>
            </w:r>
          </w:p>
        </w:tc>
      </w:tr>
      <w:tr w:rsidR="00BF10A3" w:rsidRPr="007F58F4" w14:paraId="766142C1" w14:textId="77777777" w:rsidTr="001F7400">
        <w:trPr>
          <w:trHeight w:val="252"/>
        </w:trPr>
        <w:tc>
          <w:tcPr>
            <w:tcW w:w="901" w:type="dxa"/>
            <w:vMerge/>
            <w:hideMark/>
          </w:tcPr>
          <w:p w14:paraId="6C2DC525"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32F11DE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2-3 year</w:t>
            </w:r>
          </w:p>
        </w:tc>
        <w:tc>
          <w:tcPr>
            <w:tcW w:w="1938" w:type="dxa"/>
            <w:noWrap/>
            <w:hideMark/>
          </w:tcPr>
          <w:p w14:paraId="6715956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4211E39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56.80%</w:t>
            </w:r>
          </w:p>
        </w:tc>
        <w:tc>
          <w:tcPr>
            <w:tcW w:w="1388" w:type="dxa"/>
            <w:noWrap/>
            <w:hideMark/>
          </w:tcPr>
          <w:p w14:paraId="4354064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38.60%</w:t>
            </w:r>
          </w:p>
        </w:tc>
        <w:tc>
          <w:tcPr>
            <w:tcW w:w="1083" w:type="dxa"/>
            <w:noWrap/>
            <w:hideMark/>
          </w:tcPr>
          <w:p w14:paraId="098161A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31.50%</w:t>
            </w:r>
          </w:p>
        </w:tc>
        <w:tc>
          <w:tcPr>
            <w:tcW w:w="1008" w:type="dxa"/>
            <w:noWrap/>
            <w:hideMark/>
          </w:tcPr>
          <w:p w14:paraId="438D172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64.20%</w:t>
            </w:r>
          </w:p>
        </w:tc>
        <w:tc>
          <w:tcPr>
            <w:tcW w:w="1022" w:type="dxa"/>
            <w:noWrap/>
            <w:hideMark/>
          </w:tcPr>
          <w:p w14:paraId="16BEA6F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3.90%</w:t>
            </w:r>
          </w:p>
        </w:tc>
        <w:tc>
          <w:tcPr>
            <w:tcW w:w="1305" w:type="dxa"/>
            <w:noWrap/>
            <w:hideMark/>
          </w:tcPr>
          <w:p w14:paraId="2B18EDA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71.00%</w:t>
            </w:r>
          </w:p>
        </w:tc>
      </w:tr>
      <w:tr w:rsidR="00BF10A3" w:rsidRPr="007F58F4" w14:paraId="7D299F25" w14:textId="77777777" w:rsidTr="001F7400">
        <w:trPr>
          <w:trHeight w:val="252"/>
        </w:trPr>
        <w:tc>
          <w:tcPr>
            <w:tcW w:w="901" w:type="dxa"/>
            <w:vMerge/>
            <w:hideMark/>
          </w:tcPr>
          <w:p w14:paraId="0C4ADD54"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2F1992B1"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031D6C7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1AD6D4B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3EAC49C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26.70%</w:t>
            </w:r>
          </w:p>
        </w:tc>
        <w:tc>
          <w:tcPr>
            <w:tcW w:w="1083" w:type="dxa"/>
            <w:noWrap/>
            <w:hideMark/>
          </w:tcPr>
          <w:p w14:paraId="72963B9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6.70%</w:t>
            </w:r>
          </w:p>
        </w:tc>
        <w:tc>
          <w:tcPr>
            <w:tcW w:w="1008" w:type="dxa"/>
            <w:noWrap/>
            <w:hideMark/>
          </w:tcPr>
          <w:p w14:paraId="0878FED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93.30%</w:t>
            </w:r>
          </w:p>
        </w:tc>
        <w:tc>
          <w:tcPr>
            <w:tcW w:w="1022" w:type="dxa"/>
            <w:noWrap/>
            <w:hideMark/>
          </w:tcPr>
          <w:p w14:paraId="24D4BEF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0.00%</w:t>
            </w:r>
          </w:p>
        </w:tc>
        <w:tc>
          <w:tcPr>
            <w:tcW w:w="1305" w:type="dxa"/>
            <w:noWrap/>
            <w:hideMark/>
          </w:tcPr>
          <w:p w14:paraId="10ADF8A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86.70%</w:t>
            </w:r>
          </w:p>
        </w:tc>
      </w:tr>
      <w:tr w:rsidR="00BF10A3" w:rsidRPr="007F58F4" w14:paraId="1F9CBBB1" w14:textId="77777777" w:rsidTr="001F7400">
        <w:trPr>
          <w:trHeight w:val="252"/>
        </w:trPr>
        <w:tc>
          <w:tcPr>
            <w:tcW w:w="901" w:type="dxa"/>
            <w:vMerge/>
            <w:hideMark/>
          </w:tcPr>
          <w:p w14:paraId="40CB4547"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512D91C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 year</w:t>
            </w:r>
          </w:p>
        </w:tc>
        <w:tc>
          <w:tcPr>
            <w:tcW w:w="1938" w:type="dxa"/>
            <w:noWrap/>
            <w:hideMark/>
          </w:tcPr>
          <w:p w14:paraId="5C3E691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6152837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69.10%</w:t>
            </w:r>
          </w:p>
        </w:tc>
        <w:tc>
          <w:tcPr>
            <w:tcW w:w="1388" w:type="dxa"/>
            <w:noWrap/>
            <w:hideMark/>
          </w:tcPr>
          <w:p w14:paraId="358ABD4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47.60%</w:t>
            </w:r>
          </w:p>
        </w:tc>
        <w:tc>
          <w:tcPr>
            <w:tcW w:w="1083" w:type="dxa"/>
            <w:noWrap/>
            <w:hideMark/>
          </w:tcPr>
          <w:p w14:paraId="268C447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28.60%</w:t>
            </w:r>
          </w:p>
        </w:tc>
        <w:tc>
          <w:tcPr>
            <w:tcW w:w="1008" w:type="dxa"/>
            <w:noWrap/>
            <w:hideMark/>
          </w:tcPr>
          <w:p w14:paraId="6E2AF30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53.60%</w:t>
            </w:r>
          </w:p>
        </w:tc>
        <w:tc>
          <w:tcPr>
            <w:tcW w:w="1022" w:type="dxa"/>
            <w:noWrap/>
            <w:hideMark/>
          </w:tcPr>
          <w:p w14:paraId="00BB1C8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2.60%</w:t>
            </w:r>
          </w:p>
        </w:tc>
        <w:tc>
          <w:tcPr>
            <w:tcW w:w="1305" w:type="dxa"/>
            <w:noWrap/>
            <w:hideMark/>
          </w:tcPr>
          <w:p w14:paraId="25433D8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68.40%</w:t>
            </w:r>
          </w:p>
        </w:tc>
      </w:tr>
      <w:tr w:rsidR="00BF10A3" w:rsidRPr="007F58F4" w14:paraId="2E3DE548" w14:textId="77777777" w:rsidTr="001F7400">
        <w:trPr>
          <w:trHeight w:val="252"/>
        </w:trPr>
        <w:tc>
          <w:tcPr>
            <w:tcW w:w="901" w:type="dxa"/>
            <w:vMerge/>
            <w:hideMark/>
          </w:tcPr>
          <w:p w14:paraId="5AD92B23"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5858B7E4"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5E9383B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5C30CDC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57545F3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17.40%</w:t>
            </w:r>
          </w:p>
        </w:tc>
        <w:tc>
          <w:tcPr>
            <w:tcW w:w="1083" w:type="dxa"/>
            <w:noWrap/>
            <w:hideMark/>
          </w:tcPr>
          <w:p w14:paraId="5AD63CE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37.30%</w:t>
            </w:r>
          </w:p>
        </w:tc>
        <w:tc>
          <w:tcPr>
            <w:tcW w:w="1008" w:type="dxa"/>
            <w:noWrap/>
            <w:hideMark/>
          </w:tcPr>
          <w:p w14:paraId="67EAC43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89.10%</w:t>
            </w:r>
          </w:p>
        </w:tc>
        <w:tc>
          <w:tcPr>
            <w:tcW w:w="1022" w:type="dxa"/>
            <w:noWrap/>
            <w:hideMark/>
          </w:tcPr>
          <w:p w14:paraId="3476D74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5.10%</w:t>
            </w:r>
          </w:p>
        </w:tc>
        <w:tc>
          <w:tcPr>
            <w:tcW w:w="1305" w:type="dxa"/>
            <w:noWrap/>
            <w:hideMark/>
          </w:tcPr>
          <w:p w14:paraId="4E2CF84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68.30%</w:t>
            </w:r>
          </w:p>
        </w:tc>
      </w:tr>
      <w:tr w:rsidR="00BF10A3" w:rsidRPr="007F58F4" w14:paraId="722CA223" w14:textId="77777777" w:rsidTr="001F7400">
        <w:trPr>
          <w:trHeight w:val="252"/>
        </w:trPr>
        <w:tc>
          <w:tcPr>
            <w:tcW w:w="901" w:type="dxa"/>
            <w:vMerge w:val="restart"/>
            <w:noWrap/>
            <w:hideMark/>
          </w:tcPr>
          <w:p w14:paraId="1791D00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For-Profit</w:t>
            </w:r>
          </w:p>
        </w:tc>
        <w:tc>
          <w:tcPr>
            <w:tcW w:w="3589" w:type="dxa"/>
            <w:gridSpan w:val="2"/>
            <w:hideMark/>
          </w:tcPr>
          <w:p w14:paraId="4FE754D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All</w:t>
            </w:r>
          </w:p>
        </w:tc>
        <w:tc>
          <w:tcPr>
            <w:tcW w:w="1218" w:type="dxa"/>
            <w:noWrap/>
            <w:hideMark/>
          </w:tcPr>
          <w:p w14:paraId="78AEBF4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63.70%</w:t>
            </w:r>
          </w:p>
        </w:tc>
        <w:tc>
          <w:tcPr>
            <w:tcW w:w="1388" w:type="dxa"/>
            <w:noWrap/>
            <w:hideMark/>
          </w:tcPr>
          <w:p w14:paraId="62EDEF3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34.10%</w:t>
            </w:r>
          </w:p>
        </w:tc>
        <w:tc>
          <w:tcPr>
            <w:tcW w:w="1083" w:type="dxa"/>
            <w:noWrap/>
            <w:hideMark/>
          </w:tcPr>
          <w:p w14:paraId="5CFE458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36.60%</w:t>
            </w:r>
          </w:p>
        </w:tc>
        <w:tc>
          <w:tcPr>
            <w:tcW w:w="1008" w:type="dxa"/>
            <w:noWrap/>
            <w:hideMark/>
          </w:tcPr>
          <w:p w14:paraId="21BE294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68.80%</w:t>
            </w:r>
          </w:p>
        </w:tc>
        <w:tc>
          <w:tcPr>
            <w:tcW w:w="1022" w:type="dxa"/>
            <w:noWrap/>
            <w:hideMark/>
          </w:tcPr>
          <w:p w14:paraId="17417AF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10.50%</w:t>
            </w:r>
          </w:p>
        </w:tc>
        <w:tc>
          <w:tcPr>
            <w:tcW w:w="1305" w:type="dxa"/>
            <w:noWrap/>
            <w:hideMark/>
          </w:tcPr>
          <w:p w14:paraId="4616C26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64.10%</w:t>
            </w:r>
          </w:p>
        </w:tc>
      </w:tr>
      <w:tr w:rsidR="00BF10A3" w:rsidRPr="007F58F4" w14:paraId="1CDF5A32" w14:textId="77777777" w:rsidTr="001F7400">
        <w:trPr>
          <w:trHeight w:val="252"/>
        </w:trPr>
        <w:tc>
          <w:tcPr>
            <w:tcW w:w="901" w:type="dxa"/>
            <w:vMerge/>
            <w:hideMark/>
          </w:tcPr>
          <w:p w14:paraId="355505D0"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19CCC20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&lt; 2 year</w:t>
            </w:r>
          </w:p>
        </w:tc>
        <w:tc>
          <w:tcPr>
            <w:tcW w:w="1938" w:type="dxa"/>
            <w:noWrap/>
            <w:hideMark/>
          </w:tcPr>
          <w:p w14:paraId="5F3C224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20FB6C7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75.60%</w:t>
            </w:r>
          </w:p>
        </w:tc>
        <w:tc>
          <w:tcPr>
            <w:tcW w:w="1388" w:type="dxa"/>
            <w:noWrap/>
            <w:hideMark/>
          </w:tcPr>
          <w:p w14:paraId="687DAC7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47.00%</w:t>
            </w:r>
          </w:p>
        </w:tc>
        <w:tc>
          <w:tcPr>
            <w:tcW w:w="1083" w:type="dxa"/>
            <w:noWrap/>
            <w:hideMark/>
          </w:tcPr>
          <w:p w14:paraId="384DF56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27.10%</w:t>
            </w:r>
          </w:p>
        </w:tc>
        <w:tc>
          <w:tcPr>
            <w:tcW w:w="1008" w:type="dxa"/>
            <w:noWrap/>
            <w:hideMark/>
          </w:tcPr>
          <w:p w14:paraId="21CCFFC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55.50%</w:t>
            </w:r>
          </w:p>
        </w:tc>
        <w:tc>
          <w:tcPr>
            <w:tcW w:w="1022" w:type="dxa"/>
            <w:noWrap/>
            <w:hideMark/>
          </w:tcPr>
          <w:p w14:paraId="507E7E4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2.90%</w:t>
            </w:r>
          </w:p>
        </w:tc>
        <w:tc>
          <w:tcPr>
            <w:tcW w:w="1305" w:type="dxa"/>
            <w:noWrap/>
            <w:hideMark/>
          </w:tcPr>
          <w:p w14:paraId="1FBFD1C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74.10%</w:t>
            </w:r>
          </w:p>
        </w:tc>
      </w:tr>
      <w:tr w:rsidR="00BF10A3" w:rsidRPr="007F58F4" w14:paraId="7DFDEC95" w14:textId="77777777" w:rsidTr="001F7400">
        <w:trPr>
          <w:trHeight w:val="252"/>
        </w:trPr>
        <w:tc>
          <w:tcPr>
            <w:tcW w:w="901" w:type="dxa"/>
            <w:vMerge/>
            <w:hideMark/>
          </w:tcPr>
          <w:p w14:paraId="3F93EBA8"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28C46E6A"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12CC9EF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Associate's</w:t>
            </w:r>
          </w:p>
        </w:tc>
        <w:tc>
          <w:tcPr>
            <w:tcW w:w="1218" w:type="dxa"/>
            <w:noWrap/>
            <w:hideMark/>
          </w:tcPr>
          <w:p w14:paraId="4EFA538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96.00%</w:t>
            </w:r>
          </w:p>
        </w:tc>
        <w:tc>
          <w:tcPr>
            <w:tcW w:w="1388" w:type="dxa"/>
            <w:noWrap/>
            <w:hideMark/>
          </w:tcPr>
          <w:p w14:paraId="7462281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80.60%</w:t>
            </w:r>
          </w:p>
        </w:tc>
        <w:tc>
          <w:tcPr>
            <w:tcW w:w="1083" w:type="dxa"/>
            <w:noWrap/>
            <w:hideMark/>
          </w:tcPr>
          <w:p w14:paraId="74A81AD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34.30%</w:t>
            </w:r>
          </w:p>
        </w:tc>
        <w:tc>
          <w:tcPr>
            <w:tcW w:w="1008" w:type="dxa"/>
            <w:noWrap/>
            <w:hideMark/>
          </w:tcPr>
          <w:p w14:paraId="7019D3D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50.30%</w:t>
            </w:r>
          </w:p>
        </w:tc>
        <w:tc>
          <w:tcPr>
            <w:tcW w:w="1022" w:type="dxa"/>
            <w:noWrap/>
            <w:hideMark/>
          </w:tcPr>
          <w:p w14:paraId="29E19C9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2.30%</w:t>
            </w:r>
          </w:p>
        </w:tc>
        <w:tc>
          <w:tcPr>
            <w:tcW w:w="1305" w:type="dxa"/>
            <w:noWrap/>
            <w:hideMark/>
          </w:tcPr>
          <w:p w14:paraId="4F40A4C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57.50%</w:t>
            </w:r>
          </w:p>
        </w:tc>
      </w:tr>
      <w:tr w:rsidR="00BF10A3" w:rsidRPr="007F58F4" w14:paraId="1EB41ABC" w14:textId="77777777" w:rsidTr="001F7400">
        <w:trPr>
          <w:trHeight w:val="252"/>
        </w:trPr>
        <w:tc>
          <w:tcPr>
            <w:tcW w:w="901" w:type="dxa"/>
            <w:vMerge/>
            <w:hideMark/>
          </w:tcPr>
          <w:p w14:paraId="116A1A3A"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2E7CCD8E"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04E69A0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1st Professional Degree</w:t>
            </w:r>
          </w:p>
        </w:tc>
        <w:tc>
          <w:tcPr>
            <w:tcW w:w="1218" w:type="dxa"/>
            <w:noWrap/>
            <w:hideMark/>
          </w:tcPr>
          <w:p w14:paraId="1DB0B9E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1FD9340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51.30%</w:t>
            </w:r>
          </w:p>
        </w:tc>
        <w:tc>
          <w:tcPr>
            <w:tcW w:w="1083" w:type="dxa"/>
            <w:noWrap/>
            <w:hideMark/>
          </w:tcPr>
          <w:p w14:paraId="6AACD6B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31.70%</w:t>
            </w:r>
          </w:p>
        </w:tc>
        <w:tc>
          <w:tcPr>
            <w:tcW w:w="1008" w:type="dxa"/>
            <w:noWrap/>
            <w:hideMark/>
          </w:tcPr>
          <w:p w14:paraId="03B607D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56.20%</w:t>
            </w:r>
          </w:p>
        </w:tc>
        <w:tc>
          <w:tcPr>
            <w:tcW w:w="1022" w:type="dxa"/>
            <w:noWrap/>
            <w:hideMark/>
          </w:tcPr>
          <w:p w14:paraId="7957A96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0.00%</w:t>
            </w:r>
          </w:p>
        </w:tc>
        <w:tc>
          <w:tcPr>
            <w:tcW w:w="1305" w:type="dxa"/>
            <w:noWrap/>
            <w:hideMark/>
          </w:tcPr>
          <w:p w14:paraId="3309EC1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94.70%</w:t>
            </w:r>
          </w:p>
        </w:tc>
      </w:tr>
      <w:tr w:rsidR="00BF10A3" w:rsidRPr="007F58F4" w14:paraId="5A82B0C5" w14:textId="77777777" w:rsidTr="001F7400">
        <w:trPr>
          <w:trHeight w:val="252"/>
        </w:trPr>
        <w:tc>
          <w:tcPr>
            <w:tcW w:w="901" w:type="dxa"/>
            <w:vMerge/>
            <w:hideMark/>
          </w:tcPr>
          <w:p w14:paraId="7E725DFC"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048C758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2-3 year</w:t>
            </w:r>
          </w:p>
        </w:tc>
        <w:tc>
          <w:tcPr>
            <w:tcW w:w="1938" w:type="dxa"/>
            <w:noWrap/>
            <w:hideMark/>
          </w:tcPr>
          <w:p w14:paraId="1B855B9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6617756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74.90%</w:t>
            </w:r>
          </w:p>
        </w:tc>
        <w:tc>
          <w:tcPr>
            <w:tcW w:w="1388" w:type="dxa"/>
            <w:noWrap/>
            <w:hideMark/>
          </w:tcPr>
          <w:p w14:paraId="2CFF466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43.40%</w:t>
            </w:r>
          </w:p>
        </w:tc>
        <w:tc>
          <w:tcPr>
            <w:tcW w:w="1083" w:type="dxa"/>
            <w:noWrap/>
            <w:hideMark/>
          </w:tcPr>
          <w:p w14:paraId="583BFB4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27.80%</w:t>
            </w:r>
          </w:p>
        </w:tc>
        <w:tc>
          <w:tcPr>
            <w:tcW w:w="1008" w:type="dxa"/>
            <w:noWrap/>
            <w:hideMark/>
          </w:tcPr>
          <w:p w14:paraId="1023152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53.90%</w:t>
            </w:r>
          </w:p>
        </w:tc>
        <w:tc>
          <w:tcPr>
            <w:tcW w:w="1022" w:type="dxa"/>
            <w:noWrap/>
            <w:hideMark/>
          </w:tcPr>
          <w:p w14:paraId="2CEE5A0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4.70%</w:t>
            </w:r>
          </w:p>
        </w:tc>
        <w:tc>
          <w:tcPr>
            <w:tcW w:w="1305" w:type="dxa"/>
            <w:noWrap/>
            <w:hideMark/>
          </w:tcPr>
          <w:p w14:paraId="4F00532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65.40%</w:t>
            </w:r>
          </w:p>
        </w:tc>
      </w:tr>
      <w:tr w:rsidR="00BF10A3" w:rsidRPr="007F58F4" w14:paraId="2B0BE840" w14:textId="77777777" w:rsidTr="001F7400">
        <w:trPr>
          <w:trHeight w:val="252"/>
        </w:trPr>
        <w:tc>
          <w:tcPr>
            <w:tcW w:w="901" w:type="dxa"/>
            <w:vMerge/>
            <w:hideMark/>
          </w:tcPr>
          <w:p w14:paraId="62C458D8"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21914A29"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5DD6CBC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Associate's</w:t>
            </w:r>
          </w:p>
        </w:tc>
        <w:tc>
          <w:tcPr>
            <w:tcW w:w="1218" w:type="dxa"/>
            <w:noWrap/>
            <w:hideMark/>
          </w:tcPr>
          <w:p w14:paraId="1453822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74.20%</w:t>
            </w:r>
          </w:p>
        </w:tc>
        <w:tc>
          <w:tcPr>
            <w:tcW w:w="1388" w:type="dxa"/>
            <w:noWrap/>
            <w:hideMark/>
          </w:tcPr>
          <w:p w14:paraId="62B5FB1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44.40%</w:t>
            </w:r>
          </w:p>
        </w:tc>
        <w:tc>
          <w:tcPr>
            <w:tcW w:w="1083" w:type="dxa"/>
            <w:noWrap/>
            <w:hideMark/>
          </w:tcPr>
          <w:p w14:paraId="7A6EC67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24.20%</w:t>
            </w:r>
          </w:p>
        </w:tc>
        <w:tc>
          <w:tcPr>
            <w:tcW w:w="1008" w:type="dxa"/>
            <w:noWrap/>
            <w:hideMark/>
          </w:tcPr>
          <w:p w14:paraId="06C1DCD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54.00%</w:t>
            </w:r>
          </w:p>
        </w:tc>
        <w:tc>
          <w:tcPr>
            <w:tcW w:w="1022" w:type="dxa"/>
            <w:noWrap/>
            <w:hideMark/>
          </w:tcPr>
          <w:p w14:paraId="5642E55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5.00%</w:t>
            </w:r>
          </w:p>
        </w:tc>
        <w:tc>
          <w:tcPr>
            <w:tcW w:w="1305" w:type="dxa"/>
            <w:noWrap/>
            <w:hideMark/>
          </w:tcPr>
          <w:p w14:paraId="5F646F3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62.90%</w:t>
            </w:r>
          </w:p>
        </w:tc>
      </w:tr>
      <w:tr w:rsidR="00BF10A3" w:rsidRPr="007F58F4" w14:paraId="5D4574CA" w14:textId="77777777" w:rsidTr="001F7400">
        <w:trPr>
          <w:trHeight w:val="252"/>
        </w:trPr>
        <w:tc>
          <w:tcPr>
            <w:tcW w:w="901" w:type="dxa"/>
            <w:vMerge/>
            <w:hideMark/>
          </w:tcPr>
          <w:p w14:paraId="02D9B379"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74C6E2B9"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0CF4D52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27A168C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763D2B3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16.80%</w:t>
            </w:r>
          </w:p>
        </w:tc>
        <w:tc>
          <w:tcPr>
            <w:tcW w:w="1083" w:type="dxa"/>
            <w:noWrap/>
            <w:hideMark/>
          </w:tcPr>
          <w:p w14:paraId="23B02BDC"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44.40%</w:t>
            </w:r>
          </w:p>
        </w:tc>
        <w:tc>
          <w:tcPr>
            <w:tcW w:w="1008" w:type="dxa"/>
            <w:noWrap/>
            <w:hideMark/>
          </w:tcPr>
          <w:p w14:paraId="388F5E0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86.00%</w:t>
            </w:r>
          </w:p>
        </w:tc>
        <w:tc>
          <w:tcPr>
            <w:tcW w:w="1022" w:type="dxa"/>
            <w:noWrap/>
            <w:hideMark/>
          </w:tcPr>
          <w:p w14:paraId="6F171AD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2.80%</w:t>
            </w:r>
          </w:p>
        </w:tc>
        <w:tc>
          <w:tcPr>
            <w:tcW w:w="1305" w:type="dxa"/>
            <w:noWrap/>
            <w:hideMark/>
          </w:tcPr>
          <w:p w14:paraId="646DA45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79.20%</w:t>
            </w:r>
          </w:p>
        </w:tc>
      </w:tr>
      <w:tr w:rsidR="00BF10A3" w:rsidRPr="007F58F4" w14:paraId="53374D64" w14:textId="77777777" w:rsidTr="001F7400">
        <w:trPr>
          <w:trHeight w:val="252"/>
        </w:trPr>
        <w:tc>
          <w:tcPr>
            <w:tcW w:w="901" w:type="dxa"/>
            <w:vMerge/>
            <w:hideMark/>
          </w:tcPr>
          <w:p w14:paraId="4C9E6085" w14:textId="77777777" w:rsidR="00BF10A3" w:rsidRPr="007F58F4" w:rsidRDefault="00BF10A3" w:rsidP="001F7400">
            <w:pPr>
              <w:rPr>
                <w:rFonts w:ascii="Courier New" w:eastAsiaTheme="minorHAnsi" w:hAnsi="Courier New" w:cs="Courier New"/>
                <w:sz w:val="16"/>
                <w:szCs w:val="16"/>
              </w:rPr>
            </w:pPr>
          </w:p>
        </w:tc>
        <w:tc>
          <w:tcPr>
            <w:tcW w:w="1651" w:type="dxa"/>
            <w:vMerge w:val="restart"/>
            <w:noWrap/>
            <w:hideMark/>
          </w:tcPr>
          <w:p w14:paraId="72E9A0C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 year</w:t>
            </w:r>
          </w:p>
        </w:tc>
        <w:tc>
          <w:tcPr>
            <w:tcW w:w="1938" w:type="dxa"/>
            <w:noWrap/>
            <w:hideMark/>
          </w:tcPr>
          <w:p w14:paraId="07CB24E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Certificate</w:t>
            </w:r>
          </w:p>
        </w:tc>
        <w:tc>
          <w:tcPr>
            <w:tcW w:w="1218" w:type="dxa"/>
            <w:noWrap/>
            <w:hideMark/>
          </w:tcPr>
          <w:p w14:paraId="175292F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72.10%</w:t>
            </w:r>
          </w:p>
        </w:tc>
        <w:tc>
          <w:tcPr>
            <w:tcW w:w="1388" w:type="dxa"/>
            <w:noWrap/>
            <w:hideMark/>
          </w:tcPr>
          <w:p w14:paraId="55DE108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45.30%</w:t>
            </w:r>
          </w:p>
        </w:tc>
        <w:tc>
          <w:tcPr>
            <w:tcW w:w="1083" w:type="dxa"/>
            <w:noWrap/>
            <w:hideMark/>
          </w:tcPr>
          <w:p w14:paraId="432C3D3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33.60%</w:t>
            </w:r>
          </w:p>
        </w:tc>
        <w:tc>
          <w:tcPr>
            <w:tcW w:w="1008" w:type="dxa"/>
            <w:noWrap/>
            <w:hideMark/>
          </w:tcPr>
          <w:p w14:paraId="1334653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61.30%</w:t>
            </w:r>
          </w:p>
        </w:tc>
        <w:tc>
          <w:tcPr>
            <w:tcW w:w="1022" w:type="dxa"/>
            <w:noWrap/>
            <w:hideMark/>
          </w:tcPr>
          <w:p w14:paraId="5C1B650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4.60%</w:t>
            </w:r>
          </w:p>
        </w:tc>
        <w:tc>
          <w:tcPr>
            <w:tcW w:w="1305" w:type="dxa"/>
            <w:noWrap/>
            <w:hideMark/>
          </w:tcPr>
          <w:p w14:paraId="21FF1E3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76.50%</w:t>
            </w:r>
          </w:p>
        </w:tc>
      </w:tr>
      <w:tr w:rsidR="00BF10A3" w:rsidRPr="007F58F4" w14:paraId="175726BE" w14:textId="77777777" w:rsidTr="001F7400">
        <w:trPr>
          <w:trHeight w:val="252"/>
        </w:trPr>
        <w:tc>
          <w:tcPr>
            <w:tcW w:w="901" w:type="dxa"/>
            <w:vMerge/>
            <w:hideMark/>
          </w:tcPr>
          <w:p w14:paraId="0BA0E99F"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372F28A4"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2736F80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Associate's</w:t>
            </w:r>
          </w:p>
        </w:tc>
        <w:tc>
          <w:tcPr>
            <w:tcW w:w="1218" w:type="dxa"/>
            <w:noWrap/>
            <w:hideMark/>
          </w:tcPr>
          <w:p w14:paraId="02D6770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60.00%</w:t>
            </w:r>
          </w:p>
        </w:tc>
        <w:tc>
          <w:tcPr>
            <w:tcW w:w="1388" w:type="dxa"/>
            <w:noWrap/>
            <w:hideMark/>
          </w:tcPr>
          <w:p w14:paraId="78A0B70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35.60%</w:t>
            </w:r>
          </w:p>
        </w:tc>
        <w:tc>
          <w:tcPr>
            <w:tcW w:w="1083" w:type="dxa"/>
            <w:noWrap/>
            <w:hideMark/>
          </w:tcPr>
          <w:p w14:paraId="489B95C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38.90%</w:t>
            </w:r>
          </w:p>
        </w:tc>
        <w:tc>
          <w:tcPr>
            <w:tcW w:w="1008" w:type="dxa"/>
            <w:noWrap/>
            <w:hideMark/>
          </w:tcPr>
          <w:p w14:paraId="13CE40F9"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66.70%</w:t>
            </w:r>
          </w:p>
        </w:tc>
        <w:tc>
          <w:tcPr>
            <w:tcW w:w="1022" w:type="dxa"/>
            <w:noWrap/>
            <w:hideMark/>
          </w:tcPr>
          <w:p w14:paraId="6A9F5B1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11.80%</w:t>
            </w:r>
          </w:p>
        </w:tc>
        <w:tc>
          <w:tcPr>
            <w:tcW w:w="1305" w:type="dxa"/>
            <w:noWrap/>
            <w:hideMark/>
          </w:tcPr>
          <w:p w14:paraId="7E763188"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63.20%</w:t>
            </w:r>
          </w:p>
        </w:tc>
      </w:tr>
      <w:tr w:rsidR="00BF10A3" w:rsidRPr="007F58F4" w14:paraId="4D33FB2D" w14:textId="77777777" w:rsidTr="001F7400">
        <w:trPr>
          <w:trHeight w:val="252"/>
        </w:trPr>
        <w:tc>
          <w:tcPr>
            <w:tcW w:w="901" w:type="dxa"/>
            <w:vMerge/>
            <w:hideMark/>
          </w:tcPr>
          <w:p w14:paraId="057615ED"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1E33E2D7"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47921F5B"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Bachelor's</w:t>
            </w:r>
          </w:p>
        </w:tc>
        <w:tc>
          <w:tcPr>
            <w:tcW w:w="1218" w:type="dxa"/>
            <w:noWrap/>
            <w:hideMark/>
          </w:tcPr>
          <w:p w14:paraId="4BC9CA5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55.30%</w:t>
            </w:r>
          </w:p>
        </w:tc>
        <w:tc>
          <w:tcPr>
            <w:tcW w:w="1388" w:type="dxa"/>
            <w:noWrap/>
            <w:hideMark/>
          </w:tcPr>
          <w:p w14:paraId="17633A4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27.00%</w:t>
            </w:r>
          </w:p>
        </w:tc>
        <w:tc>
          <w:tcPr>
            <w:tcW w:w="1083" w:type="dxa"/>
            <w:noWrap/>
            <w:hideMark/>
          </w:tcPr>
          <w:p w14:paraId="54BE854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39.40%</w:t>
            </w:r>
          </w:p>
        </w:tc>
        <w:tc>
          <w:tcPr>
            <w:tcW w:w="1008" w:type="dxa"/>
            <w:noWrap/>
            <w:hideMark/>
          </w:tcPr>
          <w:p w14:paraId="2C0B374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75.20%</w:t>
            </w:r>
          </w:p>
        </w:tc>
        <w:tc>
          <w:tcPr>
            <w:tcW w:w="1022" w:type="dxa"/>
            <w:noWrap/>
            <w:hideMark/>
          </w:tcPr>
          <w:p w14:paraId="455473C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14.70%</w:t>
            </w:r>
          </w:p>
        </w:tc>
        <w:tc>
          <w:tcPr>
            <w:tcW w:w="1305" w:type="dxa"/>
            <w:noWrap/>
            <w:hideMark/>
          </w:tcPr>
          <w:p w14:paraId="53E9D8E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59.50%</w:t>
            </w:r>
          </w:p>
        </w:tc>
      </w:tr>
      <w:tr w:rsidR="00BF10A3" w:rsidRPr="007F58F4" w14:paraId="6C28A666" w14:textId="77777777" w:rsidTr="001F7400">
        <w:trPr>
          <w:trHeight w:val="252"/>
        </w:trPr>
        <w:tc>
          <w:tcPr>
            <w:tcW w:w="901" w:type="dxa"/>
            <w:vMerge/>
            <w:hideMark/>
          </w:tcPr>
          <w:p w14:paraId="5E37C995"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1D3D49F9"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534B9E1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Post-Bacc Certificate</w:t>
            </w:r>
          </w:p>
        </w:tc>
        <w:tc>
          <w:tcPr>
            <w:tcW w:w="1218" w:type="dxa"/>
            <w:noWrap/>
            <w:hideMark/>
          </w:tcPr>
          <w:p w14:paraId="16FBA607"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4F1D28B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15.50%</w:t>
            </w:r>
          </w:p>
        </w:tc>
        <w:tc>
          <w:tcPr>
            <w:tcW w:w="1083" w:type="dxa"/>
            <w:noWrap/>
            <w:hideMark/>
          </w:tcPr>
          <w:p w14:paraId="2CAEF97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43.70%</w:t>
            </w:r>
          </w:p>
        </w:tc>
        <w:tc>
          <w:tcPr>
            <w:tcW w:w="1008" w:type="dxa"/>
            <w:noWrap/>
            <w:hideMark/>
          </w:tcPr>
          <w:p w14:paraId="4FA480E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97.90%</w:t>
            </w:r>
          </w:p>
        </w:tc>
        <w:tc>
          <w:tcPr>
            <w:tcW w:w="1022" w:type="dxa"/>
            <w:noWrap/>
            <w:hideMark/>
          </w:tcPr>
          <w:p w14:paraId="74F0F1E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8.00%</w:t>
            </w:r>
          </w:p>
        </w:tc>
        <w:tc>
          <w:tcPr>
            <w:tcW w:w="1305" w:type="dxa"/>
            <w:noWrap/>
            <w:hideMark/>
          </w:tcPr>
          <w:p w14:paraId="5A7C432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75.50%</w:t>
            </w:r>
          </w:p>
        </w:tc>
      </w:tr>
      <w:tr w:rsidR="00BF10A3" w:rsidRPr="007F58F4" w14:paraId="3663C3A7" w14:textId="77777777" w:rsidTr="001F7400">
        <w:trPr>
          <w:trHeight w:val="252"/>
        </w:trPr>
        <w:tc>
          <w:tcPr>
            <w:tcW w:w="901" w:type="dxa"/>
            <w:vMerge/>
            <w:hideMark/>
          </w:tcPr>
          <w:p w14:paraId="6E848D97"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6E38C154"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125DADE0"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Master's</w:t>
            </w:r>
          </w:p>
        </w:tc>
        <w:tc>
          <w:tcPr>
            <w:tcW w:w="1218" w:type="dxa"/>
            <w:noWrap/>
            <w:hideMark/>
          </w:tcPr>
          <w:p w14:paraId="2EE435A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03EC1CB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19.00%</w:t>
            </w:r>
          </w:p>
        </w:tc>
        <w:tc>
          <w:tcPr>
            <w:tcW w:w="1083" w:type="dxa"/>
            <w:noWrap/>
            <w:hideMark/>
          </w:tcPr>
          <w:p w14:paraId="1417784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48.30%</w:t>
            </w:r>
          </w:p>
        </w:tc>
        <w:tc>
          <w:tcPr>
            <w:tcW w:w="1008" w:type="dxa"/>
            <w:noWrap/>
            <w:hideMark/>
          </w:tcPr>
          <w:p w14:paraId="636DC15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94.50%</w:t>
            </w:r>
          </w:p>
        </w:tc>
        <w:tc>
          <w:tcPr>
            <w:tcW w:w="1022" w:type="dxa"/>
            <w:noWrap/>
            <w:hideMark/>
          </w:tcPr>
          <w:p w14:paraId="049EEB05"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14.00%</w:t>
            </w:r>
          </w:p>
        </w:tc>
        <w:tc>
          <w:tcPr>
            <w:tcW w:w="1305" w:type="dxa"/>
            <w:noWrap/>
            <w:hideMark/>
          </w:tcPr>
          <w:p w14:paraId="5FAACC12"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66.00%</w:t>
            </w:r>
          </w:p>
        </w:tc>
      </w:tr>
      <w:tr w:rsidR="00BF10A3" w:rsidRPr="007F58F4" w14:paraId="553E4C0F" w14:textId="77777777" w:rsidTr="001F7400">
        <w:trPr>
          <w:trHeight w:val="252"/>
        </w:trPr>
        <w:tc>
          <w:tcPr>
            <w:tcW w:w="901" w:type="dxa"/>
            <w:vMerge/>
            <w:hideMark/>
          </w:tcPr>
          <w:p w14:paraId="2C55B3D6"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6EE0EE3C"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4620574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Doctoral</w:t>
            </w:r>
          </w:p>
        </w:tc>
        <w:tc>
          <w:tcPr>
            <w:tcW w:w="1218" w:type="dxa"/>
            <w:noWrap/>
            <w:hideMark/>
          </w:tcPr>
          <w:p w14:paraId="61C2073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6B9B34B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16.50%</w:t>
            </w:r>
          </w:p>
        </w:tc>
        <w:tc>
          <w:tcPr>
            <w:tcW w:w="1083" w:type="dxa"/>
            <w:noWrap/>
            <w:hideMark/>
          </w:tcPr>
          <w:p w14:paraId="3C4381F1"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48.90%</w:t>
            </w:r>
          </w:p>
        </w:tc>
        <w:tc>
          <w:tcPr>
            <w:tcW w:w="1008" w:type="dxa"/>
            <w:noWrap/>
            <w:hideMark/>
          </w:tcPr>
          <w:p w14:paraId="04DCCC7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97.90%</w:t>
            </w:r>
          </w:p>
        </w:tc>
        <w:tc>
          <w:tcPr>
            <w:tcW w:w="1022" w:type="dxa"/>
            <w:noWrap/>
            <w:hideMark/>
          </w:tcPr>
          <w:p w14:paraId="259C1FB6"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14.60%</w:t>
            </w:r>
          </w:p>
        </w:tc>
        <w:tc>
          <w:tcPr>
            <w:tcW w:w="1305" w:type="dxa"/>
            <w:noWrap/>
            <w:hideMark/>
          </w:tcPr>
          <w:p w14:paraId="71794AFA"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66.90%</w:t>
            </w:r>
          </w:p>
        </w:tc>
      </w:tr>
      <w:tr w:rsidR="00BF10A3" w:rsidRPr="007F58F4" w14:paraId="2D05D289" w14:textId="77777777" w:rsidTr="001F7400">
        <w:trPr>
          <w:trHeight w:val="252"/>
        </w:trPr>
        <w:tc>
          <w:tcPr>
            <w:tcW w:w="901" w:type="dxa"/>
            <w:vMerge/>
            <w:hideMark/>
          </w:tcPr>
          <w:p w14:paraId="51F8C339" w14:textId="77777777" w:rsidR="00BF10A3" w:rsidRPr="007F58F4" w:rsidRDefault="00BF10A3" w:rsidP="001F7400">
            <w:pPr>
              <w:rPr>
                <w:rFonts w:ascii="Courier New" w:eastAsiaTheme="minorHAnsi" w:hAnsi="Courier New" w:cs="Courier New"/>
                <w:sz w:val="16"/>
                <w:szCs w:val="16"/>
              </w:rPr>
            </w:pPr>
          </w:p>
        </w:tc>
        <w:tc>
          <w:tcPr>
            <w:tcW w:w="1651" w:type="dxa"/>
            <w:vMerge/>
            <w:hideMark/>
          </w:tcPr>
          <w:p w14:paraId="4F665180" w14:textId="77777777" w:rsidR="00BF10A3" w:rsidRPr="007F58F4" w:rsidRDefault="00BF10A3" w:rsidP="001F7400">
            <w:pPr>
              <w:rPr>
                <w:rFonts w:ascii="Courier New" w:eastAsiaTheme="minorHAnsi" w:hAnsi="Courier New" w:cs="Courier New"/>
                <w:sz w:val="16"/>
                <w:szCs w:val="16"/>
              </w:rPr>
            </w:pPr>
          </w:p>
        </w:tc>
        <w:tc>
          <w:tcPr>
            <w:tcW w:w="1938" w:type="dxa"/>
            <w:noWrap/>
            <w:hideMark/>
          </w:tcPr>
          <w:p w14:paraId="235175A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1st Professional Degree</w:t>
            </w:r>
          </w:p>
        </w:tc>
        <w:tc>
          <w:tcPr>
            <w:tcW w:w="1218" w:type="dxa"/>
            <w:noWrap/>
            <w:hideMark/>
          </w:tcPr>
          <w:p w14:paraId="071ADBC4"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n/a</w:t>
            </w:r>
          </w:p>
        </w:tc>
        <w:tc>
          <w:tcPr>
            <w:tcW w:w="1388" w:type="dxa"/>
            <w:noWrap/>
            <w:hideMark/>
          </w:tcPr>
          <w:p w14:paraId="2C6D90BF"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27.10%</w:t>
            </w:r>
          </w:p>
        </w:tc>
        <w:tc>
          <w:tcPr>
            <w:tcW w:w="1083" w:type="dxa"/>
            <w:noWrap/>
            <w:hideMark/>
          </w:tcPr>
          <w:p w14:paraId="0256BF1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32.70%</w:t>
            </w:r>
          </w:p>
        </w:tc>
        <w:tc>
          <w:tcPr>
            <w:tcW w:w="1008" w:type="dxa"/>
            <w:noWrap/>
            <w:hideMark/>
          </w:tcPr>
          <w:p w14:paraId="54EE7933"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80.90%</w:t>
            </w:r>
          </w:p>
        </w:tc>
        <w:tc>
          <w:tcPr>
            <w:tcW w:w="1022" w:type="dxa"/>
            <w:noWrap/>
            <w:hideMark/>
          </w:tcPr>
          <w:p w14:paraId="5BAC862D"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10.90%</w:t>
            </w:r>
          </w:p>
        </w:tc>
        <w:tc>
          <w:tcPr>
            <w:tcW w:w="1305" w:type="dxa"/>
            <w:noWrap/>
            <w:hideMark/>
          </w:tcPr>
          <w:p w14:paraId="04A4455E" w14:textId="77777777" w:rsidR="00BF10A3" w:rsidRPr="007F58F4" w:rsidRDefault="00BF10A3" w:rsidP="001F7400">
            <w:pPr>
              <w:rPr>
                <w:rFonts w:ascii="Courier New" w:eastAsiaTheme="minorHAnsi" w:hAnsi="Courier New" w:cs="Courier New"/>
                <w:sz w:val="16"/>
                <w:szCs w:val="16"/>
              </w:rPr>
            </w:pPr>
            <w:r w:rsidRPr="007F58F4">
              <w:rPr>
                <w:rFonts w:ascii="Courier New" w:eastAsiaTheme="minorHAnsi" w:hAnsi="Courier New" w:cs="Courier New"/>
                <w:sz w:val="16"/>
                <w:szCs w:val="16"/>
              </w:rPr>
              <w:t>52.40%</w:t>
            </w:r>
          </w:p>
        </w:tc>
      </w:tr>
      <w:tr w:rsidR="00BF10A3" w:rsidRPr="007F58F4" w14:paraId="7FEED174" w14:textId="77777777" w:rsidTr="001F7400">
        <w:trPr>
          <w:trHeight w:val="252"/>
        </w:trPr>
        <w:tc>
          <w:tcPr>
            <w:tcW w:w="901" w:type="dxa"/>
            <w:noWrap/>
            <w:hideMark/>
          </w:tcPr>
          <w:p w14:paraId="536A8BC3"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All</w:t>
            </w:r>
          </w:p>
        </w:tc>
        <w:tc>
          <w:tcPr>
            <w:tcW w:w="3589" w:type="dxa"/>
            <w:gridSpan w:val="2"/>
            <w:hideMark/>
          </w:tcPr>
          <w:p w14:paraId="3980A84F"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All</w:t>
            </w:r>
          </w:p>
        </w:tc>
        <w:tc>
          <w:tcPr>
            <w:tcW w:w="1218" w:type="dxa"/>
            <w:noWrap/>
            <w:hideMark/>
          </w:tcPr>
          <w:p w14:paraId="17C5AAD4"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64.90%</w:t>
            </w:r>
          </w:p>
        </w:tc>
        <w:tc>
          <w:tcPr>
            <w:tcW w:w="1388" w:type="dxa"/>
            <w:noWrap/>
            <w:hideMark/>
          </w:tcPr>
          <w:p w14:paraId="15374F79"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34.70%</w:t>
            </w:r>
          </w:p>
        </w:tc>
        <w:tc>
          <w:tcPr>
            <w:tcW w:w="1083" w:type="dxa"/>
            <w:noWrap/>
            <w:hideMark/>
          </w:tcPr>
          <w:p w14:paraId="05F0A13D"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36.10%</w:t>
            </w:r>
          </w:p>
        </w:tc>
        <w:tc>
          <w:tcPr>
            <w:tcW w:w="1008" w:type="dxa"/>
            <w:noWrap/>
            <w:hideMark/>
          </w:tcPr>
          <w:p w14:paraId="7B665130"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68.50%</w:t>
            </w:r>
          </w:p>
        </w:tc>
        <w:tc>
          <w:tcPr>
            <w:tcW w:w="1022" w:type="dxa"/>
            <w:noWrap/>
            <w:hideMark/>
          </w:tcPr>
          <w:p w14:paraId="1F4588D7"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10.00%</w:t>
            </w:r>
          </w:p>
        </w:tc>
        <w:tc>
          <w:tcPr>
            <w:tcW w:w="1305" w:type="dxa"/>
            <w:noWrap/>
            <w:hideMark/>
          </w:tcPr>
          <w:p w14:paraId="499F50E2" w14:textId="77777777" w:rsidR="00BF10A3" w:rsidRPr="00C55DF5" w:rsidRDefault="00BF10A3" w:rsidP="001F7400">
            <w:pPr>
              <w:rPr>
                <w:rFonts w:ascii="Courier New" w:eastAsiaTheme="minorHAnsi" w:hAnsi="Courier New" w:cs="Courier New"/>
                <w:b/>
                <w:sz w:val="16"/>
                <w:szCs w:val="16"/>
              </w:rPr>
            </w:pPr>
            <w:r w:rsidRPr="00C55DF5">
              <w:rPr>
                <w:rFonts w:ascii="Courier New" w:eastAsiaTheme="minorHAnsi" w:hAnsi="Courier New" w:cs="Courier New"/>
                <w:b/>
                <w:sz w:val="16"/>
                <w:szCs w:val="16"/>
              </w:rPr>
              <w:t>64.50%</w:t>
            </w:r>
          </w:p>
        </w:tc>
      </w:tr>
    </w:tbl>
    <w:p w14:paraId="07E649CD" w14:textId="77777777" w:rsidR="00BF10A3" w:rsidRPr="007F58F4" w:rsidRDefault="00BF10A3" w:rsidP="00BF10A3">
      <w:pPr>
        <w:spacing w:after="0" w:line="480" w:lineRule="auto"/>
        <w:rPr>
          <w:rFonts w:ascii="Courier New" w:hAnsi="Courier New" w:cs="Courier New"/>
          <w:b/>
          <w:sz w:val="16"/>
          <w:szCs w:val="16"/>
        </w:rPr>
      </w:pPr>
    </w:p>
    <w:p w14:paraId="28A9FE4A" w14:textId="77777777" w:rsidR="00BF10A3" w:rsidRDefault="00BF10A3" w:rsidP="00BF10A3">
      <w:pPr>
        <w:rPr>
          <w:rFonts w:ascii="Courier New" w:hAnsi="Courier New" w:cs="Courier New"/>
          <w:b/>
          <w:sz w:val="24"/>
          <w:szCs w:val="24"/>
        </w:rPr>
        <w:sectPr w:rsidR="00BF10A3" w:rsidSect="007F58F4">
          <w:pgSz w:w="15840" w:h="12240" w:orient="landscape"/>
          <w:pgMar w:top="1440" w:right="1440" w:bottom="1440" w:left="1440" w:header="720" w:footer="720" w:gutter="0"/>
          <w:cols w:space="720"/>
          <w:docGrid w:linePitch="360"/>
        </w:sectPr>
      </w:pPr>
      <w:r>
        <w:rPr>
          <w:rFonts w:ascii="Courier New" w:hAnsi="Courier New" w:cs="Courier New"/>
          <w:b/>
          <w:sz w:val="24"/>
          <w:szCs w:val="24"/>
        </w:rPr>
        <w:br w:type="page"/>
      </w:r>
    </w:p>
    <w:p w14:paraId="1C8D14EF"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Research has demonstrated the significant benefits of postsecondary education.  Among them are private pecuniary benefits</w:t>
      </w:r>
      <w:r w:rsidRPr="00AA6DFD">
        <w:rPr>
          <w:rStyle w:val="FootnoteReference"/>
          <w:rFonts w:ascii="Courier New" w:hAnsi="Courier New" w:cs="Courier New"/>
          <w:sz w:val="24"/>
          <w:szCs w:val="24"/>
        </w:rPr>
        <w:footnoteReference w:id="189"/>
      </w:r>
      <w:r w:rsidRPr="00AA6DFD">
        <w:rPr>
          <w:rFonts w:ascii="Courier New" w:hAnsi="Courier New" w:cs="Courier New"/>
          <w:sz w:val="24"/>
          <w:szCs w:val="24"/>
        </w:rPr>
        <w:t xml:space="preserve"> such as higher wages and social benefits such as a better educated and flexible workforce and greater civic participation.</w:t>
      </w:r>
      <w:r w:rsidRPr="00AA6DFD">
        <w:rPr>
          <w:rStyle w:val="FootnoteReference"/>
          <w:rFonts w:ascii="Courier New" w:hAnsi="Courier New" w:cs="Courier New"/>
          <w:sz w:val="24"/>
          <w:szCs w:val="24"/>
        </w:rPr>
        <w:footnoteReference w:id="190"/>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191"/>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192"/>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193"/>
      </w:r>
      <w:r w:rsidRPr="00AA6DFD">
        <w:rPr>
          <w:rFonts w:ascii="Courier New" w:hAnsi="Courier New" w:cs="Courier New"/>
          <w:sz w:val="24"/>
          <w:szCs w:val="24"/>
        </w:rPr>
        <w:t xml:space="preserve">  Even though the costs of postsecondary education have risen, there is evidence that the average financial returns to graduates have also increased.</w:t>
      </w:r>
      <w:r w:rsidRPr="00AA6DFD">
        <w:rPr>
          <w:rStyle w:val="FootnoteReference"/>
          <w:rFonts w:ascii="Courier New" w:hAnsi="Courier New" w:cs="Courier New"/>
          <w:sz w:val="24"/>
          <w:szCs w:val="24"/>
        </w:rPr>
        <w:footnoteReference w:id="194"/>
      </w:r>
      <w:r w:rsidRPr="00AA6DFD">
        <w:rPr>
          <w:rFonts w:ascii="Courier New" w:hAnsi="Courier New" w:cs="Courier New"/>
          <w:sz w:val="24"/>
          <w:szCs w:val="24"/>
        </w:rPr>
        <w:t xml:space="preserve">     </w:t>
      </w:r>
    </w:p>
    <w:p w14:paraId="6B68C334"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Our analysis, provided in more detail in “Analysis of the Regulations,” reveals that low earnings and high rates of student loan default are common in many GE programs.  For example, 27 percent of the 5,539 GE programs that the Department estimates would be assessed under the accountability metrics of the final regulations produced graduates with mean and median annual earnings below those of a full-time worker earning no more than the Federal minimum wage ($15,080).</w:t>
      </w:r>
      <w:r w:rsidRPr="00AA6DFD">
        <w:rPr>
          <w:rFonts w:ascii="Courier New" w:hAnsi="Courier New" w:cs="Courier New"/>
          <w:sz w:val="24"/>
          <w:szCs w:val="24"/>
          <w:vertAlign w:val="superscript"/>
        </w:rPr>
        <w:footnoteReference w:id="195"/>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196"/>
      </w:r>
      <w:r w:rsidRPr="00AA6DFD">
        <w:rPr>
          <w:rFonts w:ascii="Courier New" w:hAnsi="Courier New" w:cs="Courier New"/>
          <w:sz w:val="24"/>
          <w:szCs w:val="24"/>
        </w:rPr>
        <w:t xml:space="preserve">  Approximately 22 percent of borrowers who attended programs that the Department estimates would be assessed under the accountability metrics of the final regulations defaulted on their Federal student loans within the first three years of entering repayment.</w:t>
      </w:r>
      <w:r w:rsidRPr="00AA6DFD">
        <w:rPr>
          <w:rStyle w:val="FootnoteReference"/>
          <w:rFonts w:ascii="Courier New" w:hAnsi="Courier New" w:cs="Courier New"/>
          <w:sz w:val="24"/>
          <w:szCs w:val="24"/>
        </w:rPr>
        <w:footnoteReference w:id="197"/>
      </w:r>
      <w:r w:rsidRPr="00AA6DFD">
        <w:rPr>
          <w:rFonts w:ascii="Courier New" w:hAnsi="Courier New" w:cs="Courier New"/>
          <w:sz w:val="24"/>
          <w:szCs w:val="24"/>
        </w:rPr>
        <w:t xml:space="preserve"> </w:t>
      </w:r>
    </w:p>
    <w:p w14:paraId="2D158C71"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In light of the low earnings and high rates of default of graduates and borrowers at some GE programs, the Department is concerned that all students at these programs may not be making optimal educational and borrowing decisions.  While many students appear to borrow less than might be optimal, either because they are risk averse or lack access to credit,</w:t>
      </w:r>
      <w:r w:rsidRPr="00AA6DFD">
        <w:rPr>
          <w:rFonts w:ascii="Courier New" w:hAnsi="Courier New" w:cs="Courier New"/>
          <w:sz w:val="24"/>
          <w:szCs w:val="24"/>
          <w:vertAlign w:val="superscript"/>
        </w:rPr>
        <w:footnoteReference w:id="198"/>
      </w:r>
      <w:r w:rsidRPr="00AA6DFD">
        <w:rPr>
          <w:rFonts w:ascii="Courier New" w:hAnsi="Courier New" w:cs="Courier New"/>
          <w:sz w:val="24"/>
          <w:szCs w:val="24"/>
        </w:rPr>
        <w:t xml:space="preserve"> the outcomes previously described indicate that overborrowing may be a significant problem for at least some students.</w:t>
      </w:r>
    </w:p>
    <w:p w14:paraId="2EB989C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Over the past three decades, student loan debt has grown rapidly as increases in college costs have outstripped increases in family income,</w:t>
      </w:r>
      <w:r w:rsidRPr="00AA6DFD">
        <w:rPr>
          <w:rStyle w:val="FootnoteReference"/>
          <w:rFonts w:ascii="Courier New" w:hAnsi="Courier New" w:cs="Courier New"/>
          <w:sz w:val="24"/>
          <w:szCs w:val="24"/>
        </w:rPr>
        <w:footnoteReference w:id="199"/>
      </w:r>
      <w:r w:rsidRPr="00AA6DFD">
        <w:rPr>
          <w:rFonts w:ascii="Courier New" w:hAnsi="Courier New" w:cs="Courier New"/>
          <w:sz w:val="24"/>
          <w:szCs w:val="24"/>
        </w:rPr>
        <w:t xml:space="preserve"> State and local postsecondary education funding has flattened,</w:t>
      </w:r>
      <w:r w:rsidRPr="00AA6DFD">
        <w:rPr>
          <w:rStyle w:val="FootnoteReference"/>
          <w:rFonts w:ascii="Courier New" w:hAnsi="Courier New" w:cs="Courier New"/>
          <w:sz w:val="24"/>
          <w:szCs w:val="24"/>
        </w:rPr>
        <w:footnoteReference w:id="200"/>
      </w:r>
      <w:r w:rsidRPr="00AA6DFD">
        <w:rPr>
          <w:rFonts w:ascii="Courier New" w:hAnsi="Courier New" w:cs="Courier New"/>
          <w:sz w:val="24"/>
          <w:szCs w:val="24"/>
        </w:rPr>
        <w:t xml:space="preserve"> and relatively expensive for-profit institutions have proliferated.</w:t>
      </w:r>
      <w:r w:rsidRPr="00AA6DFD">
        <w:rPr>
          <w:rStyle w:val="FootnoteReference"/>
          <w:rFonts w:ascii="Courier New" w:hAnsi="Courier New" w:cs="Courier New"/>
          <w:sz w:val="24"/>
          <w:szCs w:val="24"/>
        </w:rPr>
        <w:footnoteReference w:id="201"/>
      </w:r>
      <w:r w:rsidRPr="00AA6DFD">
        <w:rPr>
          <w:rFonts w:ascii="Courier New" w:hAnsi="Courier New" w:cs="Courier New"/>
          <w:sz w:val="24"/>
          <w:szCs w:val="24"/>
        </w:rPr>
        <w:t xml:space="preserve">  Roughly only one-quarter of the increase in student debt in the past twenty-five years can be directly attributed to Americans obtaining more education.</w:t>
      </w:r>
      <w:r w:rsidRPr="00AA6DFD">
        <w:rPr>
          <w:rStyle w:val="FootnoteReference"/>
          <w:rFonts w:ascii="Courier New" w:hAnsi="Courier New" w:cs="Courier New"/>
          <w:sz w:val="24"/>
          <w:szCs w:val="24"/>
        </w:rPr>
        <w:footnoteReference w:id="202"/>
      </w:r>
      <w:r w:rsidRPr="00AA6DFD">
        <w:rPr>
          <w:rFonts w:ascii="Courier New" w:hAnsi="Courier New" w:cs="Courier New"/>
          <w:sz w:val="24"/>
          <w:szCs w:val="24"/>
        </w:rPr>
        <w:t xml:space="preserve"> Student loan debt now stands at over $1,096.5 billion nationally and rose by 80 percent, or $463.2 billion, between FY2008 and FY2013,</w:t>
      </w:r>
      <w:r w:rsidRPr="00AA6DFD">
        <w:rPr>
          <w:rStyle w:val="FootnoteReference"/>
          <w:rFonts w:ascii="Courier New" w:hAnsi="Courier New" w:cs="Courier New"/>
          <w:sz w:val="24"/>
          <w:szCs w:val="24"/>
        </w:rPr>
        <w:footnoteReference w:id="203"/>
      </w:r>
      <w:r w:rsidRPr="00AA6DFD">
        <w:rPr>
          <w:rFonts w:ascii="Courier New" w:hAnsi="Courier New" w:cs="Courier New"/>
          <w:sz w:val="24"/>
          <w:szCs w:val="24"/>
        </w:rPr>
        <w:t xml:space="preserve"> a period when other forms of consumer debt were flat or declining.</w:t>
      </w:r>
      <w:r w:rsidRPr="00AA6DFD">
        <w:rPr>
          <w:rStyle w:val="FootnoteReference"/>
          <w:rFonts w:ascii="Courier New" w:hAnsi="Courier New" w:cs="Courier New"/>
          <w:sz w:val="24"/>
          <w:szCs w:val="24"/>
        </w:rPr>
        <w:footnoteReference w:id="204"/>
      </w:r>
      <w:r w:rsidRPr="00AA6DFD">
        <w:rPr>
          <w:rFonts w:ascii="Courier New" w:hAnsi="Courier New" w:cs="Courier New"/>
          <w:sz w:val="24"/>
          <w:szCs w:val="24"/>
        </w:rPr>
        <w:t xml:space="preserve">  Since 2003, the percentage of 25-year-olds with student debt has nearly doubled, increasing from 25 percent to 43 percent.</w:t>
      </w:r>
      <w:r w:rsidRPr="00AA6DFD">
        <w:rPr>
          <w:rStyle w:val="FootnoteReference"/>
          <w:rFonts w:ascii="Courier New" w:hAnsi="Courier New" w:cs="Courier New"/>
          <w:sz w:val="24"/>
          <w:szCs w:val="24"/>
        </w:rPr>
        <w:footnoteReference w:id="205"/>
      </w:r>
      <w:r w:rsidRPr="00AA6DFD">
        <w:rPr>
          <w:rFonts w:ascii="Courier New" w:hAnsi="Courier New" w:cs="Courier New"/>
          <w:sz w:val="24"/>
          <w:szCs w:val="24"/>
        </w:rPr>
        <w:t xml:space="preserve">  Young people with student debt also owe more; the average student loan balance among 25-year-olds with debt has increased from $10,649 in 2003 to $20,326 in 2012.</w:t>
      </w:r>
      <w:r w:rsidRPr="00AA6DFD">
        <w:rPr>
          <w:rStyle w:val="FootnoteReference"/>
          <w:rFonts w:ascii="Courier New" w:hAnsi="Courier New" w:cs="Courier New"/>
          <w:sz w:val="24"/>
          <w:szCs w:val="24"/>
        </w:rPr>
        <w:footnoteReference w:id="206"/>
      </w:r>
      <w:r w:rsidRPr="00AA6DFD">
        <w:rPr>
          <w:rFonts w:ascii="Courier New" w:hAnsi="Courier New" w:cs="Courier New"/>
          <w:sz w:val="24"/>
          <w:szCs w:val="24"/>
        </w:rPr>
        <w:t xml:space="preserve">  </w:t>
      </w:r>
    </w:p>
    <w:p w14:paraId="1EE6FF5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increases in the percentage of young people with student debt and in average student debt loan balances have coincided with sluggish growth in State tax appropriations for higher education.</w:t>
      </w:r>
      <w:r w:rsidRPr="00AA6DFD">
        <w:rPr>
          <w:rStyle w:val="FootnoteReference"/>
          <w:rFonts w:ascii="Courier New" w:hAnsi="Courier New" w:cs="Courier New"/>
          <w:sz w:val="24"/>
          <w:szCs w:val="24"/>
        </w:rPr>
        <w:footnoteReference w:id="207"/>
      </w:r>
      <w:r w:rsidRPr="00AA6DFD">
        <w:rPr>
          <w:rFonts w:ascii="Courier New" w:hAnsi="Courier New" w:cs="Courier New"/>
          <w:sz w:val="24"/>
          <w:szCs w:val="24"/>
        </w:rPr>
        <w:t xml:space="preserve">  While State funding for public institutions has stagnated, Federal student aid has increased dramatically.   Overall Federal Pell Grant expenditures have grown from $7.96 billion in award year 2000-01 to approximately $32 billion in award year 2012-13, and Stafford Loan volumes have increased from $29.5 billion to $78 billion between award year 2000-01 and 2013-14.</w:t>
      </w:r>
      <w:r w:rsidRPr="00AA6DFD">
        <w:rPr>
          <w:rStyle w:val="FootnoteReference"/>
          <w:rFonts w:ascii="Courier New" w:hAnsi="Courier New" w:cs="Courier New"/>
          <w:sz w:val="24"/>
          <w:szCs w:val="24"/>
        </w:rPr>
        <w:footnoteReference w:id="208"/>
      </w:r>
      <w:r w:rsidRPr="00AA6DFD">
        <w:rPr>
          <w:rFonts w:ascii="Courier New" w:hAnsi="Courier New" w:cs="Courier New"/>
          <w:sz w:val="24"/>
          <w:szCs w:val="24"/>
        </w:rPr>
        <w:t xml:space="preserve">  Much of the growth in overall Pell </w:t>
      </w:r>
      <w:r w:rsidRPr="00B53B21">
        <w:rPr>
          <w:rFonts w:ascii="Courier New" w:hAnsi="Courier New" w:cs="Courier New"/>
          <w:sz w:val="24"/>
          <w:szCs w:val="24"/>
        </w:rPr>
        <w:t>Grant ex</w:t>
      </w:r>
      <w:r w:rsidRPr="00AA6DFD">
        <w:rPr>
          <w:rFonts w:ascii="Courier New" w:hAnsi="Courier New" w:cs="Courier New"/>
          <w:sz w:val="24"/>
          <w:szCs w:val="24"/>
        </w:rPr>
        <w:t>penditure is driven by an increase in recipients from approximately 4 million in award year 2000-01 to 8.8 million in 2013-14</w:t>
      </w:r>
      <w:r w:rsidRPr="00B53B21">
        <w:rPr>
          <w:rFonts w:ascii="Courier New" w:hAnsi="Courier New" w:cs="Courier New"/>
          <w:sz w:val="24"/>
          <w:szCs w:val="24"/>
        </w:rPr>
        <w:t xml:space="preserve"> and because </w:t>
      </w:r>
      <w:r w:rsidRPr="00AA6DFD">
        <w:rPr>
          <w:rFonts w:ascii="Courier New" w:hAnsi="Courier New" w:cs="Courier New"/>
          <w:sz w:val="24"/>
          <w:szCs w:val="24"/>
        </w:rPr>
        <w:t>the maximum Pell Grant grew by 10 percent after adjusting for inflation between 2003-2004 and 2013-2014.</w:t>
      </w:r>
      <w:r w:rsidRPr="00AA6DFD">
        <w:rPr>
          <w:rStyle w:val="FootnoteReference"/>
          <w:rFonts w:ascii="Courier New" w:hAnsi="Courier New"/>
          <w:sz w:val="24"/>
          <w:szCs w:val="24"/>
        </w:rPr>
        <w:footnoteReference w:id="209"/>
      </w:r>
      <w:r w:rsidRPr="00AA6DFD">
        <w:rPr>
          <w:rFonts w:ascii="Courier New" w:hAnsi="Courier New" w:cs="Courier New"/>
          <w:sz w:val="24"/>
          <w:szCs w:val="24"/>
        </w:rPr>
        <w:t xml:space="preserve">  </w:t>
      </w:r>
    </w:p>
    <w:p w14:paraId="1EDD9B79"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Other evidence suggests that student borrowing may not be too high for all students and at all institutions but rather, overborrowing results from specific and limited conditions.</w:t>
      </w:r>
      <w:r w:rsidRPr="00AA6DFD">
        <w:rPr>
          <w:rStyle w:val="FootnoteReference"/>
          <w:rFonts w:ascii="Courier New" w:hAnsi="Courier New" w:cs="Courier New"/>
          <w:sz w:val="24"/>
          <w:szCs w:val="24"/>
        </w:rPr>
        <w:footnoteReference w:id="210"/>
      </w:r>
      <w:r w:rsidRPr="00AA6DFD">
        <w:rPr>
          <w:rFonts w:ascii="Courier New" w:hAnsi="Courier New" w:cs="Courier New"/>
          <w:sz w:val="24"/>
          <w:szCs w:val="24"/>
        </w:rPr>
        <w:t xml:space="preserve">  Although students may have access to information on </w:t>
      </w:r>
      <w:r w:rsidRPr="00AA6DFD">
        <w:rPr>
          <w:rFonts w:ascii="Courier New" w:hAnsi="Courier New" w:cs="Courier New"/>
          <w:i/>
          <w:sz w:val="24"/>
          <w:szCs w:val="24"/>
        </w:rPr>
        <w:t>average</w:t>
      </w:r>
      <w:r w:rsidRPr="00AA6DFD">
        <w:rPr>
          <w:rFonts w:ascii="Courier New" w:hAnsi="Courier New" w:cs="Courier New"/>
          <w:sz w:val="24"/>
          <w:szCs w:val="24"/>
        </w:rPr>
        <w:t xml:space="preserve"> rates of return, they may not understand how their own abilities, choice of major, or choice of institution may affect their job outcomes or the expected value of the investment they make in their education.</w:t>
      </w:r>
      <w:r w:rsidRPr="00AA6DFD">
        <w:rPr>
          <w:rFonts w:ascii="Courier New" w:hAnsi="Courier New" w:cs="Courier New"/>
          <w:sz w:val="24"/>
          <w:szCs w:val="24"/>
          <w:vertAlign w:val="superscript"/>
        </w:rPr>
        <w:footnoteReference w:id="211"/>
      </w:r>
      <w:r w:rsidRPr="00AA6DFD">
        <w:rPr>
          <w:rFonts w:ascii="Courier New" w:hAnsi="Courier New" w:cs="Courier New"/>
          <w:sz w:val="24"/>
          <w:szCs w:val="24"/>
        </w:rPr>
        <w:t xml:space="preserve">  Further, overborrowing may result because students do not understand the true cost of loans, because they overestimate their chance of graduating, or because they overestimate the earnings associated with the completion of their program of study.</w:t>
      </w:r>
      <w:r w:rsidRPr="00AA6DFD">
        <w:rPr>
          <w:rFonts w:ascii="Courier New" w:hAnsi="Courier New" w:cs="Courier New"/>
          <w:sz w:val="24"/>
          <w:szCs w:val="24"/>
          <w:vertAlign w:val="superscript"/>
        </w:rPr>
        <w:footnoteReference w:id="212"/>
      </w:r>
      <w:r w:rsidRPr="00AA6DFD">
        <w:rPr>
          <w:rFonts w:ascii="Courier New" w:hAnsi="Courier New" w:cs="Courier New"/>
          <w:sz w:val="24"/>
          <w:szCs w:val="24"/>
        </w:rPr>
        <w:t xml:space="preserve">  </w:t>
      </w:r>
    </w:p>
    <w:p w14:paraId="36A22AA7"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Inefficiently high borrowing can cause substantial harm to borrowers.  There is some evidence suggesting that high levels of student debt decrease the long-term probability of marriage.</w:t>
      </w:r>
      <w:r w:rsidRPr="00AA6DFD">
        <w:rPr>
          <w:rFonts w:ascii="Courier New" w:hAnsi="Courier New" w:cs="Courier New"/>
          <w:sz w:val="24"/>
          <w:szCs w:val="24"/>
          <w:vertAlign w:val="superscript"/>
        </w:rPr>
        <w:footnoteReference w:id="213"/>
      </w:r>
      <w:r w:rsidRPr="00AA6DFD">
        <w:rPr>
          <w:rFonts w:ascii="Courier New" w:hAnsi="Courier New" w:cs="Courier New"/>
          <w:sz w:val="24"/>
          <w:szCs w:val="24"/>
        </w:rPr>
        <w:t xml:space="preserve">  For those who do not complete a degree, greater amounts of student debt may raise the probability of bankruptcy.</w:t>
      </w:r>
      <w:r w:rsidRPr="00AA6DFD">
        <w:rPr>
          <w:rFonts w:ascii="Courier New" w:hAnsi="Courier New" w:cs="Courier New"/>
          <w:sz w:val="24"/>
          <w:szCs w:val="24"/>
          <w:vertAlign w:val="superscript"/>
        </w:rPr>
        <w:footnoteReference w:id="214"/>
      </w:r>
      <w:r w:rsidRPr="00AA6DFD">
        <w:rPr>
          <w:rFonts w:ascii="Courier New" w:hAnsi="Courier New" w:cs="Courier New"/>
          <w:sz w:val="24"/>
          <w:szCs w:val="24"/>
        </w:rPr>
        <w:t xml:space="preserve">  There is also evidence that it increases the probability of being credit constrained, particularly if students underestimate the probability of dropping out.</w:t>
      </w:r>
      <w:r w:rsidRPr="00AA6DFD">
        <w:rPr>
          <w:rFonts w:ascii="Courier New" w:hAnsi="Courier New" w:cs="Courier New"/>
          <w:sz w:val="24"/>
          <w:szCs w:val="24"/>
          <w:vertAlign w:val="superscript"/>
        </w:rPr>
        <w:footnoteReference w:id="215"/>
      </w:r>
      <w:r w:rsidRPr="00AA6DFD">
        <w:rPr>
          <w:rFonts w:ascii="Courier New" w:hAnsi="Courier New" w:cs="Courier New"/>
          <w:sz w:val="24"/>
          <w:szCs w:val="24"/>
        </w:rPr>
        <w:t xml:space="preserve">  </w:t>
      </w:r>
      <w:r w:rsidRPr="00AA6DFD">
        <w:rPr>
          <w:rFonts w:ascii="Courier New" w:eastAsia="Times New Roman" w:hAnsi="Courier New" w:cs="Courier New"/>
          <w:sz w:val="24"/>
          <w:szCs w:val="24"/>
        </w:rPr>
        <w:t xml:space="preserve">Since the Great Recession, </w:t>
      </w:r>
      <w:r w:rsidRPr="00AA6DFD">
        <w:rPr>
          <w:rFonts w:ascii="Courier New" w:hAnsi="Courier New" w:cs="Courier New"/>
          <w:sz w:val="24"/>
          <w:szCs w:val="24"/>
        </w:rPr>
        <w:t>student debt has been found to be associated with reduced home ownership rates.</w:t>
      </w:r>
      <w:r w:rsidRPr="00AA6DFD">
        <w:rPr>
          <w:rFonts w:ascii="Courier New" w:hAnsi="Courier New" w:cs="Courier New"/>
          <w:sz w:val="24"/>
          <w:szCs w:val="24"/>
          <w:vertAlign w:val="superscript"/>
        </w:rPr>
        <w:footnoteReference w:id="216"/>
      </w:r>
      <w:r w:rsidRPr="00AA6DFD">
        <w:rPr>
          <w:rFonts w:ascii="Courier New" w:hAnsi="Courier New" w:cs="Courier New"/>
          <w:sz w:val="24"/>
          <w:szCs w:val="24"/>
        </w:rPr>
        <w:t xml:space="preserve">  And, high student debt may make it more difficult for borrowers to meet new mortgage underwriting standards, tightened in response to the recent recession and financial crisis.</w:t>
      </w:r>
      <w:r w:rsidRPr="00AA6DFD">
        <w:rPr>
          <w:rFonts w:ascii="Courier New" w:hAnsi="Courier New" w:cs="Courier New"/>
          <w:sz w:val="24"/>
          <w:szCs w:val="24"/>
          <w:vertAlign w:val="superscript"/>
        </w:rPr>
        <w:footnoteReference w:id="217"/>
      </w:r>
      <w:r w:rsidRPr="00AA6DFD">
        <w:rPr>
          <w:rFonts w:ascii="Courier New" w:hAnsi="Courier New" w:cs="Courier New"/>
          <w:sz w:val="24"/>
          <w:szCs w:val="24"/>
        </w:rPr>
        <w:t xml:space="preserve">  </w:t>
      </w:r>
    </w:p>
    <w:p w14:paraId="064B1D44"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Further, when borrowers default on their loans, everyday activities like signing up for utilities, obtaining insurance, and renting an apartment can become a challenge.</w:t>
      </w:r>
      <w:r w:rsidRPr="00AA6DFD">
        <w:rPr>
          <w:rStyle w:val="FootnoteReference"/>
          <w:rFonts w:ascii="Courier New" w:hAnsi="Courier New" w:cs="Courier New"/>
          <w:sz w:val="24"/>
          <w:szCs w:val="24"/>
        </w:rPr>
        <w:footnoteReference w:id="218"/>
      </w:r>
      <w:r w:rsidRPr="00AA6DFD">
        <w:rPr>
          <w:rFonts w:ascii="Courier New" w:hAnsi="Courier New" w:cs="Courier New"/>
          <w:sz w:val="24"/>
          <w:szCs w:val="24"/>
        </w:rPr>
        <w:t xml:space="preserve">  </w:t>
      </w:r>
      <w:r w:rsidRPr="00AA6DFD">
        <w:rPr>
          <w:rFonts w:ascii="Courier New" w:eastAsia="Times New Roman" w:hAnsi="Courier New" w:cs="Courier New"/>
          <w:sz w:val="24"/>
          <w:szCs w:val="24"/>
        </w:rPr>
        <w:t>Such borrowers become subject to losing Federal payments and tax refunds and wage garnishment.</w:t>
      </w:r>
      <w:r w:rsidRPr="00AA6DFD">
        <w:rPr>
          <w:rFonts w:ascii="Courier New" w:eastAsia="Times New Roman" w:hAnsi="Courier New" w:cs="Courier New"/>
          <w:sz w:val="24"/>
          <w:szCs w:val="24"/>
          <w:vertAlign w:val="superscript"/>
        </w:rPr>
        <w:footnoteReference w:id="219"/>
      </w:r>
      <w:r w:rsidRPr="00AA6DFD">
        <w:rPr>
          <w:rFonts w:ascii="Courier New" w:eastAsia="Times New Roman" w:hAnsi="Courier New" w:cs="Courier New"/>
          <w:sz w:val="24"/>
          <w:szCs w:val="24"/>
        </w:rPr>
        <w:t xml:space="preserve">  </w:t>
      </w:r>
      <w:r w:rsidRPr="00AA6DFD">
        <w:rPr>
          <w:rFonts w:ascii="Courier New" w:hAnsi="Courier New" w:cs="Courier New"/>
          <w:sz w:val="24"/>
          <w:szCs w:val="24"/>
        </w:rPr>
        <w:t>Borrowers who default might also be denied a job due to poor credit, struggle to pay fees necessary to maintain professional licenses, or be unable to open a new checking account.</w:t>
      </w:r>
      <w:r w:rsidRPr="00AA6DFD">
        <w:rPr>
          <w:rStyle w:val="FootnoteReference"/>
          <w:rFonts w:ascii="Courier New" w:hAnsi="Courier New" w:cs="Courier New"/>
          <w:sz w:val="24"/>
          <w:szCs w:val="24"/>
        </w:rPr>
        <w:footnoteReference w:id="220"/>
      </w:r>
      <w:r w:rsidRPr="00AA6DFD">
        <w:rPr>
          <w:rFonts w:ascii="Courier New" w:hAnsi="Courier New" w:cs="Courier New"/>
          <w:sz w:val="24"/>
          <w:szCs w:val="24"/>
        </w:rPr>
        <w:t xml:space="preserve">  </w:t>
      </w:r>
    </w:p>
    <w:p w14:paraId="0AAE6FF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There is ample evidence that students are having difficulty repaying their loans.  The national two-year cohort default rate on Stafford loans has increased from 5.2 percent in 2006 to 10 percent in 2011.</w:t>
      </w:r>
      <w:r w:rsidRPr="00AA6DFD">
        <w:rPr>
          <w:rStyle w:val="FootnoteReference"/>
          <w:rFonts w:ascii="Courier New" w:hAnsi="Courier New" w:cs="Courier New"/>
          <w:sz w:val="24"/>
          <w:szCs w:val="24"/>
        </w:rPr>
        <w:footnoteReference w:id="221"/>
      </w:r>
      <w:r w:rsidRPr="00AA6DFD">
        <w:rPr>
          <w:rFonts w:ascii="Courier New" w:hAnsi="Courier New" w:cs="Courier New"/>
          <w:sz w:val="24"/>
          <w:szCs w:val="24"/>
        </w:rPr>
        <w:t xml:space="preserve">  As of 2012, approximately 6 million borrowers were in default on Federal loans, owing $76 billion.</w:t>
      </w:r>
      <w:r w:rsidRPr="00AA6DFD">
        <w:rPr>
          <w:rStyle w:val="FootnoteReference"/>
          <w:rFonts w:ascii="Courier New" w:hAnsi="Courier New" w:cs="Courier New"/>
          <w:sz w:val="24"/>
          <w:szCs w:val="24"/>
        </w:rPr>
        <w:footnoteReference w:id="222"/>
      </w:r>
    </w:p>
    <w:p w14:paraId="6109AA99"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The determinants of default, which include both student and institutional characteristics, have been examined by many researchers.  A substantial body of research suggests that “completing a postsecondary program is the strongest single predictor of not defaulting regardless of institution type.”</w:t>
      </w:r>
      <w:r w:rsidRPr="00AA6DFD">
        <w:rPr>
          <w:rStyle w:val="FootnoteReference"/>
          <w:rFonts w:ascii="Courier New" w:hAnsi="Courier New" w:cs="Courier New"/>
          <w:sz w:val="24"/>
          <w:szCs w:val="24"/>
        </w:rPr>
        <w:footnoteReference w:id="223"/>
      </w:r>
      <w:r w:rsidRPr="00AA6DFD">
        <w:rPr>
          <w:rFonts w:ascii="Courier New" w:hAnsi="Courier New" w:cs="Courier New"/>
          <w:sz w:val="24"/>
          <w:szCs w:val="24"/>
        </w:rPr>
        <w:t xml:space="preserve">  In a study of outcomes 10 years after graduation for students receiving BS/BA degrees in 1993, Lochner and Monge-Naranjo found that both student debt and post-school income levels are significant predictors of repayment and nonpayment, although the estimated effects were modest.</w:t>
      </w:r>
      <w:r w:rsidRPr="00AA6DFD">
        <w:rPr>
          <w:rStyle w:val="FootnoteReference"/>
          <w:rFonts w:ascii="Courier New" w:hAnsi="Courier New" w:cs="Courier New"/>
          <w:sz w:val="24"/>
          <w:szCs w:val="24"/>
        </w:rPr>
        <w:footnoteReference w:id="224"/>
      </w:r>
      <w:r w:rsidRPr="00AA6DFD">
        <w:rPr>
          <w:rFonts w:ascii="Courier New" w:hAnsi="Courier New" w:cs="Courier New"/>
          <w:sz w:val="24"/>
          <w:szCs w:val="24"/>
        </w:rPr>
        <w:t xml:space="preserve">  In another study, Belfield examined the determinants of Federal loan repayment status of a more recent cohort of borrowers and found that loan balances had only a trivial influence on default rates.</w:t>
      </w:r>
      <w:r w:rsidRPr="00AA6DFD">
        <w:rPr>
          <w:rStyle w:val="FootnoteReference"/>
          <w:rFonts w:ascii="Courier New" w:hAnsi="Courier New" w:cs="Courier New"/>
          <w:sz w:val="24"/>
          <w:szCs w:val="24"/>
        </w:rPr>
        <w:footnoteReference w:id="225"/>
      </w:r>
      <w:r w:rsidRPr="00AA6DFD">
        <w:rPr>
          <w:rFonts w:ascii="Courier New" w:hAnsi="Courier New" w:cs="Courier New"/>
          <w:sz w:val="24"/>
          <w:szCs w:val="24"/>
        </w:rPr>
        <w:t xml:space="preserve">  However, Belfield found substantial differences between students who attended for-profit institutions and those who attended public institutions.  Even when controlling for student characteristics, measures of college quality, and college practices, students at for-profit institutions, especially two-year colleges, borrow more and have lower repayment rates than students at public institutions.</w:t>
      </w:r>
      <w:r w:rsidRPr="00AA6DFD">
        <w:rPr>
          <w:rStyle w:val="FootnoteReference"/>
          <w:rFonts w:ascii="Courier New" w:hAnsi="Courier New" w:cs="Courier New"/>
          <w:sz w:val="24"/>
          <w:szCs w:val="24"/>
        </w:rPr>
        <w:footnoteReference w:id="226"/>
      </w:r>
      <w:r w:rsidRPr="00AA6DFD">
        <w:rPr>
          <w:rFonts w:ascii="Courier New" w:hAnsi="Courier New" w:cs="Courier New"/>
          <w:sz w:val="24"/>
          <w:szCs w:val="24"/>
        </w:rPr>
        <w:t xml:space="preserve">  Two recent studies also found that students who attend for-profit colleges have higher rates of default than comparable students who attend public colleges.</w:t>
      </w:r>
      <w:r w:rsidRPr="00AA6DFD">
        <w:rPr>
          <w:rStyle w:val="FootnoteReference"/>
          <w:rFonts w:ascii="Courier New" w:hAnsi="Courier New" w:cs="Courier New"/>
          <w:sz w:val="24"/>
          <w:szCs w:val="24"/>
        </w:rPr>
        <w:footnoteReference w:id="227"/>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228"/>
      </w:r>
      <w:r w:rsidRPr="00AA6DFD">
        <w:rPr>
          <w:rFonts w:ascii="Courier New" w:hAnsi="Courier New" w:cs="Courier New"/>
          <w:sz w:val="24"/>
          <w:szCs w:val="24"/>
        </w:rPr>
        <w:t xml:space="preserve">  </w:t>
      </w:r>
    </w:p>
    <w:p w14:paraId="4AE289F2"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causes of excessive debt, high default rates, and low earnings of students at GE programs include aggressive or deceptive marketing practices, a lack of transparency regarding program outcomes, excessive costs, low completion rates, deficient quality, and a failure to satisfy requirements such as licensing, work experience, and programmatic accreditation requirements needed for students to obtain higher paying jobs in a field.  The outcomes of students who attend GE programs at for-profit educational institutions are of particular concern.    </w:t>
      </w:r>
    </w:p>
    <w:p w14:paraId="6FD2E500"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The for-profit sector has experienced tremendous growth in recent years,</w:t>
      </w:r>
      <w:r w:rsidRPr="00AA6DFD">
        <w:rPr>
          <w:rStyle w:val="FootnoteReference"/>
          <w:rFonts w:ascii="Courier New" w:hAnsi="Courier New" w:cs="Courier New"/>
          <w:sz w:val="24"/>
          <w:szCs w:val="24"/>
        </w:rPr>
        <w:footnoteReference w:id="229"/>
      </w:r>
      <w:r w:rsidRPr="00AA6DFD">
        <w:rPr>
          <w:rFonts w:ascii="Courier New" w:hAnsi="Courier New" w:cs="Courier New"/>
          <w:sz w:val="24"/>
          <w:szCs w:val="24"/>
        </w:rPr>
        <w:t xml:space="preserve"> fueled in large part by Federal student aid funding and the increased demand for postsecondary education during the recent recession.</w:t>
      </w:r>
      <w:r w:rsidRPr="00AA6DFD">
        <w:rPr>
          <w:rStyle w:val="FootnoteReference"/>
          <w:rFonts w:ascii="Courier New" w:hAnsi="Courier New"/>
          <w:sz w:val="24"/>
          <w:szCs w:val="24"/>
        </w:rPr>
        <w:footnoteReference w:id="230"/>
      </w:r>
      <w:r w:rsidRPr="00AA6DFD">
        <w:rPr>
          <w:rFonts w:ascii="Courier New" w:hAnsi="Courier New" w:cs="Courier New"/>
          <w:sz w:val="24"/>
          <w:szCs w:val="24"/>
        </w:rPr>
        <w:t xml:space="preserve">  </w:t>
      </w:r>
      <w:r w:rsidRPr="00AA6DFD">
        <w:rPr>
          <w:rStyle w:val="CommentReference"/>
        </w:rPr>
        <w:t>T</w:t>
      </w:r>
      <w:r w:rsidRPr="00AA6DFD">
        <w:rPr>
          <w:rFonts w:ascii="Courier New" w:hAnsi="Courier New" w:cs="Courier New"/>
          <w:sz w:val="24"/>
          <w:szCs w:val="24"/>
        </w:rPr>
        <w:t>he share of Federal student financial aid going to students at for-profit institutions has grown from approximately 13 percent of all title IV, HEA program funds in award year 2000-2001 to 19 percent in award year 2013-2014.</w:t>
      </w:r>
      <w:r w:rsidRPr="00AA6DFD">
        <w:rPr>
          <w:rStyle w:val="FootnoteReference"/>
          <w:rFonts w:ascii="Courier New" w:hAnsi="Courier New" w:cs="Courier New"/>
          <w:sz w:val="24"/>
          <w:szCs w:val="24"/>
        </w:rPr>
        <w:footnoteReference w:id="231"/>
      </w:r>
    </w:p>
    <w:p w14:paraId="08A813E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for-profit sector plays an important role in serving traditionally underrepresented populations of students.  For-profit institutions are </w:t>
      </w:r>
      <w:r w:rsidRPr="00AA6DFD">
        <w:rPr>
          <w:rFonts w:ascii="Courier New" w:eastAsia="Times New Roman" w:hAnsi="Courier New" w:cs="Courier New"/>
          <w:sz w:val="24"/>
          <w:szCs w:val="24"/>
        </w:rPr>
        <w:t xml:space="preserve">typically open-enrollment institutions that are </w:t>
      </w:r>
      <w:r w:rsidRPr="00AA6DFD">
        <w:rPr>
          <w:rFonts w:ascii="Courier New" w:hAnsi="Courier New" w:cs="Courier New"/>
          <w:sz w:val="24"/>
          <w:szCs w:val="24"/>
        </w:rPr>
        <w:t>more likely to enroll students who are older, women, Black, or Hispanic, or with low incomes.</w:t>
      </w:r>
      <w:r w:rsidRPr="00AA6DFD">
        <w:rPr>
          <w:rStyle w:val="FootnoteReference"/>
          <w:rFonts w:ascii="Courier New" w:hAnsi="Courier New" w:cs="Courier New"/>
          <w:sz w:val="24"/>
          <w:szCs w:val="24"/>
        </w:rPr>
        <w:footnoteReference w:id="232"/>
      </w:r>
      <w:r w:rsidRPr="00AA6DFD">
        <w:rPr>
          <w:rFonts w:ascii="Courier New" w:hAnsi="Courier New" w:cs="Courier New"/>
          <w:sz w:val="24"/>
          <w:szCs w:val="24"/>
        </w:rPr>
        <w:t xml:space="preserve">  Single parents, students with a certificate of high school equivalency, and students with lower family incomes are also more commonly found at for-profit institutions than community colleges.</w:t>
      </w:r>
      <w:r w:rsidRPr="00AA6DFD">
        <w:rPr>
          <w:rStyle w:val="FootnoteReference"/>
          <w:rFonts w:ascii="Courier New" w:hAnsi="Courier New" w:cs="Courier New"/>
          <w:sz w:val="24"/>
          <w:szCs w:val="24"/>
        </w:rPr>
        <w:footnoteReference w:id="233"/>
      </w:r>
    </w:p>
    <w:p w14:paraId="33107C2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For-profit institutions develop curriculum and teaching practices that can be replicated at multiple locations and at convenient times, and offer highly structured programs to help ensure timely completion.</w:t>
      </w:r>
      <w:r w:rsidRPr="00AA6DFD">
        <w:rPr>
          <w:rStyle w:val="FootnoteReference"/>
          <w:rFonts w:ascii="Courier New" w:hAnsi="Courier New" w:cs="Courier New"/>
          <w:sz w:val="24"/>
          <w:szCs w:val="24"/>
        </w:rPr>
        <w:footnoteReference w:id="234"/>
      </w:r>
      <w:r w:rsidRPr="00AA6DFD">
        <w:rPr>
          <w:rFonts w:ascii="Courier New" w:hAnsi="Courier New" w:cs="Courier New"/>
          <w:sz w:val="24"/>
          <w:szCs w:val="24"/>
        </w:rPr>
        <w:t xml:space="preserve">  For-profit institutions “are attuned to the marketplace and are quick to open new schools, hire faculty, and add programs in growing fields and localities.”</w:t>
      </w:r>
      <w:r w:rsidRPr="00AA6DFD">
        <w:rPr>
          <w:rStyle w:val="FootnoteReference"/>
          <w:rFonts w:ascii="Courier New" w:hAnsi="Courier New" w:cs="Courier New"/>
          <w:sz w:val="24"/>
          <w:szCs w:val="24"/>
        </w:rPr>
        <w:footnoteReference w:id="235"/>
      </w:r>
      <w:r w:rsidRPr="00AA6DFD">
        <w:rPr>
          <w:rFonts w:ascii="Courier New" w:hAnsi="Courier New" w:cs="Courier New"/>
          <w:sz w:val="24"/>
          <w:szCs w:val="24"/>
        </w:rPr>
        <w:t xml:space="preserve">   </w:t>
      </w:r>
    </w:p>
    <w:p w14:paraId="1A76D77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At least some research suggests that for-profit institutions respond to demand that public institutions are unable to handle.  Recent evidence from California suggests that for-profit institutions absorb students where public institutions are unable to respond to demand due to budget constraints.</w:t>
      </w:r>
      <w:r w:rsidRPr="00AA6DFD">
        <w:rPr>
          <w:rStyle w:val="FootnoteReference"/>
          <w:rFonts w:ascii="Courier New" w:hAnsi="Courier New" w:cs="Courier New"/>
          <w:sz w:val="24"/>
          <w:szCs w:val="24"/>
        </w:rPr>
        <w:footnoteReference w:id="236"/>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237"/>
      </w:r>
      <w:r w:rsidRPr="00AA6DFD">
        <w:rPr>
          <w:rFonts w:ascii="Courier New" w:hAnsi="Courier New" w:cs="Courier New"/>
          <w:sz w:val="24"/>
          <w:szCs w:val="24"/>
        </w:rPr>
        <w:t xml:space="preserve">  </w:t>
      </w:r>
      <w:r w:rsidRPr="00AA6DFD">
        <w:rPr>
          <w:rFonts w:ascii="Courier New" w:eastAsia="Times New Roman" w:hAnsi="Courier New" w:cs="Courier New"/>
          <w:sz w:val="24"/>
          <w:szCs w:val="24"/>
        </w:rPr>
        <w:t>Additional research has</w:t>
      </w:r>
      <w:r w:rsidRPr="00AA6DFD">
        <w:rPr>
          <w:rFonts w:ascii="Courier New" w:hAnsi="Courier New"/>
          <w:sz w:val="24"/>
        </w:rPr>
        <w:t xml:space="preserve"> </w:t>
      </w:r>
      <w:r w:rsidRPr="00AA6DFD">
        <w:rPr>
          <w:rFonts w:ascii="Courier New" w:hAnsi="Courier New" w:cs="Courier New"/>
          <w:sz w:val="24"/>
          <w:szCs w:val="24"/>
        </w:rPr>
        <w:t>found that “[c]hange[s] in for-profit college enrollments are more positively correlated with changes in State college-age populations than are changes in public-sector college enrollments.”</w:t>
      </w:r>
      <w:r w:rsidRPr="00AA6DFD">
        <w:rPr>
          <w:rStyle w:val="FootnoteReference"/>
          <w:rFonts w:ascii="Courier New" w:hAnsi="Courier New" w:cs="Courier New"/>
          <w:sz w:val="24"/>
          <w:szCs w:val="24"/>
        </w:rPr>
        <w:footnoteReference w:id="238"/>
      </w:r>
      <w:r w:rsidRPr="00AA6DFD">
        <w:rPr>
          <w:rFonts w:ascii="Courier New" w:hAnsi="Courier New" w:cs="Courier New"/>
          <w:sz w:val="24"/>
          <w:szCs w:val="24"/>
        </w:rPr>
        <w:t xml:space="preserve">   </w:t>
      </w:r>
    </w:p>
    <w:p w14:paraId="5C345255" w14:textId="77777777" w:rsidR="00BF10A3" w:rsidRPr="00AA6DFD" w:rsidRDefault="00BF10A3" w:rsidP="00BF10A3">
      <w:pPr>
        <w:spacing w:after="0" w:line="480" w:lineRule="auto"/>
        <w:ind w:firstLine="720"/>
        <w:rPr>
          <w:rFonts w:ascii="Courier New" w:hAnsi="Courier New" w:cs="Courier New"/>
          <w:sz w:val="24"/>
          <w:szCs w:val="24"/>
          <w:vertAlign w:val="superscript"/>
        </w:rPr>
      </w:pPr>
      <w:r w:rsidRPr="00AA6DFD">
        <w:rPr>
          <w:rFonts w:ascii="Courier New" w:hAnsi="Courier New" w:cs="Courier New"/>
          <w:sz w:val="24"/>
          <w:szCs w:val="24"/>
        </w:rPr>
        <w:t>Other evidence, however, suggests that for-profits are facing increasing competition from community colleges and traditional universities, as these institutions have started to expand their programs in online education.  According to one annual report recently filed by a large, publically traded for-profit institution, “a substantial proportion of traditional colleges and universities and community colleges now offer some form of . . . online education programs, including programs geared towards the needs of working learners.  As a result, we continue to face increasing competition, including from colleges with well-established brand names.  As the online . . . learning segment of the postsecondary education market matures, we believe that the intensity of the competition we face will continue to increase.”</w:t>
      </w:r>
      <w:r w:rsidRPr="00AA6DFD">
        <w:rPr>
          <w:rStyle w:val="FootnoteReference"/>
          <w:rFonts w:ascii="Courier New" w:hAnsi="Courier New" w:cs="Courier New"/>
          <w:sz w:val="24"/>
          <w:szCs w:val="24"/>
        </w:rPr>
        <w:footnoteReference w:id="239"/>
      </w:r>
    </w:p>
    <w:p w14:paraId="5E4774DF"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On balance, we believe, and research confirms, that the for-profit sector has many positive features.  There is also, however, growing evidence of troubling outcomes and practices at some for-profit institutions. </w:t>
      </w:r>
    </w:p>
    <w:p w14:paraId="765B81B9"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For-profit institutions typically charge higher tuitions than public postsecondary institutions.  Among first-time full-time degree</w:t>
      </w:r>
      <w:r w:rsidRPr="00B53B21">
        <w:rPr>
          <w:rFonts w:ascii="Courier New" w:hAnsi="Courier New" w:cs="Courier New"/>
          <w:sz w:val="24"/>
          <w:szCs w:val="24"/>
        </w:rPr>
        <w:t>-</w:t>
      </w:r>
      <w:r w:rsidRPr="00AA6DFD">
        <w:rPr>
          <w:rFonts w:ascii="Courier New" w:hAnsi="Courier New" w:cs="Courier New"/>
          <w:sz w:val="24"/>
          <w:szCs w:val="24"/>
        </w:rPr>
        <w:t xml:space="preserve"> or certificate</w:t>
      </w:r>
      <w:r w:rsidRPr="00B53B21">
        <w:rPr>
          <w:rFonts w:ascii="Courier New" w:hAnsi="Courier New" w:cs="Courier New"/>
          <w:sz w:val="24"/>
          <w:szCs w:val="24"/>
        </w:rPr>
        <w:t>-</w:t>
      </w:r>
      <w:r w:rsidRPr="00AA6DFD">
        <w:rPr>
          <w:rFonts w:ascii="Courier New" w:hAnsi="Courier New" w:cs="Courier New"/>
          <w:sz w:val="24"/>
          <w:szCs w:val="24"/>
        </w:rPr>
        <w:t xml:space="preserve">seeking undergraduates at </w:t>
      </w:r>
      <w:r w:rsidRPr="00B53B21">
        <w:rPr>
          <w:rFonts w:ascii="Courier New" w:hAnsi="Courier New" w:cs="Courier New"/>
          <w:sz w:val="24"/>
          <w:szCs w:val="24"/>
        </w:rPr>
        <w:t>t</w:t>
      </w:r>
      <w:r w:rsidRPr="00AA6DFD">
        <w:rPr>
          <w:rFonts w:ascii="Courier New" w:hAnsi="Courier New" w:cs="Courier New"/>
          <w:sz w:val="24"/>
          <w:szCs w:val="24"/>
        </w:rPr>
        <w:t>itle IV institutions operating on an academic calendar system and excluding students in graduate programs,</w:t>
      </w:r>
      <w:r w:rsidRPr="00AA6DFD" w:rsidDel="00527193">
        <w:rPr>
          <w:rFonts w:ascii="Courier New" w:hAnsi="Courier New" w:cs="Courier New"/>
          <w:sz w:val="24"/>
          <w:szCs w:val="24"/>
        </w:rPr>
        <w:t xml:space="preserve"> </w:t>
      </w:r>
      <w:r w:rsidRPr="00AA6DFD">
        <w:rPr>
          <w:rFonts w:ascii="Courier New" w:hAnsi="Courier New" w:cs="Courier New"/>
          <w:sz w:val="24"/>
          <w:szCs w:val="24"/>
        </w:rPr>
        <w:t xml:space="preserve">average tuition and required fees at less-than-two-year for-profit institutions are more than double the average cost at less-than-two-year public institutions </w:t>
      </w:r>
      <w:r w:rsidRPr="00AA6DFD">
        <w:rPr>
          <w:rFonts w:ascii="Courier New" w:eastAsia="Times New Roman" w:hAnsi="Courier New" w:cs="Courier New"/>
          <w:sz w:val="24"/>
          <w:szCs w:val="24"/>
        </w:rPr>
        <w:t>and average tuition and required fees at two-year for-profit institutions are about four times the average cost at two-year public institutions</w:t>
      </w:r>
      <w:r w:rsidRPr="00AA6DFD">
        <w:rPr>
          <w:rFonts w:ascii="Courier New" w:hAnsi="Courier New" w:cs="Courier New"/>
          <w:sz w:val="24"/>
          <w:szCs w:val="24"/>
        </w:rPr>
        <w:t>.</w:t>
      </w:r>
      <w:r w:rsidRPr="00AA6DFD">
        <w:rPr>
          <w:rStyle w:val="FootnoteReference"/>
          <w:rFonts w:ascii="Courier New" w:hAnsi="Courier New" w:cs="Courier New"/>
          <w:sz w:val="24"/>
          <w:szCs w:val="24"/>
        </w:rPr>
        <w:footnoteReference w:id="240"/>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241"/>
      </w:r>
      <w:r w:rsidRPr="00AA6DFD">
        <w:rPr>
          <w:rFonts w:ascii="Courier New" w:hAnsi="Courier New" w:cs="Courier New"/>
          <w:sz w:val="24"/>
          <w:szCs w:val="24"/>
        </w:rPr>
        <w:t xml:space="preserve"> </w:t>
      </w:r>
    </w:p>
    <w:p w14:paraId="2F8C99EF"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While for-profit institutions may need to charge more than public institutions because they do not have the State and local appropriation dollars and must pass the educational cost onto the student, there is some indication that even when controlling for government subsidies, for-profit institutions charge more than their public counterparts.  To assess the role of government subsidies in driving this cost differential, Cellini conducted a sensitivity analysis comparing the costs of for-profit and community college programs.  Her research found the primary costs to students at for-profit institutions, including foregone earnings, tuition, and loan interest, amounted to $51,600 per year on average, as compared with $32,200 for the same primary costs at community colleges.  Further, Cellini’s analysis estimated taxpayer contributions, such as government grants, of $7,600 per year for for-profit institutions and $11,400 for community colleges.</w:t>
      </w:r>
      <w:r w:rsidRPr="00AA6DFD">
        <w:rPr>
          <w:rStyle w:val="FootnoteReference"/>
          <w:rFonts w:ascii="Courier New" w:hAnsi="Courier New" w:cs="Courier New"/>
          <w:sz w:val="24"/>
          <w:szCs w:val="24"/>
        </w:rPr>
        <w:footnoteReference w:id="242"/>
      </w:r>
      <w:r w:rsidRPr="00AA6DFD">
        <w:rPr>
          <w:rFonts w:ascii="Courier New" w:hAnsi="Courier New" w:cs="Courier New"/>
          <w:sz w:val="24"/>
          <w:szCs w:val="24"/>
        </w:rPr>
        <w:t xml:space="preserve"> </w:t>
      </w:r>
    </w:p>
    <w:p w14:paraId="3FFA25BD" w14:textId="77777777" w:rsidR="00BF10A3" w:rsidRPr="00B53B21" w:rsidRDefault="00BF10A3" w:rsidP="00BF10A3">
      <w:pPr>
        <w:widowControl w:val="0"/>
        <w:autoSpaceDE w:val="0"/>
        <w:autoSpaceDN w:val="0"/>
        <w:adjustRightInd w:val="0"/>
        <w:spacing w:after="0" w:line="480" w:lineRule="auto"/>
        <w:ind w:firstLine="720"/>
        <w:rPr>
          <w:rFonts w:ascii="Courier New" w:hAnsi="Courier New"/>
          <w:sz w:val="24"/>
        </w:rPr>
      </w:pPr>
      <w:r w:rsidRPr="00AA6DFD">
        <w:rPr>
          <w:rFonts w:ascii="Courier New" w:hAnsi="Courier New" w:cs="Courier New"/>
          <w:color w:val="231F20"/>
          <w:sz w:val="24"/>
          <w:szCs w:val="24"/>
        </w:rPr>
        <w:t>Because aid received from grants has not kept pace with rising tuition in the for-profit sector, in contrast to other sectors, the net cost to students has increased sharply in recent years.</w:t>
      </w:r>
      <w:r w:rsidRPr="00AA6DFD">
        <w:rPr>
          <w:rStyle w:val="FootnoteReference"/>
          <w:rFonts w:ascii="Courier New" w:hAnsi="Courier New" w:cs="Courier New"/>
          <w:color w:val="231F20"/>
          <w:sz w:val="24"/>
          <w:szCs w:val="24"/>
        </w:rPr>
        <w:footnoteReference w:id="243"/>
      </w:r>
      <w:r w:rsidRPr="00AA6DFD">
        <w:rPr>
          <w:rFonts w:ascii="Courier New" w:hAnsi="Courier New" w:cs="Courier New"/>
          <w:color w:val="231F20"/>
          <w:sz w:val="24"/>
          <w:szCs w:val="24"/>
        </w:rPr>
        <w:t xml:space="preserve">  Not surprisingly, “student borrowing in the for-profit sector has risen dramatically to meet the rising net prices.”</w:t>
      </w:r>
      <w:r w:rsidRPr="00AA6DFD">
        <w:rPr>
          <w:rStyle w:val="FootnoteReference"/>
          <w:rFonts w:ascii="Courier New" w:hAnsi="Courier New" w:cs="Courier New"/>
          <w:color w:val="231F20"/>
          <w:sz w:val="24"/>
          <w:szCs w:val="24"/>
        </w:rPr>
        <w:footnoteReference w:id="244"/>
      </w:r>
      <w:r w:rsidRPr="00AA6DFD">
        <w:rPr>
          <w:rFonts w:ascii="Courier New" w:hAnsi="Courier New" w:cs="Courier New"/>
          <w:sz w:val="24"/>
          <w:szCs w:val="24"/>
        </w:rPr>
        <w:t xml:space="preserve">  Students at for-profit institutions are more likely to receive Federal student financial aid and have higher average student debt than students in public and non-profit non-selective institutions</w:t>
      </w:r>
      <w:r w:rsidRPr="00B53B21">
        <w:rPr>
          <w:rFonts w:ascii="Courier New" w:hAnsi="Courier New"/>
          <w:sz w:val="24"/>
        </w:rPr>
        <w:t>.</w:t>
      </w:r>
      <w:r w:rsidRPr="00B53B21">
        <w:rPr>
          <w:rStyle w:val="FootnoteReference"/>
          <w:rFonts w:ascii="Courier New" w:hAnsi="Courier New"/>
          <w:sz w:val="24"/>
        </w:rPr>
        <w:footnoteReference w:id="245"/>
      </w:r>
      <w:r w:rsidRPr="00B53B21">
        <w:rPr>
          <w:rFonts w:ascii="Courier New" w:hAnsi="Courier New"/>
          <w:sz w:val="24"/>
        </w:rPr>
        <w:t xml:space="preserve">    </w:t>
      </w:r>
    </w:p>
    <w:p w14:paraId="7A869B2C" w14:textId="4861AC0C" w:rsidR="00BF10A3" w:rsidRPr="00AA6DFD" w:rsidRDefault="00BF10A3" w:rsidP="00BF10A3">
      <w:pPr>
        <w:widowControl w:val="0"/>
        <w:autoSpaceDE w:val="0"/>
        <w:autoSpaceDN w:val="0"/>
        <w:adjustRightInd w:val="0"/>
        <w:spacing w:after="0" w:line="480" w:lineRule="auto"/>
        <w:ind w:firstLine="720"/>
        <w:rPr>
          <w:rFonts w:ascii="Courier New" w:hAnsi="Courier New" w:cs="Courier New"/>
          <w:color w:val="231F20"/>
          <w:sz w:val="24"/>
          <w:szCs w:val="24"/>
        </w:rPr>
      </w:pPr>
      <w:r w:rsidRPr="00B53B21">
        <w:rPr>
          <w:rFonts w:ascii="Courier New" w:hAnsi="Courier New"/>
          <w:sz w:val="24"/>
        </w:rPr>
        <w:t>In 2011-2012, 60</w:t>
      </w:r>
      <w:r w:rsidRPr="00AA6DFD">
        <w:rPr>
          <w:rFonts w:ascii="Courier New" w:hAnsi="Courier New" w:cs="Courier New"/>
          <w:sz w:val="24"/>
          <w:szCs w:val="24"/>
        </w:rPr>
        <w:t xml:space="preserve"> percent of certificate-seeking</w:t>
      </w:r>
      <w:r w:rsidRPr="00B53B21">
        <w:rPr>
          <w:rFonts w:ascii="Courier New" w:hAnsi="Courier New"/>
          <w:sz w:val="24"/>
        </w:rPr>
        <w:t xml:space="preserve"> students who </w:t>
      </w:r>
      <w:r w:rsidRPr="00AA6DFD">
        <w:rPr>
          <w:rFonts w:ascii="Courier New" w:hAnsi="Courier New" w:cs="Courier New"/>
          <w:sz w:val="24"/>
          <w:szCs w:val="24"/>
        </w:rPr>
        <w:t xml:space="preserve">were enrolled at for-profit institutions took out </w:t>
      </w:r>
      <w:r w:rsidR="007657F9">
        <w:rPr>
          <w:rFonts w:ascii="Courier New" w:hAnsi="Courier New" w:cs="Courier New"/>
          <w:sz w:val="24"/>
          <w:szCs w:val="24"/>
        </w:rPr>
        <w:t>title IV, HEA</w:t>
      </w:r>
      <w:r w:rsidRPr="00AA6DFD">
        <w:rPr>
          <w:rFonts w:ascii="Courier New" w:hAnsi="Courier New" w:cs="Courier New"/>
          <w:sz w:val="24"/>
          <w:szCs w:val="24"/>
        </w:rPr>
        <w:t xml:space="preserve"> student loans during that year compared to 10 percent at public two-year institutions.</w:t>
      </w:r>
      <w:r w:rsidRPr="00AA6DFD">
        <w:rPr>
          <w:rStyle w:val="FootnoteReference"/>
          <w:rFonts w:ascii="Courier New" w:hAnsi="Courier New" w:cs="Courier New"/>
          <w:sz w:val="24"/>
          <w:szCs w:val="24"/>
        </w:rPr>
        <w:footnoteReference w:id="246"/>
      </w:r>
      <w:r w:rsidRPr="00AA6DFD">
        <w:rPr>
          <w:rFonts w:ascii="Courier New" w:hAnsi="Courier New" w:cs="Courier New"/>
          <w:sz w:val="24"/>
          <w:szCs w:val="24"/>
        </w:rPr>
        <w:t xml:space="preserve">  Of those who borrowed, the median loan amount borrowed by students enrolled in certificate programs at two-year for-profit institutions was $6,629 as opposed to $4,000 at public two-year institutions.</w:t>
      </w:r>
      <w:r w:rsidRPr="00AA6DFD">
        <w:rPr>
          <w:rStyle w:val="FootnoteReference"/>
          <w:rFonts w:ascii="Courier New" w:hAnsi="Courier New" w:cs="Courier New"/>
          <w:sz w:val="24"/>
          <w:szCs w:val="24"/>
        </w:rPr>
        <w:footnoteReference w:id="247"/>
      </w:r>
      <w:r w:rsidRPr="00AA6DFD">
        <w:rPr>
          <w:rFonts w:ascii="Courier New" w:hAnsi="Courier New" w:cs="Courier New"/>
          <w:sz w:val="24"/>
          <w:szCs w:val="24"/>
        </w:rPr>
        <w:t xml:space="preserve">  In 2011-12, 66 percent students enrolled at for-profit institutions took out student loans, while only 20 percent of students enrolled at public two-year institutions took out student loans.</w:t>
      </w:r>
      <w:r w:rsidRPr="00AA6DFD">
        <w:rPr>
          <w:rStyle w:val="FootnoteReference"/>
          <w:rFonts w:ascii="Courier New" w:hAnsi="Courier New" w:cs="Courier New"/>
          <w:sz w:val="24"/>
          <w:szCs w:val="24"/>
        </w:rPr>
        <w:footnoteReference w:id="248"/>
      </w:r>
      <w:r w:rsidRPr="00AA6DFD">
        <w:rPr>
          <w:rFonts w:ascii="Courier New" w:hAnsi="Courier New" w:cs="Courier New"/>
          <w:sz w:val="24"/>
          <w:szCs w:val="24"/>
        </w:rPr>
        <w:t xml:space="preserve">  Of those who borrowed in 2011-12, students enrolled in associate degree programs at two-year for-profit institutions had a median loan amount borrowed during 2011-12 of $7,583 in comparison to $4,467 for students at public two-year institutions.</w:t>
      </w:r>
      <w:r w:rsidRPr="00AA6DFD">
        <w:rPr>
          <w:rStyle w:val="FootnoteReference"/>
          <w:rFonts w:ascii="Courier New" w:hAnsi="Courier New" w:cs="Courier New"/>
          <w:sz w:val="24"/>
          <w:szCs w:val="24"/>
        </w:rPr>
        <w:footnoteReference w:id="249"/>
      </w:r>
      <w:r w:rsidRPr="00AA6DFD">
        <w:rPr>
          <w:rFonts w:ascii="Courier New" w:hAnsi="Courier New" w:cs="Courier New"/>
          <w:sz w:val="24"/>
          <w:szCs w:val="24"/>
        </w:rPr>
        <w:t xml:space="preserve"> </w:t>
      </w:r>
      <w:r w:rsidRPr="00AA6DFD">
        <w:rPr>
          <w:rFonts w:ascii="Courier New" w:hAnsi="Courier New" w:cs="Courier New"/>
          <w:color w:val="231F20"/>
          <w:sz w:val="24"/>
          <w:szCs w:val="24"/>
        </w:rPr>
        <w:t xml:space="preserve"> </w:t>
      </w:r>
    </w:p>
    <w:p w14:paraId="18FBED2F" w14:textId="77777777" w:rsidR="00BF10A3" w:rsidRPr="00AA6DFD" w:rsidRDefault="00BF10A3" w:rsidP="00BF10A3">
      <w:pPr>
        <w:autoSpaceDE w:val="0"/>
        <w:autoSpaceDN w:val="0"/>
        <w:adjustRightInd w:val="0"/>
        <w:spacing w:after="0" w:line="480" w:lineRule="auto"/>
        <w:ind w:firstLine="720"/>
        <w:rPr>
          <w:rFonts w:ascii="Courier New" w:hAnsi="Courier New" w:cs="Courier New"/>
          <w:color w:val="231F20"/>
          <w:sz w:val="24"/>
          <w:szCs w:val="24"/>
        </w:rPr>
      </w:pPr>
      <w:r w:rsidRPr="00AA6DFD">
        <w:rPr>
          <w:rFonts w:ascii="Courier New" w:hAnsi="Courier New" w:cs="Courier New"/>
          <w:color w:val="231F20"/>
          <w:sz w:val="24"/>
          <w:szCs w:val="24"/>
        </w:rPr>
        <w:t>Although student loan default rates have increased in all sectors in recent years, they have consistently been highest among students attending for-profit institutions.</w:t>
      </w:r>
      <w:r w:rsidRPr="00AA6DFD">
        <w:rPr>
          <w:rStyle w:val="FootnoteReference"/>
          <w:rFonts w:ascii="Courier New" w:hAnsi="Courier New" w:cs="Courier New"/>
          <w:color w:val="231F20"/>
          <w:sz w:val="24"/>
          <w:szCs w:val="24"/>
        </w:rPr>
        <w:footnoteReference w:id="250"/>
      </w:r>
      <w:r w:rsidRPr="00AA6DFD">
        <w:rPr>
          <w:rStyle w:val="FootnoteReference"/>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251"/>
      </w:r>
      <w:r w:rsidRPr="00AA6DFD">
        <w:rPr>
          <w:rFonts w:ascii="Courier New" w:hAnsi="Courier New" w:cs="Courier New"/>
          <w:color w:val="231F20"/>
          <w:sz w:val="24"/>
          <w:szCs w:val="24"/>
        </w:rPr>
        <w:t xml:space="preserve">  </w:t>
      </w:r>
      <w:r w:rsidRPr="00AA6DFD">
        <w:rPr>
          <w:rFonts w:ascii="Courier New" w:hAnsi="Courier New" w:cs="Courier New"/>
          <w:sz w:val="24"/>
          <w:szCs w:val="24"/>
        </w:rPr>
        <w:t>Approximately 19 percent of borrowers who attended for-profit institutions default on their Federal student loans within the first three years of entering repayment as compared to about 13 percent of borrowers who attended public institutions.</w:t>
      </w:r>
      <w:r w:rsidRPr="00AA6DFD">
        <w:rPr>
          <w:rStyle w:val="FootnoteReference"/>
          <w:rFonts w:ascii="Courier New" w:hAnsi="Courier New" w:cs="Courier New"/>
          <w:sz w:val="24"/>
          <w:szCs w:val="24"/>
        </w:rPr>
        <w:footnoteReference w:id="252"/>
      </w:r>
      <w:r w:rsidRPr="00AA6DFD">
        <w:rPr>
          <w:rFonts w:ascii="Courier New" w:hAnsi="Courier New" w:cs="Courier New"/>
          <w:sz w:val="24"/>
          <w:szCs w:val="24"/>
        </w:rPr>
        <w:t xml:space="preserve">  Estimates of “cumulative lifetime default rates,” based on the number of loans, rather than borrowers, yield average default rates of 24, 23, and 31 percent, respectively, for public, private, and for-profit two-year institutions in the 2007-2011 cohort years.  Based on estimates using dollars in those same cohort years (rather than loans or borrowers to estimate defaults) the average lifetime default rate is 50 percent for students who attended two-year for-profit institutions</w:t>
      </w:r>
      <w:r w:rsidRPr="00AA6DFD">
        <w:rPr>
          <w:rFonts w:ascii="Courier New" w:hAnsi="Courier New" w:cs="Courier New"/>
          <w:color w:val="231F20"/>
          <w:sz w:val="24"/>
          <w:szCs w:val="24"/>
        </w:rPr>
        <w:t xml:space="preserve"> in comparison to 35 percent for students who attended two-year public and private institutions.</w:t>
      </w:r>
      <w:r w:rsidRPr="00AA6DFD">
        <w:rPr>
          <w:rStyle w:val="FootnoteReference"/>
          <w:rFonts w:ascii="Courier New" w:hAnsi="Courier New" w:cs="Courier New"/>
          <w:color w:val="231F20"/>
          <w:sz w:val="24"/>
          <w:szCs w:val="24"/>
        </w:rPr>
        <w:footnoteReference w:id="253"/>
      </w:r>
    </w:p>
    <w:p w14:paraId="13C6E3D7"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There is growing evidence that many for-profit programs may not be preparing students for careers as well as comparable programs at public institutions.  A 2011 GAO report reviewed results of licensing exams for 10 occupations that are among the largest fields of study, by enrollment, and found that, for nine out of 10 licensing exams, graduates of for-profit institutions had lower rates of passing than graduates of public institutions.</w:t>
      </w:r>
      <w:r w:rsidRPr="00AA6DFD">
        <w:rPr>
          <w:rStyle w:val="FootnoteReference"/>
          <w:rFonts w:ascii="Courier New" w:hAnsi="Courier New" w:cs="Courier New"/>
          <w:sz w:val="24"/>
          <w:szCs w:val="24"/>
        </w:rPr>
        <w:footnoteReference w:id="254"/>
      </w:r>
      <w:r w:rsidRPr="00AA6DFD">
        <w:rPr>
          <w:rFonts w:ascii="Courier New" w:hAnsi="Courier New" w:cs="Courier New"/>
          <w:sz w:val="24"/>
          <w:szCs w:val="24"/>
        </w:rPr>
        <w:t xml:space="preserve">  </w:t>
      </w:r>
    </w:p>
    <w:p w14:paraId="501F78AF"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Many for-profit institutions devote greater resources to recruiting and marketing than they do to instruction or to student support services.</w:t>
      </w:r>
      <w:r w:rsidRPr="00AA6DFD">
        <w:rPr>
          <w:rStyle w:val="FootnoteReference"/>
          <w:rFonts w:ascii="Courier New" w:hAnsi="Courier New" w:cs="Courier New"/>
          <w:sz w:val="24"/>
          <w:szCs w:val="24"/>
        </w:rPr>
        <w:footnoteReference w:id="255"/>
      </w:r>
      <w:r w:rsidRPr="00AA6DFD">
        <w:rPr>
          <w:rFonts w:ascii="Courier New" w:hAnsi="Courier New" w:cs="Courier New"/>
          <w:sz w:val="24"/>
          <w:szCs w:val="24"/>
        </w:rPr>
        <w:t xml:space="preserve">  An investigation by the U.S. Senate Committee on Health, Education, Labor &amp; Pensions (Senate HELP Committee) of 30 prominent for-profit institutions found that almost 23 percent of revenues were spent on marketing and recruiting but only 17 percent on instruction.</w:t>
      </w:r>
      <w:r w:rsidRPr="00AA6DFD">
        <w:rPr>
          <w:rStyle w:val="FootnoteReference"/>
          <w:rFonts w:ascii="Courier New" w:hAnsi="Courier New" w:cs="Courier New"/>
          <w:sz w:val="24"/>
          <w:szCs w:val="24"/>
        </w:rPr>
        <w:footnoteReference w:id="256"/>
      </w:r>
      <w:r w:rsidRPr="00AA6DFD">
        <w:rPr>
          <w:rFonts w:ascii="Courier New" w:hAnsi="Courier New" w:cs="Courier New"/>
          <w:sz w:val="24"/>
          <w:szCs w:val="24"/>
        </w:rPr>
        <w:t xml:space="preserve">  A review of data provided by some of those institutions showed that they employed 35,202 recruiters compared with 3,512 career services staff and 12,452 support services staff.</w:t>
      </w:r>
      <w:r w:rsidRPr="00AA6DFD">
        <w:rPr>
          <w:rStyle w:val="FootnoteReference"/>
          <w:rFonts w:ascii="Courier New" w:hAnsi="Courier New" w:cs="Courier New"/>
          <w:sz w:val="24"/>
          <w:szCs w:val="24"/>
        </w:rPr>
        <w:footnoteReference w:id="257"/>
      </w:r>
    </w:p>
    <w:p w14:paraId="6265B9A6"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color w:val="000000"/>
          <w:sz w:val="24"/>
          <w:szCs w:val="24"/>
          <w:shd w:val="clear" w:color="auto" w:fill="FFFFFF"/>
        </w:rPr>
      </w:pPr>
      <w:r w:rsidRPr="00AA6DFD">
        <w:rPr>
          <w:rFonts w:ascii="Courier New" w:hAnsi="Courier New" w:cs="Courier New"/>
          <w:sz w:val="24"/>
          <w:szCs w:val="24"/>
        </w:rPr>
        <w:t xml:space="preserve">Lower rates of completion at many for-profit institutions are also a cause for concern.  </w:t>
      </w:r>
      <w:r w:rsidRPr="00AA6DFD">
        <w:rPr>
          <w:rFonts w:ascii="Courier New" w:hAnsi="Courier New" w:cs="Courier New"/>
          <w:color w:val="000000"/>
          <w:sz w:val="24"/>
          <w:szCs w:val="24"/>
          <w:shd w:val="clear" w:color="auto" w:fill="FFFFFF"/>
        </w:rPr>
        <w:t>The six-year degree/certificate attainment rate of first-time undergraduate students who began at a four-year degree-granting institution in 2003-2004 was 34 percent at for-profit institutions in comparison to 67 percent at public institutions.</w:t>
      </w:r>
      <w:r w:rsidRPr="00AA6DFD">
        <w:rPr>
          <w:rFonts w:ascii="Courier New" w:eastAsia="Times New Roman" w:hAnsi="Courier New" w:cs="Courier New"/>
          <w:color w:val="000000"/>
          <w:sz w:val="24"/>
          <w:szCs w:val="24"/>
          <w:vertAlign w:val="superscript"/>
        </w:rPr>
        <w:footnoteReference w:id="258"/>
      </w:r>
      <w:r w:rsidRPr="00AA6DFD">
        <w:rPr>
          <w:rFonts w:ascii="Courier New" w:hAnsi="Courier New" w:cs="Courier New"/>
          <w:color w:val="000000"/>
          <w:sz w:val="24"/>
          <w:szCs w:val="24"/>
          <w:shd w:val="clear" w:color="auto" w:fill="FFFFFF"/>
        </w:rPr>
        <w:t xml:space="preserve">  </w:t>
      </w:r>
      <w:r w:rsidRPr="00AA6DFD">
        <w:rPr>
          <w:rFonts w:ascii="Courier New" w:eastAsia="Times New Roman" w:hAnsi="Courier New" w:cs="Courier New"/>
          <w:color w:val="000000"/>
          <w:sz w:val="24"/>
          <w:szCs w:val="24"/>
          <w:shd w:val="clear" w:color="auto" w:fill="FFFFFF"/>
        </w:rPr>
        <w:t>However, it is important to note that, among first-time undergraduate students who began at a two-year degree-granting institution in 2003-2004, the six-year degree/certification attainment rate was 40 percent at for-profit institutions compared to 35 percent at public institutions.</w:t>
      </w:r>
      <w:r w:rsidRPr="00AA6DFD">
        <w:rPr>
          <w:rFonts w:ascii="Courier New" w:eastAsia="Times New Roman" w:hAnsi="Courier New" w:cs="Courier New"/>
          <w:color w:val="000000"/>
          <w:sz w:val="24"/>
          <w:szCs w:val="24"/>
          <w:vertAlign w:val="superscript"/>
        </w:rPr>
        <w:footnoteReference w:id="259"/>
      </w:r>
      <w:r w:rsidRPr="00AA6DFD">
        <w:rPr>
          <w:rFonts w:ascii="Courier New" w:eastAsia="Times New Roman" w:hAnsi="Courier New" w:cs="Courier New"/>
          <w:color w:val="000000"/>
          <w:sz w:val="24"/>
          <w:szCs w:val="24"/>
          <w:shd w:val="clear" w:color="auto" w:fill="FFFFFF"/>
        </w:rPr>
        <w:t xml:space="preserve">  </w:t>
      </w:r>
      <w:r w:rsidRPr="00AA6DFD">
        <w:rPr>
          <w:rFonts w:ascii="Courier New" w:hAnsi="Courier New" w:cs="Courier New"/>
          <w:color w:val="000000"/>
          <w:sz w:val="24"/>
          <w:szCs w:val="24"/>
          <w:shd w:val="clear" w:color="auto" w:fill="FFFFFF"/>
        </w:rPr>
        <w:t xml:space="preserve">   </w:t>
      </w:r>
    </w:p>
    <w:p w14:paraId="738FFA9B"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color w:val="000000"/>
          <w:sz w:val="24"/>
          <w:szCs w:val="24"/>
          <w:shd w:val="clear" w:color="auto" w:fill="FFFFFF"/>
        </w:rPr>
      </w:pPr>
      <w:r w:rsidRPr="00AA6DFD">
        <w:rPr>
          <w:rFonts w:ascii="Courier New" w:eastAsia="Times New Roman" w:hAnsi="Courier New" w:cs="Courier New"/>
          <w:color w:val="000000"/>
          <w:sz w:val="24"/>
          <w:szCs w:val="24"/>
          <w:shd w:val="clear" w:color="auto" w:fill="FFFFFF"/>
        </w:rPr>
        <w:t>The slightly lower degree/certification attainment rates of two-year public institutions may at least be partially attributable to higher rates of transfer from two-year public institutions to other institutions.</w:t>
      </w:r>
      <w:r w:rsidRPr="00AA6DFD">
        <w:rPr>
          <w:rFonts w:ascii="Courier New" w:eastAsia="Times New Roman" w:hAnsi="Courier New" w:cs="Courier New"/>
          <w:color w:val="000000"/>
          <w:sz w:val="24"/>
          <w:szCs w:val="24"/>
          <w:vertAlign w:val="superscript"/>
        </w:rPr>
        <w:footnoteReference w:id="260"/>
      </w:r>
      <w:r w:rsidRPr="00AA6DFD">
        <w:rPr>
          <w:rFonts w:ascii="Courier New" w:hAnsi="Courier New"/>
          <w:color w:val="000000"/>
          <w:sz w:val="24"/>
          <w:shd w:val="clear" w:color="auto" w:fill="FFFFFF"/>
        </w:rPr>
        <w:t xml:space="preserve">  </w:t>
      </w:r>
      <w:r w:rsidRPr="00AA6DFD">
        <w:rPr>
          <w:rFonts w:ascii="Courier New" w:eastAsia="Times New Roman" w:hAnsi="Courier New" w:cs="Courier New"/>
          <w:color w:val="000000"/>
          <w:sz w:val="24"/>
          <w:szCs w:val="24"/>
        </w:rPr>
        <w:t xml:space="preserve"> </w:t>
      </w:r>
      <w:r w:rsidRPr="00AA6DFD">
        <w:rPr>
          <w:rFonts w:ascii="Courier New" w:eastAsia="Times New Roman" w:hAnsi="Courier New" w:cs="Courier New"/>
          <w:color w:val="000000"/>
          <w:sz w:val="24"/>
          <w:szCs w:val="24"/>
          <w:shd w:val="clear" w:color="auto" w:fill="FFFFFF"/>
        </w:rPr>
        <w:t>Based on available data, it appears that relatively few students transfer from for-profit institutions to other institutions.  Survey data indicate about 5 percent of all student transfers originate from for-profit institutions, while students transferring from public institutions represent 64 percent of all transfers occurring at any institution (public two-year institutions to public four-year institutions being the most common type of transfer).</w:t>
      </w:r>
      <w:r w:rsidRPr="00AA6DFD">
        <w:rPr>
          <w:rFonts w:ascii="Courier New" w:eastAsia="Times New Roman" w:hAnsi="Courier New" w:cs="Courier New"/>
          <w:color w:val="000000"/>
          <w:sz w:val="24"/>
          <w:szCs w:val="24"/>
          <w:vertAlign w:val="superscript"/>
        </w:rPr>
        <w:footnoteReference w:id="261"/>
      </w:r>
    </w:p>
    <w:p w14:paraId="758DFC53"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color w:val="000000"/>
          <w:sz w:val="24"/>
          <w:szCs w:val="24"/>
          <w:shd w:val="clear" w:color="auto" w:fill="FFFFFF"/>
        </w:rPr>
      </w:pPr>
      <w:r w:rsidRPr="00AA6DFD">
        <w:rPr>
          <w:rFonts w:ascii="Courier New" w:hAnsi="Courier New" w:cs="Courier New"/>
          <w:color w:val="000000"/>
          <w:sz w:val="24"/>
          <w:szCs w:val="24"/>
          <w:shd w:val="clear" w:color="auto" w:fill="FFFFFF"/>
        </w:rPr>
        <w:t>Additionally, students who transfer from for-profit institutions are substantially less likely to be able to successfully transfer credits to other institutions than students who transfer from public institutions.  According to a recent NCES study, an estimated 83 percent of first-time beginning undergraduate students who transferred from a for-profit institution to an institution in another sector were unable to successfully transfer credits to their new institution.  In comparison, 38 percent of first-time beginning undergraduate students who transferred between two public institutions were unable to transfer credits to their new institution.</w:t>
      </w:r>
      <w:r w:rsidRPr="00AA6DFD">
        <w:rPr>
          <w:rStyle w:val="FootnoteReference"/>
          <w:rFonts w:ascii="Courier New" w:hAnsi="Courier New" w:cs="Courier New"/>
          <w:color w:val="000000"/>
          <w:sz w:val="24"/>
          <w:szCs w:val="24"/>
          <w:shd w:val="clear" w:color="auto" w:fill="FFFFFF"/>
        </w:rPr>
        <w:footnoteReference w:id="262"/>
      </w:r>
      <w:r w:rsidRPr="00AA6DFD">
        <w:rPr>
          <w:rFonts w:ascii="Courier New" w:hAnsi="Courier New" w:cs="Courier New"/>
          <w:color w:val="000000"/>
          <w:sz w:val="24"/>
          <w:szCs w:val="24"/>
          <w:shd w:val="clear" w:color="auto" w:fill="FFFFFF"/>
        </w:rPr>
        <w:t xml:space="preserve">  </w:t>
      </w:r>
    </w:p>
    <w:p w14:paraId="6315EB45"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higher costs of for-profit institutions and resulting greater amounts of debt incurred by their students, together with generally lower rates of completion, continue to raise concerns about whether some for-profit programs lead to earnings that justify the investment made by students, and additionally, taxpayers through the title IV, HEA programs.    </w:t>
      </w:r>
    </w:p>
    <w:p w14:paraId="5AEF9E4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In general, we believe that most programs operated by for-profit institutions produce positive educational and career outcomes for students.  One study estimated moderately positive earnings gains, finding that “[a]mong associate’s degree students, estimates of returns to for-profit attendance are generally in the range of 2 to 8 percent per year of education.”</w:t>
      </w:r>
      <w:r w:rsidRPr="00AA6DFD">
        <w:rPr>
          <w:rFonts w:ascii="Courier New" w:hAnsi="Courier New" w:cs="Courier New"/>
          <w:sz w:val="24"/>
          <w:szCs w:val="24"/>
          <w:vertAlign w:val="superscript"/>
        </w:rPr>
        <w:footnoteReference w:id="263"/>
      </w:r>
      <w:r w:rsidRPr="00AA6DFD">
        <w:rPr>
          <w:rFonts w:ascii="Courier New" w:hAnsi="Courier New" w:cs="Courier New"/>
          <w:sz w:val="24"/>
          <w:szCs w:val="24"/>
        </w:rPr>
        <w:t xml:space="preserve">  However, recent evidence suggests “students attending for-profit institutions generate earnings gains that are lower than those of students in other sectors.”</w:t>
      </w:r>
      <w:r w:rsidRPr="00AA6DFD">
        <w:rPr>
          <w:rStyle w:val="FootnoteReference"/>
          <w:rFonts w:ascii="Courier New" w:hAnsi="Courier New" w:cs="Courier New"/>
          <w:sz w:val="24"/>
          <w:szCs w:val="24"/>
        </w:rPr>
        <w:footnoteReference w:id="264"/>
      </w:r>
      <w:r w:rsidRPr="00AA6DFD">
        <w:rPr>
          <w:rFonts w:ascii="Courier New" w:hAnsi="Courier New" w:cs="Courier New"/>
          <w:sz w:val="24"/>
          <w:szCs w:val="24"/>
        </w:rPr>
        <w:t xml:space="preserve">  The same study that found gains resulting from for-profit attendance in the range of 2 to 8 percent per year of education also found that gains for students attending public institution are “upwards of 9 percent.”</w:t>
      </w:r>
      <w:r w:rsidRPr="00AA6DFD">
        <w:rPr>
          <w:rFonts w:ascii="Courier New" w:hAnsi="Courier New" w:cs="Courier New"/>
          <w:sz w:val="24"/>
          <w:szCs w:val="24"/>
          <w:vertAlign w:val="superscript"/>
        </w:rPr>
        <w:footnoteReference w:id="265"/>
      </w:r>
      <w:r w:rsidRPr="00AA6DFD">
        <w:rPr>
          <w:rFonts w:ascii="Courier New" w:hAnsi="Courier New" w:cs="Courier New"/>
          <w:sz w:val="24"/>
          <w:szCs w:val="24"/>
        </w:rPr>
        <w:t xml:space="preserve">  But, other studies fail to find significant differences between the returns to students on educational programs at for-profit institutions and other sectors.</w:t>
      </w:r>
      <w:r w:rsidRPr="00AA6DFD">
        <w:rPr>
          <w:rStyle w:val="FootnoteReference"/>
          <w:rFonts w:ascii="Courier New" w:hAnsi="Courier New" w:cs="Courier New"/>
          <w:sz w:val="24"/>
          <w:szCs w:val="24"/>
        </w:rPr>
        <w:footnoteReference w:id="266"/>
      </w:r>
      <w:r w:rsidRPr="00AA6DFD">
        <w:rPr>
          <w:rFonts w:ascii="Courier New" w:hAnsi="Courier New" w:cs="Courier New"/>
          <w:sz w:val="24"/>
          <w:szCs w:val="24"/>
        </w:rPr>
        <w:t xml:space="preserve">  </w:t>
      </w:r>
    </w:p>
    <w:p w14:paraId="3598702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Analysis of data collected on the outcomes of 2003-2004 first-time beginning postsecondary students as a part of the Beginning Postsecondary Students Longitudinal Study shows that students who attend for-profit institutions are more likely to be idle--not working or in school--six years after starting their programs of study in comparison to students who attend other types of institutions.</w:t>
      </w:r>
      <w:r w:rsidRPr="00AA6DFD">
        <w:rPr>
          <w:rStyle w:val="FootnoteReference"/>
          <w:rFonts w:ascii="Courier New" w:hAnsi="Courier New" w:cs="Courier New"/>
          <w:sz w:val="24"/>
          <w:szCs w:val="24"/>
        </w:rPr>
        <w:footnoteReference w:id="267"/>
      </w:r>
      <w:r w:rsidRPr="00AA6DFD">
        <w:rPr>
          <w:rFonts w:ascii="Courier New" w:hAnsi="Courier New" w:cs="Courier New"/>
          <w:sz w:val="24"/>
          <w:szCs w:val="24"/>
        </w:rPr>
        <w:t xml:space="preserve">  Additionally, students who attend for-profit institutions and are no longer enrolled in school six years after beginning postsecondary education have lower earnings at the six-year mark than students who attend other types of institutions.</w:t>
      </w:r>
      <w:r w:rsidRPr="00AA6DFD">
        <w:rPr>
          <w:rStyle w:val="FootnoteReference"/>
          <w:rFonts w:ascii="Courier New" w:hAnsi="Courier New" w:cs="Courier New"/>
          <w:sz w:val="24"/>
          <w:szCs w:val="24"/>
        </w:rPr>
        <w:footnoteReference w:id="268"/>
      </w:r>
      <w:r w:rsidRPr="00AA6DFD">
        <w:rPr>
          <w:rFonts w:ascii="Courier New" w:hAnsi="Courier New" w:cs="Courier New"/>
          <w:sz w:val="24"/>
          <w:szCs w:val="24"/>
        </w:rPr>
        <w:t xml:space="preserve">  </w:t>
      </w:r>
    </w:p>
    <w:p w14:paraId="34123D0A" w14:textId="77777777" w:rsidR="00BF10A3" w:rsidRPr="00AA6DFD" w:rsidRDefault="00BF10A3" w:rsidP="00BF10A3">
      <w:pPr>
        <w:widowControl w:val="0"/>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These outcomes are troubling for two reasons.  First, some students will not have sufficient earnings to repay the debt they incurred to enroll in these programs.  Second, because the HEA limits the amounts of Federal grants and loans students may receive, their options to transfer to higher-quality and affordable programs may be constrained as they may no longer have access to sufficient student aid.</w:t>
      </w:r>
      <w:r w:rsidRPr="00AA6DFD">
        <w:rPr>
          <w:rFonts w:ascii="Courier New" w:hAnsi="Courier New" w:cs="Courier New"/>
          <w:sz w:val="24"/>
          <w:szCs w:val="24"/>
          <w:vertAlign w:val="superscript"/>
        </w:rPr>
        <w:footnoteReference w:id="269"/>
      </w:r>
      <w:r w:rsidRPr="00AA6DFD">
        <w:rPr>
          <w:rFonts w:ascii="Courier New" w:hAnsi="Courier New" w:cs="Courier New"/>
          <w:sz w:val="24"/>
          <w:szCs w:val="24"/>
        </w:rPr>
        <w:t xml:space="preserve">  These limitations make it even more critical that students’ initial choices in GE programs prepare them for employment that provides adequate earnings and do not result in excessive debt. </w:t>
      </w:r>
    </w:p>
    <w:p w14:paraId="3ABC7210" w14:textId="77777777" w:rsidR="00BF10A3" w:rsidRPr="00AA6DFD" w:rsidRDefault="00BF10A3" w:rsidP="00BF10A3">
      <w:pPr>
        <w:spacing w:after="0" w:line="480" w:lineRule="auto"/>
        <w:ind w:firstLine="720"/>
        <w:contextualSpacing/>
        <w:rPr>
          <w:rFonts w:ascii="Courier New" w:hAnsi="Courier New" w:cs="Courier New"/>
          <w:sz w:val="24"/>
          <w:szCs w:val="24"/>
        </w:rPr>
      </w:pPr>
      <w:r w:rsidRPr="00AA6DFD">
        <w:rPr>
          <w:rFonts w:ascii="Courier New" w:hAnsi="Courier New" w:cs="Courier New"/>
          <w:sz w:val="24"/>
          <w:szCs w:val="24"/>
        </w:rPr>
        <w:t>We also remain concerned that some for-profit institutions have taken advantage of the lack of access to reliable information about GE programs to mislead students.  In 2010, the GAO released the results of undercover testing at 15 for-profit colleges across several States.</w:t>
      </w:r>
      <w:r w:rsidRPr="00AA6DFD">
        <w:rPr>
          <w:rStyle w:val="FootnoteReference"/>
          <w:rFonts w:ascii="Courier New" w:hAnsi="Courier New" w:cs="Courier New"/>
          <w:sz w:val="24"/>
          <w:szCs w:val="24"/>
        </w:rPr>
        <w:footnoteReference w:id="270"/>
      </w:r>
      <w:r w:rsidRPr="00AA6DFD">
        <w:rPr>
          <w:rFonts w:ascii="Courier New" w:hAnsi="Courier New" w:cs="Courier New"/>
          <w:sz w:val="24"/>
          <w:szCs w:val="24"/>
        </w:rPr>
        <w:t xml:space="preserve">  Thirteen of the colleges tested gave undercover student applicants “deceptive or otherwise questionable information” about graduation rates, job placement, or expected earnings.</w:t>
      </w:r>
      <w:r w:rsidRPr="00AA6DFD">
        <w:rPr>
          <w:rStyle w:val="FootnoteReference"/>
          <w:rFonts w:ascii="Courier New" w:hAnsi="Courier New" w:cs="Courier New"/>
          <w:sz w:val="24"/>
          <w:szCs w:val="24"/>
        </w:rPr>
        <w:footnoteReference w:id="271"/>
      </w:r>
      <w:r w:rsidRPr="00AA6DFD">
        <w:rPr>
          <w:rFonts w:ascii="Courier New" w:hAnsi="Courier New" w:cs="Courier New"/>
          <w:sz w:val="24"/>
          <w:szCs w:val="24"/>
        </w:rPr>
        <w:t xml:space="preserve">  The Senate HELP Committee investigation of the for-profit education sector also found evidence that many of the most prominent for-profit institutions engage in aggressive sales practices and provide misleading information to prospective students.</w:t>
      </w:r>
      <w:r w:rsidRPr="00AA6DFD">
        <w:rPr>
          <w:rStyle w:val="FootnoteReference"/>
          <w:rFonts w:ascii="Courier New" w:hAnsi="Courier New" w:cs="Courier New"/>
          <w:sz w:val="24"/>
          <w:szCs w:val="24"/>
        </w:rPr>
        <w:footnoteReference w:id="272"/>
      </w:r>
      <w:r w:rsidRPr="00AA6DFD">
        <w:rPr>
          <w:rFonts w:ascii="Courier New" w:hAnsi="Courier New" w:cs="Courier New"/>
          <w:sz w:val="24"/>
          <w:szCs w:val="24"/>
        </w:rPr>
        <w:t xml:space="preserve">  Recruiters described “boiler room”-like sales and marketing tactics and internal institutional documents showed that recruiters are taught to identify and manipulate emotional vulnerabilities and target non-traditional students.</w:t>
      </w:r>
      <w:r w:rsidRPr="00AA6DFD">
        <w:rPr>
          <w:rStyle w:val="FootnoteReference"/>
          <w:rFonts w:ascii="Courier New" w:hAnsi="Courier New" w:cs="Courier New"/>
          <w:sz w:val="24"/>
          <w:szCs w:val="24"/>
        </w:rPr>
        <w:footnoteReference w:id="273"/>
      </w:r>
      <w:r w:rsidRPr="00AA6DFD">
        <w:rPr>
          <w:rFonts w:ascii="Courier New" w:hAnsi="Courier New" w:cs="Courier New"/>
          <w:sz w:val="24"/>
          <w:szCs w:val="24"/>
        </w:rPr>
        <w:t xml:space="preserve">  </w:t>
      </w:r>
    </w:p>
    <w:p w14:paraId="6A70A9F3" w14:textId="77777777" w:rsidR="00BF10A3" w:rsidRPr="00AA6DFD" w:rsidRDefault="00BF10A3" w:rsidP="00BF10A3">
      <w:pPr>
        <w:spacing w:line="480" w:lineRule="auto"/>
        <w:ind w:firstLine="720"/>
        <w:contextualSpacing/>
        <w:rPr>
          <w:rFonts w:ascii="Courier New" w:hAnsi="Courier New" w:cs="Courier New"/>
          <w:sz w:val="24"/>
          <w:szCs w:val="24"/>
        </w:rPr>
      </w:pPr>
      <w:r w:rsidRPr="00AA6DFD">
        <w:rPr>
          <w:rFonts w:ascii="Courier New" w:hAnsi="Courier New" w:cs="Courier New"/>
          <w:sz w:val="24"/>
          <w:szCs w:val="24"/>
        </w:rPr>
        <w:t xml:space="preserve">There has been growth in the number of </w:t>
      </w:r>
      <w:r w:rsidRPr="00AA6DFD">
        <w:rPr>
          <w:rFonts w:ascii="Courier New" w:hAnsi="Courier New" w:cs="Courier New"/>
          <w:i/>
          <w:sz w:val="24"/>
          <w:szCs w:val="24"/>
        </w:rPr>
        <w:t>qui tam</w:t>
      </w:r>
      <w:r w:rsidRPr="00AA6DFD">
        <w:rPr>
          <w:rFonts w:ascii="Courier New" w:hAnsi="Courier New" w:cs="Courier New"/>
          <w:sz w:val="24"/>
          <w:szCs w:val="24"/>
        </w:rPr>
        <w:t xml:space="preserve"> lawsuits brought by private parties alleging wrongdoing at for-profit institutions, such as overstating job placement rates.</w:t>
      </w:r>
      <w:r w:rsidRPr="00AA6DFD">
        <w:rPr>
          <w:rStyle w:val="FootnoteReference"/>
          <w:rFonts w:ascii="Courier New" w:eastAsia="Times New Roman" w:hAnsi="Courier New"/>
          <w:sz w:val="24"/>
          <w:szCs w:val="24"/>
        </w:rPr>
        <w:footnoteReference w:id="274"/>
      </w:r>
      <w:r w:rsidRPr="00AA6DFD">
        <w:rPr>
          <w:rFonts w:ascii="Courier New" w:eastAsia="Times New Roman" w:hAnsi="Courier New" w:cs="Courier New"/>
          <w:sz w:val="24"/>
          <w:szCs w:val="24"/>
        </w:rPr>
        <w:t xml:space="preserve">  </w:t>
      </w:r>
      <w:r w:rsidRPr="00AA6DFD">
        <w:rPr>
          <w:rFonts w:ascii="Courier New" w:hAnsi="Courier New" w:cs="Courier New"/>
          <w:sz w:val="24"/>
          <w:szCs w:val="24"/>
        </w:rPr>
        <w:t xml:space="preserve">  Moreover, a growing number of State and other Federal law enforcement authorities have launched investigations into whether for-profit institutions are using aggressive or even deceptive marketing and recruiting practices.  </w:t>
      </w:r>
    </w:p>
    <w:p w14:paraId="7F34BCD2" w14:textId="77777777" w:rsidR="00BF10A3" w:rsidRPr="00AA6DFD" w:rsidRDefault="00BF10A3" w:rsidP="00BF10A3">
      <w:pPr>
        <w:spacing w:line="480" w:lineRule="auto"/>
        <w:ind w:firstLine="720"/>
        <w:contextualSpacing/>
        <w:rPr>
          <w:rFonts w:ascii="Courier New" w:hAnsi="Courier New" w:cs="Courier New"/>
          <w:sz w:val="24"/>
          <w:szCs w:val="24"/>
        </w:rPr>
      </w:pPr>
      <w:r w:rsidRPr="00AA6DFD">
        <w:rPr>
          <w:rFonts w:ascii="Courier New" w:hAnsi="Courier New" w:cs="Courier New"/>
          <w:sz w:val="24"/>
          <w:szCs w:val="24"/>
        </w:rPr>
        <w:t>Several State Attorneys General have sued for-profit institutions to stop fraudulent marketing practices, including manipulation of job placement rates.  In 2013, the New York State Attorney General announced a $10.25 million settlement with Career Education Corporation (CEC), a private for-profit education company, after its investigation revealed that CEC significantly inflated its graduates’ job placement rates in disclosures made to students, accreditors, and the State.</w:t>
      </w:r>
      <w:r w:rsidRPr="00AA6DFD">
        <w:rPr>
          <w:rStyle w:val="FootnoteReference"/>
          <w:rFonts w:ascii="Courier New" w:hAnsi="Courier New" w:cs="Courier New"/>
          <w:sz w:val="24"/>
          <w:szCs w:val="24"/>
        </w:rPr>
        <w:footnoteReference w:id="275"/>
      </w:r>
      <w:r w:rsidRPr="00AA6DFD">
        <w:rPr>
          <w:rFonts w:ascii="Courier New" w:hAnsi="Courier New" w:cs="Courier New"/>
          <w:sz w:val="24"/>
          <w:szCs w:val="24"/>
        </w:rPr>
        <w:t xml:space="preserve">  The State of Illinois sued Westwood College for misrepresentations and false promises made to students enrolling in the company’s criminal justice program.</w:t>
      </w:r>
      <w:r w:rsidRPr="00AA6DFD">
        <w:rPr>
          <w:rStyle w:val="FootnoteReference"/>
          <w:rFonts w:ascii="Courier New" w:hAnsi="Courier New" w:cs="Courier New"/>
          <w:sz w:val="24"/>
          <w:szCs w:val="24"/>
        </w:rPr>
        <w:footnoteReference w:id="276"/>
      </w:r>
      <w:r w:rsidRPr="00AA6DFD">
        <w:rPr>
          <w:rFonts w:ascii="Courier New" w:hAnsi="Courier New" w:cs="Courier New"/>
          <w:sz w:val="24"/>
          <w:szCs w:val="24"/>
        </w:rPr>
        <w:t xml:space="preserve">  The Commonwealth of Kentucky has filed lawsuits against several private for-profit institutions, including National College of Kentucky, Inc., for misrepresenting job placement rates, and Daymar College, Inc., for misleading students about financial aid and overcharging for textbooks.</w:t>
      </w:r>
      <w:r w:rsidRPr="00AA6DFD">
        <w:rPr>
          <w:rStyle w:val="FootnoteReference"/>
          <w:rFonts w:ascii="Courier New" w:hAnsi="Courier New" w:cs="Courier New"/>
          <w:sz w:val="24"/>
          <w:szCs w:val="24"/>
        </w:rPr>
        <w:footnoteReference w:id="277"/>
      </w:r>
      <w:r w:rsidRPr="00AA6DFD">
        <w:rPr>
          <w:rFonts w:ascii="Courier New" w:hAnsi="Courier New" w:cs="Courier New"/>
          <w:sz w:val="24"/>
          <w:szCs w:val="24"/>
        </w:rPr>
        <w:t xml:space="preserve">  And most recently, a group of 13 State Attorneys General issued Civil Investigatory Demands to Corinthian Colleges, Inc., Education Management Co., ITT Educational Services, Inc., and CEC, seeking information about job placement rate data and marketing and recruitment practices.</w:t>
      </w:r>
      <w:r w:rsidRPr="00AA6DFD">
        <w:rPr>
          <w:rStyle w:val="FootnoteReference"/>
          <w:rFonts w:ascii="Courier New" w:hAnsi="Courier New"/>
          <w:sz w:val="24"/>
          <w:szCs w:val="24"/>
        </w:rPr>
        <w:footnoteReference w:id="278"/>
      </w:r>
      <w:r w:rsidRPr="00AA6DFD">
        <w:rPr>
          <w:rFonts w:ascii="Courier New" w:hAnsi="Courier New" w:cs="Courier New"/>
          <w:sz w:val="24"/>
          <w:szCs w:val="24"/>
        </w:rPr>
        <w:t xml:space="preserve">  </w:t>
      </w:r>
      <w:r w:rsidRPr="00AA6DFD">
        <w:rPr>
          <w:rFonts w:ascii="Courier New" w:eastAsia="MS ??" w:hAnsi="Courier New" w:cs="Courier New"/>
          <w:sz w:val="24"/>
          <w:szCs w:val="24"/>
        </w:rPr>
        <w:t>The States participating include Arizona, Arkansas, Connecticut, Idaho, Iowa, Kentucky, Missouri, Nebraska, North Carolina, Oregon, Pennsylvania, Tennessee, and Washington.</w:t>
      </w:r>
      <w:r w:rsidRPr="00AA6DFD">
        <w:rPr>
          <w:rFonts w:ascii="Courier New" w:hAnsi="Courier New" w:cs="Courier New"/>
          <w:sz w:val="24"/>
          <w:szCs w:val="24"/>
        </w:rPr>
        <w:t xml:space="preserve"> </w:t>
      </w:r>
    </w:p>
    <w:p w14:paraId="253CB38F" w14:textId="77777777" w:rsidR="00BF10A3" w:rsidRPr="00AA6DFD" w:rsidRDefault="00BF10A3" w:rsidP="00BF10A3">
      <w:pPr>
        <w:spacing w:after="0" w:line="480" w:lineRule="auto"/>
        <w:ind w:firstLine="720"/>
        <w:contextualSpacing/>
        <w:rPr>
          <w:rFonts w:ascii="Courier New" w:hAnsi="Courier New" w:cs="Courier New"/>
          <w:sz w:val="24"/>
          <w:szCs w:val="24"/>
        </w:rPr>
      </w:pPr>
      <w:r w:rsidRPr="00AA6DFD">
        <w:rPr>
          <w:rFonts w:ascii="Courier New" w:hAnsi="Courier New" w:cs="Courier New"/>
          <w:sz w:val="24"/>
          <w:szCs w:val="24"/>
        </w:rPr>
        <w:t>Federal agencies have also begun investigations into the practices of some for-profit institutions.  For example, the Consumer Financial Protection Bureau issued Civil Investigatory Demands to Corinthian Colleges, Inc. and ITT Educational Services, Inc. in 2013, demanding information about their marketing, advertising, and lending policies.</w:t>
      </w:r>
      <w:r w:rsidRPr="00AA6DFD">
        <w:rPr>
          <w:rStyle w:val="FootnoteReference"/>
          <w:rFonts w:ascii="Courier New" w:hAnsi="Courier New" w:cs="Courier New"/>
          <w:sz w:val="24"/>
          <w:szCs w:val="24"/>
        </w:rPr>
        <w:footnoteReference w:id="279"/>
      </w:r>
      <w:r w:rsidRPr="00AA6DFD">
        <w:rPr>
          <w:rFonts w:ascii="Courier New" w:hAnsi="Courier New" w:cs="Courier New"/>
          <w:sz w:val="24"/>
          <w:szCs w:val="24"/>
        </w:rPr>
        <w:t xml:space="preserve">  The Securities and Exchange Commission also subpoenaed records from Corinthian Colleges, Inc. in 2013, seeking student information in the areas of recruitment, attendance, completion, placement, and loan defaults.</w:t>
      </w:r>
      <w:r w:rsidRPr="00AA6DFD">
        <w:rPr>
          <w:rStyle w:val="FootnoteReference"/>
          <w:rFonts w:ascii="Courier New" w:hAnsi="Courier New" w:cs="Courier New"/>
          <w:sz w:val="24"/>
          <w:szCs w:val="24"/>
        </w:rPr>
        <w:footnoteReference w:id="280"/>
      </w:r>
      <w:r w:rsidRPr="00AA6DFD">
        <w:rPr>
          <w:rFonts w:ascii="Courier New" w:hAnsi="Courier New" w:cs="Courier New"/>
          <w:sz w:val="24"/>
          <w:szCs w:val="24"/>
        </w:rPr>
        <w:t xml:space="preserve">  And, the Department is also gathering and reviewing extensive amounts of data from Corinthian Colleges, Inc. regarding, in particular, the reliability of its disclosures of placement rates.</w:t>
      </w:r>
      <w:r w:rsidRPr="00AA6DFD">
        <w:rPr>
          <w:rStyle w:val="FootnoteReference"/>
          <w:rFonts w:ascii="Courier New" w:hAnsi="Courier New" w:cs="Courier New"/>
          <w:sz w:val="24"/>
          <w:szCs w:val="24"/>
        </w:rPr>
        <w:footnoteReference w:id="281"/>
      </w:r>
      <w:r w:rsidRPr="00AA6DFD">
        <w:rPr>
          <w:rFonts w:ascii="Courier New" w:hAnsi="Courier New" w:cs="Courier New"/>
          <w:sz w:val="24"/>
          <w:szCs w:val="24"/>
        </w:rPr>
        <w:t xml:space="preserve">  </w:t>
      </w:r>
    </w:p>
    <w:p w14:paraId="24C144C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2012 Senate HELP Committee report also found extensive evidence of aggressive and deceptive recruiting practices, excessive tuition, and regulatory evasion and manipulation by for-profit colleges in their efforts to enroll service members, veterans, and their families.  The report described veterans being viewed as “dollar signs in uniform.”</w:t>
      </w:r>
      <w:r w:rsidRPr="00AA6DFD">
        <w:rPr>
          <w:rStyle w:val="FootnoteReference"/>
          <w:rFonts w:ascii="Courier New" w:hAnsi="Courier New" w:cs="Courier New"/>
          <w:sz w:val="24"/>
          <w:szCs w:val="24"/>
        </w:rPr>
        <w:footnoteReference w:id="282"/>
      </w:r>
      <w:r w:rsidRPr="00AA6DFD">
        <w:rPr>
          <w:rFonts w:ascii="Courier New" w:hAnsi="Courier New" w:cs="Courier New"/>
          <w:sz w:val="24"/>
          <w:szCs w:val="24"/>
        </w:rPr>
        <w:t xml:space="preserve">  The Los Angeles Times reported that recruiters from for-profit colleges have been known to recruit at Wounded Warriors centers and at veterans hospitals, where injured soldiers are pressured into enrolling through promises of free education and more.</w:t>
      </w:r>
      <w:r w:rsidRPr="00AA6DFD">
        <w:rPr>
          <w:rStyle w:val="FootnoteReference"/>
          <w:rFonts w:ascii="Courier New" w:hAnsi="Courier New" w:cs="Courier New"/>
          <w:sz w:val="24"/>
          <w:szCs w:val="24"/>
        </w:rPr>
        <w:footnoteReference w:id="283"/>
      </w:r>
      <w:r w:rsidRPr="00AA6DFD">
        <w:rPr>
          <w:rFonts w:ascii="Courier New" w:hAnsi="Courier New" w:cs="Courier New"/>
          <w:sz w:val="24"/>
          <w:szCs w:val="24"/>
        </w:rPr>
        <w:t xml:space="preserve">  There is evidence that some for-profit colleges take advantage of service members and veterans returning home without jobs through a number of improper practices, including by offering post-9/11 GI Bill benefits that are intended for living expenses as “free money.”</w:t>
      </w:r>
      <w:r w:rsidRPr="00AA6DFD">
        <w:rPr>
          <w:rStyle w:val="FootnoteReference"/>
          <w:rFonts w:ascii="Courier New" w:hAnsi="Courier New" w:cs="Courier New"/>
          <w:sz w:val="24"/>
          <w:szCs w:val="24"/>
        </w:rPr>
        <w:footnoteReference w:id="284"/>
      </w:r>
      <w:r w:rsidRPr="00AA6DFD">
        <w:rPr>
          <w:rFonts w:ascii="Courier New" w:hAnsi="Courier New" w:cs="Courier New"/>
          <w:sz w:val="24"/>
          <w:szCs w:val="24"/>
        </w:rPr>
        <w:t xml:space="preserve">  Many veterans enroll in online courses simply to gain access to the monthly GI Bill benefits even if they have no intention of completing the coursework.</w:t>
      </w:r>
      <w:r w:rsidRPr="00AA6DFD">
        <w:rPr>
          <w:rStyle w:val="FootnoteReference"/>
          <w:rFonts w:ascii="Courier New" w:hAnsi="Courier New" w:cs="Courier New"/>
          <w:sz w:val="24"/>
          <w:szCs w:val="24"/>
        </w:rPr>
        <w:footnoteReference w:id="285"/>
      </w:r>
      <w:r w:rsidRPr="00AA6DFD">
        <w:rPr>
          <w:rFonts w:ascii="Courier New" w:hAnsi="Courier New" w:cs="Courier New"/>
          <w:sz w:val="24"/>
          <w:szCs w:val="24"/>
        </w:rPr>
        <w:t xml:space="preserve">  In addition, some institutions have recruited veterans with serious brain injuries and emotional vulnerabilities without providing adequate support and counseling, engaged in misleading recruiting practices onsite at military installations, and failed to accurately disclose information regarding the graduation rates of veterans.</w:t>
      </w:r>
      <w:r w:rsidRPr="00AA6DFD">
        <w:rPr>
          <w:rStyle w:val="FootnoteReference"/>
          <w:rFonts w:ascii="Courier New" w:hAnsi="Courier New" w:cs="Courier New"/>
          <w:sz w:val="24"/>
          <w:szCs w:val="24"/>
        </w:rPr>
        <w:footnoteReference w:id="286"/>
      </w:r>
      <w:r w:rsidRPr="00AA6DFD">
        <w:rPr>
          <w:rFonts w:ascii="Courier New" w:hAnsi="Courier New" w:cs="Courier New"/>
          <w:color w:val="262626"/>
          <w:sz w:val="24"/>
          <w:szCs w:val="24"/>
        </w:rPr>
        <w:t xml:space="preserve">  </w:t>
      </w:r>
      <w:r w:rsidRPr="00AA6DFD">
        <w:rPr>
          <w:rFonts w:ascii="Courier New" w:hAnsi="Courier New" w:cs="Courier New"/>
          <w:sz w:val="24"/>
          <w:szCs w:val="24"/>
        </w:rPr>
        <w:t>In 2012, an investigation by 20 States, led by the Commonwealth of Kentucky’s Attorney General, resulted in a $2.5 million settlement with QuinStreet, Inc. and the closure of GIBill.com, a Web site that appeared as if it was an official site of the U.S. Department of Veterans Affairs, but was in reality a for-profit portal that steered veterans to 15 colleges, almost all for-profit institutions, including Kaplan University, the University of Phoenix, Strayer University, DeVry University, and Westwood College.</w:t>
      </w:r>
      <w:r w:rsidRPr="00AA6DFD">
        <w:rPr>
          <w:rStyle w:val="FootnoteReference"/>
          <w:rFonts w:ascii="Courier New" w:hAnsi="Courier New" w:cs="Courier New"/>
          <w:sz w:val="24"/>
          <w:szCs w:val="24"/>
        </w:rPr>
        <w:footnoteReference w:id="287"/>
      </w:r>
      <w:r w:rsidRPr="00AA6DFD">
        <w:rPr>
          <w:rFonts w:ascii="Courier New" w:hAnsi="Courier New" w:cs="Courier New"/>
          <w:sz w:val="24"/>
          <w:szCs w:val="24"/>
        </w:rPr>
        <w:t xml:space="preserve">  </w:t>
      </w:r>
    </w:p>
    <w:p w14:paraId="25773E63" w14:textId="77777777" w:rsidR="00BF10A3" w:rsidRPr="00AA6DFD" w:rsidRDefault="00BF10A3" w:rsidP="00BF10A3">
      <w:pPr>
        <w:pStyle w:val="Heading2"/>
      </w:pPr>
      <w:r w:rsidRPr="00AA6DFD">
        <w:rPr>
          <w:u w:val="none"/>
        </w:rPr>
        <w:tab/>
      </w:r>
      <w:r w:rsidRPr="00AA6DFD">
        <w:t>Basis of Regulatory Approach</w:t>
      </w:r>
    </w:p>
    <w:p w14:paraId="6AA11E2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components of the accountability framework that a program must satisfy to meet the gainful employment requirement are rooted in the legislative history of the predecessors to the statutory provisions of sections 101(b)(1), 102(b), 102(c), and 481(b) of the HEA that require institutions to establish the title IV, HEA program eligibility of GE programs.  20 U.S.C. 1001(b)(1), 1002(b)(1)(A)(i), (c)(1)(A), 1088(b).</w:t>
      </w:r>
    </w:p>
    <w:p w14:paraId="420D9A6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legislative history of the statute preceding the HEA that first permitted students to obtain federally financed loans to enroll in programs that prepared them for gainful employment in recognized occupations demonstrates the conviction that the training offered by these programs should equip students to earn enough to repay their loans.  </w:t>
      </w:r>
      <w:r w:rsidRPr="00AA6DFD">
        <w:rPr>
          <w:rFonts w:ascii="Courier New" w:hAnsi="Courier New" w:cs="Courier New"/>
          <w:sz w:val="24"/>
          <w:szCs w:val="24"/>
          <w:u w:val="single"/>
        </w:rPr>
        <w:t>APSCU v. Duncan</w:t>
      </w:r>
      <w:r w:rsidRPr="00AA6DFD">
        <w:rPr>
          <w:rFonts w:ascii="Courier New" w:hAnsi="Courier New" w:cs="Courier New"/>
          <w:sz w:val="24"/>
          <w:szCs w:val="24"/>
        </w:rPr>
        <w:t xml:space="preserve">, 870 F.Supp.2d at 139; see also 76 FR 34392.  Allowing these students to borrow was expected to neither unduly burden the students nor pose “a poor financial risk” to taxpayers.  76 FR 34392.  Specifically, the Senate Report accompanying the initial legislation (the National Vocational Student Loan Insurance Act (NVSLIA), Pub. L. 89-287) quotes extensively from testimony provided by University of Iowa professor Dr. Kenneth B. Hoyt, who testified on behalf of the American Personnel and Guidance Association.  On this point, the Senate Report sets out Dr. Hoyt’s questions and conclusions: </w:t>
      </w:r>
    </w:p>
    <w:p w14:paraId="1EE82C2B" w14:textId="77777777" w:rsidR="00BF10A3" w:rsidRPr="00AA6DFD" w:rsidRDefault="00BF10A3" w:rsidP="00BF10A3">
      <w:pPr>
        <w:spacing w:after="0" w:line="480" w:lineRule="auto"/>
        <w:ind w:left="720" w:right="720"/>
        <w:rPr>
          <w:rFonts w:ascii="Courier New" w:hAnsi="Courier New" w:cs="Courier New"/>
          <w:sz w:val="24"/>
          <w:szCs w:val="24"/>
        </w:rPr>
      </w:pPr>
      <w:r w:rsidRPr="00AA6DFD">
        <w:rPr>
          <w:rFonts w:ascii="Courier New" w:hAnsi="Courier New" w:cs="Courier New"/>
          <w:sz w:val="24"/>
          <w:szCs w:val="24"/>
        </w:rPr>
        <w:t>Would these students be in a position to repay loans following their training?</w:t>
      </w:r>
      <w:r w:rsidRPr="00AA6DFD">
        <w:rPr>
          <w:rFonts w:ascii="Courier New" w:hAnsi="Courier New" w:cs="Courier New"/>
          <w:b/>
          <w:sz w:val="24"/>
          <w:szCs w:val="24"/>
        </w:rPr>
        <w:t xml:space="preserve">  . . . </w:t>
      </w:r>
    </w:p>
    <w:p w14:paraId="4BF3388D" w14:textId="77777777" w:rsidR="00BF10A3" w:rsidRPr="00AA6DFD" w:rsidRDefault="00BF10A3" w:rsidP="00BF10A3">
      <w:pPr>
        <w:spacing w:after="0" w:line="480" w:lineRule="auto"/>
        <w:ind w:left="720" w:right="720"/>
        <w:rPr>
          <w:rFonts w:ascii="Courier New" w:hAnsi="Courier New" w:cs="Courier New"/>
          <w:sz w:val="24"/>
          <w:szCs w:val="24"/>
        </w:rPr>
      </w:pPr>
      <w:r w:rsidRPr="00AA6DFD">
        <w:rPr>
          <w:rFonts w:ascii="Courier New" w:hAnsi="Courier New" w:cs="Courier New"/>
          <w:i/>
          <w:sz w:val="24"/>
          <w:szCs w:val="24"/>
        </w:rPr>
        <w:t xml:space="preserve">If loans were made to these kinds of students, is it likely that they could repay them following training?  Would loan funds pay dividends in terms of benefits accruing from the </w:t>
      </w:r>
      <w:r w:rsidRPr="00AA6DFD">
        <w:rPr>
          <w:rFonts w:ascii="Courier New" w:eastAsia="HiddenHorzOCR" w:hAnsi="Courier New" w:cs="Courier New"/>
          <w:i/>
          <w:sz w:val="24"/>
          <w:szCs w:val="24"/>
        </w:rPr>
        <w:t>training stu</w:t>
      </w:r>
      <w:r w:rsidRPr="00AA6DFD">
        <w:rPr>
          <w:rFonts w:ascii="Courier New" w:hAnsi="Courier New" w:cs="Courier New"/>
          <w:i/>
          <w:sz w:val="24"/>
          <w:szCs w:val="24"/>
        </w:rPr>
        <w:t>dents received?  It would seem that any discussion concerning this bill must address itself to these questions. .</w:t>
      </w:r>
      <w:r w:rsidRPr="00AA6DFD">
        <w:rPr>
          <w:rFonts w:ascii="Courier New" w:hAnsi="Courier New" w:cs="Courier New"/>
          <w:sz w:val="24"/>
          <w:szCs w:val="24"/>
        </w:rPr>
        <w:t xml:space="preserve"> . . .</w:t>
      </w:r>
    </w:p>
    <w:p w14:paraId="4CCD4546" w14:textId="77777777" w:rsidR="00BF10A3" w:rsidRPr="00AA6DFD" w:rsidRDefault="00BF10A3" w:rsidP="00BF10A3">
      <w:pPr>
        <w:spacing w:after="0" w:line="480" w:lineRule="auto"/>
        <w:ind w:left="720" w:right="720"/>
        <w:rPr>
          <w:rFonts w:ascii="Courier New" w:hAnsi="Courier New" w:cs="Courier New"/>
          <w:sz w:val="24"/>
          <w:szCs w:val="24"/>
        </w:rPr>
      </w:pPr>
      <w:r w:rsidRPr="00AA6DFD">
        <w:rPr>
          <w:rFonts w:ascii="Courier New" w:hAnsi="Courier New" w:cs="Courier New"/>
          <w:sz w:val="24"/>
          <w:szCs w:val="24"/>
        </w:rPr>
        <w:t xml:space="preserve">We are currently completing </w:t>
      </w:r>
      <w:r w:rsidRPr="00AA6DFD">
        <w:rPr>
          <w:rFonts w:ascii="Courier New" w:eastAsia="HiddenHorzOCR" w:hAnsi="Courier New" w:cs="Courier New"/>
          <w:sz w:val="24"/>
          <w:szCs w:val="24"/>
        </w:rPr>
        <w:t xml:space="preserve">a second-year followup of these </w:t>
      </w:r>
      <w:r w:rsidRPr="00AA6DFD">
        <w:rPr>
          <w:rFonts w:ascii="Courier New" w:hAnsi="Courier New" w:cs="Courier New"/>
          <w:sz w:val="24"/>
          <w:szCs w:val="24"/>
        </w:rPr>
        <w:t xml:space="preserve">students and expect these reported earnings to be even higher this year.  </w:t>
      </w:r>
      <w:r w:rsidRPr="00AA6DFD">
        <w:rPr>
          <w:rFonts w:ascii="Courier New" w:hAnsi="Courier New" w:cs="Courier New"/>
          <w:i/>
          <w:sz w:val="24"/>
          <w:szCs w:val="24"/>
        </w:rPr>
        <w:t>It seems evident that, in terms of this sample of students, sufficient numbers were working for sufficient wages so as to make the concept of student loans to be [repaid] following graduation a reasonable approach to take.</w:t>
      </w:r>
      <w:r w:rsidRPr="00AA6DFD">
        <w:rPr>
          <w:rFonts w:ascii="Courier New" w:hAnsi="Courier New" w:cs="Courier New"/>
          <w:sz w:val="24"/>
          <w:szCs w:val="24"/>
        </w:rPr>
        <w:t xml:space="preserve"> . . . I </w:t>
      </w:r>
      <w:r w:rsidRPr="00AA6DFD">
        <w:rPr>
          <w:rFonts w:ascii="Courier New" w:eastAsia="HiddenHorzOCR" w:hAnsi="Courier New" w:cs="Courier New"/>
          <w:sz w:val="24"/>
          <w:szCs w:val="24"/>
        </w:rPr>
        <w:t xml:space="preserve">have </w:t>
      </w:r>
      <w:r w:rsidRPr="00AA6DFD">
        <w:rPr>
          <w:rFonts w:ascii="Courier New" w:hAnsi="Courier New" w:cs="Courier New"/>
          <w:sz w:val="24"/>
          <w:szCs w:val="24"/>
        </w:rPr>
        <w:t xml:space="preserve">found no reason to </w:t>
      </w:r>
      <w:r w:rsidRPr="00AA6DFD">
        <w:rPr>
          <w:rFonts w:ascii="Courier New" w:eastAsia="HiddenHorzOCR" w:hAnsi="Courier New" w:cs="Courier New"/>
          <w:sz w:val="24"/>
          <w:szCs w:val="24"/>
        </w:rPr>
        <w:t xml:space="preserve">believe </w:t>
      </w:r>
      <w:r w:rsidRPr="00AA6DFD">
        <w:rPr>
          <w:rFonts w:ascii="Courier New" w:hAnsi="Courier New" w:cs="Courier New"/>
          <w:sz w:val="24"/>
          <w:szCs w:val="24"/>
        </w:rPr>
        <w:t xml:space="preserve">that such funds are not needed, </w:t>
      </w:r>
      <w:r w:rsidRPr="00AA6DFD">
        <w:rPr>
          <w:rFonts w:ascii="Courier New" w:hAnsi="Courier New" w:cs="Courier New"/>
          <w:i/>
          <w:sz w:val="24"/>
          <w:szCs w:val="24"/>
        </w:rPr>
        <w:t>that t</w:t>
      </w:r>
      <w:r w:rsidRPr="00AA6DFD">
        <w:rPr>
          <w:rFonts w:ascii="Courier New" w:eastAsia="HiddenHorzOCR" w:hAnsi="Courier New" w:cs="Courier New"/>
          <w:i/>
          <w:sz w:val="24"/>
          <w:szCs w:val="24"/>
        </w:rPr>
        <w:t xml:space="preserve">heir </w:t>
      </w:r>
      <w:r w:rsidRPr="00AA6DFD">
        <w:rPr>
          <w:rFonts w:ascii="Courier New" w:hAnsi="Courier New" w:cs="Courier New"/>
          <w:i/>
          <w:sz w:val="24"/>
          <w:szCs w:val="24"/>
        </w:rPr>
        <w:t xml:space="preserve">availability would be unjustified </w:t>
      </w:r>
      <w:r w:rsidRPr="00AA6DFD">
        <w:rPr>
          <w:rFonts w:ascii="Courier New" w:eastAsia="HiddenHorzOCR" w:hAnsi="Courier New" w:cs="Courier New"/>
          <w:i/>
          <w:sz w:val="24"/>
          <w:szCs w:val="24"/>
        </w:rPr>
        <w:t xml:space="preserve">in </w:t>
      </w:r>
      <w:r w:rsidRPr="00AA6DFD">
        <w:rPr>
          <w:rFonts w:ascii="Courier New" w:hAnsi="Courier New" w:cs="Courier New"/>
          <w:i/>
          <w:sz w:val="24"/>
          <w:szCs w:val="24"/>
        </w:rPr>
        <w:t>terms of benefits accruing to both these students and to society in general, nor that they would represent a poor financial risk.</w:t>
      </w:r>
      <w:r w:rsidRPr="00AA6DFD">
        <w:rPr>
          <w:rFonts w:ascii="Courier New" w:hAnsi="Courier New" w:cs="Courier New"/>
          <w:sz w:val="24"/>
          <w:szCs w:val="24"/>
        </w:rPr>
        <w:t xml:space="preserve"> </w:t>
      </w:r>
    </w:p>
    <w:p w14:paraId="79E77647"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Sen. Rep. No. 758 (1965) at 3745, 3748-49 (emphasis added).</w:t>
      </w:r>
    </w:p>
    <w:p w14:paraId="3FB1788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Notably, both debt burden to the borrower and financial risk to taxpayers and the Government were clearly considered in authorizing federally backed student lending.  Under the loan insurance program enacted in the NVSLIA, the specific potential loss to taxpayers of concern was the need to pay default claims to banks and other lenders if the borrowers defaulted on the loans.  After its passage, the NVSLIA was merged into the HEA, which in title IV, part B, has both a direct Federal loan insurance component and a Federal reinsurance component, under which the Federal Government reimburses State and private non-profit loan guaranty agencies upon their payment of default claims.  20 U.S.C. 1071(a)(1).  Under either HEA component, taxpayers and the Government assume the direct financial risk of default.  20 U.S.C. 1078(c) (Federal reinsurance for default claim payments), 20 U.S.C. 1080 (Federal insurance for default claims).  </w:t>
      </w:r>
    </w:p>
    <w:p w14:paraId="166AB5A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Not only did Congress consider expert assurances that vocational training would enable graduates to earn wages that would not pose a “poor financial risk” of default, but an expert observed that this conclusion rested on evidence that “included both those who completed and those who failed to complete the training.”  </w:t>
      </w:r>
      <w:r w:rsidRPr="00AA6DFD">
        <w:rPr>
          <w:rFonts w:ascii="Courier New" w:hAnsi="Courier New" w:cs="Courier New"/>
          <w:sz w:val="24"/>
          <w:szCs w:val="24"/>
          <w:u w:val="single"/>
        </w:rPr>
        <w:t>APSCU v. Duncan</w:t>
      </w:r>
      <w:r w:rsidRPr="00AA6DFD">
        <w:rPr>
          <w:rFonts w:ascii="Courier New" w:hAnsi="Courier New" w:cs="Courier New"/>
          <w:sz w:val="24"/>
          <w:szCs w:val="24"/>
        </w:rPr>
        <w:t xml:space="preserve">, 870 F.Supp.2d at 139, </w:t>
      </w:r>
      <w:r w:rsidRPr="00AA6DFD">
        <w:rPr>
          <w:rFonts w:ascii="Courier New" w:hAnsi="Courier New" w:cs="Courier New"/>
          <w:sz w:val="24"/>
          <w:szCs w:val="24"/>
          <w:u w:val="single"/>
        </w:rPr>
        <w:t>citing</w:t>
      </w:r>
      <w:r w:rsidRPr="00AA6DFD">
        <w:rPr>
          <w:rFonts w:ascii="Courier New" w:hAnsi="Courier New" w:cs="Courier New"/>
          <w:sz w:val="24"/>
          <w:szCs w:val="24"/>
        </w:rPr>
        <w:t xml:space="preserve"> H.R. Rep. No. 89-308, at 4 (1965), and S. Rep. No. 89-308, at 7, 1965 U.S.C.C.A.N. 3742, 3748.</w:t>
      </w:r>
    </w:p>
    <w:p w14:paraId="16C8A2BD" w14:textId="77777777" w:rsidR="00BF10A3" w:rsidRPr="00AA6DFD" w:rsidRDefault="00BF10A3" w:rsidP="00BF10A3">
      <w:pPr>
        <w:pStyle w:val="NormalWeb"/>
        <w:spacing w:before="0" w:beforeAutospacing="0" w:after="0" w:afterAutospacing="0" w:line="480" w:lineRule="auto"/>
        <w:ind w:right="99" w:firstLine="720"/>
        <w:textAlignment w:val="baseline"/>
        <w:rPr>
          <w:rFonts w:ascii="Courier New" w:hAnsi="Courier New" w:cs="Courier New"/>
          <w:color w:val="363636"/>
        </w:rPr>
      </w:pPr>
      <w:r w:rsidRPr="00AA6DFD">
        <w:rPr>
          <w:rFonts w:ascii="Courier New" w:hAnsi="Courier New" w:cs="Courier New"/>
        </w:rPr>
        <w:t>The concerns regarding excessive student debt reflected in the legislative history of the gainful employment eligibility provisions of the HEA are as relevant now as they</w:t>
      </w:r>
      <w:r w:rsidRPr="00AA6DFD">
        <w:rPr>
          <w:rFonts w:ascii="Courier New" w:hAnsi="Courier New" w:cs="Courier New"/>
          <w:color w:val="363636"/>
        </w:rPr>
        <w:t xml:space="preserve"> were then.  Excessive student debt affects students and the country in three significant ways:  payment burdens on the borrower; the cost of the loan subsidies to taxpayers; and the negative consequences of default (which affect borrowers and taxpayers).</w:t>
      </w:r>
    </w:p>
    <w:p w14:paraId="2A17EDED" w14:textId="77777777" w:rsidR="00BF10A3" w:rsidRPr="00AA6DFD" w:rsidRDefault="00BF10A3" w:rsidP="00BF10A3">
      <w:pPr>
        <w:pStyle w:val="NormalWeb"/>
        <w:spacing w:before="0" w:beforeAutospacing="0" w:after="0" w:afterAutospacing="0" w:line="480" w:lineRule="auto"/>
        <w:ind w:right="99" w:firstLine="720"/>
        <w:textAlignment w:val="baseline"/>
        <w:rPr>
          <w:rFonts w:ascii="Courier New" w:hAnsi="Courier New" w:cs="Courier New"/>
          <w:color w:val="363636"/>
        </w:rPr>
      </w:pPr>
      <w:r w:rsidRPr="00AA6DFD">
        <w:rPr>
          <w:rFonts w:ascii="Courier New" w:hAnsi="Courier New" w:cs="Courier New"/>
          <w:color w:val="363636"/>
        </w:rPr>
        <w:t xml:space="preserve">The first consideration is payment burdens on the borrower.  </w:t>
      </w:r>
      <w:r w:rsidRPr="00AA6DFD">
        <w:rPr>
          <w:rFonts w:ascii="Courier New" w:hAnsi="Courier New" w:cs="Courier New"/>
        </w:rPr>
        <w:t xml:space="preserve">As we said in the NPRM, </w:t>
      </w:r>
      <w:r w:rsidRPr="00AA6DFD">
        <w:rPr>
          <w:rFonts w:ascii="Courier New" w:hAnsi="Courier New" w:cs="Courier New"/>
          <w:color w:val="363636"/>
        </w:rPr>
        <w:t xml:space="preserve">loan payments that outweigh the benefits of the education and training for GE programs that purport to lead to jobs and good wages are an inefficient use of a borrower's resources. </w:t>
      </w:r>
    </w:p>
    <w:p w14:paraId="730F5897" w14:textId="77777777" w:rsidR="00BF10A3" w:rsidRPr="00AA6DFD" w:rsidRDefault="00BF10A3" w:rsidP="00BF10A3">
      <w:pPr>
        <w:pStyle w:val="NormalWeb"/>
        <w:spacing w:before="0" w:beforeAutospacing="0" w:after="0" w:afterAutospacing="0" w:line="480" w:lineRule="auto"/>
        <w:ind w:right="99" w:firstLine="720"/>
        <w:textAlignment w:val="baseline"/>
        <w:rPr>
          <w:rFonts w:ascii="Courier New" w:hAnsi="Courier New" w:cs="Courier New"/>
          <w:color w:val="363636"/>
        </w:rPr>
      </w:pPr>
      <w:r w:rsidRPr="00AA6DFD">
        <w:rPr>
          <w:rFonts w:ascii="Courier New" w:hAnsi="Courier New" w:cs="Courier New"/>
          <w:color w:val="363636"/>
        </w:rPr>
        <w:t xml:space="preserve">The second consideration is taxpayer subsidies.  </w:t>
      </w:r>
      <w:r w:rsidRPr="00AA6DFD">
        <w:rPr>
          <w:rFonts w:ascii="Courier New" w:hAnsi="Courier New" w:cs="Courier New"/>
        </w:rPr>
        <w:t>B</w:t>
      </w:r>
      <w:r w:rsidRPr="00AA6DFD">
        <w:rPr>
          <w:rFonts w:ascii="Courier New" w:hAnsi="Courier New" w:cs="Courier New"/>
          <w:color w:val="363636"/>
        </w:rPr>
        <w:t>orrowers who have low incomes but high debt may reduce their payments through income-driven repayment plans.  These plans can either be at little or no cost to taxpayers or, through loan cancellation, can cost taxpayers as much as the full amount of the loan with interest.  Deferments and repayment options are important protections for borrowers because, although postsecondary education generally brings higher earnings, there is no guarantee for the individual.  Policies that assist those with high debt burdens are a critical form of insurance.  However, these repayment options should not mean that institutions should increase the level of risk to the individual student or taxpayers through high-cost, low-value programs nor should institutions be the only parties without risk.</w:t>
      </w:r>
    </w:p>
    <w:p w14:paraId="2EC67B3D" w14:textId="77777777" w:rsidR="00BF10A3" w:rsidRPr="00AA6DFD" w:rsidRDefault="00BF10A3" w:rsidP="00BF10A3">
      <w:pPr>
        <w:pStyle w:val="NormalWeb"/>
        <w:spacing w:before="0" w:beforeAutospacing="0" w:after="0" w:afterAutospacing="0" w:line="480" w:lineRule="auto"/>
        <w:ind w:right="101" w:firstLine="720"/>
        <w:textAlignment w:val="baseline"/>
        <w:rPr>
          <w:rFonts w:ascii="Courier New" w:hAnsi="Courier New" w:cs="Courier New"/>
          <w:color w:val="363636"/>
        </w:rPr>
      </w:pPr>
      <w:r w:rsidRPr="00AA6DFD">
        <w:rPr>
          <w:rFonts w:ascii="Courier New" w:hAnsi="Courier New" w:cs="Courier New"/>
          <w:color w:val="363636"/>
        </w:rPr>
        <w:t>The third consideration is default.  The Federal Government covers the cost of defaults on Federal student loans.  These costs can be significant to taxpayers.  L</w:t>
      </w:r>
      <w:r w:rsidRPr="00AA6DFD">
        <w:rPr>
          <w:rFonts w:ascii="Courier New" w:hAnsi="Courier New" w:cs="Courier New"/>
        </w:rPr>
        <w:t xml:space="preserve">oan </w:t>
      </w:r>
      <w:r w:rsidRPr="00AA6DFD">
        <w:rPr>
          <w:rFonts w:ascii="Courier New" w:hAnsi="Courier New" w:cs="Courier New"/>
          <w:color w:val="363636"/>
        </w:rPr>
        <w:t>defaults also harm students and their families.  They have to pay collection costs, their tax refunds and wages can be garnished, their credit rating is damaged, undermining their ability to rent a house, get a mortgage, or purchase a car, and, to the extent they can still get credit, they pay much higher interest.  Increasingly, employers consider credit records in their hiring decisions.</w:t>
      </w:r>
      <w:r w:rsidRPr="00AA6DFD">
        <w:rPr>
          <w:rFonts w:ascii="Courier New" w:hAnsi="Courier New" w:cs="Courier New"/>
        </w:rPr>
        <w:t xml:space="preserve">  And, f</w:t>
      </w:r>
      <w:r w:rsidRPr="00AA6DFD">
        <w:rPr>
          <w:rFonts w:ascii="Courier New" w:hAnsi="Courier New" w:cs="Courier New"/>
          <w:color w:val="363636"/>
        </w:rPr>
        <w:t xml:space="preserve">ormer students who default on Federal loans cannot receive additional title IV, HEA program funds for postsecondary education.  </w:t>
      </w:r>
      <w:r w:rsidRPr="007657F9">
        <w:rPr>
          <w:rFonts w:ascii="Courier New" w:hAnsi="Courier New" w:cs="Courier New"/>
          <w:color w:val="363636"/>
          <w:u w:val="single"/>
        </w:rPr>
        <w:t>See</w:t>
      </w:r>
      <w:r w:rsidRPr="00AA6DFD">
        <w:rPr>
          <w:rFonts w:ascii="Courier New" w:hAnsi="Courier New" w:cs="Courier New"/>
          <w:color w:val="363636"/>
        </w:rPr>
        <w:t xml:space="preserve"> </w:t>
      </w:r>
      <w:r w:rsidRPr="00AA6DFD">
        <w:rPr>
          <w:rFonts w:ascii="Courier New" w:hAnsi="Courier New" w:cs="Courier New"/>
        </w:rPr>
        <w:t>section 484(a)(3) of the HEA, 20 U.S.C. 1091(a)(3)</w:t>
      </w:r>
      <w:r w:rsidRPr="00AA6DFD">
        <w:rPr>
          <w:rFonts w:ascii="Courier New" w:hAnsi="Courier New" w:cs="Courier New"/>
          <w:color w:val="363636"/>
        </w:rPr>
        <w:t xml:space="preserve">.  </w:t>
      </w:r>
    </w:p>
    <w:p w14:paraId="0F7299A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In accordance with the legislative intent behind the gainful employment eligibility provisions now found in sections 101, 102, and 481 of the HEA and the significant policy concerns they reflect, these regulations introduce certification requirements to establish a program’s eligibility and, to assess continuing eligibility, institute metrics-based standards that measure whether students will be able to pay back the educational debt they incur to enroll in the occupational training programs that are the subject of this rulemaking.  20 U.S.C. 1001(b)(1), 1002(b)(1)(A)(i), (c)(1)(A), 1088(b).</w:t>
      </w:r>
    </w:p>
    <w:p w14:paraId="3A7E0C0A" w14:textId="77777777" w:rsidR="00BF10A3" w:rsidRPr="00AA6DFD" w:rsidRDefault="00BF10A3" w:rsidP="00BF10A3">
      <w:pPr>
        <w:pStyle w:val="Heading2"/>
      </w:pPr>
      <w:r w:rsidRPr="00AA6DFD">
        <w:rPr>
          <w:u w:val="none"/>
        </w:rPr>
        <w:tab/>
      </w:r>
      <w:r w:rsidRPr="00AA6DFD">
        <w:t>Regulatory Framework</w:t>
      </w:r>
    </w:p>
    <w:p w14:paraId="10A0AA1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stated previously, the Department’s goals in the regulations are twofold:  to establish an accountability framework and to increase the transparency of student outcomes of GE programs.  </w:t>
      </w:r>
    </w:p>
    <w:p w14:paraId="7EA9C848" w14:textId="77777777" w:rsidR="00BF10A3" w:rsidRPr="00AA6DFD" w:rsidRDefault="00BF10A3" w:rsidP="00BF10A3">
      <w:pPr>
        <w:spacing w:line="480" w:lineRule="auto"/>
        <w:ind w:firstLine="720"/>
        <w:contextualSpacing/>
        <w:rPr>
          <w:rFonts w:ascii="Courier New" w:hAnsi="Courier New" w:cs="Courier New"/>
          <w:color w:val="000000"/>
          <w:kern w:val="24"/>
          <w:sz w:val="24"/>
          <w:szCs w:val="24"/>
        </w:rPr>
      </w:pPr>
      <w:r w:rsidRPr="00AA6DFD">
        <w:rPr>
          <w:rFonts w:ascii="Courier New" w:hAnsi="Courier New" w:cs="Courier New"/>
          <w:sz w:val="24"/>
          <w:szCs w:val="24"/>
        </w:rPr>
        <w:t xml:space="preserve">As part of the accountability framework, to determine whether a program provides training that prepares students for gainful employment as required by the HEA, the regulations set forth procedures to establish a program’s eligibility and to measure its outcomes on a continuing basis.  To establish a program’s eligibility, an </w:t>
      </w:r>
      <w:r w:rsidRPr="00AA6DFD">
        <w:rPr>
          <w:rFonts w:ascii="Courier New" w:hAnsi="Courier New" w:cs="Courier New"/>
          <w:color w:val="000000"/>
          <w:kern w:val="24"/>
          <w:sz w:val="24"/>
          <w:szCs w:val="24"/>
        </w:rPr>
        <w:t xml:space="preserve">institution will be required to certify, among other things, that each of its GE programs meets all applicable accreditation and licensure requirements necessary for a student to obtain employment in the occupation for which the program provides training.  This certification will be incorporated into the institution’s program participation agreement.  </w:t>
      </w:r>
    </w:p>
    <w:p w14:paraId="52757E7F" w14:textId="77777777" w:rsidR="00BF10A3" w:rsidRPr="00AA6DFD" w:rsidRDefault="00BF10A3" w:rsidP="00BF10A3">
      <w:pPr>
        <w:autoSpaceDE w:val="0"/>
        <w:autoSpaceDN w:val="0"/>
        <w:adjustRightInd w:val="0"/>
        <w:spacing w:line="480" w:lineRule="auto"/>
        <w:ind w:firstLine="720"/>
        <w:contextualSpacing/>
        <w:rPr>
          <w:rFonts w:ascii="Courier New" w:hAnsi="Courier New" w:cs="Courier New"/>
          <w:sz w:val="24"/>
          <w:szCs w:val="24"/>
        </w:rPr>
      </w:pPr>
      <w:r w:rsidRPr="00AA6DFD">
        <w:rPr>
          <w:rFonts w:ascii="Courier New" w:hAnsi="Courier New" w:cs="Courier New"/>
          <w:sz w:val="24"/>
          <w:szCs w:val="24"/>
        </w:rPr>
        <w:t>A GE program’s continuing eligibility will be assessed under the D/E rates measure, which compares the debt incurred by students who completed the program against their earnings.  The regulations set minimum thresholds for the D/E rates measure.  Programs with outcomes that meet the standards established by the thresholds will be considered to be passing the D/E rates measure and remain eligible to receive title IV, HEA program funds.  Additionally, programs that do not meet the minimum requirements to be assessed under the D/E rates measure will also remain eligible to receive title IV, HEA program funds. Programs that are consistently unable to meet the standards of the D/E rates measure will eventually become ineligible to participate in the title IV, HEA programs.</w:t>
      </w:r>
    </w:p>
    <w:p w14:paraId="0082B039" w14:textId="54716DD3" w:rsidR="00BF10A3" w:rsidRPr="00AA6DFD" w:rsidRDefault="00BF10A3" w:rsidP="00BF10A3">
      <w:pPr>
        <w:autoSpaceDE w:val="0"/>
        <w:autoSpaceDN w:val="0"/>
        <w:adjustRightInd w:val="0"/>
        <w:spacing w:line="480" w:lineRule="auto"/>
        <w:ind w:firstLine="720"/>
        <w:contextualSpacing/>
        <w:rPr>
          <w:rFonts w:ascii="Courier New" w:hAnsi="Courier New" w:cs="Courier New"/>
          <w:sz w:val="24"/>
          <w:szCs w:val="24"/>
        </w:rPr>
      </w:pPr>
      <w:r w:rsidRPr="00AA6DFD">
        <w:rPr>
          <w:rFonts w:ascii="Courier New" w:hAnsi="Courier New" w:cs="Courier New"/>
          <w:sz w:val="24"/>
          <w:szCs w:val="24"/>
        </w:rPr>
        <w:t xml:space="preserve">An extensive body of research exists on the appropriate thresholds by which to measure the appropriateness of student debt levels relative to earnings. A 2006 study by Baum and Schwartz for </w:t>
      </w:r>
      <w:r>
        <w:rPr>
          <w:rFonts w:ascii="Courier New" w:hAnsi="Courier New" w:cs="Courier New"/>
          <w:sz w:val="24"/>
          <w:szCs w:val="24"/>
        </w:rPr>
        <w:t>the College Board defined “</w:t>
      </w:r>
      <w:r w:rsidRPr="00AA6DFD">
        <w:rPr>
          <w:rFonts w:ascii="Courier New" w:hAnsi="Courier New" w:cs="Courier New"/>
          <w:sz w:val="24"/>
          <w:szCs w:val="24"/>
        </w:rPr>
        <w:t xml:space="preserve">reliable benchmarks” to inform appropriate “levels of debt that will not unduly constrain the life choices facing former students.” The study determined that </w:t>
      </w:r>
      <w:r>
        <w:rPr>
          <w:rFonts w:ascii="Courier New" w:hAnsi="Courier New" w:cs="Courier New"/>
          <w:sz w:val="24"/>
          <w:szCs w:val="24"/>
        </w:rPr>
        <w:t>“</w:t>
      </w:r>
      <w:r w:rsidRPr="00AA6DFD">
        <w:rPr>
          <w:rFonts w:ascii="Courier New" w:hAnsi="Courier New" w:cs="Courier New"/>
          <w:sz w:val="24"/>
          <w:szCs w:val="24"/>
        </w:rPr>
        <w:t>the payment-to-income rat</w:t>
      </w:r>
      <w:r>
        <w:rPr>
          <w:rFonts w:ascii="Courier New" w:hAnsi="Courier New" w:cs="Courier New"/>
          <w:sz w:val="24"/>
          <w:szCs w:val="24"/>
        </w:rPr>
        <w:t>io should never exceed 18 to 20 percent</w:t>
      </w:r>
      <w:r w:rsidRPr="00AA6DFD">
        <w:rPr>
          <w:rFonts w:ascii="Courier New" w:hAnsi="Courier New" w:cs="Courier New"/>
          <w:sz w:val="24"/>
          <w:szCs w:val="24"/>
        </w:rPr>
        <w:t>”</w:t>
      </w:r>
      <w:r>
        <w:rPr>
          <w:rFonts w:ascii="Courier New" w:hAnsi="Courier New" w:cs="Courier New"/>
          <w:sz w:val="24"/>
          <w:szCs w:val="24"/>
        </w:rPr>
        <w:t xml:space="preserve"> of discretionary income.</w:t>
      </w:r>
      <w:r>
        <w:rPr>
          <w:rStyle w:val="FootnoteReference"/>
          <w:rFonts w:ascii="Courier New" w:hAnsi="Courier New"/>
          <w:sz w:val="24"/>
          <w:szCs w:val="24"/>
        </w:rPr>
        <w:footnoteReference w:id="288"/>
      </w:r>
      <w:r w:rsidRPr="00AA6DFD">
        <w:rPr>
          <w:rFonts w:ascii="Courier New" w:hAnsi="Courier New" w:cs="Courier New"/>
          <w:sz w:val="24"/>
          <w:szCs w:val="24"/>
        </w:rPr>
        <w:t xml:space="preserve">  A 2001 study by King and Frishberg found that students tend to overestimate the percentage of income they will be able to dedicate to student loan repayment, and asserted that based on lender recommendations,</w:t>
      </w:r>
      <w:r>
        <w:rPr>
          <w:rFonts w:ascii="Courier New" w:hAnsi="Courier New" w:cs="Courier New"/>
          <w:sz w:val="24"/>
          <w:szCs w:val="24"/>
        </w:rPr>
        <w:t xml:space="preserve"> “8 percent</w:t>
      </w:r>
      <w:r w:rsidRPr="00AA6DFD">
        <w:rPr>
          <w:rFonts w:ascii="Courier New" w:hAnsi="Courier New" w:cs="Courier New"/>
          <w:sz w:val="24"/>
          <w:szCs w:val="24"/>
        </w:rPr>
        <w:t xml:space="preserve"> of income is the most students should be paying on student loan repayment... assuming that most borrowers will be making major purchases, such as a home, in the 10 years after graduation.”</w:t>
      </w:r>
      <w:r>
        <w:rPr>
          <w:rStyle w:val="FootnoteReference"/>
          <w:rFonts w:ascii="Courier New" w:hAnsi="Courier New"/>
          <w:sz w:val="24"/>
          <w:szCs w:val="24"/>
        </w:rPr>
        <w:footnoteReference w:id="289"/>
      </w:r>
      <w:r w:rsidRPr="00AA6DFD">
        <w:rPr>
          <w:rFonts w:ascii="Courier New" w:hAnsi="Courier New" w:cs="Courier New"/>
          <w:sz w:val="24"/>
          <w:szCs w:val="24"/>
        </w:rPr>
        <w:t xml:space="preserve">   Other studies have acknowledged or used the 8 percent standard as the basis for their work.  In 2004, Harrast analyzed undergraduates’ ability to repay loans and cited the 8 percent standard to define excess debt as the difference between debt at graduation and lender-recommended levels for educational loan payments, finding that in all but a few cases, graduates in the upper debt quartile exceed the recommended level by a “significant margin.”</w:t>
      </w:r>
      <w:r>
        <w:rPr>
          <w:rStyle w:val="FootnoteReference"/>
          <w:rFonts w:ascii="Courier New" w:hAnsi="Courier New"/>
          <w:sz w:val="24"/>
          <w:szCs w:val="24"/>
        </w:rPr>
        <w:footnoteReference w:id="290"/>
      </w:r>
      <w:r w:rsidRPr="00AA6DFD">
        <w:rPr>
          <w:rFonts w:ascii="Courier New" w:hAnsi="Courier New" w:cs="Courier New"/>
          <w:sz w:val="24"/>
          <w:szCs w:val="24"/>
        </w:rPr>
        <w:t xml:space="preserve">  Additionally, King and Bannon issued a report in 2002 acknowledging the 8 percent standard, and used it as the basis to estimate that 39 percent of all student borrowers graduate with unmanageable student loan debt.</w:t>
      </w:r>
      <w:r>
        <w:rPr>
          <w:rStyle w:val="FootnoteReference"/>
          <w:rFonts w:ascii="Courier New" w:hAnsi="Courier New"/>
          <w:sz w:val="24"/>
          <w:szCs w:val="24"/>
        </w:rPr>
        <w:footnoteReference w:id="291"/>
      </w:r>
      <w:r w:rsidRPr="00AA6DFD">
        <w:rPr>
          <w:rFonts w:ascii="Courier New" w:hAnsi="Courier New" w:cs="Courier New"/>
          <w:sz w:val="24"/>
          <w:szCs w:val="24"/>
        </w:rPr>
        <w:t xml:space="preserve"> </w:t>
      </w:r>
    </w:p>
    <w:p w14:paraId="30AF2544" w14:textId="77777777" w:rsidR="00BF10A3" w:rsidRPr="00AA6DFD" w:rsidRDefault="00BF10A3" w:rsidP="00BF10A3">
      <w:pPr>
        <w:autoSpaceDE w:val="0"/>
        <w:autoSpaceDN w:val="0"/>
        <w:adjustRightInd w:val="0"/>
        <w:spacing w:line="480" w:lineRule="auto"/>
        <w:ind w:firstLine="720"/>
        <w:contextualSpacing/>
        <w:rPr>
          <w:rFonts w:ascii="Courier New" w:hAnsi="Courier New" w:cs="Courier New"/>
          <w:sz w:val="24"/>
          <w:szCs w:val="24"/>
        </w:rPr>
      </w:pPr>
      <w:r w:rsidRPr="00AA6DFD">
        <w:rPr>
          <w:rFonts w:ascii="Courier New" w:hAnsi="Courier New" w:cs="Courier New"/>
          <w:sz w:val="24"/>
          <w:szCs w:val="24"/>
        </w:rPr>
        <w:t>Several studies have proposed alternate measures and ranges for benchmarking debt burden, yet still acknowledge the 8 percent threshold as standard practice. In studying the repercussions from increasing student loan limits for Illinois’ students, the Illinois Student Assistance Commission noted in 2001 that other studies capture a range from 5 percent to 15 percent of gross income, but still indicated “it is generally agreed</w:t>
      </w:r>
      <w:r>
        <w:rPr>
          <w:rFonts w:ascii="Courier New" w:hAnsi="Courier New" w:cs="Courier New"/>
          <w:sz w:val="24"/>
          <w:szCs w:val="24"/>
        </w:rPr>
        <w:t xml:space="preserve"> that when this ratio exceeds 8 percent</w:t>
      </w:r>
      <w:r w:rsidRPr="00AA6DFD">
        <w:rPr>
          <w:rFonts w:ascii="Courier New" w:hAnsi="Courier New" w:cs="Courier New"/>
          <w:sz w:val="24"/>
          <w:szCs w:val="24"/>
        </w:rPr>
        <w:t>, real debt burden may occur.”</w:t>
      </w:r>
      <w:r>
        <w:rPr>
          <w:rStyle w:val="FootnoteReference"/>
          <w:rFonts w:ascii="Courier New" w:hAnsi="Courier New"/>
          <w:sz w:val="24"/>
          <w:szCs w:val="24"/>
        </w:rPr>
        <w:footnoteReference w:id="292"/>
      </w:r>
      <w:r w:rsidRPr="00AA6DFD">
        <w:rPr>
          <w:rFonts w:ascii="Courier New" w:hAnsi="Courier New" w:cs="Courier New"/>
          <w:sz w:val="24"/>
          <w:szCs w:val="24"/>
        </w:rPr>
        <w:t xml:space="preserve">  The Commission also credited the National Association of Student Financial Aid Administrators (NASFAA) with adopting the 8 percent standard in 1986, after which it picked up wide support in the field.</w:t>
      </w:r>
      <w:r>
        <w:rPr>
          <w:rStyle w:val="FootnoteReference"/>
          <w:rFonts w:ascii="Courier New" w:hAnsi="Courier New"/>
          <w:sz w:val="24"/>
          <w:szCs w:val="24"/>
        </w:rPr>
        <w:footnoteReference w:id="293"/>
      </w:r>
      <w:r w:rsidRPr="00AA6DFD">
        <w:rPr>
          <w:rFonts w:ascii="Courier New" w:hAnsi="Courier New" w:cs="Courier New"/>
          <w:sz w:val="24"/>
          <w:szCs w:val="24"/>
        </w:rPr>
        <w:t xml:space="preserve">  A 2003 study by Baum and O’Malley analyzing how borrowers perceive their own levels of debt, recognized 8 percent standard for student loan debt but noted that “many loan administrators, lenders, and observers anecdotally </w:t>
      </w:r>
      <w:r>
        <w:rPr>
          <w:rFonts w:ascii="Courier New" w:hAnsi="Courier New" w:cs="Courier New"/>
          <w:sz w:val="24"/>
          <w:szCs w:val="24"/>
        </w:rPr>
        <w:t>suggest that a range of 8 to 12 percent</w:t>
      </w:r>
      <w:r w:rsidRPr="00AA6DFD">
        <w:rPr>
          <w:rFonts w:ascii="Courier New" w:hAnsi="Courier New" w:cs="Courier New"/>
          <w:sz w:val="24"/>
          <w:szCs w:val="24"/>
        </w:rPr>
        <w:t xml:space="preserve"> may be considered acceptable.”</w:t>
      </w:r>
      <w:r>
        <w:rPr>
          <w:rStyle w:val="FootnoteReference"/>
          <w:rFonts w:ascii="Courier New" w:hAnsi="Courier New"/>
          <w:sz w:val="24"/>
          <w:szCs w:val="24"/>
        </w:rPr>
        <w:footnoteReference w:id="294"/>
      </w:r>
      <w:r w:rsidRPr="00AA6DFD">
        <w:rPr>
          <w:rFonts w:ascii="Courier New" w:hAnsi="Courier New" w:cs="Courier New"/>
          <w:sz w:val="24"/>
          <w:szCs w:val="24"/>
        </w:rPr>
        <w:t xml:space="preserve">  This study also suggested that graduates devoting 7 percent or more of their income to student loan payments are much more likely to report repayment difficulty than those devoting smaller percentages of their incomes to loan payments. This is based on borrowers’ perceptions that repayment will rarely be problematic when payments are between 7 and 17 percent.  In a 2012 study analyzing whether students were borrowing with the appropriate frequency and volume, Avery and Turner noted that 8 percent was both the most commonly referenced standard and a “manageable” one, but referenced a 2003 GAO study that set the benchmark at 10 percent.</w:t>
      </w:r>
      <w:r>
        <w:rPr>
          <w:rStyle w:val="FootnoteReference"/>
          <w:rFonts w:ascii="Courier New" w:hAnsi="Courier New"/>
          <w:sz w:val="24"/>
          <w:szCs w:val="24"/>
        </w:rPr>
        <w:footnoteReference w:id="295"/>
      </w:r>
      <w:r w:rsidRPr="00AA6DFD">
        <w:rPr>
          <w:rFonts w:ascii="Courier New" w:hAnsi="Courier New" w:cs="Courier New"/>
          <w:sz w:val="24"/>
          <w:szCs w:val="24"/>
        </w:rPr>
        <w:t xml:space="preserve">     </w:t>
      </w:r>
    </w:p>
    <w:p w14:paraId="4A35822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color w:val="000000"/>
          <w:kern w:val="24"/>
          <w:sz w:val="24"/>
          <w:szCs w:val="24"/>
        </w:rPr>
        <w:t>In addition to the accountability framework, the regulations include institutional reporting and disclosure requirements</w:t>
      </w:r>
      <w:r w:rsidRPr="00AA6DFD" w:rsidDel="007D4CB5">
        <w:rPr>
          <w:rFonts w:ascii="Courier New" w:hAnsi="Courier New" w:cs="Courier New"/>
          <w:color w:val="000000"/>
          <w:kern w:val="24"/>
          <w:sz w:val="24"/>
          <w:szCs w:val="24"/>
        </w:rPr>
        <w:t xml:space="preserve"> </w:t>
      </w:r>
      <w:r w:rsidRPr="00AA6DFD">
        <w:rPr>
          <w:rFonts w:ascii="Courier New" w:hAnsi="Courier New" w:cs="Courier New"/>
          <w:color w:val="000000"/>
          <w:kern w:val="24"/>
          <w:sz w:val="24"/>
          <w:szCs w:val="24"/>
        </w:rPr>
        <w:t xml:space="preserve">designed to increase the transparency of student outcomes for GE programs.  </w:t>
      </w:r>
      <w:r w:rsidRPr="00AA6DFD">
        <w:rPr>
          <w:rFonts w:ascii="Courier New" w:hAnsi="Courier New" w:cs="Courier New"/>
          <w:sz w:val="24"/>
          <w:szCs w:val="24"/>
        </w:rPr>
        <w:t>Institutions will be required to report information that is necessary to implement aspects of the regulations that support the Department’s two goals of accountability and transparency.  This includes information needed to calculate the D/E rates, as well as some of the specific required disclosures.  The disclosure requirements will operate independently of the eligibility requirements and ensure that relevant information regarding GE programs is made available to students, prospective students, and their families, the public, taxpayers, and the Government, and institutions.  The disclosure requirements will provide for transparency throughout the admissions and enrollment process so that students, prospective students, and their families can make informed decisions.  Specifically, institutions will be required to make information regarding program costs and student completion, debt, earnings, and loan repayment available in a meaningful and easily accessible format.</w:t>
      </w:r>
    </w:p>
    <w:p w14:paraId="01CE554B"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Together, the certification requirements, accountability metrics, and disclosure requirements are designed to make improved and standardized market information about GE programs available to students, prospective students, and their families, the public, taxpayers, and the Government, and institutions; lead to a more competitive marketplace that encourages institutions to improve the quality of their programs and promotes institutions with high-performing programs; reduce costs and student debt; strengthen graduates’ employment prospects and earnings; eliminate poor performing programs; and improve the return on educational investment for students, families, taxpayers, and the Government.</w:t>
      </w:r>
      <w:r w:rsidRPr="00AA6DFD" w:rsidDel="005B77E1">
        <w:rPr>
          <w:rFonts w:ascii="Courier New" w:hAnsi="Courier New" w:cs="Courier New"/>
          <w:sz w:val="24"/>
          <w:szCs w:val="24"/>
        </w:rPr>
        <w:t xml:space="preserve"> </w:t>
      </w:r>
    </w:p>
    <w:p w14:paraId="63AACE93" w14:textId="77777777" w:rsidR="00BF10A3" w:rsidRPr="00AA6DFD" w:rsidRDefault="00BF10A3" w:rsidP="00BF10A3">
      <w:pPr>
        <w:pStyle w:val="Heading2"/>
      </w:pPr>
      <w:r w:rsidRPr="00AA6DFD">
        <w:rPr>
          <w:u w:val="none"/>
        </w:rPr>
        <w:tab/>
      </w:r>
      <w:r w:rsidRPr="00AA6DFD">
        <w:t>The D/E Rates Measure</w:t>
      </w:r>
    </w:p>
    <w:p w14:paraId="2AC3BD51" w14:textId="77777777" w:rsidR="00BF10A3" w:rsidRPr="00AA6DFD" w:rsidRDefault="00BF10A3" w:rsidP="00BF10A3">
      <w:pPr>
        <w:spacing w:line="480" w:lineRule="auto"/>
        <w:ind w:firstLine="720"/>
        <w:contextualSpacing/>
        <w:rPr>
          <w:rFonts w:ascii="Courier New" w:hAnsi="Courier New" w:cs="Courier New"/>
          <w:sz w:val="24"/>
          <w:szCs w:val="24"/>
        </w:rPr>
      </w:pPr>
      <w:r w:rsidRPr="00AA6DFD">
        <w:rPr>
          <w:rFonts w:ascii="Courier New" w:hAnsi="Courier New" w:cs="Courier New"/>
          <w:snapToGrid w:val="0"/>
          <w:sz w:val="24"/>
          <w:szCs w:val="24"/>
        </w:rPr>
        <w:t xml:space="preserve">As previously stated, as part of the accountability framework, </w:t>
      </w:r>
      <w:r w:rsidRPr="00AA6DFD">
        <w:rPr>
          <w:rFonts w:ascii="Courier New" w:hAnsi="Courier New" w:cs="Courier New"/>
          <w:sz w:val="24"/>
          <w:szCs w:val="24"/>
        </w:rPr>
        <w:t>the D/E rates measure will</w:t>
      </w:r>
      <w:r w:rsidRPr="00AA6DFD">
        <w:rPr>
          <w:rFonts w:ascii="Courier New" w:hAnsi="Courier New" w:cs="Courier New"/>
          <w:snapToGrid w:val="0"/>
          <w:sz w:val="24"/>
          <w:szCs w:val="24"/>
        </w:rPr>
        <w:t xml:space="preserve"> be used to determine whether a GE program remains eligible for title IV, HEA program funds.  </w:t>
      </w:r>
      <w:r w:rsidRPr="00AA6DFD">
        <w:rPr>
          <w:rFonts w:ascii="Courier New" w:hAnsi="Courier New" w:cs="Courier New"/>
          <w:sz w:val="24"/>
          <w:szCs w:val="24"/>
        </w:rPr>
        <w:t xml:space="preserve">The debt-to-earnings measures under both the 2011 Prior Rule and these regulations assess the debt burden incurred by students who completed a GE program in relation to their earnings.    </w:t>
      </w:r>
    </w:p>
    <w:p w14:paraId="324283B9" w14:textId="77777777" w:rsidR="00BF10A3" w:rsidRPr="00AA6DFD" w:rsidRDefault="00BF10A3" w:rsidP="00BF10A3">
      <w:pPr>
        <w:spacing w:line="480" w:lineRule="auto"/>
        <w:ind w:firstLine="720"/>
        <w:contextualSpacing/>
        <w:rPr>
          <w:rFonts w:ascii="Courier New" w:hAnsi="Courier New" w:cs="Courier New"/>
          <w:snapToGrid w:val="0"/>
          <w:sz w:val="24"/>
          <w:szCs w:val="24"/>
        </w:rPr>
      </w:pPr>
      <w:r w:rsidRPr="00AA6DFD">
        <w:rPr>
          <w:rFonts w:ascii="Courier New" w:hAnsi="Courier New" w:cs="Courier New"/>
          <w:sz w:val="24"/>
          <w:szCs w:val="24"/>
        </w:rPr>
        <w:t xml:space="preserve">The D/E rates measure will evaluate the amount of debt </w:t>
      </w:r>
      <w:r w:rsidRPr="00AA6DFD">
        <w:rPr>
          <w:rFonts w:ascii="Courier New" w:hAnsi="Courier New" w:cs="Courier New"/>
          <w:snapToGrid w:val="0"/>
          <w:sz w:val="24"/>
          <w:szCs w:val="24"/>
        </w:rPr>
        <w:t>students who completed a GE program incurred to enroll in that program in comparison to those same students’ discretionary and annual earnings after completing the program.</w:t>
      </w:r>
      <w:r w:rsidRPr="00AA6DFD">
        <w:rPr>
          <w:rFonts w:ascii="Courier New" w:hAnsi="Courier New" w:cs="Courier New"/>
          <w:sz w:val="24"/>
          <w:szCs w:val="24"/>
        </w:rPr>
        <w:t xml:space="preserve">  The regulations establish the standards by which the program will be assessed to determine, for each year rates are calculated, whether it passes or fails the D/E rates measure or is “in the zone.”  Under the regulations, to pass the D/E rates measure, the GE program must have a</w:t>
      </w:r>
      <w:r w:rsidRPr="00AA6DFD">
        <w:rPr>
          <w:rFonts w:ascii="Courier New" w:eastAsia="MS PGothic" w:hAnsi="Courier New" w:cs="Courier New"/>
          <w:color w:val="000000"/>
          <w:kern w:val="24"/>
          <w:sz w:val="24"/>
          <w:szCs w:val="24"/>
        </w:rPr>
        <w:t xml:space="preserve"> discretionary income rate less than or equal to 20 percent or </w:t>
      </w:r>
      <w:r w:rsidRPr="00AA6DFD">
        <w:rPr>
          <w:rFonts w:ascii="Courier New" w:hAnsi="Courier New" w:cs="Courier New"/>
          <w:sz w:val="24"/>
          <w:szCs w:val="24"/>
        </w:rPr>
        <w:t>an annual earnings</w:t>
      </w:r>
      <w:r w:rsidRPr="00AA6DFD">
        <w:rPr>
          <w:rFonts w:ascii="Courier New" w:eastAsia="MS PGothic" w:hAnsi="Courier New" w:cs="Courier New"/>
          <w:color w:val="000000"/>
          <w:kern w:val="24"/>
          <w:sz w:val="24"/>
          <w:szCs w:val="24"/>
        </w:rPr>
        <w:t xml:space="preserve"> rate less than or equal to 8 percent.  GE programs that have a discretionary income rate between 20 percent and 30 percent or an annual earnings rate between 8 percent and 12 percent will be considered to be in the zone.  GE programs with a discretionary income rate over 30 percent and an annual earnings rate over 12 percent will fail the D/E rates measure.  Under the regulations, a GE program will become ineligible for title IV, HEA program funds if it fails the D/E rates measure for two out of three consecutive years, or has a combination of D/E rates that are in the zone or failing for four consecutive years.  The D/E rates measure and the thresholds are intended </w:t>
      </w:r>
      <w:r w:rsidRPr="00AA6DFD">
        <w:rPr>
          <w:rFonts w:ascii="Courier New" w:hAnsi="Courier New" w:cs="Courier New"/>
          <w:sz w:val="24"/>
          <w:szCs w:val="24"/>
        </w:rPr>
        <w:t xml:space="preserve">to assess whether students who complete a GE program face excessive debt burden relative to their income.  </w:t>
      </w:r>
    </w:p>
    <w:p w14:paraId="3CC42BF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allow institutions an opportunity to improve, the regulations include a transition period for the first several years after the regulations become effective.  During these years, the transition period and zone together will allow institutions to make improvements to their programs in order to become passing.        </w:t>
      </w:r>
    </w:p>
    <w:p w14:paraId="4CD89CA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D/E rates measure assesses program outcomes that, consistent with legislative intent, indicate whether a program is preparing students for gainful employment.  It is designed to reflect and account for two of the three primary reasons that</w:t>
      </w:r>
      <w:r w:rsidRPr="00AA6DFD">
        <w:rPr>
          <w:rFonts w:ascii="Courier New" w:hAnsi="Courier New" w:cs="Courier New"/>
          <w:b/>
          <w:sz w:val="24"/>
          <w:szCs w:val="24"/>
        </w:rPr>
        <w:t xml:space="preserve"> </w:t>
      </w:r>
      <w:r w:rsidRPr="00AA6DFD">
        <w:rPr>
          <w:rFonts w:ascii="Courier New" w:hAnsi="Courier New" w:cs="Courier New"/>
          <w:sz w:val="24"/>
          <w:szCs w:val="24"/>
        </w:rPr>
        <w:t>a</w:t>
      </w:r>
      <w:r w:rsidRPr="00AA6DFD">
        <w:rPr>
          <w:rFonts w:ascii="Courier New" w:hAnsi="Courier New" w:cs="Courier New"/>
          <w:b/>
          <w:sz w:val="24"/>
          <w:szCs w:val="24"/>
        </w:rPr>
        <w:t xml:space="preserve"> </w:t>
      </w:r>
      <w:r w:rsidRPr="00AA6DFD">
        <w:rPr>
          <w:rFonts w:ascii="Courier New" w:hAnsi="Courier New" w:cs="Courier New"/>
          <w:sz w:val="24"/>
          <w:szCs w:val="24"/>
        </w:rPr>
        <w:t xml:space="preserve">program may fail to prepare students for gainful employment, with former students unable to earn wages adequate to manage their educational debt:  (1) a program does not train students in the skills they need to obtain and maintain jobs in the occupation for which the program purports to train students and (2) a program provides training for an occupation for which low wages do not justify program costs.  The third primary reason that a program may fail to prepare students for gainful employment is that it is experiencing a high number of withdrawals or “churn” because relatively large numbers of students enroll but few, or none, complete the program, which can often lead to default. </w:t>
      </w:r>
    </w:p>
    <w:p w14:paraId="2CFF2D7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D/E rates measure assesses the outcomes of only those students who complete the program.  The calculation includes former students who received title IV, HEA program funds--both loans and grants.  For those students who have debt, the D/E rates take into account private loans and institutional financing in addition to title IV, HEA program loans. </w:t>
      </w:r>
    </w:p>
    <w:p w14:paraId="547F931B" w14:textId="77777777" w:rsidR="00BF10A3" w:rsidRPr="00AA6DFD" w:rsidRDefault="00BF10A3" w:rsidP="00BF10A3">
      <w:pPr>
        <w:pStyle w:val="PlainText"/>
        <w:spacing w:line="480" w:lineRule="auto"/>
        <w:ind w:firstLine="720"/>
        <w:rPr>
          <w:rFonts w:ascii="Courier New" w:hAnsi="Courier New" w:cs="Courier New"/>
          <w:sz w:val="24"/>
          <w:szCs w:val="24"/>
        </w:rPr>
      </w:pPr>
      <w:r w:rsidRPr="00AA6DFD">
        <w:rPr>
          <w:rFonts w:ascii="Courier New" w:hAnsi="Courier New" w:cs="Courier New"/>
          <w:sz w:val="24"/>
          <w:szCs w:val="24"/>
        </w:rPr>
        <w:t xml:space="preserve">The D/E rates measure primarily assesses whether the loan funds obtained by students “pay dividends in terms of benefits accruing from the training students received,” and whether such training has indeed equipped students to earn enough to repay their loans such that they are not unduly burdened.  H.R. Rep. No. 89-308, at 4 (1965); S. Rep. No. 89-758, at 7 (1965).  </w:t>
      </w:r>
      <w:r w:rsidRPr="00AA6DFD">
        <w:rPr>
          <w:rFonts w:ascii="Courier New" w:eastAsia="Times New Roman" w:hAnsi="Courier New" w:cs="Courier New"/>
          <w:color w:val="000000"/>
          <w:sz w:val="24"/>
          <w:szCs w:val="24"/>
        </w:rPr>
        <w:t xml:space="preserve">In addition to addressing Congress’ concern of ensuring that students’ earnings would be adequate to manage their debt, research also indicates that debt-to-earnings is an effective indicator of unmanageable debt burden.  </w:t>
      </w:r>
      <w:r w:rsidRPr="00AA6DFD">
        <w:rPr>
          <w:rFonts w:ascii="Courier New" w:eastAsia="Times New Roman" w:hAnsi="Courier New" w:cs="Courier New"/>
          <w:sz w:val="24"/>
          <w:szCs w:val="24"/>
        </w:rPr>
        <w:t>An analysis of a 2002 survey of student loan borrowers combined borrowers’ responses to questions about perceived loan burden, hardship, and regret to create a “debt burden index” that was significantly positively associated with borrowers’ actual debt-to-income ratios.  In other words, borrowers with higher debt-to-income ratios tended to feel higher levels of burden, hardship, and regret.</w:t>
      </w:r>
      <w:r w:rsidRPr="00AA6DFD">
        <w:rPr>
          <w:rStyle w:val="FootnoteReference"/>
          <w:rFonts w:ascii="Courier New" w:hAnsi="Courier New" w:cs="Courier New"/>
          <w:sz w:val="24"/>
          <w:szCs w:val="24"/>
        </w:rPr>
        <w:footnoteReference w:id="296"/>
      </w:r>
      <w:r w:rsidRPr="00AA6DFD">
        <w:rPr>
          <w:rFonts w:ascii="Courier New" w:hAnsi="Courier New" w:cs="Courier New"/>
          <w:sz w:val="24"/>
          <w:szCs w:val="24"/>
        </w:rPr>
        <w:t xml:space="preserve">  </w:t>
      </w:r>
    </w:p>
    <w:p w14:paraId="3D3B5617" w14:textId="77777777" w:rsidR="00BF10A3" w:rsidRPr="00AA6DFD" w:rsidRDefault="00BF10A3" w:rsidP="00BF10A3">
      <w:pPr>
        <w:pStyle w:val="PlainText"/>
        <w:spacing w:line="480" w:lineRule="auto"/>
        <w:ind w:firstLine="720"/>
        <w:rPr>
          <w:rFonts w:ascii="Courier New" w:hAnsi="Courier New" w:cs="Courier New"/>
          <w:sz w:val="24"/>
          <w:szCs w:val="24"/>
        </w:rPr>
      </w:pPr>
      <w:r w:rsidRPr="00AA6DFD">
        <w:rPr>
          <w:rFonts w:ascii="Courier New" w:hAnsi="Courier New" w:cs="Courier New"/>
          <w:sz w:val="24"/>
          <w:szCs w:val="24"/>
        </w:rPr>
        <w:t xml:space="preserve">Accordingly, the D/E rates measure identifies programs that fail to adequately provide students with the occupational skills needed to obtain employment or that train students for occupations with low wages or high unemployment.  The D/E rates also provide evidence of the experience of borrowers and, specifically, where borrowers may be struggling with their debt burden.  </w:t>
      </w:r>
    </w:p>
    <w:p w14:paraId="28627DAF" w14:textId="77777777" w:rsidR="00BF10A3" w:rsidRPr="00AA6DFD" w:rsidRDefault="00BF10A3" w:rsidP="00BF10A3">
      <w:pPr>
        <w:pStyle w:val="Heading2"/>
      </w:pPr>
      <w:r w:rsidRPr="00AA6DFD">
        <w:t>2.  Analysis of the Regulations</w:t>
      </w:r>
    </w:p>
    <w:p w14:paraId="657C676E" w14:textId="77777777" w:rsidR="00BF10A3" w:rsidRPr="00AA6DFD" w:rsidRDefault="00BF10A3" w:rsidP="00BF10A3">
      <w:pPr>
        <w:pStyle w:val="Heading2"/>
      </w:pPr>
      <w:r w:rsidRPr="00AA6DFD">
        <w:rPr>
          <w:u w:val="none"/>
        </w:rPr>
        <w:tab/>
      </w:r>
      <w:r w:rsidRPr="00AA6DFD">
        <w:t xml:space="preserve">Data and Methodology </w:t>
      </w:r>
    </w:p>
    <w:p w14:paraId="7098E463" w14:textId="77777777" w:rsidR="00BF10A3" w:rsidRPr="00B53B21" w:rsidRDefault="00BF10A3" w:rsidP="00BF10A3">
      <w:pPr>
        <w:pStyle w:val="riaheader3"/>
      </w:pPr>
      <w:r w:rsidRPr="00B53B21">
        <w:t>Data</w:t>
      </w:r>
    </w:p>
    <w:p w14:paraId="347EACB7" w14:textId="77777777" w:rsidR="00BF10A3" w:rsidRPr="00AA6DFD" w:rsidRDefault="00BF10A3" w:rsidP="00BF10A3">
      <w:pPr>
        <w:spacing w:after="0" w:line="240" w:lineRule="auto"/>
        <w:ind w:firstLine="720"/>
        <w:rPr>
          <w:rFonts w:ascii="Courier New" w:hAnsi="Courier New" w:cs="Courier New"/>
          <w:sz w:val="24"/>
          <w:szCs w:val="24"/>
        </w:rPr>
      </w:pPr>
    </w:p>
    <w:p w14:paraId="7AB4C0F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After the effective date of reporting and disclosure requirements under the 2011 Prior Rule on July 1, 2011, the Department received, pursuant to the reporting requirements, information from institutions on their GE programs for award years 2006-2007 through 2010-2011 (the “GE Data”).  The GE Data is stored in the National Student Loan Database System (NSLDS), maintained by the Department’s Office of Federal Student Aid (FSA).  </w:t>
      </w:r>
      <w:r w:rsidRPr="00AA6DFD">
        <w:rPr>
          <w:rFonts w:ascii="Courier New" w:eastAsia="MS ??" w:hAnsi="Courier New" w:cs="Courier New"/>
          <w:sz w:val="24"/>
          <w:szCs w:val="24"/>
        </w:rPr>
        <w:t xml:space="preserve">The GE Data originally included information on students who received title IV, HEA program funds, as well as students who did not.  After the decisions in </w:t>
      </w:r>
      <w:r w:rsidRPr="00AA6DFD">
        <w:rPr>
          <w:rFonts w:ascii="Courier New" w:eastAsia="MS ??" w:hAnsi="Courier New" w:cs="Courier New"/>
          <w:sz w:val="24"/>
          <w:szCs w:val="24"/>
          <w:u w:val="single"/>
        </w:rPr>
        <w:t>APSCU v. Duncan</w:t>
      </w:r>
      <w:r w:rsidRPr="00AA6DFD">
        <w:rPr>
          <w:rFonts w:ascii="Courier New" w:eastAsia="MS ??" w:hAnsi="Courier New" w:cs="Courier New"/>
          <w:sz w:val="24"/>
          <w:szCs w:val="24"/>
        </w:rPr>
        <w:t>, the Department removed from NSLDS and destroyed the data on students</w:t>
      </w:r>
      <w:r w:rsidRPr="00AA6DFD">
        <w:rPr>
          <w:rStyle w:val="FootnoteReference"/>
          <w:rFonts w:ascii="Courier New" w:eastAsia="MS ??" w:hAnsi="Courier New"/>
          <w:sz w:val="24"/>
          <w:szCs w:val="24"/>
        </w:rPr>
        <w:footnoteReference w:id="297"/>
      </w:r>
      <w:r w:rsidRPr="00AA6DFD">
        <w:rPr>
          <w:rFonts w:ascii="Courier New" w:eastAsia="MS ??" w:hAnsi="Courier New" w:cs="Courier New"/>
          <w:sz w:val="24"/>
          <w:szCs w:val="24"/>
        </w:rPr>
        <w:t xml:space="preserve"> who did not receive title IV, HEA program funds.     </w:t>
      </w:r>
    </w:p>
    <w:p w14:paraId="035BD7C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Using the remaining GE Data, student loan information also stored in NSLDS, and earnings information obtained from SSA, the Department calculated two debt-to-earnings (D/E) ratios, or rates, for GE programs.  These D/E rates are the annual earnings rate and the discretionary income rate.  The methodology that was used to calculate both rates is described in further detail below.  We refer to the D/E rates data as the “2012 GE informational D/E rates.”  The 2012 GE informational D/E rates are stored in a data file maintained by the Department that is accessible on its Web site.</w:t>
      </w:r>
      <w:r w:rsidRPr="00AA6DFD">
        <w:rPr>
          <w:rStyle w:val="FootnoteReference"/>
          <w:rFonts w:ascii="Courier New" w:hAnsi="Courier New" w:cs="Courier New"/>
          <w:sz w:val="24"/>
          <w:szCs w:val="24"/>
        </w:rPr>
        <w:footnoteReference w:id="298"/>
      </w:r>
      <w:r w:rsidRPr="00AA6DFD">
        <w:rPr>
          <w:rFonts w:ascii="Courier New" w:hAnsi="Courier New" w:cs="Courier New"/>
          <w:sz w:val="24"/>
          <w:szCs w:val="24"/>
        </w:rPr>
        <w:t xml:space="preserve">  In addition to the D/E rates, we also calculated informational program level cohort default rates (pCDR) and repayment rates (RR).   </w:t>
      </w:r>
    </w:p>
    <w:p w14:paraId="7572373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 GE program is defined by a unique combination of the first six digits of its institution’s Office of Postsecondary Education Identification (“OPEID”) code, also referred to as the six-digit OPEID, the CIP code, and the program’s credential level.  The terms OPEID code, CIP code, and credential level are defined below.  </w:t>
      </w:r>
    </w:p>
    <w:p w14:paraId="39BD738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2012 GE informational D/E rates were calculated for programs in the GE Data based on the debt and earnings of the cohort of students receiving title IV, HEA program funds who completed GE programs during an “applicable two-year cohort period,” between October 1, 2007 and September 30, 2009 (the “08/09 D/E rates cohort”).</w:t>
      </w:r>
      <w:r w:rsidRPr="00AA6DFD">
        <w:rPr>
          <w:rStyle w:val="FootnoteReference"/>
          <w:rFonts w:ascii="Courier New" w:hAnsi="Courier New" w:cs="Courier New"/>
          <w:sz w:val="24"/>
          <w:szCs w:val="24"/>
        </w:rPr>
        <w:footnoteReference w:id="299"/>
      </w:r>
      <w:r w:rsidRPr="00AA6DFD">
        <w:rPr>
          <w:rFonts w:ascii="Courier New" w:hAnsi="Courier New" w:cs="Courier New"/>
          <w:sz w:val="24"/>
          <w:szCs w:val="24"/>
        </w:rPr>
        <w:t xml:space="preserve">  The annual loan payment component of the debt-to-earnings formulas for the 2012 GE informational D/E rates was calculated for each program using student loan information from the GE Data and from NSLDS.  The earnings components of the D/E rates formulas were calculated for each program using information obtained from SSA for the 2011 calendar year. </w:t>
      </w:r>
    </w:p>
    <w:p w14:paraId="3406CD0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Unless otherwise specified, in accordance with the regulations, the Department analyzed the 2012 GE informational D/E rates only for those programs with 30 or more students who completed the program during the applicable two-year cohort period--that is, those programs that met the minimum “n-size” requirements.</w:t>
      </w:r>
      <w:r w:rsidRPr="00AA6DFD">
        <w:rPr>
          <w:rStyle w:val="FootnoteReference"/>
          <w:rFonts w:ascii="Courier New" w:hAnsi="Courier New" w:cs="Courier New"/>
          <w:sz w:val="24"/>
          <w:szCs w:val="24"/>
        </w:rPr>
        <w:footnoteReference w:id="300"/>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301"/>
      </w:r>
      <w:r w:rsidRPr="00AA6DFD">
        <w:rPr>
          <w:rFonts w:ascii="Courier New" w:hAnsi="Courier New" w:cs="Courier New"/>
          <w:sz w:val="24"/>
          <w:szCs w:val="24"/>
        </w:rPr>
        <w:t xml:space="preserve">  Of the 37,589 GE programs for which institutions reported program information for FY 2010 to the Department</w:t>
      </w:r>
      <w:bookmarkStart w:id="64" w:name="OLE_LINK1"/>
      <w:bookmarkStart w:id="65" w:name="OLE_LINK2"/>
      <w:r w:rsidRPr="00AA6DFD">
        <w:rPr>
          <w:rFonts w:ascii="Courier New" w:hAnsi="Courier New" w:cs="Courier New"/>
          <w:sz w:val="24"/>
          <w:szCs w:val="24"/>
        </w:rPr>
        <w:t>,</w:t>
      </w:r>
      <w:r w:rsidRPr="00AA6DFD" w:rsidDel="00F33E7F">
        <w:rPr>
          <w:rStyle w:val="FootnoteReference"/>
          <w:rFonts w:ascii="Courier New" w:hAnsi="Courier New" w:cs="Courier New"/>
          <w:sz w:val="24"/>
          <w:szCs w:val="24"/>
        </w:rPr>
        <w:t xml:space="preserve"> </w:t>
      </w:r>
      <w:bookmarkEnd w:id="64"/>
      <w:bookmarkEnd w:id="65"/>
      <w:r w:rsidRPr="00AA6DFD">
        <w:rPr>
          <w:rFonts w:ascii="Courier New" w:hAnsi="Courier New" w:cs="Courier New"/>
          <w:sz w:val="24"/>
          <w:szCs w:val="24"/>
        </w:rPr>
        <w:t xml:space="preserve">5,539 met the minimum n-size of 30 for the 2012 GE informational D/E rates calculations.      </w:t>
      </w:r>
    </w:p>
    <w:p w14:paraId="03F35E9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estimated the number of programs that would, under the provisions in the regulations for the D/E rates measure, “pass,” “fail,” or fall in the “zone” based on their 2012 GE informational D/E rates results.  </w:t>
      </w:r>
    </w:p>
    <w:p w14:paraId="2A811F7A" w14:textId="77777777" w:rsidR="00BF10A3" w:rsidRPr="00AA6DFD" w:rsidRDefault="00BF10A3" w:rsidP="00BF10A3">
      <w:pPr>
        <w:pStyle w:val="ListParagraph"/>
        <w:numPr>
          <w:ilvl w:val="0"/>
          <w:numId w:val="8"/>
        </w:numPr>
        <w:spacing w:after="0" w:line="480" w:lineRule="auto"/>
        <w:rPr>
          <w:rFonts w:ascii="Courier New" w:hAnsi="Courier New" w:cs="Courier New"/>
          <w:sz w:val="24"/>
          <w:szCs w:val="24"/>
        </w:rPr>
      </w:pPr>
      <w:r w:rsidRPr="00AA6DFD">
        <w:rPr>
          <w:rFonts w:ascii="Courier New" w:hAnsi="Courier New" w:cs="Courier New"/>
          <w:sz w:val="24"/>
          <w:szCs w:val="24"/>
          <w:u w:val="single"/>
        </w:rPr>
        <w:t>Pass</w:t>
      </w:r>
      <w:r w:rsidRPr="00AA6DFD">
        <w:rPr>
          <w:rFonts w:ascii="Courier New" w:hAnsi="Courier New" w:cs="Courier New"/>
          <w:sz w:val="24"/>
          <w:szCs w:val="24"/>
        </w:rPr>
        <w:t xml:space="preserve">:  Programs with an annual earnings rate less than or equal to 8 percent </w:t>
      </w:r>
      <w:r w:rsidRPr="00AA6DFD">
        <w:rPr>
          <w:rFonts w:ascii="Courier New" w:hAnsi="Courier New" w:cs="Courier New"/>
          <w:i/>
          <w:sz w:val="24"/>
          <w:szCs w:val="24"/>
        </w:rPr>
        <w:t>OR</w:t>
      </w:r>
      <w:r w:rsidRPr="00AA6DFD">
        <w:rPr>
          <w:rFonts w:ascii="Courier New" w:hAnsi="Courier New" w:cs="Courier New"/>
          <w:sz w:val="24"/>
          <w:szCs w:val="24"/>
        </w:rPr>
        <w:t xml:space="preserve"> a discretionary income rate less than or equal to 20 percent. </w:t>
      </w:r>
    </w:p>
    <w:p w14:paraId="36A14384" w14:textId="77777777" w:rsidR="00BF10A3" w:rsidRPr="00AA6DFD" w:rsidRDefault="00BF10A3" w:rsidP="00BF10A3">
      <w:pPr>
        <w:pStyle w:val="ListParagraph"/>
        <w:numPr>
          <w:ilvl w:val="0"/>
          <w:numId w:val="7"/>
        </w:numPr>
        <w:spacing w:after="0" w:line="480" w:lineRule="auto"/>
        <w:rPr>
          <w:rFonts w:ascii="Courier New" w:hAnsi="Courier New" w:cs="Courier New"/>
          <w:sz w:val="24"/>
          <w:szCs w:val="24"/>
        </w:rPr>
      </w:pPr>
      <w:r w:rsidRPr="00AA6DFD">
        <w:rPr>
          <w:rFonts w:ascii="Courier New" w:hAnsi="Courier New" w:cs="Courier New"/>
          <w:sz w:val="24"/>
          <w:szCs w:val="24"/>
          <w:u w:val="single"/>
        </w:rPr>
        <w:t>Zone</w:t>
      </w:r>
      <w:r w:rsidRPr="00AA6DFD">
        <w:rPr>
          <w:rFonts w:ascii="Courier New" w:hAnsi="Courier New" w:cs="Courier New"/>
          <w:sz w:val="24"/>
          <w:szCs w:val="24"/>
        </w:rPr>
        <w:t xml:space="preserve">:  Programs that are not passing and have an annual earnings rate greater than 8 percent and less than or equal to 12 percent </w:t>
      </w:r>
      <w:r w:rsidRPr="00AA6DFD">
        <w:rPr>
          <w:rFonts w:ascii="Courier New" w:hAnsi="Courier New" w:cs="Courier New"/>
          <w:i/>
          <w:sz w:val="24"/>
          <w:szCs w:val="24"/>
        </w:rPr>
        <w:t>OR</w:t>
      </w:r>
      <w:r w:rsidRPr="00AA6DFD">
        <w:rPr>
          <w:rFonts w:ascii="Courier New" w:hAnsi="Courier New" w:cs="Courier New"/>
          <w:sz w:val="24"/>
          <w:szCs w:val="24"/>
        </w:rPr>
        <w:t xml:space="preserve"> a discretionary income rate greater than 20 percent and less than or equal to 30 percent.</w:t>
      </w:r>
    </w:p>
    <w:p w14:paraId="63A801A2" w14:textId="77777777" w:rsidR="00BF10A3" w:rsidRPr="00AA6DFD" w:rsidRDefault="00BF10A3" w:rsidP="00BF10A3">
      <w:pPr>
        <w:numPr>
          <w:ilvl w:val="0"/>
          <w:numId w:val="7"/>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Fail</w:t>
      </w:r>
      <w:r w:rsidRPr="00AA6DFD">
        <w:rPr>
          <w:rFonts w:ascii="Courier New" w:hAnsi="Courier New" w:cs="Courier New"/>
          <w:sz w:val="24"/>
          <w:szCs w:val="24"/>
        </w:rPr>
        <w:t xml:space="preserve">:  Programs with an annual earnings rate over 12 percent </w:t>
      </w:r>
      <w:r w:rsidRPr="00AA6DFD">
        <w:rPr>
          <w:rFonts w:ascii="Courier New" w:hAnsi="Courier New" w:cs="Courier New"/>
          <w:i/>
          <w:sz w:val="24"/>
          <w:szCs w:val="24"/>
        </w:rPr>
        <w:t>AND</w:t>
      </w:r>
      <w:r w:rsidRPr="00AA6DFD">
        <w:rPr>
          <w:rFonts w:ascii="Courier New" w:hAnsi="Courier New" w:cs="Courier New"/>
          <w:sz w:val="24"/>
          <w:szCs w:val="24"/>
        </w:rPr>
        <w:t xml:space="preserve"> a discretionary income rate over 30 percent.</w:t>
      </w:r>
    </w:p>
    <w:p w14:paraId="3F538628"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Under the regulations, a program becomes ineligible for title IV, HEA program funds if it fails the D/E rates measure for two out of three consecutive years, or has a combination of D/E rates that are in the zone or failing for four consecutive years.  The regulations establish a transition period for the first several years after the regulations become effective on July 1, 2015, to allow institutions an opportunity to improve their D/E rates by reducing the cost of their programs or the loan debt of their students.</w:t>
      </w:r>
    </w:p>
    <w:p w14:paraId="024E925D"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The Department also analyzed the estimated impact of the regulations on GE programs using the following criteria:</w:t>
      </w:r>
    </w:p>
    <w:p w14:paraId="1B51A77E" w14:textId="77777777" w:rsidR="00BF10A3" w:rsidRPr="00AA6DFD" w:rsidRDefault="00BF10A3" w:rsidP="00BF10A3">
      <w:pPr>
        <w:pStyle w:val="ListParagraph"/>
        <w:numPr>
          <w:ilvl w:val="0"/>
          <w:numId w:val="9"/>
        </w:numPr>
        <w:spacing w:after="0" w:line="480" w:lineRule="auto"/>
        <w:rPr>
          <w:rFonts w:ascii="Courier New" w:hAnsi="Courier New" w:cs="Courier New"/>
          <w:b/>
          <w:sz w:val="24"/>
          <w:szCs w:val="24"/>
        </w:rPr>
      </w:pPr>
      <w:r w:rsidRPr="00AA6DFD">
        <w:rPr>
          <w:rFonts w:ascii="Courier New" w:hAnsi="Courier New" w:cs="Courier New"/>
          <w:sz w:val="24"/>
          <w:szCs w:val="24"/>
          <w:u w:val="single"/>
        </w:rPr>
        <w:t>Enrollment</w:t>
      </w:r>
      <w:r w:rsidRPr="00AA6DFD">
        <w:rPr>
          <w:rFonts w:ascii="Courier New" w:hAnsi="Courier New" w:cs="Courier New"/>
          <w:sz w:val="24"/>
          <w:szCs w:val="24"/>
        </w:rPr>
        <w:t>:  Number of students receiving title IV, HEA program funds for enrollment in a program.  In order to estimate enrollment, we used the unduplicated count of students receiving title IV, HEA program funds in FY 2010.</w:t>
      </w:r>
      <w:r w:rsidRPr="00AA6DFD">
        <w:rPr>
          <w:rStyle w:val="FootnoteReference"/>
          <w:rFonts w:ascii="Courier New" w:hAnsi="Courier New" w:cs="Courier New"/>
          <w:sz w:val="24"/>
          <w:szCs w:val="24"/>
        </w:rPr>
        <w:footnoteReference w:id="302"/>
      </w:r>
      <w:r w:rsidRPr="00AA6DFD">
        <w:rPr>
          <w:rStyle w:val="BalloonTextChar1"/>
          <w:rFonts w:ascii="Courier New" w:hAnsi="Courier New" w:cs="Courier New"/>
          <w:sz w:val="24"/>
          <w:szCs w:val="24"/>
        </w:rPr>
        <w:t xml:space="preserve"> </w:t>
      </w:r>
      <w:r w:rsidRPr="00B53B21">
        <w:rPr>
          <w:rStyle w:val="BalloonTextChar1"/>
          <w:rFonts w:ascii="Courier New" w:hAnsi="Courier New" w:cs="Courier New"/>
          <w:sz w:val="24"/>
          <w:szCs w:val="24"/>
          <w:vertAlign w:val="superscript"/>
        </w:rPr>
        <w:footnoteReference w:id="303"/>
      </w:r>
    </w:p>
    <w:p w14:paraId="26935EF9" w14:textId="77777777" w:rsidR="00BF10A3" w:rsidRPr="00AA6DFD" w:rsidRDefault="00BF10A3" w:rsidP="00BF10A3">
      <w:pPr>
        <w:numPr>
          <w:ilvl w:val="0"/>
          <w:numId w:val="9"/>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OPEID</w:t>
      </w:r>
      <w:r w:rsidRPr="00AA6DFD">
        <w:rPr>
          <w:rFonts w:ascii="Courier New" w:hAnsi="Courier New" w:cs="Courier New"/>
          <w:sz w:val="24"/>
          <w:szCs w:val="24"/>
        </w:rPr>
        <w:t>:  Identification number issued by the Department that identifies each postsecondary educational institution (institution) that participates in the Federal student financial assistance programs authorized under title IV of the HEA.</w:t>
      </w:r>
    </w:p>
    <w:p w14:paraId="7EAF4AE6" w14:textId="77777777" w:rsidR="00BF10A3" w:rsidRPr="00AA6DFD" w:rsidRDefault="00BF10A3" w:rsidP="00BF10A3">
      <w:pPr>
        <w:numPr>
          <w:ilvl w:val="0"/>
          <w:numId w:val="9"/>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CIP code</w:t>
      </w:r>
      <w:r w:rsidRPr="00AA6DFD">
        <w:rPr>
          <w:rFonts w:ascii="Courier New" w:hAnsi="Courier New" w:cs="Courier New"/>
          <w:sz w:val="24"/>
          <w:szCs w:val="24"/>
        </w:rPr>
        <w:t xml:space="preserve">:  Six-digit code that identifies instructional program specialties within educational institutions.  These codes are derived from the Department’s National Center for Education Statistics’ (NCES) Classification of Instructional Programs, which is a taxonomy of instructional program classifications and descriptions.  </w:t>
      </w:r>
    </w:p>
    <w:p w14:paraId="25D94E98" w14:textId="77777777" w:rsidR="00BF10A3" w:rsidRPr="00AA6DFD" w:rsidRDefault="00BF10A3" w:rsidP="00BF10A3">
      <w:pPr>
        <w:numPr>
          <w:ilvl w:val="0"/>
          <w:numId w:val="9"/>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Sector</w:t>
      </w:r>
      <w:r w:rsidRPr="00AA6DFD">
        <w:rPr>
          <w:rFonts w:ascii="Courier New" w:hAnsi="Courier New" w:cs="Courier New"/>
          <w:sz w:val="24"/>
          <w:szCs w:val="24"/>
        </w:rPr>
        <w:t>:  The sector designation for a program’s institution--public non-profit, private non-profit, or for-profit--using NSLDS sector data as of November 2013.</w:t>
      </w:r>
      <w:r w:rsidRPr="00AA6DFD">
        <w:rPr>
          <w:rStyle w:val="FootnoteReference"/>
          <w:rFonts w:ascii="Courier New" w:hAnsi="Courier New"/>
          <w:sz w:val="24"/>
          <w:szCs w:val="24"/>
        </w:rPr>
        <w:footnoteReference w:id="304"/>
      </w:r>
    </w:p>
    <w:p w14:paraId="1CA8EC6C" w14:textId="77777777" w:rsidR="00BF10A3" w:rsidRPr="00AA6DFD" w:rsidRDefault="00BF10A3" w:rsidP="00BF10A3">
      <w:pPr>
        <w:numPr>
          <w:ilvl w:val="0"/>
          <w:numId w:val="9"/>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Institution type</w:t>
      </w:r>
      <w:r w:rsidRPr="00AA6DFD">
        <w:rPr>
          <w:rFonts w:ascii="Courier New" w:hAnsi="Courier New" w:cs="Courier New"/>
          <w:sz w:val="24"/>
          <w:szCs w:val="24"/>
        </w:rPr>
        <w:t>:  The type designation for a program’s institution--less than 2 years, 2-3 years, and 4 years or more--using NSLDS data as of November 2013.</w:t>
      </w:r>
    </w:p>
    <w:p w14:paraId="17829E7D" w14:textId="77777777" w:rsidR="00BF10A3" w:rsidRPr="00AA6DFD" w:rsidRDefault="00BF10A3" w:rsidP="00BF10A3">
      <w:pPr>
        <w:numPr>
          <w:ilvl w:val="0"/>
          <w:numId w:val="9"/>
        </w:numPr>
        <w:spacing w:after="0" w:line="480" w:lineRule="auto"/>
        <w:contextualSpacing/>
        <w:rPr>
          <w:rFonts w:ascii="Courier New" w:hAnsi="Courier New" w:cs="Courier New"/>
          <w:sz w:val="24"/>
          <w:szCs w:val="24"/>
        </w:rPr>
      </w:pPr>
      <w:r w:rsidRPr="00AA6DFD">
        <w:rPr>
          <w:rFonts w:ascii="Courier New" w:hAnsi="Courier New" w:cs="Courier New"/>
          <w:sz w:val="24"/>
          <w:szCs w:val="24"/>
          <w:u w:val="single"/>
        </w:rPr>
        <w:t>Credential level</w:t>
      </w:r>
      <w:r w:rsidRPr="00AA6DFD">
        <w:rPr>
          <w:rFonts w:ascii="Courier New" w:hAnsi="Courier New" w:cs="Courier New"/>
          <w:sz w:val="24"/>
          <w:szCs w:val="24"/>
        </w:rPr>
        <w:t>:  A program’s credential level--certificate, associate degree, bachelor’s degree, post-baccalaureate certificate, master’s degree, doctoral degree, and first professional degree.</w:t>
      </w:r>
      <w:r w:rsidRPr="00AA6DFD">
        <w:rPr>
          <w:rStyle w:val="FootnoteReference"/>
          <w:rFonts w:ascii="Courier New" w:hAnsi="Courier New" w:cs="Courier New"/>
          <w:sz w:val="24"/>
          <w:szCs w:val="24"/>
        </w:rPr>
        <w:footnoteReference w:id="305"/>
      </w:r>
      <w:r w:rsidRPr="00AA6DFD">
        <w:rPr>
          <w:rFonts w:ascii="Courier New" w:hAnsi="Courier New" w:cs="Courier New"/>
          <w:sz w:val="24"/>
          <w:szCs w:val="24"/>
        </w:rPr>
        <w:t xml:space="preserve"> </w:t>
      </w:r>
    </w:p>
    <w:p w14:paraId="0906DE2E" w14:textId="77777777" w:rsidR="00BF10A3" w:rsidRPr="00AA6DFD" w:rsidRDefault="00BF10A3" w:rsidP="00BF10A3">
      <w:pPr>
        <w:pStyle w:val="riaheader3"/>
      </w:pPr>
      <w:r w:rsidRPr="00AA6DFD">
        <w:t>Methodology for D/E rates calculations</w:t>
      </w:r>
    </w:p>
    <w:p w14:paraId="67864A19" w14:textId="77777777" w:rsidR="00BF10A3" w:rsidRPr="00AA6DFD" w:rsidRDefault="00BF10A3" w:rsidP="00BF10A3">
      <w:pPr>
        <w:spacing w:after="0" w:line="240" w:lineRule="auto"/>
        <w:ind w:firstLine="720"/>
        <w:rPr>
          <w:rFonts w:ascii="Courier New" w:hAnsi="Courier New" w:cs="Courier New"/>
          <w:sz w:val="24"/>
          <w:szCs w:val="24"/>
        </w:rPr>
      </w:pPr>
    </w:p>
    <w:p w14:paraId="25D5948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methodology used by the Department to calculate the 2012 GE informational D/E rates departs slightly in some cases from the provisions in the regulations.  We have identified those departures in footnotes.</w:t>
      </w:r>
    </w:p>
    <w:p w14:paraId="0DB0952E" w14:textId="77777777" w:rsidR="00BF10A3" w:rsidRPr="00AA6DFD" w:rsidRDefault="00BF10A3" w:rsidP="00BF10A3">
      <w:pPr>
        <w:spacing w:after="0" w:line="480" w:lineRule="auto"/>
        <w:ind w:firstLine="720"/>
        <w:rPr>
          <w:rFonts w:ascii="Courier New" w:hAnsi="Courier New" w:cs="Courier New"/>
          <w:i/>
          <w:sz w:val="24"/>
          <w:szCs w:val="24"/>
        </w:rPr>
      </w:pPr>
      <w:r w:rsidRPr="00AA6DFD">
        <w:rPr>
          <w:rFonts w:ascii="Courier New" w:hAnsi="Courier New" w:cs="Courier New"/>
          <w:sz w:val="24"/>
          <w:szCs w:val="24"/>
        </w:rPr>
        <w:t xml:space="preserve">As stated previously, the D/E rates measure is comprised of two debt-to-earnings ratios, or rates.  The first, the discretionary income rate, is based on discretionary income, and the second, the annual earnings rate, is based on annual earnings.  The formulas for the two D/E rates are: </w:t>
      </w:r>
    </w:p>
    <w:p w14:paraId="4A57C2C7" w14:textId="77777777" w:rsidR="00BF10A3" w:rsidRPr="00AA6DFD" w:rsidRDefault="00BF10A3" w:rsidP="00BF10A3">
      <w:pPr>
        <w:spacing w:after="0"/>
        <w:rPr>
          <w:rFonts w:ascii="Courier New" w:hAnsi="Courier New" w:cs="Courier New"/>
          <w:sz w:val="24"/>
          <w:szCs w:val="24"/>
        </w:rPr>
      </w:pPr>
    </w:p>
    <w:p w14:paraId="23D8278F" w14:textId="77777777" w:rsidR="00BF10A3" w:rsidRPr="00AA6DFD" w:rsidRDefault="00BF10A3" w:rsidP="00BF10A3">
      <w:pPr>
        <w:spacing w:after="0"/>
        <w:rPr>
          <w:rFonts w:ascii="Courier New" w:hAnsi="Courier New" w:cs="Courier New"/>
          <w:sz w:val="24"/>
          <w:szCs w:val="24"/>
        </w:rPr>
      </w:pPr>
      <w:r w:rsidRPr="00AA6DFD">
        <w:rPr>
          <w:rFonts w:ascii="Courier New" w:hAnsi="Courier New" w:cs="Courier New"/>
          <w:sz w:val="24"/>
          <w:szCs w:val="24"/>
        </w:rPr>
        <w:t xml:space="preserve">discretionary income rate = </w:t>
      </w:r>
      <w:r w:rsidRPr="00AA6DFD">
        <w:rPr>
          <w:rFonts w:ascii="Courier New" w:hAnsi="Courier New" w:cs="Courier New"/>
          <w:sz w:val="24"/>
          <w:szCs w:val="24"/>
        </w:rPr>
        <w:tab/>
      </w:r>
      <w:r w:rsidRPr="00AA6DFD">
        <w:rPr>
          <w:rFonts w:ascii="Courier New" w:hAnsi="Courier New" w:cs="Courier New"/>
          <w:sz w:val="24"/>
          <w:szCs w:val="24"/>
          <w:u w:val="single"/>
        </w:rPr>
        <w:t>annual loan payment_</w:t>
      </w:r>
    </w:p>
    <w:p w14:paraId="36725591" w14:textId="77777777" w:rsidR="00BF10A3" w:rsidRPr="00AA6DFD" w:rsidRDefault="00BF10A3" w:rsidP="00BF10A3">
      <w:pPr>
        <w:spacing w:line="480" w:lineRule="auto"/>
        <w:contextualSpacing/>
        <w:rPr>
          <w:rFonts w:ascii="Courier New" w:hAnsi="Courier New" w:cs="Courier New"/>
          <w:sz w:val="24"/>
          <w:szCs w:val="24"/>
        </w:rPr>
      </w:pPr>
      <w:r w:rsidRPr="00AA6DFD">
        <w:rPr>
          <w:rFonts w:ascii="Courier New" w:hAnsi="Courier New" w:cs="Courier New"/>
          <w:sz w:val="24"/>
          <w:szCs w:val="24"/>
        </w:rPr>
        <w:t xml:space="preserve"> </w:t>
      </w:r>
      <w:r w:rsidRPr="00AA6DFD">
        <w:rPr>
          <w:rFonts w:ascii="Courier New" w:hAnsi="Courier New" w:cs="Courier New"/>
          <w:sz w:val="24"/>
          <w:szCs w:val="24"/>
        </w:rPr>
        <w:tab/>
      </w:r>
      <w:r w:rsidRPr="00AA6DFD">
        <w:rPr>
          <w:rFonts w:ascii="Courier New" w:hAnsi="Courier New" w:cs="Courier New"/>
          <w:sz w:val="24"/>
          <w:szCs w:val="24"/>
        </w:rPr>
        <w:tab/>
      </w:r>
      <w:r w:rsidRPr="00AA6DFD">
        <w:rPr>
          <w:rFonts w:ascii="Courier New" w:hAnsi="Courier New" w:cs="Courier New"/>
          <w:sz w:val="24"/>
          <w:szCs w:val="24"/>
        </w:rPr>
        <w:tab/>
      </w:r>
      <w:r w:rsidRPr="00AA6DFD">
        <w:rPr>
          <w:rFonts w:ascii="Courier New" w:hAnsi="Courier New" w:cs="Courier New"/>
          <w:sz w:val="24"/>
          <w:szCs w:val="24"/>
        </w:rPr>
        <w:tab/>
      </w:r>
      <w:r w:rsidRPr="00AA6DFD">
        <w:rPr>
          <w:rFonts w:ascii="Courier New" w:hAnsi="Courier New" w:cs="Courier New"/>
          <w:sz w:val="24"/>
          <w:szCs w:val="24"/>
        </w:rPr>
        <w:tab/>
      </w:r>
      <w:r w:rsidRPr="00AA6DFD">
        <w:rPr>
          <w:rFonts w:ascii="Courier New" w:hAnsi="Courier New" w:cs="Courier New"/>
          <w:sz w:val="24"/>
          <w:szCs w:val="24"/>
        </w:rPr>
        <w:tab/>
        <w:t>discretionary income</w:t>
      </w:r>
    </w:p>
    <w:p w14:paraId="5B49737E" w14:textId="77777777" w:rsidR="00BF10A3" w:rsidRPr="00AA6DFD" w:rsidRDefault="00BF10A3" w:rsidP="00BF10A3">
      <w:pPr>
        <w:spacing w:after="0"/>
        <w:rPr>
          <w:rFonts w:ascii="Courier New" w:hAnsi="Courier New" w:cs="Courier New"/>
          <w:sz w:val="24"/>
          <w:szCs w:val="24"/>
        </w:rPr>
      </w:pPr>
      <w:r w:rsidRPr="00AA6DFD">
        <w:rPr>
          <w:rFonts w:ascii="Courier New" w:hAnsi="Courier New" w:cs="Courier New"/>
          <w:sz w:val="24"/>
          <w:szCs w:val="24"/>
        </w:rPr>
        <w:t xml:space="preserve">annual earnings rate = </w:t>
      </w:r>
      <w:r w:rsidRPr="00AA6DFD">
        <w:rPr>
          <w:rFonts w:ascii="Courier New" w:hAnsi="Courier New" w:cs="Courier New"/>
          <w:sz w:val="24"/>
          <w:szCs w:val="24"/>
        </w:rPr>
        <w:tab/>
      </w:r>
      <w:r w:rsidRPr="00AA6DFD">
        <w:rPr>
          <w:rFonts w:ascii="Courier New" w:hAnsi="Courier New" w:cs="Courier New"/>
          <w:sz w:val="24"/>
          <w:szCs w:val="24"/>
        </w:rPr>
        <w:tab/>
      </w:r>
      <w:r w:rsidRPr="00AA6DFD">
        <w:rPr>
          <w:rFonts w:ascii="Courier New" w:hAnsi="Courier New" w:cs="Courier New"/>
          <w:sz w:val="24"/>
          <w:szCs w:val="24"/>
          <w:u w:val="single"/>
        </w:rPr>
        <w:t>annual loan payment</w:t>
      </w:r>
    </w:p>
    <w:p w14:paraId="2BE07E1E" w14:textId="77777777" w:rsidR="00BF10A3" w:rsidRPr="00AA6DFD" w:rsidRDefault="00BF10A3" w:rsidP="00BF10A3">
      <w:pPr>
        <w:spacing w:after="0"/>
        <w:ind w:left="810" w:firstLine="3510"/>
        <w:rPr>
          <w:rFonts w:ascii="Courier New" w:hAnsi="Courier New" w:cs="Courier New"/>
          <w:sz w:val="24"/>
          <w:szCs w:val="24"/>
        </w:rPr>
      </w:pPr>
      <w:r w:rsidRPr="00AA6DFD">
        <w:rPr>
          <w:rFonts w:ascii="Courier New" w:hAnsi="Courier New" w:cs="Courier New"/>
          <w:sz w:val="24"/>
          <w:szCs w:val="24"/>
        </w:rPr>
        <w:t>annual earnings</w:t>
      </w:r>
    </w:p>
    <w:p w14:paraId="5E531A77" w14:textId="77777777" w:rsidR="00BF10A3" w:rsidRPr="00AA6DFD" w:rsidRDefault="00BF10A3" w:rsidP="00BF10A3">
      <w:pPr>
        <w:tabs>
          <w:tab w:val="left" w:pos="0"/>
        </w:tabs>
        <w:spacing w:after="0" w:line="480" w:lineRule="auto"/>
        <w:ind w:left="360" w:hanging="360"/>
        <w:rPr>
          <w:rFonts w:ascii="Courier New" w:hAnsi="Courier New" w:cs="Courier New"/>
          <w:sz w:val="24"/>
          <w:szCs w:val="24"/>
        </w:rPr>
      </w:pPr>
      <w:r w:rsidRPr="00AA6DFD">
        <w:rPr>
          <w:rFonts w:ascii="Courier New" w:hAnsi="Courier New" w:cs="Courier New"/>
          <w:sz w:val="24"/>
          <w:szCs w:val="24"/>
        </w:rPr>
        <w:t xml:space="preserve">   </w:t>
      </w:r>
    </w:p>
    <w:p w14:paraId="352B31B4"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For the 2012 GE informational D/E rates, the annual earnings rates and discretionary income rates calculations are truncated two digits after the decimal place.</w:t>
      </w:r>
    </w:p>
    <w:p w14:paraId="551EA480"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ab/>
        <w:t xml:space="preserve">Although the Department calculated D/E rates for programs with an n-size of 10 or more, for the “Student demographics analysis of the final regulations” and “Impact Analysis of Final Regulations” sections of the RIA, the Department analyzed only those programs in the 2012 GE informational D/E rates data set with an n-size of 30 or more students who completed programs during the applicable two-year cohort period (FYs 2008-2009).  It is important to note that under the regulations, if less than 30 students completed a program during the two-year cohort period, a four-year cohort period will be applied.  If 30 or more students completed the program during the four-year cohort period, D/E rates will be calculated for that program.  The 2012 GE informational D/E rates data set does not apply the four-year cohort period “look back” provisions.     </w:t>
      </w:r>
    </w:p>
    <w:p w14:paraId="1399A1BD"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ab/>
        <w:t>A program’s annual loan payment is the median annual loan payment of the 08/09 D/E rates cohort and is calculated based on the cohort’s median total loan debt.</w:t>
      </w:r>
      <w:r w:rsidRPr="00AA6DFD">
        <w:rPr>
          <w:rStyle w:val="FootnoteReference"/>
          <w:rFonts w:ascii="Courier New" w:hAnsi="Courier New" w:cs="Courier New"/>
          <w:sz w:val="24"/>
          <w:szCs w:val="24"/>
        </w:rPr>
        <w:footnoteReference w:id="306"/>
      </w:r>
      <w:r w:rsidRPr="00AA6DFD">
        <w:rPr>
          <w:rFonts w:ascii="Courier New" w:hAnsi="Courier New" w:cs="Courier New"/>
          <w:sz w:val="24"/>
          <w:szCs w:val="24"/>
        </w:rPr>
        <w:t xml:space="preserve">   </w:t>
      </w:r>
    </w:p>
    <w:p w14:paraId="07DE7DF8" w14:textId="77777777" w:rsidR="00BF10A3" w:rsidRPr="00AA6DFD" w:rsidRDefault="00BF10A3" w:rsidP="00BF10A3">
      <w:pPr>
        <w:numPr>
          <w:ilvl w:val="0"/>
          <w:numId w:val="10"/>
        </w:numPr>
        <w:spacing w:after="0" w:line="480" w:lineRule="auto"/>
        <w:contextualSpacing/>
        <w:rPr>
          <w:rFonts w:ascii="Courier New" w:hAnsi="Courier New" w:cs="Courier New"/>
          <w:sz w:val="24"/>
          <w:szCs w:val="24"/>
        </w:rPr>
      </w:pPr>
      <w:r w:rsidRPr="00AA6DFD">
        <w:rPr>
          <w:rFonts w:ascii="Courier New" w:hAnsi="Courier New" w:cs="Courier New"/>
          <w:sz w:val="24"/>
          <w:szCs w:val="24"/>
        </w:rPr>
        <w:t>Each student’s total loan debt includes both FFEL and Direct Loans (except PLUS Loans made to parents or Direct Unsubsidized loans that were converted from TEACH Grants), private loans, and institutional loans that the student received for enrollment in the program.</w:t>
      </w:r>
      <w:r w:rsidRPr="00AA6DFD">
        <w:rPr>
          <w:rStyle w:val="FootnoteReference"/>
          <w:rFonts w:ascii="Courier New" w:hAnsi="Courier New" w:cs="Courier New"/>
          <w:sz w:val="24"/>
          <w:szCs w:val="24"/>
        </w:rPr>
        <w:footnoteReference w:id="307"/>
      </w:r>
      <w:r w:rsidRPr="00AA6DFD">
        <w:rPr>
          <w:rFonts w:ascii="Courier New" w:hAnsi="Courier New" w:cs="Courier New"/>
          <w:sz w:val="24"/>
          <w:szCs w:val="24"/>
        </w:rPr>
        <w:t xml:space="preserve">  </w:t>
      </w:r>
    </w:p>
    <w:p w14:paraId="7D93504F" w14:textId="77777777" w:rsidR="00BF10A3" w:rsidRPr="00AA6DFD" w:rsidRDefault="00BF10A3" w:rsidP="00BF10A3">
      <w:pPr>
        <w:numPr>
          <w:ilvl w:val="0"/>
          <w:numId w:val="10"/>
        </w:numPr>
        <w:spacing w:after="0" w:line="480" w:lineRule="auto"/>
        <w:contextualSpacing/>
        <w:rPr>
          <w:rFonts w:ascii="Courier New" w:hAnsi="Courier New" w:cs="Courier New"/>
          <w:sz w:val="24"/>
          <w:szCs w:val="24"/>
        </w:rPr>
      </w:pPr>
      <w:r w:rsidRPr="00AA6DFD">
        <w:rPr>
          <w:rFonts w:ascii="Courier New" w:hAnsi="Courier New" w:cs="Courier New"/>
          <w:sz w:val="24"/>
          <w:szCs w:val="24"/>
        </w:rPr>
        <w:t xml:space="preserve">In cases where a student completed multiple GE programs at the same institution, all loan debt is attributed to the highest credentialed program that the student completed and the student is not included in the calculation of D/E rates for the lower credentialed programs that the student completed.         </w:t>
      </w:r>
    </w:p>
    <w:p w14:paraId="177CCFE7" w14:textId="77777777" w:rsidR="00BF10A3" w:rsidRPr="00AA6DFD" w:rsidRDefault="00BF10A3" w:rsidP="00BF10A3">
      <w:pPr>
        <w:numPr>
          <w:ilvl w:val="0"/>
          <w:numId w:val="10"/>
        </w:numPr>
        <w:spacing w:after="0" w:line="480" w:lineRule="auto"/>
        <w:contextualSpacing/>
        <w:rPr>
          <w:rFonts w:ascii="Courier New" w:hAnsi="Courier New" w:cs="Courier New"/>
          <w:sz w:val="24"/>
          <w:szCs w:val="24"/>
        </w:rPr>
      </w:pPr>
      <w:r w:rsidRPr="00AA6DFD">
        <w:rPr>
          <w:rFonts w:ascii="Courier New" w:hAnsi="Courier New" w:cs="Courier New"/>
          <w:sz w:val="24"/>
          <w:szCs w:val="24"/>
        </w:rPr>
        <w:t>The total loan debt associated with each student is capped at an amount equivalent to the program’s tuition and fees</w:t>
      </w:r>
      <w:r w:rsidRPr="00AA6DFD">
        <w:rPr>
          <w:rStyle w:val="FootnoteReference"/>
          <w:rFonts w:ascii="Courier New" w:hAnsi="Courier New" w:cs="Courier New"/>
          <w:sz w:val="24"/>
          <w:szCs w:val="24"/>
        </w:rPr>
        <w:footnoteReference w:id="308"/>
      </w:r>
      <w:r w:rsidRPr="00AA6DFD">
        <w:rPr>
          <w:rFonts w:ascii="Courier New" w:hAnsi="Courier New" w:cs="Courier New"/>
          <w:sz w:val="24"/>
          <w:szCs w:val="24"/>
        </w:rPr>
        <w:t xml:space="preserve"> if:  (1) tuition and fees information for the student was provided by the institution, and (2) the amount of tuition and fees was less than the student’s total loan debt.  This tuition and fees cap was applied to approximately 15 percent of student records for the 08/09 2012 D/E rates cohort.    </w:t>
      </w:r>
    </w:p>
    <w:p w14:paraId="2A40854B" w14:textId="77777777" w:rsidR="00BF10A3" w:rsidRPr="00AA6DFD" w:rsidRDefault="00BF10A3" w:rsidP="00BF10A3">
      <w:pPr>
        <w:numPr>
          <w:ilvl w:val="0"/>
          <w:numId w:val="10"/>
        </w:numPr>
        <w:spacing w:after="0" w:line="480" w:lineRule="auto"/>
        <w:contextualSpacing/>
        <w:rPr>
          <w:rFonts w:ascii="Courier New" w:hAnsi="Courier New" w:cs="Courier New"/>
          <w:sz w:val="24"/>
          <w:szCs w:val="24"/>
        </w:rPr>
      </w:pPr>
      <w:r w:rsidRPr="00AA6DFD">
        <w:rPr>
          <w:rFonts w:ascii="Courier New" w:hAnsi="Courier New" w:cs="Courier New"/>
          <w:sz w:val="24"/>
          <w:szCs w:val="24"/>
        </w:rPr>
        <w:t>Excluded from the calculations are students whose loans were in military deferment or who were enrolled at an institution of higher education for any amount of time in the earnings calendar year, as defined below, or whose loans were discharged because of disability or death.</w:t>
      </w:r>
    </w:p>
    <w:p w14:paraId="084666D1"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The median annual loan payment for each program was derived from the median total loan debt by assuming an amortization period and annual interest rate based on the credential level of the program.</w:t>
      </w:r>
    </w:p>
    <w:p w14:paraId="0FE307DE" w14:textId="77777777" w:rsidR="00BF10A3" w:rsidRPr="00AA6DFD" w:rsidRDefault="00BF10A3" w:rsidP="00BF10A3">
      <w:pPr>
        <w:numPr>
          <w:ilvl w:val="0"/>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Amortization period:</w:t>
      </w:r>
    </w:p>
    <w:p w14:paraId="13B17C02"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10 years for undergraduate certificate, associate degree, and post-baccalaureate certificate programs;</w:t>
      </w:r>
      <w:r w:rsidRPr="00AA6DFD">
        <w:rPr>
          <w:rStyle w:val="FootnoteReference"/>
          <w:rFonts w:ascii="Courier New" w:hAnsi="Courier New" w:cs="Courier New"/>
          <w:sz w:val="24"/>
          <w:szCs w:val="24"/>
        </w:rPr>
        <w:footnoteReference w:id="309"/>
      </w:r>
      <w:r w:rsidRPr="00AA6DFD">
        <w:rPr>
          <w:rFonts w:ascii="Courier New" w:hAnsi="Courier New" w:cs="Courier New"/>
          <w:sz w:val="24"/>
          <w:szCs w:val="24"/>
        </w:rPr>
        <w:t xml:space="preserve"> </w:t>
      </w:r>
    </w:p>
    <w:p w14:paraId="1AEF2096"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15 years for bachelor’s and master’s degree programs;</w:t>
      </w:r>
    </w:p>
    <w:p w14:paraId="62C1D562"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20 years for doctoral and first professional degree programs.</w:t>
      </w:r>
      <w:r w:rsidRPr="00AA6DFD">
        <w:rPr>
          <w:rStyle w:val="FootnoteReference"/>
          <w:rFonts w:ascii="Courier New" w:hAnsi="Courier New" w:cs="Courier New"/>
          <w:sz w:val="24"/>
          <w:szCs w:val="24"/>
        </w:rPr>
        <w:footnoteReference w:id="310"/>
      </w:r>
      <w:r w:rsidRPr="00AA6DFD">
        <w:rPr>
          <w:rFonts w:ascii="Courier New" w:hAnsi="Courier New" w:cs="Courier New"/>
          <w:sz w:val="24"/>
          <w:szCs w:val="24"/>
        </w:rPr>
        <w:t xml:space="preserve"> </w:t>
      </w:r>
    </w:p>
    <w:p w14:paraId="412407F6" w14:textId="77777777" w:rsidR="00BF10A3" w:rsidRPr="00AA6DFD" w:rsidRDefault="00BF10A3" w:rsidP="00BF10A3">
      <w:pPr>
        <w:numPr>
          <w:ilvl w:val="0"/>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 xml:space="preserve">Interest rate:  </w:t>
      </w:r>
    </w:p>
    <w:p w14:paraId="1E524FC5"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6.8 percent for undergraduate certificate and associate degree programs;</w:t>
      </w:r>
    </w:p>
    <w:p w14:paraId="56CB0584"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6.8 percent for post-baccalaureate certificate and master’s degree programs;</w:t>
      </w:r>
    </w:p>
    <w:p w14:paraId="459F87B2"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5.42 percent for bachelor’s degree programs;</w:t>
      </w:r>
    </w:p>
    <w:p w14:paraId="1425A357" w14:textId="77777777" w:rsidR="00BF10A3" w:rsidRPr="00AA6DFD" w:rsidRDefault="00BF10A3" w:rsidP="00BF10A3">
      <w:pPr>
        <w:numPr>
          <w:ilvl w:val="1"/>
          <w:numId w:val="11"/>
        </w:numPr>
        <w:tabs>
          <w:tab w:val="left" w:pos="0"/>
        </w:tabs>
        <w:spacing w:after="0" w:line="480" w:lineRule="auto"/>
        <w:contextualSpacing/>
        <w:rPr>
          <w:rFonts w:ascii="Courier New" w:hAnsi="Courier New" w:cs="Courier New"/>
          <w:sz w:val="24"/>
          <w:szCs w:val="24"/>
        </w:rPr>
      </w:pPr>
      <w:r w:rsidRPr="00AA6DFD">
        <w:rPr>
          <w:rFonts w:ascii="Courier New" w:hAnsi="Courier New" w:cs="Courier New"/>
          <w:sz w:val="24"/>
          <w:szCs w:val="24"/>
        </w:rPr>
        <w:t>5.42 percent for doctoral and first professional programs.</w:t>
      </w:r>
    </w:p>
    <w:p w14:paraId="02F7F4C2"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ab/>
        <w:t>For undergraduate certificate, associate degree, post-baccalaureate certificate, and master’s degree programs, the rate is the average interest rate on Federal Direct Unsubsidized loans over the three years prior to the end of the applicable cohort period, in this case, the average rate over 2007-2009.  For bachelor’s degree, doctoral, and first professional programs, the rate is the average interest rate on Federal Direct Unsubsidized loans over the six years prior to the end of the applicable cohort period, in this case, the average rate over 2004-2009.  For undergraduate programs (certificate, associate degree, bachelor’s degree), the undergraduate Unsubsidized rate was applied, and for graduate programs (post-baccalaureate certificate, master’s, doctoral, first professional) the graduate rate was applied.</w:t>
      </w:r>
      <w:r w:rsidRPr="00AA6DFD">
        <w:rPr>
          <w:rStyle w:val="FootnoteReference"/>
          <w:rFonts w:ascii="Courier New" w:hAnsi="Courier New" w:cs="Courier New"/>
          <w:sz w:val="24"/>
          <w:szCs w:val="24"/>
        </w:rPr>
        <w:footnoteReference w:id="311"/>
      </w:r>
    </w:p>
    <w:p w14:paraId="7D757A22"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ab/>
        <w:t xml:space="preserve">The annual earnings for the annual earnings rate calculation is either the mean or median annual earnings, whichever is higher, of the 08/09 D/E rates cohort for the calendar year immediately prior to the fiscal year for which the D/E rates are calculated.  In this case, the D/E rates were calculated for the 2012 fiscal year.  Accordingly, annual earnings were obtained from the SSA for the 2011 calendar year.  Annual earnings include wages, salaries, tips, and self-employment income.  </w:t>
      </w:r>
    </w:p>
    <w:p w14:paraId="1EDB6B62" w14:textId="77777777" w:rsidR="00BF10A3" w:rsidRPr="00AA6DFD" w:rsidRDefault="00BF10A3" w:rsidP="00BF10A3">
      <w:pPr>
        <w:tabs>
          <w:tab w:val="left" w:pos="0"/>
        </w:tabs>
        <w:spacing w:after="0" w:line="480" w:lineRule="auto"/>
        <w:rPr>
          <w:rFonts w:ascii="Courier New" w:hAnsi="Courier New" w:cs="Courier New"/>
          <w:sz w:val="24"/>
          <w:szCs w:val="24"/>
        </w:rPr>
      </w:pPr>
      <w:r w:rsidRPr="00AA6DFD">
        <w:rPr>
          <w:rFonts w:ascii="Courier New" w:hAnsi="Courier New" w:cs="Courier New"/>
          <w:sz w:val="24"/>
          <w:szCs w:val="24"/>
        </w:rPr>
        <w:tab/>
        <w:t>For calculating the discretionary income rate, discretionary income is the amount of the program’s mean or median, whichever is applicable, annual earnings above 150 percent of the Federal Poverty Guideline for a single person in the continental United States (FPL) for the annual earnings calendar year, in this case 2011, as published by the U.S. Department of Health and Human Services.  The FPL for 2011 was $10,890.</w:t>
      </w:r>
      <w:r w:rsidRPr="00AA6DFD">
        <w:rPr>
          <w:rStyle w:val="FootnoteReference"/>
          <w:rFonts w:ascii="Courier New" w:hAnsi="Courier New" w:cs="Courier New"/>
          <w:sz w:val="24"/>
          <w:szCs w:val="24"/>
        </w:rPr>
        <w:footnoteReference w:id="312"/>
      </w:r>
      <w:r w:rsidRPr="00AA6DFD">
        <w:rPr>
          <w:rFonts w:ascii="Courier New" w:hAnsi="Courier New" w:cs="Courier New"/>
          <w:sz w:val="24"/>
          <w:szCs w:val="24"/>
        </w:rPr>
        <w:t xml:space="preserve"> </w:t>
      </w:r>
      <w:r w:rsidRPr="00AA6DFD">
        <w:rPr>
          <w:rStyle w:val="FootnoteReference"/>
          <w:rFonts w:ascii="Courier New" w:hAnsi="Courier New" w:cs="Courier New"/>
          <w:sz w:val="24"/>
          <w:szCs w:val="24"/>
        </w:rPr>
        <w:footnoteReference w:id="313"/>
      </w:r>
      <w:r w:rsidRPr="00AA6DFD">
        <w:rPr>
          <w:rFonts w:ascii="Courier New" w:hAnsi="Courier New" w:cs="Courier New"/>
          <w:sz w:val="24"/>
          <w:szCs w:val="24"/>
        </w:rPr>
        <w:t xml:space="preserve">   </w:t>
      </w:r>
    </w:p>
    <w:p w14:paraId="62B350C3" w14:textId="77777777" w:rsidR="00BF10A3" w:rsidRPr="00AA6DFD" w:rsidRDefault="00BF10A3" w:rsidP="00BF10A3">
      <w:pPr>
        <w:pStyle w:val="riaheader3"/>
      </w:pPr>
      <w:r w:rsidRPr="00AA6DFD">
        <w:t>Methodology for pCDR calculations</w:t>
      </w:r>
    </w:p>
    <w:p w14:paraId="142E3198" w14:textId="77777777" w:rsidR="00BF10A3" w:rsidRPr="00AA6DFD" w:rsidRDefault="00BF10A3" w:rsidP="00BF10A3">
      <w:pPr>
        <w:spacing w:after="0" w:line="240" w:lineRule="auto"/>
        <w:ind w:firstLine="720"/>
        <w:rPr>
          <w:rFonts w:ascii="Courier New" w:hAnsi="Courier New" w:cs="Courier New"/>
          <w:sz w:val="24"/>
          <w:szCs w:val="24"/>
        </w:rPr>
      </w:pPr>
    </w:p>
    <w:p w14:paraId="4B31452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Program cohort default rates (“pCDR”) measure the proportion of a program’s borrowers who enter repayment on their loans in a given fiscal year that default within the first three years of repayment.  The formula for pCDR is:</w:t>
      </w:r>
    </w:p>
    <w:p w14:paraId="3C368DBC" w14:textId="77777777" w:rsidR="00BF10A3" w:rsidRPr="00AA6DFD" w:rsidRDefault="00BF10A3" w:rsidP="00BF10A3">
      <w:pPr>
        <w:spacing w:after="0" w:line="240" w:lineRule="auto"/>
        <w:rPr>
          <w:rFonts w:ascii="Courier New" w:hAnsi="Courier New" w:cs="Courier New"/>
          <w:sz w:val="24"/>
          <w:szCs w:val="24"/>
        </w:rPr>
      </w:pPr>
    </w:p>
    <w:p w14:paraId="13E8315A"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 xml:space="preserve">pCDR =  </w:t>
      </w:r>
      <w:r w:rsidRPr="00AA6DFD">
        <w:rPr>
          <w:rFonts w:ascii="Courier New" w:hAnsi="Courier New" w:cs="Courier New"/>
          <w:sz w:val="24"/>
          <w:szCs w:val="24"/>
          <w:u w:val="single"/>
        </w:rPr>
        <w:t xml:space="preserve">borrowers whose loans are in default  </w:t>
      </w:r>
      <w:r w:rsidRPr="00AA6DFD">
        <w:rPr>
          <w:rFonts w:ascii="Courier New" w:hAnsi="Courier New" w:cs="Courier New"/>
          <w:sz w:val="24"/>
          <w:szCs w:val="24"/>
        </w:rPr>
        <w:t xml:space="preserve"> </w:t>
      </w:r>
    </w:p>
    <w:p w14:paraId="4DBA0B2F"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ab/>
        <w:t xml:space="preserve">  borrowers whose loans entered repayment</w:t>
      </w:r>
    </w:p>
    <w:p w14:paraId="754BDA78" w14:textId="77777777" w:rsidR="00BF10A3" w:rsidRPr="00AA6DFD" w:rsidRDefault="00BF10A3" w:rsidP="00BF10A3">
      <w:pPr>
        <w:spacing w:after="0" w:line="480" w:lineRule="auto"/>
        <w:rPr>
          <w:rFonts w:ascii="Courier New" w:hAnsi="Courier New" w:cs="Courier New"/>
          <w:sz w:val="24"/>
          <w:szCs w:val="24"/>
        </w:rPr>
      </w:pPr>
    </w:p>
    <w:p w14:paraId="7A0929F9"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The pCDR calculations are truncated to two-digits after the decimal point.</w:t>
      </w:r>
    </w:p>
    <w:p w14:paraId="4C9C236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Generally, we analyzed pCDR only for those programs with a minimum n-size of 30 or more borrowers whose FFEL and Direct Loans for enrollment in the program entered repayment between October 1, 2008 and September 30, 2009 (FY 2009).  However, if fewer than 30 students entered repayment during that fiscal year, we also included borrowers who entered repayment over the previous two fiscal years, October 1, 2006 to September 30, 2008 (FYs 2007 and 2008).  If a program still did not reach 30 borrowers entering repayment, then a pCDR was not calculated.  Of the 5,539 programs in the 2012 informational D/E rates data, 4,420 met the pCDR n-size requirements.</w:t>
      </w:r>
      <w:r w:rsidRPr="00AA6DFD">
        <w:rPr>
          <w:rStyle w:val="FootnoteReference"/>
          <w:rFonts w:ascii="Courier New" w:hAnsi="Courier New"/>
          <w:sz w:val="24"/>
          <w:szCs w:val="24"/>
        </w:rPr>
        <w:footnoteReference w:id="314"/>
      </w:r>
      <w:r w:rsidRPr="00AA6DFD">
        <w:rPr>
          <w:rFonts w:ascii="Courier New" w:hAnsi="Courier New" w:cs="Courier New"/>
          <w:sz w:val="24"/>
          <w:szCs w:val="24"/>
        </w:rPr>
        <w:t xml:space="preserve">  We refer to the pCDR data as the “2012 GE informational pCDRs.”</w:t>
      </w:r>
    </w:p>
    <w:p w14:paraId="1D0605B3"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 xml:space="preserve">For the 2012 GE informational pCDRs, the denominator of the calculation is the number of borrowers whose loans entered repayment on their FFEL or Direct Loans in FY 2009, or if applicable, in FYs 2007-2009.  The numerator of the calculation is the number of those borrowers who defaulted on FFEL or Direct Loans on or before September 30, 2011 (or if applicable, on or before September 30, 2009 and September 30, 2010 for borrowers entering repayment in FYs 2007 and 2008 respectively). </w:t>
      </w:r>
    </w:p>
    <w:p w14:paraId="0B15661E" w14:textId="77777777" w:rsidR="00BF10A3" w:rsidRPr="00AA6DFD" w:rsidRDefault="00BF10A3" w:rsidP="00BF10A3">
      <w:pPr>
        <w:pStyle w:val="riaheader3"/>
      </w:pPr>
      <w:r w:rsidRPr="00AA6DFD">
        <w:t xml:space="preserve">Methodology for repayment rate calculations  </w:t>
      </w:r>
    </w:p>
    <w:p w14:paraId="4EFB4851" w14:textId="77777777" w:rsidR="00BF10A3" w:rsidRPr="00AA6DFD" w:rsidRDefault="00BF10A3" w:rsidP="00BF10A3">
      <w:pPr>
        <w:spacing w:after="0" w:line="240" w:lineRule="auto"/>
        <w:ind w:firstLine="720"/>
        <w:rPr>
          <w:rFonts w:ascii="Courier New" w:hAnsi="Courier New" w:cs="Courier New"/>
          <w:sz w:val="24"/>
          <w:szCs w:val="24"/>
        </w:rPr>
      </w:pPr>
    </w:p>
    <w:p w14:paraId="191226D7" w14:textId="77777777" w:rsidR="00BF10A3" w:rsidRPr="00AA6DFD" w:rsidRDefault="00BF10A3" w:rsidP="00BF10A3">
      <w:pPr>
        <w:spacing w:after="120" w:line="480" w:lineRule="auto"/>
        <w:ind w:firstLine="720"/>
        <w:rPr>
          <w:rFonts w:ascii="Courier New" w:hAnsi="Courier New" w:cs="Courier New"/>
          <w:sz w:val="24"/>
          <w:szCs w:val="24"/>
        </w:rPr>
      </w:pPr>
      <w:r w:rsidRPr="00AA6DFD">
        <w:rPr>
          <w:rFonts w:ascii="Courier New" w:hAnsi="Courier New" w:cs="Courier New"/>
          <w:sz w:val="24"/>
          <w:szCs w:val="24"/>
        </w:rPr>
        <w:t>Repayment rates measure the proportion of a program’s borrowers who enter repayment on their loans in a given fiscal year that paid one dollar of principal in their third year of repayment. We refer to the repayment rate data as the 2011 GE informational repayment rates.  The formula for repayment rate is:</w:t>
      </w:r>
      <w:r w:rsidRPr="00AA6DFD" w:rsidDel="00FC0477">
        <w:rPr>
          <w:rFonts w:ascii="Courier New" w:hAnsi="Courier New" w:cs="Courier New"/>
          <w:sz w:val="24"/>
          <w:szCs w:val="24"/>
        </w:rPr>
        <w:t xml:space="preserve"> </w:t>
      </w:r>
    </w:p>
    <w:p w14:paraId="6868D0A8" w14:textId="77777777" w:rsidR="00BF10A3" w:rsidRPr="00AA6DFD" w:rsidRDefault="00BF10A3" w:rsidP="00BF10A3">
      <w:pPr>
        <w:spacing w:after="0" w:line="360" w:lineRule="auto"/>
        <w:rPr>
          <w:rFonts w:ascii="Courier New" w:hAnsi="Courier New" w:cs="Courier New"/>
          <w:sz w:val="24"/>
          <w:szCs w:val="24"/>
        </w:rPr>
      </w:pPr>
      <w:r w:rsidRPr="00AA6DFD">
        <w:rPr>
          <w:rFonts w:ascii="Courier New" w:hAnsi="Courier New" w:cs="Courier New"/>
          <w:sz w:val="24"/>
          <w:szCs w:val="24"/>
        </w:rPr>
        <w:t xml:space="preserve">RR=  </w:t>
      </w:r>
      <w:r w:rsidRPr="00AA6DFD">
        <w:rPr>
          <w:rFonts w:ascii="Courier New" w:hAnsi="Courier New" w:cs="Courier New"/>
          <w:sz w:val="24"/>
          <w:szCs w:val="24"/>
          <w:u w:val="single"/>
        </w:rPr>
        <w:t xml:space="preserve">loans paid in full + loans in active repayment            </w:t>
      </w:r>
    </w:p>
    <w:p w14:paraId="1819B2F9" w14:textId="77777777" w:rsidR="00BF10A3" w:rsidRPr="00AA6DFD" w:rsidRDefault="00BF10A3" w:rsidP="00BF10A3">
      <w:pPr>
        <w:spacing w:after="0" w:line="360" w:lineRule="auto"/>
        <w:ind w:left="1440" w:firstLine="720"/>
        <w:rPr>
          <w:rFonts w:ascii="Courier New" w:hAnsi="Courier New" w:cs="Courier New"/>
          <w:sz w:val="24"/>
          <w:szCs w:val="24"/>
        </w:rPr>
      </w:pPr>
      <w:r w:rsidRPr="00AA6DFD">
        <w:rPr>
          <w:rFonts w:ascii="Courier New" w:hAnsi="Courier New" w:cs="Courier New"/>
          <w:sz w:val="24"/>
          <w:szCs w:val="24"/>
        </w:rPr>
        <w:t>original outstanding principal balance</w:t>
      </w:r>
    </w:p>
    <w:p w14:paraId="2CF3AA30" w14:textId="77777777" w:rsidR="00BF10A3" w:rsidRPr="00AA6DFD" w:rsidRDefault="00BF10A3" w:rsidP="00BF10A3">
      <w:pPr>
        <w:spacing w:after="0" w:line="360" w:lineRule="auto"/>
        <w:ind w:left="1440" w:firstLine="720"/>
        <w:rPr>
          <w:rFonts w:ascii="Courier New" w:hAnsi="Courier New" w:cs="Courier New"/>
          <w:sz w:val="24"/>
          <w:szCs w:val="24"/>
        </w:rPr>
      </w:pPr>
    </w:p>
    <w:p w14:paraId="1AD4C1F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Repayment rates were calculated by program for students who entered repayment on FFEL or Direct Loans received for enrollment in the program between October 1, 2006 and September 30, 2008 (FYs 2007 and 2008).  We refer to these data as the “2011 GE informational repayment rates.”  </w:t>
      </w:r>
    </w:p>
    <w:p w14:paraId="6F21E1F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For the 2011 GE informational repayment rates, the denominator of the calculation is the total original outstanding principal balance of FFEL and Direct Loans for borrowers who entered repayment in FYs 2007 and 2008.  The numerator of the calculation is the total original outstanding principal balance of FFEL and Direct Loans for borrowers who entered repayment in FYs 2007 and 2008 on loans that have never been in default and that are fully paid </w:t>
      </w:r>
      <w:r w:rsidRPr="00AA6DFD">
        <w:rPr>
          <w:rFonts w:ascii="Courier New" w:hAnsi="Courier New" w:cs="Courier New"/>
          <w:i/>
          <w:sz w:val="24"/>
          <w:szCs w:val="24"/>
        </w:rPr>
        <w:t xml:space="preserve">plus </w:t>
      </w:r>
      <w:r w:rsidRPr="00AA6DFD">
        <w:rPr>
          <w:rFonts w:ascii="Courier New" w:hAnsi="Courier New" w:cs="Courier New"/>
          <w:sz w:val="24"/>
          <w:szCs w:val="24"/>
        </w:rPr>
        <w:t xml:space="preserve">the total original outstanding principal balance of FFEL and Direct Loans for borrowers who entered repayment in FYs 2007 and 2008 on loans that have never been in default and, for the period between October 1, 2010 and September 30, 2011 (FY 2011), whose balance was lower by at least one dollar at the end of the period than at the beginning.  To account for negative amortization loans where borrowers could have been making full payments but still not paying down a dollar of principal, 3 percent of the original outstanding principal balance in the denominator was added to the numerator.  </w:t>
      </w:r>
    </w:p>
    <w:p w14:paraId="01E7AF22" w14:textId="77777777" w:rsidR="00BF10A3" w:rsidRPr="00AA6DFD" w:rsidRDefault="00BF10A3" w:rsidP="00BF10A3">
      <w:pPr>
        <w:pStyle w:val="riaheader2"/>
      </w:pPr>
      <w:r w:rsidRPr="00AA6DFD">
        <w:t xml:space="preserve">Student Demographics Analysis </w:t>
      </w:r>
    </w:p>
    <w:p w14:paraId="3036675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the 2014 NPRM, the Department provided the results of several regression analyses examining the relationship between demographic factors and program results under the D/E rates and pCDR measures.  Several commenters cited to analysis by Charles River Associates and the Parthenon Group arguing that the Department provided insufficient detail regarding the methodology, data sources and data cleaning process, and types of regression models and variables it used for the regression analysis.  These commenters also asserted that the Department should have reported more results than the R-squared statistics.  Specifically, they contended that the Department should have provided the point-estimates and T-statistics.  Although we believe that we sufficiently explained our analysis in the NPRM, we restate our analysis in greater detail here.  We then provide the results of the Department’s student demographic analysis of the final regulations.  </w:t>
      </w:r>
    </w:p>
    <w:p w14:paraId="32286DF3" w14:textId="77777777" w:rsidR="00BF10A3" w:rsidRPr="00B53B21" w:rsidRDefault="00BF10A3" w:rsidP="00BF10A3">
      <w:pPr>
        <w:pStyle w:val="riaheader3"/>
      </w:pPr>
      <w:r w:rsidRPr="00B53B21">
        <w:t>Explanation of terms</w:t>
      </w:r>
    </w:p>
    <w:p w14:paraId="540EC3DD" w14:textId="77777777" w:rsidR="00BF10A3" w:rsidRPr="00AA6DFD" w:rsidRDefault="00BF10A3" w:rsidP="00BF10A3">
      <w:pPr>
        <w:spacing w:after="0" w:line="240" w:lineRule="auto"/>
        <w:ind w:firstLine="720"/>
        <w:rPr>
          <w:rFonts w:ascii="Courier New" w:hAnsi="Courier New" w:cs="Courier New"/>
          <w:sz w:val="24"/>
          <w:szCs w:val="24"/>
        </w:rPr>
      </w:pPr>
    </w:p>
    <w:p w14:paraId="557CE52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 regression analysis is a statistical method that can be used to measure relationships between variables.  The demographic variables we analyze, provided below, are referred to as “independent” variables because they represent the potential inputs or causes of outcomes.  The annual earnings rate and pCDR measures are referred to as “dependent” variables because they are the variables on which the effect of the independent variables are examined.</w:t>
      </w:r>
    </w:p>
    <w:p w14:paraId="336FEA4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output of a regression analysis contains several relevant points of information.  The “coefficient,” also known as the point estimate, for each independent variable is the average amount that a dependent variable, in this case the annual earnings rate and pCDR, is expected to change with a one unit change in the associated independent variable, holding all other independent variables constant.  The “T-statistic” is the ratio of the coefficient to its standard error.  The T-statistic is commonly used to determine whether the relationship between the independent and dependent variables is “statistically significant.”  The “R-squared” is the fraction of the variance of the dependent variable that is explained by the independent variables.</w:t>
      </w:r>
    </w:p>
    <w:p w14:paraId="677B68DA" w14:textId="77777777" w:rsidR="00BF10A3" w:rsidRPr="00B53B21" w:rsidRDefault="00BF10A3" w:rsidP="00BF10A3">
      <w:pPr>
        <w:pStyle w:val="riaheader2"/>
      </w:pPr>
      <w:r w:rsidRPr="00B53B21">
        <w:t xml:space="preserve">Student demographics analysis of 2014 NPRM  </w:t>
      </w:r>
    </w:p>
    <w:p w14:paraId="047262D8" w14:textId="77777777" w:rsidR="00BF10A3" w:rsidRPr="00B53B21" w:rsidRDefault="00BF10A3" w:rsidP="00BF10A3">
      <w:pPr>
        <w:pStyle w:val="riaheader3"/>
      </w:pPr>
      <w:r w:rsidRPr="00B53B21">
        <w:t xml:space="preserve">Methodology for student demographics analysis of 2014 NPRM   </w:t>
      </w:r>
    </w:p>
    <w:p w14:paraId="33469E4F" w14:textId="77777777" w:rsidR="00BF10A3" w:rsidRPr="00AA6DFD" w:rsidRDefault="00BF10A3" w:rsidP="00BF10A3">
      <w:pPr>
        <w:spacing w:after="0" w:line="240" w:lineRule="auto"/>
        <w:ind w:firstLine="720"/>
        <w:rPr>
          <w:rFonts w:ascii="Courier New" w:hAnsi="Courier New" w:cs="Courier New"/>
          <w:sz w:val="24"/>
          <w:szCs w:val="24"/>
        </w:rPr>
      </w:pPr>
    </w:p>
    <w:p w14:paraId="37340C2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In the 2014 NPRM, the Department examined the association between demographic factors (independent variables) and the annual earnings rate and, separately, the pCDR measure (dependent variables).  The Department did not conduct a regression analysis for the discretionary income rate because the discretionary income rate is simply a linear transformation of the annual earnings rate.  As a result, the relationships that demographic factors have with the annual earnings rate will be broadly similar to those with the discretionary income rate.</w:t>
      </w:r>
    </w:p>
    <w:p w14:paraId="62C1EFC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For the NPRM, we used an ordinary least squares regression (robust standard errors), a common methodology that is used to model the relationship between a dependent variable and one or more independent variables by fitting a linear equation to observed data.  One commenter argued that a Tobit regression would be more appropriate but, based on the commenter’s own analysis, acknowledged that both approaches lead to similar results.  Because the ordinary least squares regression model is widely used, easily understood, and would not yield substantially different results, we have not changed our methodology for the student demographics analysis of the final regulations.</w:t>
      </w:r>
    </w:p>
    <w:p w14:paraId="4518A26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first set of analysis we conducted examined the association of socioeconomic background and race and ethnicity with program outcomes.  In performing these analyses, the Department used 2012 GE informational rate data, NSLDS data, and data reported by institutions to the Integrated Post-Secondary Education Data System (IPEDS). </w:t>
      </w:r>
    </w:p>
    <w:p w14:paraId="5D1BF01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Department chose to use the proportion of title IV students enrolled in programs who were Pell Grant recipients (percent Pell) as a proxy for the average socioeconomic background of the students in GE programs because household income is the primary determinant of whether students qualify for Pell Grants.  For both the annual earnings rate analysis and pCDR analysis, the proportion of Pell Grant recipients in each program was drawn from NSLDS.  The percent Pell variable was determined by calculating the percentage of programs’ students who entered repayment on title IV, HEA program loans between October 1, 2007 and September 30, 2009, who also received a Pell Grant for attendance at the programs’ respective institutions between July 1, 2004 and July 30, 2009.  The Department chose this five-year timeframe so that students who may have received a Pell Grant for a prior course of study but were no longer in economic hardship when they enrolled in the program being analyzed would not be assigned low socioeconomic status.  We determined percent Pell for 4,938 of the 5,539 programs in the 2012 GE informational D/E rates data.  We were unable to determine the percent Pell for all programs in the annual earnings rate regression analysis because some programs with a sufficient number of students who completed the program (30) between October 1, 2007 and September 30, 2009, to calculate D/E rates did not have any students entering repayment on title IV, HEA program loans during that period.  For the pCDR regression analysis, we determined percent Pell for all programs in the 2012 GE informational pCDR data.</w:t>
      </w:r>
    </w:p>
    <w:p w14:paraId="13D74B1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Because the Department does not collect race or ethnicity information from individual students receiving title IV, HEA program funds, we used data from IPEDs to estimate the proportion of minority students in programs (percent minority).  The estimates for percentage of minority students in programs were derived differently for the annual earnings rate analysis and the pCDR analysis.  </w:t>
      </w:r>
    </w:p>
    <w:p w14:paraId="4567D6C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For the annual earnings rate analysis,</w:t>
      </w:r>
      <w:r w:rsidRPr="00AA6DFD" w:rsidDel="00045BC0">
        <w:rPr>
          <w:rFonts w:ascii="Courier New" w:hAnsi="Courier New" w:cs="Courier New"/>
          <w:sz w:val="24"/>
          <w:szCs w:val="24"/>
        </w:rPr>
        <w:t xml:space="preserve"> </w:t>
      </w:r>
      <w:r w:rsidRPr="00AA6DFD">
        <w:rPr>
          <w:rFonts w:ascii="Courier New" w:hAnsi="Courier New" w:cs="Courier New"/>
          <w:sz w:val="24"/>
          <w:szCs w:val="24"/>
        </w:rPr>
        <w:t>we used the proportion of minority individuals who completed GE programs as reported in IPEDS 2008.  For the purpose of this analysis, the term “minority” refers to individuals from American Indian or Alaska Native (Indian), Black or African American (Black), Hispanic or Latino/Hispanic (Hispanic), backgrounds, race and ethnicity groups that have historically been and continue to be underrepresented in higher education.  For the annual earnings rate regression analysis, we determined percent minority for 3,886 of the 5,539 programs in the 2012 GE informational D/E rates data set.  The remaining programs were excluded in the annual earnings rate regression.  Many programs could not be matched primarily because IPEDS and NSLDS use different reporting mechanisms.   For example, IPEDS and NSLDS use different unit identifiers for institutions. In addition, in reporting to the two systems, different CIPs are sometimes used.  As a result, using IPEDS data for percent minority restricts the data set and provides at best an approximation of the racial and ethnic makeup of each program.</w:t>
      </w:r>
    </w:p>
    <w:p w14:paraId="3BA7064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One commenter provided their own analysis using IPEDS data and argued that IPEDS data requires cleaning and manipulation.  This commenter adjusted the IPEDS data for instances where the race and ethnicity categories do not add up to 100 percent, removed Puerto Rican programs from the sample, converted 2000 CIP codes to 2010 CIP codes, and aggregated branch programs reported in IPEDS to the GE program level.  In the NPRM analysis, the Department converted IPEDS credential levels to GE credential levels and IPEDS OPEIDs</w:t>
      </w:r>
      <w:r w:rsidRPr="00B53B21">
        <w:rPr>
          <w:rStyle w:val="FootnoteReference"/>
          <w:rFonts w:ascii="Courier New" w:hAnsi="Courier New"/>
          <w:sz w:val="24"/>
        </w:rPr>
        <w:footnoteReference w:id="315"/>
      </w:r>
      <w:r w:rsidRPr="00B53B21">
        <w:rPr>
          <w:rFonts w:ascii="Courier New" w:hAnsi="Courier New"/>
          <w:sz w:val="24"/>
        </w:rPr>
        <w:t xml:space="preserve"> </w:t>
      </w:r>
      <w:r w:rsidRPr="00AA6DFD">
        <w:rPr>
          <w:rFonts w:ascii="Courier New" w:hAnsi="Courier New" w:cs="Courier New"/>
          <w:sz w:val="24"/>
          <w:szCs w:val="24"/>
        </w:rPr>
        <w:t xml:space="preserve"> to six-digit OPEIDs and then aggregated the number of individuals who completed to the GE program level defined by unique combinations of six-digit OPEID, CIP code, and credential level in order to match IPEDS</w:t>
      </w:r>
      <w:r w:rsidRPr="00AA6DFD" w:rsidDel="008C6B3E">
        <w:rPr>
          <w:rFonts w:ascii="Courier New" w:hAnsi="Courier New" w:cs="Courier New"/>
          <w:sz w:val="24"/>
          <w:szCs w:val="24"/>
        </w:rPr>
        <w:t xml:space="preserve"> </w:t>
      </w:r>
      <w:r w:rsidRPr="00AA6DFD">
        <w:rPr>
          <w:rFonts w:ascii="Courier New" w:hAnsi="Courier New" w:cs="Courier New"/>
          <w:sz w:val="24"/>
          <w:szCs w:val="24"/>
        </w:rPr>
        <w:t>data to GE data.  We did not adjust CIP codes or remove specific programs.  Since then, the Department re-ran the analysis with all CIP codes converted to 2010 CIP codes, but results were not materially different.  One commenter asserted that the proportion of individuals across categories of race and ethnicity may not add up to 100 percent for every program as a result of reporting errors to IPEDS.</w:t>
      </w:r>
      <w:r w:rsidRPr="00AA6DFD">
        <w:rPr>
          <w:rStyle w:val="FootnoteReference"/>
          <w:rFonts w:ascii="Courier New" w:hAnsi="Courier New"/>
          <w:sz w:val="24"/>
          <w:szCs w:val="24"/>
        </w:rPr>
        <w:footnoteReference w:id="316"/>
      </w:r>
      <w:r w:rsidRPr="00AA6DFD">
        <w:rPr>
          <w:rFonts w:ascii="Courier New" w:hAnsi="Courier New" w:cs="Courier New"/>
          <w:sz w:val="24"/>
          <w:szCs w:val="24"/>
        </w:rPr>
        <w:t xml:space="preserve">  However, the Department confirmed that the proportion of students in all race and ethnicity categories totaled to 100 percent of the total completions for each program in IPEDS.  We do not agree that certain programs, such as Puerto Rican programs, should be removed as all programs under the regulation are relevant for the student demographics analysis.  </w:t>
      </w:r>
    </w:p>
    <w:p w14:paraId="11A7B86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As noted above, the sample size was limited for the percent Pell and minority variables.  We determined percent minority for 3,886 and percent Pell for 4,938 of the 5,539 programs in the 2012 GE informational D/E rates data set .  The resulting sample size of programs for which we determined both variables was 3,455.  This may have biased the sample because the average annual earnings rate was 6.2 percent (standard deviation=4.7 percent) compared to an average annual earnings rate of 4.2 percent (standard deviation=4.6 percent) for the sample that did not have corresponding demographic data.</w:t>
      </w:r>
    </w:p>
    <w:p w14:paraId="6A5A9B5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For the pCDR measure analysis, we used institution-level fall 2007 IPEDs data as a proxy for program-level percentages of minority students.  Since the pCDR measure includes both students who do and who do not complete a program, there was no direct way in the data the Department had available to fully measure the race or ethnicity of students in the pCDR cohorts.  The Department elected not to use the IPEDS program-level race or ethnicity data for individuals who completed a program because the race or ethnicity of students who completed a given GE program might differ substantially from the race or ethnicity of students who did not complete. </w:t>
      </w:r>
    </w:p>
    <w:p w14:paraId="31053FF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One commenter asserted that the use of institution-level data was not an appropriate methodology for this type of analysis.  We acknowledge that institution-level data does not perfectly measure program-level demographic characteristics; however, there was no better source of data to approximate, at the program level, the percentage of minority students who both complete and  do not complete a program.  </w:t>
      </w:r>
    </w:p>
    <w:p w14:paraId="3174339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While the first set of regression models in the NPRM analyzed the simple relationships between socioeconomic status and race or ethnicity and outcomes, the second set of regression models in the NPRM examined the effects of a broader range of characteristics on outcomes by controlling for the following additional independent variables:</w:t>
      </w:r>
    </w:p>
    <w:p w14:paraId="51EBCC32"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Institution Sector and Type: Public &lt; 2 years, Public 2-3 years, Public 4+ years, Private &lt; 2 years, Private 2-3 years, Private 4+ years, For-Profit &lt; 2 years, For-Profit 2-3 years, For-Profit 4+ years.</w:t>
      </w:r>
    </w:p>
    <w:p w14:paraId="5E0577AC"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Credential Level: (01) Undergraduate certificate, (02) Associate degree, (03) Bachelor’s degree, (04) Post-Baccalaureate certificate, (05) Master’s degree, (06) Doctoral degree, (07) First Professional degree.</w:t>
      </w:r>
    </w:p>
    <w:p w14:paraId="12CCF5B4"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Percentage of students that were:</w:t>
      </w:r>
      <w:r w:rsidRPr="00AA6DFD">
        <w:rPr>
          <w:rFonts w:ascii="Courier New" w:hAnsi="Courier New" w:cs="Courier New"/>
          <w:sz w:val="24"/>
          <w:szCs w:val="24"/>
        </w:rPr>
        <w:tab/>
      </w:r>
    </w:p>
    <w:p w14:paraId="5BFAA34D"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 xml:space="preserve">Female. </w:t>
      </w:r>
    </w:p>
    <w:p w14:paraId="3957A18E"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Over the age of 24.  We considered age over 24 as an indicator of nontraditional students because most traditional students begin their academic careers at an earlier age.</w:t>
      </w:r>
    </w:p>
    <w:p w14:paraId="71DDA398"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 xml:space="preserve">Had a zero estimated family contribution (EFC).  We consider zero EFC status as an indicator of socioeconomic status because EFC is calculated based on household income.  </w:t>
      </w:r>
    </w:p>
    <w:p w14:paraId="5ED9E45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percent female, above age 24, and zero EFC for each program was determined using 2008 demographic profile data in NSLDS on students who entered repayment on title IV, HEA loans between October 1, 2007 and September 30, 2009.  Some students who entered repayment in this time period did not have a 2008 demographic profile, so not all programs in the 2012 GE informational D/E rates and pCDR data sets had corresponding demographic data.  Further, we were unable to determine the percent female, above age 24, and zero EFC for all programs in the annual earnings rate regression analysis because some programs with a sufficient number of students who completed the program (30) between October 1, 2007 and September 30, 2009, to calculate D/E rates did not have any students entering repayment on title IV, HEA program loans during that period.  For the annual earnings rate regression analysis, we determined percent female, above age 24, and zero EFC for 4,687 of the 5,539 programs in the 2012 GE informational D/E rates data set.  The resulting sample size of programs for which we determined all of the variables was 3,282.  This may have biased the sample because the average annual earnings rate of these programs was 6.6 percent (standard deviation=4.7 percent) compared to an average annual earnings rate of 3.9 percent (standard deviation=4.6 percent) for the sample that did not have corresponding demographic data.</w:t>
      </w:r>
    </w:p>
    <w:p w14:paraId="6819F3FC" w14:textId="77777777" w:rsidR="00BF10A3" w:rsidRPr="00AA6DFD" w:rsidRDefault="00BF10A3" w:rsidP="00BF10A3">
      <w:pPr>
        <w:spacing w:after="0" w:line="480" w:lineRule="auto"/>
        <w:ind w:firstLine="720"/>
      </w:pPr>
      <w:r w:rsidRPr="00AA6DFD">
        <w:rPr>
          <w:rFonts w:ascii="Courier New" w:hAnsi="Courier New" w:cs="Courier New"/>
          <w:sz w:val="24"/>
          <w:szCs w:val="24"/>
        </w:rPr>
        <w:t>One commenter asserted that more variables should have been used in the regression, specifically enrollment status, average amount of title IV, HEA program funds received, and credential level</w:t>
      </w:r>
      <w:r w:rsidRPr="00C43A29">
        <w:rPr>
          <w:rFonts w:ascii="Courier New" w:hAnsi="Courier New"/>
          <w:sz w:val="24"/>
        </w:rPr>
        <w:t xml:space="preserve">.  The commenter asserted that average amount of title IV, HEA program funds received is a better proxy of income than percent Pell because it provides detail on income level.  </w:t>
      </w:r>
      <w:r w:rsidRPr="00AA6DFD">
        <w:rPr>
          <w:rFonts w:ascii="Courier New" w:hAnsi="Courier New" w:cs="Courier New"/>
          <w:sz w:val="24"/>
          <w:szCs w:val="24"/>
        </w:rPr>
        <w:t>.  Although credential level was not identified as a variable in the description of the NPRM regression analysis, it was among the variables included in the second set of regression models in the NPRM</w:t>
      </w:r>
      <w:r w:rsidRPr="00C43A29">
        <w:rPr>
          <w:rFonts w:ascii="Courier New" w:hAnsi="Courier New"/>
          <w:sz w:val="24"/>
        </w:rPr>
        <w:t>.  We did not include amount of title IV, HEA program funds received as a variable, however, because it is sensitive to cost of attendance and other factors.  Finally, we did not include enrollment status because we were more accurately able to determine at the program level age above 24, which, like enrollment status, is also a proxy for nontraditional students</w:t>
      </w:r>
      <w:r w:rsidRPr="00AA6DFD">
        <w:rPr>
          <w:rFonts w:ascii="Courier New" w:hAnsi="Courier New" w:cs="Courier New"/>
          <w:sz w:val="24"/>
          <w:szCs w:val="24"/>
        </w:rPr>
        <w:t xml:space="preserve">. </w:t>
      </w:r>
    </w:p>
    <w:p w14:paraId="46B1F99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One commenter argued that the sample of programs for the student demographics analysis was not large enough because it was limited to only programs in the 2012 GE informational D/E rates and pCDR data sets.  As evidence of this, the commenter asserted that the top four program categories (health, business, computer/information science, and personal and culinary services) comprise 50 percent of the overall universe but 70 percent of the sample.  We believe it is appropriate to analyze only those programs that our data estimates will be assessed under the regulations.  Further, we do not believe the sample size is too small as there is significant variation within the sample of programs we analyzed.  For example, percent Pell of the programs analyzed ranges from zero to 100 percent with a standard deviation of 25 percent (mean = 65 percent).  The percent minority of the programs analyzed also ranges from zero to 100 percent with a standard deviation of 31 percent (mean = 36 percent).</w:t>
      </w:r>
    </w:p>
    <w:p w14:paraId="34C0F70A" w14:textId="77777777" w:rsidR="00BF10A3" w:rsidRPr="00AA6DFD" w:rsidRDefault="00BF10A3" w:rsidP="00BF10A3">
      <w:pPr>
        <w:pStyle w:val="riaheader3"/>
      </w:pPr>
      <w:r w:rsidRPr="00AA6DFD">
        <w:t>Results of student demographics analysis of 2014 NPRM</w:t>
      </w:r>
    </w:p>
    <w:p w14:paraId="69D204A9" w14:textId="77777777" w:rsidR="00BF10A3" w:rsidRPr="00AA6DFD" w:rsidRDefault="00BF10A3" w:rsidP="00BF10A3">
      <w:pPr>
        <w:spacing w:after="0" w:line="240" w:lineRule="auto"/>
        <w:ind w:firstLine="720"/>
        <w:rPr>
          <w:rFonts w:ascii="Courier New" w:hAnsi="Courier New" w:cs="Courier New"/>
          <w:sz w:val="24"/>
          <w:szCs w:val="24"/>
        </w:rPr>
      </w:pPr>
    </w:p>
    <w:p w14:paraId="3909B2E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results of the Department’s student demographics regression analyses of the 2014 NPRM using annual earnings rates as the dependent variable are restated in greater detail below.  We do not provide the same for the analysis using pCDR as the dependent variable as pCDR is not an accountability metric in the fina</w:t>
      </w:r>
      <w:r>
        <w:rPr>
          <w:rFonts w:ascii="Courier New" w:hAnsi="Courier New" w:cs="Courier New"/>
          <w:sz w:val="24"/>
          <w:szCs w:val="24"/>
        </w:rPr>
        <w:t>l regulations.</w:t>
      </w:r>
      <w:r w:rsidRPr="00AA6DFD">
        <w:rPr>
          <w:rFonts w:ascii="Courier New" w:hAnsi="Courier New" w:cs="Courier New"/>
          <w:sz w:val="24"/>
          <w:szCs w:val="24"/>
        </w:rPr>
        <w:t xml:space="preserve"> </w:t>
      </w:r>
    </w:p>
    <w:p w14:paraId="4421ADF3" w14:textId="77777777" w:rsidR="00BF10A3" w:rsidRPr="00784841" w:rsidRDefault="00BF10A3" w:rsidP="00BF10A3">
      <w:pPr>
        <w:autoSpaceDE w:val="0"/>
        <w:autoSpaceDN w:val="0"/>
        <w:adjustRightInd w:val="0"/>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2.1: Annual earnings rate regression- percent Pell &amp; </w:t>
      </w:r>
      <w:r w:rsidRPr="00784841">
        <w:rPr>
          <w:rFonts w:ascii="Courier New" w:hAnsi="Courier New" w:cs="Courier New"/>
          <w:b/>
          <w:sz w:val="24"/>
          <w:szCs w:val="24"/>
        </w:rPr>
        <w:t>minority status (2014 NPRM version)</w:t>
      </w:r>
    </w:p>
    <w:p w14:paraId="5B1B0F2E" w14:textId="77777777" w:rsidR="00BF10A3" w:rsidRPr="00784841" w:rsidRDefault="00BF10A3" w:rsidP="00BF10A3">
      <w:pPr>
        <w:spacing w:after="0" w:line="240" w:lineRule="auto"/>
        <w:rPr>
          <w:rFonts w:ascii="Courier New" w:eastAsiaTheme="minorHAnsi" w:hAnsi="Courier New" w:cstheme="minorBidi"/>
          <w:sz w:val="24"/>
          <w:szCs w:val="24"/>
        </w:rPr>
      </w:pPr>
    </w:p>
    <w:tbl>
      <w:tblPr>
        <w:tblW w:w="8295" w:type="dxa"/>
        <w:tblInd w:w="93" w:type="dxa"/>
        <w:tblLook w:val="04A0" w:firstRow="1" w:lastRow="0" w:firstColumn="1" w:lastColumn="0" w:noHBand="0" w:noVBand="1"/>
      </w:tblPr>
      <w:tblGrid>
        <w:gridCol w:w="1455"/>
        <w:gridCol w:w="1890"/>
        <w:gridCol w:w="1980"/>
        <w:gridCol w:w="1620"/>
        <w:gridCol w:w="1350"/>
      </w:tblGrid>
      <w:tr w:rsidR="00BF10A3" w:rsidRPr="00784841" w14:paraId="34A3A372" w14:textId="77777777" w:rsidTr="001F7400">
        <w:trPr>
          <w:trHeight w:val="997"/>
        </w:trPr>
        <w:tc>
          <w:tcPr>
            <w:tcW w:w="14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2231A0" w14:textId="77777777" w:rsidR="00BF10A3" w:rsidRPr="00784841" w:rsidRDefault="00BF10A3" w:rsidP="001F7400">
            <w:pPr>
              <w:spacing w:after="0" w:line="240" w:lineRule="auto"/>
              <w:jc w:val="center"/>
              <w:rPr>
                <w:rFonts w:ascii="Courier New" w:eastAsia="Times New Roman" w:hAnsi="Courier New" w:cs="Courier New"/>
                <w:b/>
                <w:color w:val="000000"/>
                <w:sz w:val="24"/>
                <w:szCs w:val="24"/>
              </w:rPr>
            </w:pP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12D69FC5" w14:textId="77777777" w:rsidR="00BF10A3" w:rsidRPr="00784841" w:rsidRDefault="00BF10A3" w:rsidP="001F7400">
            <w:pPr>
              <w:spacing w:after="0" w:line="240" w:lineRule="auto"/>
              <w:jc w:val="center"/>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Coefficient</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EBBF779" w14:textId="77777777" w:rsidR="00BF10A3" w:rsidRPr="00784841" w:rsidRDefault="00BF10A3" w:rsidP="001F7400">
            <w:pPr>
              <w:spacing w:after="0" w:line="240" w:lineRule="auto"/>
              <w:jc w:val="center"/>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Robust standard error</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1C11AB8F" w14:textId="77777777" w:rsidR="00BF10A3" w:rsidRPr="00784841" w:rsidRDefault="00BF10A3" w:rsidP="001F7400">
            <w:pPr>
              <w:spacing w:after="0" w:line="240" w:lineRule="auto"/>
              <w:jc w:val="center"/>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T-statistic</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CEF552D" w14:textId="77777777" w:rsidR="00BF10A3" w:rsidRPr="00784841" w:rsidRDefault="00BF10A3" w:rsidP="001F7400">
            <w:pPr>
              <w:spacing w:after="0" w:line="240" w:lineRule="auto"/>
              <w:jc w:val="center"/>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P-value</w:t>
            </w:r>
          </w:p>
        </w:tc>
      </w:tr>
      <w:tr w:rsidR="00BF10A3" w:rsidRPr="00784841" w14:paraId="4A4E77F4" w14:textId="77777777" w:rsidTr="001F7400">
        <w:trPr>
          <w:trHeight w:val="322"/>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04C22F40" w14:textId="77777777" w:rsidR="00BF10A3" w:rsidRPr="00784841" w:rsidRDefault="00BF10A3" w:rsidP="001F7400">
            <w:pPr>
              <w:spacing w:after="0" w:line="240" w:lineRule="auto"/>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Minority</w:t>
            </w:r>
          </w:p>
        </w:tc>
        <w:tc>
          <w:tcPr>
            <w:tcW w:w="1890" w:type="dxa"/>
            <w:tcBorders>
              <w:top w:val="nil"/>
              <w:left w:val="nil"/>
              <w:bottom w:val="single" w:sz="8" w:space="0" w:color="auto"/>
              <w:right w:val="single" w:sz="8" w:space="0" w:color="auto"/>
            </w:tcBorders>
            <w:shd w:val="clear" w:color="auto" w:fill="auto"/>
            <w:noWrap/>
            <w:vAlign w:val="center"/>
            <w:hideMark/>
          </w:tcPr>
          <w:p w14:paraId="289B4DC5"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-0.01</w:t>
            </w:r>
          </w:p>
        </w:tc>
        <w:tc>
          <w:tcPr>
            <w:tcW w:w="1980" w:type="dxa"/>
            <w:tcBorders>
              <w:top w:val="nil"/>
              <w:left w:val="nil"/>
              <w:bottom w:val="single" w:sz="8" w:space="0" w:color="auto"/>
              <w:right w:val="single" w:sz="8" w:space="0" w:color="auto"/>
            </w:tcBorders>
            <w:shd w:val="clear" w:color="auto" w:fill="auto"/>
            <w:noWrap/>
            <w:vAlign w:val="center"/>
            <w:hideMark/>
          </w:tcPr>
          <w:p w14:paraId="690335C9"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0.003</w:t>
            </w:r>
          </w:p>
        </w:tc>
        <w:tc>
          <w:tcPr>
            <w:tcW w:w="1620" w:type="dxa"/>
            <w:tcBorders>
              <w:top w:val="nil"/>
              <w:left w:val="nil"/>
              <w:bottom w:val="single" w:sz="8" w:space="0" w:color="auto"/>
              <w:right w:val="single" w:sz="8" w:space="0" w:color="auto"/>
            </w:tcBorders>
            <w:shd w:val="clear" w:color="auto" w:fill="auto"/>
            <w:noWrap/>
            <w:vAlign w:val="center"/>
            <w:hideMark/>
          </w:tcPr>
          <w:p w14:paraId="3B335B34"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-1.89</w:t>
            </w:r>
          </w:p>
        </w:tc>
        <w:tc>
          <w:tcPr>
            <w:tcW w:w="1350" w:type="dxa"/>
            <w:tcBorders>
              <w:top w:val="nil"/>
              <w:left w:val="nil"/>
              <w:bottom w:val="single" w:sz="8" w:space="0" w:color="auto"/>
              <w:right w:val="single" w:sz="8" w:space="0" w:color="auto"/>
            </w:tcBorders>
            <w:shd w:val="clear" w:color="auto" w:fill="auto"/>
            <w:noWrap/>
            <w:vAlign w:val="center"/>
            <w:hideMark/>
          </w:tcPr>
          <w:p w14:paraId="3C3EA50B"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0.059</w:t>
            </w:r>
          </w:p>
        </w:tc>
      </w:tr>
      <w:tr w:rsidR="00BF10A3" w:rsidRPr="00784841" w14:paraId="7D0B3BD0" w14:textId="77777777" w:rsidTr="001F7400">
        <w:trPr>
          <w:trHeight w:val="322"/>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F5CA721" w14:textId="77777777" w:rsidR="00BF10A3" w:rsidRPr="00784841" w:rsidRDefault="00BF10A3" w:rsidP="001F7400">
            <w:pPr>
              <w:spacing w:after="0" w:line="240" w:lineRule="auto"/>
              <w:rPr>
                <w:rFonts w:ascii="Courier New" w:eastAsia="Times New Roman" w:hAnsi="Courier New" w:cs="Courier New"/>
                <w:b/>
                <w:color w:val="000000"/>
                <w:sz w:val="24"/>
                <w:szCs w:val="24"/>
              </w:rPr>
            </w:pPr>
            <w:r w:rsidRPr="00784841">
              <w:rPr>
                <w:rFonts w:ascii="Courier New" w:eastAsia="Times New Roman" w:hAnsi="Courier New" w:cs="Courier New"/>
                <w:b/>
                <w:color w:val="000000"/>
                <w:sz w:val="24"/>
                <w:szCs w:val="24"/>
              </w:rPr>
              <w:t>Pell</w:t>
            </w:r>
          </w:p>
        </w:tc>
        <w:tc>
          <w:tcPr>
            <w:tcW w:w="1890" w:type="dxa"/>
            <w:tcBorders>
              <w:top w:val="nil"/>
              <w:left w:val="nil"/>
              <w:bottom w:val="single" w:sz="8" w:space="0" w:color="auto"/>
              <w:right w:val="single" w:sz="8" w:space="0" w:color="auto"/>
            </w:tcBorders>
            <w:shd w:val="clear" w:color="auto" w:fill="auto"/>
            <w:noWrap/>
            <w:vAlign w:val="center"/>
            <w:hideMark/>
          </w:tcPr>
          <w:p w14:paraId="60846E82"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0.021</w:t>
            </w:r>
          </w:p>
        </w:tc>
        <w:tc>
          <w:tcPr>
            <w:tcW w:w="1980" w:type="dxa"/>
            <w:tcBorders>
              <w:top w:val="nil"/>
              <w:left w:val="nil"/>
              <w:bottom w:val="single" w:sz="8" w:space="0" w:color="auto"/>
              <w:right w:val="single" w:sz="8" w:space="0" w:color="auto"/>
            </w:tcBorders>
            <w:shd w:val="clear" w:color="auto" w:fill="auto"/>
            <w:noWrap/>
            <w:vAlign w:val="center"/>
            <w:hideMark/>
          </w:tcPr>
          <w:p w14:paraId="5390630B"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0.004</w:t>
            </w:r>
          </w:p>
        </w:tc>
        <w:tc>
          <w:tcPr>
            <w:tcW w:w="1620" w:type="dxa"/>
            <w:tcBorders>
              <w:top w:val="nil"/>
              <w:left w:val="nil"/>
              <w:bottom w:val="single" w:sz="8" w:space="0" w:color="auto"/>
              <w:right w:val="single" w:sz="8" w:space="0" w:color="auto"/>
            </w:tcBorders>
            <w:shd w:val="clear" w:color="auto" w:fill="auto"/>
            <w:noWrap/>
            <w:vAlign w:val="center"/>
            <w:hideMark/>
          </w:tcPr>
          <w:p w14:paraId="65347376"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5.25</w:t>
            </w:r>
          </w:p>
        </w:tc>
        <w:tc>
          <w:tcPr>
            <w:tcW w:w="1350" w:type="dxa"/>
            <w:tcBorders>
              <w:top w:val="nil"/>
              <w:left w:val="nil"/>
              <w:bottom w:val="single" w:sz="8" w:space="0" w:color="auto"/>
              <w:right w:val="single" w:sz="8" w:space="0" w:color="auto"/>
            </w:tcBorders>
            <w:shd w:val="clear" w:color="auto" w:fill="auto"/>
            <w:noWrap/>
            <w:vAlign w:val="center"/>
            <w:hideMark/>
          </w:tcPr>
          <w:p w14:paraId="283E673C" w14:textId="77777777" w:rsidR="00BF10A3" w:rsidRPr="00784841" w:rsidRDefault="00BF10A3" w:rsidP="001F7400">
            <w:pPr>
              <w:spacing w:after="0" w:line="240" w:lineRule="auto"/>
              <w:jc w:val="right"/>
              <w:rPr>
                <w:rFonts w:ascii="Courier New" w:eastAsia="Times New Roman" w:hAnsi="Courier New" w:cs="Courier New"/>
                <w:color w:val="000000"/>
                <w:sz w:val="24"/>
                <w:szCs w:val="24"/>
              </w:rPr>
            </w:pPr>
            <w:r w:rsidRPr="00784841">
              <w:rPr>
                <w:rFonts w:ascii="Courier New" w:eastAsia="Times New Roman" w:hAnsi="Courier New" w:cs="Courier New"/>
                <w:color w:val="000000"/>
                <w:sz w:val="24"/>
                <w:szCs w:val="24"/>
              </w:rPr>
              <w:t>0</w:t>
            </w:r>
          </w:p>
        </w:tc>
      </w:tr>
    </w:tbl>
    <w:p w14:paraId="3302A4A8" w14:textId="77777777" w:rsidR="00BF10A3" w:rsidRPr="00784841" w:rsidRDefault="00BF10A3" w:rsidP="00BF10A3">
      <w:pPr>
        <w:spacing w:after="0" w:line="240" w:lineRule="auto"/>
        <w:rPr>
          <w:rFonts w:ascii="Courier New" w:eastAsiaTheme="minorHAnsi" w:hAnsi="Courier New" w:cstheme="minorBidi"/>
          <w:sz w:val="24"/>
          <w:szCs w:val="24"/>
        </w:rPr>
      </w:pPr>
    </w:p>
    <w:p w14:paraId="077391E2" w14:textId="77777777" w:rsidR="00BF10A3" w:rsidRPr="00784841" w:rsidRDefault="00BF10A3" w:rsidP="00BF10A3">
      <w:pPr>
        <w:spacing w:after="0" w:line="480" w:lineRule="auto"/>
        <w:ind w:firstLine="720"/>
        <w:rPr>
          <w:rFonts w:ascii="Courier New" w:eastAsiaTheme="minorHAnsi" w:hAnsi="Courier New" w:cstheme="minorBidi"/>
          <w:sz w:val="16"/>
        </w:rPr>
      </w:pPr>
      <w:r w:rsidRPr="00784841">
        <w:rPr>
          <w:rFonts w:ascii="Courier New" w:hAnsi="Courier New" w:cs="Courier New"/>
          <w:sz w:val="24"/>
          <w:szCs w:val="24"/>
        </w:rPr>
        <w:t>In order to investigate the criticism that the annual earnings</w:t>
      </w:r>
      <w:r w:rsidRPr="00AA6DFD">
        <w:rPr>
          <w:rFonts w:ascii="Courier New" w:hAnsi="Courier New" w:cs="Courier New"/>
          <w:sz w:val="24"/>
          <w:szCs w:val="24"/>
        </w:rPr>
        <w:t xml:space="preserve"> rate measures primarily the socioeconomic status and racial/ethnic composition of the student body, the Department regressed program annual earnings rates on percent Pell and percent minority.  As Table 2.1 shows, the Department found that programs with higher proportions</w:t>
      </w:r>
      <w:r>
        <w:rPr>
          <w:rFonts w:ascii="Courier New" w:hAnsi="Courier New" w:cs="Courier New"/>
          <w:sz w:val="24"/>
          <w:szCs w:val="24"/>
        </w:rPr>
        <w:t xml:space="preserve"> of students who received Pell G</w:t>
      </w:r>
      <w:r w:rsidRPr="00AA6DFD">
        <w:rPr>
          <w:rFonts w:ascii="Courier New" w:hAnsi="Courier New" w:cs="Courier New"/>
          <w:sz w:val="24"/>
          <w:szCs w:val="24"/>
        </w:rPr>
        <w:t>rants tended to have slightly higher annual earnings rates, when controlling for percent minority.  This relationship is statistically significant, but is small in magnitude.  The results suggest that a one percent increase in a program's percentage of Pell students yields a 0.02 percent (coefficient) increase in the annual earnings rate.</w:t>
      </w:r>
      <w:r w:rsidRPr="00AA6DFD" w:rsidDel="001D0604">
        <w:rPr>
          <w:rFonts w:ascii="Courier New" w:hAnsi="Courier New" w:cs="Courier New"/>
          <w:sz w:val="24"/>
          <w:szCs w:val="24"/>
        </w:rPr>
        <w:t xml:space="preserve"> </w:t>
      </w:r>
      <w:r w:rsidRPr="00AA6DFD">
        <w:rPr>
          <w:rFonts w:ascii="Courier New" w:hAnsi="Courier New" w:cs="Courier New"/>
          <w:sz w:val="24"/>
          <w:szCs w:val="24"/>
        </w:rPr>
        <w:t xml:space="preserve"> The T-statistic for minority status indicates the relationship between the percent minority variable and the annual earnings rate is not statistically significant when controlling for percent Pell.  </w:t>
      </w:r>
    </w:p>
    <w:p w14:paraId="77B03E3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Further, percent Pell and percent minority explained approximately one percent (R-squared) of the variance in annual earnings rate results.  This suggests that a program’s annual earnings rate is influenced by much more than the socioeconomic and minority status of its students.  </w:t>
      </w:r>
    </w:p>
    <w:p w14:paraId="3F4F2616" w14:textId="77777777" w:rsidR="00BF10A3" w:rsidRPr="00784841" w:rsidRDefault="00BF10A3" w:rsidP="00BF10A3">
      <w:pPr>
        <w:autoSpaceDE w:val="0"/>
        <w:autoSpaceDN w:val="0"/>
        <w:adjustRightInd w:val="0"/>
        <w:spacing w:after="0" w:line="240" w:lineRule="auto"/>
        <w:rPr>
          <w:rFonts w:ascii="Courier New" w:hAnsi="Courier New" w:cs="Courier New"/>
          <w:b/>
          <w:sz w:val="24"/>
          <w:szCs w:val="24"/>
        </w:rPr>
      </w:pPr>
      <w:r w:rsidRPr="00784841">
        <w:rPr>
          <w:rFonts w:ascii="Courier New" w:hAnsi="Courier New" w:cs="Courier New"/>
          <w:b/>
          <w:sz w:val="24"/>
          <w:szCs w:val="24"/>
        </w:rPr>
        <w:t>Table 2.2: Annual earnings rate regression- all independent variables (2014 NPRM version)</w:t>
      </w:r>
    </w:p>
    <w:p w14:paraId="5A74E1B3" w14:textId="77777777" w:rsidR="00BF10A3" w:rsidRPr="00784841" w:rsidRDefault="00BF10A3" w:rsidP="00BF10A3">
      <w:pPr>
        <w:spacing w:after="0" w:line="240" w:lineRule="auto"/>
        <w:rPr>
          <w:rFonts w:ascii="Courier New" w:eastAsiaTheme="minorHAnsi" w:hAnsi="Courier New" w:cstheme="minorBidi"/>
          <w:sz w:val="24"/>
          <w:szCs w:val="24"/>
        </w:rPr>
      </w:pPr>
    </w:p>
    <w:tbl>
      <w:tblPr>
        <w:tblW w:w="8296" w:type="dxa"/>
        <w:tblInd w:w="93" w:type="dxa"/>
        <w:tblLook w:val="04A0" w:firstRow="1" w:lastRow="0" w:firstColumn="1" w:lastColumn="0" w:noHBand="0" w:noVBand="1"/>
      </w:tblPr>
      <w:tblGrid>
        <w:gridCol w:w="1905"/>
        <w:gridCol w:w="1710"/>
        <w:gridCol w:w="1440"/>
        <w:gridCol w:w="1620"/>
        <w:gridCol w:w="1621"/>
      </w:tblGrid>
      <w:tr w:rsidR="00BF10A3" w:rsidRPr="00784841" w14:paraId="176742AC" w14:textId="77777777" w:rsidTr="001F7400">
        <w:trPr>
          <w:trHeight w:val="28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6359"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Number of obs</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A072693"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3282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F5F95B1"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0FE7B4C"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DCCDDD6"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r>
      <w:tr w:rsidR="00BF10A3" w:rsidRPr="00784841" w14:paraId="4392A81D"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6F75717C"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R-squared</w:t>
            </w:r>
          </w:p>
        </w:tc>
        <w:tc>
          <w:tcPr>
            <w:tcW w:w="1710" w:type="dxa"/>
            <w:tcBorders>
              <w:top w:val="nil"/>
              <w:left w:val="nil"/>
              <w:bottom w:val="single" w:sz="4" w:space="0" w:color="auto"/>
              <w:right w:val="single" w:sz="4" w:space="0" w:color="auto"/>
            </w:tcBorders>
            <w:shd w:val="clear" w:color="auto" w:fill="auto"/>
            <w:noWrap/>
            <w:vAlign w:val="center"/>
            <w:hideMark/>
          </w:tcPr>
          <w:p w14:paraId="078F9A50"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0.3583</w:t>
            </w:r>
          </w:p>
        </w:tc>
        <w:tc>
          <w:tcPr>
            <w:tcW w:w="1440" w:type="dxa"/>
            <w:tcBorders>
              <w:top w:val="nil"/>
              <w:left w:val="nil"/>
              <w:bottom w:val="single" w:sz="4" w:space="0" w:color="auto"/>
              <w:right w:val="single" w:sz="4" w:space="0" w:color="auto"/>
            </w:tcBorders>
            <w:shd w:val="clear" w:color="auto" w:fill="auto"/>
            <w:noWrap/>
            <w:vAlign w:val="bottom"/>
            <w:hideMark/>
          </w:tcPr>
          <w:p w14:paraId="2B1F90B5"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74FF3895"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c>
          <w:tcPr>
            <w:tcW w:w="1621" w:type="dxa"/>
            <w:tcBorders>
              <w:top w:val="nil"/>
              <w:left w:val="nil"/>
              <w:bottom w:val="single" w:sz="4" w:space="0" w:color="auto"/>
              <w:right w:val="single" w:sz="4" w:space="0" w:color="auto"/>
            </w:tcBorders>
            <w:shd w:val="clear" w:color="auto" w:fill="auto"/>
            <w:noWrap/>
            <w:vAlign w:val="bottom"/>
            <w:hideMark/>
          </w:tcPr>
          <w:p w14:paraId="7E2A9B3E"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r>
      <w:tr w:rsidR="00BF10A3" w:rsidRPr="00784841" w14:paraId="0FA38BFA" w14:textId="77777777" w:rsidTr="001F7400">
        <w:trPr>
          <w:trHeight w:val="782"/>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6C482D7C"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 </w:t>
            </w:r>
          </w:p>
        </w:tc>
        <w:tc>
          <w:tcPr>
            <w:tcW w:w="1710" w:type="dxa"/>
            <w:tcBorders>
              <w:top w:val="nil"/>
              <w:left w:val="nil"/>
              <w:bottom w:val="single" w:sz="4" w:space="0" w:color="auto"/>
              <w:right w:val="single" w:sz="4" w:space="0" w:color="auto"/>
            </w:tcBorders>
            <w:shd w:val="clear" w:color="auto" w:fill="auto"/>
            <w:vAlign w:val="center"/>
            <w:hideMark/>
          </w:tcPr>
          <w:p w14:paraId="2805DCCB" w14:textId="77777777" w:rsidR="00BF10A3" w:rsidRPr="00784841" w:rsidRDefault="00BF10A3" w:rsidP="001F7400">
            <w:pPr>
              <w:spacing w:after="0" w:line="240" w:lineRule="auto"/>
              <w:jc w:val="center"/>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Coefficient</w:t>
            </w:r>
          </w:p>
        </w:tc>
        <w:tc>
          <w:tcPr>
            <w:tcW w:w="1440" w:type="dxa"/>
            <w:tcBorders>
              <w:top w:val="nil"/>
              <w:left w:val="nil"/>
              <w:bottom w:val="single" w:sz="4" w:space="0" w:color="auto"/>
              <w:right w:val="single" w:sz="4" w:space="0" w:color="auto"/>
            </w:tcBorders>
            <w:shd w:val="clear" w:color="auto" w:fill="auto"/>
            <w:vAlign w:val="center"/>
            <w:hideMark/>
          </w:tcPr>
          <w:p w14:paraId="03F41D0F" w14:textId="77777777" w:rsidR="00BF10A3" w:rsidRPr="00784841" w:rsidRDefault="00BF10A3" w:rsidP="001F7400">
            <w:pPr>
              <w:spacing w:after="0" w:line="240" w:lineRule="auto"/>
              <w:jc w:val="center"/>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Robust standard error</w:t>
            </w:r>
          </w:p>
        </w:tc>
        <w:tc>
          <w:tcPr>
            <w:tcW w:w="1620" w:type="dxa"/>
            <w:tcBorders>
              <w:top w:val="nil"/>
              <w:left w:val="nil"/>
              <w:bottom w:val="single" w:sz="4" w:space="0" w:color="auto"/>
              <w:right w:val="single" w:sz="4" w:space="0" w:color="auto"/>
            </w:tcBorders>
            <w:shd w:val="clear" w:color="auto" w:fill="auto"/>
            <w:vAlign w:val="center"/>
            <w:hideMark/>
          </w:tcPr>
          <w:p w14:paraId="470B7C99" w14:textId="77777777" w:rsidR="00BF10A3" w:rsidRPr="00784841" w:rsidRDefault="00BF10A3" w:rsidP="001F7400">
            <w:pPr>
              <w:spacing w:after="0" w:line="240" w:lineRule="auto"/>
              <w:jc w:val="center"/>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T-statistic</w:t>
            </w:r>
          </w:p>
        </w:tc>
        <w:tc>
          <w:tcPr>
            <w:tcW w:w="1621" w:type="dxa"/>
            <w:tcBorders>
              <w:top w:val="nil"/>
              <w:left w:val="nil"/>
              <w:bottom w:val="single" w:sz="4" w:space="0" w:color="auto"/>
              <w:right w:val="single" w:sz="4" w:space="0" w:color="auto"/>
            </w:tcBorders>
            <w:shd w:val="clear" w:color="auto" w:fill="auto"/>
            <w:vAlign w:val="center"/>
            <w:hideMark/>
          </w:tcPr>
          <w:p w14:paraId="1EB7E39C" w14:textId="77777777" w:rsidR="00BF10A3" w:rsidRPr="00784841" w:rsidRDefault="00BF10A3" w:rsidP="001F7400">
            <w:pPr>
              <w:spacing w:after="0" w:line="240" w:lineRule="auto"/>
              <w:jc w:val="center"/>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P-value</w:t>
            </w:r>
          </w:p>
        </w:tc>
      </w:tr>
      <w:tr w:rsidR="00BF10A3" w:rsidRPr="00784841" w14:paraId="707CC0A8"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103DA10F"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Minority</w:t>
            </w:r>
          </w:p>
        </w:tc>
        <w:tc>
          <w:tcPr>
            <w:tcW w:w="1710" w:type="dxa"/>
            <w:tcBorders>
              <w:top w:val="nil"/>
              <w:left w:val="nil"/>
              <w:bottom w:val="single" w:sz="4" w:space="0" w:color="auto"/>
              <w:right w:val="single" w:sz="4" w:space="0" w:color="auto"/>
            </w:tcBorders>
            <w:shd w:val="clear" w:color="auto" w:fill="auto"/>
            <w:noWrap/>
            <w:vAlign w:val="center"/>
            <w:hideMark/>
          </w:tcPr>
          <w:p w14:paraId="2758688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-0.012</w:t>
            </w:r>
          </w:p>
        </w:tc>
        <w:tc>
          <w:tcPr>
            <w:tcW w:w="1440" w:type="dxa"/>
            <w:tcBorders>
              <w:top w:val="nil"/>
              <w:left w:val="nil"/>
              <w:bottom w:val="single" w:sz="4" w:space="0" w:color="auto"/>
              <w:right w:val="single" w:sz="4" w:space="0" w:color="auto"/>
            </w:tcBorders>
            <w:shd w:val="clear" w:color="auto" w:fill="auto"/>
            <w:noWrap/>
            <w:vAlign w:val="center"/>
            <w:hideMark/>
          </w:tcPr>
          <w:p w14:paraId="05AE159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0.003</w:t>
            </w:r>
          </w:p>
        </w:tc>
        <w:tc>
          <w:tcPr>
            <w:tcW w:w="1620" w:type="dxa"/>
            <w:tcBorders>
              <w:top w:val="nil"/>
              <w:left w:val="nil"/>
              <w:bottom w:val="single" w:sz="4" w:space="0" w:color="auto"/>
              <w:right w:val="single" w:sz="4" w:space="0" w:color="auto"/>
            </w:tcBorders>
            <w:shd w:val="clear" w:color="auto" w:fill="auto"/>
            <w:noWrap/>
            <w:vAlign w:val="center"/>
            <w:hideMark/>
          </w:tcPr>
          <w:p w14:paraId="027E73C9"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-3.870</w:t>
            </w:r>
          </w:p>
        </w:tc>
        <w:tc>
          <w:tcPr>
            <w:tcW w:w="1621" w:type="dxa"/>
            <w:tcBorders>
              <w:top w:val="nil"/>
              <w:left w:val="nil"/>
              <w:bottom w:val="single" w:sz="4" w:space="0" w:color="auto"/>
              <w:right w:val="single" w:sz="4" w:space="0" w:color="auto"/>
            </w:tcBorders>
            <w:shd w:val="clear" w:color="auto" w:fill="auto"/>
            <w:noWrap/>
            <w:vAlign w:val="center"/>
            <w:hideMark/>
          </w:tcPr>
          <w:p w14:paraId="482C8F2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7EF25660"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7CF7D6AD"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Pell</w:t>
            </w:r>
          </w:p>
        </w:tc>
        <w:tc>
          <w:tcPr>
            <w:tcW w:w="1710" w:type="dxa"/>
            <w:tcBorders>
              <w:top w:val="nil"/>
              <w:left w:val="nil"/>
              <w:bottom w:val="single" w:sz="4" w:space="0" w:color="auto"/>
              <w:right w:val="single" w:sz="4" w:space="0" w:color="auto"/>
            </w:tcBorders>
            <w:shd w:val="clear" w:color="auto" w:fill="auto"/>
            <w:noWrap/>
            <w:vAlign w:val="center"/>
            <w:hideMark/>
          </w:tcPr>
          <w:p w14:paraId="4AF3AF65"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-0.006</w:t>
            </w:r>
          </w:p>
        </w:tc>
        <w:tc>
          <w:tcPr>
            <w:tcW w:w="1440" w:type="dxa"/>
            <w:tcBorders>
              <w:top w:val="nil"/>
              <w:left w:val="nil"/>
              <w:bottom w:val="single" w:sz="4" w:space="0" w:color="auto"/>
              <w:right w:val="single" w:sz="4" w:space="0" w:color="auto"/>
            </w:tcBorders>
            <w:shd w:val="clear" w:color="auto" w:fill="auto"/>
            <w:noWrap/>
            <w:vAlign w:val="center"/>
            <w:hideMark/>
          </w:tcPr>
          <w:p w14:paraId="019C9BF9"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0.005</w:t>
            </w:r>
          </w:p>
        </w:tc>
        <w:tc>
          <w:tcPr>
            <w:tcW w:w="1620" w:type="dxa"/>
            <w:tcBorders>
              <w:top w:val="nil"/>
              <w:left w:val="nil"/>
              <w:bottom w:val="single" w:sz="4" w:space="0" w:color="auto"/>
              <w:right w:val="single" w:sz="4" w:space="0" w:color="auto"/>
            </w:tcBorders>
            <w:shd w:val="clear" w:color="auto" w:fill="auto"/>
            <w:noWrap/>
            <w:vAlign w:val="center"/>
            <w:hideMark/>
          </w:tcPr>
          <w:p w14:paraId="7018509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-1.130</w:t>
            </w:r>
          </w:p>
        </w:tc>
        <w:tc>
          <w:tcPr>
            <w:tcW w:w="1621" w:type="dxa"/>
            <w:tcBorders>
              <w:top w:val="nil"/>
              <w:left w:val="nil"/>
              <w:bottom w:val="single" w:sz="4" w:space="0" w:color="auto"/>
              <w:right w:val="single" w:sz="4" w:space="0" w:color="auto"/>
            </w:tcBorders>
            <w:shd w:val="clear" w:color="auto" w:fill="auto"/>
            <w:noWrap/>
            <w:vAlign w:val="center"/>
            <w:hideMark/>
          </w:tcPr>
          <w:p w14:paraId="6FD9508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0.260</w:t>
            </w:r>
          </w:p>
        </w:tc>
      </w:tr>
      <w:tr w:rsidR="00BF10A3" w:rsidRPr="00784841" w14:paraId="2495B2E9"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31E8A846"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Zero EFC</w:t>
            </w:r>
          </w:p>
        </w:tc>
        <w:tc>
          <w:tcPr>
            <w:tcW w:w="1710" w:type="dxa"/>
            <w:tcBorders>
              <w:top w:val="nil"/>
              <w:left w:val="nil"/>
              <w:bottom w:val="single" w:sz="4" w:space="0" w:color="auto"/>
              <w:right w:val="single" w:sz="4" w:space="0" w:color="auto"/>
            </w:tcBorders>
            <w:shd w:val="clear" w:color="auto" w:fill="auto"/>
            <w:noWrap/>
            <w:vAlign w:val="center"/>
            <w:hideMark/>
          </w:tcPr>
          <w:p w14:paraId="458C4199"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0.040</w:t>
            </w:r>
          </w:p>
        </w:tc>
        <w:tc>
          <w:tcPr>
            <w:tcW w:w="1440" w:type="dxa"/>
            <w:tcBorders>
              <w:top w:val="nil"/>
              <w:left w:val="nil"/>
              <w:bottom w:val="single" w:sz="4" w:space="0" w:color="auto"/>
              <w:right w:val="single" w:sz="4" w:space="0" w:color="auto"/>
            </w:tcBorders>
            <w:shd w:val="clear" w:color="auto" w:fill="auto"/>
            <w:noWrap/>
            <w:vAlign w:val="center"/>
            <w:hideMark/>
          </w:tcPr>
          <w:p w14:paraId="30BD5EF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0.007</w:t>
            </w:r>
          </w:p>
        </w:tc>
        <w:tc>
          <w:tcPr>
            <w:tcW w:w="1620" w:type="dxa"/>
            <w:tcBorders>
              <w:top w:val="nil"/>
              <w:left w:val="nil"/>
              <w:bottom w:val="single" w:sz="4" w:space="0" w:color="auto"/>
              <w:right w:val="single" w:sz="4" w:space="0" w:color="auto"/>
            </w:tcBorders>
            <w:shd w:val="clear" w:color="auto" w:fill="auto"/>
            <w:noWrap/>
            <w:vAlign w:val="center"/>
            <w:hideMark/>
          </w:tcPr>
          <w:p w14:paraId="6BF07E5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5.940</w:t>
            </w:r>
          </w:p>
        </w:tc>
        <w:tc>
          <w:tcPr>
            <w:tcW w:w="1621" w:type="dxa"/>
            <w:tcBorders>
              <w:top w:val="nil"/>
              <w:left w:val="nil"/>
              <w:bottom w:val="single" w:sz="4" w:space="0" w:color="auto"/>
              <w:right w:val="single" w:sz="4" w:space="0" w:color="auto"/>
            </w:tcBorders>
            <w:shd w:val="clear" w:color="auto" w:fill="auto"/>
            <w:noWrap/>
            <w:vAlign w:val="center"/>
            <w:hideMark/>
          </w:tcPr>
          <w:p w14:paraId="042BEFA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62320E93"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1DFD54EF"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Female</w:t>
            </w:r>
          </w:p>
        </w:tc>
        <w:tc>
          <w:tcPr>
            <w:tcW w:w="1710" w:type="dxa"/>
            <w:tcBorders>
              <w:top w:val="nil"/>
              <w:left w:val="nil"/>
              <w:bottom w:val="single" w:sz="4" w:space="0" w:color="auto"/>
              <w:right w:val="single" w:sz="4" w:space="0" w:color="auto"/>
            </w:tcBorders>
            <w:shd w:val="clear" w:color="auto" w:fill="auto"/>
            <w:noWrap/>
            <w:vAlign w:val="center"/>
            <w:hideMark/>
          </w:tcPr>
          <w:p w14:paraId="1AB028D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0.001</w:t>
            </w:r>
          </w:p>
        </w:tc>
        <w:tc>
          <w:tcPr>
            <w:tcW w:w="1440" w:type="dxa"/>
            <w:tcBorders>
              <w:top w:val="nil"/>
              <w:left w:val="nil"/>
              <w:bottom w:val="single" w:sz="4" w:space="0" w:color="auto"/>
              <w:right w:val="single" w:sz="4" w:space="0" w:color="auto"/>
            </w:tcBorders>
            <w:shd w:val="clear" w:color="auto" w:fill="auto"/>
            <w:noWrap/>
            <w:vAlign w:val="center"/>
            <w:hideMark/>
          </w:tcPr>
          <w:p w14:paraId="731ACB8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0.002</w:t>
            </w:r>
          </w:p>
        </w:tc>
        <w:tc>
          <w:tcPr>
            <w:tcW w:w="1620" w:type="dxa"/>
            <w:tcBorders>
              <w:top w:val="nil"/>
              <w:left w:val="nil"/>
              <w:bottom w:val="single" w:sz="4" w:space="0" w:color="auto"/>
              <w:right w:val="single" w:sz="4" w:space="0" w:color="auto"/>
            </w:tcBorders>
            <w:shd w:val="clear" w:color="auto" w:fill="auto"/>
            <w:noWrap/>
            <w:vAlign w:val="center"/>
            <w:hideMark/>
          </w:tcPr>
          <w:p w14:paraId="65FE6EE0"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0.510</w:t>
            </w:r>
          </w:p>
        </w:tc>
        <w:tc>
          <w:tcPr>
            <w:tcW w:w="1621" w:type="dxa"/>
            <w:tcBorders>
              <w:top w:val="nil"/>
              <w:left w:val="nil"/>
              <w:bottom w:val="single" w:sz="4" w:space="0" w:color="auto"/>
              <w:right w:val="single" w:sz="4" w:space="0" w:color="auto"/>
            </w:tcBorders>
            <w:shd w:val="clear" w:color="auto" w:fill="auto"/>
            <w:noWrap/>
            <w:vAlign w:val="center"/>
            <w:hideMark/>
          </w:tcPr>
          <w:p w14:paraId="6CF0852D"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0.608</w:t>
            </w:r>
          </w:p>
        </w:tc>
      </w:tr>
      <w:tr w:rsidR="00BF10A3" w:rsidRPr="00784841" w14:paraId="1F8C5B02"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35660794"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Above age 24</w:t>
            </w:r>
          </w:p>
        </w:tc>
        <w:tc>
          <w:tcPr>
            <w:tcW w:w="1710" w:type="dxa"/>
            <w:tcBorders>
              <w:top w:val="nil"/>
              <w:left w:val="nil"/>
              <w:bottom w:val="single" w:sz="4" w:space="0" w:color="auto"/>
              <w:right w:val="single" w:sz="4" w:space="0" w:color="auto"/>
            </w:tcBorders>
            <w:shd w:val="clear" w:color="auto" w:fill="auto"/>
            <w:noWrap/>
            <w:vAlign w:val="center"/>
            <w:hideMark/>
          </w:tcPr>
          <w:p w14:paraId="263D7B0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-0.047</w:t>
            </w:r>
          </w:p>
        </w:tc>
        <w:tc>
          <w:tcPr>
            <w:tcW w:w="1440" w:type="dxa"/>
            <w:tcBorders>
              <w:top w:val="nil"/>
              <w:left w:val="nil"/>
              <w:bottom w:val="single" w:sz="4" w:space="0" w:color="auto"/>
              <w:right w:val="single" w:sz="4" w:space="0" w:color="auto"/>
            </w:tcBorders>
            <w:shd w:val="clear" w:color="auto" w:fill="auto"/>
            <w:noWrap/>
            <w:vAlign w:val="center"/>
            <w:hideMark/>
          </w:tcPr>
          <w:p w14:paraId="1FA49EB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0.004</w:t>
            </w:r>
          </w:p>
        </w:tc>
        <w:tc>
          <w:tcPr>
            <w:tcW w:w="1620" w:type="dxa"/>
            <w:tcBorders>
              <w:top w:val="nil"/>
              <w:left w:val="nil"/>
              <w:bottom w:val="single" w:sz="4" w:space="0" w:color="auto"/>
              <w:right w:val="single" w:sz="4" w:space="0" w:color="auto"/>
            </w:tcBorders>
            <w:shd w:val="clear" w:color="auto" w:fill="auto"/>
            <w:noWrap/>
            <w:vAlign w:val="center"/>
            <w:hideMark/>
          </w:tcPr>
          <w:p w14:paraId="0969CC05"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-11.800</w:t>
            </w:r>
          </w:p>
        </w:tc>
        <w:tc>
          <w:tcPr>
            <w:tcW w:w="1621" w:type="dxa"/>
            <w:tcBorders>
              <w:top w:val="nil"/>
              <w:left w:val="nil"/>
              <w:bottom w:val="single" w:sz="4" w:space="0" w:color="auto"/>
              <w:right w:val="single" w:sz="4" w:space="0" w:color="auto"/>
            </w:tcBorders>
            <w:shd w:val="clear" w:color="auto" w:fill="auto"/>
            <w:noWrap/>
            <w:vAlign w:val="center"/>
            <w:hideMark/>
          </w:tcPr>
          <w:p w14:paraId="3AC480C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1AE7087B"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668C2EF8"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Private4</w:t>
            </w:r>
          </w:p>
        </w:tc>
        <w:tc>
          <w:tcPr>
            <w:tcW w:w="1710" w:type="dxa"/>
            <w:tcBorders>
              <w:top w:val="nil"/>
              <w:left w:val="nil"/>
              <w:bottom w:val="single" w:sz="4" w:space="0" w:color="auto"/>
              <w:right w:val="single" w:sz="4" w:space="0" w:color="auto"/>
            </w:tcBorders>
            <w:shd w:val="clear" w:color="auto" w:fill="auto"/>
            <w:noWrap/>
            <w:vAlign w:val="center"/>
            <w:hideMark/>
          </w:tcPr>
          <w:p w14:paraId="2AF2D8B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-1.043</w:t>
            </w:r>
          </w:p>
        </w:tc>
        <w:tc>
          <w:tcPr>
            <w:tcW w:w="1440" w:type="dxa"/>
            <w:tcBorders>
              <w:top w:val="nil"/>
              <w:left w:val="nil"/>
              <w:bottom w:val="single" w:sz="4" w:space="0" w:color="auto"/>
              <w:right w:val="single" w:sz="4" w:space="0" w:color="auto"/>
            </w:tcBorders>
            <w:shd w:val="clear" w:color="auto" w:fill="auto"/>
            <w:noWrap/>
            <w:vAlign w:val="center"/>
            <w:hideMark/>
          </w:tcPr>
          <w:p w14:paraId="4171425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0.510</w:t>
            </w:r>
          </w:p>
        </w:tc>
        <w:tc>
          <w:tcPr>
            <w:tcW w:w="1620" w:type="dxa"/>
            <w:tcBorders>
              <w:top w:val="nil"/>
              <w:left w:val="nil"/>
              <w:bottom w:val="single" w:sz="4" w:space="0" w:color="auto"/>
              <w:right w:val="single" w:sz="4" w:space="0" w:color="auto"/>
            </w:tcBorders>
            <w:shd w:val="clear" w:color="auto" w:fill="auto"/>
            <w:noWrap/>
            <w:vAlign w:val="center"/>
            <w:hideMark/>
          </w:tcPr>
          <w:p w14:paraId="310AFD97"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-2.050</w:t>
            </w:r>
          </w:p>
        </w:tc>
        <w:tc>
          <w:tcPr>
            <w:tcW w:w="1621" w:type="dxa"/>
            <w:tcBorders>
              <w:top w:val="nil"/>
              <w:left w:val="nil"/>
              <w:bottom w:val="single" w:sz="4" w:space="0" w:color="auto"/>
              <w:right w:val="single" w:sz="4" w:space="0" w:color="auto"/>
            </w:tcBorders>
            <w:shd w:val="clear" w:color="auto" w:fill="auto"/>
            <w:noWrap/>
            <w:vAlign w:val="center"/>
            <w:hideMark/>
          </w:tcPr>
          <w:p w14:paraId="0DAF589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0.041</w:t>
            </w:r>
          </w:p>
        </w:tc>
      </w:tr>
      <w:tr w:rsidR="00BF10A3" w:rsidRPr="00784841" w14:paraId="0F075077"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2C3D05D1"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Private&lt;2</w:t>
            </w:r>
          </w:p>
        </w:tc>
        <w:tc>
          <w:tcPr>
            <w:tcW w:w="1710" w:type="dxa"/>
            <w:tcBorders>
              <w:top w:val="nil"/>
              <w:left w:val="nil"/>
              <w:bottom w:val="single" w:sz="4" w:space="0" w:color="auto"/>
              <w:right w:val="single" w:sz="4" w:space="0" w:color="auto"/>
            </w:tcBorders>
            <w:shd w:val="clear" w:color="auto" w:fill="auto"/>
            <w:noWrap/>
            <w:vAlign w:val="center"/>
            <w:hideMark/>
          </w:tcPr>
          <w:p w14:paraId="3C14E01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0.262</w:t>
            </w:r>
          </w:p>
        </w:tc>
        <w:tc>
          <w:tcPr>
            <w:tcW w:w="1440" w:type="dxa"/>
            <w:tcBorders>
              <w:top w:val="nil"/>
              <w:left w:val="nil"/>
              <w:bottom w:val="single" w:sz="4" w:space="0" w:color="auto"/>
              <w:right w:val="single" w:sz="4" w:space="0" w:color="auto"/>
            </w:tcBorders>
            <w:shd w:val="clear" w:color="auto" w:fill="auto"/>
            <w:noWrap/>
            <w:vAlign w:val="center"/>
            <w:hideMark/>
          </w:tcPr>
          <w:p w14:paraId="07E4CE69"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0.491</w:t>
            </w:r>
          </w:p>
        </w:tc>
        <w:tc>
          <w:tcPr>
            <w:tcW w:w="1620" w:type="dxa"/>
            <w:tcBorders>
              <w:top w:val="nil"/>
              <w:left w:val="nil"/>
              <w:bottom w:val="single" w:sz="4" w:space="0" w:color="auto"/>
              <w:right w:val="single" w:sz="4" w:space="0" w:color="auto"/>
            </w:tcBorders>
            <w:shd w:val="clear" w:color="auto" w:fill="auto"/>
            <w:noWrap/>
            <w:vAlign w:val="center"/>
            <w:hideMark/>
          </w:tcPr>
          <w:p w14:paraId="6FCF4AA3"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0.530</w:t>
            </w:r>
          </w:p>
        </w:tc>
        <w:tc>
          <w:tcPr>
            <w:tcW w:w="1621" w:type="dxa"/>
            <w:tcBorders>
              <w:top w:val="nil"/>
              <w:left w:val="nil"/>
              <w:bottom w:val="single" w:sz="4" w:space="0" w:color="auto"/>
              <w:right w:val="single" w:sz="4" w:space="0" w:color="auto"/>
            </w:tcBorders>
            <w:shd w:val="clear" w:color="auto" w:fill="auto"/>
            <w:noWrap/>
            <w:vAlign w:val="center"/>
            <w:hideMark/>
          </w:tcPr>
          <w:p w14:paraId="7E6F4DC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0.593</w:t>
            </w:r>
          </w:p>
        </w:tc>
      </w:tr>
      <w:tr w:rsidR="00BF10A3" w:rsidRPr="00784841" w14:paraId="3B35DCF0"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26A6AD3D"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For-Profit2-3</w:t>
            </w:r>
          </w:p>
        </w:tc>
        <w:tc>
          <w:tcPr>
            <w:tcW w:w="1710" w:type="dxa"/>
            <w:tcBorders>
              <w:top w:val="nil"/>
              <w:left w:val="nil"/>
              <w:bottom w:val="single" w:sz="4" w:space="0" w:color="auto"/>
              <w:right w:val="single" w:sz="4" w:space="0" w:color="auto"/>
            </w:tcBorders>
            <w:shd w:val="clear" w:color="auto" w:fill="auto"/>
            <w:noWrap/>
            <w:vAlign w:val="center"/>
            <w:hideMark/>
          </w:tcPr>
          <w:p w14:paraId="6350C5FD"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1.330</w:t>
            </w:r>
          </w:p>
        </w:tc>
        <w:tc>
          <w:tcPr>
            <w:tcW w:w="1440" w:type="dxa"/>
            <w:tcBorders>
              <w:top w:val="nil"/>
              <w:left w:val="nil"/>
              <w:bottom w:val="single" w:sz="4" w:space="0" w:color="auto"/>
              <w:right w:val="single" w:sz="4" w:space="0" w:color="auto"/>
            </w:tcBorders>
            <w:shd w:val="clear" w:color="auto" w:fill="auto"/>
            <w:noWrap/>
            <w:vAlign w:val="center"/>
            <w:hideMark/>
          </w:tcPr>
          <w:p w14:paraId="2CC86A0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0.303</w:t>
            </w:r>
          </w:p>
        </w:tc>
        <w:tc>
          <w:tcPr>
            <w:tcW w:w="1620" w:type="dxa"/>
            <w:tcBorders>
              <w:top w:val="nil"/>
              <w:left w:val="nil"/>
              <w:bottom w:val="single" w:sz="4" w:space="0" w:color="auto"/>
              <w:right w:val="single" w:sz="4" w:space="0" w:color="auto"/>
            </w:tcBorders>
            <w:shd w:val="clear" w:color="auto" w:fill="auto"/>
            <w:noWrap/>
            <w:vAlign w:val="center"/>
            <w:hideMark/>
          </w:tcPr>
          <w:p w14:paraId="1F9876B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4.390</w:t>
            </w:r>
          </w:p>
        </w:tc>
        <w:tc>
          <w:tcPr>
            <w:tcW w:w="1621" w:type="dxa"/>
            <w:tcBorders>
              <w:top w:val="nil"/>
              <w:left w:val="nil"/>
              <w:bottom w:val="single" w:sz="4" w:space="0" w:color="auto"/>
              <w:right w:val="single" w:sz="4" w:space="0" w:color="auto"/>
            </w:tcBorders>
            <w:shd w:val="clear" w:color="auto" w:fill="auto"/>
            <w:noWrap/>
            <w:vAlign w:val="center"/>
            <w:hideMark/>
          </w:tcPr>
          <w:p w14:paraId="370E5093"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3A588D71"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1C69AC3F"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For-Profit4</w:t>
            </w:r>
          </w:p>
        </w:tc>
        <w:tc>
          <w:tcPr>
            <w:tcW w:w="1710" w:type="dxa"/>
            <w:tcBorders>
              <w:top w:val="nil"/>
              <w:left w:val="nil"/>
              <w:bottom w:val="single" w:sz="4" w:space="0" w:color="auto"/>
              <w:right w:val="single" w:sz="4" w:space="0" w:color="auto"/>
            </w:tcBorders>
            <w:shd w:val="clear" w:color="auto" w:fill="auto"/>
            <w:noWrap/>
            <w:vAlign w:val="center"/>
            <w:hideMark/>
          </w:tcPr>
          <w:p w14:paraId="1D01A430"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3.029</w:t>
            </w:r>
          </w:p>
        </w:tc>
        <w:tc>
          <w:tcPr>
            <w:tcW w:w="1440" w:type="dxa"/>
            <w:tcBorders>
              <w:top w:val="nil"/>
              <w:left w:val="nil"/>
              <w:bottom w:val="single" w:sz="4" w:space="0" w:color="auto"/>
              <w:right w:val="single" w:sz="4" w:space="0" w:color="auto"/>
            </w:tcBorders>
            <w:shd w:val="clear" w:color="auto" w:fill="auto"/>
            <w:noWrap/>
            <w:vAlign w:val="center"/>
            <w:hideMark/>
          </w:tcPr>
          <w:p w14:paraId="63047AD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0.387</w:t>
            </w:r>
          </w:p>
        </w:tc>
        <w:tc>
          <w:tcPr>
            <w:tcW w:w="1620" w:type="dxa"/>
            <w:tcBorders>
              <w:top w:val="nil"/>
              <w:left w:val="nil"/>
              <w:bottom w:val="single" w:sz="4" w:space="0" w:color="auto"/>
              <w:right w:val="single" w:sz="4" w:space="0" w:color="auto"/>
            </w:tcBorders>
            <w:shd w:val="clear" w:color="auto" w:fill="auto"/>
            <w:noWrap/>
            <w:vAlign w:val="center"/>
            <w:hideMark/>
          </w:tcPr>
          <w:p w14:paraId="3DEA375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7.830</w:t>
            </w:r>
          </w:p>
        </w:tc>
        <w:tc>
          <w:tcPr>
            <w:tcW w:w="1621" w:type="dxa"/>
            <w:tcBorders>
              <w:top w:val="nil"/>
              <w:left w:val="nil"/>
              <w:bottom w:val="single" w:sz="4" w:space="0" w:color="auto"/>
              <w:right w:val="single" w:sz="4" w:space="0" w:color="auto"/>
            </w:tcBorders>
            <w:shd w:val="clear" w:color="auto" w:fill="auto"/>
            <w:noWrap/>
            <w:vAlign w:val="center"/>
            <w:hideMark/>
          </w:tcPr>
          <w:p w14:paraId="5D58FFC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4EF9134B"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72370B54"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For-Profit&lt;2</w:t>
            </w:r>
          </w:p>
        </w:tc>
        <w:tc>
          <w:tcPr>
            <w:tcW w:w="1710" w:type="dxa"/>
            <w:tcBorders>
              <w:top w:val="nil"/>
              <w:left w:val="nil"/>
              <w:bottom w:val="single" w:sz="4" w:space="0" w:color="auto"/>
              <w:right w:val="single" w:sz="4" w:space="0" w:color="auto"/>
            </w:tcBorders>
            <w:shd w:val="clear" w:color="auto" w:fill="auto"/>
            <w:noWrap/>
            <w:vAlign w:val="center"/>
            <w:hideMark/>
          </w:tcPr>
          <w:p w14:paraId="44BA893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0.980</w:t>
            </w:r>
          </w:p>
        </w:tc>
        <w:tc>
          <w:tcPr>
            <w:tcW w:w="1440" w:type="dxa"/>
            <w:tcBorders>
              <w:top w:val="nil"/>
              <w:left w:val="nil"/>
              <w:bottom w:val="single" w:sz="4" w:space="0" w:color="auto"/>
              <w:right w:val="single" w:sz="4" w:space="0" w:color="auto"/>
            </w:tcBorders>
            <w:shd w:val="clear" w:color="auto" w:fill="auto"/>
            <w:noWrap/>
            <w:vAlign w:val="center"/>
            <w:hideMark/>
          </w:tcPr>
          <w:p w14:paraId="432E7B1D"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0.312</w:t>
            </w:r>
          </w:p>
        </w:tc>
        <w:tc>
          <w:tcPr>
            <w:tcW w:w="1620" w:type="dxa"/>
            <w:tcBorders>
              <w:top w:val="nil"/>
              <w:left w:val="nil"/>
              <w:bottom w:val="single" w:sz="4" w:space="0" w:color="auto"/>
              <w:right w:val="single" w:sz="4" w:space="0" w:color="auto"/>
            </w:tcBorders>
            <w:shd w:val="clear" w:color="auto" w:fill="auto"/>
            <w:noWrap/>
            <w:vAlign w:val="center"/>
            <w:hideMark/>
          </w:tcPr>
          <w:p w14:paraId="6935DE9A"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3.140</w:t>
            </w:r>
          </w:p>
        </w:tc>
        <w:tc>
          <w:tcPr>
            <w:tcW w:w="1621" w:type="dxa"/>
            <w:tcBorders>
              <w:top w:val="nil"/>
              <w:left w:val="nil"/>
              <w:bottom w:val="single" w:sz="4" w:space="0" w:color="auto"/>
              <w:right w:val="single" w:sz="4" w:space="0" w:color="auto"/>
            </w:tcBorders>
            <w:shd w:val="clear" w:color="auto" w:fill="auto"/>
            <w:noWrap/>
            <w:vAlign w:val="center"/>
            <w:hideMark/>
          </w:tcPr>
          <w:p w14:paraId="52A99655"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0.002</w:t>
            </w:r>
          </w:p>
        </w:tc>
      </w:tr>
      <w:tr w:rsidR="00BF10A3" w:rsidRPr="00784841" w14:paraId="04094B49"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44660AF9"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Public2-3</w:t>
            </w:r>
          </w:p>
        </w:tc>
        <w:tc>
          <w:tcPr>
            <w:tcW w:w="1710" w:type="dxa"/>
            <w:tcBorders>
              <w:top w:val="nil"/>
              <w:left w:val="nil"/>
              <w:bottom w:val="single" w:sz="4" w:space="0" w:color="auto"/>
              <w:right w:val="single" w:sz="4" w:space="0" w:color="auto"/>
            </w:tcBorders>
            <w:shd w:val="clear" w:color="auto" w:fill="auto"/>
            <w:noWrap/>
            <w:vAlign w:val="center"/>
            <w:hideMark/>
          </w:tcPr>
          <w:p w14:paraId="19BFCD6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-3.006</w:t>
            </w:r>
          </w:p>
        </w:tc>
        <w:tc>
          <w:tcPr>
            <w:tcW w:w="1440" w:type="dxa"/>
            <w:tcBorders>
              <w:top w:val="nil"/>
              <w:left w:val="nil"/>
              <w:bottom w:val="single" w:sz="4" w:space="0" w:color="auto"/>
              <w:right w:val="single" w:sz="4" w:space="0" w:color="auto"/>
            </w:tcBorders>
            <w:shd w:val="clear" w:color="auto" w:fill="auto"/>
            <w:noWrap/>
            <w:vAlign w:val="center"/>
            <w:hideMark/>
          </w:tcPr>
          <w:p w14:paraId="6E386F57"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0.303</w:t>
            </w:r>
          </w:p>
        </w:tc>
        <w:tc>
          <w:tcPr>
            <w:tcW w:w="1620" w:type="dxa"/>
            <w:tcBorders>
              <w:top w:val="nil"/>
              <w:left w:val="nil"/>
              <w:bottom w:val="single" w:sz="4" w:space="0" w:color="auto"/>
              <w:right w:val="single" w:sz="4" w:space="0" w:color="auto"/>
            </w:tcBorders>
            <w:shd w:val="clear" w:color="auto" w:fill="auto"/>
            <w:noWrap/>
            <w:vAlign w:val="center"/>
            <w:hideMark/>
          </w:tcPr>
          <w:p w14:paraId="061444E9"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-9.920</w:t>
            </w:r>
          </w:p>
        </w:tc>
        <w:tc>
          <w:tcPr>
            <w:tcW w:w="1621" w:type="dxa"/>
            <w:tcBorders>
              <w:top w:val="nil"/>
              <w:left w:val="nil"/>
              <w:bottom w:val="single" w:sz="4" w:space="0" w:color="auto"/>
              <w:right w:val="single" w:sz="4" w:space="0" w:color="auto"/>
            </w:tcBorders>
            <w:shd w:val="clear" w:color="auto" w:fill="auto"/>
            <w:noWrap/>
            <w:vAlign w:val="center"/>
            <w:hideMark/>
          </w:tcPr>
          <w:p w14:paraId="52A44C20"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56A2DAFD"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7399D2F5"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Public4</w:t>
            </w:r>
          </w:p>
        </w:tc>
        <w:tc>
          <w:tcPr>
            <w:tcW w:w="1710" w:type="dxa"/>
            <w:tcBorders>
              <w:top w:val="nil"/>
              <w:left w:val="nil"/>
              <w:bottom w:val="single" w:sz="4" w:space="0" w:color="auto"/>
              <w:right w:val="single" w:sz="4" w:space="0" w:color="auto"/>
            </w:tcBorders>
            <w:shd w:val="clear" w:color="auto" w:fill="auto"/>
            <w:noWrap/>
            <w:vAlign w:val="center"/>
            <w:hideMark/>
          </w:tcPr>
          <w:p w14:paraId="6F3EFDF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-2.330</w:t>
            </w:r>
          </w:p>
        </w:tc>
        <w:tc>
          <w:tcPr>
            <w:tcW w:w="1440" w:type="dxa"/>
            <w:tcBorders>
              <w:top w:val="nil"/>
              <w:left w:val="nil"/>
              <w:bottom w:val="single" w:sz="4" w:space="0" w:color="auto"/>
              <w:right w:val="single" w:sz="4" w:space="0" w:color="auto"/>
            </w:tcBorders>
            <w:shd w:val="clear" w:color="auto" w:fill="auto"/>
            <w:noWrap/>
            <w:vAlign w:val="center"/>
            <w:hideMark/>
          </w:tcPr>
          <w:p w14:paraId="5EA2857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0.517</w:t>
            </w:r>
          </w:p>
        </w:tc>
        <w:tc>
          <w:tcPr>
            <w:tcW w:w="1620" w:type="dxa"/>
            <w:tcBorders>
              <w:top w:val="nil"/>
              <w:left w:val="nil"/>
              <w:bottom w:val="single" w:sz="4" w:space="0" w:color="auto"/>
              <w:right w:val="single" w:sz="4" w:space="0" w:color="auto"/>
            </w:tcBorders>
            <w:shd w:val="clear" w:color="auto" w:fill="auto"/>
            <w:noWrap/>
            <w:vAlign w:val="center"/>
            <w:hideMark/>
          </w:tcPr>
          <w:p w14:paraId="1BE7D74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-4.510</w:t>
            </w:r>
          </w:p>
        </w:tc>
        <w:tc>
          <w:tcPr>
            <w:tcW w:w="1621" w:type="dxa"/>
            <w:tcBorders>
              <w:top w:val="nil"/>
              <w:left w:val="nil"/>
              <w:bottom w:val="single" w:sz="4" w:space="0" w:color="auto"/>
              <w:right w:val="single" w:sz="4" w:space="0" w:color="auto"/>
            </w:tcBorders>
            <w:shd w:val="clear" w:color="auto" w:fill="auto"/>
            <w:noWrap/>
            <w:vAlign w:val="center"/>
            <w:hideMark/>
          </w:tcPr>
          <w:p w14:paraId="283A10CA"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68D50B1B"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40B8124C"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Public&lt;2</w:t>
            </w:r>
          </w:p>
        </w:tc>
        <w:tc>
          <w:tcPr>
            <w:tcW w:w="1710" w:type="dxa"/>
            <w:tcBorders>
              <w:top w:val="nil"/>
              <w:left w:val="nil"/>
              <w:bottom w:val="single" w:sz="4" w:space="0" w:color="auto"/>
              <w:right w:val="single" w:sz="4" w:space="0" w:color="auto"/>
            </w:tcBorders>
            <w:shd w:val="clear" w:color="auto" w:fill="auto"/>
            <w:noWrap/>
            <w:vAlign w:val="center"/>
            <w:hideMark/>
          </w:tcPr>
          <w:p w14:paraId="70A2C725"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-1.594</w:t>
            </w:r>
          </w:p>
        </w:tc>
        <w:tc>
          <w:tcPr>
            <w:tcW w:w="1440" w:type="dxa"/>
            <w:tcBorders>
              <w:top w:val="nil"/>
              <w:left w:val="nil"/>
              <w:bottom w:val="single" w:sz="4" w:space="0" w:color="auto"/>
              <w:right w:val="single" w:sz="4" w:space="0" w:color="auto"/>
            </w:tcBorders>
            <w:shd w:val="clear" w:color="auto" w:fill="auto"/>
            <w:noWrap/>
            <w:vAlign w:val="center"/>
            <w:hideMark/>
          </w:tcPr>
          <w:p w14:paraId="2FBED8F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0.343</w:t>
            </w:r>
          </w:p>
        </w:tc>
        <w:tc>
          <w:tcPr>
            <w:tcW w:w="1620" w:type="dxa"/>
            <w:tcBorders>
              <w:top w:val="nil"/>
              <w:left w:val="nil"/>
              <w:bottom w:val="single" w:sz="4" w:space="0" w:color="auto"/>
              <w:right w:val="single" w:sz="4" w:space="0" w:color="auto"/>
            </w:tcBorders>
            <w:shd w:val="clear" w:color="auto" w:fill="auto"/>
            <w:noWrap/>
            <w:vAlign w:val="center"/>
            <w:hideMark/>
          </w:tcPr>
          <w:p w14:paraId="4796659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-4.650</w:t>
            </w:r>
          </w:p>
        </w:tc>
        <w:tc>
          <w:tcPr>
            <w:tcW w:w="1621" w:type="dxa"/>
            <w:tcBorders>
              <w:top w:val="nil"/>
              <w:left w:val="nil"/>
              <w:bottom w:val="single" w:sz="4" w:space="0" w:color="auto"/>
              <w:right w:val="single" w:sz="4" w:space="0" w:color="auto"/>
            </w:tcBorders>
            <w:shd w:val="clear" w:color="auto" w:fill="auto"/>
            <w:noWrap/>
            <w:vAlign w:val="center"/>
            <w:hideMark/>
          </w:tcPr>
          <w:p w14:paraId="6FC4B808"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5F9A20E3"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501802EB"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Level_2</w:t>
            </w:r>
          </w:p>
        </w:tc>
        <w:tc>
          <w:tcPr>
            <w:tcW w:w="1710" w:type="dxa"/>
            <w:tcBorders>
              <w:top w:val="nil"/>
              <w:left w:val="nil"/>
              <w:bottom w:val="single" w:sz="4" w:space="0" w:color="auto"/>
              <w:right w:val="single" w:sz="4" w:space="0" w:color="auto"/>
            </w:tcBorders>
            <w:shd w:val="clear" w:color="auto" w:fill="auto"/>
            <w:noWrap/>
            <w:vAlign w:val="center"/>
            <w:hideMark/>
          </w:tcPr>
          <w:p w14:paraId="4434D1B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2.420</w:t>
            </w:r>
          </w:p>
        </w:tc>
        <w:tc>
          <w:tcPr>
            <w:tcW w:w="1440" w:type="dxa"/>
            <w:tcBorders>
              <w:top w:val="nil"/>
              <w:left w:val="nil"/>
              <w:bottom w:val="single" w:sz="4" w:space="0" w:color="auto"/>
              <w:right w:val="single" w:sz="4" w:space="0" w:color="auto"/>
            </w:tcBorders>
            <w:shd w:val="clear" w:color="auto" w:fill="auto"/>
            <w:noWrap/>
            <w:vAlign w:val="center"/>
            <w:hideMark/>
          </w:tcPr>
          <w:p w14:paraId="395EBD0A"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0.240</w:t>
            </w:r>
          </w:p>
        </w:tc>
        <w:tc>
          <w:tcPr>
            <w:tcW w:w="1620" w:type="dxa"/>
            <w:tcBorders>
              <w:top w:val="nil"/>
              <w:left w:val="nil"/>
              <w:bottom w:val="single" w:sz="4" w:space="0" w:color="auto"/>
              <w:right w:val="single" w:sz="4" w:space="0" w:color="auto"/>
            </w:tcBorders>
            <w:shd w:val="clear" w:color="auto" w:fill="auto"/>
            <w:noWrap/>
            <w:vAlign w:val="center"/>
            <w:hideMark/>
          </w:tcPr>
          <w:p w14:paraId="0286F4C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10.080</w:t>
            </w:r>
          </w:p>
        </w:tc>
        <w:tc>
          <w:tcPr>
            <w:tcW w:w="1621" w:type="dxa"/>
            <w:tcBorders>
              <w:top w:val="nil"/>
              <w:left w:val="nil"/>
              <w:bottom w:val="single" w:sz="4" w:space="0" w:color="auto"/>
              <w:right w:val="single" w:sz="4" w:space="0" w:color="auto"/>
            </w:tcBorders>
            <w:shd w:val="clear" w:color="auto" w:fill="auto"/>
            <w:noWrap/>
            <w:vAlign w:val="center"/>
            <w:hideMark/>
          </w:tcPr>
          <w:p w14:paraId="0E68A54D"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5A5461CC"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36EC91DC"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Level_3</w:t>
            </w:r>
          </w:p>
        </w:tc>
        <w:tc>
          <w:tcPr>
            <w:tcW w:w="1710" w:type="dxa"/>
            <w:tcBorders>
              <w:top w:val="nil"/>
              <w:left w:val="nil"/>
              <w:bottom w:val="single" w:sz="4" w:space="0" w:color="auto"/>
              <w:right w:val="single" w:sz="4" w:space="0" w:color="auto"/>
            </w:tcBorders>
            <w:shd w:val="clear" w:color="auto" w:fill="auto"/>
            <w:noWrap/>
            <w:vAlign w:val="center"/>
            <w:hideMark/>
          </w:tcPr>
          <w:p w14:paraId="2CA4864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3.080</w:t>
            </w:r>
          </w:p>
        </w:tc>
        <w:tc>
          <w:tcPr>
            <w:tcW w:w="1440" w:type="dxa"/>
            <w:tcBorders>
              <w:top w:val="nil"/>
              <w:left w:val="nil"/>
              <w:bottom w:val="single" w:sz="4" w:space="0" w:color="auto"/>
              <w:right w:val="single" w:sz="4" w:space="0" w:color="auto"/>
            </w:tcBorders>
            <w:shd w:val="clear" w:color="auto" w:fill="auto"/>
            <w:noWrap/>
            <w:vAlign w:val="center"/>
            <w:hideMark/>
          </w:tcPr>
          <w:p w14:paraId="3EBF439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0.438</w:t>
            </w:r>
          </w:p>
        </w:tc>
        <w:tc>
          <w:tcPr>
            <w:tcW w:w="1620" w:type="dxa"/>
            <w:tcBorders>
              <w:top w:val="nil"/>
              <w:left w:val="nil"/>
              <w:bottom w:val="single" w:sz="4" w:space="0" w:color="auto"/>
              <w:right w:val="single" w:sz="4" w:space="0" w:color="auto"/>
            </w:tcBorders>
            <w:shd w:val="clear" w:color="auto" w:fill="auto"/>
            <w:noWrap/>
            <w:vAlign w:val="center"/>
            <w:hideMark/>
          </w:tcPr>
          <w:p w14:paraId="4A90680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7.040</w:t>
            </w:r>
          </w:p>
        </w:tc>
        <w:tc>
          <w:tcPr>
            <w:tcW w:w="1621" w:type="dxa"/>
            <w:tcBorders>
              <w:top w:val="nil"/>
              <w:left w:val="nil"/>
              <w:bottom w:val="single" w:sz="4" w:space="0" w:color="auto"/>
              <w:right w:val="single" w:sz="4" w:space="0" w:color="auto"/>
            </w:tcBorders>
            <w:shd w:val="clear" w:color="auto" w:fill="auto"/>
            <w:noWrap/>
            <w:vAlign w:val="center"/>
            <w:hideMark/>
          </w:tcPr>
          <w:p w14:paraId="20F461B0"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5003EEEE"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7238A62C"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Level_4</w:t>
            </w:r>
          </w:p>
        </w:tc>
        <w:tc>
          <w:tcPr>
            <w:tcW w:w="1710" w:type="dxa"/>
            <w:tcBorders>
              <w:top w:val="nil"/>
              <w:left w:val="nil"/>
              <w:bottom w:val="single" w:sz="4" w:space="0" w:color="auto"/>
              <w:right w:val="single" w:sz="4" w:space="0" w:color="auto"/>
            </w:tcBorders>
            <w:shd w:val="clear" w:color="auto" w:fill="auto"/>
            <w:noWrap/>
            <w:vAlign w:val="center"/>
            <w:hideMark/>
          </w:tcPr>
          <w:p w14:paraId="024BE8BD"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0.464</w:t>
            </w:r>
          </w:p>
        </w:tc>
        <w:tc>
          <w:tcPr>
            <w:tcW w:w="1440" w:type="dxa"/>
            <w:tcBorders>
              <w:top w:val="nil"/>
              <w:left w:val="nil"/>
              <w:bottom w:val="single" w:sz="4" w:space="0" w:color="auto"/>
              <w:right w:val="single" w:sz="4" w:space="0" w:color="auto"/>
            </w:tcBorders>
            <w:shd w:val="clear" w:color="auto" w:fill="auto"/>
            <w:noWrap/>
            <w:vAlign w:val="center"/>
            <w:hideMark/>
          </w:tcPr>
          <w:p w14:paraId="352C4CCA"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0.568</w:t>
            </w:r>
          </w:p>
        </w:tc>
        <w:tc>
          <w:tcPr>
            <w:tcW w:w="1620" w:type="dxa"/>
            <w:tcBorders>
              <w:top w:val="nil"/>
              <w:left w:val="nil"/>
              <w:bottom w:val="single" w:sz="4" w:space="0" w:color="auto"/>
              <w:right w:val="single" w:sz="4" w:space="0" w:color="auto"/>
            </w:tcBorders>
            <w:shd w:val="clear" w:color="auto" w:fill="auto"/>
            <w:noWrap/>
            <w:vAlign w:val="center"/>
            <w:hideMark/>
          </w:tcPr>
          <w:p w14:paraId="7F8AA8B7"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0.820</w:t>
            </w:r>
          </w:p>
        </w:tc>
        <w:tc>
          <w:tcPr>
            <w:tcW w:w="1621" w:type="dxa"/>
            <w:tcBorders>
              <w:top w:val="nil"/>
              <w:left w:val="nil"/>
              <w:bottom w:val="single" w:sz="4" w:space="0" w:color="auto"/>
              <w:right w:val="single" w:sz="4" w:space="0" w:color="auto"/>
            </w:tcBorders>
            <w:shd w:val="clear" w:color="auto" w:fill="auto"/>
            <w:noWrap/>
            <w:vAlign w:val="center"/>
            <w:hideMark/>
          </w:tcPr>
          <w:p w14:paraId="05776254"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0.415</w:t>
            </w:r>
          </w:p>
        </w:tc>
      </w:tr>
      <w:tr w:rsidR="00BF10A3" w:rsidRPr="00784841" w14:paraId="323E429A"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41F20610"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Level_5</w:t>
            </w:r>
          </w:p>
        </w:tc>
        <w:tc>
          <w:tcPr>
            <w:tcW w:w="1710" w:type="dxa"/>
            <w:tcBorders>
              <w:top w:val="nil"/>
              <w:left w:val="nil"/>
              <w:bottom w:val="single" w:sz="4" w:space="0" w:color="auto"/>
              <w:right w:val="single" w:sz="4" w:space="0" w:color="auto"/>
            </w:tcBorders>
            <w:shd w:val="clear" w:color="auto" w:fill="auto"/>
            <w:noWrap/>
            <w:vAlign w:val="center"/>
            <w:hideMark/>
          </w:tcPr>
          <w:p w14:paraId="7CDF7956"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-1.514</w:t>
            </w:r>
          </w:p>
        </w:tc>
        <w:tc>
          <w:tcPr>
            <w:tcW w:w="1440" w:type="dxa"/>
            <w:tcBorders>
              <w:top w:val="nil"/>
              <w:left w:val="nil"/>
              <w:bottom w:val="single" w:sz="4" w:space="0" w:color="auto"/>
              <w:right w:val="single" w:sz="4" w:space="0" w:color="auto"/>
            </w:tcBorders>
            <w:shd w:val="clear" w:color="auto" w:fill="auto"/>
            <w:noWrap/>
            <w:vAlign w:val="center"/>
            <w:hideMark/>
          </w:tcPr>
          <w:p w14:paraId="243EDD2B"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0.600</w:t>
            </w:r>
          </w:p>
        </w:tc>
        <w:tc>
          <w:tcPr>
            <w:tcW w:w="1620" w:type="dxa"/>
            <w:tcBorders>
              <w:top w:val="nil"/>
              <w:left w:val="nil"/>
              <w:bottom w:val="single" w:sz="4" w:space="0" w:color="auto"/>
              <w:right w:val="single" w:sz="4" w:space="0" w:color="auto"/>
            </w:tcBorders>
            <w:shd w:val="clear" w:color="auto" w:fill="auto"/>
            <w:noWrap/>
            <w:vAlign w:val="center"/>
            <w:hideMark/>
          </w:tcPr>
          <w:p w14:paraId="1AB776F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-2.520</w:t>
            </w:r>
          </w:p>
        </w:tc>
        <w:tc>
          <w:tcPr>
            <w:tcW w:w="1621" w:type="dxa"/>
            <w:tcBorders>
              <w:top w:val="nil"/>
              <w:left w:val="nil"/>
              <w:bottom w:val="single" w:sz="4" w:space="0" w:color="auto"/>
              <w:right w:val="single" w:sz="4" w:space="0" w:color="auto"/>
            </w:tcBorders>
            <w:shd w:val="clear" w:color="auto" w:fill="auto"/>
            <w:noWrap/>
            <w:vAlign w:val="center"/>
            <w:hideMark/>
          </w:tcPr>
          <w:p w14:paraId="0B5AB77F"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0.012</w:t>
            </w:r>
          </w:p>
        </w:tc>
      </w:tr>
      <w:tr w:rsidR="00BF10A3" w:rsidRPr="00784841" w14:paraId="08CF064B"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198DE204"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Level_6</w:t>
            </w:r>
          </w:p>
        </w:tc>
        <w:tc>
          <w:tcPr>
            <w:tcW w:w="1710" w:type="dxa"/>
            <w:tcBorders>
              <w:top w:val="nil"/>
              <w:left w:val="nil"/>
              <w:bottom w:val="single" w:sz="4" w:space="0" w:color="auto"/>
              <w:right w:val="single" w:sz="4" w:space="0" w:color="auto"/>
            </w:tcBorders>
            <w:shd w:val="clear" w:color="auto" w:fill="auto"/>
            <w:noWrap/>
            <w:vAlign w:val="center"/>
            <w:hideMark/>
          </w:tcPr>
          <w:p w14:paraId="732485A6"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-2.974</w:t>
            </w:r>
          </w:p>
        </w:tc>
        <w:tc>
          <w:tcPr>
            <w:tcW w:w="1440" w:type="dxa"/>
            <w:tcBorders>
              <w:top w:val="nil"/>
              <w:left w:val="nil"/>
              <w:bottom w:val="single" w:sz="4" w:space="0" w:color="auto"/>
              <w:right w:val="single" w:sz="4" w:space="0" w:color="auto"/>
            </w:tcBorders>
            <w:shd w:val="clear" w:color="auto" w:fill="auto"/>
            <w:noWrap/>
            <w:vAlign w:val="center"/>
            <w:hideMark/>
          </w:tcPr>
          <w:p w14:paraId="5B28151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0.737</w:t>
            </w:r>
          </w:p>
        </w:tc>
        <w:tc>
          <w:tcPr>
            <w:tcW w:w="1620" w:type="dxa"/>
            <w:tcBorders>
              <w:top w:val="nil"/>
              <w:left w:val="nil"/>
              <w:bottom w:val="single" w:sz="4" w:space="0" w:color="auto"/>
              <w:right w:val="single" w:sz="4" w:space="0" w:color="auto"/>
            </w:tcBorders>
            <w:shd w:val="clear" w:color="auto" w:fill="auto"/>
            <w:noWrap/>
            <w:vAlign w:val="center"/>
            <w:hideMark/>
          </w:tcPr>
          <w:p w14:paraId="2BBEAAEA"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-4.040</w:t>
            </w:r>
          </w:p>
        </w:tc>
        <w:tc>
          <w:tcPr>
            <w:tcW w:w="1621" w:type="dxa"/>
            <w:tcBorders>
              <w:top w:val="nil"/>
              <w:left w:val="nil"/>
              <w:bottom w:val="single" w:sz="4" w:space="0" w:color="auto"/>
              <w:right w:val="single" w:sz="4" w:space="0" w:color="auto"/>
            </w:tcBorders>
            <w:shd w:val="clear" w:color="auto" w:fill="auto"/>
            <w:noWrap/>
            <w:vAlign w:val="center"/>
            <w:hideMark/>
          </w:tcPr>
          <w:p w14:paraId="4CAFA162"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2BD1F8F9"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09312EFC"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Level_7</w:t>
            </w:r>
          </w:p>
        </w:tc>
        <w:tc>
          <w:tcPr>
            <w:tcW w:w="1710" w:type="dxa"/>
            <w:tcBorders>
              <w:top w:val="nil"/>
              <w:left w:val="nil"/>
              <w:bottom w:val="single" w:sz="4" w:space="0" w:color="auto"/>
              <w:right w:val="single" w:sz="4" w:space="0" w:color="auto"/>
            </w:tcBorders>
            <w:shd w:val="clear" w:color="auto" w:fill="auto"/>
            <w:noWrap/>
            <w:vAlign w:val="center"/>
            <w:hideMark/>
          </w:tcPr>
          <w:p w14:paraId="3EE434D1"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0.635</w:t>
            </w:r>
          </w:p>
        </w:tc>
        <w:tc>
          <w:tcPr>
            <w:tcW w:w="1440" w:type="dxa"/>
            <w:tcBorders>
              <w:top w:val="nil"/>
              <w:left w:val="nil"/>
              <w:bottom w:val="single" w:sz="4" w:space="0" w:color="auto"/>
              <w:right w:val="single" w:sz="4" w:space="0" w:color="auto"/>
            </w:tcBorders>
            <w:shd w:val="clear" w:color="auto" w:fill="auto"/>
            <w:noWrap/>
            <w:vAlign w:val="center"/>
            <w:hideMark/>
          </w:tcPr>
          <w:p w14:paraId="53CB0367"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4.629</w:t>
            </w:r>
          </w:p>
        </w:tc>
        <w:tc>
          <w:tcPr>
            <w:tcW w:w="1620" w:type="dxa"/>
            <w:tcBorders>
              <w:top w:val="nil"/>
              <w:left w:val="nil"/>
              <w:bottom w:val="single" w:sz="4" w:space="0" w:color="auto"/>
              <w:right w:val="single" w:sz="4" w:space="0" w:color="auto"/>
            </w:tcBorders>
            <w:shd w:val="clear" w:color="auto" w:fill="auto"/>
            <w:noWrap/>
            <w:vAlign w:val="center"/>
            <w:hideMark/>
          </w:tcPr>
          <w:p w14:paraId="2E4E5937"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0.140</w:t>
            </w:r>
          </w:p>
        </w:tc>
        <w:tc>
          <w:tcPr>
            <w:tcW w:w="1621" w:type="dxa"/>
            <w:tcBorders>
              <w:top w:val="nil"/>
              <w:left w:val="nil"/>
              <w:bottom w:val="single" w:sz="4" w:space="0" w:color="auto"/>
              <w:right w:val="single" w:sz="4" w:space="0" w:color="auto"/>
            </w:tcBorders>
            <w:shd w:val="clear" w:color="auto" w:fill="auto"/>
            <w:noWrap/>
            <w:vAlign w:val="center"/>
            <w:hideMark/>
          </w:tcPr>
          <w:p w14:paraId="0EC161CF"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0.891</w:t>
            </w:r>
          </w:p>
        </w:tc>
      </w:tr>
      <w:tr w:rsidR="00BF10A3" w:rsidRPr="00784841" w14:paraId="31629CF0" w14:textId="77777777" w:rsidTr="001F7400">
        <w:trPr>
          <w:trHeight w:val="28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314939D5" w14:textId="77777777" w:rsidR="00BF10A3" w:rsidRPr="00784841" w:rsidRDefault="00BF10A3" w:rsidP="001F7400">
            <w:pPr>
              <w:spacing w:after="0" w:line="240" w:lineRule="auto"/>
              <w:rPr>
                <w:rFonts w:ascii="Courier New" w:eastAsia="Times New Roman" w:hAnsi="Courier New" w:cs="Courier New"/>
                <w:b/>
                <w:color w:val="000000"/>
                <w:sz w:val="20"/>
                <w:szCs w:val="20"/>
              </w:rPr>
            </w:pPr>
            <w:r w:rsidRPr="00784841">
              <w:rPr>
                <w:rFonts w:ascii="Courier New" w:eastAsia="Times New Roman" w:hAnsi="Courier New" w:cs="Courier New"/>
                <w:b/>
                <w:color w:val="000000"/>
                <w:sz w:val="20"/>
                <w:szCs w:val="20"/>
              </w:rPr>
              <w:t>Constant</w:t>
            </w:r>
          </w:p>
        </w:tc>
        <w:tc>
          <w:tcPr>
            <w:tcW w:w="1710" w:type="dxa"/>
            <w:tcBorders>
              <w:top w:val="nil"/>
              <w:left w:val="nil"/>
              <w:bottom w:val="single" w:sz="4" w:space="0" w:color="auto"/>
              <w:right w:val="single" w:sz="4" w:space="0" w:color="auto"/>
            </w:tcBorders>
            <w:shd w:val="clear" w:color="auto" w:fill="auto"/>
            <w:noWrap/>
            <w:vAlign w:val="center"/>
            <w:hideMark/>
          </w:tcPr>
          <w:p w14:paraId="613C5DE5"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6.495</w:t>
            </w:r>
          </w:p>
        </w:tc>
        <w:tc>
          <w:tcPr>
            <w:tcW w:w="1440" w:type="dxa"/>
            <w:tcBorders>
              <w:top w:val="nil"/>
              <w:left w:val="nil"/>
              <w:bottom w:val="single" w:sz="4" w:space="0" w:color="auto"/>
              <w:right w:val="single" w:sz="4" w:space="0" w:color="auto"/>
            </w:tcBorders>
            <w:shd w:val="clear" w:color="auto" w:fill="auto"/>
            <w:noWrap/>
            <w:vAlign w:val="center"/>
            <w:hideMark/>
          </w:tcPr>
          <w:p w14:paraId="63EAF8E6"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0.493</w:t>
            </w:r>
          </w:p>
        </w:tc>
        <w:tc>
          <w:tcPr>
            <w:tcW w:w="1620" w:type="dxa"/>
            <w:tcBorders>
              <w:top w:val="nil"/>
              <w:left w:val="nil"/>
              <w:bottom w:val="single" w:sz="4" w:space="0" w:color="auto"/>
              <w:right w:val="single" w:sz="4" w:space="0" w:color="auto"/>
            </w:tcBorders>
            <w:shd w:val="clear" w:color="auto" w:fill="auto"/>
            <w:noWrap/>
            <w:vAlign w:val="center"/>
            <w:hideMark/>
          </w:tcPr>
          <w:p w14:paraId="485B802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13.170</w:t>
            </w:r>
          </w:p>
        </w:tc>
        <w:tc>
          <w:tcPr>
            <w:tcW w:w="1621" w:type="dxa"/>
            <w:tcBorders>
              <w:top w:val="nil"/>
              <w:left w:val="nil"/>
              <w:bottom w:val="single" w:sz="4" w:space="0" w:color="auto"/>
              <w:right w:val="single" w:sz="4" w:space="0" w:color="auto"/>
            </w:tcBorders>
            <w:shd w:val="clear" w:color="auto" w:fill="auto"/>
            <w:noWrap/>
            <w:vAlign w:val="center"/>
            <w:hideMark/>
          </w:tcPr>
          <w:p w14:paraId="7950F20C" w14:textId="77777777" w:rsidR="00BF10A3" w:rsidRPr="00784841" w:rsidRDefault="00BF10A3" w:rsidP="001F7400">
            <w:pPr>
              <w:spacing w:after="0" w:line="240" w:lineRule="auto"/>
              <w:jc w:val="right"/>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0.000</w:t>
            </w:r>
          </w:p>
        </w:tc>
      </w:tr>
      <w:tr w:rsidR="00BF10A3" w:rsidRPr="00784841" w14:paraId="307F9D34" w14:textId="77777777" w:rsidTr="001F7400">
        <w:trPr>
          <w:trHeight w:val="271"/>
        </w:trPr>
        <w:tc>
          <w:tcPr>
            <w:tcW w:w="8296" w:type="dxa"/>
            <w:gridSpan w:val="5"/>
            <w:tcBorders>
              <w:top w:val="single" w:sz="4" w:space="0" w:color="auto"/>
              <w:left w:val="single" w:sz="4" w:space="0" w:color="auto"/>
              <w:bottom w:val="nil"/>
              <w:right w:val="nil"/>
            </w:tcBorders>
            <w:shd w:val="clear" w:color="auto" w:fill="auto"/>
            <w:hideMark/>
          </w:tcPr>
          <w:p w14:paraId="2F2B704A" w14:textId="77777777" w:rsidR="00BF10A3" w:rsidRPr="00784841" w:rsidRDefault="00BF10A3" w:rsidP="001F7400">
            <w:pPr>
              <w:spacing w:after="0" w:line="240" w:lineRule="auto"/>
              <w:rPr>
                <w:rFonts w:ascii="Courier New" w:eastAsia="Times New Roman" w:hAnsi="Courier New" w:cs="Courier New"/>
                <w:color w:val="000000"/>
                <w:sz w:val="20"/>
                <w:szCs w:val="20"/>
              </w:rPr>
            </w:pPr>
            <w:r w:rsidRPr="00784841">
              <w:rPr>
                <w:rFonts w:ascii="Courier New" w:eastAsia="Times New Roman" w:hAnsi="Courier New" w:cs="Courier New"/>
                <w:color w:val="000000"/>
                <w:sz w:val="20"/>
                <w:szCs w:val="20"/>
              </w:rPr>
              <w:t>Private 2-3 years used as reference group for sector and credential level 01 (undergraduate certificate) used as reference group for credential levels</w:t>
            </w:r>
          </w:p>
        </w:tc>
      </w:tr>
    </w:tbl>
    <w:p w14:paraId="2ABE90F5" w14:textId="77777777" w:rsidR="00BF10A3" w:rsidRDefault="00BF10A3" w:rsidP="00BF10A3">
      <w:pPr>
        <w:spacing w:after="0" w:line="240" w:lineRule="auto"/>
        <w:ind w:firstLine="720"/>
        <w:rPr>
          <w:rFonts w:ascii="Courier New" w:hAnsi="Courier New" w:cs="Courier New"/>
          <w:sz w:val="24"/>
          <w:szCs w:val="24"/>
        </w:rPr>
      </w:pPr>
    </w:p>
    <w:p w14:paraId="6BCBE244" w14:textId="77777777" w:rsidR="00BF10A3" w:rsidRPr="00AA6DFD" w:rsidRDefault="00BF10A3" w:rsidP="00BF10A3">
      <w:pPr>
        <w:spacing w:after="0" w:line="480" w:lineRule="auto"/>
        <w:ind w:firstLine="720"/>
        <w:rPr>
          <w:rFonts w:ascii="Courier New" w:hAnsi="Courier New" w:cs="Courier New"/>
          <w:sz w:val="24"/>
          <w:szCs w:val="24"/>
        </w:rPr>
      </w:pPr>
      <w:r w:rsidRPr="00784841">
        <w:rPr>
          <w:rFonts w:ascii="Courier New" w:hAnsi="Courier New" w:cs="Courier New"/>
          <w:sz w:val="24"/>
          <w:szCs w:val="24"/>
        </w:rPr>
        <w:t>To investigate whether other demographic or non-demographic factors could explain more of the variation in program annual earnings rates, the Department conducted a second regression with additional independent variables.  The second regression used percent zero EFC, female, and above age 24 as independent variables in addition to percent Pell and percent minority.</w:t>
      </w:r>
      <w:r w:rsidRPr="00784841" w:rsidDel="00542B6B">
        <w:rPr>
          <w:rFonts w:ascii="Courier New" w:hAnsi="Courier New"/>
          <w:sz w:val="24"/>
          <w:szCs w:val="24"/>
        </w:rPr>
        <w:t xml:space="preserve"> </w:t>
      </w:r>
      <w:r w:rsidRPr="00784841">
        <w:rPr>
          <w:rFonts w:ascii="Courier New" w:hAnsi="Courier New" w:cs="Courier New"/>
          <w:sz w:val="24"/>
          <w:szCs w:val="24"/>
        </w:rPr>
        <w:t xml:space="preserve">  We controlled for the sector and type of a program’s institution and the credential level of the program.  Holding constant other demographic</w:t>
      </w:r>
      <w:r w:rsidRPr="00AA6DFD">
        <w:rPr>
          <w:rFonts w:ascii="Courier New" w:hAnsi="Courier New" w:cs="Courier New"/>
          <w:sz w:val="24"/>
          <w:szCs w:val="24"/>
        </w:rPr>
        <w:t xml:space="preserve">, program, and institutional characteristics, the relationship between percent Pell and the annual earnings rate was no longer statistically significant.  Another indicator of socioeconomic status, percent zero EFC, was positively associated with program annual earnings rate.  </w:t>
      </w:r>
      <w:r w:rsidRPr="00B53B21">
        <w:rPr>
          <w:rFonts w:ascii="Courier New" w:hAnsi="Courier New"/>
          <w:sz w:val="24"/>
        </w:rPr>
        <w:t>However, interpretations of the percent Pell and percent zero EFC coefficients should be taken with caution because percent Pell and percent zero EFC are highly correlated (correlation coefficient = 0.72).</w:t>
      </w:r>
      <w:r w:rsidRPr="00AA6DFD">
        <w:rPr>
          <w:rFonts w:ascii="Courier New" w:hAnsi="Courier New" w:cs="Courier New"/>
          <w:sz w:val="24"/>
          <w:szCs w:val="24"/>
        </w:rPr>
        <w:t xml:space="preserve">  These correlations are taken into account in the student demographics analysis of the final regulations provided below.  In addition, percent above 24 was negatively associated with program annual earnings rate. Almost 36 percent (R-squared) of the variance in annual earnings rate results can be explained by the variables used in this analysis. </w:t>
      </w:r>
    </w:p>
    <w:p w14:paraId="07B42DB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Several commenters referenced reports by Charles River Associates and the Parthenon Group which attempted to replicate the Department’s regression analysis in the NPRM using publicly available data and included additional analysis of the relationship between student characteristics and debt-to-earnings ratios using student-level data from a sample of for-profit institutions.  The Parthenon Group analyzed Health-related programs, and engaged in a process to clean IPEDS data, which resulted in a sample set of 1,095 programs.  The Parthenon Group asserted that the results of their regression analysis with annual earnings rate as the dependent variable and minority status, gender, age, Pell eligibility, average aid, enrollment status, and degree level as independent variables indicated that student characteristics explained 47 percent of the variance in annual earnings rates.  The Parthenon Group’s analysis with pCDR as the dependent variable concluded that 63 percent of the variation resulted from student characteristics.  Charles River Associates’ analysis used annual earnings rate and the pCDR from the 2012 GE informational D/E rates and pCDRs as dependent variables and IPEDS institutional Pell Grant data and program-level race and ethnicity data on the percentage of students who are Black, Indian, or Hispanic as independent variables.  The R-squared value of the Charles River Associates model was 0.025 compared to less than 0.02 in the Department’s analysis.  From its analysis, Charles River Associates concluded that Pell Grant status had a positive and significant relationship with both annual earnings rate and pCDR and minority status was positively correlated with pCDR but there was no statistically significant relationship between minority status and annual earnings rate.  </w:t>
      </w:r>
    </w:p>
    <w:p w14:paraId="26496A78" w14:textId="77777777" w:rsidR="00BF10A3" w:rsidRPr="00B53B21" w:rsidRDefault="00BF10A3" w:rsidP="00BF10A3">
      <w:pPr>
        <w:pStyle w:val="riaheader2"/>
      </w:pPr>
      <w:r w:rsidRPr="00B53B21">
        <w:t xml:space="preserve">Student demographics analysis of final regulations </w:t>
      </w:r>
    </w:p>
    <w:p w14:paraId="6986338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response to the NPRM, commenters asserted that the proposed regulations primarily measure student characteristics instead of program quality and that the regulations would deny postsecondary opportunities to low-income, minority, and female students by restricting access to postsecondary education.  Some commenters conducted their own analyses with both publicly available data from IPEDS and non-publicly available data from several for-profit institutions.  These commenters argued their analysis shows that the Department underestimated the explanatory power of student demographics on program results and that student demographics play an important part in explaining postsecondary outcomes.    </w:t>
      </w:r>
    </w:p>
    <w:p w14:paraId="5C742CF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Specifically, Charles River Associates conducted an analysis using student-level data for 10 different for-profit institutions combining NSLDS data with demographic information provided by institutions.  These data were used in logistic regressions with three dummy dependent variables representing whether students completed, ever borrowed, or defaulted.  The results were a series of odds ratios for propensity to graduate, borrow, and default that indicated that minority and Pell status matter for student outcomes.  Among the findings were that African </w:t>
      </w:r>
      <w:r w:rsidRPr="00F43746">
        <w:rPr>
          <w:rFonts w:ascii="Courier New" w:hAnsi="Courier New" w:cs="Courier New"/>
          <w:sz w:val="24"/>
          <w:szCs w:val="24"/>
        </w:rPr>
        <w:t>American students were less likely to borrow than white students (.92 percent compared to a reference group of white students), but 13</w:t>
      </w:r>
      <w:r w:rsidRPr="00AA6DFD">
        <w:rPr>
          <w:rFonts w:ascii="Courier New" w:hAnsi="Courier New" w:cs="Courier New"/>
          <w:sz w:val="24"/>
          <w:szCs w:val="24"/>
        </w:rPr>
        <w:t xml:space="preserve"> percent more likely to default.  Hispanic students were not statistically different from white students </w:t>
      </w:r>
      <w:r>
        <w:rPr>
          <w:rFonts w:ascii="Courier New" w:hAnsi="Courier New" w:cs="Courier New"/>
          <w:sz w:val="24"/>
          <w:szCs w:val="24"/>
        </w:rPr>
        <w:t xml:space="preserve">with respect to </w:t>
      </w:r>
      <w:r w:rsidRPr="00AA6DFD">
        <w:rPr>
          <w:rFonts w:ascii="Courier New" w:hAnsi="Courier New" w:cs="Courier New"/>
          <w:sz w:val="24"/>
          <w:szCs w:val="24"/>
        </w:rPr>
        <w:t xml:space="preserve">the likelihood of graduation, but </w:t>
      </w:r>
      <w:r>
        <w:rPr>
          <w:rFonts w:ascii="Courier New" w:hAnsi="Courier New" w:cs="Courier New"/>
          <w:sz w:val="24"/>
          <w:szCs w:val="24"/>
        </w:rPr>
        <w:t xml:space="preserve">were </w:t>
      </w:r>
      <w:r w:rsidRPr="00AA6DFD">
        <w:rPr>
          <w:rFonts w:ascii="Courier New" w:hAnsi="Courier New" w:cs="Courier New"/>
          <w:sz w:val="24"/>
          <w:szCs w:val="24"/>
        </w:rPr>
        <w:t xml:space="preserve">13 percent more likely to borrow and 36 percent more likely to default.  </w:t>
      </w:r>
      <w:r>
        <w:rPr>
          <w:rFonts w:ascii="Courier New" w:hAnsi="Courier New" w:cs="Courier New"/>
          <w:sz w:val="24"/>
          <w:szCs w:val="24"/>
        </w:rPr>
        <w:t>Students who received Pell Grants were two</w:t>
      </w:r>
      <w:r w:rsidRPr="00AA6DFD">
        <w:rPr>
          <w:rFonts w:ascii="Courier New" w:hAnsi="Courier New" w:cs="Courier New"/>
          <w:sz w:val="24"/>
          <w:szCs w:val="24"/>
        </w:rPr>
        <w:t xml:space="preserve"> times more</w:t>
      </w:r>
      <w:r>
        <w:rPr>
          <w:rFonts w:ascii="Courier New" w:hAnsi="Courier New" w:cs="Courier New"/>
          <w:sz w:val="24"/>
          <w:szCs w:val="24"/>
        </w:rPr>
        <w:t xml:space="preserve"> likely to graduate and five</w:t>
      </w:r>
      <w:r w:rsidRPr="00AA6DFD">
        <w:rPr>
          <w:rFonts w:ascii="Courier New" w:hAnsi="Courier New" w:cs="Courier New"/>
          <w:sz w:val="24"/>
          <w:szCs w:val="24"/>
        </w:rPr>
        <w:t xml:space="preserve"> times more likely to borrow, and, among students who borrow, 14 percent more likely to default.  When limited to students who complete a program, Pell </w:t>
      </w:r>
      <w:r>
        <w:rPr>
          <w:rFonts w:ascii="Courier New" w:hAnsi="Courier New" w:cs="Courier New"/>
          <w:sz w:val="24"/>
          <w:szCs w:val="24"/>
        </w:rPr>
        <w:t xml:space="preserve">Grant </w:t>
      </w:r>
      <w:r w:rsidRPr="00AA6DFD">
        <w:rPr>
          <w:rFonts w:ascii="Courier New" w:hAnsi="Courier New" w:cs="Courier New"/>
          <w:sz w:val="24"/>
          <w:szCs w:val="24"/>
        </w:rPr>
        <w:t xml:space="preserve">recipients </w:t>
      </w:r>
      <w:r>
        <w:rPr>
          <w:rFonts w:ascii="Courier New" w:hAnsi="Courier New" w:cs="Courier New"/>
          <w:sz w:val="24"/>
          <w:szCs w:val="24"/>
        </w:rPr>
        <w:t>were</w:t>
      </w:r>
      <w:r w:rsidRPr="00AA6DFD">
        <w:rPr>
          <w:rFonts w:ascii="Courier New" w:hAnsi="Courier New" w:cs="Courier New"/>
          <w:sz w:val="24"/>
          <w:szCs w:val="24"/>
        </w:rPr>
        <w:t xml:space="preserve"> 3.8 times more likely to borrow and 20 percent more likely to default than students who do not receive a Pell Grant.  Regression with the another dependent variable, cumulative amount borrowed, indicated that the strongest predictors of amount borrowed are credential level and completion status, with students who do not complete borrowing approximately $6,700 less than students who do complete after accounting for the factors in the model. </w:t>
      </w:r>
    </w:p>
    <w:p w14:paraId="6FED046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respond to these comments and to further examine the relationship between student demographics and program results under the annual earnings rate, the Department conducted additional analysis for the final regulations.  </w:t>
      </w:r>
    </w:p>
    <w:p w14:paraId="72CE97A4" w14:textId="77777777" w:rsidR="00BF10A3" w:rsidRPr="00B53B21" w:rsidRDefault="00BF10A3" w:rsidP="00BF10A3">
      <w:pPr>
        <w:pStyle w:val="riaheader3"/>
      </w:pPr>
      <w:r w:rsidRPr="00B53B21">
        <w:t xml:space="preserve">Methodology for student demographic analysis of final regulations </w:t>
      </w:r>
    </w:p>
    <w:p w14:paraId="7A9C5FA4" w14:textId="77777777" w:rsidR="00BF10A3" w:rsidRPr="00AA6DFD" w:rsidRDefault="00BF10A3" w:rsidP="00BF10A3">
      <w:pPr>
        <w:spacing w:after="0" w:line="240" w:lineRule="auto"/>
        <w:ind w:firstLine="720"/>
        <w:rPr>
          <w:lang w:eastAsia="zh-CN"/>
        </w:rPr>
      </w:pPr>
    </w:p>
    <w:p w14:paraId="5C0E1A8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Similar to the NPRM methodology, the Department used ordinary least squares regressions to examine the relationship between student demographics and the program results under the final regulations.  In addition, the Department conducted descriptive analyses of the 2012 GE informational D/E rates programs.  Specifically, we examined the demographic composition of programs, comparing the composition of passing, zone, and failing programs.  </w:t>
      </w:r>
    </w:p>
    <w:p w14:paraId="241C81F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conducted regression analysis using only annual earnings rate as the dependent </w:t>
      </w:r>
      <w:r>
        <w:rPr>
          <w:rFonts w:ascii="Courier New" w:hAnsi="Courier New" w:cs="Courier New"/>
          <w:sz w:val="24"/>
          <w:szCs w:val="24"/>
        </w:rPr>
        <w:t xml:space="preserve">variable because pCDR is not an </w:t>
      </w:r>
      <w:r w:rsidRPr="00AA6DFD">
        <w:rPr>
          <w:rFonts w:ascii="Courier New" w:hAnsi="Courier New" w:cs="Courier New"/>
          <w:sz w:val="24"/>
          <w:szCs w:val="24"/>
        </w:rPr>
        <w:t>accountability metric in the final regulations.  For this analysis, percent white, Black, Hispanic, Asian, Indian, two or more races, female, zero EFC, independent, and mother completed college, institutional sector and type, and program credential level were used as independent variables.</w:t>
      </w:r>
      <w:r w:rsidRPr="00AA6DFD">
        <w:rPr>
          <w:rStyle w:val="FootnoteReference"/>
          <w:rFonts w:ascii="Courier New" w:hAnsi="Courier New"/>
          <w:sz w:val="24"/>
          <w:szCs w:val="24"/>
        </w:rPr>
        <w:footnoteReference w:id="317"/>
      </w:r>
    </w:p>
    <w:p w14:paraId="74B1A64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For the race and ethnicity variables, we used the proportion of individuals in each race and ethnicity category reported in the IPEDS 2008 data set.  </w:t>
      </w:r>
      <w:r w:rsidRPr="00B53B21">
        <w:rPr>
          <w:rFonts w:ascii="Courier New" w:hAnsi="Courier New"/>
          <w:sz w:val="24"/>
        </w:rPr>
        <w:t xml:space="preserve">To match the IPEDS data to the 2012 GE informational D/E rates data set, the Department converted IPEDS credential levels to GE credential levels, converted </w:t>
      </w:r>
      <w:r w:rsidRPr="00B53B21">
        <w:rPr>
          <w:rFonts w:ascii="Courier New" w:hAnsi="Courier New" w:cs="Courier New"/>
          <w:sz w:val="24"/>
          <w:szCs w:val="24"/>
        </w:rPr>
        <w:t xml:space="preserve">IPEDS </w:t>
      </w:r>
      <w:r w:rsidRPr="00B53B21">
        <w:rPr>
          <w:rFonts w:ascii="Courier New" w:hAnsi="Courier New"/>
          <w:sz w:val="24"/>
        </w:rPr>
        <w:t>OPEIDs to six-digit OPEIDs, and converted all CIP codes to 2010 CIP codes.</w:t>
      </w:r>
      <w:r w:rsidRPr="00B53B21">
        <w:rPr>
          <w:rStyle w:val="FootnoteReference"/>
          <w:rFonts w:ascii="Courier New" w:hAnsi="Courier New"/>
          <w:sz w:val="24"/>
        </w:rPr>
        <w:footnoteReference w:id="318"/>
      </w:r>
      <w:r w:rsidRPr="00B53B21">
        <w:rPr>
          <w:rFonts w:ascii="Courier New" w:hAnsi="Courier New"/>
          <w:sz w:val="24"/>
        </w:rPr>
        <w:t xml:space="preserve">  We aggregated the number of completions reported for each program in IPEDS to the corresponding GE program definition of six-digit OPEID, CIP code, and credential level.  </w:t>
      </w:r>
      <w:r w:rsidRPr="00B53B21">
        <w:rPr>
          <w:rFonts w:ascii="Courier New" w:hAnsi="Courier New" w:cs="Courier New"/>
          <w:sz w:val="24"/>
          <w:szCs w:val="24"/>
        </w:rPr>
        <w:t>While D/E rates measure only the outcomes of students who completed a program and received title IV, HEA program funds,</w:t>
      </w:r>
      <w:r w:rsidRPr="00B53B21">
        <w:rPr>
          <w:rFonts w:ascii="Courier New" w:hAnsi="Courier New"/>
          <w:sz w:val="24"/>
        </w:rPr>
        <w:t xml:space="preserve"> IPEDS completions data include both title IV </w:t>
      </w:r>
      <w:r w:rsidRPr="00B53B21">
        <w:rPr>
          <w:rFonts w:ascii="Courier New" w:hAnsi="Courier New" w:cs="Courier New"/>
          <w:sz w:val="24"/>
          <w:szCs w:val="24"/>
        </w:rPr>
        <w:t xml:space="preserve">graduates </w:t>
      </w:r>
      <w:r w:rsidRPr="00B53B21">
        <w:rPr>
          <w:rFonts w:ascii="Courier New" w:hAnsi="Courier New"/>
          <w:sz w:val="24"/>
        </w:rPr>
        <w:t>and non-title IV</w:t>
      </w:r>
      <w:r w:rsidRPr="00B53B21">
        <w:rPr>
          <w:rFonts w:ascii="Courier New" w:hAnsi="Courier New" w:cs="Courier New"/>
          <w:sz w:val="24"/>
          <w:szCs w:val="24"/>
        </w:rPr>
        <w:t xml:space="preserve"> graduates</w:t>
      </w:r>
      <w:r w:rsidRPr="00B53B21">
        <w:rPr>
          <w:rFonts w:ascii="Courier New" w:hAnsi="Courier New"/>
          <w:sz w:val="24"/>
        </w:rPr>
        <w:t xml:space="preserve">.  We believe the IPEDS data provides a reasonable approximation of the proportion, by race and ethnicity, of title IV </w:t>
      </w:r>
      <w:r w:rsidRPr="00B53B21">
        <w:rPr>
          <w:rFonts w:ascii="Courier New" w:hAnsi="Courier New" w:cs="Courier New"/>
          <w:sz w:val="24"/>
          <w:szCs w:val="24"/>
        </w:rPr>
        <w:t xml:space="preserve">graduates </w:t>
      </w:r>
      <w:r w:rsidRPr="00B53B21">
        <w:rPr>
          <w:rFonts w:ascii="Courier New" w:hAnsi="Courier New"/>
          <w:sz w:val="24"/>
        </w:rPr>
        <w:t>completing GE programs.</w:t>
      </w:r>
      <w:r w:rsidRPr="00AA6DFD">
        <w:rPr>
          <w:rFonts w:ascii="Courier New" w:hAnsi="Courier New" w:cs="Courier New"/>
          <w:sz w:val="24"/>
          <w:szCs w:val="24"/>
        </w:rPr>
        <w:t xml:space="preserve">  Unlike the NPRM analysis, we did not group multiple race and ethnicity categories into a single minority status variable because definitions of minority status may vary.</w:t>
      </w:r>
      <w:r w:rsidRPr="00AA6DFD">
        <w:rPr>
          <w:rStyle w:val="FootnoteReference"/>
          <w:rFonts w:ascii="Courier New" w:hAnsi="Courier New"/>
          <w:sz w:val="24"/>
          <w:szCs w:val="24"/>
        </w:rPr>
        <w:footnoteReference w:id="319"/>
      </w:r>
      <w:r w:rsidRPr="00AA6DFD">
        <w:rPr>
          <w:rFonts w:ascii="Courier New" w:hAnsi="Courier New" w:cs="Courier New"/>
          <w:sz w:val="24"/>
          <w:szCs w:val="24"/>
        </w:rPr>
        <w:t xml:space="preserve">  For the annual earnings rate regression analysis, we determined percent of each race and ethnicity category for 4,173 of the 5,539 programs in the 2012 GE informational D/E rates data set.  </w:t>
      </w:r>
      <w:r w:rsidRPr="00B53B21">
        <w:rPr>
          <w:rFonts w:ascii="Courier New" w:hAnsi="Courier New"/>
          <w:sz w:val="24"/>
        </w:rPr>
        <w:t xml:space="preserve">Many programs could not be matched primarily because, as stated above, IPEDS and NSLDS use different reporting mechanisms, and the two reporting systems may not be consistent in matching data </w:t>
      </w:r>
      <w:r w:rsidRPr="00B53B21">
        <w:rPr>
          <w:rFonts w:ascii="Courier New" w:hAnsi="Courier New" w:cs="Courier New"/>
          <w:sz w:val="24"/>
          <w:szCs w:val="24"/>
        </w:rPr>
        <w:t xml:space="preserve">at the GE </w:t>
      </w:r>
      <w:r w:rsidRPr="00B53B21">
        <w:rPr>
          <w:rFonts w:ascii="Courier New" w:hAnsi="Courier New"/>
          <w:sz w:val="24"/>
        </w:rPr>
        <w:t>program-level.</w:t>
      </w:r>
      <w:r w:rsidRPr="00AA6DFD">
        <w:rPr>
          <w:rFonts w:ascii="Courier New" w:hAnsi="Courier New" w:cs="Courier New"/>
          <w:sz w:val="24"/>
          <w:szCs w:val="24"/>
        </w:rPr>
        <w:t xml:space="preserve">  </w:t>
      </w:r>
      <w:r w:rsidRPr="00B53B21">
        <w:rPr>
          <w:rFonts w:ascii="Courier New" w:hAnsi="Courier New"/>
          <w:sz w:val="24"/>
        </w:rPr>
        <w:t>Because this resulted in a limited data set, the regression analysis was conducted both with and without the percent race and ethnicity variables.</w:t>
      </w:r>
      <w:r w:rsidRPr="00AA6DFD">
        <w:rPr>
          <w:rStyle w:val="FootnoteReference"/>
          <w:rFonts w:ascii="Courier New" w:hAnsi="Courier New"/>
          <w:sz w:val="24"/>
          <w:szCs w:val="24"/>
        </w:rPr>
        <w:footnoteReference w:id="320"/>
      </w:r>
    </w:p>
    <w:p w14:paraId="5E46018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Percent Pell for this analysis is the percentage of title IV students who completed a GE program between October 1, 2007 and September 30, 2009, who received a Pell Grant at any time in their academic career.  Unlike the determination of percent Pell in the </w:t>
      </w:r>
      <w:r w:rsidRPr="00AA6DFD">
        <w:rPr>
          <w:rFonts w:ascii="Courier New" w:hAnsi="Courier New" w:cs="Courier New"/>
          <w:sz w:val="24"/>
        </w:rPr>
        <w:t xml:space="preserve">NPRM, </w:t>
      </w:r>
      <w:r w:rsidRPr="00AA6DFD">
        <w:rPr>
          <w:rFonts w:ascii="Courier New" w:hAnsi="Courier New"/>
          <w:sz w:val="24"/>
        </w:rPr>
        <w:t xml:space="preserve">which was based on all borrowers, </w:t>
      </w:r>
      <w:r w:rsidRPr="00AA6DFD">
        <w:rPr>
          <w:rFonts w:ascii="Courier New" w:hAnsi="Courier New" w:cs="Courier New"/>
          <w:sz w:val="24"/>
          <w:szCs w:val="24"/>
        </w:rPr>
        <w:t xml:space="preserve">we determined percent Pell based on all students who completed a program because those are the students whose outcomes are assessed by the annual earnings rate.  Further, because Pell status is being used as a proxy for socioeconomic background, we counted students if they had received a Pell Grant at any time in their academic career, even if they did not receive it for enrollment in the program.    </w:t>
      </w:r>
    </w:p>
    <w:p w14:paraId="3EB5C0B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following variables that were used in the NPRM analysis were also used in the analysis for the final regulations: </w:t>
      </w:r>
    </w:p>
    <w:p w14:paraId="5DAEB4B9"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 xml:space="preserve">Institution Sector.  Public, Private, or For-Profit </w:t>
      </w:r>
    </w:p>
    <w:p w14:paraId="1257F64D"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Credential Level. (01) Undergraduate certificate, (02) Associate degree, (03) Bachelor’s degree, (04) Post-Baccalaureate certificate, (05) Master’s degree, (06) Doctoral degree, (07) First Professional degree.</w:t>
      </w:r>
    </w:p>
    <w:p w14:paraId="53909A53" w14:textId="77777777" w:rsidR="00BF10A3" w:rsidRPr="00AA6DFD" w:rsidRDefault="00BF10A3" w:rsidP="00BF10A3">
      <w:pPr>
        <w:pStyle w:val="ListParagraph"/>
        <w:numPr>
          <w:ilvl w:val="0"/>
          <w:numId w:val="13"/>
        </w:numPr>
        <w:spacing w:after="0" w:line="480" w:lineRule="auto"/>
        <w:rPr>
          <w:rFonts w:ascii="Courier New" w:hAnsi="Courier New" w:cs="Courier New"/>
          <w:sz w:val="24"/>
          <w:szCs w:val="24"/>
        </w:rPr>
      </w:pPr>
      <w:r w:rsidRPr="00AA6DFD">
        <w:rPr>
          <w:rFonts w:ascii="Courier New" w:hAnsi="Courier New" w:cs="Courier New"/>
          <w:sz w:val="24"/>
          <w:szCs w:val="24"/>
        </w:rPr>
        <w:t>Percentage of students:</w:t>
      </w:r>
      <w:r w:rsidRPr="00AA6DFD">
        <w:rPr>
          <w:rFonts w:ascii="Courier New" w:hAnsi="Courier New" w:cs="Courier New"/>
          <w:sz w:val="24"/>
          <w:szCs w:val="24"/>
        </w:rPr>
        <w:tab/>
      </w:r>
    </w:p>
    <w:p w14:paraId="6D7D3E63"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 xml:space="preserve">Female. </w:t>
      </w:r>
    </w:p>
    <w:p w14:paraId="78CF4CCE"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Zero EFC.  We consider zero EFC status as an indicator of socioeconomic status because EFC is calculated based on household income.</w:t>
      </w:r>
    </w:p>
    <w:p w14:paraId="43C269C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percentage of students with the following characteristics were used as additional variables in the analysis for the final regulations but were not used in the NPRM analysis:         </w:t>
      </w:r>
    </w:p>
    <w:p w14:paraId="1461DE21"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Independent.  Independent status is determined by a number of factors, including age, marital status, veteran status, and whether a student is claimed as a dependent by anyone for purposes of a tax filing.</w:t>
      </w:r>
      <w:r w:rsidRPr="00AA6DFD">
        <w:rPr>
          <w:rStyle w:val="FootnoteReference"/>
          <w:rFonts w:ascii="Courier New" w:hAnsi="Courier New" w:cs="Courier New"/>
          <w:sz w:val="24"/>
          <w:szCs w:val="24"/>
        </w:rPr>
        <w:footnoteReference w:id="321"/>
      </w:r>
      <w:r w:rsidRPr="00AA6DFD">
        <w:rPr>
          <w:rFonts w:ascii="Courier New" w:hAnsi="Courier New" w:cs="Courier New"/>
          <w:sz w:val="24"/>
          <w:szCs w:val="24"/>
        </w:rPr>
        <w:t xml:space="preserve">  We consider independent students as an indicator that the student is non-traditional because most traditional students begin their studies as dependents.</w:t>
      </w:r>
    </w:p>
    <w:p w14:paraId="099346BF"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AA6DFD">
        <w:rPr>
          <w:rFonts w:ascii="Courier New" w:hAnsi="Courier New" w:cs="Courier New"/>
          <w:sz w:val="24"/>
          <w:szCs w:val="24"/>
        </w:rPr>
        <w:t>Married.  Students who were married at the beginning of their academic careers.  We consider married status to indicate the student is non-traditional because most traditional students are unmarried at the start of their academic careers.</w:t>
      </w:r>
    </w:p>
    <w:p w14:paraId="720DCE0C" w14:textId="77777777" w:rsidR="00BF10A3" w:rsidRPr="00AA6DFD" w:rsidRDefault="00BF10A3" w:rsidP="00BF10A3">
      <w:pPr>
        <w:pStyle w:val="ListParagraph"/>
        <w:numPr>
          <w:ilvl w:val="1"/>
          <w:numId w:val="13"/>
        </w:numPr>
        <w:spacing w:after="0" w:line="480" w:lineRule="auto"/>
        <w:rPr>
          <w:rFonts w:ascii="Courier New" w:hAnsi="Courier New" w:cs="Courier New"/>
          <w:sz w:val="24"/>
          <w:szCs w:val="24"/>
        </w:rPr>
      </w:pPr>
      <w:r w:rsidRPr="002F1F2E">
        <w:rPr>
          <w:rFonts w:ascii="Courier New" w:hAnsi="Courier New" w:cs="Courier New"/>
          <w:sz w:val="24"/>
          <w:szCs w:val="24"/>
        </w:rPr>
        <w:t>Mother of Students with College Education</w:t>
      </w:r>
      <w:r w:rsidRPr="00AA6DFD">
        <w:rPr>
          <w:rFonts w:ascii="Courier New" w:hAnsi="Courier New" w:cs="Courier New"/>
          <w:sz w:val="24"/>
          <w:szCs w:val="24"/>
        </w:rPr>
        <w:t>.  Students whose mothers completed college.  Children of mothers who completed college are more likely to attend and complete college.</w:t>
      </w:r>
      <w:r w:rsidRPr="00AA6DFD">
        <w:rPr>
          <w:rStyle w:val="FootnoteReference"/>
          <w:rFonts w:ascii="Courier New" w:hAnsi="Courier New" w:cs="Courier New"/>
          <w:sz w:val="24"/>
          <w:szCs w:val="24"/>
        </w:rPr>
        <w:footnoteReference w:id="322"/>
      </w:r>
    </w:p>
    <w:p w14:paraId="16A6993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percent female, zero EFC, independent, married, and with mothers who completed college for each program were determined from the earliest demographic record (post-1995) in NSLDS for any title IV student who completed a GE program between October 1, 2007 and September 30, 2009.  Unlike the determination of percentages of these variables in the </w:t>
      </w:r>
      <w:r w:rsidRPr="00AA6DFD">
        <w:rPr>
          <w:rFonts w:ascii="Courier New" w:hAnsi="Courier New"/>
          <w:sz w:val="24"/>
        </w:rPr>
        <w:t xml:space="preserve">NPRM, which was based on all borrowers, </w:t>
      </w:r>
      <w:r w:rsidRPr="00AA6DFD">
        <w:rPr>
          <w:rFonts w:ascii="Courier New" w:hAnsi="Courier New" w:cs="Courier New"/>
          <w:sz w:val="24"/>
          <w:szCs w:val="24"/>
        </w:rPr>
        <w:t xml:space="preserve">we determined the percentage of each of these variables based on all students who completed a program because those are the students whose outcomes are assessed by the annual earnings rate.  Also, we determined these characteristics from each student’s earliest NSLDS record rather than just their status while in the program since these characteristics are being used as a proxy for socioeconomic background or to indicate that the student is non-traditional.  With respect to these variables, we determined the composition of over 99 percent of the programs in the 2012 GE informational D/E rates data set.  </w:t>
      </w:r>
    </w:p>
    <w:p w14:paraId="104FF027" w14:textId="77777777" w:rsidR="00BF10A3" w:rsidRPr="00AA6DFD" w:rsidRDefault="00BF10A3" w:rsidP="00BF10A3">
      <w:pPr>
        <w:keepNext/>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2.3 provides the </w:t>
      </w:r>
      <w:r>
        <w:rPr>
          <w:rFonts w:ascii="Courier New" w:hAnsi="Courier New" w:cs="Courier New"/>
          <w:sz w:val="24"/>
          <w:szCs w:val="24"/>
        </w:rPr>
        <w:t xml:space="preserve">program level </w:t>
      </w:r>
      <w:r w:rsidRPr="00AA6DFD">
        <w:rPr>
          <w:rFonts w:ascii="Courier New" w:hAnsi="Courier New" w:cs="Courier New"/>
          <w:sz w:val="24"/>
          <w:szCs w:val="24"/>
        </w:rPr>
        <w:t xml:space="preserve">descriptive statistics for </w:t>
      </w:r>
      <w:r>
        <w:rPr>
          <w:rFonts w:ascii="Courier New" w:hAnsi="Courier New" w:cs="Courier New"/>
          <w:sz w:val="24"/>
          <w:szCs w:val="24"/>
        </w:rPr>
        <w:t>the demographic variables.</w:t>
      </w:r>
    </w:p>
    <w:p w14:paraId="65BCCB9A" w14:textId="77777777" w:rsidR="00BF10A3" w:rsidRPr="003E7E70" w:rsidRDefault="00BF10A3" w:rsidP="00BF10A3">
      <w:pPr>
        <w:keepNext/>
        <w:spacing w:after="0" w:line="480" w:lineRule="auto"/>
        <w:rPr>
          <w:rFonts w:ascii="Courier New" w:hAnsi="Courier New"/>
          <w:b/>
          <w:sz w:val="24"/>
        </w:rPr>
      </w:pPr>
      <w:r w:rsidRPr="00B53B21">
        <w:rPr>
          <w:rFonts w:ascii="Courier New" w:hAnsi="Courier New"/>
          <w:b/>
          <w:sz w:val="24"/>
        </w:rPr>
        <w:t xml:space="preserve">Table </w:t>
      </w:r>
      <w:r w:rsidRPr="00B53B21">
        <w:rPr>
          <w:rFonts w:ascii="Courier New" w:hAnsi="Courier New" w:cs="Courier New"/>
          <w:b/>
          <w:sz w:val="24"/>
          <w:szCs w:val="24"/>
        </w:rPr>
        <w:t>2.3:</w:t>
      </w:r>
      <w:r w:rsidRPr="00B53B21">
        <w:rPr>
          <w:rFonts w:ascii="Courier New" w:hAnsi="Courier New"/>
          <w:b/>
          <w:sz w:val="24"/>
        </w:rPr>
        <w:t xml:space="preserve"> Descriptive Statistics of the Demographic Variables</w:t>
      </w:r>
    </w:p>
    <w:tbl>
      <w:tblPr>
        <w:tblW w:w="9599" w:type="dxa"/>
        <w:tblInd w:w="-23" w:type="dxa"/>
        <w:tblLook w:val="04A0" w:firstRow="1" w:lastRow="0" w:firstColumn="1" w:lastColumn="0" w:noHBand="0" w:noVBand="1"/>
      </w:tblPr>
      <w:tblGrid>
        <w:gridCol w:w="2519"/>
        <w:gridCol w:w="1732"/>
        <w:gridCol w:w="1024"/>
        <w:gridCol w:w="790"/>
        <w:gridCol w:w="1355"/>
        <w:gridCol w:w="1122"/>
        <w:gridCol w:w="1057"/>
      </w:tblGrid>
      <w:tr w:rsidR="00BF10A3" w:rsidRPr="003E7E70" w14:paraId="24B83222" w14:textId="77777777" w:rsidTr="001F7400">
        <w:trPr>
          <w:trHeight w:val="300"/>
        </w:trPr>
        <w:tc>
          <w:tcPr>
            <w:tcW w:w="2520" w:type="dxa"/>
            <w:tcBorders>
              <w:top w:val="single" w:sz="4" w:space="0" w:color="auto"/>
              <w:left w:val="single" w:sz="4" w:space="0" w:color="auto"/>
              <w:bottom w:val="single" w:sz="4" w:space="0" w:color="auto"/>
              <w:right w:val="single" w:sz="4" w:space="0" w:color="auto"/>
            </w:tcBorders>
            <w:noWrap/>
            <w:vAlign w:val="center"/>
            <w:hideMark/>
          </w:tcPr>
          <w:p w14:paraId="16DBBF12"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Variable</w:t>
            </w:r>
          </w:p>
        </w:tc>
        <w:tc>
          <w:tcPr>
            <w:tcW w:w="1732" w:type="dxa"/>
            <w:tcBorders>
              <w:top w:val="single" w:sz="4" w:space="0" w:color="auto"/>
              <w:left w:val="nil"/>
              <w:bottom w:val="single" w:sz="4" w:space="0" w:color="auto"/>
              <w:right w:val="single" w:sz="4" w:space="0" w:color="auto"/>
            </w:tcBorders>
            <w:noWrap/>
            <w:vAlign w:val="center"/>
            <w:hideMark/>
          </w:tcPr>
          <w:p w14:paraId="073DCD24"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Observations</w:t>
            </w:r>
          </w:p>
        </w:tc>
        <w:tc>
          <w:tcPr>
            <w:tcW w:w="1024" w:type="dxa"/>
            <w:tcBorders>
              <w:top w:val="single" w:sz="4" w:space="0" w:color="auto"/>
              <w:left w:val="nil"/>
              <w:bottom w:val="single" w:sz="4" w:space="0" w:color="auto"/>
              <w:right w:val="single" w:sz="4" w:space="0" w:color="auto"/>
            </w:tcBorders>
            <w:noWrap/>
            <w:vAlign w:val="center"/>
            <w:hideMark/>
          </w:tcPr>
          <w:p w14:paraId="68F38903"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Median</w:t>
            </w:r>
          </w:p>
        </w:tc>
        <w:tc>
          <w:tcPr>
            <w:tcW w:w="790" w:type="dxa"/>
            <w:tcBorders>
              <w:top w:val="single" w:sz="4" w:space="0" w:color="auto"/>
              <w:left w:val="nil"/>
              <w:bottom w:val="single" w:sz="4" w:space="0" w:color="auto"/>
              <w:right w:val="single" w:sz="4" w:space="0" w:color="auto"/>
            </w:tcBorders>
            <w:noWrap/>
            <w:vAlign w:val="center"/>
            <w:hideMark/>
          </w:tcPr>
          <w:p w14:paraId="61DC1500"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Mean</w:t>
            </w:r>
          </w:p>
        </w:tc>
        <w:tc>
          <w:tcPr>
            <w:tcW w:w="1355" w:type="dxa"/>
            <w:tcBorders>
              <w:top w:val="single" w:sz="4" w:space="0" w:color="auto"/>
              <w:left w:val="nil"/>
              <w:bottom w:val="single" w:sz="4" w:space="0" w:color="auto"/>
              <w:right w:val="single" w:sz="4" w:space="0" w:color="auto"/>
            </w:tcBorders>
            <w:noWrap/>
            <w:vAlign w:val="center"/>
            <w:hideMark/>
          </w:tcPr>
          <w:p w14:paraId="531E83D4"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Standard deviation</w:t>
            </w:r>
          </w:p>
        </w:tc>
        <w:tc>
          <w:tcPr>
            <w:tcW w:w="1122" w:type="dxa"/>
            <w:tcBorders>
              <w:top w:val="single" w:sz="4" w:space="0" w:color="auto"/>
              <w:left w:val="nil"/>
              <w:bottom w:val="single" w:sz="4" w:space="0" w:color="auto"/>
              <w:right w:val="single" w:sz="4" w:space="0" w:color="auto"/>
            </w:tcBorders>
            <w:noWrap/>
            <w:vAlign w:val="center"/>
            <w:hideMark/>
          </w:tcPr>
          <w:p w14:paraId="54B44C42"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Minimum</w:t>
            </w:r>
          </w:p>
        </w:tc>
        <w:tc>
          <w:tcPr>
            <w:tcW w:w="1056" w:type="dxa"/>
            <w:tcBorders>
              <w:top w:val="single" w:sz="4" w:space="0" w:color="auto"/>
              <w:left w:val="nil"/>
              <w:bottom w:val="single" w:sz="4" w:space="0" w:color="auto"/>
              <w:right w:val="single" w:sz="4" w:space="0" w:color="auto"/>
            </w:tcBorders>
            <w:noWrap/>
            <w:vAlign w:val="center"/>
            <w:hideMark/>
          </w:tcPr>
          <w:p w14:paraId="23DE5D90" w14:textId="77777777" w:rsidR="00BF10A3" w:rsidRPr="003E7E70" w:rsidRDefault="00BF10A3" w:rsidP="001F7400">
            <w:pPr>
              <w:keepNext/>
              <w:jc w:val="center"/>
              <w:rPr>
                <w:rFonts w:ascii="Courier New" w:hAnsi="Courier New" w:cs="Courier New"/>
                <w:b/>
                <w:bCs/>
                <w:color w:val="000000"/>
                <w:sz w:val="20"/>
                <w:szCs w:val="20"/>
                <w:lang w:eastAsia="zh-CN"/>
              </w:rPr>
            </w:pPr>
            <w:r w:rsidRPr="003E7E70">
              <w:rPr>
                <w:rFonts w:ascii="Courier New" w:hAnsi="Courier New" w:cs="Courier New"/>
                <w:b/>
                <w:bCs/>
                <w:color w:val="000000"/>
                <w:sz w:val="20"/>
                <w:szCs w:val="20"/>
              </w:rPr>
              <w:t>Maximum</w:t>
            </w:r>
          </w:p>
        </w:tc>
      </w:tr>
      <w:tr w:rsidR="00BF10A3" w:rsidRPr="003E7E70" w14:paraId="79AD3792"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49680D81" w14:textId="77777777" w:rsidR="00BF10A3" w:rsidRPr="003E7E70" w:rsidRDefault="00BF10A3" w:rsidP="001F7400">
            <w:pPr>
              <w:keepNext/>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Asian</w:t>
            </w:r>
          </w:p>
        </w:tc>
        <w:tc>
          <w:tcPr>
            <w:tcW w:w="1732" w:type="dxa"/>
            <w:tcBorders>
              <w:top w:val="nil"/>
              <w:left w:val="nil"/>
              <w:bottom w:val="single" w:sz="4" w:space="0" w:color="auto"/>
              <w:right w:val="single" w:sz="4" w:space="0" w:color="auto"/>
            </w:tcBorders>
            <w:noWrap/>
            <w:vAlign w:val="bottom"/>
            <w:hideMark/>
          </w:tcPr>
          <w:p w14:paraId="37DAEED2"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6508C9C6"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1.1</w:t>
            </w:r>
          </w:p>
        </w:tc>
        <w:tc>
          <w:tcPr>
            <w:tcW w:w="790" w:type="dxa"/>
            <w:tcBorders>
              <w:top w:val="nil"/>
              <w:left w:val="nil"/>
              <w:bottom w:val="single" w:sz="4" w:space="0" w:color="auto"/>
              <w:right w:val="single" w:sz="4" w:space="0" w:color="auto"/>
            </w:tcBorders>
            <w:noWrap/>
            <w:vAlign w:val="bottom"/>
            <w:hideMark/>
          </w:tcPr>
          <w:p w14:paraId="1D31A8D1"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4.5</w:t>
            </w:r>
          </w:p>
        </w:tc>
        <w:tc>
          <w:tcPr>
            <w:tcW w:w="1355" w:type="dxa"/>
            <w:tcBorders>
              <w:top w:val="nil"/>
              <w:left w:val="nil"/>
              <w:bottom w:val="single" w:sz="4" w:space="0" w:color="auto"/>
              <w:right w:val="single" w:sz="4" w:space="0" w:color="auto"/>
            </w:tcBorders>
            <w:noWrap/>
            <w:vAlign w:val="bottom"/>
            <w:hideMark/>
          </w:tcPr>
          <w:p w14:paraId="15262562"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10.8</w:t>
            </w:r>
          </w:p>
        </w:tc>
        <w:tc>
          <w:tcPr>
            <w:tcW w:w="1122" w:type="dxa"/>
            <w:tcBorders>
              <w:top w:val="nil"/>
              <w:left w:val="nil"/>
              <w:bottom w:val="single" w:sz="4" w:space="0" w:color="auto"/>
              <w:right w:val="single" w:sz="4" w:space="0" w:color="auto"/>
            </w:tcBorders>
            <w:noWrap/>
            <w:vAlign w:val="bottom"/>
            <w:hideMark/>
          </w:tcPr>
          <w:p w14:paraId="7374D0B4"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63777AC1"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09138391"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0539C6BE" w14:textId="77777777" w:rsidR="00BF10A3" w:rsidRPr="003E7E70" w:rsidRDefault="00BF10A3" w:rsidP="001F7400">
            <w:pPr>
              <w:keepNext/>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Black</w:t>
            </w:r>
          </w:p>
        </w:tc>
        <w:tc>
          <w:tcPr>
            <w:tcW w:w="1732" w:type="dxa"/>
            <w:tcBorders>
              <w:top w:val="nil"/>
              <w:left w:val="nil"/>
              <w:bottom w:val="single" w:sz="4" w:space="0" w:color="auto"/>
              <w:right w:val="single" w:sz="4" w:space="0" w:color="auto"/>
            </w:tcBorders>
            <w:noWrap/>
            <w:vAlign w:val="bottom"/>
            <w:hideMark/>
          </w:tcPr>
          <w:p w14:paraId="148A0D51"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0F2D88F0"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10.3</w:t>
            </w:r>
          </w:p>
        </w:tc>
        <w:tc>
          <w:tcPr>
            <w:tcW w:w="790" w:type="dxa"/>
            <w:tcBorders>
              <w:top w:val="nil"/>
              <w:left w:val="nil"/>
              <w:bottom w:val="single" w:sz="4" w:space="0" w:color="auto"/>
              <w:right w:val="single" w:sz="4" w:space="0" w:color="auto"/>
            </w:tcBorders>
            <w:noWrap/>
            <w:vAlign w:val="bottom"/>
            <w:hideMark/>
          </w:tcPr>
          <w:p w14:paraId="60EB0E9E"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18.4</w:t>
            </w:r>
          </w:p>
        </w:tc>
        <w:tc>
          <w:tcPr>
            <w:tcW w:w="1355" w:type="dxa"/>
            <w:tcBorders>
              <w:top w:val="nil"/>
              <w:left w:val="nil"/>
              <w:bottom w:val="single" w:sz="4" w:space="0" w:color="auto"/>
              <w:right w:val="single" w:sz="4" w:space="0" w:color="auto"/>
            </w:tcBorders>
            <w:noWrap/>
            <w:vAlign w:val="bottom"/>
            <w:hideMark/>
          </w:tcPr>
          <w:p w14:paraId="349C9C6A"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21.7</w:t>
            </w:r>
          </w:p>
        </w:tc>
        <w:tc>
          <w:tcPr>
            <w:tcW w:w="1122" w:type="dxa"/>
            <w:tcBorders>
              <w:top w:val="nil"/>
              <w:left w:val="nil"/>
              <w:bottom w:val="single" w:sz="4" w:space="0" w:color="auto"/>
              <w:right w:val="single" w:sz="4" w:space="0" w:color="auto"/>
            </w:tcBorders>
            <w:noWrap/>
            <w:vAlign w:val="bottom"/>
            <w:hideMark/>
          </w:tcPr>
          <w:p w14:paraId="77296040"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095E7DFA"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14DA05AE"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4CAAF770" w14:textId="77777777" w:rsidR="00BF10A3" w:rsidRPr="003E7E70" w:rsidRDefault="00BF10A3" w:rsidP="001F7400">
            <w:pPr>
              <w:keepNext/>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Hispanic</w:t>
            </w:r>
          </w:p>
        </w:tc>
        <w:tc>
          <w:tcPr>
            <w:tcW w:w="1732" w:type="dxa"/>
            <w:tcBorders>
              <w:top w:val="nil"/>
              <w:left w:val="nil"/>
              <w:bottom w:val="single" w:sz="4" w:space="0" w:color="auto"/>
              <w:right w:val="single" w:sz="4" w:space="0" w:color="auto"/>
            </w:tcBorders>
            <w:noWrap/>
            <w:vAlign w:val="bottom"/>
            <w:hideMark/>
          </w:tcPr>
          <w:p w14:paraId="55E37281"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11ACB182"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7.1</w:t>
            </w:r>
          </w:p>
        </w:tc>
        <w:tc>
          <w:tcPr>
            <w:tcW w:w="790" w:type="dxa"/>
            <w:tcBorders>
              <w:top w:val="nil"/>
              <w:left w:val="nil"/>
              <w:bottom w:val="single" w:sz="4" w:space="0" w:color="auto"/>
              <w:right w:val="single" w:sz="4" w:space="0" w:color="auto"/>
            </w:tcBorders>
            <w:noWrap/>
            <w:vAlign w:val="bottom"/>
            <w:hideMark/>
          </w:tcPr>
          <w:p w14:paraId="29227842"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19.3</w:t>
            </w:r>
          </w:p>
        </w:tc>
        <w:tc>
          <w:tcPr>
            <w:tcW w:w="1355" w:type="dxa"/>
            <w:tcBorders>
              <w:top w:val="nil"/>
              <w:left w:val="nil"/>
              <w:bottom w:val="single" w:sz="4" w:space="0" w:color="auto"/>
              <w:right w:val="single" w:sz="4" w:space="0" w:color="auto"/>
            </w:tcBorders>
            <w:noWrap/>
            <w:vAlign w:val="bottom"/>
            <w:hideMark/>
          </w:tcPr>
          <w:p w14:paraId="2A6C4003"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27.5</w:t>
            </w:r>
          </w:p>
        </w:tc>
        <w:tc>
          <w:tcPr>
            <w:tcW w:w="1122" w:type="dxa"/>
            <w:tcBorders>
              <w:top w:val="nil"/>
              <w:left w:val="nil"/>
              <w:bottom w:val="single" w:sz="4" w:space="0" w:color="auto"/>
              <w:right w:val="single" w:sz="4" w:space="0" w:color="auto"/>
            </w:tcBorders>
            <w:noWrap/>
            <w:vAlign w:val="bottom"/>
            <w:hideMark/>
          </w:tcPr>
          <w:p w14:paraId="15E08A3C"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6223DCC9" w14:textId="77777777" w:rsidR="00BF10A3" w:rsidRPr="003E7E70" w:rsidRDefault="00BF10A3" w:rsidP="001F7400">
            <w:pPr>
              <w:keepNext/>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479D5E1A"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0B18A4F4"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Indian</w:t>
            </w:r>
          </w:p>
        </w:tc>
        <w:tc>
          <w:tcPr>
            <w:tcW w:w="1732" w:type="dxa"/>
            <w:tcBorders>
              <w:top w:val="nil"/>
              <w:left w:val="nil"/>
              <w:bottom w:val="single" w:sz="4" w:space="0" w:color="auto"/>
              <w:right w:val="single" w:sz="4" w:space="0" w:color="auto"/>
            </w:tcBorders>
            <w:noWrap/>
            <w:vAlign w:val="bottom"/>
            <w:hideMark/>
          </w:tcPr>
          <w:p w14:paraId="4B7CD5B8"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0F1FCCB6"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790" w:type="dxa"/>
            <w:tcBorders>
              <w:top w:val="nil"/>
              <w:left w:val="nil"/>
              <w:bottom w:val="single" w:sz="4" w:space="0" w:color="auto"/>
              <w:right w:val="single" w:sz="4" w:space="0" w:color="auto"/>
            </w:tcBorders>
            <w:noWrap/>
            <w:vAlign w:val="bottom"/>
            <w:hideMark/>
          </w:tcPr>
          <w:p w14:paraId="51FD25ED"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w:t>
            </w:r>
          </w:p>
        </w:tc>
        <w:tc>
          <w:tcPr>
            <w:tcW w:w="1355" w:type="dxa"/>
            <w:tcBorders>
              <w:top w:val="nil"/>
              <w:left w:val="nil"/>
              <w:bottom w:val="single" w:sz="4" w:space="0" w:color="auto"/>
              <w:right w:val="single" w:sz="4" w:space="0" w:color="auto"/>
            </w:tcBorders>
            <w:noWrap/>
            <w:vAlign w:val="bottom"/>
            <w:hideMark/>
          </w:tcPr>
          <w:p w14:paraId="77A4DDB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3.6</w:t>
            </w:r>
          </w:p>
        </w:tc>
        <w:tc>
          <w:tcPr>
            <w:tcW w:w="1122" w:type="dxa"/>
            <w:tcBorders>
              <w:top w:val="nil"/>
              <w:left w:val="nil"/>
              <w:bottom w:val="single" w:sz="4" w:space="0" w:color="auto"/>
              <w:right w:val="single" w:sz="4" w:space="0" w:color="auto"/>
            </w:tcBorders>
            <w:noWrap/>
            <w:vAlign w:val="bottom"/>
            <w:hideMark/>
          </w:tcPr>
          <w:p w14:paraId="0AD9E563"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6441B3D8"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85.0</w:t>
            </w:r>
          </w:p>
        </w:tc>
      </w:tr>
      <w:tr w:rsidR="00BF10A3" w:rsidRPr="003E7E70" w14:paraId="5C99E341"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7B2FF637"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Two or More Races</w:t>
            </w:r>
          </w:p>
        </w:tc>
        <w:tc>
          <w:tcPr>
            <w:tcW w:w="1732" w:type="dxa"/>
            <w:tcBorders>
              <w:top w:val="nil"/>
              <w:left w:val="nil"/>
              <w:bottom w:val="single" w:sz="4" w:space="0" w:color="auto"/>
              <w:right w:val="single" w:sz="4" w:space="0" w:color="auto"/>
            </w:tcBorders>
            <w:noWrap/>
            <w:vAlign w:val="bottom"/>
            <w:hideMark/>
          </w:tcPr>
          <w:p w14:paraId="7A0595F6"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4356F37B"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790" w:type="dxa"/>
            <w:tcBorders>
              <w:top w:val="nil"/>
              <w:left w:val="nil"/>
              <w:bottom w:val="single" w:sz="4" w:space="0" w:color="auto"/>
              <w:right w:val="single" w:sz="4" w:space="0" w:color="auto"/>
            </w:tcBorders>
            <w:noWrap/>
            <w:vAlign w:val="bottom"/>
            <w:hideMark/>
          </w:tcPr>
          <w:p w14:paraId="79C78BEC"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0.2</w:t>
            </w:r>
          </w:p>
        </w:tc>
        <w:tc>
          <w:tcPr>
            <w:tcW w:w="1355" w:type="dxa"/>
            <w:tcBorders>
              <w:top w:val="nil"/>
              <w:left w:val="nil"/>
              <w:bottom w:val="single" w:sz="4" w:space="0" w:color="auto"/>
              <w:right w:val="single" w:sz="4" w:space="0" w:color="auto"/>
            </w:tcBorders>
            <w:noWrap/>
            <w:vAlign w:val="bottom"/>
            <w:hideMark/>
          </w:tcPr>
          <w:p w14:paraId="774FDF8E"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1.1</w:t>
            </w:r>
          </w:p>
        </w:tc>
        <w:tc>
          <w:tcPr>
            <w:tcW w:w="1122" w:type="dxa"/>
            <w:tcBorders>
              <w:top w:val="nil"/>
              <w:left w:val="nil"/>
              <w:bottom w:val="single" w:sz="4" w:space="0" w:color="auto"/>
              <w:right w:val="single" w:sz="4" w:space="0" w:color="auto"/>
            </w:tcBorders>
            <w:noWrap/>
            <w:vAlign w:val="bottom"/>
            <w:hideMark/>
          </w:tcPr>
          <w:p w14:paraId="4E405055"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1456AF90"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23.8</w:t>
            </w:r>
          </w:p>
        </w:tc>
      </w:tr>
      <w:tr w:rsidR="00BF10A3" w:rsidRPr="003E7E70" w14:paraId="494413FD"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16B01A72"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White</w:t>
            </w:r>
          </w:p>
        </w:tc>
        <w:tc>
          <w:tcPr>
            <w:tcW w:w="1732" w:type="dxa"/>
            <w:tcBorders>
              <w:top w:val="nil"/>
              <w:left w:val="nil"/>
              <w:bottom w:val="single" w:sz="4" w:space="0" w:color="auto"/>
              <w:right w:val="single" w:sz="4" w:space="0" w:color="auto"/>
            </w:tcBorders>
            <w:noWrap/>
            <w:vAlign w:val="bottom"/>
            <w:hideMark/>
          </w:tcPr>
          <w:p w14:paraId="7CF3351E"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4,173</w:t>
            </w:r>
          </w:p>
        </w:tc>
        <w:tc>
          <w:tcPr>
            <w:tcW w:w="1024" w:type="dxa"/>
            <w:tcBorders>
              <w:top w:val="nil"/>
              <w:left w:val="nil"/>
              <w:bottom w:val="single" w:sz="4" w:space="0" w:color="auto"/>
              <w:right w:val="single" w:sz="4" w:space="0" w:color="auto"/>
            </w:tcBorders>
            <w:noWrap/>
            <w:vAlign w:val="bottom"/>
            <w:hideMark/>
          </w:tcPr>
          <w:p w14:paraId="1949B876"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63.2</w:t>
            </w:r>
          </w:p>
        </w:tc>
        <w:tc>
          <w:tcPr>
            <w:tcW w:w="790" w:type="dxa"/>
            <w:tcBorders>
              <w:top w:val="nil"/>
              <w:left w:val="nil"/>
              <w:bottom w:val="single" w:sz="4" w:space="0" w:color="auto"/>
              <w:right w:val="single" w:sz="4" w:space="0" w:color="auto"/>
            </w:tcBorders>
            <w:noWrap/>
            <w:vAlign w:val="bottom"/>
            <w:hideMark/>
          </w:tcPr>
          <w:p w14:paraId="3C36446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56.6</w:t>
            </w:r>
          </w:p>
        </w:tc>
        <w:tc>
          <w:tcPr>
            <w:tcW w:w="1355" w:type="dxa"/>
            <w:tcBorders>
              <w:top w:val="nil"/>
              <w:left w:val="nil"/>
              <w:bottom w:val="single" w:sz="4" w:space="0" w:color="auto"/>
              <w:right w:val="single" w:sz="4" w:space="0" w:color="auto"/>
            </w:tcBorders>
            <w:noWrap/>
            <w:vAlign w:val="bottom"/>
            <w:hideMark/>
          </w:tcPr>
          <w:p w14:paraId="08EA425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31.9</w:t>
            </w:r>
          </w:p>
        </w:tc>
        <w:tc>
          <w:tcPr>
            <w:tcW w:w="1122" w:type="dxa"/>
            <w:tcBorders>
              <w:top w:val="nil"/>
              <w:left w:val="nil"/>
              <w:bottom w:val="single" w:sz="4" w:space="0" w:color="auto"/>
              <w:right w:val="single" w:sz="4" w:space="0" w:color="auto"/>
            </w:tcBorders>
            <w:noWrap/>
            <w:vAlign w:val="bottom"/>
            <w:hideMark/>
          </w:tcPr>
          <w:p w14:paraId="1DFEC15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514B1A7D"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5AE1ED4E"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53BF9DF0"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Zero EFC</w:t>
            </w:r>
          </w:p>
        </w:tc>
        <w:tc>
          <w:tcPr>
            <w:tcW w:w="1732" w:type="dxa"/>
            <w:tcBorders>
              <w:top w:val="nil"/>
              <w:left w:val="nil"/>
              <w:bottom w:val="single" w:sz="4" w:space="0" w:color="auto"/>
              <w:right w:val="single" w:sz="4" w:space="0" w:color="auto"/>
            </w:tcBorders>
            <w:noWrap/>
            <w:vAlign w:val="bottom"/>
            <w:hideMark/>
          </w:tcPr>
          <w:p w14:paraId="791ACF89"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5,537</w:t>
            </w:r>
          </w:p>
        </w:tc>
        <w:tc>
          <w:tcPr>
            <w:tcW w:w="1024" w:type="dxa"/>
            <w:tcBorders>
              <w:top w:val="nil"/>
              <w:left w:val="nil"/>
              <w:bottom w:val="single" w:sz="4" w:space="0" w:color="auto"/>
              <w:right w:val="single" w:sz="4" w:space="0" w:color="auto"/>
            </w:tcBorders>
            <w:noWrap/>
            <w:vAlign w:val="bottom"/>
            <w:hideMark/>
          </w:tcPr>
          <w:p w14:paraId="1498A253"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40.2</w:t>
            </w:r>
          </w:p>
        </w:tc>
        <w:tc>
          <w:tcPr>
            <w:tcW w:w="790" w:type="dxa"/>
            <w:tcBorders>
              <w:top w:val="nil"/>
              <w:left w:val="nil"/>
              <w:bottom w:val="single" w:sz="4" w:space="0" w:color="auto"/>
              <w:right w:val="single" w:sz="4" w:space="0" w:color="auto"/>
            </w:tcBorders>
            <w:noWrap/>
            <w:vAlign w:val="bottom"/>
            <w:hideMark/>
          </w:tcPr>
          <w:p w14:paraId="3E97FEAD"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42.0</w:t>
            </w:r>
          </w:p>
        </w:tc>
        <w:tc>
          <w:tcPr>
            <w:tcW w:w="1355" w:type="dxa"/>
            <w:tcBorders>
              <w:top w:val="nil"/>
              <w:left w:val="nil"/>
              <w:bottom w:val="single" w:sz="4" w:space="0" w:color="auto"/>
              <w:right w:val="single" w:sz="4" w:space="0" w:color="auto"/>
            </w:tcBorders>
            <w:noWrap/>
            <w:vAlign w:val="bottom"/>
            <w:hideMark/>
          </w:tcPr>
          <w:p w14:paraId="68121959"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21.3</w:t>
            </w:r>
          </w:p>
        </w:tc>
        <w:tc>
          <w:tcPr>
            <w:tcW w:w="1122" w:type="dxa"/>
            <w:tcBorders>
              <w:top w:val="nil"/>
              <w:left w:val="nil"/>
              <w:bottom w:val="single" w:sz="4" w:space="0" w:color="auto"/>
              <w:right w:val="single" w:sz="4" w:space="0" w:color="auto"/>
            </w:tcBorders>
            <w:noWrap/>
            <w:vAlign w:val="bottom"/>
            <w:hideMark/>
          </w:tcPr>
          <w:p w14:paraId="196357C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132A5A96"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00E1A769"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2859A7BF"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Independent</w:t>
            </w:r>
          </w:p>
        </w:tc>
        <w:tc>
          <w:tcPr>
            <w:tcW w:w="1732" w:type="dxa"/>
            <w:tcBorders>
              <w:top w:val="nil"/>
              <w:left w:val="nil"/>
              <w:bottom w:val="single" w:sz="4" w:space="0" w:color="auto"/>
              <w:right w:val="single" w:sz="4" w:space="0" w:color="auto"/>
            </w:tcBorders>
            <w:noWrap/>
            <w:vAlign w:val="bottom"/>
            <w:hideMark/>
          </w:tcPr>
          <w:p w14:paraId="12851F2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5,537</w:t>
            </w:r>
          </w:p>
        </w:tc>
        <w:tc>
          <w:tcPr>
            <w:tcW w:w="1024" w:type="dxa"/>
            <w:tcBorders>
              <w:top w:val="nil"/>
              <w:left w:val="nil"/>
              <w:bottom w:val="single" w:sz="4" w:space="0" w:color="auto"/>
              <w:right w:val="single" w:sz="4" w:space="0" w:color="auto"/>
            </w:tcBorders>
            <w:noWrap/>
            <w:vAlign w:val="bottom"/>
            <w:hideMark/>
          </w:tcPr>
          <w:p w14:paraId="18081F8A"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56.4</w:t>
            </w:r>
          </w:p>
        </w:tc>
        <w:tc>
          <w:tcPr>
            <w:tcW w:w="790" w:type="dxa"/>
            <w:tcBorders>
              <w:top w:val="nil"/>
              <w:left w:val="nil"/>
              <w:bottom w:val="single" w:sz="4" w:space="0" w:color="auto"/>
              <w:right w:val="single" w:sz="4" w:space="0" w:color="auto"/>
            </w:tcBorders>
            <w:noWrap/>
            <w:vAlign w:val="bottom"/>
            <w:hideMark/>
          </w:tcPr>
          <w:p w14:paraId="0AAEAFDA"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53.7</w:t>
            </w:r>
          </w:p>
        </w:tc>
        <w:tc>
          <w:tcPr>
            <w:tcW w:w="1355" w:type="dxa"/>
            <w:tcBorders>
              <w:top w:val="nil"/>
              <w:left w:val="nil"/>
              <w:bottom w:val="single" w:sz="4" w:space="0" w:color="auto"/>
              <w:right w:val="single" w:sz="4" w:space="0" w:color="auto"/>
            </w:tcBorders>
            <w:noWrap/>
            <w:vAlign w:val="bottom"/>
            <w:hideMark/>
          </w:tcPr>
          <w:p w14:paraId="6A9CF2F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19.0</w:t>
            </w:r>
          </w:p>
        </w:tc>
        <w:tc>
          <w:tcPr>
            <w:tcW w:w="1122" w:type="dxa"/>
            <w:tcBorders>
              <w:top w:val="nil"/>
              <w:left w:val="nil"/>
              <w:bottom w:val="single" w:sz="4" w:space="0" w:color="auto"/>
              <w:right w:val="single" w:sz="4" w:space="0" w:color="auto"/>
            </w:tcBorders>
            <w:noWrap/>
            <w:vAlign w:val="bottom"/>
            <w:hideMark/>
          </w:tcPr>
          <w:p w14:paraId="222102F6"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677B510F"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406B684A"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6BE01D64"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Female</w:t>
            </w:r>
          </w:p>
        </w:tc>
        <w:tc>
          <w:tcPr>
            <w:tcW w:w="1732" w:type="dxa"/>
            <w:tcBorders>
              <w:top w:val="nil"/>
              <w:left w:val="nil"/>
              <w:bottom w:val="single" w:sz="4" w:space="0" w:color="auto"/>
              <w:right w:val="single" w:sz="4" w:space="0" w:color="auto"/>
            </w:tcBorders>
            <w:noWrap/>
            <w:vAlign w:val="bottom"/>
            <w:hideMark/>
          </w:tcPr>
          <w:p w14:paraId="0FD472A7"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5,537</w:t>
            </w:r>
          </w:p>
        </w:tc>
        <w:tc>
          <w:tcPr>
            <w:tcW w:w="1024" w:type="dxa"/>
            <w:tcBorders>
              <w:top w:val="nil"/>
              <w:left w:val="nil"/>
              <w:bottom w:val="single" w:sz="4" w:space="0" w:color="auto"/>
              <w:right w:val="single" w:sz="4" w:space="0" w:color="auto"/>
            </w:tcBorders>
            <w:noWrap/>
            <w:vAlign w:val="bottom"/>
            <w:hideMark/>
          </w:tcPr>
          <w:p w14:paraId="643F302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81.5</w:t>
            </w:r>
          </w:p>
        </w:tc>
        <w:tc>
          <w:tcPr>
            <w:tcW w:w="790" w:type="dxa"/>
            <w:tcBorders>
              <w:top w:val="nil"/>
              <w:left w:val="nil"/>
              <w:bottom w:val="single" w:sz="4" w:space="0" w:color="auto"/>
              <w:right w:val="single" w:sz="4" w:space="0" w:color="auto"/>
            </w:tcBorders>
            <w:noWrap/>
            <w:vAlign w:val="bottom"/>
            <w:hideMark/>
          </w:tcPr>
          <w:p w14:paraId="67265C6B"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67.0</w:t>
            </w:r>
          </w:p>
        </w:tc>
        <w:tc>
          <w:tcPr>
            <w:tcW w:w="1355" w:type="dxa"/>
            <w:tcBorders>
              <w:top w:val="nil"/>
              <w:left w:val="nil"/>
              <w:bottom w:val="single" w:sz="4" w:space="0" w:color="auto"/>
              <w:right w:val="single" w:sz="4" w:space="0" w:color="auto"/>
            </w:tcBorders>
            <w:noWrap/>
            <w:vAlign w:val="bottom"/>
            <w:hideMark/>
          </w:tcPr>
          <w:p w14:paraId="45B46D6E"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31.9</w:t>
            </w:r>
          </w:p>
        </w:tc>
        <w:tc>
          <w:tcPr>
            <w:tcW w:w="1122" w:type="dxa"/>
            <w:tcBorders>
              <w:top w:val="nil"/>
              <w:left w:val="nil"/>
              <w:bottom w:val="single" w:sz="4" w:space="0" w:color="auto"/>
              <w:right w:val="single" w:sz="4" w:space="0" w:color="auto"/>
            </w:tcBorders>
            <w:noWrap/>
            <w:vAlign w:val="bottom"/>
            <w:hideMark/>
          </w:tcPr>
          <w:p w14:paraId="35D6F8C4"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13124EF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2F7DE91B"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738CB892"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Mothers College</w:t>
            </w:r>
          </w:p>
        </w:tc>
        <w:tc>
          <w:tcPr>
            <w:tcW w:w="1732" w:type="dxa"/>
            <w:tcBorders>
              <w:top w:val="nil"/>
              <w:left w:val="nil"/>
              <w:bottom w:val="single" w:sz="4" w:space="0" w:color="auto"/>
              <w:right w:val="single" w:sz="4" w:space="0" w:color="auto"/>
            </w:tcBorders>
            <w:noWrap/>
            <w:vAlign w:val="bottom"/>
            <w:hideMark/>
          </w:tcPr>
          <w:p w14:paraId="7891A322"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5,537</w:t>
            </w:r>
          </w:p>
        </w:tc>
        <w:tc>
          <w:tcPr>
            <w:tcW w:w="1024" w:type="dxa"/>
            <w:tcBorders>
              <w:top w:val="nil"/>
              <w:left w:val="nil"/>
              <w:bottom w:val="single" w:sz="4" w:space="0" w:color="auto"/>
              <w:right w:val="single" w:sz="4" w:space="0" w:color="auto"/>
            </w:tcBorders>
            <w:noWrap/>
            <w:vAlign w:val="bottom"/>
            <w:hideMark/>
          </w:tcPr>
          <w:p w14:paraId="062C575A"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25.0</w:t>
            </w:r>
          </w:p>
        </w:tc>
        <w:tc>
          <w:tcPr>
            <w:tcW w:w="790" w:type="dxa"/>
            <w:tcBorders>
              <w:top w:val="nil"/>
              <w:left w:val="nil"/>
              <w:bottom w:val="single" w:sz="4" w:space="0" w:color="auto"/>
              <w:right w:val="single" w:sz="4" w:space="0" w:color="auto"/>
            </w:tcBorders>
            <w:noWrap/>
            <w:vAlign w:val="bottom"/>
            <w:hideMark/>
          </w:tcPr>
          <w:p w14:paraId="6E1FBEE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26.3</w:t>
            </w:r>
          </w:p>
        </w:tc>
        <w:tc>
          <w:tcPr>
            <w:tcW w:w="1355" w:type="dxa"/>
            <w:tcBorders>
              <w:top w:val="nil"/>
              <w:left w:val="nil"/>
              <w:bottom w:val="single" w:sz="4" w:space="0" w:color="auto"/>
              <w:right w:val="single" w:sz="4" w:space="0" w:color="auto"/>
            </w:tcBorders>
            <w:noWrap/>
            <w:vAlign w:val="bottom"/>
            <w:hideMark/>
          </w:tcPr>
          <w:p w14:paraId="52EABDDD"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11.4</w:t>
            </w:r>
          </w:p>
        </w:tc>
        <w:tc>
          <w:tcPr>
            <w:tcW w:w="1122" w:type="dxa"/>
            <w:tcBorders>
              <w:top w:val="nil"/>
              <w:left w:val="nil"/>
              <w:bottom w:val="single" w:sz="4" w:space="0" w:color="auto"/>
              <w:right w:val="single" w:sz="4" w:space="0" w:color="auto"/>
            </w:tcBorders>
            <w:noWrap/>
            <w:vAlign w:val="bottom"/>
            <w:hideMark/>
          </w:tcPr>
          <w:p w14:paraId="1282B85B"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3BE73235"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r w:rsidR="00BF10A3" w:rsidRPr="003E7E70" w14:paraId="765688DD" w14:textId="77777777" w:rsidTr="001F7400">
        <w:trPr>
          <w:trHeight w:val="300"/>
        </w:trPr>
        <w:tc>
          <w:tcPr>
            <w:tcW w:w="2520" w:type="dxa"/>
            <w:tcBorders>
              <w:top w:val="nil"/>
              <w:left w:val="single" w:sz="4" w:space="0" w:color="auto"/>
              <w:bottom w:val="single" w:sz="4" w:space="0" w:color="auto"/>
              <w:right w:val="single" w:sz="4" w:space="0" w:color="auto"/>
            </w:tcBorders>
            <w:noWrap/>
            <w:vAlign w:val="bottom"/>
            <w:hideMark/>
          </w:tcPr>
          <w:p w14:paraId="0C648016" w14:textId="77777777" w:rsidR="00BF10A3" w:rsidRPr="003E7E70" w:rsidRDefault="00BF10A3" w:rsidP="001F7400">
            <w:pPr>
              <w:rPr>
                <w:rFonts w:ascii="Courier New" w:hAnsi="Courier New" w:cs="Courier New"/>
                <w:b/>
                <w:color w:val="000000"/>
                <w:sz w:val="20"/>
                <w:szCs w:val="20"/>
                <w:lang w:eastAsia="zh-CN"/>
              </w:rPr>
            </w:pPr>
            <w:r w:rsidRPr="003E7E70">
              <w:rPr>
                <w:rFonts w:ascii="Courier New" w:hAnsi="Courier New" w:cs="Courier New"/>
                <w:b/>
                <w:color w:val="000000"/>
                <w:sz w:val="20"/>
                <w:szCs w:val="20"/>
              </w:rPr>
              <w:t>Percent Pell</w:t>
            </w:r>
          </w:p>
        </w:tc>
        <w:tc>
          <w:tcPr>
            <w:tcW w:w="1732" w:type="dxa"/>
            <w:tcBorders>
              <w:top w:val="nil"/>
              <w:left w:val="nil"/>
              <w:bottom w:val="single" w:sz="4" w:space="0" w:color="auto"/>
              <w:right w:val="single" w:sz="4" w:space="0" w:color="auto"/>
            </w:tcBorders>
            <w:noWrap/>
            <w:vAlign w:val="bottom"/>
            <w:hideMark/>
          </w:tcPr>
          <w:p w14:paraId="06928637"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5,537</w:t>
            </w:r>
          </w:p>
        </w:tc>
        <w:tc>
          <w:tcPr>
            <w:tcW w:w="1024" w:type="dxa"/>
            <w:tcBorders>
              <w:top w:val="nil"/>
              <w:left w:val="nil"/>
              <w:bottom w:val="single" w:sz="4" w:space="0" w:color="auto"/>
              <w:right w:val="single" w:sz="4" w:space="0" w:color="auto"/>
            </w:tcBorders>
            <w:noWrap/>
            <w:vAlign w:val="bottom"/>
            <w:hideMark/>
          </w:tcPr>
          <w:p w14:paraId="3E33A4A0"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78.6</w:t>
            </w:r>
          </w:p>
        </w:tc>
        <w:tc>
          <w:tcPr>
            <w:tcW w:w="790" w:type="dxa"/>
            <w:tcBorders>
              <w:top w:val="nil"/>
              <w:left w:val="nil"/>
              <w:bottom w:val="single" w:sz="4" w:space="0" w:color="auto"/>
              <w:right w:val="single" w:sz="4" w:space="0" w:color="auto"/>
            </w:tcBorders>
            <w:noWrap/>
            <w:vAlign w:val="bottom"/>
            <w:hideMark/>
          </w:tcPr>
          <w:p w14:paraId="5E3F7440"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75.3</w:t>
            </w:r>
          </w:p>
        </w:tc>
        <w:tc>
          <w:tcPr>
            <w:tcW w:w="1355" w:type="dxa"/>
            <w:tcBorders>
              <w:top w:val="nil"/>
              <w:left w:val="nil"/>
              <w:bottom w:val="single" w:sz="4" w:space="0" w:color="auto"/>
              <w:right w:val="single" w:sz="4" w:space="0" w:color="auto"/>
            </w:tcBorders>
            <w:noWrap/>
            <w:vAlign w:val="bottom"/>
            <w:hideMark/>
          </w:tcPr>
          <w:p w14:paraId="435BAB3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18.2</w:t>
            </w:r>
          </w:p>
        </w:tc>
        <w:tc>
          <w:tcPr>
            <w:tcW w:w="1122" w:type="dxa"/>
            <w:tcBorders>
              <w:top w:val="nil"/>
              <w:left w:val="nil"/>
              <w:bottom w:val="single" w:sz="4" w:space="0" w:color="auto"/>
              <w:right w:val="single" w:sz="4" w:space="0" w:color="auto"/>
            </w:tcBorders>
            <w:noWrap/>
            <w:vAlign w:val="bottom"/>
            <w:hideMark/>
          </w:tcPr>
          <w:p w14:paraId="2EC35EE1"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0.0</w:t>
            </w:r>
          </w:p>
        </w:tc>
        <w:tc>
          <w:tcPr>
            <w:tcW w:w="1056" w:type="dxa"/>
            <w:tcBorders>
              <w:top w:val="nil"/>
              <w:left w:val="nil"/>
              <w:bottom w:val="single" w:sz="4" w:space="0" w:color="auto"/>
              <w:right w:val="single" w:sz="4" w:space="0" w:color="auto"/>
            </w:tcBorders>
            <w:noWrap/>
            <w:vAlign w:val="bottom"/>
            <w:hideMark/>
          </w:tcPr>
          <w:p w14:paraId="181B9CAE" w14:textId="77777777" w:rsidR="00BF10A3" w:rsidRPr="003E7E70" w:rsidRDefault="00BF10A3" w:rsidP="001F7400">
            <w:pPr>
              <w:jc w:val="right"/>
              <w:rPr>
                <w:rFonts w:ascii="Courier New" w:hAnsi="Courier New" w:cs="Courier New"/>
                <w:color w:val="000000"/>
                <w:sz w:val="20"/>
                <w:szCs w:val="20"/>
                <w:lang w:eastAsia="zh-CN"/>
              </w:rPr>
            </w:pPr>
            <w:r w:rsidRPr="003E7E70">
              <w:rPr>
                <w:rFonts w:ascii="Courier New" w:hAnsi="Courier New" w:cs="Courier New"/>
                <w:color w:val="000000"/>
                <w:sz w:val="20"/>
                <w:szCs w:val="20"/>
              </w:rPr>
              <w:t>100.0</w:t>
            </w:r>
          </w:p>
        </w:tc>
      </w:tr>
    </w:tbl>
    <w:p w14:paraId="70CD7554" w14:textId="77777777" w:rsidR="00BF10A3" w:rsidRDefault="00BF10A3" w:rsidP="00BF10A3">
      <w:pPr>
        <w:pStyle w:val="riaheader3"/>
      </w:pPr>
    </w:p>
    <w:p w14:paraId="151AF8B3" w14:textId="77777777" w:rsidR="00BF10A3" w:rsidRPr="00B53B21" w:rsidRDefault="00BF10A3" w:rsidP="00BF10A3">
      <w:pPr>
        <w:pStyle w:val="riaheader3"/>
      </w:pPr>
      <w:r w:rsidRPr="00B53B21">
        <w:t>Student demographics descriptive analysis of final regulations</w:t>
      </w:r>
    </w:p>
    <w:p w14:paraId="46C3B522" w14:textId="77777777" w:rsidR="00BF10A3" w:rsidRDefault="00BF10A3" w:rsidP="00BF10A3">
      <w:pPr>
        <w:spacing w:after="0" w:line="240" w:lineRule="auto"/>
        <w:rPr>
          <w:rFonts w:ascii="Courier New" w:hAnsi="Courier New" w:cs="Courier New"/>
          <w:b/>
          <w:sz w:val="24"/>
          <w:szCs w:val="24"/>
        </w:rPr>
      </w:pPr>
    </w:p>
    <w:p w14:paraId="5D08A57A"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2.4: Percent White, Black, Hispanic, Pell, Zero EFC, Female, Independent, Married, and Mothers Completing College in Passing, Zone, and Failing Programs</w:t>
      </w:r>
    </w:p>
    <w:p w14:paraId="2FC12824" w14:textId="77777777" w:rsidR="00BF10A3" w:rsidRPr="00AA6DFD" w:rsidRDefault="00BF10A3" w:rsidP="00BF10A3">
      <w:pPr>
        <w:spacing w:after="0" w:line="240" w:lineRule="auto"/>
        <w:rPr>
          <w:rFonts w:ascii="Courier New" w:hAnsi="Courier New" w:cs="Courier New"/>
          <w:sz w:val="24"/>
          <w:szCs w:val="24"/>
        </w:rPr>
      </w:pPr>
    </w:p>
    <w:p w14:paraId="202DB95B" w14:textId="77777777" w:rsidR="00BF10A3" w:rsidRPr="004F115D" w:rsidRDefault="00BF10A3" w:rsidP="00BF10A3">
      <w:pPr>
        <w:spacing w:after="0" w:line="480" w:lineRule="auto"/>
        <w:rPr>
          <w:rFonts w:ascii="Courier New" w:hAnsi="Courier New" w:cs="Courier New"/>
          <w:sz w:val="24"/>
          <w:szCs w:val="24"/>
        </w:rPr>
      </w:pPr>
      <w:r>
        <w:rPr>
          <w:noProof/>
        </w:rPr>
        <w:drawing>
          <wp:inline distT="0" distB="0" distL="0" distR="0" wp14:anchorId="5D37C28F" wp14:editId="3F2FD618">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52CAE7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2.4 shows that passing, zone, and failing programs have very similar proportions of low-income, non-traditional, female</w:t>
      </w:r>
      <w:r>
        <w:rPr>
          <w:rFonts w:ascii="Courier New" w:hAnsi="Courier New" w:cs="Courier New"/>
          <w:sz w:val="24"/>
          <w:szCs w:val="24"/>
        </w:rPr>
        <w:t>, white, Black, and Hispanic</w:t>
      </w:r>
      <w:r w:rsidRPr="00AA6DFD">
        <w:rPr>
          <w:rFonts w:ascii="Courier New" w:hAnsi="Courier New" w:cs="Courier New"/>
          <w:sz w:val="24"/>
          <w:szCs w:val="24"/>
        </w:rPr>
        <w:t xml:space="preserve"> students</w:t>
      </w:r>
      <w:r>
        <w:rPr>
          <w:rFonts w:ascii="Courier New" w:hAnsi="Courier New" w:cs="Courier New"/>
          <w:sz w:val="24"/>
          <w:szCs w:val="24"/>
        </w:rPr>
        <w:t>.</w:t>
      </w:r>
      <w:r w:rsidRPr="00AA6DFD">
        <w:rPr>
          <w:rStyle w:val="FootnoteReference"/>
          <w:rFonts w:ascii="Courier New" w:hAnsi="Courier New"/>
          <w:sz w:val="24"/>
          <w:szCs w:val="24"/>
        </w:rPr>
        <w:footnoteReference w:id="323"/>
      </w:r>
      <w:r w:rsidRPr="00AA6DFD">
        <w:rPr>
          <w:rFonts w:ascii="Courier New" w:hAnsi="Courier New" w:cs="Courier New"/>
          <w:sz w:val="24"/>
          <w:szCs w:val="24"/>
        </w:rPr>
        <w:t xml:space="preserve"> </w:t>
      </w:r>
    </w:p>
    <w:p w14:paraId="6E2D5C2C"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2.5: Number of Passing, Zone, and Failing Programs Disaggregated by Quartiles* of Percent White</w:t>
      </w:r>
    </w:p>
    <w:p w14:paraId="5D36017D" w14:textId="77777777" w:rsidR="00BF10A3" w:rsidRDefault="00BF10A3" w:rsidP="00BF10A3">
      <w:pPr>
        <w:keepNext/>
        <w:spacing w:after="0" w:line="240" w:lineRule="auto"/>
        <w:rPr>
          <w:rFonts w:ascii="Courier New" w:hAnsi="Courier New"/>
          <w:sz w:val="24"/>
        </w:rPr>
      </w:pPr>
    </w:p>
    <w:p w14:paraId="7BE3FBD6" w14:textId="77777777" w:rsidR="00BF10A3" w:rsidRDefault="00BF10A3" w:rsidP="00BF10A3">
      <w:pPr>
        <w:keepNext/>
        <w:spacing w:after="0" w:line="240" w:lineRule="auto"/>
        <w:rPr>
          <w:rFonts w:ascii="Courier New" w:hAnsi="Courier New"/>
          <w:sz w:val="24"/>
        </w:rPr>
      </w:pPr>
      <w:r>
        <w:rPr>
          <w:noProof/>
        </w:rPr>
        <w:drawing>
          <wp:inline distT="0" distB="0" distL="0" distR="0" wp14:anchorId="29353102" wp14:editId="78A5EED8">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441425E" w14:textId="77777777" w:rsidR="00BF10A3" w:rsidRDefault="00BF10A3" w:rsidP="00BF10A3">
      <w:pPr>
        <w:keepNext/>
        <w:spacing w:after="0" w:line="240" w:lineRule="auto"/>
        <w:rPr>
          <w:rFonts w:ascii="Courier New" w:hAnsi="Courier New"/>
          <w:sz w:val="24"/>
        </w:rPr>
      </w:pPr>
    </w:p>
    <w:p w14:paraId="069BF322" w14:textId="77777777" w:rsidR="00BF10A3" w:rsidRPr="00AA6DFD" w:rsidRDefault="00BF10A3" w:rsidP="00BF10A3">
      <w:pPr>
        <w:spacing w:after="0" w:line="240" w:lineRule="auto"/>
        <w:rPr>
          <w:rFonts w:ascii="Courier New" w:hAnsi="Courier New" w:cs="Courier New"/>
          <w:sz w:val="24"/>
          <w:szCs w:val="24"/>
        </w:rPr>
      </w:pPr>
      <w:r w:rsidRPr="00B53B21">
        <w:rPr>
          <w:rFonts w:ascii="Courier New" w:hAnsi="Courier New"/>
          <w:sz w:val="24"/>
        </w:rPr>
        <w:t>*The first quartile represents the programs with the lowest proportion of white students and the fourth quartile represents programs with the highest proportion.</w:t>
      </w:r>
    </w:p>
    <w:p w14:paraId="27CB10E2" w14:textId="77777777" w:rsidR="00BF10A3" w:rsidRPr="00AA6DFD" w:rsidRDefault="00BF10A3" w:rsidP="00BF10A3">
      <w:pPr>
        <w:spacing w:after="0" w:line="240" w:lineRule="auto"/>
        <w:rPr>
          <w:rFonts w:ascii="Courier New" w:hAnsi="Courier New" w:cs="Courier New"/>
          <w:sz w:val="24"/>
          <w:szCs w:val="24"/>
        </w:rPr>
      </w:pPr>
    </w:p>
    <w:p w14:paraId="3453640D"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2.5 shows that the passing rates across all quartiles of percent white are similar, except the fourth quartile has a slightly higher passing rate.</w:t>
      </w:r>
    </w:p>
    <w:p w14:paraId="7E32182B"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2.6: Number of Passing, Zone, and Failing Programs Disaggregated by Quartiles* of Percent Black </w:t>
      </w:r>
    </w:p>
    <w:p w14:paraId="62D61478" w14:textId="77777777" w:rsidR="00BF10A3" w:rsidRPr="00AA6DFD" w:rsidRDefault="00BF10A3" w:rsidP="00BF10A3">
      <w:pPr>
        <w:keepNext/>
        <w:spacing w:after="0" w:line="240" w:lineRule="auto"/>
        <w:rPr>
          <w:rFonts w:ascii="Courier New" w:hAnsi="Courier New" w:cs="Courier New"/>
          <w:b/>
          <w:sz w:val="24"/>
          <w:szCs w:val="24"/>
        </w:rPr>
      </w:pPr>
    </w:p>
    <w:p w14:paraId="49DC1A2F" w14:textId="77777777" w:rsidR="00BF10A3" w:rsidRPr="00AA6DFD" w:rsidRDefault="00BF10A3" w:rsidP="00BF10A3">
      <w:pPr>
        <w:keepNext/>
        <w:spacing w:after="0" w:line="240" w:lineRule="auto"/>
        <w:rPr>
          <w:rFonts w:ascii="Courier New" w:hAnsi="Courier New" w:cs="Courier New"/>
          <w:i/>
          <w:sz w:val="24"/>
          <w:szCs w:val="24"/>
        </w:rPr>
      </w:pPr>
      <w:r>
        <w:rPr>
          <w:noProof/>
        </w:rPr>
        <w:drawing>
          <wp:inline distT="0" distB="0" distL="0" distR="0" wp14:anchorId="10C8BB80" wp14:editId="7FCDC7AE">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BE547B5" w14:textId="77777777" w:rsidR="00BF10A3" w:rsidRPr="00AA6DFD" w:rsidRDefault="00BF10A3" w:rsidP="00BF10A3">
      <w:pPr>
        <w:keepNext/>
        <w:spacing w:after="0" w:line="240" w:lineRule="auto"/>
        <w:rPr>
          <w:rFonts w:ascii="Courier New" w:hAnsi="Courier New" w:cs="Courier New"/>
          <w:sz w:val="24"/>
          <w:szCs w:val="24"/>
        </w:rPr>
      </w:pPr>
    </w:p>
    <w:p w14:paraId="45FC9AEF" w14:textId="77777777" w:rsidR="00BF10A3" w:rsidRPr="00AA6DFD" w:rsidRDefault="00BF10A3" w:rsidP="00BF10A3">
      <w:pPr>
        <w:spacing w:after="0" w:line="240" w:lineRule="auto"/>
        <w:rPr>
          <w:rFonts w:ascii="Courier New" w:hAnsi="Courier New"/>
          <w:sz w:val="24"/>
        </w:rPr>
      </w:pPr>
      <w:r w:rsidRPr="00AA6DFD">
        <w:rPr>
          <w:rFonts w:ascii="Courier New" w:hAnsi="Courier New" w:cs="Courier New"/>
          <w:sz w:val="24"/>
          <w:szCs w:val="24"/>
        </w:rPr>
        <w:t>*The first quartile represents the programs with the lowest proportion of Black students and the fourth quartile represents programs with the highest proportion.</w:t>
      </w:r>
    </w:p>
    <w:p w14:paraId="06D094CD" w14:textId="77777777" w:rsidR="00BF10A3" w:rsidRPr="00AA6DFD" w:rsidRDefault="00BF10A3" w:rsidP="00BF10A3">
      <w:pPr>
        <w:spacing w:after="0" w:line="240" w:lineRule="auto"/>
        <w:rPr>
          <w:rFonts w:ascii="Courier New" w:hAnsi="Courier New"/>
          <w:sz w:val="24"/>
        </w:rPr>
      </w:pPr>
    </w:p>
    <w:p w14:paraId="0AE92503" w14:textId="77777777" w:rsidR="00BF10A3" w:rsidRPr="00AA6DFD" w:rsidRDefault="00BF10A3" w:rsidP="00BF10A3">
      <w:pPr>
        <w:spacing w:after="0" w:line="480" w:lineRule="auto"/>
        <w:rPr>
          <w:rFonts w:ascii="Courier New" w:hAnsi="Courier New"/>
          <w:sz w:val="24"/>
        </w:rPr>
      </w:pPr>
      <w:r w:rsidRPr="00AA6DFD">
        <w:rPr>
          <w:rFonts w:ascii="Courier New" w:hAnsi="Courier New" w:cs="Courier New"/>
          <w:i/>
          <w:sz w:val="24"/>
          <w:szCs w:val="24"/>
        </w:rPr>
        <w:tab/>
      </w:r>
      <w:r w:rsidRPr="00F43746">
        <w:rPr>
          <w:rFonts w:ascii="Courier New" w:hAnsi="Courier New" w:cs="Courier New"/>
          <w:sz w:val="24"/>
          <w:szCs w:val="24"/>
        </w:rPr>
        <w:t>Table 2.6 shows that the passing rates across all quartiles of percent Black are similar, except the first quartile has a slightly higher passing rate.</w:t>
      </w:r>
    </w:p>
    <w:p w14:paraId="2D3DA1D5"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2.7: Number of Passing, Zone, and Failing Programs Disaggregated by Quartiles* of Percent Hispanic</w:t>
      </w:r>
    </w:p>
    <w:p w14:paraId="307635A2" w14:textId="77777777" w:rsidR="00BF10A3" w:rsidRPr="00AA6DFD" w:rsidRDefault="00BF10A3" w:rsidP="00BF10A3">
      <w:pPr>
        <w:keepNext/>
        <w:spacing w:after="0" w:line="240" w:lineRule="auto"/>
        <w:rPr>
          <w:rFonts w:ascii="Courier New" w:hAnsi="Courier New" w:cs="Courier New"/>
          <w:b/>
          <w:sz w:val="24"/>
          <w:szCs w:val="24"/>
        </w:rPr>
      </w:pPr>
    </w:p>
    <w:p w14:paraId="41F445BE" w14:textId="77777777" w:rsidR="00BF10A3" w:rsidRDefault="00BF10A3" w:rsidP="00BF10A3">
      <w:pPr>
        <w:keepNext/>
        <w:spacing w:after="0" w:line="240" w:lineRule="auto"/>
        <w:rPr>
          <w:rFonts w:ascii="Courier New" w:hAnsi="Courier New" w:cs="Courier New"/>
          <w:sz w:val="24"/>
          <w:szCs w:val="24"/>
        </w:rPr>
      </w:pPr>
      <w:r>
        <w:rPr>
          <w:noProof/>
        </w:rPr>
        <w:drawing>
          <wp:inline distT="0" distB="0" distL="0" distR="0" wp14:anchorId="14726888" wp14:editId="0420E8BA">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3246536" w14:textId="77777777" w:rsidR="00BF10A3" w:rsidRDefault="00BF10A3" w:rsidP="00BF10A3">
      <w:pPr>
        <w:keepNext/>
        <w:spacing w:after="0" w:line="240" w:lineRule="auto"/>
        <w:rPr>
          <w:rFonts w:ascii="Courier New" w:hAnsi="Courier New" w:cs="Courier New"/>
          <w:sz w:val="24"/>
          <w:szCs w:val="24"/>
        </w:rPr>
      </w:pPr>
    </w:p>
    <w:p w14:paraId="364BA4A1"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*The first quartile represents the programs with the lowest proportion of Hispanic students and the fourth quartile represents programs with the highest proportion.</w:t>
      </w:r>
    </w:p>
    <w:p w14:paraId="0EF7906E" w14:textId="77777777" w:rsidR="00BF10A3" w:rsidRPr="00AA6DFD" w:rsidRDefault="00BF10A3" w:rsidP="00BF10A3">
      <w:pPr>
        <w:spacing w:after="0" w:line="240" w:lineRule="auto"/>
        <w:rPr>
          <w:rFonts w:ascii="Courier New" w:hAnsi="Courier New" w:cs="Courier New"/>
          <w:sz w:val="24"/>
          <w:szCs w:val="24"/>
        </w:rPr>
      </w:pPr>
    </w:p>
    <w:p w14:paraId="4A6C7A91"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2.7 shows that the passing rates across all quartiles of percent Hispanic are similar.</w:t>
      </w:r>
    </w:p>
    <w:p w14:paraId="3EA6E5C4"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2.8: Number of Passing, Zone, and Failing Programs Disaggregated by Quartiles* of Percent Pell</w:t>
      </w:r>
    </w:p>
    <w:p w14:paraId="23C968EC" w14:textId="77777777" w:rsidR="00BF10A3" w:rsidRPr="00AA6DFD" w:rsidRDefault="00BF10A3" w:rsidP="00BF10A3">
      <w:pPr>
        <w:keepNext/>
        <w:spacing w:after="0" w:line="240" w:lineRule="auto"/>
        <w:rPr>
          <w:rFonts w:ascii="Courier New" w:hAnsi="Courier New" w:cs="Courier New"/>
          <w:b/>
          <w:sz w:val="24"/>
          <w:szCs w:val="24"/>
        </w:rPr>
      </w:pPr>
    </w:p>
    <w:p w14:paraId="00CADB9D" w14:textId="77777777" w:rsidR="00BF10A3" w:rsidRDefault="00BF10A3" w:rsidP="00BF10A3">
      <w:pPr>
        <w:keepNext/>
        <w:spacing w:after="0" w:line="240" w:lineRule="auto"/>
        <w:rPr>
          <w:rFonts w:ascii="Courier New" w:hAnsi="Courier New" w:cs="Courier New"/>
          <w:sz w:val="24"/>
          <w:szCs w:val="24"/>
        </w:rPr>
      </w:pPr>
      <w:r>
        <w:rPr>
          <w:noProof/>
        </w:rPr>
        <w:drawing>
          <wp:inline distT="0" distB="0" distL="0" distR="0" wp14:anchorId="7D8CC756" wp14:editId="1CC82F0C">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157BA28" w14:textId="77777777" w:rsidR="00BF10A3" w:rsidRDefault="00BF10A3" w:rsidP="00BF10A3">
      <w:pPr>
        <w:keepNext/>
        <w:spacing w:after="0" w:line="240" w:lineRule="auto"/>
        <w:rPr>
          <w:rFonts w:ascii="Courier New" w:hAnsi="Courier New" w:cs="Courier New"/>
          <w:sz w:val="24"/>
          <w:szCs w:val="24"/>
        </w:rPr>
      </w:pPr>
    </w:p>
    <w:p w14:paraId="1D8D32C7"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*The first quartile represents the programs with the lowest proportion of Pell students and the fourth quartile represents programs with the highest proportion.</w:t>
      </w:r>
    </w:p>
    <w:p w14:paraId="4CE1BBA4" w14:textId="77777777" w:rsidR="00BF10A3" w:rsidRPr="00AA6DFD" w:rsidRDefault="00BF10A3" w:rsidP="00BF10A3">
      <w:pPr>
        <w:spacing w:after="0" w:line="240" w:lineRule="auto"/>
        <w:rPr>
          <w:rFonts w:ascii="Courier New" w:hAnsi="Courier New" w:cs="Courier New"/>
          <w:sz w:val="24"/>
          <w:szCs w:val="24"/>
        </w:rPr>
      </w:pPr>
    </w:p>
    <w:p w14:paraId="0AE86EBE" w14:textId="77777777" w:rsidR="00BF10A3"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2.8 shows that the passing rates across all quartiles of percent Pell are similar.</w:t>
      </w:r>
    </w:p>
    <w:p w14:paraId="11ED16F7" w14:textId="77777777" w:rsidR="00BF10A3" w:rsidRPr="00AA6DFD" w:rsidRDefault="00BF10A3" w:rsidP="00BF10A3">
      <w:pPr>
        <w:spacing w:after="0" w:line="480" w:lineRule="auto"/>
        <w:ind w:firstLine="720"/>
        <w:rPr>
          <w:rFonts w:ascii="Courier New" w:hAnsi="Courier New" w:cs="Courier New"/>
          <w:sz w:val="24"/>
          <w:szCs w:val="24"/>
        </w:rPr>
      </w:pPr>
    </w:p>
    <w:p w14:paraId="4F96AE16" w14:textId="77777777" w:rsidR="00BF10A3" w:rsidRPr="00AA6DFD" w:rsidRDefault="00BF10A3" w:rsidP="00BF10A3">
      <w:pPr>
        <w:spacing w:after="0" w:line="480" w:lineRule="auto"/>
        <w:ind w:firstLine="720"/>
        <w:rPr>
          <w:rFonts w:ascii="Courier New" w:hAnsi="Courier New" w:cs="Courier New"/>
          <w:sz w:val="24"/>
          <w:szCs w:val="24"/>
        </w:rPr>
      </w:pPr>
    </w:p>
    <w:p w14:paraId="62A17036"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2.9: Number of Passing, Zone, and Failing Programs Disaggregated by Quartiles* of Percent Zero EFC</w:t>
      </w:r>
    </w:p>
    <w:p w14:paraId="665AA8DF" w14:textId="77777777" w:rsidR="00BF10A3" w:rsidRPr="00AA6DFD" w:rsidRDefault="00BF10A3" w:rsidP="00BF10A3">
      <w:pPr>
        <w:keepNext/>
        <w:spacing w:after="0" w:line="240" w:lineRule="auto"/>
        <w:rPr>
          <w:rFonts w:ascii="Courier New" w:hAnsi="Courier New" w:cs="Courier New"/>
          <w:b/>
          <w:sz w:val="24"/>
          <w:szCs w:val="24"/>
        </w:rPr>
      </w:pPr>
    </w:p>
    <w:p w14:paraId="3F0D6A5F" w14:textId="77777777" w:rsidR="00BF10A3" w:rsidRDefault="00BF10A3" w:rsidP="00BF10A3">
      <w:pPr>
        <w:keepNext/>
        <w:spacing w:after="0" w:line="240" w:lineRule="auto"/>
        <w:rPr>
          <w:rFonts w:ascii="Courier New" w:hAnsi="Courier New" w:cs="Courier New"/>
          <w:i/>
          <w:sz w:val="24"/>
          <w:szCs w:val="24"/>
        </w:rPr>
      </w:pPr>
      <w:r>
        <w:rPr>
          <w:noProof/>
        </w:rPr>
        <w:drawing>
          <wp:inline distT="0" distB="0" distL="0" distR="0" wp14:anchorId="46C19C20" wp14:editId="0C8F5D62">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00B6A5EB" w14:textId="77777777" w:rsidR="00BF10A3" w:rsidRDefault="00BF10A3" w:rsidP="00BF10A3">
      <w:pPr>
        <w:keepNext/>
        <w:spacing w:after="0" w:line="240" w:lineRule="auto"/>
        <w:rPr>
          <w:rFonts w:ascii="Courier New" w:hAnsi="Courier New" w:cs="Courier New"/>
          <w:sz w:val="24"/>
          <w:szCs w:val="24"/>
        </w:rPr>
      </w:pPr>
    </w:p>
    <w:p w14:paraId="7A07CEF5" w14:textId="77777777" w:rsidR="00BF10A3" w:rsidRPr="00AA6DFD" w:rsidRDefault="00BF10A3" w:rsidP="00BF10A3">
      <w:pPr>
        <w:keepNext/>
        <w:spacing w:after="0" w:line="240" w:lineRule="auto"/>
        <w:rPr>
          <w:rFonts w:ascii="Courier New" w:hAnsi="Courier New" w:cs="Courier New"/>
          <w:sz w:val="24"/>
          <w:szCs w:val="24"/>
        </w:rPr>
      </w:pPr>
      <w:r w:rsidRPr="00AA6DFD">
        <w:rPr>
          <w:rFonts w:ascii="Courier New" w:hAnsi="Courier New" w:cs="Courier New"/>
          <w:sz w:val="24"/>
          <w:szCs w:val="24"/>
        </w:rPr>
        <w:t>*The first quartile represents the programs with the lowest proportion of zero EFC students and the fourth quartile represents programs with the highest proportion.</w:t>
      </w:r>
    </w:p>
    <w:p w14:paraId="189B7BC0" w14:textId="77777777" w:rsidR="00BF10A3" w:rsidRPr="00AA6DFD" w:rsidRDefault="00BF10A3" w:rsidP="00BF10A3">
      <w:pPr>
        <w:spacing w:after="0" w:line="240" w:lineRule="auto"/>
        <w:rPr>
          <w:rFonts w:ascii="Courier New" w:hAnsi="Courier New" w:cs="Courier New"/>
          <w:sz w:val="24"/>
          <w:szCs w:val="24"/>
        </w:rPr>
      </w:pPr>
    </w:p>
    <w:p w14:paraId="1FE7459A"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2.9 shows that the passing rates across all quartiles of percent zero EFC are almost the same.</w:t>
      </w:r>
      <w:r>
        <w:rPr>
          <w:rFonts w:ascii="Courier New" w:hAnsi="Courier New" w:cs="Courier New"/>
          <w:sz w:val="24"/>
          <w:szCs w:val="24"/>
        </w:rPr>
        <w:t xml:space="preserve">  </w:t>
      </w:r>
      <w:r w:rsidRPr="00AA6DFD">
        <w:rPr>
          <w:rFonts w:ascii="Courier New" w:hAnsi="Courier New" w:cs="Courier New"/>
          <w:sz w:val="24"/>
          <w:szCs w:val="24"/>
        </w:rPr>
        <w:t xml:space="preserve"> </w:t>
      </w:r>
    </w:p>
    <w:p w14:paraId="0665D80D"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2.10: Number of Passing, Zone, and Failing Programs Disaggregated by Quartiles</w:t>
      </w:r>
      <w:r>
        <w:rPr>
          <w:rFonts w:ascii="Courier New" w:hAnsi="Courier New" w:cs="Courier New"/>
          <w:b/>
          <w:sz w:val="24"/>
          <w:szCs w:val="24"/>
        </w:rPr>
        <w:t>*</w:t>
      </w:r>
      <w:r w:rsidRPr="00AA6DFD">
        <w:rPr>
          <w:rFonts w:ascii="Courier New" w:hAnsi="Courier New" w:cs="Courier New"/>
          <w:b/>
          <w:sz w:val="24"/>
          <w:szCs w:val="24"/>
        </w:rPr>
        <w:t xml:space="preserve"> of Percent Female</w:t>
      </w:r>
    </w:p>
    <w:p w14:paraId="0C1E198E" w14:textId="77777777" w:rsidR="00BF10A3" w:rsidRPr="00AA6DFD" w:rsidRDefault="00BF10A3" w:rsidP="00BF10A3">
      <w:pPr>
        <w:keepNext/>
        <w:spacing w:after="0" w:line="240" w:lineRule="auto"/>
        <w:rPr>
          <w:rFonts w:ascii="Courier New" w:hAnsi="Courier New" w:cs="Courier New"/>
          <w:b/>
          <w:sz w:val="24"/>
          <w:szCs w:val="24"/>
        </w:rPr>
      </w:pPr>
    </w:p>
    <w:p w14:paraId="79C72437" w14:textId="77777777" w:rsidR="00BF10A3" w:rsidRDefault="00BF10A3" w:rsidP="00BF10A3">
      <w:pPr>
        <w:keepNext/>
        <w:spacing w:after="0" w:line="240" w:lineRule="auto"/>
        <w:rPr>
          <w:rFonts w:ascii="Courier New" w:hAnsi="Courier New" w:cs="Courier New"/>
          <w:i/>
          <w:sz w:val="24"/>
          <w:szCs w:val="24"/>
        </w:rPr>
      </w:pPr>
      <w:r>
        <w:rPr>
          <w:noProof/>
        </w:rPr>
        <w:drawing>
          <wp:inline distT="0" distB="0" distL="0" distR="0" wp14:anchorId="72FE1F56" wp14:editId="1A0522ED">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67C544B2" w14:textId="77777777" w:rsidR="00BF10A3" w:rsidRDefault="00BF10A3" w:rsidP="00BF10A3">
      <w:pPr>
        <w:keepNext/>
        <w:spacing w:after="0" w:line="240" w:lineRule="auto"/>
        <w:rPr>
          <w:rFonts w:ascii="Courier New" w:hAnsi="Courier New" w:cs="Courier New"/>
          <w:i/>
          <w:sz w:val="24"/>
          <w:szCs w:val="24"/>
        </w:rPr>
      </w:pPr>
    </w:p>
    <w:p w14:paraId="15E93E1A" w14:textId="77777777" w:rsidR="00BF10A3" w:rsidRDefault="00BF10A3" w:rsidP="00BF10A3">
      <w:pPr>
        <w:keepNext/>
        <w:spacing w:after="0" w:line="240" w:lineRule="auto"/>
        <w:rPr>
          <w:rFonts w:ascii="Courier New" w:hAnsi="Courier New" w:cs="Courier New"/>
          <w:sz w:val="24"/>
          <w:szCs w:val="24"/>
        </w:rPr>
      </w:pPr>
      <w:r w:rsidRPr="00AA6DFD">
        <w:rPr>
          <w:rFonts w:ascii="Courier New" w:hAnsi="Courier New" w:cs="Courier New"/>
          <w:sz w:val="24"/>
          <w:szCs w:val="24"/>
        </w:rPr>
        <w:t>*The first quartile represents the programs with the lowest proportion of female students and the fourth quartile represents programs with the highest proportion.</w:t>
      </w:r>
    </w:p>
    <w:p w14:paraId="30003254" w14:textId="77777777" w:rsidR="00BF10A3" w:rsidRPr="00AA6DFD" w:rsidRDefault="00BF10A3" w:rsidP="00BF10A3">
      <w:pPr>
        <w:keepNext/>
        <w:spacing w:after="0" w:line="240" w:lineRule="auto"/>
        <w:rPr>
          <w:rFonts w:ascii="Courier New" w:hAnsi="Courier New" w:cs="Courier New"/>
          <w:sz w:val="24"/>
          <w:szCs w:val="24"/>
        </w:rPr>
      </w:pPr>
    </w:p>
    <w:p w14:paraId="129793EA"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2.10 shows that the passing rates across all quartiles of percent female are similar.</w:t>
      </w:r>
      <w:r w:rsidRPr="00AA6DFD">
        <w:rPr>
          <w:rFonts w:ascii="Courier New" w:hAnsi="Courier New" w:cs="Courier New"/>
          <w:sz w:val="24"/>
          <w:szCs w:val="24"/>
        </w:rPr>
        <w:t xml:space="preserve"> </w:t>
      </w:r>
    </w:p>
    <w:p w14:paraId="5C1231DA"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2.11: Number of Passing, Zone, and Failing Programs Disaggregated by Quartiles of Percent Independent</w:t>
      </w:r>
    </w:p>
    <w:p w14:paraId="410F5ABA" w14:textId="77777777" w:rsidR="00BF10A3" w:rsidRPr="00AA6DFD" w:rsidRDefault="00BF10A3" w:rsidP="00BF10A3">
      <w:pPr>
        <w:keepNext/>
        <w:spacing w:after="0" w:line="240" w:lineRule="auto"/>
        <w:rPr>
          <w:rFonts w:ascii="Courier New" w:hAnsi="Courier New" w:cs="Courier New"/>
          <w:sz w:val="24"/>
          <w:szCs w:val="24"/>
        </w:rPr>
      </w:pPr>
    </w:p>
    <w:p w14:paraId="051865F2" w14:textId="77777777" w:rsidR="00BF10A3" w:rsidRPr="003F75BA" w:rsidRDefault="00BF10A3" w:rsidP="00BF10A3">
      <w:pPr>
        <w:keepNext/>
        <w:spacing w:after="0" w:line="240" w:lineRule="auto"/>
        <w:rPr>
          <w:rFonts w:ascii="Courier New" w:hAnsi="Courier New" w:cs="Courier New"/>
          <w:sz w:val="24"/>
          <w:szCs w:val="24"/>
        </w:rPr>
      </w:pPr>
      <w:r>
        <w:rPr>
          <w:noProof/>
        </w:rPr>
        <w:drawing>
          <wp:inline distT="0" distB="0" distL="0" distR="0" wp14:anchorId="52199B2A" wp14:editId="3B627585">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40B9643" w14:textId="77777777" w:rsidR="00BF10A3" w:rsidRDefault="00BF10A3" w:rsidP="00BF10A3">
      <w:pPr>
        <w:keepNext/>
        <w:spacing w:after="0" w:line="240" w:lineRule="auto"/>
        <w:rPr>
          <w:rFonts w:ascii="Courier New" w:hAnsi="Courier New" w:cs="Courier New"/>
          <w:i/>
          <w:sz w:val="24"/>
          <w:szCs w:val="24"/>
        </w:rPr>
      </w:pPr>
    </w:p>
    <w:p w14:paraId="1B90354D"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*The first quartile represents the programs with the lowest proportion of independent students and the fourth quartile represents programs with the highest proportion.</w:t>
      </w:r>
    </w:p>
    <w:p w14:paraId="06597DDA" w14:textId="77777777" w:rsidR="00BF10A3" w:rsidRPr="00AA6DFD" w:rsidRDefault="00BF10A3" w:rsidP="00BF10A3">
      <w:pPr>
        <w:spacing w:after="0" w:line="240" w:lineRule="auto"/>
        <w:rPr>
          <w:rFonts w:ascii="Courier New" w:hAnsi="Courier New" w:cs="Courier New"/>
          <w:sz w:val="24"/>
          <w:szCs w:val="24"/>
        </w:rPr>
      </w:pPr>
    </w:p>
    <w:p w14:paraId="323DD47C" w14:textId="77777777" w:rsidR="00BF10A3"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Table 2.11 shows that the passing rates across all quartiles of percent independent are similar, except the first quartile has a slightly lower passing rate.</w:t>
      </w:r>
    </w:p>
    <w:p w14:paraId="090D6D0C" w14:textId="77777777" w:rsidR="00BF10A3" w:rsidRDefault="00BF10A3" w:rsidP="00BF10A3">
      <w:pPr>
        <w:spacing w:after="0" w:line="480" w:lineRule="auto"/>
        <w:jc w:val="center"/>
        <w:rPr>
          <w:rFonts w:ascii="Courier New" w:hAnsi="Courier New" w:cs="Courier New"/>
          <w:sz w:val="24"/>
          <w:szCs w:val="24"/>
        </w:rPr>
      </w:pPr>
      <w:r>
        <w:rPr>
          <w:rFonts w:ascii="Courier New" w:hAnsi="Courier New" w:cs="Courier New"/>
          <w:sz w:val="24"/>
          <w:szCs w:val="24"/>
        </w:rPr>
        <w:t>***</w:t>
      </w:r>
    </w:p>
    <w:p w14:paraId="631D0A3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These results suggest that the regulations do not </w:t>
      </w:r>
      <w:r w:rsidRPr="00B53B21">
        <w:rPr>
          <w:rFonts w:ascii="Courier New" w:hAnsi="Courier New" w:cs="Courier New"/>
          <w:i/>
          <w:sz w:val="24"/>
          <w:szCs w:val="24"/>
        </w:rPr>
        <w:t>primarily</w:t>
      </w:r>
      <w:r w:rsidRPr="00AA6DFD">
        <w:rPr>
          <w:rFonts w:ascii="Courier New" w:hAnsi="Courier New" w:cs="Courier New"/>
          <w:sz w:val="24"/>
          <w:szCs w:val="24"/>
        </w:rPr>
        <w:t xml:space="preserve"> measure student demographics because indicators of many student characteristics have similar passing rates across quartiles.</w:t>
      </w:r>
    </w:p>
    <w:p w14:paraId="6C1E14A1" w14:textId="77777777" w:rsidR="00BF10A3" w:rsidRPr="00AA6DFD" w:rsidRDefault="00BF10A3" w:rsidP="00BF10A3">
      <w:pPr>
        <w:pStyle w:val="riaheader3"/>
        <w:keepNext/>
      </w:pPr>
      <w:r w:rsidRPr="00AA6DFD">
        <w:t>Student demographics regression analysis of final regulations</w:t>
      </w:r>
    </w:p>
    <w:p w14:paraId="590A6237" w14:textId="77777777" w:rsidR="00BF10A3" w:rsidRPr="00AA6DFD" w:rsidRDefault="00BF10A3" w:rsidP="00BF10A3">
      <w:pPr>
        <w:keepNext/>
        <w:spacing w:after="0" w:line="240" w:lineRule="auto"/>
        <w:ind w:firstLine="720"/>
        <w:rPr>
          <w:rFonts w:ascii="Courier New" w:hAnsi="Courier New" w:cs="Courier New"/>
          <w:sz w:val="24"/>
          <w:szCs w:val="24"/>
        </w:rPr>
      </w:pPr>
      <w:bookmarkStart w:id="66" w:name="OLE_LINK11"/>
      <w:bookmarkStart w:id="67" w:name="OLE_LINK12"/>
    </w:p>
    <w:p w14:paraId="7E66D03D" w14:textId="77777777" w:rsidR="00BF10A3" w:rsidRPr="00AA6DFD" w:rsidRDefault="00BF10A3" w:rsidP="00BF10A3">
      <w:pPr>
        <w:keepNext/>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described in “Methodology for student demographics analysis of final regulations,” to further examine the relationship between student demographics and program results under the final regulations, we analyzed the degree to which individual demographic characteristics might be associated with a program’s annual earnings rate while holding other characteristics constant.  This method allowed us to investigate whether there are any particular demographic characteristics that may place programs at a substantial disadvantage under the D/E rates measure. </w:t>
      </w:r>
    </w:p>
    <w:p w14:paraId="494FA27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For this analysis, </w:t>
      </w:r>
      <w:bookmarkEnd w:id="66"/>
      <w:bookmarkEnd w:id="67"/>
      <w:r w:rsidRPr="00AA6DFD">
        <w:rPr>
          <w:rFonts w:ascii="Courier New" w:hAnsi="Courier New" w:cs="Courier New"/>
          <w:sz w:val="24"/>
          <w:szCs w:val="24"/>
        </w:rPr>
        <w:t>the</w:t>
      </w:r>
      <w:bookmarkStart w:id="68" w:name="IDX3"/>
      <w:bookmarkEnd w:id="68"/>
      <w:r w:rsidRPr="00AA6DFD">
        <w:rPr>
          <w:rFonts w:ascii="Courier New" w:hAnsi="Courier New" w:cs="Courier New"/>
          <w:sz w:val="24"/>
          <w:szCs w:val="24"/>
        </w:rPr>
        <w:t xml:space="preserve"> Department created a regression model with annual earnings rate as the dependent variable and multiple independent variables that are indicators of student, program, and institutional characteristics.  The independent variables </w:t>
      </w:r>
      <w:r w:rsidRPr="00F43746">
        <w:rPr>
          <w:rFonts w:ascii="Courier New" w:hAnsi="Courier New" w:cs="Courier New"/>
          <w:sz w:val="24"/>
          <w:szCs w:val="24"/>
        </w:rPr>
        <w:t>in the regression analysis</w:t>
      </w:r>
      <w:r w:rsidRPr="009B3C7F">
        <w:rPr>
          <w:rFonts w:ascii="Courier New" w:hAnsi="Courier New" w:cs="Courier New"/>
          <w:sz w:val="24"/>
          <w:szCs w:val="24"/>
        </w:rPr>
        <w:t xml:space="preserve"> a</w:t>
      </w:r>
      <w:r w:rsidRPr="00AA6DFD">
        <w:rPr>
          <w:rFonts w:ascii="Courier New" w:hAnsi="Courier New" w:cs="Courier New"/>
          <w:sz w:val="24"/>
          <w:szCs w:val="24"/>
        </w:rPr>
        <w:t>re zero EFC, independent, female, mothers completing college, and the following race and ethnicity categories: American Indian or Alaska Native (Indian), Asian/Native Hawaiian/Other Pacific Islander (Asian),</w:t>
      </w:r>
      <w:r w:rsidRPr="00AA6DFD">
        <w:t xml:space="preserve"> </w:t>
      </w:r>
      <w:r w:rsidRPr="00AA6DFD">
        <w:rPr>
          <w:rFonts w:ascii="Courier New" w:hAnsi="Courier New" w:cs="Courier New"/>
          <w:sz w:val="24"/>
          <w:szCs w:val="24"/>
        </w:rPr>
        <w:t xml:space="preserve">Black or African American (Black), Hispanic or Latino/Hispanic (Hispanic), White/White non-Hispanic (White), </w:t>
      </w:r>
      <w:r>
        <w:rPr>
          <w:rFonts w:ascii="Courier New" w:hAnsi="Courier New" w:cs="Courier New"/>
          <w:sz w:val="24"/>
          <w:szCs w:val="24"/>
        </w:rPr>
        <w:t xml:space="preserve">and </w:t>
      </w:r>
      <w:r w:rsidRPr="00AA6DFD">
        <w:rPr>
          <w:rFonts w:ascii="Courier New" w:hAnsi="Courier New" w:cs="Courier New"/>
          <w:sz w:val="24"/>
          <w:szCs w:val="24"/>
        </w:rPr>
        <w:t>Two or More Races.</w:t>
      </w:r>
      <w:r w:rsidRPr="00AA6DFD">
        <w:rPr>
          <w:rStyle w:val="FootnoteReference"/>
          <w:rFonts w:ascii="Courier New" w:hAnsi="Courier New"/>
          <w:sz w:val="24"/>
          <w:szCs w:val="24"/>
        </w:rPr>
        <w:footnoteReference w:id="324"/>
      </w:r>
      <w:r w:rsidRPr="00AA6DFD">
        <w:rPr>
          <w:rFonts w:ascii="Courier New" w:hAnsi="Courier New" w:cs="Courier New"/>
          <w:sz w:val="24"/>
          <w:szCs w:val="24"/>
        </w:rPr>
        <w:t xml:space="preserve">  In addition, we included program credential level and institutional </w:t>
      </w:r>
      <w:r w:rsidRPr="00F43746">
        <w:rPr>
          <w:rFonts w:ascii="Courier New" w:hAnsi="Courier New" w:cs="Courier New"/>
          <w:sz w:val="24"/>
          <w:szCs w:val="24"/>
        </w:rPr>
        <w:t>sector to control</w:t>
      </w:r>
      <w:r w:rsidRPr="00AA6DFD">
        <w:rPr>
          <w:rFonts w:ascii="Courier New" w:hAnsi="Courier New" w:cs="Courier New"/>
          <w:sz w:val="24"/>
          <w:szCs w:val="24"/>
        </w:rPr>
        <w:t xml:space="preserve"> for non-demographic characteristics of programs.</w:t>
      </w:r>
      <w:r>
        <w:rPr>
          <w:rFonts w:ascii="Courier New" w:hAnsi="Courier New" w:cs="Courier New"/>
          <w:sz w:val="24"/>
          <w:szCs w:val="24"/>
        </w:rPr>
        <w:t xml:space="preserve">  As stated previously, we ran the regression models both with and without the race and ethnicity variables.</w:t>
      </w:r>
      <w:r w:rsidRPr="00AA6DFD">
        <w:rPr>
          <w:rFonts w:ascii="Courier New" w:hAnsi="Courier New" w:cs="Courier New"/>
          <w:sz w:val="24"/>
          <w:szCs w:val="24"/>
        </w:rPr>
        <w:t xml:space="preserve">   </w:t>
      </w:r>
    </w:p>
    <w:p w14:paraId="0F18245F"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2.12: Annual earnings rate regression- with race</w:t>
      </w:r>
      <w:r>
        <w:rPr>
          <w:rFonts w:ascii="Courier New" w:hAnsi="Courier New" w:cs="Courier New"/>
          <w:b/>
          <w:sz w:val="24"/>
          <w:szCs w:val="24"/>
        </w:rPr>
        <w:t>/ethnicity</w:t>
      </w:r>
      <w:r w:rsidRPr="00AA6DFD">
        <w:rPr>
          <w:rFonts w:ascii="Courier New" w:hAnsi="Courier New" w:cs="Courier New"/>
          <w:b/>
          <w:sz w:val="24"/>
          <w:szCs w:val="24"/>
        </w:rPr>
        <w:t xml:space="preserve"> variables</w:t>
      </w:r>
    </w:p>
    <w:p w14:paraId="2C37F707" w14:textId="77777777" w:rsidR="00BF10A3" w:rsidRPr="000D30DB" w:rsidRDefault="00BF10A3" w:rsidP="00BF10A3">
      <w:pPr>
        <w:pStyle w:val="NoSpacing"/>
        <w:rPr>
          <w:rFonts w:ascii="Courier New" w:eastAsiaTheme="minorHAnsi" w:hAnsi="Courier New" w:cstheme="minorBidi"/>
          <w:sz w:val="16"/>
        </w:rPr>
      </w:pPr>
    </w:p>
    <w:tbl>
      <w:tblPr>
        <w:tblStyle w:val="TableGrid1"/>
        <w:tblW w:w="0" w:type="auto"/>
        <w:tblLook w:val="04A0" w:firstRow="1" w:lastRow="0" w:firstColumn="1" w:lastColumn="0" w:noHBand="0" w:noVBand="1"/>
      </w:tblPr>
      <w:tblGrid>
        <w:gridCol w:w="2268"/>
        <w:gridCol w:w="1260"/>
      </w:tblGrid>
      <w:tr w:rsidR="00BF10A3" w:rsidRPr="00DF4B73" w14:paraId="6157C476" w14:textId="77777777" w:rsidTr="001F7400">
        <w:trPr>
          <w:trHeight w:val="300"/>
        </w:trPr>
        <w:tc>
          <w:tcPr>
            <w:tcW w:w="2268" w:type="dxa"/>
            <w:noWrap/>
            <w:hideMark/>
          </w:tcPr>
          <w:p w14:paraId="7A0C88F4"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Number of obs</w:t>
            </w:r>
          </w:p>
        </w:tc>
        <w:tc>
          <w:tcPr>
            <w:tcW w:w="1260" w:type="dxa"/>
            <w:noWrap/>
            <w:vAlign w:val="bottom"/>
            <w:hideMark/>
          </w:tcPr>
          <w:p w14:paraId="4DEEE86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4171</w:t>
            </w:r>
          </w:p>
        </w:tc>
      </w:tr>
      <w:tr w:rsidR="00BF10A3" w:rsidRPr="00DF4B73" w14:paraId="01F42150" w14:textId="77777777" w:rsidTr="001F7400">
        <w:trPr>
          <w:trHeight w:val="300"/>
        </w:trPr>
        <w:tc>
          <w:tcPr>
            <w:tcW w:w="2268" w:type="dxa"/>
            <w:noWrap/>
            <w:hideMark/>
          </w:tcPr>
          <w:p w14:paraId="7F18D069"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R-squared</w:t>
            </w:r>
          </w:p>
        </w:tc>
        <w:tc>
          <w:tcPr>
            <w:tcW w:w="1260" w:type="dxa"/>
            <w:noWrap/>
            <w:vAlign w:val="bottom"/>
            <w:hideMark/>
          </w:tcPr>
          <w:p w14:paraId="76003B6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0.44</w:t>
            </w:r>
          </w:p>
        </w:tc>
      </w:tr>
    </w:tbl>
    <w:p w14:paraId="0DAE9869" w14:textId="77777777" w:rsidR="00BF10A3" w:rsidRPr="00DF4B73" w:rsidRDefault="00BF10A3" w:rsidP="00BF10A3">
      <w:pPr>
        <w:spacing w:after="0" w:line="240" w:lineRule="auto"/>
        <w:rPr>
          <w:rFonts w:ascii="Courier New" w:eastAsiaTheme="minorHAnsi" w:hAnsi="Courier New" w:cs="Courier New"/>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1945"/>
        <w:gridCol w:w="1801"/>
        <w:gridCol w:w="1369"/>
        <w:gridCol w:w="1513"/>
        <w:gridCol w:w="1066"/>
      </w:tblGrid>
      <w:tr w:rsidR="00BF10A3" w:rsidRPr="00DF4B73" w14:paraId="6D9AB585" w14:textId="77777777" w:rsidTr="001F7400">
        <w:trPr>
          <w:trHeight w:val="333"/>
        </w:trPr>
        <w:tc>
          <w:tcPr>
            <w:tcW w:w="1945" w:type="dxa"/>
            <w:noWrap/>
            <w:vAlign w:val="center"/>
            <w:hideMark/>
          </w:tcPr>
          <w:p w14:paraId="7E19BD46" w14:textId="77777777" w:rsidR="00BF10A3" w:rsidRPr="00DF4B73" w:rsidRDefault="00BF10A3" w:rsidP="001F7400">
            <w:pPr>
              <w:jc w:val="center"/>
              <w:rPr>
                <w:rFonts w:ascii="Courier New" w:eastAsiaTheme="minorHAnsi" w:hAnsi="Courier New" w:cs="Courier New"/>
                <w:b/>
                <w:sz w:val="24"/>
                <w:szCs w:val="24"/>
              </w:rPr>
            </w:pPr>
            <w:r w:rsidRPr="00DF4B73">
              <w:rPr>
                <w:rFonts w:ascii="Courier New" w:eastAsiaTheme="minorHAnsi" w:hAnsi="Courier New" w:cs="Courier New"/>
                <w:b/>
                <w:sz w:val="24"/>
                <w:szCs w:val="24"/>
              </w:rPr>
              <w:t>Variable</w:t>
            </w:r>
          </w:p>
        </w:tc>
        <w:tc>
          <w:tcPr>
            <w:tcW w:w="1801" w:type="dxa"/>
            <w:noWrap/>
            <w:vAlign w:val="center"/>
            <w:hideMark/>
          </w:tcPr>
          <w:p w14:paraId="3C7F2210" w14:textId="77777777" w:rsidR="00BF10A3" w:rsidRPr="00DF4B73" w:rsidRDefault="00BF10A3" w:rsidP="001F7400">
            <w:pPr>
              <w:jc w:val="center"/>
              <w:rPr>
                <w:rFonts w:ascii="Courier New" w:eastAsiaTheme="minorHAnsi" w:hAnsi="Courier New" w:cs="Courier New"/>
                <w:b/>
                <w:sz w:val="24"/>
                <w:szCs w:val="24"/>
              </w:rPr>
            </w:pPr>
            <w:r w:rsidRPr="00DF4B73">
              <w:rPr>
                <w:rFonts w:ascii="Courier New" w:eastAsiaTheme="minorHAnsi" w:hAnsi="Courier New" w:cs="Courier New"/>
                <w:b/>
                <w:sz w:val="24"/>
                <w:szCs w:val="24"/>
              </w:rPr>
              <w:t>Coefficient</w:t>
            </w:r>
          </w:p>
        </w:tc>
        <w:tc>
          <w:tcPr>
            <w:tcW w:w="1369" w:type="dxa"/>
            <w:noWrap/>
            <w:vAlign w:val="center"/>
            <w:hideMark/>
          </w:tcPr>
          <w:p w14:paraId="744A8E69" w14:textId="77777777" w:rsidR="00BF10A3" w:rsidRPr="00DF4B73" w:rsidRDefault="00BF10A3" w:rsidP="001F7400">
            <w:pPr>
              <w:jc w:val="center"/>
              <w:rPr>
                <w:rFonts w:ascii="Courier New" w:eastAsiaTheme="minorHAnsi" w:hAnsi="Courier New" w:cs="Courier New"/>
                <w:b/>
                <w:sz w:val="24"/>
                <w:szCs w:val="24"/>
              </w:rPr>
            </w:pPr>
            <w:r w:rsidRPr="00DF4B73">
              <w:rPr>
                <w:rFonts w:ascii="Courier New" w:eastAsiaTheme="minorHAnsi" w:hAnsi="Courier New" w:cs="Courier New"/>
                <w:b/>
                <w:sz w:val="24"/>
                <w:szCs w:val="24"/>
              </w:rPr>
              <w:t>Robust standard error</w:t>
            </w:r>
          </w:p>
        </w:tc>
        <w:tc>
          <w:tcPr>
            <w:tcW w:w="1513" w:type="dxa"/>
            <w:noWrap/>
            <w:vAlign w:val="center"/>
            <w:hideMark/>
          </w:tcPr>
          <w:p w14:paraId="6B4640BD" w14:textId="77777777" w:rsidR="00BF10A3" w:rsidRPr="00DF4B73" w:rsidRDefault="00BF10A3" w:rsidP="001F7400">
            <w:pPr>
              <w:jc w:val="center"/>
              <w:rPr>
                <w:rFonts w:ascii="Courier New" w:eastAsiaTheme="minorHAnsi" w:hAnsi="Courier New" w:cs="Courier New"/>
                <w:b/>
                <w:sz w:val="24"/>
                <w:szCs w:val="24"/>
              </w:rPr>
            </w:pPr>
            <w:r w:rsidRPr="00DF4B73">
              <w:rPr>
                <w:rFonts w:ascii="Courier New" w:eastAsiaTheme="minorHAnsi" w:hAnsi="Courier New" w:cs="Courier New"/>
                <w:b/>
                <w:sz w:val="24"/>
                <w:szCs w:val="24"/>
              </w:rPr>
              <w:t>T-statistic</w:t>
            </w:r>
          </w:p>
        </w:tc>
        <w:tc>
          <w:tcPr>
            <w:tcW w:w="1066" w:type="dxa"/>
            <w:noWrap/>
            <w:vAlign w:val="center"/>
            <w:hideMark/>
          </w:tcPr>
          <w:p w14:paraId="012E7066" w14:textId="77777777" w:rsidR="00BF10A3" w:rsidRPr="00DF4B73" w:rsidRDefault="00BF10A3" w:rsidP="001F7400">
            <w:pPr>
              <w:jc w:val="center"/>
              <w:rPr>
                <w:rFonts w:ascii="Courier New" w:eastAsiaTheme="minorHAnsi" w:hAnsi="Courier New" w:cs="Courier New"/>
                <w:b/>
                <w:sz w:val="24"/>
                <w:szCs w:val="24"/>
              </w:rPr>
            </w:pPr>
            <w:r w:rsidRPr="00DF4B73">
              <w:rPr>
                <w:rFonts w:ascii="Courier New" w:eastAsiaTheme="minorHAnsi" w:hAnsi="Courier New" w:cs="Courier New"/>
                <w:b/>
                <w:sz w:val="24"/>
                <w:szCs w:val="24"/>
              </w:rPr>
              <w:t>P-value</w:t>
            </w:r>
          </w:p>
        </w:tc>
      </w:tr>
      <w:tr w:rsidR="00BF10A3" w:rsidRPr="00DF4B73" w14:paraId="3D42E2C2" w14:textId="77777777" w:rsidTr="001F7400">
        <w:trPr>
          <w:trHeight w:val="333"/>
        </w:trPr>
        <w:tc>
          <w:tcPr>
            <w:tcW w:w="1945" w:type="dxa"/>
            <w:noWrap/>
            <w:hideMark/>
          </w:tcPr>
          <w:p w14:paraId="63329F8F"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Asian</w:t>
            </w:r>
          </w:p>
        </w:tc>
        <w:tc>
          <w:tcPr>
            <w:tcW w:w="1801" w:type="dxa"/>
            <w:noWrap/>
            <w:vAlign w:val="bottom"/>
            <w:hideMark/>
          </w:tcPr>
          <w:p w14:paraId="28201A13"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-0.022</w:t>
            </w:r>
          </w:p>
        </w:tc>
        <w:tc>
          <w:tcPr>
            <w:tcW w:w="1369" w:type="dxa"/>
            <w:noWrap/>
            <w:vAlign w:val="bottom"/>
            <w:hideMark/>
          </w:tcPr>
          <w:p w14:paraId="72951EAB"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0.005</w:t>
            </w:r>
          </w:p>
        </w:tc>
        <w:tc>
          <w:tcPr>
            <w:tcW w:w="1513" w:type="dxa"/>
            <w:noWrap/>
            <w:vAlign w:val="bottom"/>
            <w:hideMark/>
          </w:tcPr>
          <w:p w14:paraId="5DC6892B"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-4.09</w:t>
            </w:r>
          </w:p>
        </w:tc>
        <w:tc>
          <w:tcPr>
            <w:tcW w:w="1066" w:type="dxa"/>
            <w:noWrap/>
            <w:vAlign w:val="bottom"/>
            <w:hideMark/>
          </w:tcPr>
          <w:p w14:paraId="24892AF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11F00FDE" w14:textId="77777777" w:rsidTr="001F7400">
        <w:trPr>
          <w:trHeight w:val="333"/>
        </w:trPr>
        <w:tc>
          <w:tcPr>
            <w:tcW w:w="1945" w:type="dxa"/>
            <w:noWrap/>
            <w:hideMark/>
          </w:tcPr>
          <w:p w14:paraId="4A0204D1"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Black</w:t>
            </w:r>
          </w:p>
        </w:tc>
        <w:tc>
          <w:tcPr>
            <w:tcW w:w="1801" w:type="dxa"/>
            <w:noWrap/>
            <w:vAlign w:val="bottom"/>
            <w:hideMark/>
          </w:tcPr>
          <w:p w14:paraId="4A7FA5A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0.019</w:t>
            </w:r>
          </w:p>
        </w:tc>
        <w:tc>
          <w:tcPr>
            <w:tcW w:w="1369" w:type="dxa"/>
            <w:noWrap/>
            <w:vAlign w:val="bottom"/>
            <w:hideMark/>
          </w:tcPr>
          <w:p w14:paraId="1E0409A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0.003</w:t>
            </w:r>
          </w:p>
        </w:tc>
        <w:tc>
          <w:tcPr>
            <w:tcW w:w="1513" w:type="dxa"/>
            <w:noWrap/>
            <w:vAlign w:val="bottom"/>
            <w:hideMark/>
          </w:tcPr>
          <w:p w14:paraId="1BF35F21"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6.07</w:t>
            </w:r>
          </w:p>
        </w:tc>
        <w:tc>
          <w:tcPr>
            <w:tcW w:w="1066" w:type="dxa"/>
            <w:noWrap/>
            <w:vAlign w:val="bottom"/>
            <w:hideMark/>
          </w:tcPr>
          <w:p w14:paraId="62953A72"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20DB55B7" w14:textId="77777777" w:rsidTr="001F7400">
        <w:trPr>
          <w:trHeight w:val="333"/>
        </w:trPr>
        <w:tc>
          <w:tcPr>
            <w:tcW w:w="1945" w:type="dxa"/>
            <w:noWrap/>
            <w:hideMark/>
          </w:tcPr>
          <w:p w14:paraId="419D7311"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Hispanic</w:t>
            </w:r>
          </w:p>
        </w:tc>
        <w:tc>
          <w:tcPr>
            <w:tcW w:w="1801" w:type="dxa"/>
            <w:noWrap/>
            <w:vAlign w:val="bottom"/>
            <w:hideMark/>
          </w:tcPr>
          <w:p w14:paraId="50542E96"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-0.015</w:t>
            </w:r>
          </w:p>
        </w:tc>
        <w:tc>
          <w:tcPr>
            <w:tcW w:w="1369" w:type="dxa"/>
            <w:noWrap/>
            <w:vAlign w:val="bottom"/>
            <w:hideMark/>
          </w:tcPr>
          <w:p w14:paraId="488C216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0.003</w:t>
            </w:r>
          </w:p>
        </w:tc>
        <w:tc>
          <w:tcPr>
            <w:tcW w:w="1513" w:type="dxa"/>
            <w:noWrap/>
            <w:vAlign w:val="bottom"/>
            <w:hideMark/>
          </w:tcPr>
          <w:p w14:paraId="42EA88B8"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-4.62</w:t>
            </w:r>
          </w:p>
        </w:tc>
        <w:tc>
          <w:tcPr>
            <w:tcW w:w="1066" w:type="dxa"/>
            <w:noWrap/>
            <w:vAlign w:val="bottom"/>
            <w:hideMark/>
          </w:tcPr>
          <w:p w14:paraId="3A8BD0F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037ADA9C" w14:textId="77777777" w:rsidTr="001F7400">
        <w:trPr>
          <w:trHeight w:val="333"/>
        </w:trPr>
        <w:tc>
          <w:tcPr>
            <w:tcW w:w="1945" w:type="dxa"/>
            <w:noWrap/>
            <w:hideMark/>
          </w:tcPr>
          <w:p w14:paraId="19740EBF"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Indian</w:t>
            </w:r>
          </w:p>
        </w:tc>
        <w:tc>
          <w:tcPr>
            <w:tcW w:w="1801" w:type="dxa"/>
            <w:noWrap/>
            <w:vAlign w:val="bottom"/>
            <w:hideMark/>
          </w:tcPr>
          <w:p w14:paraId="146670E2"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-0.002</w:t>
            </w:r>
          </w:p>
        </w:tc>
        <w:tc>
          <w:tcPr>
            <w:tcW w:w="1369" w:type="dxa"/>
            <w:noWrap/>
            <w:vAlign w:val="bottom"/>
            <w:hideMark/>
          </w:tcPr>
          <w:p w14:paraId="39054A1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0.012</w:t>
            </w:r>
          </w:p>
        </w:tc>
        <w:tc>
          <w:tcPr>
            <w:tcW w:w="1513" w:type="dxa"/>
            <w:noWrap/>
            <w:vAlign w:val="bottom"/>
            <w:hideMark/>
          </w:tcPr>
          <w:p w14:paraId="1AF94DB2"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-0.13</w:t>
            </w:r>
          </w:p>
        </w:tc>
        <w:tc>
          <w:tcPr>
            <w:tcW w:w="1066" w:type="dxa"/>
            <w:noWrap/>
            <w:vAlign w:val="bottom"/>
            <w:hideMark/>
          </w:tcPr>
          <w:p w14:paraId="6926759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0.896</w:t>
            </w:r>
          </w:p>
        </w:tc>
      </w:tr>
      <w:tr w:rsidR="00BF10A3" w:rsidRPr="00DF4B73" w14:paraId="10DC4824" w14:textId="77777777" w:rsidTr="001F7400">
        <w:trPr>
          <w:trHeight w:val="333"/>
        </w:trPr>
        <w:tc>
          <w:tcPr>
            <w:tcW w:w="1945" w:type="dxa"/>
            <w:noWrap/>
            <w:hideMark/>
          </w:tcPr>
          <w:p w14:paraId="1B214C98"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race2or_more</w:t>
            </w:r>
          </w:p>
        </w:tc>
        <w:tc>
          <w:tcPr>
            <w:tcW w:w="1801" w:type="dxa"/>
            <w:noWrap/>
            <w:vAlign w:val="bottom"/>
            <w:hideMark/>
          </w:tcPr>
          <w:p w14:paraId="6784265A"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-0.110</w:t>
            </w:r>
          </w:p>
        </w:tc>
        <w:tc>
          <w:tcPr>
            <w:tcW w:w="1369" w:type="dxa"/>
            <w:noWrap/>
            <w:vAlign w:val="bottom"/>
            <w:hideMark/>
          </w:tcPr>
          <w:p w14:paraId="53C0414E"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0.038</w:t>
            </w:r>
          </w:p>
        </w:tc>
        <w:tc>
          <w:tcPr>
            <w:tcW w:w="1513" w:type="dxa"/>
            <w:noWrap/>
            <w:vAlign w:val="bottom"/>
            <w:hideMark/>
          </w:tcPr>
          <w:p w14:paraId="11963BC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-2.92</w:t>
            </w:r>
          </w:p>
        </w:tc>
        <w:tc>
          <w:tcPr>
            <w:tcW w:w="1066" w:type="dxa"/>
            <w:noWrap/>
            <w:vAlign w:val="bottom"/>
            <w:hideMark/>
          </w:tcPr>
          <w:p w14:paraId="4B803774"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0.004</w:t>
            </w:r>
          </w:p>
        </w:tc>
      </w:tr>
      <w:tr w:rsidR="00BF10A3" w:rsidRPr="00DF4B73" w14:paraId="6BF73A20" w14:textId="77777777" w:rsidTr="001F7400">
        <w:trPr>
          <w:trHeight w:val="333"/>
        </w:trPr>
        <w:tc>
          <w:tcPr>
            <w:tcW w:w="1945" w:type="dxa"/>
            <w:noWrap/>
            <w:hideMark/>
          </w:tcPr>
          <w:p w14:paraId="6DC84F3D"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zefc</w:t>
            </w:r>
          </w:p>
        </w:tc>
        <w:tc>
          <w:tcPr>
            <w:tcW w:w="1801" w:type="dxa"/>
            <w:noWrap/>
            <w:vAlign w:val="bottom"/>
            <w:hideMark/>
          </w:tcPr>
          <w:p w14:paraId="3894BFE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-0.015</w:t>
            </w:r>
          </w:p>
        </w:tc>
        <w:tc>
          <w:tcPr>
            <w:tcW w:w="1369" w:type="dxa"/>
            <w:noWrap/>
            <w:vAlign w:val="bottom"/>
            <w:hideMark/>
          </w:tcPr>
          <w:p w14:paraId="3D9324F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0.005</w:t>
            </w:r>
          </w:p>
        </w:tc>
        <w:tc>
          <w:tcPr>
            <w:tcW w:w="1513" w:type="dxa"/>
            <w:noWrap/>
            <w:vAlign w:val="bottom"/>
            <w:hideMark/>
          </w:tcPr>
          <w:p w14:paraId="50FCD61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-3.00</w:t>
            </w:r>
          </w:p>
        </w:tc>
        <w:tc>
          <w:tcPr>
            <w:tcW w:w="1066" w:type="dxa"/>
            <w:noWrap/>
            <w:vAlign w:val="bottom"/>
            <w:hideMark/>
          </w:tcPr>
          <w:p w14:paraId="0EAF08F4"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0.003</w:t>
            </w:r>
          </w:p>
        </w:tc>
      </w:tr>
      <w:tr w:rsidR="00BF10A3" w:rsidRPr="00DF4B73" w14:paraId="4D2DEB6D" w14:textId="77777777" w:rsidTr="001F7400">
        <w:trPr>
          <w:trHeight w:val="333"/>
        </w:trPr>
        <w:tc>
          <w:tcPr>
            <w:tcW w:w="1945" w:type="dxa"/>
            <w:noWrap/>
            <w:hideMark/>
          </w:tcPr>
          <w:p w14:paraId="067DD464"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independent</w:t>
            </w:r>
          </w:p>
        </w:tc>
        <w:tc>
          <w:tcPr>
            <w:tcW w:w="1801" w:type="dxa"/>
            <w:noWrap/>
            <w:vAlign w:val="bottom"/>
            <w:hideMark/>
          </w:tcPr>
          <w:p w14:paraId="2449B00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-0.017</w:t>
            </w:r>
          </w:p>
        </w:tc>
        <w:tc>
          <w:tcPr>
            <w:tcW w:w="1369" w:type="dxa"/>
            <w:noWrap/>
            <w:vAlign w:val="bottom"/>
            <w:hideMark/>
          </w:tcPr>
          <w:p w14:paraId="39F3FDFA"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0.004</w:t>
            </w:r>
          </w:p>
        </w:tc>
        <w:tc>
          <w:tcPr>
            <w:tcW w:w="1513" w:type="dxa"/>
            <w:noWrap/>
            <w:vAlign w:val="bottom"/>
            <w:hideMark/>
          </w:tcPr>
          <w:p w14:paraId="60632115"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-4.20</w:t>
            </w:r>
          </w:p>
        </w:tc>
        <w:tc>
          <w:tcPr>
            <w:tcW w:w="1066" w:type="dxa"/>
            <w:noWrap/>
            <w:vAlign w:val="bottom"/>
            <w:hideMark/>
          </w:tcPr>
          <w:p w14:paraId="55F9047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141F823A" w14:textId="77777777" w:rsidTr="001F7400">
        <w:trPr>
          <w:trHeight w:val="333"/>
        </w:trPr>
        <w:tc>
          <w:tcPr>
            <w:tcW w:w="1945" w:type="dxa"/>
            <w:noWrap/>
            <w:hideMark/>
          </w:tcPr>
          <w:p w14:paraId="75ADA164"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female</w:t>
            </w:r>
          </w:p>
        </w:tc>
        <w:tc>
          <w:tcPr>
            <w:tcW w:w="1801" w:type="dxa"/>
            <w:noWrap/>
            <w:vAlign w:val="bottom"/>
            <w:hideMark/>
          </w:tcPr>
          <w:p w14:paraId="21156FA4"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0.011</w:t>
            </w:r>
          </w:p>
        </w:tc>
        <w:tc>
          <w:tcPr>
            <w:tcW w:w="1369" w:type="dxa"/>
            <w:noWrap/>
            <w:vAlign w:val="bottom"/>
            <w:hideMark/>
          </w:tcPr>
          <w:p w14:paraId="4E68B93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0.002</w:t>
            </w:r>
          </w:p>
        </w:tc>
        <w:tc>
          <w:tcPr>
            <w:tcW w:w="1513" w:type="dxa"/>
            <w:noWrap/>
            <w:vAlign w:val="bottom"/>
            <w:hideMark/>
          </w:tcPr>
          <w:p w14:paraId="2296A6F6"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5.54</w:t>
            </w:r>
          </w:p>
        </w:tc>
        <w:tc>
          <w:tcPr>
            <w:tcW w:w="1066" w:type="dxa"/>
            <w:noWrap/>
            <w:vAlign w:val="bottom"/>
            <w:hideMark/>
          </w:tcPr>
          <w:p w14:paraId="088FEA63"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1EF02349" w14:textId="77777777" w:rsidTr="001F7400">
        <w:trPr>
          <w:trHeight w:val="333"/>
        </w:trPr>
        <w:tc>
          <w:tcPr>
            <w:tcW w:w="1945" w:type="dxa"/>
            <w:noWrap/>
            <w:hideMark/>
          </w:tcPr>
          <w:p w14:paraId="17D3AFA2"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mother</w:t>
            </w:r>
          </w:p>
        </w:tc>
        <w:tc>
          <w:tcPr>
            <w:tcW w:w="1801" w:type="dxa"/>
            <w:noWrap/>
            <w:vAlign w:val="bottom"/>
            <w:hideMark/>
          </w:tcPr>
          <w:p w14:paraId="2F05950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0.031</w:t>
            </w:r>
          </w:p>
        </w:tc>
        <w:tc>
          <w:tcPr>
            <w:tcW w:w="1369" w:type="dxa"/>
            <w:noWrap/>
            <w:vAlign w:val="bottom"/>
            <w:hideMark/>
          </w:tcPr>
          <w:p w14:paraId="0433B3D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0.008</w:t>
            </w:r>
          </w:p>
        </w:tc>
        <w:tc>
          <w:tcPr>
            <w:tcW w:w="1513" w:type="dxa"/>
            <w:noWrap/>
            <w:vAlign w:val="bottom"/>
            <w:hideMark/>
          </w:tcPr>
          <w:p w14:paraId="4E882291"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4.07</w:t>
            </w:r>
          </w:p>
        </w:tc>
        <w:tc>
          <w:tcPr>
            <w:tcW w:w="1066" w:type="dxa"/>
            <w:noWrap/>
            <w:vAlign w:val="bottom"/>
            <w:hideMark/>
          </w:tcPr>
          <w:p w14:paraId="57A2E32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2699CDED" w14:textId="77777777" w:rsidTr="001F7400">
        <w:trPr>
          <w:trHeight w:val="333"/>
        </w:trPr>
        <w:tc>
          <w:tcPr>
            <w:tcW w:w="1945" w:type="dxa"/>
            <w:noWrap/>
            <w:hideMark/>
          </w:tcPr>
          <w:p w14:paraId="7D866721"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Private</w:t>
            </w:r>
          </w:p>
        </w:tc>
        <w:tc>
          <w:tcPr>
            <w:tcW w:w="1801" w:type="dxa"/>
            <w:noWrap/>
            <w:vAlign w:val="bottom"/>
            <w:hideMark/>
          </w:tcPr>
          <w:p w14:paraId="282F655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0.220</w:t>
            </w:r>
          </w:p>
        </w:tc>
        <w:tc>
          <w:tcPr>
            <w:tcW w:w="1369" w:type="dxa"/>
            <w:noWrap/>
            <w:vAlign w:val="bottom"/>
            <w:hideMark/>
          </w:tcPr>
          <w:p w14:paraId="3D50446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0.397</w:t>
            </w:r>
          </w:p>
        </w:tc>
        <w:tc>
          <w:tcPr>
            <w:tcW w:w="1513" w:type="dxa"/>
            <w:noWrap/>
            <w:vAlign w:val="bottom"/>
            <w:hideMark/>
          </w:tcPr>
          <w:p w14:paraId="4B5BFB6E"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0.55</w:t>
            </w:r>
          </w:p>
        </w:tc>
        <w:tc>
          <w:tcPr>
            <w:tcW w:w="1066" w:type="dxa"/>
            <w:noWrap/>
            <w:vAlign w:val="bottom"/>
            <w:hideMark/>
          </w:tcPr>
          <w:p w14:paraId="22C97BA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0.579</w:t>
            </w:r>
          </w:p>
        </w:tc>
      </w:tr>
      <w:tr w:rsidR="00BF10A3" w:rsidRPr="00DF4B73" w14:paraId="48C1567E" w14:textId="77777777" w:rsidTr="001F7400">
        <w:trPr>
          <w:trHeight w:val="333"/>
        </w:trPr>
        <w:tc>
          <w:tcPr>
            <w:tcW w:w="1945" w:type="dxa"/>
            <w:noWrap/>
            <w:hideMark/>
          </w:tcPr>
          <w:p w14:paraId="757DB42B"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Public</w:t>
            </w:r>
          </w:p>
        </w:tc>
        <w:tc>
          <w:tcPr>
            <w:tcW w:w="1801" w:type="dxa"/>
            <w:noWrap/>
            <w:vAlign w:val="bottom"/>
            <w:hideMark/>
          </w:tcPr>
          <w:p w14:paraId="7275C2D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1.231</w:t>
            </w:r>
          </w:p>
        </w:tc>
        <w:tc>
          <w:tcPr>
            <w:tcW w:w="1369" w:type="dxa"/>
            <w:noWrap/>
            <w:vAlign w:val="bottom"/>
            <w:hideMark/>
          </w:tcPr>
          <w:p w14:paraId="2AC1920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0.646</w:t>
            </w:r>
          </w:p>
        </w:tc>
        <w:tc>
          <w:tcPr>
            <w:tcW w:w="1513" w:type="dxa"/>
            <w:noWrap/>
            <w:vAlign w:val="bottom"/>
            <w:hideMark/>
          </w:tcPr>
          <w:p w14:paraId="5F0C9047"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1.90</w:t>
            </w:r>
          </w:p>
        </w:tc>
        <w:tc>
          <w:tcPr>
            <w:tcW w:w="1066" w:type="dxa"/>
            <w:noWrap/>
            <w:vAlign w:val="bottom"/>
            <w:hideMark/>
          </w:tcPr>
          <w:p w14:paraId="0007DD4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0.057</w:t>
            </w:r>
          </w:p>
        </w:tc>
      </w:tr>
      <w:tr w:rsidR="00BF10A3" w:rsidRPr="00DF4B73" w14:paraId="043133A8" w14:textId="77777777" w:rsidTr="001F7400">
        <w:trPr>
          <w:trHeight w:val="333"/>
        </w:trPr>
        <w:tc>
          <w:tcPr>
            <w:tcW w:w="1945" w:type="dxa"/>
            <w:noWrap/>
            <w:hideMark/>
          </w:tcPr>
          <w:p w14:paraId="3C200E38"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Level_2</w:t>
            </w:r>
          </w:p>
        </w:tc>
        <w:tc>
          <w:tcPr>
            <w:tcW w:w="1801" w:type="dxa"/>
            <w:noWrap/>
            <w:vAlign w:val="bottom"/>
            <w:hideMark/>
          </w:tcPr>
          <w:p w14:paraId="34CE57C8"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3.400</w:t>
            </w:r>
          </w:p>
        </w:tc>
        <w:tc>
          <w:tcPr>
            <w:tcW w:w="1369" w:type="dxa"/>
            <w:noWrap/>
            <w:vAlign w:val="bottom"/>
            <w:hideMark/>
          </w:tcPr>
          <w:p w14:paraId="6B0A5A8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0.325</w:t>
            </w:r>
          </w:p>
        </w:tc>
        <w:tc>
          <w:tcPr>
            <w:tcW w:w="1513" w:type="dxa"/>
            <w:noWrap/>
            <w:vAlign w:val="bottom"/>
            <w:hideMark/>
          </w:tcPr>
          <w:p w14:paraId="07403388"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10.46</w:t>
            </w:r>
          </w:p>
        </w:tc>
        <w:tc>
          <w:tcPr>
            <w:tcW w:w="1066" w:type="dxa"/>
            <w:noWrap/>
            <w:vAlign w:val="bottom"/>
            <w:hideMark/>
          </w:tcPr>
          <w:p w14:paraId="4505A253"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18C4CC56" w14:textId="77777777" w:rsidTr="001F7400">
        <w:trPr>
          <w:trHeight w:val="333"/>
        </w:trPr>
        <w:tc>
          <w:tcPr>
            <w:tcW w:w="1945" w:type="dxa"/>
            <w:noWrap/>
            <w:hideMark/>
          </w:tcPr>
          <w:p w14:paraId="6E975DEA"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Level_3</w:t>
            </w:r>
          </w:p>
        </w:tc>
        <w:tc>
          <w:tcPr>
            <w:tcW w:w="1801" w:type="dxa"/>
            <w:noWrap/>
            <w:vAlign w:val="bottom"/>
            <w:hideMark/>
          </w:tcPr>
          <w:p w14:paraId="3FFAC874"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4.775</w:t>
            </w:r>
          </w:p>
        </w:tc>
        <w:tc>
          <w:tcPr>
            <w:tcW w:w="1369" w:type="dxa"/>
            <w:noWrap/>
            <w:vAlign w:val="bottom"/>
            <w:hideMark/>
          </w:tcPr>
          <w:p w14:paraId="12E8D9F1"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0.412</w:t>
            </w:r>
          </w:p>
        </w:tc>
        <w:tc>
          <w:tcPr>
            <w:tcW w:w="1513" w:type="dxa"/>
            <w:noWrap/>
            <w:vAlign w:val="bottom"/>
            <w:hideMark/>
          </w:tcPr>
          <w:p w14:paraId="09FDB73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11.60</w:t>
            </w:r>
          </w:p>
        </w:tc>
        <w:tc>
          <w:tcPr>
            <w:tcW w:w="1066" w:type="dxa"/>
            <w:noWrap/>
            <w:vAlign w:val="bottom"/>
            <w:hideMark/>
          </w:tcPr>
          <w:p w14:paraId="65696E9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172EA688" w14:textId="77777777" w:rsidTr="001F7400">
        <w:trPr>
          <w:trHeight w:val="333"/>
        </w:trPr>
        <w:tc>
          <w:tcPr>
            <w:tcW w:w="1945" w:type="dxa"/>
            <w:noWrap/>
            <w:hideMark/>
          </w:tcPr>
          <w:p w14:paraId="50DFB02B"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Level_4</w:t>
            </w:r>
          </w:p>
        </w:tc>
        <w:tc>
          <w:tcPr>
            <w:tcW w:w="1801" w:type="dxa"/>
            <w:noWrap/>
            <w:vAlign w:val="bottom"/>
            <w:hideMark/>
          </w:tcPr>
          <w:p w14:paraId="307652EA"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2.360</w:t>
            </w:r>
          </w:p>
        </w:tc>
        <w:tc>
          <w:tcPr>
            <w:tcW w:w="1369" w:type="dxa"/>
            <w:noWrap/>
            <w:vAlign w:val="bottom"/>
            <w:hideMark/>
          </w:tcPr>
          <w:p w14:paraId="4657A70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0.331</w:t>
            </w:r>
          </w:p>
        </w:tc>
        <w:tc>
          <w:tcPr>
            <w:tcW w:w="1513" w:type="dxa"/>
            <w:noWrap/>
            <w:vAlign w:val="bottom"/>
            <w:hideMark/>
          </w:tcPr>
          <w:p w14:paraId="2BB0D24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7.14</w:t>
            </w:r>
          </w:p>
        </w:tc>
        <w:tc>
          <w:tcPr>
            <w:tcW w:w="1066" w:type="dxa"/>
            <w:noWrap/>
            <w:vAlign w:val="bottom"/>
            <w:hideMark/>
          </w:tcPr>
          <w:p w14:paraId="3980A45F"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0D6A8329" w14:textId="77777777" w:rsidTr="001F7400">
        <w:trPr>
          <w:trHeight w:val="333"/>
        </w:trPr>
        <w:tc>
          <w:tcPr>
            <w:tcW w:w="1945" w:type="dxa"/>
            <w:noWrap/>
            <w:hideMark/>
          </w:tcPr>
          <w:p w14:paraId="73B776F6"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Level_5</w:t>
            </w:r>
          </w:p>
        </w:tc>
        <w:tc>
          <w:tcPr>
            <w:tcW w:w="1801" w:type="dxa"/>
            <w:noWrap/>
            <w:vAlign w:val="bottom"/>
            <w:hideMark/>
          </w:tcPr>
          <w:p w14:paraId="605BA71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-2.833</w:t>
            </w:r>
          </w:p>
        </w:tc>
        <w:tc>
          <w:tcPr>
            <w:tcW w:w="1369" w:type="dxa"/>
            <w:noWrap/>
            <w:vAlign w:val="bottom"/>
            <w:hideMark/>
          </w:tcPr>
          <w:p w14:paraId="3726E505"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0.310</w:t>
            </w:r>
          </w:p>
        </w:tc>
        <w:tc>
          <w:tcPr>
            <w:tcW w:w="1513" w:type="dxa"/>
            <w:noWrap/>
            <w:vAlign w:val="bottom"/>
            <w:hideMark/>
          </w:tcPr>
          <w:p w14:paraId="6A2CB05A"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-9.14</w:t>
            </w:r>
          </w:p>
        </w:tc>
        <w:tc>
          <w:tcPr>
            <w:tcW w:w="1066" w:type="dxa"/>
            <w:noWrap/>
            <w:vAlign w:val="bottom"/>
            <w:hideMark/>
          </w:tcPr>
          <w:p w14:paraId="4F766E19"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643CE50A" w14:textId="77777777" w:rsidTr="001F7400">
        <w:trPr>
          <w:trHeight w:val="333"/>
        </w:trPr>
        <w:tc>
          <w:tcPr>
            <w:tcW w:w="1945" w:type="dxa"/>
            <w:noWrap/>
            <w:hideMark/>
          </w:tcPr>
          <w:p w14:paraId="4A3679B6"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Level_6</w:t>
            </w:r>
          </w:p>
        </w:tc>
        <w:tc>
          <w:tcPr>
            <w:tcW w:w="1801" w:type="dxa"/>
            <w:noWrap/>
            <w:vAlign w:val="bottom"/>
            <w:hideMark/>
          </w:tcPr>
          <w:p w14:paraId="26E80F57"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-2.192</w:t>
            </w:r>
          </w:p>
        </w:tc>
        <w:tc>
          <w:tcPr>
            <w:tcW w:w="1369" w:type="dxa"/>
            <w:noWrap/>
            <w:vAlign w:val="bottom"/>
            <w:hideMark/>
          </w:tcPr>
          <w:p w14:paraId="2FA1366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0.397</w:t>
            </w:r>
          </w:p>
        </w:tc>
        <w:tc>
          <w:tcPr>
            <w:tcW w:w="1513" w:type="dxa"/>
            <w:noWrap/>
            <w:vAlign w:val="bottom"/>
            <w:hideMark/>
          </w:tcPr>
          <w:p w14:paraId="56AFDC70"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-5.51</w:t>
            </w:r>
          </w:p>
        </w:tc>
        <w:tc>
          <w:tcPr>
            <w:tcW w:w="1066" w:type="dxa"/>
            <w:noWrap/>
            <w:vAlign w:val="bottom"/>
            <w:hideMark/>
          </w:tcPr>
          <w:p w14:paraId="33A88D2E"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36255EDD" w14:textId="77777777" w:rsidTr="001F7400">
        <w:trPr>
          <w:trHeight w:val="333"/>
        </w:trPr>
        <w:tc>
          <w:tcPr>
            <w:tcW w:w="1945" w:type="dxa"/>
            <w:noWrap/>
            <w:hideMark/>
          </w:tcPr>
          <w:p w14:paraId="0F2BADD7"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Level_7</w:t>
            </w:r>
          </w:p>
        </w:tc>
        <w:tc>
          <w:tcPr>
            <w:tcW w:w="1801" w:type="dxa"/>
            <w:noWrap/>
            <w:vAlign w:val="bottom"/>
            <w:hideMark/>
          </w:tcPr>
          <w:p w14:paraId="19B8D897"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-1.251</w:t>
            </w:r>
          </w:p>
        </w:tc>
        <w:tc>
          <w:tcPr>
            <w:tcW w:w="1369" w:type="dxa"/>
            <w:noWrap/>
            <w:vAlign w:val="bottom"/>
            <w:hideMark/>
          </w:tcPr>
          <w:p w14:paraId="6359D745"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0.343</w:t>
            </w:r>
          </w:p>
        </w:tc>
        <w:tc>
          <w:tcPr>
            <w:tcW w:w="1513" w:type="dxa"/>
            <w:noWrap/>
            <w:vAlign w:val="bottom"/>
            <w:hideMark/>
          </w:tcPr>
          <w:p w14:paraId="08A457AC"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-3.64</w:t>
            </w:r>
          </w:p>
        </w:tc>
        <w:tc>
          <w:tcPr>
            <w:tcW w:w="1066" w:type="dxa"/>
            <w:noWrap/>
            <w:vAlign w:val="bottom"/>
            <w:hideMark/>
          </w:tcPr>
          <w:p w14:paraId="23C420A7"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DF4B73" w14:paraId="6A0B2F96" w14:textId="77777777" w:rsidTr="001F7400">
        <w:trPr>
          <w:trHeight w:val="333"/>
        </w:trPr>
        <w:tc>
          <w:tcPr>
            <w:tcW w:w="1945" w:type="dxa"/>
            <w:noWrap/>
            <w:hideMark/>
          </w:tcPr>
          <w:p w14:paraId="52B526F7" w14:textId="77777777" w:rsidR="00BF10A3" w:rsidRPr="00DF4B73" w:rsidRDefault="00BF10A3" w:rsidP="001F7400">
            <w:pPr>
              <w:rPr>
                <w:rFonts w:ascii="Courier New" w:eastAsiaTheme="minorHAnsi" w:hAnsi="Courier New" w:cs="Courier New"/>
                <w:b/>
                <w:sz w:val="24"/>
                <w:szCs w:val="24"/>
              </w:rPr>
            </w:pPr>
            <w:r w:rsidRPr="00DF4B73">
              <w:rPr>
                <w:rFonts w:ascii="Courier New" w:eastAsiaTheme="minorHAnsi" w:hAnsi="Courier New" w:cs="Courier New"/>
                <w:b/>
                <w:sz w:val="24"/>
                <w:szCs w:val="24"/>
              </w:rPr>
              <w:t>Constant</w:t>
            </w:r>
          </w:p>
        </w:tc>
        <w:tc>
          <w:tcPr>
            <w:tcW w:w="1801" w:type="dxa"/>
            <w:noWrap/>
            <w:vAlign w:val="bottom"/>
            <w:hideMark/>
          </w:tcPr>
          <w:p w14:paraId="0AA4B40A"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2.168</w:t>
            </w:r>
          </w:p>
        </w:tc>
        <w:tc>
          <w:tcPr>
            <w:tcW w:w="1369" w:type="dxa"/>
            <w:noWrap/>
            <w:vAlign w:val="bottom"/>
            <w:hideMark/>
          </w:tcPr>
          <w:p w14:paraId="6B9BA318"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0.251</w:t>
            </w:r>
          </w:p>
        </w:tc>
        <w:tc>
          <w:tcPr>
            <w:tcW w:w="1513" w:type="dxa"/>
            <w:noWrap/>
            <w:vAlign w:val="bottom"/>
            <w:hideMark/>
          </w:tcPr>
          <w:p w14:paraId="4CCCCA27"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8.65</w:t>
            </w:r>
          </w:p>
        </w:tc>
        <w:tc>
          <w:tcPr>
            <w:tcW w:w="1066" w:type="dxa"/>
            <w:noWrap/>
            <w:vAlign w:val="bottom"/>
            <w:hideMark/>
          </w:tcPr>
          <w:p w14:paraId="67740C5D" w14:textId="77777777" w:rsidR="00BF10A3" w:rsidRPr="00DF4B73" w:rsidRDefault="00BF10A3" w:rsidP="001F7400">
            <w:pPr>
              <w:jc w:val="right"/>
              <w:rPr>
                <w:rFonts w:ascii="Courier New" w:eastAsiaTheme="minorHAnsi" w:hAnsi="Courier New" w:cs="Courier New"/>
                <w:sz w:val="24"/>
                <w:szCs w:val="24"/>
              </w:rPr>
            </w:pPr>
            <w:r w:rsidRPr="00DF4B73">
              <w:rPr>
                <w:rFonts w:ascii="Courier New" w:hAnsi="Courier New" w:cs="Courier New"/>
                <w:color w:val="000000"/>
                <w:sz w:val="24"/>
                <w:szCs w:val="24"/>
              </w:rPr>
              <w:t>0.000</w:t>
            </w:r>
          </w:p>
        </w:tc>
      </w:tr>
      <w:tr w:rsidR="00BF10A3" w:rsidRPr="000D30DB" w14:paraId="50513AF5" w14:textId="77777777" w:rsidTr="001F7400">
        <w:trPr>
          <w:trHeight w:val="865"/>
        </w:trPr>
        <w:tc>
          <w:tcPr>
            <w:tcW w:w="7694" w:type="dxa"/>
            <w:gridSpan w:val="5"/>
            <w:hideMark/>
          </w:tcPr>
          <w:p w14:paraId="4A2D8B99" w14:textId="77777777" w:rsidR="00BF10A3" w:rsidRPr="000D30DB" w:rsidRDefault="00BF10A3" w:rsidP="001F7400">
            <w:pPr>
              <w:rPr>
                <w:rFonts w:ascii="Courier New" w:eastAsiaTheme="minorHAnsi" w:hAnsi="Courier New" w:cs="Courier New"/>
                <w:sz w:val="20"/>
                <w:szCs w:val="20"/>
              </w:rPr>
            </w:pPr>
            <w:r w:rsidRPr="000D30DB">
              <w:rPr>
                <w:rFonts w:ascii="Courier New" w:eastAsiaTheme="minorHAnsi" w:hAnsi="Courier New" w:cs="Courier New"/>
                <w:sz w:val="20"/>
                <w:szCs w:val="20"/>
              </w:rPr>
              <w:t>Percent white used as reference group for race, for-profit used as reference group for sector, and credential level 01 (undergraduate certificate) used as reference group for credential levels</w:t>
            </w:r>
          </w:p>
        </w:tc>
      </w:tr>
      <w:tr w:rsidR="00BF10A3" w:rsidRPr="000D30DB" w14:paraId="25214A67" w14:textId="77777777" w:rsidTr="001F7400">
        <w:trPr>
          <w:trHeight w:val="333"/>
        </w:trPr>
        <w:tc>
          <w:tcPr>
            <w:tcW w:w="7694" w:type="dxa"/>
            <w:gridSpan w:val="5"/>
            <w:noWrap/>
            <w:hideMark/>
          </w:tcPr>
          <w:p w14:paraId="574FA2B1" w14:textId="77777777" w:rsidR="00BF10A3" w:rsidRPr="000D30DB" w:rsidRDefault="00BF10A3" w:rsidP="001F7400">
            <w:pPr>
              <w:rPr>
                <w:rFonts w:ascii="Courier New" w:eastAsiaTheme="minorHAnsi" w:hAnsi="Courier New" w:cs="Courier New"/>
                <w:sz w:val="20"/>
                <w:szCs w:val="20"/>
              </w:rPr>
            </w:pPr>
            <w:r w:rsidRPr="000D30DB">
              <w:rPr>
                <w:rFonts w:ascii="Courier New" w:eastAsiaTheme="minorHAnsi" w:hAnsi="Courier New" w:cs="Courier New"/>
                <w:sz w:val="20"/>
                <w:szCs w:val="20"/>
              </w:rPr>
              <w:t xml:space="preserve">Demographic and dependent variable units in percentages </w:t>
            </w:r>
          </w:p>
        </w:tc>
      </w:tr>
    </w:tbl>
    <w:p w14:paraId="09300CB1" w14:textId="77777777" w:rsidR="00BF10A3" w:rsidRPr="000D30DB" w:rsidRDefault="00BF10A3" w:rsidP="00BF10A3">
      <w:pPr>
        <w:spacing w:after="0" w:line="240" w:lineRule="auto"/>
        <w:rPr>
          <w:rFonts w:ascii="Courier New" w:eastAsiaTheme="minorHAnsi" w:hAnsi="Courier New" w:cs="Courier New"/>
          <w:sz w:val="24"/>
          <w:szCs w:val="24"/>
        </w:rPr>
      </w:pPr>
      <w:r w:rsidRPr="000D30DB">
        <w:rPr>
          <w:rFonts w:ascii="Courier New" w:eastAsiaTheme="minorHAnsi" w:hAnsi="Courier New" w:cs="Courier New"/>
          <w:sz w:val="24"/>
          <w:szCs w:val="24"/>
        </w:rPr>
        <w:br w:type="textWrapping" w:clear="all"/>
      </w:r>
      <w:r w:rsidRPr="000D30DB">
        <w:rPr>
          <w:rFonts w:ascii="Courier New" w:eastAsiaTheme="minorHAnsi" w:hAnsi="Courier New" w:cs="Courier New"/>
          <w:sz w:val="24"/>
          <w:szCs w:val="24"/>
        </w:rPr>
        <w:br w:type="page"/>
      </w:r>
    </w:p>
    <w:p w14:paraId="1363896B" w14:textId="77777777" w:rsidR="00BF10A3" w:rsidRDefault="00BF10A3" w:rsidP="00BF10A3">
      <w:pPr>
        <w:spacing w:after="0" w:line="240" w:lineRule="auto"/>
        <w:rPr>
          <w:rFonts w:ascii="Courier New" w:hAnsi="Courier New" w:cs="Courier New"/>
          <w:b/>
          <w:sz w:val="24"/>
          <w:szCs w:val="24"/>
        </w:rPr>
      </w:pPr>
    </w:p>
    <w:p w14:paraId="6C9B7A4D" w14:textId="77777777" w:rsidR="00BF10A3" w:rsidRPr="00AA6DFD" w:rsidRDefault="00BF10A3" w:rsidP="00BF10A3">
      <w:pPr>
        <w:spacing w:after="0" w:line="240" w:lineRule="auto"/>
        <w:rPr>
          <w:rFonts w:ascii="Courier New" w:hAnsi="Courier New" w:cs="Courier New"/>
          <w:b/>
          <w:sz w:val="24"/>
          <w:szCs w:val="24"/>
        </w:rPr>
      </w:pPr>
    </w:p>
    <w:p w14:paraId="23AFD12A" w14:textId="77777777" w:rsidR="00BF10A3" w:rsidRPr="00AA6DFD" w:rsidRDefault="00BF10A3" w:rsidP="00BF10A3">
      <w:pPr>
        <w:spacing w:after="0" w:line="240" w:lineRule="auto"/>
        <w:rPr>
          <w:rFonts w:ascii="Courier New" w:hAnsi="Courier New"/>
          <w:b/>
          <w:sz w:val="24"/>
        </w:rPr>
      </w:pPr>
      <w:r w:rsidRPr="00B53B21">
        <w:rPr>
          <w:rFonts w:ascii="Courier New" w:hAnsi="Courier New"/>
          <w:b/>
          <w:sz w:val="24"/>
        </w:rPr>
        <w:t xml:space="preserve">Table </w:t>
      </w:r>
      <w:r w:rsidRPr="00AA6DFD">
        <w:rPr>
          <w:rFonts w:ascii="Courier New" w:hAnsi="Courier New"/>
          <w:b/>
          <w:sz w:val="24"/>
        </w:rPr>
        <w:t>2.13</w:t>
      </w:r>
      <w:r w:rsidRPr="00B53B21">
        <w:rPr>
          <w:rFonts w:ascii="Courier New" w:hAnsi="Courier New"/>
          <w:b/>
          <w:sz w:val="24"/>
        </w:rPr>
        <w:t xml:space="preserve">: </w:t>
      </w:r>
      <w:r w:rsidRPr="00AA6DFD">
        <w:rPr>
          <w:rFonts w:ascii="Courier New" w:hAnsi="Courier New" w:cs="Courier New"/>
          <w:b/>
          <w:sz w:val="24"/>
          <w:szCs w:val="24"/>
        </w:rPr>
        <w:t>A</w:t>
      </w:r>
      <w:r w:rsidRPr="00B53B21">
        <w:rPr>
          <w:rFonts w:ascii="Courier New" w:hAnsi="Courier New"/>
          <w:b/>
          <w:sz w:val="24"/>
        </w:rPr>
        <w:t>nnual earnings rate regression</w:t>
      </w:r>
      <w:r w:rsidRPr="00AA6DFD">
        <w:rPr>
          <w:rFonts w:ascii="Courier New" w:hAnsi="Courier New" w:cs="Courier New"/>
          <w:b/>
          <w:sz w:val="24"/>
          <w:szCs w:val="24"/>
        </w:rPr>
        <w:t>-</w:t>
      </w:r>
      <w:r w:rsidRPr="00B53B21">
        <w:rPr>
          <w:rFonts w:ascii="Courier New" w:hAnsi="Courier New"/>
          <w:b/>
          <w:sz w:val="24"/>
        </w:rPr>
        <w:t xml:space="preserve"> without race</w:t>
      </w:r>
      <w:r>
        <w:rPr>
          <w:rFonts w:ascii="Courier New" w:hAnsi="Courier New"/>
          <w:b/>
          <w:sz w:val="24"/>
        </w:rPr>
        <w:t>/ethnicity</w:t>
      </w:r>
      <w:r w:rsidRPr="00B53B21">
        <w:rPr>
          <w:rFonts w:ascii="Courier New" w:hAnsi="Courier New"/>
          <w:b/>
          <w:sz w:val="24"/>
        </w:rPr>
        <w:t xml:space="preserve"> variables</w:t>
      </w:r>
    </w:p>
    <w:p w14:paraId="2AF7EF08" w14:textId="77777777" w:rsidR="00BF10A3" w:rsidRPr="00453F69" w:rsidRDefault="00BF10A3" w:rsidP="00BF10A3">
      <w:pPr>
        <w:pStyle w:val="NoSpacing"/>
        <w:rPr>
          <w:rFonts w:ascii="Courier New" w:eastAsiaTheme="minorHAnsi" w:hAnsi="Courier New" w:cstheme="minorBidi"/>
          <w:sz w:val="16"/>
        </w:rPr>
      </w:pPr>
    </w:p>
    <w:tbl>
      <w:tblPr>
        <w:tblStyle w:val="TableGrid2"/>
        <w:tblW w:w="0" w:type="auto"/>
        <w:tblLook w:val="04A0" w:firstRow="1" w:lastRow="0" w:firstColumn="1" w:lastColumn="0" w:noHBand="0" w:noVBand="1"/>
      </w:tblPr>
      <w:tblGrid>
        <w:gridCol w:w="2448"/>
        <w:gridCol w:w="1081"/>
      </w:tblGrid>
      <w:tr w:rsidR="00BF10A3" w:rsidRPr="00453F69" w14:paraId="0A417F33" w14:textId="77777777" w:rsidTr="001F7400">
        <w:trPr>
          <w:trHeight w:val="300"/>
        </w:trPr>
        <w:tc>
          <w:tcPr>
            <w:tcW w:w="2448" w:type="dxa"/>
            <w:noWrap/>
            <w:hideMark/>
          </w:tcPr>
          <w:p w14:paraId="0499D748" w14:textId="77777777" w:rsidR="00BF10A3" w:rsidRPr="00453F69" w:rsidRDefault="00BF10A3" w:rsidP="001F7400">
            <w:pPr>
              <w:rPr>
                <w:rFonts w:ascii="Courier New" w:eastAsiaTheme="minorHAnsi" w:hAnsi="Courier New" w:cs="Courier New"/>
                <w:b/>
                <w:sz w:val="24"/>
                <w:szCs w:val="24"/>
              </w:rPr>
            </w:pPr>
            <w:r w:rsidRPr="00453F69">
              <w:rPr>
                <w:rFonts w:ascii="Courier New" w:eastAsiaTheme="minorHAnsi" w:hAnsi="Courier New" w:cs="Courier New"/>
                <w:b/>
                <w:sz w:val="24"/>
                <w:szCs w:val="24"/>
              </w:rPr>
              <w:t>Number of obs</w:t>
            </w:r>
          </w:p>
        </w:tc>
        <w:tc>
          <w:tcPr>
            <w:tcW w:w="1080" w:type="dxa"/>
            <w:noWrap/>
            <w:hideMark/>
          </w:tcPr>
          <w:p w14:paraId="1CE4A2AD"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5537</w:t>
            </w:r>
          </w:p>
        </w:tc>
      </w:tr>
      <w:tr w:rsidR="00BF10A3" w:rsidRPr="00453F69" w14:paraId="3DCED467" w14:textId="77777777" w:rsidTr="001F7400">
        <w:trPr>
          <w:trHeight w:val="300"/>
        </w:trPr>
        <w:tc>
          <w:tcPr>
            <w:tcW w:w="2448" w:type="dxa"/>
            <w:noWrap/>
            <w:hideMark/>
          </w:tcPr>
          <w:p w14:paraId="0DB96B6C" w14:textId="77777777" w:rsidR="00BF10A3" w:rsidRPr="00453F69" w:rsidRDefault="00BF10A3" w:rsidP="001F7400">
            <w:pPr>
              <w:rPr>
                <w:rFonts w:ascii="Courier New" w:eastAsiaTheme="minorHAnsi" w:hAnsi="Courier New" w:cs="Courier New"/>
                <w:b/>
                <w:sz w:val="24"/>
                <w:szCs w:val="24"/>
              </w:rPr>
            </w:pPr>
            <w:r w:rsidRPr="00453F69">
              <w:rPr>
                <w:rFonts w:ascii="Courier New" w:eastAsiaTheme="minorHAnsi" w:hAnsi="Courier New" w:cs="Courier New"/>
                <w:b/>
                <w:sz w:val="24"/>
                <w:szCs w:val="24"/>
              </w:rPr>
              <w:t>R-squared</w:t>
            </w:r>
          </w:p>
        </w:tc>
        <w:tc>
          <w:tcPr>
            <w:tcW w:w="1080" w:type="dxa"/>
            <w:noWrap/>
            <w:hideMark/>
          </w:tcPr>
          <w:p w14:paraId="1D5AC1F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0.3868</w:t>
            </w:r>
          </w:p>
        </w:tc>
      </w:tr>
    </w:tbl>
    <w:p w14:paraId="42B74072" w14:textId="77777777" w:rsidR="00BF10A3" w:rsidRPr="00453F69" w:rsidRDefault="00BF10A3" w:rsidP="00BF10A3">
      <w:pPr>
        <w:spacing w:after="0" w:line="240" w:lineRule="auto"/>
        <w:rPr>
          <w:rFonts w:ascii="Courier New" w:eastAsiaTheme="minorHAnsi" w:hAnsi="Courier New" w:cs="Courier New"/>
          <w:sz w:val="24"/>
          <w:szCs w:val="24"/>
        </w:rPr>
      </w:pPr>
    </w:p>
    <w:tbl>
      <w:tblPr>
        <w:tblStyle w:val="TableGrid2"/>
        <w:tblW w:w="0" w:type="auto"/>
        <w:tblLayout w:type="fixed"/>
        <w:tblLook w:val="04A0" w:firstRow="1" w:lastRow="0" w:firstColumn="1" w:lastColumn="0" w:noHBand="0" w:noVBand="1"/>
      </w:tblPr>
      <w:tblGrid>
        <w:gridCol w:w="1998"/>
        <w:gridCol w:w="1980"/>
        <w:gridCol w:w="1440"/>
        <w:gridCol w:w="1620"/>
        <w:gridCol w:w="1260"/>
      </w:tblGrid>
      <w:tr w:rsidR="00BF10A3" w:rsidRPr="00453F69" w14:paraId="22ECD948" w14:textId="77777777" w:rsidTr="001F7400">
        <w:trPr>
          <w:trHeight w:val="300"/>
        </w:trPr>
        <w:tc>
          <w:tcPr>
            <w:tcW w:w="1998" w:type="dxa"/>
            <w:noWrap/>
            <w:vAlign w:val="center"/>
            <w:hideMark/>
          </w:tcPr>
          <w:p w14:paraId="0B3024C4" w14:textId="77777777" w:rsidR="00BF10A3" w:rsidRPr="00453F69" w:rsidRDefault="00BF10A3" w:rsidP="001F7400">
            <w:pPr>
              <w:jc w:val="center"/>
              <w:rPr>
                <w:rFonts w:ascii="Courier New" w:eastAsiaTheme="minorHAnsi" w:hAnsi="Courier New" w:cs="Courier New"/>
                <w:b/>
                <w:sz w:val="24"/>
                <w:szCs w:val="24"/>
              </w:rPr>
            </w:pPr>
            <w:r w:rsidRPr="00453F69">
              <w:rPr>
                <w:rFonts w:ascii="Courier New" w:eastAsiaTheme="minorHAnsi" w:hAnsi="Courier New" w:cs="Courier New"/>
                <w:b/>
                <w:sz w:val="24"/>
                <w:szCs w:val="24"/>
              </w:rPr>
              <w:t>Variable</w:t>
            </w:r>
          </w:p>
        </w:tc>
        <w:tc>
          <w:tcPr>
            <w:tcW w:w="1980" w:type="dxa"/>
            <w:noWrap/>
            <w:vAlign w:val="center"/>
            <w:hideMark/>
          </w:tcPr>
          <w:p w14:paraId="50FF3464" w14:textId="77777777" w:rsidR="00BF10A3" w:rsidRPr="00453F69" w:rsidRDefault="00BF10A3" w:rsidP="001F7400">
            <w:pPr>
              <w:jc w:val="center"/>
              <w:rPr>
                <w:rFonts w:ascii="Courier New" w:eastAsiaTheme="minorHAnsi" w:hAnsi="Courier New" w:cs="Courier New"/>
                <w:b/>
                <w:sz w:val="24"/>
                <w:szCs w:val="24"/>
              </w:rPr>
            </w:pPr>
            <w:r w:rsidRPr="00453F69">
              <w:rPr>
                <w:rFonts w:ascii="Courier New" w:eastAsiaTheme="minorHAnsi" w:hAnsi="Courier New" w:cs="Courier New"/>
                <w:b/>
                <w:sz w:val="24"/>
                <w:szCs w:val="24"/>
              </w:rPr>
              <w:t>Coefficient</w:t>
            </w:r>
          </w:p>
        </w:tc>
        <w:tc>
          <w:tcPr>
            <w:tcW w:w="1440" w:type="dxa"/>
            <w:noWrap/>
            <w:vAlign w:val="center"/>
            <w:hideMark/>
          </w:tcPr>
          <w:p w14:paraId="6989BB37" w14:textId="77777777" w:rsidR="00BF10A3" w:rsidRPr="00453F69" w:rsidRDefault="00BF10A3" w:rsidP="001F7400">
            <w:pPr>
              <w:jc w:val="center"/>
              <w:rPr>
                <w:rFonts w:ascii="Courier New" w:eastAsiaTheme="minorHAnsi" w:hAnsi="Courier New" w:cs="Courier New"/>
                <w:b/>
                <w:sz w:val="24"/>
                <w:szCs w:val="24"/>
              </w:rPr>
            </w:pPr>
            <w:r w:rsidRPr="00453F69">
              <w:rPr>
                <w:rFonts w:ascii="Courier New" w:eastAsiaTheme="minorHAnsi" w:hAnsi="Courier New" w:cs="Courier New"/>
                <w:b/>
                <w:sz w:val="24"/>
                <w:szCs w:val="24"/>
              </w:rPr>
              <w:t>Robust standard error</w:t>
            </w:r>
          </w:p>
        </w:tc>
        <w:tc>
          <w:tcPr>
            <w:tcW w:w="1620" w:type="dxa"/>
            <w:noWrap/>
            <w:vAlign w:val="center"/>
            <w:hideMark/>
          </w:tcPr>
          <w:p w14:paraId="63E0137B" w14:textId="77777777" w:rsidR="00BF10A3" w:rsidRPr="00453F69" w:rsidRDefault="00BF10A3" w:rsidP="001F7400">
            <w:pPr>
              <w:jc w:val="center"/>
              <w:rPr>
                <w:rFonts w:ascii="Courier New" w:eastAsiaTheme="minorHAnsi" w:hAnsi="Courier New" w:cs="Courier New"/>
                <w:b/>
                <w:sz w:val="24"/>
                <w:szCs w:val="24"/>
              </w:rPr>
            </w:pPr>
            <w:r w:rsidRPr="00453F69">
              <w:rPr>
                <w:rFonts w:ascii="Courier New" w:eastAsiaTheme="minorHAnsi" w:hAnsi="Courier New" w:cs="Courier New"/>
                <w:b/>
                <w:sz w:val="24"/>
                <w:szCs w:val="24"/>
              </w:rPr>
              <w:t>T-statistic</w:t>
            </w:r>
          </w:p>
        </w:tc>
        <w:tc>
          <w:tcPr>
            <w:tcW w:w="1260" w:type="dxa"/>
            <w:noWrap/>
            <w:vAlign w:val="center"/>
            <w:hideMark/>
          </w:tcPr>
          <w:p w14:paraId="2658421B" w14:textId="77777777" w:rsidR="00BF10A3" w:rsidRPr="00453F69" w:rsidRDefault="00BF10A3" w:rsidP="001F7400">
            <w:pPr>
              <w:jc w:val="center"/>
              <w:rPr>
                <w:rFonts w:ascii="Courier New" w:eastAsiaTheme="minorHAnsi" w:hAnsi="Courier New" w:cs="Courier New"/>
                <w:b/>
                <w:sz w:val="24"/>
                <w:szCs w:val="24"/>
              </w:rPr>
            </w:pPr>
            <w:r w:rsidRPr="00453F69">
              <w:rPr>
                <w:rFonts w:ascii="Courier New" w:eastAsiaTheme="minorHAnsi" w:hAnsi="Courier New" w:cs="Courier New"/>
                <w:b/>
                <w:sz w:val="24"/>
                <w:szCs w:val="24"/>
              </w:rPr>
              <w:t>P-value</w:t>
            </w:r>
          </w:p>
        </w:tc>
      </w:tr>
      <w:tr w:rsidR="00BF10A3" w:rsidRPr="00453F69" w14:paraId="2605F254" w14:textId="77777777" w:rsidTr="001F7400">
        <w:trPr>
          <w:trHeight w:val="300"/>
        </w:trPr>
        <w:tc>
          <w:tcPr>
            <w:tcW w:w="1998" w:type="dxa"/>
            <w:noWrap/>
            <w:hideMark/>
          </w:tcPr>
          <w:p w14:paraId="73585FF7"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zefc</w:t>
            </w:r>
          </w:p>
        </w:tc>
        <w:tc>
          <w:tcPr>
            <w:tcW w:w="1980" w:type="dxa"/>
            <w:noWrap/>
            <w:hideMark/>
          </w:tcPr>
          <w:p w14:paraId="20668B81"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-0.017</w:t>
            </w:r>
          </w:p>
        </w:tc>
        <w:tc>
          <w:tcPr>
            <w:tcW w:w="1440" w:type="dxa"/>
            <w:noWrap/>
            <w:hideMark/>
          </w:tcPr>
          <w:p w14:paraId="1902A89C"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0.004</w:t>
            </w:r>
          </w:p>
        </w:tc>
        <w:tc>
          <w:tcPr>
            <w:tcW w:w="1620" w:type="dxa"/>
            <w:noWrap/>
            <w:hideMark/>
          </w:tcPr>
          <w:p w14:paraId="160B2CDC"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-4.48</w:t>
            </w:r>
          </w:p>
        </w:tc>
        <w:tc>
          <w:tcPr>
            <w:tcW w:w="1260" w:type="dxa"/>
            <w:noWrap/>
            <w:hideMark/>
          </w:tcPr>
          <w:p w14:paraId="45C4B2A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46E9B550" w14:textId="77777777" w:rsidTr="001F7400">
        <w:trPr>
          <w:trHeight w:val="300"/>
        </w:trPr>
        <w:tc>
          <w:tcPr>
            <w:tcW w:w="1998" w:type="dxa"/>
            <w:noWrap/>
            <w:hideMark/>
          </w:tcPr>
          <w:p w14:paraId="4D2E558F"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independent</w:t>
            </w:r>
          </w:p>
        </w:tc>
        <w:tc>
          <w:tcPr>
            <w:tcW w:w="1980" w:type="dxa"/>
            <w:noWrap/>
            <w:hideMark/>
          </w:tcPr>
          <w:p w14:paraId="05952F0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-0.005</w:t>
            </w:r>
          </w:p>
        </w:tc>
        <w:tc>
          <w:tcPr>
            <w:tcW w:w="1440" w:type="dxa"/>
            <w:noWrap/>
            <w:hideMark/>
          </w:tcPr>
          <w:p w14:paraId="47393452"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0.004</w:t>
            </w:r>
          </w:p>
        </w:tc>
        <w:tc>
          <w:tcPr>
            <w:tcW w:w="1620" w:type="dxa"/>
            <w:noWrap/>
            <w:hideMark/>
          </w:tcPr>
          <w:p w14:paraId="78990A66"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-1.32</w:t>
            </w:r>
          </w:p>
        </w:tc>
        <w:tc>
          <w:tcPr>
            <w:tcW w:w="1260" w:type="dxa"/>
            <w:noWrap/>
            <w:hideMark/>
          </w:tcPr>
          <w:p w14:paraId="2230D861"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0.185</w:t>
            </w:r>
          </w:p>
        </w:tc>
      </w:tr>
      <w:tr w:rsidR="00BF10A3" w:rsidRPr="00453F69" w14:paraId="0B363F3A" w14:textId="77777777" w:rsidTr="001F7400">
        <w:trPr>
          <w:trHeight w:val="300"/>
        </w:trPr>
        <w:tc>
          <w:tcPr>
            <w:tcW w:w="1998" w:type="dxa"/>
            <w:noWrap/>
            <w:hideMark/>
          </w:tcPr>
          <w:p w14:paraId="0EDDA11F"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female</w:t>
            </w:r>
          </w:p>
        </w:tc>
        <w:tc>
          <w:tcPr>
            <w:tcW w:w="1980" w:type="dxa"/>
            <w:noWrap/>
            <w:hideMark/>
          </w:tcPr>
          <w:p w14:paraId="677ADAAE"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0.012</w:t>
            </w:r>
          </w:p>
        </w:tc>
        <w:tc>
          <w:tcPr>
            <w:tcW w:w="1440" w:type="dxa"/>
            <w:noWrap/>
            <w:hideMark/>
          </w:tcPr>
          <w:p w14:paraId="6F243CCB"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0.002</w:t>
            </w:r>
          </w:p>
        </w:tc>
        <w:tc>
          <w:tcPr>
            <w:tcW w:w="1620" w:type="dxa"/>
            <w:noWrap/>
            <w:hideMark/>
          </w:tcPr>
          <w:p w14:paraId="5C3D340D"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6.74</w:t>
            </w:r>
          </w:p>
        </w:tc>
        <w:tc>
          <w:tcPr>
            <w:tcW w:w="1260" w:type="dxa"/>
            <w:noWrap/>
            <w:hideMark/>
          </w:tcPr>
          <w:p w14:paraId="3302BDC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3EB26593" w14:textId="77777777" w:rsidTr="001F7400">
        <w:trPr>
          <w:trHeight w:val="300"/>
        </w:trPr>
        <w:tc>
          <w:tcPr>
            <w:tcW w:w="1998" w:type="dxa"/>
            <w:noWrap/>
            <w:hideMark/>
          </w:tcPr>
          <w:p w14:paraId="3B244AB2"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mother</w:t>
            </w:r>
          </w:p>
        </w:tc>
        <w:tc>
          <w:tcPr>
            <w:tcW w:w="1980" w:type="dxa"/>
            <w:noWrap/>
            <w:hideMark/>
          </w:tcPr>
          <w:p w14:paraId="7A525219"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0.044</w:t>
            </w:r>
          </w:p>
        </w:tc>
        <w:tc>
          <w:tcPr>
            <w:tcW w:w="1440" w:type="dxa"/>
            <w:noWrap/>
            <w:hideMark/>
          </w:tcPr>
          <w:p w14:paraId="43247534"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0.007</w:t>
            </w:r>
          </w:p>
        </w:tc>
        <w:tc>
          <w:tcPr>
            <w:tcW w:w="1620" w:type="dxa"/>
            <w:noWrap/>
            <w:hideMark/>
          </w:tcPr>
          <w:p w14:paraId="68B129EC"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6.09</w:t>
            </w:r>
          </w:p>
        </w:tc>
        <w:tc>
          <w:tcPr>
            <w:tcW w:w="1260" w:type="dxa"/>
            <w:noWrap/>
            <w:hideMark/>
          </w:tcPr>
          <w:p w14:paraId="6FA2415C"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0B4B3882" w14:textId="77777777" w:rsidTr="001F7400">
        <w:trPr>
          <w:trHeight w:val="300"/>
        </w:trPr>
        <w:tc>
          <w:tcPr>
            <w:tcW w:w="1998" w:type="dxa"/>
            <w:noWrap/>
            <w:hideMark/>
          </w:tcPr>
          <w:p w14:paraId="5CEF9BAE"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Private</w:t>
            </w:r>
          </w:p>
        </w:tc>
        <w:tc>
          <w:tcPr>
            <w:tcW w:w="1980" w:type="dxa"/>
            <w:noWrap/>
            <w:hideMark/>
          </w:tcPr>
          <w:p w14:paraId="6F3455E6"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-2.855</w:t>
            </w:r>
          </w:p>
        </w:tc>
        <w:tc>
          <w:tcPr>
            <w:tcW w:w="1440" w:type="dxa"/>
            <w:noWrap/>
            <w:hideMark/>
          </w:tcPr>
          <w:p w14:paraId="45D043C7"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0.210</w:t>
            </w:r>
          </w:p>
        </w:tc>
        <w:tc>
          <w:tcPr>
            <w:tcW w:w="1620" w:type="dxa"/>
            <w:noWrap/>
            <w:hideMark/>
          </w:tcPr>
          <w:p w14:paraId="61C5006F"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-13.56</w:t>
            </w:r>
          </w:p>
        </w:tc>
        <w:tc>
          <w:tcPr>
            <w:tcW w:w="1260" w:type="dxa"/>
            <w:noWrap/>
            <w:hideMark/>
          </w:tcPr>
          <w:p w14:paraId="5DAE85AD"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6D581C15" w14:textId="77777777" w:rsidTr="001F7400">
        <w:trPr>
          <w:trHeight w:val="300"/>
        </w:trPr>
        <w:tc>
          <w:tcPr>
            <w:tcW w:w="1998" w:type="dxa"/>
            <w:noWrap/>
            <w:hideMark/>
          </w:tcPr>
          <w:p w14:paraId="5FC393F7"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Public</w:t>
            </w:r>
          </w:p>
        </w:tc>
        <w:tc>
          <w:tcPr>
            <w:tcW w:w="1980" w:type="dxa"/>
            <w:noWrap/>
            <w:hideMark/>
          </w:tcPr>
          <w:p w14:paraId="6D10422B"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-5.410</w:t>
            </w:r>
          </w:p>
        </w:tc>
        <w:tc>
          <w:tcPr>
            <w:tcW w:w="1440" w:type="dxa"/>
            <w:noWrap/>
            <w:hideMark/>
          </w:tcPr>
          <w:p w14:paraId="23C76ADA"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0.094</w:t>
            </w:r>
          </w:p>
        </w:tc>
        <w:tc>
          <w:tcPr>
            <w:tcW w:w="1620" w:type="dxa"/>
            <w:noWrap/>
            <w:hideMark/>
          </w:tcPr>
          <w:p w14:paraId="345AF102"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-57.72</w:t>
            </w:r>
          </w:p>
        </w:tc>
        <w:tc>
          <w:tcPr>
            <w:tcW w:w="1260" w:type="dxa"/>
            <w:noWrap/>
            <w:hideMark/>
          </w:tcPr>
          <w:p w14:paraId="1FDC9BF7"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37AAE086" w14:textId="77777777" w:rsidTr="001F7400">
        <w:trPr>
          <w:trHeight w:val="300"/>
        </w:trPr>
        <w:tc>
          <w:tcPr>
            <w:tcW w:w="1998" w:type="dxa"/>
            <w:noWrap/>
            <w:hideMark/>
          </w:tcPr>
          <w:p w14:paraId="683A4B29"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Level_2</w:t>
            </w:r>
          </w:p>
        </w:tc>
        <w:tc>
          <w:tcPr>
            <w:tcW w:w="1980" w:type="dxa"/>
            <w:noWrap/>
            <w:hideMark/>
          </w:tcPr>
          <w:p w14:paraId="1F62559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3.268</w:t>
            </w:r>
          </w:p>
        </w:tc>
        <w:tc>
          <w:tcPr>
            <w:tcW w:w="1440" w:type="dxa"/>
            <w:noWrap/>
            <w:hideMark/>
          </w:tcPr>
          <w:p w14:paraId="1A793DD9"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0.173</w:t>
            </w:r>
          </w:p>
        </w:tc>
        <w:tc>
          <w:tcPr>
            <w:tcW w:w="1620" w:type="dxa"/>
            <w:noWrap/>
            <w:hideMark/>
          </w:tcPr>
          <w:p w14:paraId="38465AB7"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18.89</w:t>
            </w:r>
          </w:p>
        </w:tc>
        <w:tc>
          <w:tcPr>
            <w:tcW w:w="1260" w:type="dxa"/>
            <w:noWrap/>
            <w:hideMark/>
          </w:tcPr>
          <w:p w14:paraId="7E12F0C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0256E3CF" w14:textId="77777777" w:rsidTr="001F7400">
        <w:trPr>
          <w:trHeight w:val="300"/>
        </w:trPr>
        <w:tc>
          <w:tcPr>
            <w:tcW w:w="1998" w:type="dxa"/>
            <w:noWrap/>
            <w:hideMark/>
          </w:tcPr>
          <w:p w14:paraId="31744860"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Level_3</w:t>
            </w:r>
          </w:p>
        </w:tc>
        <w:tc>
          <w:tcPr>
            <w:tcW w:w="1980" w:type="dxa"/>
            <w:noWrap/>
            <w:hideMark/>
          </w:tcPr>
          <w:p w14:paraId="55096098"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2.978</w:t>
            </w:r>
          </w:p>
        </w:tc>
        <w:tc>
          <w:tcPr>
            <w:tcW w:w="1440" w:type="dxa"/>
            <w:noWrap/>
            <w:hideMark/>
          </w:tcPr>
          <w:p w14:paraId="63CB794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0.318</w:t>
            </w:r>
          </w:p>
        </w:tc>
        <w:tc>
          <w:tcPr>
            <w:tcW w:w="1620" w:type="dxa"/>
            <w:noWrap/>
            <w:hideMark/>
          </w:tcPr>
          <w:p w14:paraId="0FF7FB9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9.37</w:t>
            </w:r>
          </w:p>
        </w:tc>
        <w:tc>
          <w:tcPr>
            <w:tcW w:w="1260" w:type="dxa"/>
            <w:noWrap/>
            <w:hideMark/>
          </w:tcPr>
          <w:p w14:paraId="377AF006"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4E3B5DCE" w14:textId="77777777" w:rsidTr="001F7400">
        <w:trPr>
          <w:trHeight w:val="300"/>
        </w:trPr>
        <w:tc>
          <w:tcPr>
            <w:tcW w:w="1998" w:type="dxa"/>
            <w:noWrap/>
            <w:hideMark/>
          </w:tcPr>
          <w:p w14:paraId="5A6E3691"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Level_4</w:t>
            </w:r>
          </w:p>
        </w:tc>
        <w:tc>
          <w:tcPr>
            <w:tcW w:w="1980" w:type="dxa"/>
            <w:noWrap/>
            <w:hideMark/>
          </w:tcPr>
          <w:p w14:paraId="513045A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-2.131</w:t>
            </w:r>
          </w:p>
        </w:tc>
        <w:tc>
          <w:tcPr>
            <w:tcW w:w="1440" w:type="dxa"/>
            <w:noWrap/>
            <w:hideMark/>
          </w:tcPr>
          <w:p w14:paraId="43EBD9A6"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0.322</w:t>
            </w:r>
          </w:p>
        </w:tc>
        <w:tc>
          <w:tcPr>
            <w:tcW w:w="1620" w:type="dxa"/>
            <w:noWrap/>
            <w:hideMark/>
          </w:tcPr>
          <w:p w14:paraId="4A099CEE"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-6.62</w:t>
            </w:r>
          </w:p>
        </w:tc>
        <w:tc>
          <w:tcPr>
            <w:tcW w:w="1260" w:type="dxa"/>
            <w:noWrap/>
            <w:hideMark/>
          </w:tcPr>
          <w:p w14:paraId="6DD63851"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18DD707A" w14:textId="77777777" w:rsidTr="001F7400">
        <w:trPr>
          <w:trHeight w:val="300"/>
        </w:trPr>
        <w:tc>
          <w:tcPr>
            <w:tcW w:w="1998" w:type="dxa"/>
            <w:noWrap/>
            <w:hideMark/>
          </w:tcPr>
          <w:p w14:paraId="568A94B5"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Level_5</w:t>
            </w:r>
          </w:p>
        </w:tc>
        <w:tc>
          <w:tcPr>
            <w:tcW w:w="1980" w:type="dxa"/>
            <w:noWrap/>
            <w:hideMark/>
          </w:tcPr>
          <w:p w14:paraId="1D77BAAC"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-2.519</w:t>
            </w:r>
          </w:p>
        </w:tc>
        <w:tc>
          <w:tcPr>
            <w:tcW w:w="1440" w:type="dxa"/>
            <w:noWrap/>
            <w:hideMark/>
          </w:tcPr>
          <w:p w14:paraId="154126F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0.454</w:t>
            </w:r>
          </w:p>
        </w:tc>
        <w:tc>
          <w:tcPr>
            <w:tcW w:w="1620" w:type="dxa"/>
            <w:noWrap/>
            <w:hideMark/>
          </w:tcPr>
          <w:p w14:paraId="7F7F7F7A"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-5.55</w:t>
            </w:r>
          </w:p>
        </w:tc>
        <w:tc>
          <w:tcPr>
            <w:tcW w:w="1260" w:type="dxa"/>
            <w:noWrap/>
            <w:hideMark/>
          </w:tcPr>
          <w:p w14:paraId="594A77A9"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16AA8388" w14:textId="77777777" w:rsidTr="001F7400">
        <w:trPr>
          <w:trHeight w:val="300"/>
        </w:trPr>
        <w:tc>
          <w:tcPr>
            <w:tcW w:w="1998" w:type="dxa"/>
            <w:noWrap/>
            <w:hideMark/>
          </w:tcPr>
          <w:p w14:paraId="0230C93F"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Level_6</w:t>
            </w:r>
          </w:p>
        </w:tc>
        <w:tc>
          <w:tcPr>
            <w:tcW w:w="1980" w:type="dxa"/>
            <w:noWrap/>
            <w:hideMark/>
          </w:tcPr>
          <w:p w14:paraId="24A52FF5"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-2.947</w:t>
            </w:r>
          </w:p>
        </w:tc>
        <w:tc>
          <w:tcPr>
            <w:tcW w:w="1440" w:type="dxa"/>
            <w:noWrap/>
            <w:hideMark/>
          </w:tcPr>
          <w:p w14:paraId="702D9B1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0.743</w:t>
            </w:r>
          </w:p>
        </w:tc>
        <w:tc>
          <w:tcPr>
            <w:tcW w:w="1620" w:type="dxa"/>
            <w:noWrap/>
            <w:hideMark/>
          </w:tcPr>
          <w:p w14:paraId="20A32D47"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-3.97</w:t>
            </w:r>
          </w:p>
        </w:tc>
        <w:tc>
          <w:tcPr>
            <w:tcW w:w="1260" w:type="dxa"/>
            <w:noWrap/>
            <w:hideMark/>
          </w:tcPr>
          <w:p w14:paraId="2F0CBC8F"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65EAB587" w14:textId="77777777" w:rsidTr="001F7400">
        <w:trPr>
          <w:trHeight w:val="300"/>
        </w:trPr>
        <w:tc>
          <w:tcPr>
            <w:tcW w:w="1998" w:type="dxa"/>
            <w:noWrap/>
            <w:hideMark/>
          </w:tcPr>
          <w:p w14:paraId="2684BA1F"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Level_7</w:t>
            </w:r>
          </w:p>
        </w:tc>
        <w:tc>
          <w:tcPr>
            <w:tcW w:w="1980" w:type="dxa"/>
            <w:noWrap/>
            <w:hideMark/>
          </w:tcPr>
          <w:p w14:paraId="4CE4F633"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4.614</w:t>
            </w:r>
          </w:p>
        </w:tc>
        <w:tc>
          <w:tcPr>
            <w:tcW w:w="1440" w:type="dxa"/>
            <w:noWrap/>
            <w:hideMark/>
          </w:tcPr>
          <w:p w14:paraId="06C5F28D"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3.210</w:t>
            </w:r>
          </w:p>
        </w:tc>
        <w:tc>
          <w:tcPr>
            <w:tcW w:w="1620" w:type="dxa"/>
            <w:noWrap/>
            <w:hideMark/>
          </w:tcPr>
          <w:p w14:paraId="72F6AD89"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1.44</w:t>
            </w:r>
          </w:p>
        </w:tc>
        <w:tc>
          <w:tcPr>
            <w:tcW w:w="1260" w:type="dxa"/>
            <w:noWrap/>
            <w:hideMark/>
          </w:tcPr>
          <w:p w14:paraId="7C6C6850"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0.151</w:t>
            </w:r>
          </w:p>
        </w:tc>
      </w:tr>
      <w:tr w:rsidR="00BF10A3" w:rsidRPr="00453F69" w14:paraId="5DBC2E5B" w14:textId="77777777" w:rsidTr="001F7400">
        <w:trPr>
          <w:trHeight w:val="300"/>
        </w:trPr>
        <w:tc>
          <w:tcPr>
            <w:tcW w:w="1998" w:type="dxa"/>
            <w:noWrap/>
            <w:hideMark/>
          </w:tcPr>
          <w:p w14:paraId="7842EE9B" w14:textId="77777777" w:rsidR="00BF10A3" w:rsidRPr="00AD0605" w:rsidRDefault="00BF10A3" w:rsidP="001F7400">
            <w:pPr>
              <w:rPr>
                <w:rFonts w:ascii="Courier New" w:eastAsiaTheme="minorHAnsi" w:hAnsi="Courier New" w:cs="Courier New"/>
                <w:b/>
                <w:sz w:val="24"/>
                <w:szCs w:val="24"/>
              </w:rPr>
            </w:pPr>
            <w:r w:rsidRPr="00AD0605">
              <w:rPr>
                <w:rFonts w:ascii="Courier New" w:eastAsiaTheme="minorHAnsi" w:hAnsi="Courier New" w:cs="Courier New"/>
                <w:b/>
                <w:sz w:val="24"/>
                <w:szCs w:val="24"/>
              </w:rPr>
              <w:t>Constant</w:t>
            </w:r>
          </w:p>
        </w:tc>
        <w:tc>
          <w:tcPr>
            <w:tcW w:w="1980" w:type="dxa"/>
            <w:noWrap/>
            <w:hideMark/>
          </w:tcPr>
          <w:p w14:paraId="3AC8A619"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5.357</w:t>
            </w:r>
          </w:p>
        </w:tc>
        <w:tc>
          <w:tcPr>
            <w:tcW w:w="1440" w:type="dxa"/>
            <w:noWrap/>
            <w:hideMark/>
          </w:tcPr>
          <w:p w14:paraId="3E98D53D"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0.376</w:t>
            </w:r>
          </w:p>
        </w:tc>
        <w:tc>
          <w:tcPr>
            <w:tcW w:w="1620" w:type="dxa"/>
            <w:noWrap/>
            <w:hideMark/>
          </w:tcPr>
          <w:p w14:paraId="08395BEE"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14.25</w:t>
            </w:r>
          </w:p>
        </w:tc>
        <w:tc>
          <w:tcPr>
            <w:tcW w:w="1260" w:type="dxa"/>
            <w:noWrap/>
            <w:hideMark/>
          </w:tcPr>
          <w:p w14:paraId="1B8879FA" w14:textId="77777777" w:rsidR="00BF10A3" w:rsidRPr="00453F69" w:rsidRDefault="00BF10A3" w:rsidP="001F7400">
            <w:pPr>
              <w:jc w:val="right"/>
              <w:rPr>
                <w:rFonts w:ascii="Courier New" w:eastAsiaTheme="minorHAnsi" w:hAnsi="Courier New" w:cs="Courier New"/>
                <w:sz w:val="24"/>
                <w:szCs w:val="24"/>
              </w:rPr>
            </w:pPr>
            <w:r w:rsidRPr="00453F69">
              <w:rPr>
                <w:rFonts w:ascii="Courier New" w:eastAsiaTheme="minorHAnsi" w:hAnsi="Courier New" w:cs="Courier New"/>
                <w:sz w:val="24"/>
                <w:szCs w:val="24"/>
              </w:rPr>
              <w:t>0.000</w:t>
            </w:r>
          </w:p>
        </w:tc>
      </w:tr>
      <w:tr w:rsidR="00BF10A3" w:rsidRPr="00453F69" w14:paraId="3CA15F92" w14:textId="77777777" w:rsidTr="001F7400">
        <w:trPr>
          <w:trHeight w:val="620"/>
        </w:trPr>
        <w:tc>
          <w:tcPr>
            <w:tcW w:w="8298" w:type="dxa"/>
            <w:gridSpan w:val="5"/>
            <w:hideMark/>
          </w:tcPr>
          <w:p w14:paraId="174B3E4A" w14:textId="77777777" w:rsidR="00BF10A3" w:rsidRPr="00453F69" w:rsidRDefault="00BF10A3" w:rsidP="001F7400">
            <w:pPr>
              <w:rPr>
                <w:rFonts w:ascii="Courier New" w:eastAsiaTheme="minorHAnsi" w:hAnsi="Courier New" w:cs="Courier New"/>
                <w:sz w:val="20"/>
                <w:szCs w:val="20"/>
              </w:rPr>
            </w:pPr>
            <w:r w:rsidRPr="00453F69">
              <w:rPr>
                <w:rFonts w:ascii="Courier New" w:eastAsiaTheme="minorHAnsi" w:hAnsi="Courier New" w:cs="Courier New"/>
                <w:sz w:val="20"/>
                <w:szCs w:val="20"/>
              </w:rPr>
              <w:t>For-profit used as reference group for sector and credential level 01 (undergraduate certificate) used as reference group for credential levels</w:t>
            </w:r>
          </w:p>
        </w:tc>
      </w:tr>
      <w:tr w:rsidR="00BF10A3" w:rsidRPr="00453F69" w14:paraId="3B4A88EA" w14:textId="77777777" w:rsidTr="001F7400">
        <w:trPr>
          <w:trHeight w:val="89"/>
        </w:trPr>
        <w:tc>
          <w:tcPr>
            <w:tcW w:w="8298" w:type="dxa"/>
            <w:gridSpan w:val="5"/>
            <w:noWrap/>
            <w:hideMark/>
          </w:tcPr>
          <w:p w14:paraId="15DC30D8" w14:textId="77777777" w:rsidR="00BF10A3" w:rsidRPr="00453F69" w:rsidRDefault="00BF10A3" w:rsidP="001F7400">
            <w:pPr>
              <w:rPr>
                <w:rFonts w:ascii="Courier New" w:eastAsiaTheme="minorHAnsi" w:hAnsi="Courier New" w:cs="Courier New"/>
                <w:sz w:val="20"/>
                <w:szCs w:val="20"/>
              </w:rPr>
            </w:pPr>
            <w:r w:rsidRPr="00453F69">
              <w:rPr>
                <w:rFonts w:ascii="Courier New" w:eastAsiaTheme="minorHAnsi" w:hAnsi="Courier New" w:cs="Courier New"/>
                <w:sz w:val="20"/>
                <w:szCs w:val="20"/>
              </w:rPr>
              <w:t>Demographic and dependent variable units in percentages  </w:t>
            </w:r>
          </w:p>
        </w:tc>
      </w:tr>
    </w:tbl>
    <w:p w14:paraId="3573468F" w14:textId="77777777" w:rsidR="00BF10A3" w:rsidRPr="00453F69" w:rsidRDefault="00BF10A3" w:rsidP="00BF10A3">
      <w:pPr>
        <w:spacing w:after="0" w:line="240" w:lineRule="auto"/>
        <w:rPr>
          <w:rFonts w:ascii="Courier New" w:eastAsiaTheme="minorHAnsi" w:hAnsi="Courier New" w:cs="Courier New"/>
          <w:sz w:val="24"/>
          <w:szCs w:val="24"/>
        </w:rPr>
      </w:pPr>
    </w:p>
    <w:p w14:paraId="2266B5B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results of both regressions indicate that programs with greater proportions of zero EFC graduates have slightly lower annual earnings rates; programs with greater proportions of graduates mothers who completed college have slightly higher annual earnings rates; programs with greater proportions of Black graduates have slightly higher annual earnings rates; programs with greater proportions of Hispanic graduates have slightly lower annual earnings rates; programs with greater proportion of Asian graduates have slightly lower annual earnings rates; and programs with higher proportions of female graduates have  slightly higher annual earnings rates.  The percent American Indian variable does not have a statistically significant relationship with annual earnings rate.   When controlling for race </w:t>
      </w:r>
      <w:r w:rsidRPr="00F43746">
        <w:rPr>
          <w:rFonts w:ascii="Courier New" w:hAnsi="Courier New" w:cs="Courier New"/>
          <w:sz w:val="24"/>
          <w:szCs w:val="24"/>
        </w:rPr>
        <w:t>and ethnicity, program</w:t>
      </w:r>
      <w:r w:rsidRPr="00AA6DFD">
        <w:rPr>
          <w:rFonts w:ascii="Courier New" w:hAnsi="Courier New" w:cs="Courier New"/>
          <w:sz w:val="24"/>
          <w:szCs w:val="24"/>
        </w:rPr>
        <w:t xml:space="preserve">s with higher proportions of </w:t>
      </w:r>
      <w:r>
        <w:rPr>
          <w:rFonts w:ascii="Courier New" w:hAnsi="Courier New" w:cs="Courier New"/>
          <w:sz w:val="24"/>
          <w:szCs w:val="24"/>
        </w:rPr>
        <w:t>independent graduates have</w:t>
      </w:r>
      <w:r w:rsidRPr="00AA6DFD">
        <w:rPr>
          <w:rFonts w:ascii="Courier New" w:hAnsi="Courier New" w:cs="Courier New"/>
          <w:sz w:val="24"/>
          <w:szCs w:val="24"/>
        </w:rPr>
        <w:t xml:space="preserve"> slightly lower annual earnings rates. Without controlling for race and ethnicity categories, the</w:t>
      </w:r>
      <w:r>
        <w:rPr>
          <w:rFonts w:ascii="Courier New" w:hAnsi="Courier New" w:cs="Courier New"/>
          <w:sz w:val="24"/>
          <w:szCs w:val="24"/>
        </w:rPr>
        <w:t xml:space="preserve"> percent independent variable i</w:t>
      </w:r>
      <w:r w:rsidRPr="00AA6DFD">
        <w:rPr>
          <w:rFonts w:ascii="Courier New" w:hAnsi="Courier New" w:cs="Courier New"/>
          <w:sz w:val="24"/>
          <w:szCs w:val="24"/>
        </w:rPr>
        <w:t xml:space="preserve">s not statistically significant.  While many of the demographic variables </w:t>
      </w:r>
      <w:r>
        <w:rPr>
          <w:rFonts w:ascii="Courier New" w:hAnsi="Courier New" w:cs="Courier New"/>
          <w:sz w:val="24"/>
          <w:szCs w:val="24"/>
        </w:rPr>
        <w:t>a</w:t>
      </w:r>
      <w:r w:rsidRPr="00AA6DFD">
        <w:rPr>
          <w:rFonts w:ascii="Courier New" w:hAnsi="Courier New" w:cs="Courier New"/>
          <w:sz w:val="24"/>
          <w:szCs w:val="24"/>
        </w:rPr>
        <w:t xml:space="preserve">re statistically significant, the magnitude of the coefficients </w:t>
      </w:r>
      <w:r>
        <w:rPr>
          <w:rFonts w:ascii="Courier New" w:hAnsi="Courier New" w:cs="Courier New"/>
          <w:sz w:val="24"/>
          <w:szCs w:val="24"/>
        </w:rPr>
        <w:t>i</w:t>
      </w:r>
      <w:r w:rsidRPr="00AA6DFD">
        <w:rPr>
          <w:rFonts w:ascii="Courier New" w:hAnsi="Courier New" w:cs="Courier New"/>
          <w:sz w:val="24"/>
          <w:szCs w:val="24"/>
        </w:rPr>
        <w:t xml:space="preserve">s </w:t>
      </w:r>
      <w:r w:rsidRPr="0002579C">
        <w:rPr>
          <w:rFonts w:ascii="Courier New" w:hAnsi="Courier New" w:cs="Courier New"/>
          <w:sz w:val="24"/>
          <w:szCs w:val="24"/>
        </w:rPr>
        <w:t>sufficiently small indicating that these factors have little impact on annual earnings rates</w:t>
      </w:r>
      <w:r w:rsidRPr="00AA6DFD">
        <w:rPr>
          <w:rFonts w:ascii="Courier New" w:hAnsi="Courier New" w:cs="Courier New"/>
          <w:sz w:val="24"/>
          <w:szCs w:val="24"/>
        </w:rPr>
        <w:t xml:space="preserve"> and that it would be unlikely for a program to move from passing to failing solely by virtue of enrolling more students with these characteristics. </w:t>
      </w:r>
    </w:p>
    <w:p w14:paraId="5955F82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response to the NPRM, commenters argued that the Department should further explore the results of the regression analysis where they contradict our own prior research on the relationship between student characteristics and education outcomes.  For example, one commenter asserted that a recent study commissioned by the Department demonstrated that race, gender, and income were all significant in predicting student success in the form of degree attainment. We do not believe that the regression results described in this section contradict the Department’s prior research because we have not conducted similar research on D/E rates as calculated in the regulations. </w:t>
      </w:r>
    </w:p>
    <w:p w14:paraId="521F009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better understand the results of the regression analysis, we </w:t>
      </w:r>
      <w:r>
        <w:rPr>
          <w:rFonts w:ascii="Courier New" w:hAnsi="Courier New" w:cs="Courier New"/>
          <w:sz w:val="24"/>
          <w:szCs w:val="24"/>
        </w:rPr>
        <w:t>provide</w:t>
      </w:r>
      <w:r w:rsidRPr="00AA6DFD">
        <w:rPr>
          <w:rFonts w:ascii="Courier New" w:hAnsi="Courier New" w:cs="Courier New"/>
          <w:sz w:val="24"/>
          <w:szCs w:val="24"/>
        </w:rPr>
        <w:t xml:space="preserve"> a correlation matrix of the variables that were used.   </w:t>
      </w:r>
    </w:p>
    <w:p w14:paraId="0A664859" w14:textId="77777777" w:rsidR="00BF10A3" w:rsidRDefault="00BF10A3" w:rsidP="00BF10A3">
      <w:pPr>
        <w:rPr>
          <w:rFonts w:ascii="Courier New" w:hAnsi="Courier New" w:cs="Courier New"/>
          <w:b/>
          <w:sz w:val="24"/>
          <w:szCs w:val="24"/>
        </w:rPr>
      </w:pPr>
      <w:r>
        <w:rPr>
          <w:rFonts w:ascii="Courier New" w:hAnsi="Courier New" w:cs="Courier New"/>
          <w:b/>
          <w:sz w:val="24"/>
          <w:szCs w:val="24"/>
        </w:rPr>
        <w:br w:type="page"/>
      </w:r>
    </w:p>
    <w:p w14:paraId="10F2273F" w14:textId="77777777" w:rsidR="00BF10A3" w:rsidRDefault="00BF10A3" w:rsidP="00BF10A3">
      <w:pPr>
        <w:spacing w:after="0" w:line="480" w:lineRule="auto"/>
        <w:rPr>
          <w:rFonts w:ascii="Courier New" w:hAnsi="Courier New" w:cs="Courier New"/>
          <w:b/>
          <w:sz w:val="24"/>
          <w:szCs w:val="24"/>
        </w:rPr>
        <w:sectPr w:rsidR="00BF10A3" w:rsidSect="007F58F4">
          <w:pgSz w:w="12240" w:h="15840"/>
          <w:pgMar w:top="1440" w:right="1440" w:bottom="1440" w:left="1440" w:header="720" w:footer="720" w:gutter="0"/>
          <w:cols w:space="720"/>
          <w:docGrid w:linePitch="360"/>
        </w:sectPr>
      </w:pPr>
    </w:p>
    <w:p w14:paraId="34D8561B"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b/>
          <w:sz w:val="24"/>
          <w:szCs w:val="24"/>
        </w:rPr>
        <w:t>Table 2.14: Correlation Matrix</w:t>
      </w:r>
    </w:p>
    <w:tbl>
      <w:tblPr>
        <w:tblW w:w="13738" w:type="dxa"/>
        <w:tblInd w:w="93" w:type="dxa"/>
        <w:tblLook w:val="04A0" w:firstRow="1" w:lastRow="0" w:firstColumn="1" w:lastColumn="0" w:noHBand="0" w:noVBand="1"/>
      </w:tblPr>
      <w:tblGrid>
        <w:gridCol w:w="1480"/>
        <w:gridCol w:w="875"/>
        <w:gridCol w:w="985"/>
        <w:gridCol w:w="1273"/>
        <w:gridCol w:w="860"/>
        <w:gridCol w:w="820"/>
        <w:gridCol w:w="985"/>
        <w:gridCol w:w="793"/>
        <w:gridCol w:w="1369"/>
        <w:gridCol w:w="760"/>
        <w:gridCol w:w="740"/>
        <w:gridCol w:w="1300"/>
        <w:gridCol w:w="793"/>
        <w:gridCol w:w="820"/>
      </w:tblGrid>
      <w:tr w:rsidR="00BF10A3" w:rsidRPr="00930A3A" w14:paraId="5E610FBE" w14:textId="77777777" w:rsidTr="001F7400">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28D1"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5266C00D"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D/E</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4AE2A2AA"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earnings</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73873BD5"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loan_amount</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60F3FAF"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asian</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20AE63B"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black</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72F2E1D"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hispanic</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1808EFB8"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indian</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29E12FE0"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race2or_more</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EF66989"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white</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E3B795A"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zefc</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AAB173D"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independent</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0A732B6"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female</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95148C3" w14:textId="77777777" w:rsidR="00BF10A3" w:rsidRPr="00930A3A" w:rsidRDefault="00BF10A3" w:rsidP="001F7400">
            <w:pPr>
              <w:spacing w:after="0" w:line="240" w:lineRule="auto"/>
              <w:jc w:val="center"/>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mother</w:t>
            </w:r>
          </w:p>
        </w:tc>
      </w:tr>
      <w:tr w:rsidR="00BF10A3" w:rsidRPr="00930A3A" w14:paraId="60873577"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CA5E0FC"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D/E</w:t>
            </w:r>
          </w:p>
        </w:tc>
        <w:tc>
          <w:tcPr>
            <w:tcW w:w="875" w:type="dxa"/>
            <w:tcBorders>
              <w:top w:val="nil"/>
              <w:left w:val="nil"/>
              <w:bottom w:val="single" w:sz="4" w:space="0" w:color="auto"/>
              <w:right w:val="single" w:sz="4" w:space="0" w:color="auto"/>
            </w:tcBorders>
            <w:shd w:val="clear" w:color="auto" w:fill="auto"/>
            <w:noWrap/>
            <w:vAlign w:val="bottom"/>
            <w:hideMark/>
          </w:tcPr>
          <w:p w14:paraId="12B5122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870" w:type="dxa"/>
            <w:tcBorders>
              <w:top w:val="nil"/>
              <w:left w:val="nil"/>
              <w:bottom w:val="single" w:sz="4" w:space="0" w:color="auto"/>
              <w:right w:val="single" w:sz="4" w:space="0" w:color="auto"/>
            </w:tcBorders>
            <w:shd w:val="clear" w:color="auto" w:fill="auto"/>
            <w:noWrap/>
            <w:vAlign w:val="bottom"/>
            <w:hideMark/>
          </w:tcPr>
          <w:p w14:paraId="4785CCD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noWrap/>
            <w:vAlign w:val="bottom"/>
            <w:hideMark/>
          </w:tcPr>
          <w:p w14:paraId="730F2A5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14:paraId="27D74EB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09F30AD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14:paraId="4BF2829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31898B9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04BCEF6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5F3A250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54AC589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D0404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3A3F857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1F0089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6FEC5497"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1B0C8B"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earnings</w:t>
            </w:r>
          </w:p>
        </w:tc>
        <w:tc>
          <w:tcPr>
            <w:tcW w:w="875" w:type="dxa"/>
            <w:tcBorders>
              <w:top w:val="nil"/>
              <w:left w:val="nil"/>
              <w:bottom w:val="single" w:sz="4" w:space="0" w:color="auto"/>
              <w:right w:val="single" w:sz="4" w:space="0" w:color="auto"/>
            </w:tcBorders>
            <w:shd w:val="clear" w:color="auto" w:fill="auto"/>
            <w:noWrap/>
            <w:vAlign w:val="bottom"/>
            <w:hideMark/>
          </w:tcPr>
          <w:p w14:paraId="2EBD031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-0.217</w:t>
            </w:r>
          </w:p>
        </w:tc>
        <w:tc>
          <w:tcPr>
            <w:tcW w:w="870" w:type="dxa"/>
            <w:tcBorders>
              <w:top w:val="nil"/>
              <w:left w:val="nil"/>
              <w:bottom w:val="single" w:sz="4" w:space="0" w:color="auto"/>
              <w:right w:val="single" w:sz="4" w:space="0" w:color="auto"/>
            </w:tcBorders>
            <w:shd w:val="clear" w:color="auto" w:fill="auto"/>
            <w:noWrap/>
            <w:vAlign w:val="bottom"/>
            <w:hideMark/>
          </w:tcPr>
          <w:p w14:paraId="242B837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1273" w:type="dxa"/>
            <w:tcBorders>
              <w:top w:val="nil"/>
              <w:left w:val="nil"/>
              <w:bottom w:val="single" w:sz="4" w:space="0" w:color="auto"/>
              <w:right w:val="single" w:sz="4" w:space="0" w:color="auto"/>
            </w:tcBorders>
            <w:shd w:val="clear" w:color="auto" w:fill="auto"/>
            <w:noWrap/>
            <w:vAlign w:val="bottom"/>
            <w:hideMark/>
          </w:tcPr>
          <w:p w14:paraId="345F090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14:paraId="3CE93B9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5AA0BE1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14:paraId="63AA54B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18801BA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05B20AE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1A59C22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0078F68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3B97708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3BC4440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7371CDA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033241B7"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8761087"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loan_amount</w:t>
            </w:r>
          </w:p>
        </w:tc>
        <w:tc>
          <w:tcPr>
            <w:tcW w:w="875" w:type="dxa"/>
            <w:tcBorders>
              <w:top w:val="nil"/>
              <w:left w:val="nil"/>
              <w:bottom w:val="single" w:sz="4" w:space="0" w:color="auto"/>
              <w:right w:val="single" w:sz="4" w:space="0" w:color="auto"/>
            </w:tcBorders>
            <w:shd w:val="clear" w:color="auto" w:fill="auto"/>
            <w:noWrap/>
            <w:vAlign w:val="bottom"/>
            <w:hideMark/>
          </w:tcPr>
          <w:p w14:paraId="4464E5A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0.805</w:t>
            </w:r>
          </w:p>
        </w:tc>
        <w:tc>
          <w:tcPr>
            <w:tcW w:w="870" w:type="dxa"/>
            <w:tcBorders>
              <w:top w:val="nil"/>
              <w:left w:val="nil"/>
              <w:bottom w:val="single" w:sz="4" w:space="0" w:color="auto"/>
              <w:right w:val="single" w:sz="4" w:space="0" w:color="auto"/>
            </w:tcBorders>
            <w:shd w:val="clear" w:color="auto" w:fill="auto"/>
            <w:noWrap/>
            <w:vAlign w:val="bottom"/>
            <w:hideMark/>
          </w:tcPr>
          <w:p w14:paraId="6DCA427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0.181</w:t>
            </w:r>
          </w:p>
        </w:tc>
        <w:tc>
          <w:tcPr>
            <w:tcW w:w="1273" w:type="dxa"/>
            <w:tcBorders>
              <w:top w:val="nil"/>
              <w:left w:val="nil"/>
              <w:bottom w:val="single" w:sz="4" w:space="0" w:color="auto"/>
              <w:right w:val="single" w:sz="4" w:space="0" w:color="auto"/>
            </w:tcBorders>
            <w:shd w:val="clear" w:color="auto" w:fill="auto"/>
            <w:noWrap/>
            <w:vAlign w:val="bottom"/>
            <w:hideMark/>
          </w:tcPr>
          <w:p w14:paraId="03653F3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860" w:type="dxa"/>
            <w:tcBorders>
              <w:top w:val="nil"/>
              <w:left w:val="nil"/>
              <w:bottom w:val="single" w:sz="4" w:space="0" w:color="auto"/>
              <w:right w:val="single" w:sz="4" w:space="0" w:color="auto"/>
            </w:tcBorders>
            <w:shd w:val="clear" w:color="auto" w:fill="auto"/>
            <w:noWrap/>
            <w:vAlign w:val="bottom"/>
            <w:hideMark/>
          </w:tcPr>
          <w:p w14:paraId="5E37661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0E5562C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14:paraId="7CBAD92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272AD41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31164A8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3F36A37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2E2903F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88D88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7AE720F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0FE9461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1776926F"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A0FB1CB"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asian</w:t>
            </w:r>
          </w:p>
        </w:tc>
        <w:tc>
          <w:tcPr>
            <w:tcW w:w="875" w:type="dxa"/>
            <w:tcBorders>
              <w:top w:val="nil"/>
              <w:left w:val="nil"/>
              <w:bottom w:val="single" w:sz="4" w:space="0" w:color="auto"/>
              <w:right w:val="single" w:sz="4" w:space="0" w:color="auto"/>
            </w:tcBorders>
            <w:shd w:val="clear" w:color="auto" w:fill="auto"/>
            <w:noWrap/>
            <w:vAlign w:val="bottom"/>
            <w:hideMark/>
          </w:tcPr>
          <w:p w14:paraId="072487F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-0.014</w:t>
            </w:r>
          </w:p>
        </w:tc>
        <w:tc>
          <w:tcPr>
            <w:tcW w:w="870" w:type="dxa"/>
            <w:tcBorders>
              <w:top w:val="nil"/>
              <w:left w:val="nil"/>
              <w:bottom w:val="single" w:sz="4" w:space="0" w:color="auto"/>
              <w:right w:val="single" w:sz="4" w:space="0" w:color="auto"/>
            </w:tcBorders>
            <w:shd w:val="clear" w:color="auto" w:fill="auto"/>
            <w:noWrap/>
            <w:vAlign w:val="bottom"/>
            <w:hideMark/>
          </w:tcPr>
          <w:p w14:paraId="1F803F8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0.069</w:t>
            </w:r>
          </w:p>
        </w:tc>
        <w:tc>
          <w:tcPr>
            <w:tcW w:w="1273" w:type="dxa"/>
            <w:tcBorders>
              <w:top w:val="nil"/>
              <w:left w:val="nil"/>
              <w:bottom w:val="single" w:sz="4" w:space="0" w:color="auto"/>
              <w:right w:val="single" w:sz="4" w:space="0" w:color="auto"/>
            </w:tcBorders>
            <w:shd w:val="clear" w:color="auto" w:fill="auto"/>
            <w:noWrap/>
            <w:vAlign w:val="bottom"/>
            <w:hideMark/>
          </w:tcPr>
          <w:p w14:paraId="16121E7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0.058</w:t>
            </w:r>
          </w:p>
        </w:tc>
        <w:tc>
          <w:tcPr>
            <w:tcW w:w="860" w:type="dxa"/>
            <w:tcBorders>
              <w:top w:val="nil"/>
              <w:left w:val="nil"/>
              <w:bottom w:val="single" w:sz="4" w:space="0" w:color="auto"/>
              <w:right w:val="single" w:sz="4" w:space="0" w:color="auto"/>
            </w:tcBorders>
            <w:shd w:val="clear" w:color="auto" w:fill="auto"/>
            <w:noWrap/>
            <w:vAlign w:val="bottom"/>
            <w:hideMark/>
          </w:tcPr>
          <w:p w14:paraId="5027C82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820" w:type="dxa"/>
            <w:tcBorders>
              <w:top w:val="nil"/>
              <w:left w:val="nil"/>
              <w:bottom w:val="single" w:sz="4" w:space="0" w:color="auto"/>
              <w:right w:val="single" w:sz="4" w:space="0" w:color="auto"/>
            </w:tcBorders>
            <w:shd w:val="clear" w:color="auto" w:fill="auto"/>
            <w:noWrap/>
            <w:vAlign w:val="bottom"/>
            <w:hideMark/>
          </w:tcPr>
          <w:p w14:paraId="21370D0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14:paraId="57FAFB7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528CDF3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015D020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68246CD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5871205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F2AEE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272CB31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78DED3F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35B78796"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ADC6EC9"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black</w:t>
            </w:r>
          </w:p>
        </w:tc>
        <w:tc>
          <w:tcPr>
            <w:tcW w:w="875" w:type="dxa"/>
            <w:tcBorders>
              <w:top w:val="nil"/>
              <w:left w:val="nil"/>
              <w:bottom w:val="single" w:sz="4" w:space="0" w:color="auto"/>
              <w:right w:val="single" w:sz="4" w:space="0" w:color="auto"/>
            </w:tcBorders>
            <w:shd w:val="clear" w:color="auto" w:fill="auto"/>
            <w:noWrap/>
            <w:vAlign w:val="bottom"/>
            <w:hideMark/>
          </w:tcPr>
          <w:p w14:paraId="3592F34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0.108</w:t>
            </w:r>
          </w:p>
        </w:tc>
        <w:tc>
          <w:tcPr>
            <w:tcW w:w="870" w:type="dxa"/>
            <w:tcBorders>
              <w:top w:val="nil"/>
              <w:left w:val="nil"/>
              <w:bottom w:val="single" w:sz="4" w:space="0" w:color="auto"/>
              <w:right w:val="single" w:sz="4" w:space="0" w:color="auto"/>
            </w:tcBorders>
            <w:shd w:val="clear" w:color="auto" w:fill="auto"/>
            <w:noWrap/>
            <w:vAlign w:val="bottom"/>
            <w:hideMark/>
          </w:tcPr>
          <w:p w14:paraId="618BD7F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-0.079</w:t>
            </w:r>
          </w:p>
        </w:tc>
        <w:tc>
          <w:tcPr>
            <w:tcW w:w="1273" w:type="dxa"/>
            <w:tcBorders>
              <w:top w:val="nil"/>
              <w:left w:val="nil"/>
              <w:bottom w:val="single" w:sz="4" w:space="0" w:color="auto"/>
              <w:right w:val="single" w:sz="4" w:space="0" w:color="auto"/>
            </w:tcBorders>
            <w:shd w:val="clear" w:color="auto" w:fill="auto"/>
            <w:noWrap/>
            <w:vAlign w:val="bottom"/>
            <w:hideMark/>
          </w:tcPr>
          <w:p w14:paraId="4CE8EB2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0.030</w:t>
            </w:r>
          </w:p>
        </w:tc>
        <w:tc>
          <w:tcPr>
            <w:tcW w:w="860" w:type="dxa"/>
            <w:tcBorders>
              <w:top w:val="nil"/>
              <w:left w:val="nil"/>
              <w:bottom w:val="single" w:sz="4" w:space="0" w:color="auto"/>
              <w:right w:val="single" w:sz="4" w:space="0" w:color="auto"/>
            </w:tcBorders>
            <w:shd w:val="clear" w:color="auto" w:fill="auto"/>
            <w:noWrap/>
            <w:vAlign w:val="bottom"/>
            <w:hideMark/>
          </w:tcPr>
          <w:p w14:paraId="1E9241D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-0.110</w:t>
            </w:r>
          </w:p>
        </w:tc>
        <w:tc>
          <w:tcPr>
            <w:tcW w:w="820" w:type="dxa"/>
            <w:tcBorders>
              <w:top w:val="nil"/>
              <w:left w:val="nil"/>
              <w:bottom w:val="single" w:sz="4" w:space="0" w:color="auto"/>
              <w:right w:val="single" w:sz="4" w:space="0" w:color="auto"/>
            </w:tcBorders>
            <w:shd w:val="clear" w:color="auto" w:fill="auto"/>
            <w:noWrap/>
            <w:vAlign w:val="bottom"/>
            <w:hideMark/>
          </w:tcPr>
          <w:p w14:paraId="6BF5771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985" w:type="dxa"/>
            <w:tcBorders>
              <w:top w:val="nil"/>
              <w:left w:val="nil"/>
              <w:bottom w:val="single" w:sz="4" w:space="0" w:color="auto"/>
              <w:right w:val="single" w:sz="4" w:space="0" w:color="auto"/>
            </w:tcBorders>
            <w:shd w:val="clear" w:color="auto" w:fill="auto"/>
            <w:noWrap/>
            <w:vAlign w:val="bottom"/>
            <w:hideMark/>
          </w:tcPr>
          <w:p w14:paraId="42E6122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0F5364E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0D5363C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5327FCB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4018065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B871C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62F2ADC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30158C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48B375D9"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CD94F4C"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hispanic</w:t>
            </w:r>
          </w:p>
        </w:tc>
        <w:tc>
          <w:tcPr>
            <w:tcW w:w="875" w:type="dxa"/>
            <w:tcBorders>
              <w:top w:val="nil"/>
              <w:left w:val="nil"/>
              <w:bottom w:val="single" w:sz="4" w:space="0" w:color="auto"/>
              <w:right w:val="single" w:sz="4" w:space="0" w:color="auto"/>
            </w:tcBorders>
            <w:shd w:val="clear" w:color="auto" w:fill="auto"/>
            <w:noWrap/>
            <w:vAlign w:val="bottom"/>
            <w:hideMark/>
          </w:tcPr>
          <w:p w14:paraId="17C3ED3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-0.073</w:t>
            </w:r>
          </w:p>
        </w:tc>
        <w:tc>
          <w:tcPr>
            <w:tcW w:w="870" w:type="dxa"/>
            <w:tcBorders>
              <w:top w:val="nil"/>
              <w:left w:val="nil"/>
              <w:bottom w:val="single" w:sz="4" w:space="0" w:color="auto"/>
              <w:right w:val="single" w:sz="4" w:space="0" w:color="auto"/>
            </w:tcBorders>
            <w:shd w:val="clear" w:color="auto" w:fill="auto"/>
            <w:noWrap/>
            <w:vAlign w:val="bottom"/>
            <w:hideMark/>
          </w:tcPr>
          <w:p w14:paraId="5270A30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-0.294</w:t>
            </w:r>
          </w:p>
        </w:tc>
        <w:tc>
          <w:tcPr>
            <w:tcW w:w="1273" w:type="dxa"/>
            <w:tcBorders>
              <w:top w:val="nil"/>
              <w:left w:val="nil"/>
              <w:bottom w:val="single" w:sz="4" w:space="0" w:color="auto"/>
              <w:right w:val="single" w:sz="4" w:space="0" w:color="auto"/>
            </w:tcBorders>
            <w:shd w:val="clear" w:color="auto" w:fill="auto"/>
            <w:noWrap/>
            <w:vAlign w:val="bottom"/>
            <w:hideMark/>
          </w:tcPr>
          <w:p w14:paraId="462A74D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-0.155</w:t>
            </w:r>
          </w:p>
        </w:tc>
        <w:tc>
          <w:tcPr>
            <w:tcW w:w="860" w:type="dxa"/>
            <w:tcBorders>
              <w:top w:val="nil"/>
              <w:left w:val="nil"/>
              <w:bottom w:val="single" w:sz="4" w:space="0" w:color="auto"/>
              <w:right w:val="single" w:sz="4" w:space="0" w:color="auto"/>
            </w:tcBorders>
            <w:shd w:val="clear" w:color="auto" w:fill="auto"/>
            <w:noWrap/>
            <w:vAlign w:val="bottom"/>
            <w:hideMark/>
          </w:tcPr>
          <w:p w14:paraId="65D24D2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-0.033</w:t>
            </w:r>
          </w:p>
        </w:tc>
        <w:tc>
          <w:tcPr>
            <w:tcW w:w="820" w:type="dxa"/>
            <w:tcBorders>
              <w:top w:val="nil"/>
              <w:left w:val="nil"/>
              <w:bottom w:val="single" w:sz="4" w:space="0" w:color="auto"/>
              <w:right w:val="single" w:sz="4" w:space="0" w:color="auto"/>
            </w:tcBorders>
            <w:shd w:val="clear" w:color="auto" w:fill="auto"/>
            <w:noWrap/>
            <w:vAlign w:val="bottom"/>
            <w:hideMark/>
          </w:tcPr>
          <w:p w14:paraId="4FE5B4B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-0.210</w:t>
            </w:r>
          </w:p>
        </w:tc>
        <w:tc>
          <w:tcPr>
            <w:tcW w:w="985" w:type="dxa"/>
            <w:tcBorders>
              <w:top w:val="nil"/>
              <w:left w:val="nil"/>
              <w:bottom w:val="single" w:sz="4" w:space="0" w:color="auto"/>
              <w:right w:val="single" w:sz="4" w:space="0" w:color="auto"/>
            </w:tcBorders>
            <w:shd w:val="clear" w:color="auto" w:fill="auto"/>
            <w:noWrap/>
            <w:vAlign w:val="bottom"/>
            <w:hideMark/>
          </w:tcPr>
          <w:p w14:paraId="3A52C67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793" w:type="dxa"/>
            <w:tcBorders>
              <w:top w:val="nil"/>
              <w:left w:val="nil"/>
              <w:bottom w:val="single" w:sz="4" w:space="0" w:color="auto"/>
              <w:right w:val="single" w:sz="4" w:space="0" w:color="auto"/>
            </w:tcBorders>
            <w:shd w:val="clear" w:color="auto" w:fill="auto"/>
            <w:noWrap/>
            <w:vAlign w:val="bottom"/>
            <w:hideMark/>
          </w:tcPr>
          <w:p w14:paraId="1495ACD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69" w:type="dxa"/>
            <w:tcBorders>
              <w:top w:val="nil"/>
              <w:left w:val="nil"/>
              <w:bottom w:val="single" w:sz="4" w:space="0" w:color="auto"/>
              <w:right w:val="single" w:sz="4" w:space="0" w:color="auto"/>
            </w:tcBorders>
            <w:shd w:val="clear" w:color="auto" w:fill="auto"/>
            <w:noWrap/>
            <w:vAlign w:val="bottom"/>
            <w:hideMark/>
          </w:tcPr>
          <w:p w14:paraId="4D14582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20866B7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5FD4AC6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E61FB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235C845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2F4D6F4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607991D3"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7BCEB5D"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indian</w:t>
            </w:r>
          </w:p>
        </w:tc>
        <w:tc>
          <w:tcPr>
            <w:tcW w:w="875" w:type="dxa"/>
            <w:tcBorders>
              <w:top w:val="nil"/>
              <w:left w:val="nil"/>
              <w:bottom w:val="single" w:sz="4" w:space="0" w:color="auto"/>
              <w:right w:val="single" w:sz="4" w:space="0" w:color="auto"/>
            </w:tcBorders>
            <w:shd w:val="clear" w:color="auto" w:fill="auto"/>
            <w:noWrap/>
            <w:vAlign w:val="bottom"/>
            <w:hideMark/>
          </w:tcPr>
          <w:p w14:paraId="159E06F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-0.020</w:t>
            </w:r>
          </w:p>
        </w:tc>
        <w:tc>
          <w:tcPr>
            <w:tcW w:w="870" w:type="dxa"/>
            <w:tcBorders>
              <w:top w:val="nil"/>
              <w:left w:val="nil"/>
              <w:bottom w:val="single" w:sz="4" w:space="0" w:color="auto"/>
              <w:right w:val="single" w:sz="4" w:space="0" w:color="auto"/>
            </w:tcBorders>
            <w:shd w:val="clear" w:color="auto" w:fill="auto"/>
            <w:noWrap/>
            <w:vAlign w:val="bottom"/>
            <w:hideMark/>
          </w:tcPr>
          <w:p w14:paraId="6A7EADD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0.001</w:t>
            </w:r>
          </w:p>
        </w:tc>
        <w:tc>
          <w:tcPr>
            <w:tcW w:w="1273" w:type="dxa"/>
            <w:tcBorders>
              <w:top w:val="nil"/>
              <w:left w:val="nil"/>
              <w:bottom w:val="single" w:sz="4" w:space="0" w:color="auto"/>
              <w:right w:val="single" w:sz="4" w:space="0" w:color="auto"/>
            </w:tcBorders>
            <w:shd w:val="clear" w:color="auto" w:fill="auto"/>
            <w:noWrap/>
            <w:vAlign w:val="bottom"/>
            <w:hideMark/>
          </w:tcPr>
          <w:p w14:paraId="18E0D99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-0.019</w:t>
            </w:r>
          </w:p>
        </w:tc>
        <w:tc>
          <w:tcPr>
            <w:tcW w:w="860" w:type="dxa"/>
            <w:tcBorders>
              <w:top w:val="nil"/>
              <w:left w:val="nil"/>
              <w:bottom w:val="single" w:sz="4" w:space="0" w:color="auto"/>
              <w:right w:val="single" w:sz="4" w:space="0" w:color="auto"/>
            </w:tcBorders>
            <w:shd w:val="clear" w:color="auto" w:fill="auto"/>
            <w:noWrap/>
            <w:vAlign w:val="bottom"/>
            <w:hideMark/>
          </w:tcPr>
          <w:p w14:paraId="05085BB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-0.008</w:t>
            </w:r>
          </w:p>
        </w:tc>
        <w:tc>
          <w:tcPr>
            <w:tcW w:w="820" w:type="dxa"/>
            <w:tcBorders>
              <w:top w:val="nil"/>
              <w:left w:val="nil"/>
              <w:bottom w:val="single" w:sz="4" w:space="0" w:color="auto"/>
              <w:right w:val="single" w:sz="4" w:space="0" w:color="auto"/>
            </w:tcBorders>
            <w:shd w:val="clear" w:color="auto" w:fill="auto"/>
            <w:noWrap/>
            <w:vAlign w:val="bottom"/>
            <w:hideMark/>
          </w:tcPr>
          <w:p w14:paraId="2CB21CA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-0.070</w:t>
            </w:r>
          </w:p>
        </w:tc>
        <w:tc>
          <w:tcPr>
            <w:tcW w:w="985" w:type="dxa"/>
            <w:tcBorders>
              <w:top w:val="nil"/>
              <w:left w:val="nil"/>
              <w:bottom w:val="single" w:sz="4" w:space="0" w:color="auto"/>
              <w:right w:val="single" w:sz="4" w:space="0" w:color="auto"/>
            </w:tcBorders>
            <w:shd w:val="clear" w:color="auto" w:fill="auto"/>
            <w:noWrap/>
            <w:vAlign w:val="bottom"/>
            <w:hideMark/>
          </w:tcPr>
          <w:p w14:paraId="4801B82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-0.059</w:t>
            </w:r>
          </w:p>
        </w:tc>
        <w:tc>
          <w:tcPr>
            <w:tcW w:w="793" w:type="dxa"/>
            <w:tcBorders>
              <w:top w:val="nil"/>
              <w:left w:val="nil"/>
              <w:bottom w:val="single" w:sz="4" w:space="0" w:color="auto"/>
              <w:right w:val="single" w:sz="4" w:space="0" w:color="auto"/>
            </w:tcBorders>
            <w:shd w:val="clear" w:color="auto" w:fill="auto"/>
            <w:noWrap/>
            <w:vAlign w:val="bottom"/>
            <w:hideMark/>
          </w:tcPr>
          <w:p w14:paraId="0501FA8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1369" w:type="dxa"/>
            <w:tcBorders>
              <w:top w:val="nil"/>
              <w:left w:val="nil"/>
              <w:bottom w:val="single" w:sz="4" w:space="0" w:color="auto"/>
              <w:right w:val="single" w:sz="4" w:space="0" w:color="auto"/>
            </w:tcBorders>
            <w:shd w:val="clear" w:color="auto" w:fill="auto"/>
            <w:noWrap/>
            <w:vAlign w:val="bottom"/>
            <w:hideMark/>
          </w:tcPr>
          <w:p w14:paraId="37F4980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60" w:type="dxa"/>
            <w:tcBorders>
              <w:top w:val="nil"/>
              <w:left w:val="nil"/>
              <w:bottom w:val="single" w:sz="4" w:space="0" w:color="auto"/>
              <w:right w:val="single" w:sz="4" w:space="0" w:color="auto"/>
            </w:tcBorders>
            <w:shd w:val="clear" w:color="auto" w:fill="auto"/>
            <w:noWrap/>
            <w:vAlign w:val="bottom"/>
            <w:hideMark/>
          </w:tcPr>
          <w:p w14:paraId="3D7A45D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16D5895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02B8B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1874B30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5004BAA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787A0BEE"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2DC40D7"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race2or_more</w:t>
            </w:r>
          </w:p>
        </w:tc>
        <w:tc>
          <w:tcPr>
            <w:tcW w:w="875" w:type="dxa"/>
            <w:tcBorders>
              <w:top w:val="nil"/>
              <w:left w:val="nil"/>
              <w:bottom w:val="single" w:sz="4" w:space="0" w:color="auto"/>
              <w:right w:val="single" w:sz="4" w:space="0" w:color="auto"/>
            </w:tcBorders>
            <w:shd w:val="clear" w:color="auto" w:fill="auto"/>
            <w:noWrap/>
            <w:vAlign w:val="bottom"/>
            <w:hideMark/>
          </w:tcPr>
          <w:p w14:paraId="46B0553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0.018</w:t>
            </w:r>
          </w:p>
        </w:tc>
        <w:tc>
          <w:tcPr>
            <w:tcW w:w="870" w:type="dxa"/>
            <w:tcBorders>
              <w:top w:val="nil"/>
              <w:left w:val="nil"/>
              <w:bottom w:val="single" w:sz="4" w:space="0" w:color="auto"/>
              <w:right w:val="single" w:sz="4" w:space="0" w:color="auto"/>
            </w:tcBorders>
            <w:shd w:val="clear" w:color="auto" w:fill="auto"/>
            <w:noWrap/>
            <w:vAlign w:val="bottom"/>
            <w:hideMark/>
          </w:tcPr>
          <w:p w14:paraId="75C2FCE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-0.013</w:t>
            </w:r>
          </w:p>
        </w:tc>
        <w:tc>
          <w:tcPr>
            <w:tcW w:w="1273" w:type="dxa"/>
            <w:tcBorders>
              <w:top w:val="nil"/>
              <w:left w:val="nil"/>
              <w:bottom w:val="single" w:sz="4" w:space="0" w:color="auto"/>
              <w:right w:val="single" w:sz="4" w:space="0" w:color="auto"/>
            </w:tcBorders>
            <w:shd w:val="clear" w:color="auto" w:fill="auto"/>
            <w:noWrap/>
            <w:vAlign w:val="bottom"/>
            <w:hideMark/>
          </w:tcPr>
          <w:p w14:paraId="546CC11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0.024</w:t>
            </w:r>
          </w:p>
        </w:tc>
        <w:tc>
          <w:tcPr>
            <w:tcW w:w="860" w:type="dxa"/>
            <w:tcBorders>
              <w:top w:val="nil"/>
              <w:left w:val="nil"/>
              <w:bottom w:val="single" w:sz="4" w:space="0" w:color="auto"/>
              <w:right w:val="single" w:sz="4" w:space="0" w:color="auto"/>
            </w:tcBorders>
            <w:shd w:val="clear" w:color="auto" w:fill="auto"/>
            <w:noWrap/>
            <w:vAlign w:val="bottom"/>
            <w:hideMark/>
          </w:tcPr>
          <w:p w14:paraId="6B37AE5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0.064</w:t>
            </w:r>
          </w:p>
        </w:tc>
        <w:tc>
          <w:tcPr>
            <w:tcW w:w="820" w:type="dxa"/>
            <w:tcBorders>
              <w:top w:val="nil"/>
              <w:left w:val="nil"/>
              <w:bottom w:val="single" w:sz="4" w:space="0" w:color="auto"/>
              <w:right w:val="single" w:sz="4" w:space="0" w:color="auto"/>
            </w:tcBorders>
            <w:shd w:val="clear" w:color="auto" w:fill="auto"/>
            <w:noWrap/>
            <w:vAlign w:val="bottom"/>
            <w:hideMark/>
          </w:tcPr>
          <w:p w14:paraId="5227776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0.032</w:t>
            </w:r>
          </w:p>
        </w:tc>
        <w:tc>
          <w:tcPr>
            <w:tcW w:w="985" w:type="dxa"/>
            <w:tcBorders>
              <w:top w:val="nil"/>
              <w:left w:val="nil"/>
              <w:bottom w:val="single" w:sz="4" w:space="0" w:color="auto"/>
              <w:right w:val="single" w:sz="4" w:space="0" w:color="auto"/>
            </w:tcBorders>
            <w:shd w:val="clear" w:color="auto" w:fill="auto"/>
            <w:noWrap/>
            <w:vAlign w:val="bottom"/>
            <w:hideMark/>
          </w:tcPr>
          <w:p w14:paraId="4F1B73D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-0.011</w:t>
            </w:r>
          </w:p>
        </w:tc>
        <w:tc>
          <w:tcPr>
            <w:tcW w:w="793" w:type="dxa"/>
            <w:tcBorders>
              <w:top w:val="nil"/>
              <w:left w:val="nil"/>
              <w:bottom w:val="single" w:sz="4" w:space="0" w:color="auto"/>
              <w:right w:val="single" w:sz="4" w:space="0" w:color="auto"/>
            </w:tcBorders>
            <w:shd w:val="clear" w:color="auto" w:fill="auto"/>
            <w:noWrap/>
            <w:vAlign w:val="bottom"/>
            <w:hideMark/>
          </w:tcPr>
          <w:p w14:paraId="6B36FFE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0.006</w:t>
            </w:r>
          </w:p>
        </w:tc>
        <w:tc>
          <w:tcPr>
            <w:tcW w:w="1369" w:type="dxa"/>
            <w:tcBorders>
              <w:top w:val="nil"/>
              <w:left w:val="nil"/>
              <w:bottom w:val="single" w:sz="4" w:space="0" w:color="auto"/>
              <w:right w:val="single" w:sz="4" w:space="0" w:color="auto"/>
            </w:tcBorders>
            <w:shd w:val="clear" w:color="auto" w:fill="auto"/>
            <w:noWrap/>
            <w:vAlign w:val="bottom"/>
            <w:hideMark/>
          </w:tcPr>
          <w:p w14:paraId="3803243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760" w:type="dxa"/>
            <w:tcBorders>
              <w:top w:val="nil"/>
              <w:left w:val="nil"/>
              <w:bottom w:val="single" w:sz="4" w:space="0" w:color="auto"/>
              <w:right w:val="single" w:sz="4" w:space="0" w:color="auto"/>
            </w:tcBorders>
            <w:shd w:val="clear" w:color="auto" w:fill="auto"/>
            <w:noWrap/>
            <w:vAlign w:val="bottom"/>
            <w:hideMark/>
          </w:tcPr>
          <w:p w14:paraId="6B923FB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bottom"/>
            <w:hideMark/>
          </w:tcPr>
          <w:p w14:paraId="64A2CCC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5497002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3FEEB14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3142FC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198C856D"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D28A876"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white</w:t>
            </w:r>
          </w:p>
        </w:tc>
        <w:tc>
          <w:tcPr>
            <w:tcW w:w="875" w:type="dxa"/>
            <w:tcBorders>
              <w:top w:val="nil"/>
              <w:left w:val="nil"/>
              <w:bottom w:val="single" w:sz="4" w:space="0" w:color="auto"/>
              <w:right w:val="single" w:sz="4" w:space="0" w:color="auto"/>
            </w:tcBorders>
            <w:shd w:val="clear" w:color="auto" w:fill="auto"/>
            <w:noWrap/>
            <w:vAlign w:val="bottom"/>
            <w:hideMark/>
          </w:tcPr>
          <w:p w14:paraId="1BD3B29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-0.004</w:t>
            </w:r>
          </w:p>
        </w:tc>
        <w:tc>
          <w:tcPr>
            <w:tcW w:w="870" w:type="dxa"/>
            <w:tcBorders>
              <w:top w:val="nil"/>
              <w:left w:val="nil"/>
              <w:bottom w:val="single" w:sz="4" w:space="0" w:color="auto"/>
              <w:right w:val="single" w:sz="4" w:space="0" w:color="auto"/>
            </w:tcBorders>
            <w:shd w:val="clear" w:color="auto" w:fill="auto"/>
            <w:noWrap/>
            <w:vAlign w:val="bottom"/>
            <w:hideMark/>
          </w:tcPr>
          <w:p w14:paraId="2376870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0.285</w:t>
            </w:r>
          </w:p>
        </w:tc>
        <w:tc>
          <w:tcPr>
            <w:tcW w:w="1273" w:type="dxa"/>
            <w:tcBorders>
              <w:top w:val="nil"/>
              <w:left w:val="nil"/>
              <w:bottom w:val="single" w:sz="4" w:space="0" w:color="auto"/>
              <w:right w:val="single" w:sz="4" w:space="0" w:color="auto"/>
            </w:tcBorders>
            <w:shd w:val="clear" w:color="auto" w:fill="auto"/>
            <w:noWrap/>
            <w:vAlign w:val="bottom"/>
            <w:hideMark/>
          </w:tcPr>
          <w:p w14:paraId="1527A27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0.096</w:t>
            </w:r>
          </w:p>
        </w:tc>
        <w:tc>
          <w:tcPr>
            <w:tcW w:w="860" w:type="dxa"/>
            <w:tcBorders>
              <w:top w:val="nil"/>
              <w:left w:val="nil"/>
              <w:bottom w:val="single" w:sz="4" w:space="0" w:color="auto"/>
              <w:right w:val="single" w:sz="4" w:space="0" w:color="auto"/>
            </w:tcBorders>
            <w:shd w:val="clear" w:color="auto" w:fill="auto"/>
            <w:noWrap/>
            <w:vAlign w:val="bottom"/>
            <w:hideMark/>
          </w:tcPr>
          <w:p w14:paraId="2C8F7CA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-0.235</w:t>
            </w:r>
          </w:p>
        </w:tc>
        <w:tc>
          <w:tcPr>
            <w:tcW w:w="820" w:type="dxa"/>
            <w:tcBorders>
              <w:top w:val="nil"/>
              <w:left w:val="nil"/>
              <w:bottom w:val="single" w:sz="4" w:space="0" w:color="auto"/>
              <w:right w:val="single" w:sz="4" w:space="0" w:color="auto"/>
            </w:tcBorders>
            <w:shd w:val="clear" w:color="auto" w:fill="auto"/>
            <w:noWrap/>
            <w:vAlign w:val="bottom"/>
            <w:hideMark/>
          </w:tcPr>
          <w:p w14:paraId="17AED87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-0.455</w:t>
            </w:r>
          </w:p>
        </w:tc>
        <w:tc>
          <w:tcPr>
            <w:tcW w:w="985" w:type="dxa"/>
            <w:tcBorders>
              <w:top w:val="nil"/>
              <w:left w:val="nil"/>
              <w:bottom w:val="single" w:sz="4" w:space="0" w:color="auto"/>
              <w:right w:val="single" w:sz="4" w:space="0" w:color="auto"/>
            </w:tcBorders>
            <w:shd w:val="clear" w:color="auto" w:fill="auto"/>
            <w:noWrap/>
            <w:vAlign w:val="bottom"/>
            <w:hideMark/>
          </w:tcPr>
          <w:p w14:paraId="29B2D1A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-0.703</w:t>
            </w:r>
          </w:p>
        </w:tc>
        <w:tc>
          <w:tcPr>
            <w:tcW w:w="793" w:type="dxa"/>
            <w:tcBorders>
              <w:top w:val="nil"/>
              <w:left w:val="nil"/>
              <w:bottom w:val="single" w:sz="4" w:space="0" w:color="auto"/>
              <w:right w:val="single" w:sz="4" w:space="0" w:color="auto"/>
            </w:tcBorders>
            <w:shd w:val="clear" w:color="auto" w:fill="auto"/>
            <w:noWrap/>
            <w:vAlign w:val="bottom"/>
            <w:hideMark/>
          </w:tcPr>
          <w:p w14:paraId="4C21C2A4"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-0.012</w:t>
            </w:r>
          </w:p>
        </w:tc>
        <w:tc>
          <w:tcPr>
            <w:tcW w:w="1369" w:type="dxa"/>
            <w:tcBorders>
              <w:top w:val="nil"/>
              <w:left w:val="nil"/>
              <w:bottom w:val="single" w:sz="4" w:space="0" w:color="auto"/>
              <w:right w:val="single" w:sz="4" w:space="0" w:color="auto"/>
            </w:tcBorders>
            <w:shd w:val="clear" w:color="auto" w:fill="auto"/>
            <w:noWrap/>
            <w:vAlign w:val="bottom"/>
            <w:hideMark/>
          </w:tcPr>
          <w:p w14:paraId="4634F8A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-0.068</w:t>
            </w:r>
          </w:p>
        </w:tc>
        <w:tc>
          <w:tcPr>
            <w:tcW w:w="760" w:type="dxa"/>
            <w:tcBorders>
              <w:top w:val="nil"/>
              <w:left w:val="nil"/>
              <w:bottom w:val="single" w:sz="4" w:space="0" w:color="auto"/>
              <w:right w:val="single" w:sz="4" w:space="0" w:color="auto"/>
            </w:tcBorders>
            <w:shd w:val="clear" w:color="auto" w:fill="auto"/>
            <w:noWrap/>
            <w:vAlign w:val="bottom"/>
            <w:hideMark/>
          </w:tcPr>
          <w:p w14:paraId="7933E7C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14:paraId="575061B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C2676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5A05A8C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26294D7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2FDB5875"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E761DE"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zefc</w:t>
            </w:r>
          </w:p>
        </w:tc>
        <w:tc>
          <w:tcPr>
            <w:tcW w:w="875" w:type="dxa"/>
            <w:tcBorders>
              <w:top w:val="nil"/>
              <w:left w:val="nil"/>
              <w:bottom w:val="single" w:sz="4" w:space="0" w:color="auto"/>
              <w:right w:val="single" w:sz="4" w:space="0" w:color="auto"/>
            </w:tcBorders>
            <w:shd w:val="clear" w:color="auto" w:fill="auto"/>
            <w:noWrap/>
            <w:vAlign w:val="bottom"/>
            <w:hideMark/>
          </w:tcPr>
          <w:p w14:paraId="4DA24F2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-0.120</w:t>
            </w:r>
          </w:p>
        </w:tc>
        <w:tc>
          <w:tcPr>
            <w:tcW w:w="870" w:type="dxa"/>
            <w:tcBorders>
              <w:top w:val="nil"/>
              <w:left w:val="nil"/>
              <w:bottom w:val="single" w:sz="4" w:space="0" w:color="auto"/>
              <w:right w:val="single" w:sz="4" w:space="0" w:color="auto"/>
            </w:tcBorders>
            <w:shd w:val="clear" w:color="auto" w:fill="auto"/>
            <w:noWrap/>
            <w:vAlign w:val="bottom"/>
            <w:hideMark/>
          </w:tcPr>
          <w:p w14:paraId="66C2516B"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-0.593</w:t>
            </w:r>
          </w:p>
        </w:tc>
        <w:tc>
          <w:tcPr>
            <w:tcW w:w="1273" w:type="dxa"/>
            <w:tcBorders>
              <w:top w:val="nil"/>
              <w:left w:val="nil"/>
              <w:bottom w:val="single" w:sz="4" w:space="0" w:color="auto"/>
              <w:right w:val="single" w:sz="4" w:space="0" w:color="auto"/>
            </w:tcBorders>
            <w:shd w:val="clear" w:color="auto" w:fill="auto"/>
            <w:noWrap/>
            <w:vAlign w:val="bottom"/>
            <w:hideMark/>
          </w:tcPr>
          <w:p w14:paraId="47BA6B0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-0.372</w:t>
            </w:r>
          </w:p>
        </w:tc>
        <w:tc>
          <w:tcPr>
            <w:tcW w:w="860" w:type="dxa"/>
            <w:tcBorders>
              <w:top w:val="nil"/>
              <w:left w:val="nil"/>
              <w:bottom w:val="single" w:sz="4" w:space="0" w:color="auto"/>
              <w:right w:val="single" w:sz="4" w:space="0" w:color="auto"/>
            </w:tcBorders>
            <w:shd w:val="clear" w:color="auto" w:fill="auto"/>
            <w:noWrap/>
            <w:vAlign w:val="bottom"/>
            <w:hideMark/>
          </w:tcPr>
          <w:p w14:paraId="55A9FB9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0.013</w:t>
            </w:r>
          </w:p>
        </w:tc>
        <w:tc>
          <w:tcPr>
            <w:tcW w:w="820" w:type="dxa"/>
            <w:tcBorders>
              <w:top w:val="nil"/>
              <w:left w:val="nil"/>
              <w:bottom w:val="single" w:sz="4" w:space="0" w:color="auto"/>
              <w:right w:val="single" w:sz="4" w:space="0" w:color="auto"/>
            </w:tcBorders>
            <w:shd w:val="clear" w:color="auto" w:fill="auto"/>
            <w:noWrap/>
            <w:vAlign w:val="bottom"/>
            <w:hideMark/>
          </w:tcPr>
          <w:p w14:paraId="75257AD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0.244</w:t>
            </w:r>
          </w:p>
        </w:tc>
        <w:tc>
          <w:tcPr>
            <w:tcW w:w="985" w:type="dxa"/>
            <w:tcBorders>
              <w:top w:val="nil"/>
              <w:left w:val="nil"/>
              <w:bottom w:val="single" w:sz="4" w:space="0" w:color="auto"/>
              <w:right w:val="single" w:sz="4" w:space="0" w:color="auto"/>
            </w:tcBorders>
            <w:shd w:val="clear" w:color="auto" w:fill="auto"/>
            <w:noWrap/>
            <w:vAlign w:val="bottom"/>
            <w:hideMark/>
          </w:tcPr>
          <w:p w14:paraId="39E7542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0.578</w:t>
            </w:r>
          </w:p>
        </w:tc>
        <w:tc>
          <w:tcPr>
            <w:tcW w:w="793" w:type="dxa"/>
            <w:tcBorders>
              <w:top w:val="nil"/>
              <w:left w:val="nil"/>
              <w:bottom w:val="single" w:sz="4" w:space="0" w:color="auto"/>
              <w:right w:val="single" w:sz="4" w:space="0" w:color="auto"/>
            </w:tcBorders>
            <w:shd w:val="clear" w:color="auto" w:fill="auto"/>
            <w:noWrap/>
            <w:vAlign w:val="bottom"/>
            <w:hideMark/>
          </w:tcPr>
          <w:p w14:paraId="7A94AE0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0.006</w:t>
            </w:r>
          </w:p>
        </w:tc>
        <w:tc>
          <w:tcPr>
            <w:tcW w:w="1369" w:type="dxa"/>
            <w:tcBorders>
              <w:top w:val="nil"/>
              <w:left w:val="nil"/>
              <w:bottom w:val="single" w:sz="4" w:space="0" w:color="auto"/>
              <w:right w:val="single" w:sz="4" w:space="0" w:color="auto"/>
            </w:tcBorders>
            <w:shd w:val="clear" w:color="auto" w:fill="auto"/>
            <w:noWrap/>
            <w:vAlign w:val="bottom"/>
            <w:hideMark/>
          </w:tcPr>
          <w:p w14:paraId="34E5AD3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0.021</w:t>
            </w:r>
          </w:p>
        </w:tc>
        <w:tc>
          <w:tcPr>
            <w:tcW w:w="760" w:type="dxa"/>
            <w:tcBorders>
              <w:top w:val="nil"/>
              <w:left w:val="nil"/>
              <w:bottom w:val="single" w:sz="4" w:space="0" w:color="auto"/>
              <w:right w:val="single" w:sz="4" w:space="0" w:color="auto"/>
            </w:tcBorders>
            <w:shd w:val="clear" w:color="auto" w:fill="auto"/>
            <w:noWrap/>
            <w:vAlign w:val="bottom"/>
            <w:hideMark/>
          </w:tcPr>
          <w:p w14:paraId="6A33134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-0.672</w:t>
            </w:r>
          </w:p>
        </w:tc>
        <w:tc>
          <w:tcPr>
            <w:tcW w:w="740" w:type="dxa"/>
            <w:tcBorders>
              <w:top w:val="nil"/>
              <w:left w:val="nil"/>
              <w:bottom w:val="single" w:sz="4" w:space="0" w:color="auto"/>
              <w:right w:val="single" w:sz="4" w:space="0" w:color="auto"/>
            </w:tcBorders>
            <w:shd w:val="clear" w:color="auto" w:fill="auto"/>
            <w:noWrap/>
            <w:vAlign w:val="bottom"/>
            <w:hideMark/>
          </w:tcPr>
          <w:p w14:paraId="4477BE7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40D2F17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77861CF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F1265E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1A8CE897"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DD53C1"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independent</w:t>
            </w:r>
          </w:p>
        </w:tc>
        <w:tc>
          <w:tcPr>
            <w:tcW w:w="875" w:type="dxa"/>
            <w:tcBorders>
              <w:top w:val="nil"/>
              <w:left w:val="nil"/>
              <w:bottom w:val="single" w:sz="4" w:space="0" w:color="auto"/>
              <w:right w:val="single" w:sz="4" w:space="0" w:color="auto"/>
            </w:tcBorders>
            <w:shd w:val="clear" w:color="auto" w:fill="auto"/>
            <w:noWrap/>
            <w:vAlign w:val="bottom"/>
            <w:hideMark/>
          </w:tcPr>
          <w:p w14:paraId="21E2BF0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-0.137</w:t>
            </w:r>
          </w:p>
        </w:tc>
        <w:tc>
          <w:tcPr>
            <w:tcW w:w="870" w:type="dxa"/>
            <w:tcBorders>
              <w:top w:val="nil"/>
              <w:left w:val="nil"/>
              <w:bottom w:val="single" w:sz="4" w:space="0" w:color="auto"/>
              <w:right w:val="single" w:sz="4" w:space="0" w:color="auto"/>
            </w:tcBorders>
            <w:shd w:val="clear" w:color="auto" w:fill="auto"/>
            <w:noWrap/>
            <w:vAlign w:val="bottom"/>
            <w:hideMark/>
          </w:tcPr>
          <w:p w14:paraId="12C70D9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-0.015</w:t>
            </w:r>
          </w:p>
        </w:tc>
        <w:tc>
          <w:tcPr>
            <w:tcW w:w="1273" w:type="dxa"/>
            <w:tcBorders>
              <w:top w:val="nil"/>
              <w:left w:val="nil"/>
              <w:bottom w:val="single" w:sz="4" w:space="0" w:color="auto"/>
              <w:right w:val="single" w:sz="4" w:space="0" w:color="auto"/>
            </w:tcBorders>
            <w:shd w:val="clear" w:color="auto" w:fill="auto"/>
            <w:noWrap/>
            <w:vAlign w:val="bottom"/>
            <w:hideMark/>
          </w:tcPr>
          <w:p w14:paraId="79612D7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-0.162</w:t>
            </w:r>
          </w:p>
        </w:tc>
        <w:tc>
          <w:tcPr>
            <w:tcW w:w="860" w:type="dxa"/>
            <w:tcBorders>
              <w:top w:val="nil"/>
              <w:left w:val="nil"/>
              <w:bottom w:val="single" w:sz="4" w:space="0" w:color="auto"/>
              <w:right w:val="single" w:sz="4" w:space="0" w:color="auto"/>
            </w:tcBorders>
            <w:shd w:val="clear" w:color="auto" w:fill="auto"/>
            <w:noWrap/>
            <w:vAlign w:val="bottom"/>
            <w:hideMark/>
          </w:tcPr>
          <w:p w14:paraId="201A701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0.043</w:t>
            </w:r>
          </w:p>
        </w:tc>
        <w:tc>
          <w:tcPr>
            <w:tcW w:w="820" w:type="dxa"/>
            <w:tcBorders>
              <w:top w:val="nil"/>
              <w:left w:val="nil"/>
              <w:bottom w:val="single" w:sz="4" w:space="0" w:color="auto"/>
              <w:right w:val="single" w:sz="4" w:space="0" w:color="auto"/>
            </w:tcBorders>
            <w:shd w:val="clear" w:color="auto" w:fill="auto"/>
            <w:noWrap/>
            <w:vAlign w:val="bottom"/>
            <w:hideMark/>
          </w:tcPr>
          <w:p w14:paraId="314A38C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0.252</w:t>
            </w:r>
          </w:p>
        </w:tc>
        <w:tc>
          <w:tcPr>
            <w:tcW w:w="985" w:type="dxa"/>
            <w:tcBorders>
              <w:top w:val="nil"/>
              <w:left w:val="nil"/>
              <w:bottom w:val="single" w:sz="4" w:space="0" w:color="auto"/>
              <w:right w:val="single" w:sz="4" w:space="0" w:color="auto"/>
            </w:tcBorders>
            <w:shd w:val="clear" w:color="auto" w:fill="auto"/>
            <w:noWrap/>
            <w:vAlign w:val="bottom"/>
            <w:hideMark/>
          </w:tcPr>
          <w:p w14:paraId="07712D1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-0.030</w:t>
            </w:r>
          </w:p>
        </w:tc>
        <w:tc>
          <w:tcPr>
            <w:tcW w:w="793" w:type="dxa"/>
            <w:tcBorders>
              <w:top w:val="nil"/>
              <w:left w:val="nil"/>
              <w:bottom w:val="single" w:sz="4" w:space="0" w:color="auto"/>
              <w:right w:val="single" w:sz="4" w:space="0" w:color="auto"/>
            </w:tcBorders>
            <w:shd w:val="clear" w:color="auto" w:fill="auto"/>
            <w:noWrap/>
            <w:vAlign w:val="bottom"/>
            <w:hideMark/>
          </w:tcPr>
          <w:p w14:paraId="1BDCB749"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0.055</w:t>
            </w:r>
          </w:p>
        </w:tc>
        <w:tc>
          <w:tcPr>
            <w:tcW w:w="1369" w:type="dxa"/>
            <w:tcBorders>
              <w:top w:val="nil"/>
              <w:left w:val="nil"/>
              <w:bottom w:val="single" w:sz="4" w:space="0" w:color="auto"/>
              <w:right w:val="single" w:sz="4" w:space="0" w:color="auto"/>
            </w:tcBorders>
            <w:shd w:val="clear" w:color="auto" w:fill="auto"/>
            <w:noWrap/>
            <w:vAlign w:val="bottom"/>
            <w:hideMark/>
          </w:tcPr>
          <w:p w14:paraId="7D7027C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0.041</w:t>
            </w:r>
          </w:p>
        </w:tc>
        <w:tc>
          <w:tcPr>
            <w:tcW w:w="760" w:type="dxa"/>
            <w:tcBorders>
              <w:top w:val="nil"/>
              <w:left w:val="nil"/>
              <w:bottom w:val="single" w:sz="4" w:space="0" w:color="auto"/>
              <w:right w:val="single" w:sz="4" w:space="0" w:color="auto"/>
            </w:tcBorders>
            <w:shd w:val="clear" w:color="auto" w:fill="auto"/>
            <w:noWrap/>
            <w:vAlign w:val="bottom"/>
            <w:hideMark/>
          </w:tcPr>
          <w:p w14:paraId="52B23F2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-0.168</w:t>
            </w:r>
          </w:p>
        </w:tc>
        <w:tc>
          <w:tcPr>
            <w:tcW w:w="740" w:type="dxa"/>
            <w:tcBorders>
              <w:top w:val="nil"/>
              <w:left w:val="nil"/>
              <w:bottom w:val="single" w:sz="4" w:space="0" w:color="auto"/>
              <w:right w:val="single" w:sz="4" w:space="0" w:color="auto"/>
            </w:tcBorders>
            <w:shd w:val="clear" w:color="auto" w:fill="auto"/>
            <w:noWrap/>
            <w:vAlign w:val="bottom"/>
            <w:hideMark/>
          </w:tcPr>
          <w:p w14:paraId="1B2E8B60"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0.346</w:t>
            </w:r>
          </w:p>
        </w:tc>
        <w:tc>
          <w:tcPr>
            <w:tcW w:w="1300" w:type="dxa"/>
            <w:tcBorders>
              <w:top w:val="nil"/>
              <w:left w:val="nil"/>
              <w:bottom w:val="single" w:sz="4" w:space="0" w:color="auto"/>
              <w:right w:val="single" w:sz="4" w:space="0" w:color="auto"/>
            </w:tcBorders>
            <w:shd w:val="clear" w:color="auto" w:fill="auto"/>
            <w:noWrap/>
            <w:vAlign w:val="bottom"/>
            <w:hideMark/>
          </w:tcPr>
          <w:p w14:paraId="63A5962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793" w:type="dxa"/>
            <w:tcBorders>
              <w:top w:val="nil"/>
              <w:left w:val="nil"/>
              <w:bottom w:val="single" w:sz="4" w:space="0" w:color="auto"/>
              <w:right w:val="single" w:sz="4" w:space="0" w:color="auto"/>
            </w:tcBorders>
            <w:shd w:val="clear" w:color="auto" w:fill="auto"/>
            <w:noWrap/>
            <w:vAlign w:val="bottom"/>
            <w:hideMark/>
          </w:tcPr>
          <w:p w14:paraId="627F0DF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F46CF5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50A8A83F"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AC3B43C"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female</w:t>
            </w:r>
          </w:p>
        </w:tc>
        <w:tc>
          <w:tcPr>
            <w:tcW w:w="875" w:type="dxa"/>
            <w:tcBorders>
              <w:top w:val="nil"/>
              <w:left w:val="nil"/>
              <w:bottom w:val="single" w:sz="4" w:space="0" w:color="auto"/>
              <w:right w:val="single" w:sz="4" w:space="0" w:color="auto"/>
            </w:tcBorders>
            <w:shd w:val="clear" w:color="auto" w:fill="auto"/>
            <w:noWrap/>
            <w:vAlign w:val="bottom"/>
            <w:hideMark/>
          </w:tcPr>
          <w:p w14:paraId="30E6314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0.010</w:t>
            </w:r>
          </w:p>
        </w:tc>
        <w:tc>
          <w:tcPr>
            <w:tcW w:w="870" w:type="dxa"/>
            <w:tcBorders>
              <w:top w:val="nil"/>
              <w:left w:val="nil"/>
              <w:bottom w:val="single" w:sz="4" w:space="0" w:color="auto"/>
              <w:right w:val="single" w:sz="4" w:space="0" w:color="auto"/>
            </w:tcBorders>
            <w:shd w:val="clear" w:color="auto" w:fill="auto"/>
            <w:noWrap/>
            <w:vAlign w:val="bottom"/>
            <w:hideMark/>
          </w:tcPr>
          <w:p w14:paraId="09FDFFB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-0.268</w:t>
            </w:r>
          </w:p>
        </w:tc>
        <w:tc>
          <w:tcPr>
            <w:tcW w:w="1273" w:type="dxa"/>
            <w:tcBorders>
              <w:top w:val="nil"/>
              <w:left w:val="nil"/>
              <w:bottom w:val="single" w:sz="4" w:space="0" w:color="auto"/>
              <w:right w:val="single" w:sz="4" w:space="0" w:color="auto"/>
            </w:tcBorders>
            <w:shd w:val="clear" w:color="auto" w:fill="auto"/>
            <w:noWrap/>
            <w:vAlign w:val="bottom"/>
            <w:hideMark/>
          </w:tcPr>
          <w:p w14:paraId="7048A1F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-0.124</w:t>
            </w:r>
          </w:p>
        </w:tc>
        <w:tc>
          <w:tcPr>
            <w:tcW w:w="860" w:type="dxa"/>
            <w:tcBorders>
              <w:top w:val="nil"/>
              <w:left w:val="nil"/>
              <w:bottom w:val="single" w:sz="4" w:space="0" w:color="auto"/>
              <w:right w:val="single" w:sz="4" w:space="0" w:color="auto"/>
            </w:tcBorders>
            <w:shd w:val="clear" w:color="auto" w:fill="auto"/>
            <w:noWrap/>
            <w:vAlign w:val="bottom"/>
            <w:hideMark/>
          </w:tcPr>
          <w:p w14:paraId="2D7981C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-0.003</w:t>
            </w:r>
          </w:p>
        </w:tc>
        <w:tc>
          <w:tcPr>
            <w:tcW w:w="820" w:type="dxa"/>
            <w:tcBorders>
              <w:top w:val="nil"/>
              <w:left w:val="nil"/>
              <w:bottom w:val="single" w:sz="4" w:space="0" w:color="auto"/>
              <w:right w:val="single" w:sz="4" w:space="0" w:color="auto"/>
            </w:tcBorders>
            <w:shd w:val="clear" w:color="auto" w:fill="auto"/>
            <w:noWrap/>
            <w:vAlign w:val="bottom"/>
            <w:hideMark/>
          </w:tcPr>
          <w:p w14:paraId="29757AD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0.041</w:t>
            </w:r>
          </w:p>
        </w:tc>
        <w:tc>
          <w:tcPr>
            <w:tcW w:w="985" w:type="dxa"/>
            <w:tcBorders>
              <w:top w:val="nil"/>
              <w:left w:val="nil"/>
              <w:bottom w:val="single" w:sz="4" w:space="0" w:color="auto"/>
              <w:right w:val="single" w:sz="4" w:space="0" w:color="auto"/>
            </w:tcBorders>
            <w:shd w:val="clear" w:color="auto" w:fill="auto"/>
            <w:noWrap/>
            <w:vAlign w:val="bottom"/>
            <w:hideMark/>
          </w:tcPr>
          <w:p w14:paraId="1AF6CDD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-0.038</w:t>
            </w:r>
          </w:p>
        </w:tc>
        <w:tc>
          <w:tcPr>
            <w:tcW w:w="793" w:type="dxa"/>
            <w:tcBorders>
              <w:top w:val="nil"/>
              <w:left w:val="nil"/>
              <w:bottom w:val="single" w:sz="4" w:space="0" w:color="auto"/>
              <w:right w:val="single" w:sz="4" w:space="0" w:color="auto"/>
            </w:tcBorders>
            <w:shd w:val="clear" w:color="auto" w:fill="auto"/>
            <w:noWrap/>
            <w:vAlign w:val="bottom"/>
            <w:hideMark/>
          </w:tcPr>
          <w:p w14:paraId="0942B5D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0.008</w:t>
            </w:r>
          </w:p>
        </w:tc>
        <w:tc>
          <w:tcPr>
            <w:tcW w:w="1369" w:type="dxa"/>
            <w:tcBorders>
              <w:top w:val="nil"/>
              <w:left w:val="nil"/>
              <w:bottom w:val="single" w:sz="4" w:space="0" w:color="auto"/>
              <w:right w:val="single" w:sz="4" w:space="0" w:color="auto"/>
            </w:tcBorders>
            <w:shd w:val="clear" w:color="auto" w:fill="auto"/>
            <w:noWrap/>
            <w:vAlign w:val="bottom"/>
            <w:hideMark/>
          </w:tcPr>
          <w:p w14:paraId="5F472763"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-0.004</w:t>
            </w:r>
          </w:p>
        </w:tc>
        <w:tc>
          <w:tcPr>
            <w:tcW w:w="760" w:type="dxa"/>
            <w:tcBorders>
              <w:top w:val="nil"/>
              <w:left w:val="nil"/>
              <w:bottom w:val="single" w:sz="4" w:space="0" w:color="auto"/>
              <w:right w:val="single" w:sz="4" w:space="0" w:color="auto"/>
            </w:tcBorders>
            <w:shd w:val="clear" w:color="auto" w:fill="auto"/>
            <w:noWrap/>
            <w:vAlign w:val="bottom"/>
            <w:hideMark/>
          </w:tcPr>
          <w:p w14:paraId="47BEEDD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0.005</w:t>
            </w:r>
          </w:p>
        </w:tc>
        <w:tc>
          <w:tcPr>
            <w:tcW w:w="740" w:type="dxa"/>
            <w:tcBorders>
              <w:top w:val="nil"/>
              <w:left w:val="nil"/>
              <w:bottom w:val="single" w:sz="4" w:space="0" w:color="auto"/>
              <w:right w:val="single" w:sz="4" w:space="0" w:color="auto"/>
            </w:tcBorders>
            <w:shd w:val="clear" w:color="auto" w:fill="auto"/>
            <w:noWrap/>
            <w:vAlign w:val="bottom"/>
            <w:hideMark/>
          </w:tcPr>
          <w:p w14:paraId="02B701AA"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0.244</w:t>
            </w:r>
          </w:p>
        </w:tc>
        <w:tc>
          <w:tcPr>
            <w:tcW w:w="1300" w:type="dxa"/>
            <w:tcBorders>
              <w:top w:val="nil"/>
              <w:left w:val="nil"/>
              <w:bottom w:val="single" w:sz="4" w:space="0" w:color="auto"/>
              <w:right w:val="single" w:sz="4" w:space="0" w:color="auto"/>
            </w:tcBorders>
            <w:shd w:val="clear" w:color="auto" w:fill="auto"/>
            <w:noWrap/>
            <w:vAlign w:val="bottom"/>
            <w:hideMark/>
          </w:tcPr>
          <w:p w14:paraId="41C77ED8"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0.289</w:t>
            </w:r>
          </w:p>
        </w:tc>
        <w:tc>
          <w:tcPr>
            <w:tcW w:w="793" w:type="dxa"/>
            <w:tcBorders>
              <w:top w:val="nil"/>
              <w:left w:val="nil"/>
              <w:bottom w:val="single" w:sz="4" w:space="0" w:color="auto"/>
              <w:right w:val="single" w:sz="4" w:space="0" w:color="auto"/>
            </w:tcBorders>
            <w:shd w:val="clear" w:color="auto" w:fill="auto"/>
            <w:noWrap/>
            <w:vAlign w:val="bottom"/>
            <w:hideMark/>
          </w:tcPr>
          <w:p w14:paraId="1D5A052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c>
          <w:tcPr>
            <w:tcW w:w="820" w:type="dxa"/>
            <w:tcBorders>
              <w:top w:val="nil"/>
              <w:left w:val="nil"/>
              <w:bottom w:val="single" w:sz="4" w:space="0" w:color="auto"/>
              <w:right w:val="single" w:sz="4" w:space="0" w:color="auto"/>
            </w:tcBorders>
            <w:shd w:val="clear" w:color="auto" w:fill="auto"/>
            <w:noWrap/>
            <w:vAlign w:val="bottom"/>
            <w:hideMark/>
          </w:tcPr>
          <w:p w14:paraId="2183999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 </w:t>
            </w:r>
          </w:p>
        </w:tc>
      </w:tr>
      <w:tr w:rsidR="00BF10A3" w:rsidRPr="00930A3A" w14:paraId="27E5442C" w14:textId="77777777" w:rsidTr="001F7400">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14B6A07" w14:textId="77777777" w:rsidR="00BF10A3" w:rsidRPr="00930A3A" w:rsidRDefault="00BF10A3" w:rsidP="001F7400">
            <w:pPr>
              <w:spacing w:after="0" w:line="240" w:lineRule="auto"/>
              <w:rPr>
                <w:rFonts w:ascii="Courier New" w:eastAsia="Times New Roman" w:hAnsi="Courier New" w:cs="Courier New"/>
                <w:b/>
                <w:bCs/>
                <w:color w:val="000000"/>
                <w:sz w:val="16"/>
                <w:szCs w:val="16"/>
              </w:rPr>
            </w:pPr>
            <w:r w:rsidRPr="00930A3A">
              <w:rPr>
                <w:rFonts w:ascii="Courier New" w:eastAsia="Times New Roman" w:hAnsi="Courier New" w:cs="Courier New"/>
                <w:b/>
                <w:bCs/>
                <w:color w:val="000000"/>
                <w:sz w:val="16"/>
                <w:szCs w:val="16"/>
              </w:rPr>
              <w:t>mother</w:t>
            </w:r>
          </w:p>
        </w:tc>
        <w:tc>
          <w:tcPr>
            <w:tcW w:w="875" w:type="dxa"/>
            <w:tcBorders>
              <w:top w:val="nil"/>
              <w:left w:val="nil"/>
              <w:bottom w:val="single" w:sz="4" w:space="0" w:color="auto"/>
              <w:right w:val="single" w:sz="4" w:space="0" w:color="auto"/>
            </w:tcBorders>
            <w:shd w:val="clear" w:color="auto" w:fill="auto"/>
            <w:noWrap/>
            <w:vAlign w:val="bottom"/>
            <w:hideMark/>
          </w:tcPr>
          <w:p w14:paraId="752F730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0.140</w:t>
            </w:r>
          </w:p>
        </w:tc>
        <w:tc>
          <w:tcPr>
            <w:tcW w:w="870" w:type="dxa"/>
            <w:tcBorders>
              <w:top w:val="nil"/>
              <w:left w:val="nil"/>
              <w:bottom w:val="single" w:sz="4" w:space="0" w:color="auto"/>
              <w:right w:val="single" w:sz="4" w:space="0" w:color="auto"/>
            </w:tcBorders>
            <w:shd w:val="clear" w:color="auto" w:fill="auto"/>
            <w:noWrap/>
            <w:vAlign w:val="bottom"/>
            <w:hideMark/>
          </w:tcPr>
          <w:p w14:paraId="385C76FC"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0.327</w:t>
            </w:r>
          </w:p>
        </w:tc>
        <w:tc>
          <w:tcPr>
            <w:tcW w:w="1273" w:type="dxa"/>
            <w:tcBorders>
              <w:top w:val="nil"/>
              <w:left w:val="nil"/>
              <w:bottom w:val="single" w:sz="4" w:space="0" w:color="auto"/>
              <w:right w:val="single" w:sz="4" w:space="0" w:color="auto"/>
            </w:tcBorders>
            <w:shd w:val="clear" w:color="auto" w:fill="auto"/>
            <w:noWrap/>
            <w:vAlign w:val="bottom"/>
            <w:hideMark/>
          </w:tcPr>
          <w:p w14:paraId="4E4D783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0.329</w:t>
            </w:r>
          </w:p>
        </w:tc>
        <w:tc>
          <w:tcPr>
            <w:tcW w:w="860" w:type="dxa"/>
            <w:tcBorders>
              <w:top w:val="nil"/>
              <w:left w:val="nil"/>
              <w:bottom w:val="single" w:sz="4" w:space="0" w:color="auto"/>
              <w:right w:val="single" w:sz="4" w:space="0" w:color="auto"/>
            </w:tcBorders>
            <w:shd w:val="clear" w:color="auto" w:fill="auto"/>
            <w:noWrap/>
            <w:vAlign w:val="bottom"/>
            <w:hideMark/>
          </w:tcPr>
          <w:p w14:paraId="0D0A9C1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-0.005</w:t>
            </w:r>
          </w:p>
        </w:tc>
        <w:tc>
          <w:tcPr>
            <w:tcW w:w="820" w:type="dxa"/>
            <w:tcBorders>
              <w:top w:val="nil"/>
              <w:left w:val="nil"/>
              <w:bottom w:val="single" w:sz="4" w:space="0" w:color="auto"/>
              <w:right w:val="single" w:sz="4" w:space="0" w:color="auto"/>
            </w:tcBorders>
            <w:shd w:val="clear" w:color="auto" w:fill="auto"/>
            <w:noWrap/>
            <w:vAlign w:val="bottom"/>
            <w:hideMark/>
          </w:tcPr>
          <w:p w14:paraId="6B12253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-0.177</w:t>
            </w:r>
          </w:p>
        </w:tc>
        <w:tc>
          <w:tcPr>
            <w:tcW w:w="985" w:type="dxa"/>
            <w:tcBorders>
              <w:top w:val="nil"/>
              <w:left w:val="nil"/>
              <w:bottom w:val="single" w:sz="4" w:space="0" w:color="auto"/>
              <w:right w:val="single" w:sz="4" w:space="0" w:color="auto"/>
            </w:tcBorders>
            <w:shd w:val="clear" w:color="auto" w:fill="auto"/>
            <w:noWrap/>
            <w:vAlign w:val="bottom"/>
            <w:hideMark/>
          </w:tcPr>
          <w:p w14:paraId="3229D405"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-0.303</w:t>
            </w:r>
          </w:p>
        </w:tc>
        <w:tc>
          <w:tcPr>
            <w:tcW w:w="793" w:type="dxa"/>
            <w:tcBorders>
              <w:top w:val="nil"/>
              <w:left w:val="nil"/>
              <w:bottom w:val="single" w:sz="4" w:space="0" w:color="auto"/>
              <w:right w:val="single" w:sz="4" w:space="0" w:color="auto"/>
            </w:tcBorders>
            <w:shd w:val="clear" w:color="auto" w:fill="auto"/>
            <w:noWrap/>
            <w:vAlign w:val="bottom"/>
            <w:hideMark/>
          </w:tcPr>
          <w:p w14:paraId="09B78A07"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0.009</w:t>
            </w:r>
          </w:p>
        </w:tc>
        <w:tc>
          <w:tcPr>
            <w:tcW w:w="1369" w:type="dxa"/>
            <w:tcBorders>
              <w:top w:val="nil"/>
              <w:left w:val="nil"/>
              <w:bottom w:val="single" w:sz="4" w:space="0" w:color="auto"/>
              <w:right w:val="single" w:sz="4" w:space="0" w:color="auto"/>
            </w:tcBorders>
            <w:shd w:val="clear" w:color="auto" w:fill="auto"/>
            <w:noWrap/>
            <w:vAlign w:val="bottom"/>
            <w:hideMark/>
          </w:tcPr>
          <w:p w14:paraId="6136E996"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-0.016</w:t>
            </w:r>
          </w:p>
        </w:tc>
        <w:tc>
          <w:tcPr>
            <w:tcW w:w="760" w:type="dxa"/>
            <w:tcBorders>
              <w:top w:val="nil"/>
              <w:left w:val="nil"/>
              <w:bottom w:val="single" w:sz="4" w:space="0" w:color="auto"/>
              <w:right w:val="single" w:sz="4" w:space="0" w:color="auto"/>
            </w:tcBorders>
            <w:shd w:val="clear" w:color="auto" w:fill="auto"/>
            <w:noWrap/>
            <w:vAlign w:val="bottom"/>
            <w:hideMark/>
          </w:tcPr>
          <w:p w14:paraId="12ABFE6E"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0.383</w:t>
            </w:r>
          </w:p>
        </w:tc>
        <w:tc>
          <w:tcPr>
            <w:tcW w:w="740" w:type="dxa"/>
            <w:tcBorders>
              <w:top w:val="nil"/>
              <w:left w:val="nil"/>
              <w:bottom w:val="single" w:sz="4" w:space="0" w:color="auto"/>
              <w:right w:val="single" w:sz="4" w:space="0" w:color="auto"/>
            </w:tcBorders>
            <w:shd w:val="clear" w:color="auto" w:fill="auto"/>
            <w:noWrap/>
            <w:vAlign w:val="bottom"/>
            <w:hideMark/>
          </w:tcPr>
          <w:p w14:paraId="6B4C7AC1"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-0.593</w:t>
            </w:r>
          </w:p>
        </w:tc>
        <w:tc>
          <w:tcPr>
            <w:tcW w:w="1300" w:type="dxa"/>
            <w:tcBorders>
              <w:top w:val="nil"/>
              <w:left w:val="nil"/>
              <w:bottom w:val="single" w:sz="4" w:space="0" w:color="auto"/>
              <w:right w:val="single" w:sz="4" w:space="0" w:color="auto"/>
            </w:tcBorders>
            <w:shd w:val="clear" w:color="auto" w:fill="auto"/>
            <w:noWrap/>
            <w:vAlign w:val="bottom"/>
            <w:hideMark/>
          </w:tcPr>
          <w:p w14:paraId="700E322D"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-0.442</w:t>
            </w:r>
          </w:p>
        </w:tc>
        <w:tc>
          <w:tcPr>
            <w:tcW w:w="793" w:type="dxa"/>
            <w:tcBorders>
              <w:top w:val="nil"/>
              <w:left w:val="nil"/>
              <w:bottom w:val="single" w:sz="4" w:space="0" w:color="auto"/>
              <w:right w:val="single" w:sz="4" w:space="0" w:color="auto"/>
            </w:tcBorders>
            <w:shd w:val="clear" w:color="auto" w:fill="auto"/>
            <w:noWrap/>
            <w:vAlign w:val="bottom"/>
            <w:hideMark/>
          </w:tcPr>
          <w:p w14:paraId="6BA7D01F"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-0.186</w:t>
            </w:r>
          </w:p>
        </w:tc>
        <w:tc>
          <w:tcPr>
            <w:tcW w:w="820" w:type="dxa"/>
            <w:tcBorders>
              <w:top w:val="nil"/>
              <w:left w:val="nil"/>
              <w:bottom w:val="single" w:sz="4" w:space="0" w:color="auto"/>
              <w:right w:val="single" w:sz="4" w:space="0" w:color="auto"/>
            </w:tcBorders>
            <w:shd w:val="clear" w:color="auto" w:fill="auto"/>
            <w:noWrap/>
            <w:vAlign w:val="bottom"/>
            <w:hideMark/>
          </w:tcPr>
          <w:p w14:paraId="1FE82522" w14:textId="77777777" w:rsidR="00BF10A3" w:rsidRPr="00930A3A" w:rsidRDefault="00BF10A3" w:rsidP="001F7400">
            <w:pPr>
              <w:spacing w:after="0" w:line="240" w:lineRule="auto"/>
              <w:jc w:val="right"/>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1.000</w:t>
            </w:r>
          </w:p>
        </w:tc>
      </w:tr>
      <w:tr w:rsidR="00BF10A3" w:rsidRPr="00930A3A" w14:paraId="23DA5C9D" w14:textId="77777777" w:rsidTr="001F7400">
        <w:trPr>
          <w:trHeight w:val="300"/>
        </w:trPr>
        <w:tc>
          <w:tcPr>
            <w:tcW w:w="13738" w:type="dxa"/>
            <w:gridSpan w:val="14"/>
            <w:tcBorders>
              <w:top w:val="nil"/>
              <w:left w:val="nil"/>
              <w:bottom w:val="nil"/>
              <w:right w:val="nil"/>
            </w:tcBorders>
            <w:shd w:val="clear" w:color="auto" w:fill="auto"/>
            <w:noWrap/>
            <w:vAlign w:val="bottom"/>
            <w:hideMark/>
          </w:tcPr>
          <w:p w14:paraId="21751604" w14:textId="77777777" w:rsidR="00BF10A3" w:rsidRPr="00930A3A" w:rsidRDefault="00BF10A3" w:rsidP="001F7400">
            <w:pPr>
              <w:spacing w:after="0" w:line="240" w:lineRule="auto"/>
              <w:rPr>
                <w:rFonts w:ascii="Courier New" w:eastAsia="Times New Roman" w:hAnsi="Courier New" w:cs="Courier New"/>
                <w:color w:val="000000"/>
                <w:sz w:val="16"/>
                <w:szCs w:val="16"/>
              </w:rPr>
            </w:pPr>
            <w:r w:rsidRPr="00930A3A">
              <w:rPr>
                <w:rFonts w:ascii="Courier New" w:eastAsia="Times New Roman" w:hAnsi="Courier New" w:cs="Courier New"/>
                <w:color w:val="000000"/>
                <w:sz w:val="16"/>
                <w:szCs w:val="16"/>
              </w:rPr>
              <w:t>*Dummy variables for sector and credential level not included, those variables were not highly correlated with demographic variables</w:t>
            </w:r>
          </w:p>
        </w:tc>
      </w:tr>
    </w:tbl>
    <w:p w14:paraId="0B1FBF9E" w14:textId="77777777" w:rsidR="00BF10A3" w:rsidRPr="00B53B21" w:rsidRDefault="00BF10A3" w:rsidP="00BF10A3">
      <w:pPr>
        <w:spacing w:after="0" w:line="480" w:lineRule="auto"/>
        <w:rPr>
          <w:rFonts w:ascii="Courier New" w:hAnsi="Courier New" w:cs="Courier New"/>
          <w:b/>
          <w:sz w:val="24"/>
          <w:szCs w:val="24"/>
        </w:rPr>
      </w:pPr>
    </w:p>
    <w:p w14:paraId="5C06B5F0" w14:textId="77777777" w:rsidR="00BF10A3" w:rsidRDefault="00BF10A3" w:rsidP="00BF10A3">
      <w:pPr>
        <w:rPr>
          <w:rFonts w:ascii="Courier New" w:hAnsi="Courier New"/>
          <w:sz w:val="24"/>
        </w:rPr>
      </w:pPr>
      <w:r>
        <w:rPr>
          <w:rFonts w:ascii="Courier New" w:hAnsi="Courier New"/>
          <w:sz w:val="24"/>
        </w:rPr>
        <w:br w:type="page"/>
      </w:r>
    </w:p>
    <w:p w14:paraId="087E921B" w14:textId="77777777" w:rsidR="00BF10A3" w:rsidRDefault="00BF10A3" w:rsidP="00BF10A3">
      <w:pPr>
        <w:spacing w:after="0" w:line="480" w:lineRule="auto"/>
        <w:ind w:firstLine="720"/>
        <w:rPr>
          <w:rFonts w:ascii="Courier New" w:hAnsi="Courier New"/>
          <w:sz w:val="24"/>
        </w:rPr>
        <w:sectPr w:rsidR="00BF10A3" w:rsidSect="000E2A94">
          <w:pgSz w:w="15840" w:h="12240" w:orient="landscape"/>
          <w:pgMar w:top="1440" w:right="1440" w:bottom="1440" w:left="1440" w:header="720" w:footer="720" w:gutter="0"/>
          <w:cols w:space="720"/>
          <w:docGrid w:linePitch="360"/>
        </w:sectPr>
      </w:pPr>
    </w:p>
    <w:p w14:paraId="7AB7C815" w14:textId="77777777" w:rsidR="00BF10A3" w:rsidRPr="00AA6DFD" w:rsidRDefault="00BF10A3" w:rsidP="00BF10A3">
      <w:pPr>
        <w:spacing w:after="0" w:line="480" w:lineRule="auto"/>
        <w:ind w:firstLine="720"/>
        <w:rPr>
          <w:rFonts w:ascii="Courier New" w:hAnsi="Courier New" w:cs="Courier New"/>
          <w:sz w:val="24"/>
          <w:szCs w:val="24"/>
        </w:rPr>
      </w:pPr>
      <w:r w:rsidRPr="00B53B21">
        <w:rPr>
          <w:rFonts w:ascii="Courier New" w:hAnsi="Courier New"/>
          <w:sz w:val="24"/>
        </w:rPr>
        <w:t>The correlation matrix demonstrates that there is some collinearity between zero EFC and percent mothers completing college</w:t>
      </w:r>
      <w:r w:rsidRPr="00AA6DFD">
        <w:rPr>
          <w:rFonts w:ascii="Courier New" w:hAnsi="Courier New" w:cs="Courier New"/>
          <w:sz w:val="24"/>
          <w:szCs w:val="24"/>
        </w:rPr>
        <w:t>, percent white, and percent Hispanic.</w:t>
      </w:r>
      <w:r>
        <w:rPr>
          <w:rFonts w:ascii="Courier New" w:hAnsi="Courier New" w:cs="Courier New"/>
          <w:sz w:val="24"/>
          <w:szCs w:val="24"/>
        </w:rPr>
        <w:t xml:space="preserve">  </w:t>
      </w:r>
      <w:r w:rsidRPr="00F43746">
        <w:rPr>
          <w:rFonts w:ascii="Courier New" w:hAnsi="Courier New" w:cs="Courier New"/>
          <w:sz w:val="24"/>
          <w:szCs w:val="24"/>
        </w:rPr>
        <w:t xml:space="preserve">To determine if the </w:t>
      </w:r>
      <w:r w:rsidRPr="00F43746">
        <w:rPr>
          <w:rFonts w:ascii="Courier New" w:hAnsi="Courier New"/>
          <w:sz w:val="24"/>
        </w:rPr>
        <w:t>collinearity</w:t>
      </w:r>
      <w:r w:rsidRPr="00F43746">
        <w:rPr>
          <w:rFonts w:ascii="Courier New" w:hAnsi="Courier New" w:cs="Courier New"/>
          <w:sz w:val="24"/>
          <w:szCs w:val="24"/>
        </w:rPr>
        <w:t xml:space="preserve"> between these variables impacts the results of our analysis, we ran the regressions described above but without the race and ethnicity variables and without percent mothers completing college.  These regressions show results similar to those in the original regressions, suggesting the results are robust to alternative specifications.</w:t>
      </w:r>
      <w:r w:rsidRPr="00F43746">
        <w:rPr>
          <w:rStyle w:val="FootnoteReference"/>
          <w:rFonts w:ascii="Courier New" w:hAnsi="Courier New"/>
          <w:sz w:val="24"/>
          <w:szCs w:val="24"/>
        </w:rPr>
        <w:footnoteReference w:id="325"/>
      </w:r>
      <w:r w:rsidRPr="00AA6DFD">
        <w:rPr>
          <w:rFonts w:ascii="Courier New" w:hAnsi="Courier New" w:cs="Courier New"/>
          <w:sz w:val="24"/>
          <w:szCs w:val="24"/>
        </w:rPr>
        <w:t xml:space="preserve">   </w:t>
      </w:r>
    </w:p>
    <w:p w14:paraId="7783C942" w14:textId="77777777" w:rsidR="00BF10A3" w:rsidRPr="00F43746"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The correlation matrix also shows the correlation between the demographic variables and annual earnings rate and its components, annual loan payment and annual earnings. To better understand the results of the correlation matrix, particularly those that appear counterintuitive, we further examined the relationship between low-income status, using the percent zero EFC variable, and annual earnings rate.</w:t>
      </w:r>
      <w:r>
        <w:rPr>
          <w:rFonts w:ascii="Courier New" w:hAnsi="Courier New" w:cs="Courier New"/>
          <w:sz w:val="24"/>
          <w:szCs w:val="24"/>
        </w:rPr>
        <w:t xml:space="preserve">  </w:t>
      </w:r>
      <w:r w:rsidRPr="00AA6DFD">
        <w:rPr>
          <w:rFonts w:ascii="Courier New" w:hAnsi="Courier New" w:cs="Courier New"/>
          <w:sz w:val="24"/>
          <w:szCs w:val="24"/>
        </w:rPr>
        <w:t>The correlation matrix shows that percent zero EFC is negatively correlated with annual earnings rate</w:t>
      </w:r>
      <w:r>
        <w:rPr>
          <w:rFonts w:ascii="Courier New" w:hAnsi="Courier New" w:cs="Courier New"/>
          <w:sz w:val="24"/>
          <w:szCs w:val="24"/>
        </w:rPr>
        <w:t xml:space="preserve"> and also with both of its components, </w:t>
      </w:r>
      <w:r w:rsidRPr="00F43746">
        <w:rPr>
          <w:rFonts w:ascii="Courier New" w:hAnsi="Courier New" w:cs="Courier New"/>
          <w:sz w:val="24"/>
          <w:szCs w:val="24"/>
        </w:rPr>
        <w:t xml:space="preserve">annual loan payment and annual earnings. In other words, higher percent zero EFC is correlated with lower annual loan payment, lower annual earnings, and lower annual earnings rate.  These correlations suggest that zero EFC students borrow less than other students and as a result, with respect to the relationship between percent zero EFC and annual earnings rate, the annual loan payment is more influential than annual earnings since lower annual earnings rate could only be the result of lower annual loan payments and not lower annual earnings.     </w:t>
      </w:r>
    </w:p>
    <w:p w14:paraId="15CCDDF1"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To further examine this explanation, we</w:t>
      </w:r>
      <w:r w:rsidRPr="00F43746">
        <w:rPr>
          <w:rFonts w:ascii="Courier New" w:hAnsi="Courier New"/>
          <w:sz w:val="24"/>
        </w:rPr>
        <w:t xml:space="preserve"> used NPSAS:2012 data to determine the average cumulative amount borrowed by undergraduate students who are Pell Grant recipients and have zero EFC status. </w:t>
      </w:r>
      <w:r w:rsidRPr="00F43746">
        <w:rPr>
          <w:rFonts w:ascii="Courier New" w:hAnsi="Courier New" w:cs="Courier New"/>
          <w:sz w:val="24"/>
          <w:szCs w:val="24"/>
        </w:rPr>
        <w:t xml:space="preserve"> </w:t>
      </w:r>
      <w:r w:rsidRPr="00F43746">
        <w:rPr>
          <w:rFonts w:ascii="Courier New" w:hAnsi="Courier New"/>
          <w:sz w:val="24"/>
        </w:rPr>
        <w:t xml:space="preserve">We limited the sample to students who received title IV, HEA program funds and completed a program because those are the students whose outcomes will be assessed under the D/E rates measure.  </w:t>
      </w:r>
      <w:r w:rsidRPr="00F43746">
        <w:rPr>
          <w:rFonts w:ascii="Courier New" w:hAnsi="Courier New" w:cs="Courier New"/>
          <w:sz w:val="24"/>
          <w:szCs w:val="24"/>
        </w:rPr>
        <w:t>We also limited our analysis to</w:t>
      </w:r>
      <w:r w:rsidRPr="00F43746">
        <w:rPr>
          <w:rFonts w:ascii="Courier New" w:hAnsi="Courier New"/>
          <w:sz w:val="24"/>
        </w:rPr>
        <w:t xml:space="preserve"> students who attended for-profit institutions and certificate students at private and public institutions to capture students in GE programs.</w:t>
      </w:r>
      <w:r w:rsidRPr="00F43746">
        <w:rPr>
          <w:rFonts w:ascii="Courier New" w:hAnsi="Courier New" w:cs="Courier New"/>
          <w:sz w:val="24"/>
          <w:szCs w:val="24"/>
        </w:rPr>
        <w:t xml:space="preserve"> </w:t>
      </w:r>
    </w:p>
    <w:p w14:paraId="6F6B2EDB" w14:textId="77777777" w:rsidR="00BF10A3" w:rsidRPr="00B53B21" w:rsidRDefault="00BF10A3" w:rsidP="00BF10A3">
      <w:pPr>
        <w:spacing w:after="0" w:line="240" w:lineRule="auto"/>
        <w:rPr>
          <w:rFonts w:ascii="Courier New" w:hAnsi="Courier New" w:cs="Courier New"/>
          <w:b/>
          <w:sz w:val="24"/>
          <w:szCs w:val="24"/>
        </w:rPr>
      </w:pPr>
    </w:p>
    <w:p w14:paraId="7DF16C42"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2.15: Cumulative amount borrowed (NPSAS:12)- Pell &amp; zero EFC </w:t>
      </w:r>
    </w:p>
    <w:p w14:paraId="31D324FA" w14:textId="77777777" w:rsidR="00BF10A3" w:rsidRPr="00C846E0" w:rsidRDefault="00BF10A3" w:rsidP="00BF10A3">
      <w:pPr>
        <w:pStyle w:val="NoSpacing"/>
        <w:rPr>
          <w:rFonts w:ascii="Courier New" w:eastAsiaTheme="minorHAnsi" w:hAnsi="Courier New" w:cstheme="minorBidi"/>
          <w:sz w:val="16"/>
        </w:rPr>
      </w:pPr>
    </w:p>
    <w:tbl>
      <w:tblPr>
        <w:tblStyle w:val="TableGrid3"/>
        <w:tblW w:w="0" w:type="auto"/>
        <w:tblLook w:val="04A0" w:firstRow="1" w:lastRow="0" w:firstColumn="1" w:lastColumn="0" w:noHBand="0" w:noVBand="1"/>
      </w:tblPr>
      <w:tblGrid>
        <w:gridCol w:w="2808"/>
        <w:gridCol w:w="2790"/>
        <w:gridCol w:w="2790"/>
      </w:tblGrid>
      <w:tr w:rsidR="00BF10A3" w:rsidRPr="00C846E0" w14:paraId="57E63E12" w14:textId="77777777" w:rsidTr="001F7400">
        <w:trPr>
          <w:trHeight w:val="1020"/>
        </w:trPr>
        <w:tc>
          <w:tcPr>
            <w:tcW w:w="2808" w:type="dxa"/>
            <w:vAlign w:val="center"/>
            <w:hideMark/>
          </w:tcPr>
          <w:p w14:paraId="0C3E4E2F" w14:textId="77777777" w:rsidR="00BF10A3" w:rsidRPr="00C846E0" w:rsidRDefault="00BF10A3" w:rsidP="001F7400">
            <w:pPr>
              <w:jc w:val="center"/>
              <w:rPr>
                <w:rFonts w:ascii="Courier New" w:eastAsiaTheme="minorHAnsi" w:hAnsi="Courier New" w:cstheme="minorBidi"/>
                <w:b/>
                <w:sz w:val="24"/>
                <w:szCs w:val="24"/>
              </w:rPr>
            </w:pPr>
          </w:p>
        </w:tc>
        <w:tc>
          <w:tcPr>
            <w:tcW w:w="2790" w:type="dxa"/>
            <w:vAlign w:val="center"/>
            <w:hideMark/>
          </w:tcPr>
          <w:p w14:paraId="4D4A1FDD"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Cumulative amount borrowed for undergrad (AVG)</w:t>
            </w:r>
          </w:p>
        </w:tc>
        <w:tc>
          <w:tcPr>
            <w:tcW w:w="2790" w:type="dxa"/>
            <w:vAlign w:val="center"/>
            <w:hideMark/>
          </w:tcPr>
          <w:p w14:paraId="2FB5435E"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Cumulative federal loan amount for undergrad (AVG)</w:t>
            </w:r>
          </w:p>
        </w:tc>
      </w:tr>
      <w:tr w:rsidR="00BF10A3" w:rsidRPr="00C846E0" w14:paraId="0B3FF158" w14:textId="77777777" w:rsidTr="001F7400">
        <w:trPr>
          <w:trHeight w:val="300"/>
        </w:trPr>
        <w:tc>
          <w:tcPr>
            <w:tcW w:w="2808" w:type="dxa"/>
            <w:vAlign w:val="center"/>
            <w:hideMark/>
          </w:tcPr>
          <w:p w14:paraId="36E818F9" w14:textId="77777777" w:rsidR="00BF10A3" w:rsidRPr="00C846E0" w:rsidRDefault="00BF10A3" w:rsidP="001F7400">
            <w:pPr>
              <w:rPr>
                <w:rFonts w:ascii="Courier New" w:eastAsiaTheme="minorHAnsi" w:hAnsi="Courier New" w:cstheme="minorBidi"/>
                <w:b/>
                <w:sz w:val="24"/>
                <w:szCs w:val="24"/>
              </w:rPr>
            </w:pPr>
            <w:r w:rsidRPr="00C846E0">
              <w:rPr>
                <w:rFonts w:ascii="Courier New" w:eastAsiaTheme="minorHAnsi" w:hAnsi="Courier New" w:cstheme="minorBidi"/>
                <w:b/>
                <w:sz w:val="24"/>
                <w:szCs w:val="24"/>
              </w:rPr>
              <w:t>Total</w:t>
            </w:r>
          </w:p>
        </w:tc>
        <w:tc>
          <w:tcPr>
            <w:tcW w:w="2790" w:type="dxa"/>
            <w:vAlign w:val="center"/>
            <w:hideMark/>
          </w:tcPr>
          <w:p w14:paraId="0112D989"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18,912.98</w:t>
            </w:r>
          </w:p>
        </w:tc>
        <w:tc>
          <w:tcPr>
            <w:tcW w:w="2790" w:type="dxa"/>
            <w:vAlign w:val="center"/>
            <w:hideMark/>
          </w:tcPr>
          <w:p w14:paraId="4B2FFE69"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16,213.40</w:t>
            </w:r>
          </w:p>
        </w:tc>
      </w:tr>
      <w:tr w:rsidR="00BF10A3" w:rsidRPr="00C846E0" w14:paraId="238100CA" w14:textId="77777777" w:rsidTr="001F7400">
        <w:trPr>
          <w:trHeight w:val="300"/>
        </w:trPr>
        <w:tc>
          <w:tcPr>
            <w:tcW w:w="8388" w:type="dxa"/>
            <w:gridSpan w:val="3"/>
            <w:vAlign w:val="center"/>
            <w:hideMark/>
          </w:tcPr>
          <w:p w14:paraId="2F1A6AD4"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Expected Family Contribution in 2011-12</w:t>
            </w:r>
          </w:p>
        </w:tc>
      </w:tr>
      <w:tr w:rsidR="00BF10A3" w:rsidRPr="00C846E0" w14:paraId="0CF02C90" w14:textId="77777777" w:rsidTr="001F7400">
        <w:trPr>
          <w:trHeight w:val="600"/>
        </w:trPr>
        <w:tc>
          <w:tcPr>
            <w:tcW w:w="2808" w:type="dxa"/>
            <w:vAlign w:val="center"/>
            <w:hideMark/>
          </w:tcPr>
          <w:p w14:paraId="2707FA95"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Zero 2011-12 EFC</w:t>
            </w:r>
          </w:p>
        </w:tc>
        <w:tc>
          <w:tcPr>
            <w:tcW w:w="2790" w:type="dxa"/>
            <w:vAlign w:val="center"/>
            <w:hideMark/>
          </w:tcPr>
          <w:p w14:paraId="7824FE9E"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17,315.38</w:t>
            </w:r>
          </w:p>
        </w:tc>
        <w:tc>
          <w:tcPr>
            <w:tcW w:w="2790" w:type="dxa"/>
            <w:vAlign w:val="center"/>
            <w:hideMark/>
          </w:tcPr>
          <w:p w14:paraId="3E48E118"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14,859.19</w:t>
            </w:r>
          </w:p>
        </w:tc>
      </w:tr>
      <w:tr w:rsidR="00BF10A3" w:rsidRPr="00C846E0" w14:paraId="6BCEE48D" w14:textId="77777777" w:rsidTr="001F7400">
        <w:trPr>
          <w:trHeight w:val="600"/>
        </w:trPr>
        <w:tc>
          <w:tcPr>
            <w:tcW w:w="2808" w:type="dxa"/>
            <w:vAlign w:val="center"/>
            <w:hideMark/>
          </w:tcPr>
          <w:p w14:paraId="74EA57CB"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2011-12 EFC &gt; 1</w:t>
            </w:r>
          </w:p>
        </w:tc>
        <w:tc>
          <w:tcPr>
            <w:tcW w:w="2790" w:type="dxa"/>
            <w:vAlign w:val="center"/>
            <w:hideMark/>
          </w:tcPr>
          <w:p w14:paraId="5D36EB86"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21,064.62</w:t>
            </w:r>
          </w:p>
        </w:tc>
        <w:tc>
          <w:tcPr>
            <w:tcW w:w="2790" w:type="dxa"/>
            <w:vAlign w:val="center"/>
            <w:hideMark/>
          </w:tcPr>
          <w:p w14:paraId="1EF6595C"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18,037.23</w:t>
            </w:r>
          </w:p>
        </w:tc>
      </w:tr>
      <w:tr w:rsidR="00BF10A3" w:rsidRPr="00C846E0" w14:paraId="07452750" w14:textId="77777777" w:rsidTr="001F7400">
        <w:trPr>
          <w:trHeight w:val="300"/>
        </w:trPr>
        <w:tc>
          <w:tcPr>
            <w:tcW w:w="8388" w:type="dxa"/>
            <w:gridSpan w:val="3"/>
            <w:hideMark/>
          </w:tcPr>
          <w:p w14:paraId="7B22F605" w14:textId="77777777" w:rsidR="00BF10A3" w:rsidRPr="00C846E0" w:rsidRDefault="00BF10A3" w:rsidP="001F7400">
            <w:pPr>
              <w:jc w:val="center"/>
              <w:rPr>
                <w:rFonts w:ascii="Courier New" w:eastAsiaTheme="minorHAnsi" w:hAnsi="Courier New" w:cstheme="minorBidi"/>
                <w:b/>
                <w:sz w:val="24"/>
                <w:szCs w:val="24"/>
              </w:rPr>
            </w:pPr>
            <w:r w:rsidRPr="00C846E0">
              <w:rPr>
                <w:rFonts w:ascii="Courier New" w:eastAsiaTheme="minorHAnsi" w:hAnsi="Courier New" w:cstheme="minorBidi"/>
                <w:b/>
                <w:sz w:val="24"/>
                <w:szCs w:val="24"/>
              </w:rPr>
              <w:t>Cumulative Pell amount</w:t>
            </w:r>
          </w:p>
        </w:tc>
      </w:tr>
      <w:tr w:rsidR="00BF10A3" w:rsidRPr="00C846E0" w14:paraId="532A8CBD" w14:textId="77777777" w:rsidTr="001F7400">
        <w:trPr>
          <w:trHeight w:val="300"/>
        </w:trPr>
        <w:tc>
          <w:tcPr>
            <w:tcW w:w="2808" w:type="dxa"/>
            <w:vAlign w:val="center"/>
            <w:hideMark/>
          </w:tcPr>
          <w:p w14:paraId="0301E788" w14:textId="77777777" w:rsidR="00BF10A3" w:rsidRPr="00C846E0" w:rsidRDefault="00BF10A3" w:rsidP="001F7400">
            <w:pPr>
              <w:rPr>
                <w:rFonts w:ascii="Courier New" w:eastAsiaTheme="minorHAnsi" w:hAnsi="Courier New" w:cstheme="minorBidi"/>
                <w:b/>
                <w:sz w:val="24"/>
                <w:szCs w:val="24"/>
              </w:rPr>
            </w:pPr>
            <w:r w:rsidRPr="00C846E0">
              <w:rPr>
                <w:rFonts w:ascii="Courier New" w:eastAsiaTheme="minorHAnsi" w:hAnsi="Courier New" w:cstheme="minorBidi"/>
                <w:b/>
                <w:sz w:val="24"/>
                <w:szCs w:val="24"/>
              </w:rPr>
              <w:t>Never had Pell</w:t>
            </w:r>
          </w:p>
        </w:tc>
        <w:tc>
          <w:tcPr>
            <w:tcW w:w="2790" w:type="dxa"/>
            <w:vAlign w:val="center"/>
            <w:hideMark/>
          </w:tcPr>
          <w:p w14:paraId="7B1BFA1C"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21,570.68</w:t>
            </w:r>
          </w:p>
        </w:tc>
        <w:tc>
          <w:tcPr>
            <w:tcW w:w="2790" w:type="dxa"/>
            <w:vAlign w:val="center"/>
            <w:hideMark/>
          </w:tcPr>
          <w:p w14:paraId="7B56FCBB"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17,672.99</w:t>
            </w:r>
          </w:p>
        </w:tc>
      </w:tr>
      <w:tr w:rsidR="00BF10A3" w:rsidRPr="00C846E0" w14:paraId="6AD16FE8" w14:textId="77777777" w:rsidTr="001F7400">
        <w:trPr>
          <w:trHeight w:val="1200"/>
        </w:trPr>
        <w:tc>
          <w:tcPr>
            <w:tcW w:w="2808" w:type="dxa"/>
            <w:vAlign w:val="center"/>
            <w:hideMark/>
          </w:tcPr>
          <w:p w14:paraId="226623C6" w14:textId="77777777" w:rsidR="00BF10A3" w:rsidRPr="00C846E0" w:rsidRDefault="00BF10A3" w:rsidP="001F7400">
            <w:pPr>
              <w:rPr>
                <w:rFonts w:ascii="Courier New" w:eastAsiaTheme="minorHAnsi" w:hAnsi="Courier New" w:cstheme="minorBidi"/>
                <w:b/>
                <w:sz w:val="24"/>
                <w:szCs w:val="24"/>
              </w:rPr>
            </w:pPr>
            <w:r w:rsidRPr="00C846E0">
              <w:rPr>
                <w:rFonts w:ascii="Courier New" w:eastAsiaTheme="minorHAnsi" w:hAnsi="Courier New" w:cstheme="minorBidi"/>
                <w:b/>
                <w:sz w:val="24"/>
                <w:szCs w:val="24"/>
              </w:rPr>
              <w:t>Had Pell sometime in UG career</w:t>
            </w:r>
          </w:p>
        </w:tc>
        <w:tc>
          <w:tcPr>
            <w:tcW w:w="2790" w:type="dxa"/>
            <w:vAlign w:val="center"/>
            <w:hideMark/>
          </w:tcPr>
          <w:p w14:paraId="43773919"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18,488.11</w:t>
            </w:r>
          </w:p>
        </w:tc>
        <w:tc>
          <w:tcPr>
            <w:tcW w:w="2790" w:type="dxa"/>
            <w:vAlign w:val="center"/>
            <w:hideMark/>
          </w:tcPr>
          <w:p w14:paraId="4FD64993" w14:textId="77777777" w:rsidR="00BF10A3" w:rsidRPr="00C846E0" w:rsidRDefault="00BF10A3" w:rsidP="001F7400">
            <w:pPr>
              <w:jc w:val="right"/>
              <w:rPr>
                <w:rFonts w:ascii="Courier New" w:eastAsiaTheme="minorHAnsi" w:hAnsi="Courier New" w:cstheme="minorBidi"/>
                <w:sz w:val="24"/>
                <w:szCs w:val="24"/>
              </w:rPr>
            </w:pPr>
            <w:r w:rsidRPr="00C846E0">
              <w:rPr>
                <w:rFonts w:ascii="Courier New" w:eastAsiaTheme="minorHAnsi" w:hAnsi="Courier New" w:cstheme="minorBidi"/>
                <w:sz w:val="24"/>
                <w:szCs w:val="24"/>
              </w:rPr>
              <w:t>15,980.06</w:t>
            </w:r>
          </w:p>
        </w:tc>
      </w:tr>
    </w:tbl>
    <w:p w14:paraId="7FBEF982" w14:textId="77777777" w:rsidR="00BF10A3" w:rsidRDefault="00BF10A3" w:rsidP="00BF10A3">
      <w:pPr>
        <w:spacing w:after="0" w:line="240" w:lineRule="auto"/>
        <w:ind w:firstLine="720"/>
        <w:rPr>
          <w:rFonts w:ascii="Courier New" w:hAnsi="Courier New" w:cs="Courier New"/>
          <w:sz w:val="24"/>
          <w:szCs w:val="24"/>
        </w:rPr>
      </w:pPr>
    </w:p>
    <w:p w14:paraId="5C76F586" w14:textId="77777777" w:rsidR="00BF10A3" w:rsidRPr="0056343F"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2.15 confirms that zero EFC students and Pell Grant recipients </w:t>
      </w:r>
      <w:r>
        <w:rPr>
          <w:rFonts w:ascii="Courier New" w:hAnsi="Courier New" w:cs="Courier New"/>
          <w:sz w:val="24"/>
          <w:szCs w:val="24"/>
        </w:rPr>
        <w:t xml:space="preserve">in GE program </w:t>
      </w:r>
      <w:r w:rsidRPr="00AA6DFD">
        <w:rPr>
          <w:rFonts w:ascii="Courier New" w:hAnsi="Courier New" w:cs="Courier New"/>
          <w:sz w:val="24"/>
          <w:szCs w:val="24"/>
        </w:rPr>
        <w:t>tend to borrow less.</w:t>
      </w:r>
      <w:r>
        <w:rPr>
          <w:rFonts w:ascii="Courier New" w:hAnsi="Courier New" w:cs="Courier New"/>
          <w:sz w:val="24"/>
          <w:szCs w:val="24"/>
        </w:rPr>
        <w:t xml:space="preserve">  </w:t>
      </w:r>
      <w:r w:rsidRPr="00B53B21">
        <w:rPr>
          <w:rFonts w:ascii="Courier New" w:hAnsi="Courier New" w:cs="Courier New"/>
          <w:sz w:val="24"/>
          <w:szCs w:val="24"/>
        </w:rPr>
        <w:t xml:space="preserve">These results could mean either that low-income students borrow less than other students enrolled in the same program, or low-income students tend to enroll in programs that lead to lower debt.  </w:t>
      </w:r>
      <w:r w:rsidRPr="00B53B21">
        <w:rPr>
          <w:rFonts w:ascii="Courier New" w:hAnsi="Courier New"/>
          <w:sz w:val="24"/>
        </w:rPr>
        <w:t>Programs can lead to lower debt because they are either less expensive per credit or because they are shorter in time.</w:t>
      </w:r>
      <w:r w:rsidRPr="00AA6DFD">
        <w:rPr>
          <w:rFonts w:ascii="Courier New" w:hAnsi="Courier New" w:cs="Courier New"/>
          <w:sz w:val="24"/>
          <w:szCs w:val="24"/>
        </w:rPr>
        <w:t xml:space="preserve">  </w:t>
      </w:r>
      <w:r w:rsidRPr="00B53B21">
        <w:rPr>
          <w:rFonts w:ascii="Courier New" w:hAnsi="Courier New" w:cs="Courier New"/>
          <w:sz w:val="24"/>
          <w:szCs w:val="24"/>
        </w:rPr>
        <w:t>To test these explanations, we conducted an ordinary least squares regression using student</w:t>
      </w:r>
      <w:r w:rsidRPr="00AA6DFD">
        <w:rPr>
          <w:rFonts w:ascii="Courier New" w:hAnsi="Courier New" w:cs="Courier New"/>
          <w:sz w:val="24"/>
          <w:szCs w:val="24"/>
        </w:rPr>
        <w:t>-</w:t>
      </w:r>
      <w:r w:rsidRPr="00B53B21">
        <w:rPr>
          <w:rFonts w:ascii="Courier New" w:hAnsi="Courier New" w:cs="Courier New"/>
          <w:sz w:val="24"/>
          <w:szCs w:val="24"/>
        </w:rPr>
        <w:t>level data for the programs in the 2012 GE informational D/E rates data set.  Because we used the 2012 informational D/E rates data, the analysis was restricted to students who received title IV</w:t>
      </w:r>
      <w:r w:rsidRPr="00AA6DFD">
        <w:rPr>
          <w:rFonts w:ascii="Courier New" w:hAnsi="Courier New" w:cs="Courier New"/>
          <w:sz w:val="24"/>
          <w:szCs w:val="24"/>
        </w:rPr>
        <w:t>, HEA program funds</w:t>
      </w:r>
      <w:r w:rsidRPr="00B53B21">
        <w:rPr>
          <w:rFonts w:ascii="Courier New" w:hAnsi="Courier New" w:cs="Courier New"/>
          <w:sz w:val="24"/>
          <w:szCs w:val="24"/>
        </w:rPr>
        <w:t xml:space="preserve"> who completed a GE program.  To control for program cost, we used program</w:t>
      </w:r>
      <w:r w:rsidRPr="00AA6DFD">
        <w:rPr>
          <w:rFonts w:ascii="Courier New" w:hAnsi="Courier New" w:cs="Courier New"/>
          <w:sz w:val="24"/>
          <w:szCs w:val="24"/>
        </w:rPr>
        <w:t>-</w:t>
      </w:r>
      <w:r w:rsidRPr="00B53B21">
        <w:rPr>
          <w:rFonts w:ascii="Courier New" w:hAnsi="Courier New" w:cs="Courier New"/>
          <w:sz w:val="24"/>
          <w:szCs w:val="24"/>
        </w:rPr>
        <w:t>level fixed effects.  The cumulative amount that a student borrowed to attend the program was used as the dependent variable and Pell status (received or not</w:t>
      </w:r>
      <w:r w:rsidRPr="00AA6DFD">
        <w:rPr>
          <w:rFonts w:ascii="Courier New" w:hAnsi="Courier New" w:cs="Courier New"/>
          <w:sz w:val="24"/>
          <w:szCs w:val="24"/>
        </w:rPr>
        <w:t xml:space="preserve"> </w:t>
      </w:r>
      <w:r w:rsidRPr="00B53B21">
        <w:rPr>
          <w:rFonts w:ascii="Courier New" w:hAnsi="Courier New" w:cs="Courier New"/>
          <w:sz w:val="24"/>
          <w:szCs w:val="24"/>
        </w:rPr>
        <w:t xml:space="preserve">received) at any time in the student’s academic career was used as the independent variable. </w:t>
      </w:r>
    </w:p>
    <w:p w14:paraId="5AB5F4EA" w14:textId="77777777" w:rsidR="00BF10A3" w:rsidRPr="00AA6DFD" w:rsidRDefault="00BF10A3" w:rsidP="00BF10A3">
      <w:pPr>
        <w:spacing w:after="0" w:line="240" w:lineRule="auto"/>
        <w:rPr>
          <w:rFonts w:ascii="Courier New" w:hAnsi="Courier New"/>
          <w:b/>
          <w:sz w:val="24"/>
        </w:rPr>
      </w:pPr>
      <w:r w:rsidRPr="00B53B21">
        <w:rPr>
          <w:rFonts w:ascii="Courier New" w:hAnsi="Courier New"/>
          <w:b/>
          <w:sz w:val="24"/>
        </w:rPr>
        <w:t xml:space="preserve">Table </w:t>
      </w:r>
      <w:r w:rsidRPr="00AA6DFD">
        <w:rPr>
          <w:rFonts w:ascii="Courier New" w:hAnsi="Courier New"/>
          <w:b/>
          <w:sz w:val="24"/>
        </w:rPr>
        <w:t>2.16</w:t>
      </w:r>
      <w:r w:rsidRPr="00B53B21">
        <w:rPr>
          <w:rFonts w:ascii="Courier New" w:hAnsi="Courier New"/>
          <w:b/>
          <w:sz w:val="24"/>
        </w:rPr>
        <w:t>: Cumulative amount borrowed regression- Pell status (2012 GE informational D/E rates)</w:t>
      </w:r>
    </w:p>
    <w:p w14:paraId="118189AE" w14:textId="77777777" w:rsidR="00BF10A3" w:rsidRPr="00EC3553" w:rsidRDefault="00BF10A3" w:rsidP="00BF10A3">
      <w:pPr>
        <w:spacing w:after="0" w:line="240" w:lineRule="auto"/>
        <w:rPr>
          <w:rFonts w:ascii="Courier New" w:eastAsiaTheme="minorHAnsi" w:hAnsi="Courier New" w:cstheme="minorBidi"/>
          <w:sz w:val="24"/>
          <w:szCs w:val="24"/>
        </w:rPr>
      </w:pPr>
    </w:p>
    <w:tbl>
      <w:tblPr>
        <w:tblStyle w:val="TableGrid4"/>
        <w:tblW w:w="0" w:type="auto"/>
        <w:tblLook w:val="04A0" w:firstRow="1" w:lastRow="0" w:firstColumn="1" w:lastColumn="0" w:noHBand="0" w:noVBand="1"/>
      </w:tblPr>
      <w:tblGrid>
        <w:gridCol w:w="1723"/>
        <w:gridCol w:w="1801"/>
        <w:gridCol w:w="1369"/>
        <w:gridCol w:w="1513"/>
        <w:gridCol w:w="1081"/>
      </w:tblGrid>
      <w:tr w:rsidR="00BF10A3" w:rsidRPr="00EC3553" w14:paraId="1BAF80C8" w14:textId="77777777" w:rsidTr="001F7400">
        <w:trPr>
          <w:trHeight w:val="300"/>
        </w:trPr>
        <w:tc>
          <w:tcPr>
            <w:tcW w:w="1723" w:type="dxa"/>
            <w:noWrap/>
            <w:vAlign w:val="center"/>
            <w:hideMark/>
          </w:tcPr>
          <w:p w14:paraId="318B956E" w14:textId="77777777" w:rsidR="00BF10A3" w:rsidRPr="00EC3553" w:rsidRDefault="00BF10A3" w:rsidP="001F7400">
            <w:pPr>
              <w:jc w:val="center"/>
              <w:rPr>
                <w:rFonts w:ascii="Courier New" w:eastAsiaTheme="minorHAnsi" w:hAnsi="Courier New" w:cstheme="minorBidi"/>
                <w:b/>
                <w:sz w:val="24"/>
                <w:szCs w:val="24"/>
              </w:rPr>
            </w:pPr>
            <w:r w:rsidRPr="00EC3553">
              <w:rPr>
                <w:rFonts w:ascii="Courier New" w:eastAsiaTheme="minorHAnsi" w:hAnsi="Courier New" w:cstheme="minorBidi"/>
                <w:b/>
                <w:sz w:val="24"/>
                <w:szCs w:val="24"/>
              </w:rPr>
              <w:t>Variable</w:t>
            </w:r>
          </w:p>
        </w:tc>
        <w:tc>
          <w:tcPr>
            <w:tcW w:w="1000" w:type="dxa"/>
            <w:noWrap/>
            <w:vAlign w:val="center"/>
            <w:hideMark/>
          </w:tcPr>
          <w:p w14:paraId="52F05FCC" w14:textId="77777777" w:rsidR="00BF10A3" w:rsidRPr="00EC3553" w:rsidRDefault="00BF10A3" w:rsidP="001F7400">
            <w:pPr>
              <w:jc w:val="center"/>
              <w:rPr>
                <w:rFonts w:ascii="Courier New" w:eastAsiaTheme="minorHAnsi" w:hAnsi="Courier New" w:cstheme="minorBidi"/>
                <w:b/>
                <w:sz w:val="24"/>
                <w:szCs w:val="24"/>
              </w:rPr>
            </w:pPr>
            <w:r w:rsidRPr="00EC3553">
              <w:rPr>
                <w:rFonts w:ascii="Courier New" w:eastAsiaTheme="minorHAnsi" w:hAnsi="Courier New" w:cstheme="minorBidi"/>
                <w:b/>
                <w:sz w:val="24"/>
                <w:szCs w:val="24"/>
              </w:rPr>
              <w:t>Coefficient</w:t>
            </w:r>
          </w:p>
        </w:tc>
        <w:tc>
          <w:tcPr>
            <w:tcW w:w="960" w:type="dxa"/>
            <w:noWrap/>
            <w:vAlign w:val="center"/>
            <w:hideMark/>
          </w:tcPr>
          <w:p w14:paraId="6A97EFD8" w14:textId="77777777" w:rsidR="00BF10A3" w:rsidRPr="00EC3553" w:rsidRDefault="00BF10A3" w:rsidP="001F7400">
            <w:pPr>
              <w:jc w:val="center"/>
              <w:rPr>
                <w:rFonts w:ascii="Courier New" w:eastAsiaTheme="minorHAnsi" w:hAnsi="Courier New" w:cstheme="minorBidi"/>
                <w:b/>
                <w:sz w:val="24"/>
                <w:szCs w:val="24"/>
              </w:rPr>
            </w:pPr>
            <w:r w:rsidRPr="00EC3553">
              <w:rPr>
                <w:rFonts w:ascii="Courier New" w:eastAsiaTheme="minorHAnsi" w:hAnsi="Courier New" w:cstheme="minorBidi"/>
                <w:b/>
                <w:sz w:val="24"/>
                <w:szCs w:val="24"/>
              </w:rPr>
              <w:t>Standard error</w:t>
            </w:r>
          </w:p>
        </w:tc>
        <w:tc>
          <w:tcPr>
            <w:tcW w:w="960" w:type="dxa"/>
            <w:noWrap/>
            <w:vAlign w:val="center"/>
            <w:hideMark/>
          </w:tcPr>
          <w:p w14:paraId="61D93065" w14:textId="77777777" w:rsidR="00BF10A3" w:rsidRPr="00EC3553" w:rsidRDefault="00BF10A3" w:rsidP="001F7400">
            <w:pPr>
              <w:jc w:val="center"/>
              <w:rPr>
                <w:rFonts w:ascii="Courier New" w:eastAsiaTheme="minorHAnsi" w:hAnsi="Courier New" w:cstheme="minorBidi"/>
                <w:b/>
                <w:sz w:val="24"/>
                <w:szCs w:val="24"/>
              </w:rPr>
            </w:pPr>
            <w:r w:rsidRPr="00EC3553">
              <w:rPr>
                <w:rFonts w:ascii="Courier New" w:eastAsiaTheme="minorHAnsi" w:hAnsi="Courier New" w:cstheme="minorBidi"/>
                <w:b/>
                <w:sz w:val="24"/>
                <w:szCs w:val="24"/>
              </w:rPr>
              <w:t>T-statistic</w:t>
            </w:r>
          </w:p>
        </w:tc>
        <w:tc>
          <w:tcPr>
            <w:tcW w:w="960" w:type="dxa"/>
            <w:noWrap/>
            <w:vAlign w:val="center"/>
            <w:hideMark/>
          </w:tcPr>
          <w:p w14:paraId="6422875A" w14:textId="77777777" w:rsidR="00BF10A3" w:rsidRPr="00EC3553" w:rsidRDefault="00BF10A3" w:rsidP="001F7400">
            <w:pPr>
              <w:jc w:val="center"/>
              <w:rPr>
                <w:rFonts w:ascii="Courier New" w:eastAsiaTheme="minorHAnsi" w:hAnsi="Courier New" w:cstheme="minorBidi"/>
                <w:b/>
                <w:sz w:val="24"/>
                <w:szCs w:val="24"/>
              </w:rPr>
            </w:pPr>
            <w:r w:rsidRPr="00EC3553">
              <w:rPr>
                <w:rFonts w:ascii="Courier New" w:eastAsiaTheme="minorHAnsi" w:hAnsi="Courier New" w:cstheme="minorBidi"/>
                <w:b/>
                <w:sz w:val="24"/>
                <w:szCs w:val="24"/>
              </w:rPr>
              <w:t>P-value</w:t>
            </w:r>
          </w:p>
        </w:tc>
      </w:tr>
      <w:tr w:rsidR="00BF10A3" w:rsidRPr="00EC3553" w14:paraId="342CDF09" w14:textId="77777777" w:rsidTr="001F7400">
        <w:trPr>
          <w:trHeight w:val="300"/>
        </w:trPr>
        <w:tc>
          <w:tcPr>
            <w:tcW w:w="1723" w:type="dxa"/>
            <w:noWrap/>
            <w:hideMark/>
          </w:tcPr>
          <w:p w14:paraId="36EC4083" w14:textId="77777777" w:rsidR="00BF10A3" w:rsidRPr="00EC3553" w:rsidRDefault="00BF10A3" w:rsidP="001F7400">
            <w:pPr>
              <w:rPr>
                <w:rFonts w:ascii="Courier New" w:eastAsiaTheme="minorHAnsi" w:hAnsi="Courier New" w:cstheme="minorBidi"/>
                <w:b/>
                <w:sz w:val="24"/>
                <w:szCs w:val="24"/>
              </w:rPr>
            </w:pPr>
            <w:r w:rsidRPr="00EC3553">
              <w:rPr>
                <w:rFonts w:ascii="Courier New" w:eastAsiaTheme="minorHAnsi" w:hAnsi="Courier New" w:cstheme="minorBidi"/>
                <w:b/>
                <w:sz w:val="24"/>
                <w:szCs w:val="24"/>
              </w:rPr>
              <w:t>Intercept</w:t>
            </w:r>
          </w:p>
        </w:tc>
        <w:tc>
          <w:tcPr>
            <w:tcW w:w="1000" w:type="dxa"/>
            <w:noWrap/>
            <w:vAlign w:val="center"/>
            <w:hideMark/>
          </w:tcPr>
          <w:p w14:paraId="2073C2D9"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0.00</w:t>
            </w:r>
          </w:p>
        </w:tc>
        <w:tc>
          <w:tcPr>
            <w:tcW w:w="960" w:type="dxa"/>
            <w:noWrap/>
            <w:vAlign w:val="center"/>
            <w:hideMark/>
          </w:tcPr>
          <w:p w14:paraId="1406CFD5"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25.16</w:t>
            </w:r>
          </w:p>
        </w:tc>
        <w:tc>
          <w:tcPr>
            <w:tcW w:w="960" w:type="dxa"/>
            <w:noWrap/>
            <w:vAlign w:val="center"/>
            <w:hideMark/>
          </w:tcPr>
          <w:p w14:paraId="645FDF6A"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0.00</w:t>
            </w:r>
          </w:p>
        </w:tc>
        <w:tc>
          <w:tcPr>
            <w:tcW w:w="960" w:type="dxa"/>
            <w:noWrap/>
            <w:vAlign w:val="center"/>
            <w:hideMark/>
          </w:tcPr>
          <w:p w14:paraId="4D0AD8D2"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1.00</w:t>
            </w:r>
          </w:p>
        </w:tc>
      </w:tr>
      <w:tr w:rsidR="00BF10A3" w:rsidRPr="00EC3553" w14:paraId="1CE93CC0" w14:textId="77777777" w:rsidTr="001F7400">
        <w:trPr>
          <w:trHeight w:val="300"/>
        </w:trPr>
        <w:tc>
          <w:tcPr>
            <w:tcW w:w="1723" w:type="dxa"/>
            <w:noWrap/>
            <w:hideMark/>
          </w:tcPr>
          <w:p w14:paraId="38752194" w14:textId="77777777" w:rsidR="00BF10A3" w:rsidRPr="00EC3553" w:rsidRDefault="00BF10A3" w:rsidP="001F7400">
            <w:pPr>
              <w:rPr>
                <w:rFonts w:ascii="Courier New" w:eastAsiaTheme="minorHAnsi" w:hAnsi="Courier New" w:cstheme="minorBidi"/>
                <w:b/>
                <w:sz w:val="24"/>
                <w:szCs w:val="24"/>
              </w:rPr>
            </w:pPr>
            <w:r w:rsidRPr="00EC3553">
              <w:rPr>
                <w:rFonts w:ascii="Courier New" w:eastAsiaTheme="minorHAnsi" w:hAnsi="Courier New" w:cstheme="minorBidi"/>
                <w:b/>
                <w:sz w:val="24"/>
                <w:szCs w:val="24"/>
              </w:rPr>
              <w:t>Pell grant recipient</w:t>
            </w:r>
          </w:p>
        </w:tc>
        <w:tc>
          <w:tcPr>
            <w:tcW w:w="1000" w:type="dxa"/>
            <w:noWrap/>
            <w:vAlign w:val="center"/>
            <w:hideMark/>
          </w:tcPr>
          <w:p w14:paraId="00960548"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1016.06</w:t>
            </w:r>
          </w:p>
        </w:tc>
        <w:tc>
          <w:tcPr>
            <w:tcW w:w="960" w:type="dxa"/>
            <w:noWrap/>
            <w:vAlign w:val="center"/>
            <w:hideMark/>
          </w:tcPr>
          <w:p w14:paraId="16555ED2"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62.86</w:t>
            </w:r>
          </w:p>
        </w:tc>
        <w:tc>
          <w:tcPr>
            <w:tcW w:w="960" w:type="dxa"/>
            <w:noWrap/>
            <w:vAlign w:val="center"/>
            <w:hideMark/>
          </w:tcPr>
          <w:p w14:paraId="64235297"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16.16</w:t>
            </w:r>
          </w:p>
        </w:tc>
        <w:tc>
          <w:tcPr>
            <w:tcW w:w="960" w:type="dxa"/>
            <w:noWrap/>
            <w:vAlign w:val="center"/>
            <w:hideMark/>
          </w:tcPr>
          <w:p w14:paraId="3A2447F4" w14:textId="77777777" w:rsidR="00BF10A3" w:rsidRPr="00EC3553" w:rsidRDefault="00BF10A3" w:rsidP="001F7400">
            <w:pPr>
              <w:jc w:val="right"/>
              <w:rPr>
                <w:rFonts w:ascii="Courier New" w:eastAsiaTheme="minorHAnsi" w:hAnsi="Courier New" w:cstheme="minorBidi"/>
                <w:sz w:val="24"/>
                <w:szCs w:val="24"/>
              </w:rPr>
            </w:pPr>
            <w:r w:rsidRPr="00EC3553">
              <w:rPr>
                <w:rFonts w:ascii="Courier New" w:eastAsiaTheme="minorHAnsi" w:hAnsi="Courier New" w:cstheme="minorBidi"/>
                <w:sz w:val="24"/>
                <w:szCs w:val="24"/>
              </w:rPr>
              <w:t>&lt;.0001</w:t>
            </w:r>
          </w:p>
        </w:tc>
      </w:tr>
    </w:tbl>
    <w:p w14:paraId="3ACC54D0" w14:textId="77777777" w:rsidR="00BF10A3" w:rsidRDefault="00BF10A3" w:rsidP="00BF10A3">
      <w:pPr>
        <w:spacing w:after="0" w:line="240" w:lineRule="auto"/>
        <w:rPr>
          <w:rFonts w:ascii="Courier New" w:hAnsi="Courier New" w:cs="Courier New"/>
          <w:sz w:val="24"/>
          <w:szCs w:val="24"/>
        </w:rPr>
      </w:pPr>
      <w:r>
        <w:rPr>
          <w:rFonts w:ascii="Courier New" w:hAnsi="Courier New" w:cs="Courier New"/>
          <w:sz w:val="24"/>
          <w:szCs w:val="24"/>
        </w:rPr>
        <w:t>Note: Individual coefficients for each program not shown.</w:t>
      </w:r>
    </w:p>
    <w:p w14:paraId="4BDE78D8" w14:textId="77777777" w:rsidR="00BF10A3" w:rsidRPr="00B53B21" w:rsidRDefault="00BF10A3" w:rsidP="00BF10A3">
      <w:pPr>
        <w:spacing w:after="0" w:line="240" w:lineRule="auto"/>
        <w:rPr>
          <w:rFonts w:ascii="Courier New" w:hAnsi="Courier New" w:cs="Courier New"/>
          <w:sz w:val="24"/>
          <w:szCs w:val="24"/>
        </w:rPr>
      </w:pPr>
    </w:p>
    <w:p w14:paraId="30CEC2AC" w14:textId="77777777" w:rsidR="00BF10A3" w:rsidRPr="00B53B21" w:rsidRDefault="00BF10A3" w:rsidP="00BF10A3">
      <w:pPr>
        <w:spacing w:after="0" w:line="480" w:lineRule="auto"/>
        <w:rPr>
          <w:rFonts w:ascii="Courier New" w:hAnsi="Courier New"/>
          <w:sz w:val="24"/>
        </w:rPr>
      </w:pPr>
      <w:r w:rsidRPr="00B53B21">
        <w:rPr>
          <w:rFonts w:ascii="Courier New" w:hAnsi="Courier New"/>
          <w:sz w:val="24"/>
        </w:rPr>
        <w:tab/>
        <w:t>The results of this regression shows that when controlling for program effects, low-income students borrow more than other students. This finding suggests that the reason programs with a higher proportion of low-income students have better annual earnings rates is because low-income students tend to choose programs that typically lead to lower debt burdens.</w:t>
      </w:r>
    </w:p>
    <w:p w14:paraId="070F0FEA" w14:textId="77777777" w:rsidR="00BF10A3" w:rsidRPr="00B53B21" w:rsidRDefault="00BF10A3" w:rsidP="00BF10A3">
      <w:pPr>
        <w:pStyle w:val="riaheader3"/>
      </w:pPr>
      <w:r w:rsidRPr="00B53B21">
        <w:t xml:space="preserve">Conclusions of student demographic analysis of final regulations </w:t>
      </w:r>
    </w:p>
    <w:p w14:paraId="67E225CC" w14:textId="77777777" w:rsidR="00BF10A3" w:rsidRPr="00AA6DFD" w:rsidRDefault="00BF10A3" w:rsidP="00BF10A3">
      <w:pPr>
        <w:spacing w:after="0" w:line="240" w:lineRule="auto"/>
        <w:ind w:firstLine="720"/>
        <w:rPr>
          <w:rFonts w:ascii="Courier New" w:hAnsi="Courier New" w:cs="Courier New"/>
          <w:sz w:val="24"/>
          <w:szCs w:val="24"/>
        </w:rPr>
      </w:pPr>
    </w:p>
    <w:p w14:paraId="69D1003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Department acknowledges that student characteristics can play a role in postsecondary outcomes.  However, based on the regression and descriptive analyses described above, the Department cannot conclude that the D/E rates measure is unfair towards programs that graduate high percentages of students who are</w:t>
      </w:r>
      <w:r>
        <w:rPr>
          <w:rFonts w:ascii="Courier New" w:hAnsi="Courier New" w:cs="Courier New"/>
          <w:sz w:val="24"/>
          <w:szCs w:val="24"/>
        </w:rPr>
        <w:t xml:space="preserve"> minorities</w:t>
      </w:r>
      <w:r w:rsidRPr="00AA6DFD">
        <w:rPr>
          <w:rFonts w:ascii="Courier New" w:hAnsi="Courier New" w:cs="Courier New"/>
          <w:sz w:val="24"/>
          <w:szCs w:val="24"/>
        </w:rPr>
        <w:t xml:space="preserve">, low-income, female, or nontraditional or that demographic characteristics are largely determinative of results.  If this were the case, we would expect to observe consistent results across all types of analyses indicating positive associations between the annual earnings rate and the demographic variables and dramatic differences in the demographic profiles of passing, zone, and failing programs. Instead, </w:t>
      </w:r>
      <w:r>
        <w:rPr>
          <w:rFonts w:ascii="Courier New" w:hAnsi="Courier New" w:cs="Courier New"/>
          <w:sz w:val="24"/>
          <w:szCs w:val="24"/>
        </w:rPr>
        <w:t xml:space="preserve">we find </w:t>
      </w:r>
      <w:r w:rsidRPr="00AA6DFD">
        <w:rPr>
          <w:rFonts w:ascii="Courier New" w:hAnsi="Courier New" w:cs="Courier New"/>
          <w:sz w:val="24"/>
          <w:szCs w:val="24"/>
        </w:rPr>
        <w:t xml:space="preserve">a negative association between the proportion of low-income </w:t>
      </w:r>
      <w:r>
        <w:rPr>
          <w:rFonts w:ascii="Courier New" w:hAnsi="Courier New" w:cs="Courier New"/>
          <w:sz w:val="24"/>
          <w:szCs w:val="24"/>
        </w:rPr>
        <w:t xml:space="preserve">students </w:t>
      </w:r>
      <w:r w:rsidRPr="00AA6DFD">
        <w:rPr>
          <w:rFonts w:ascii="Courier New" w:hAnsi="Courier New" w:cs="Courier New"/>
          <w:sz w:val="24"/>
          <w:szCs w:val="24"/>
        </w:rPr>
        <w:t xml:space="preserve">and the annual earnings rate when controlling for other demographic and non-demographic factors, similar passing rates across all quartiles of low-income variables, </w:t>
      </w:r>
      <w:r>
        <w:rPr>
          <w:rFonts w:ascii="Courier New" w:hAnsi="Courier New" w:cs="Courier New"/>
          <w:sz w:val="24"/>
          <w:szCs w:val="24"/>
        </w:rPr>
        <w:t xml:space="preserve">and </w:t>
      </w:r>
      <w:r w:rsidRPr="00AA6DFD">
        <w:rPr>
          <w:rFonts w:ascii="Courier New" w:hAnsi="Courier New" w:cs="Courier New"/>
          <w:sz w:val="24"/>
          <w:szCs w:val="24"/>
        </w:rPr>
        <w:t xml:space="preserve">similar demographic profiles in passing, zone, and failing programs for almost all of the variables examined. </w:t>
      </w:r>
      <w:r>
        <w:rPr>
          <w:rFonts w:ascii="Courier New" w:hAnsi="Courier New" w:cs="Courier New"/>
          <w:sz w:val="24"/>
          <w:szCs w:val="24"/>
        </w:rPr>
        <w:t>These and other results of our analyses suggest that</w:t>
      </w:r>
      <w:r w:rsidRPr="00AA6DFD">
        <w:rPr>
          <w:rFonts w:ascii="Courier New" w:hAnsi="Courier New" w:cs="Courier New"/>
          <w:sz w:val="24"/>
          <w:szCs w:val="24"/>
        </w:rPr>
        <w:t xml:space="preserve"> the regulation is not primarily</w:t>
      </w:r>
      <w:r>
        <w:rPr>
          <w:rFonts w:ascii="Courier New" w:hAnsi="Courier New" w:cs="Courier New"/>
          <w:sz w:val="24"/>
          <w:szCs w:val="24"/>
        </w:rPr>
        <w:t xml:space="preserve"> measuring student demographics.</w:t>
      </w:r>
    </w:p>
    <w:p w14:paraId="12030B0A" w14:textId="77777777" w:rsidR="00BF10A3" w:rsidRPr="00B53B21" w:rsidRDefault="00BF10A3" w:rsidP="00BF10A3">
      <w:pPr>
        <w:pStyle w:val="riaheader2"/>
      </w:pPr>
      <w:r w:rsidRPr="00B53B21">
        <w:t>Impact Analysis of Final Regulations</w:t>
      </w:r>
      <w:r w:rsidRPr="00B53B21">
        <w:rPr>
          <w:rFonts w:cs="Times New Roman"/>
          <w:szCs w:val="20"/>
          <w:u w:val="none"/>
        </w:rPr>
        <w:t xml:space="preserve">          </w:t>
      </w:r>
    </w:p>
    <w:p w14:paraId="19CB412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This impact analysis is based on the sample of 2012 GE informational rates generated from NSLDS as described in the “Data and Methodology for Analysis of the Regulations” above. For purposes of this impact analysis, the sample of programs only includes those that meet the minimum n-size threshold of 30.  Of the 37,589</w:t>
      </w:r>
      <w:r w:rsidRPr="00AA6DFD">
        <w:rPr>
          <w:rStyle w:val="FootnoteReference"/>
          <w:rFonts w:ascii="Courier New" w:hAnsi="Courier New" w:cs="Courier New"/>
          <w:sz w:val="24"/>
          <w:szCs w:val="24"/>
        </w:rPr>
        <w:footnoteReference w:id="326"/>
      </w:r>
      <w:r w:rsidRPr="00AA6DFD">
        <w:rPr>
          <w:rFonts w:ascii="Courier New" w:hAnsi="Courier New" w:cs="Courier New"/>
          <w:sz w:val="24"/>
          <w:szCs w:val="24"/>
        </w:rPr>
        <w:t xml:space="preserve"> GE programs in the FY 2010 reporting with total enrollment of 3,985,329 students receiving title IV, HEA program funds, 5,539 programs, representing 2,521,283 students receiving title IV, HEA program funds, had a minimum n-size of 30 and were evaluated in the 2012 GE informational D/E rates.  </w:t>
      </w:r>
    </w:p>
    <w:p w14:paraId="258FF3DA" w14:textId="77777777" w:rsidR="00BF10A3"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2.17: 2012 GE Informational D/E Rates Program Count</w:t>
      </w:r>
    </w:p>
    <w:p w14:paraId="1E8AB4E2" w14:textId="77777777" w:rsidR="00BF10A3" w:rsidRPr="0095078A" w:rsidRDefault="00BF10A3" w:rsidP="00BF10A3">
      <w:pPr>
        <w:spacing w:after="0" w:line="240" w:lineRule="auto"/>
        <w:rPr>
          <w:rFonts w:ascii="Courier New" w:eastAsiaTheme="minorHAnsi" w:hAnsi="Courier New" w:cstheme="minorBidi"/>
          <w:sz w:val="16"/>
        </w:rPr>
      </w:pPr>
    </w:p>
    <w:tbl>
      <w:tblPr>
        <w:tblStyle w:val="TableGrid5"/>
        <w:tblW w:w="9461" w:type="dxa"/>
        <w:tblLook w:val="04A0" w:firstRow="1" w:lastRow="0" w:firstColumn="1" w:lastColumn="0" w:noHBand="0" w:noVBand="1"/>
      </w:tblPr>
      <w:tblGrid>
        <w:gridCol w:w="738"/>
        <w:gridCol w:w="5150"/>
        <w:gridCol w:w="824"/>
        <w:gridCol w:w="889"/>
        <w:gridCol w:w="1075"/>
        <w:gridCol w:w="838"/>
      </w:tblGrid>
      <w:tr w:rsidR="00BF10A3" w:rsidRPr="0095078A" w14:paraId="0BDDF7E9" w14:textId="77777777" w:rsidTr="001F7400">
        <w:trPr>
          <w:trHeight w:val="690"/>
        </w:trPr>
        <w:tc>
          <w:tcPr>
            <w:tcW w:w="738" w:type="dxa"/>
            <w:vAlign w:val="center"/>
            <w:hideMark/>
          </w:tcPr>
          <w:p w14:paraId="4A4A0EE7"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2-Digit CIP Code</w:t>
            </w:r>
          </w:p>
        </w:tc>
        <w:tc>
          <w:tcPr>
            <w:tcW w:w="5150" w:type="dxa"/>
            <w:vAlign w:val="center"/>
            <w:hideMark/>
          </w:tcPr>
          <w:p w14:paraId="162A94BA"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2-Digit CIP Name</w:t>
            </w:r>
          </w:p>
        </w:tc>
        <w:tc>
          <w:tcPr>
            <w:tcW w:w="824" w:type="dxa"/>
            <w:noWrap/>
            <w:vAlign w:val="center"/>
            <w:hideMark/>
          </w:tcPr>
          <w:p w14:paraId="7A98711E"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Public</w:t>
            </w:r>
          </w:p>
        </w:tc>
        <w:tc>
          <w:tcPr>
            <w:tcW w:w="836" w:type="dxa"/>
            <w:noWrap/>
            <w:vAlign w:val="center"/>
            <w:hideMark/>
          </w:tcPr>
          <w:p w14:paraId="45388C07"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Private</w:t>
            </w:r>
          </w:p>
        </w:tc>
        <w:tc>
          <w:tcPr>
            <w:tcW w:w="1075" w:type="dxa"/>
            <w:noWrap/>
            <w:vAlign w:val="center"/>
            <w:hideMark/>
          </w:tcPr>
          <w:p w14:paraId="2560B340"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For-Profit</w:t>
            </w:r>
          </w:p>
        </w:tc>
        <w:tc>
          <w:tcPr>
            <w:tcW w:w="838" w:type="dxa"/>
            <w:noWrap/>
            <w:vAlign w:val="center"/>
            <w:hideMark/>
          </w:tcPr>
          <w:p w14:paraId="09C95567" w14:textId="77777777" w:rsidR="00BF10A3" w:rsidRPr="00A449DF" w:rsidRDefault="00BF10A3" w:rsidP="001F7400">
            <w:pPr>
              <w:jc w:val="center"/>
              <w:rPr>
                <w:rFonts w:ascii="Courier New" w:eastAsiaTheme="minorHAnsi" w:hAnsi="Courier New" w:cs="Courier New"/>
                <w:b/>
                <w:bCs/>
                <w:sz w:val="16"/>
                <w:szCs w:val="16"/>
              </w:rPr>
            </w:pPr>
            <w:r w:rsidRPr="00A449DF">
              <w:rPr>
                <w:rFonts w:ascii="Courier New" w:eastAsiaTheme="minorHAnsi" w:hAnsi="Courier New" w:cs="Courier New"/>
                <w:b/>
                <w:bCs/>
                <w:sz w:val="16"/>
                <w:szCs w:val="16"/>
              </w:rPr>
              <w:t>Total</w:t>
            </w:r>
          </w:p>
        </w:tc>
      </w:tr>
      <w:tr w:rsidR="00BF10A3" w:rsidRPr="0095078A" w14:paraId="0C0E1693" w14:textId="77777777" w:rsidTr="001F7400">
        <w:trPr>
          <w:trHeight w:val="256"/>
        </w:trPr>
        <w:tc>
          <w:tcPr>
            <w:tcW w:w="738" w:type="dxa"/>
            <w:noWrap/>
            <w:hideMark/>
          </w:tcPr>
          <w:p w14:paraId="5D7C4E8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51</w:t>
            </w:r>
          </w:p>
        </w:tc>
        <w:tc>
          <w:tcPr>
            <w:tcW w:w="5150" w:type="dxa"/>
            <w:noWrap/>
            <w:hideMark/>
          </w:tcPr>
          <w:p w14:paraId="04DE7E2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Health Professions and Related Sciences</w:t>
            </w:r>
          </w:p>
        </w:tc>
        <w:tc>
          <w:tcPr>
            <w:tcW w:w="824" w:type="dxa"/>
            <w:noWrap/>
            <w:hideMark/>
          </w:tcPr>
          <w:p w14:paraId="669B16A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648</w:t>
            </w:r>
          </w:p>
        </w:tc>
        <w:tc>
          <w:tcPr>
            <w:tcW w:w="836" w:type="dxa"/>
            <w:noWrap/>
            <w:hideMark/>
          </w:tcPr>
          <w:p w14:paraId="66C0049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121</w:t>
            </w:r>
          </w:p>
        </w:tc>
        <w:tc>
          <w:tcPr>
            <w:tcW w:w="1075" w:type="dxa"/>
            <w:noWrap/>
            <w:hideMark/>
          </w:tcPr>
          <w:p w14:paraId="6F7DEAF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1,677</w:t>
            </w:r>
          </w:p>
        </w:tc>
        <w:tc>
          <w:tcPr>
            <w:tcW w:w="838" w:type="dxa"/>
            <w:noWrap/>
            <w:hideMark/>
          </w:tcPr>
          <w:p w14:paraId="4CAC60E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2,446</w:t>
            </w:r>
          </w:p>
        </w:tc>
      </w:tr>
      <w:tr w:rsidR="00BF10A3" w:rsidRPr="0095078A" w14:paraId="0E32FD1D" w14:textId="77777777" w:rsidTr="001F7400">
        <w:trPr>
          <w:trHeight w:val="256"/>
        </w:trPr>
        <w:tc>
          <w:tcPr>
            <w:tcW w:w="738" w:type="dxa"/>
            <w:noWrap/>
            <w:hideMark/>
          </w:tcPr>
          <w:p w14:paraId="1384AFA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12</w:t>
            </w:r>
          </w:p>
        </w:tc>
        <w:tc>
          <w:tcPr>
            <w:tcW w:w="5150" w:type="dxa"/>
            <w:noWrap/>
            <w:hideMark/>
          </w:tcPr>
          <w:p w14:paraId="6453D15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Personal and Miscellaneous Services</w:t>
            </w:r>
          </w:p>
        </w:tc>
        <w:tc>
          <w:tcPr>
            <w:tcW w:w="824" w:type="dxa"/>
            <w:noWrap/>
            <w:hideMark/>
          </w:tcPr>
          <w:p w14:paraId="7E91F1F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77</w:t>
            </w:r>
          </w:p>
        </w:tc>
        <w:tc>
          <w:tcPr>
            <w:tcW w:w="836" w:type="dxa"/>
            <w:noWrap/>
            <w:hideMark/>
          </w:tcPr>
          <w:p w14:paraId="3FFD170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9</w:t>
            </w:r>
          </w:p>
        </w:tc>
        <w:tc>
          <w:tcPr>
            <w:tcW w:w="1075" w:type="dxa"/>
            <w:noWrap/>
            <w:hideMark/>
          </w:tcPr>
          <w:p w14:paraId="6B6A4B1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868</w:t>
            </w:r>
          </w:p>
        </w:tc>
        <w:tc>
          <w:tcPr>
            <w:tcW w:w="838" w:type="dxa"/>
            <w:noWrap/>
            <w:hideMark/>
          </w:tcPr>
          <w:p w14:paraId="67CF13A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954</w:t>
            </w:r>
          </w:p>
        </w:tc>
      </w:tr>
      <w:tr w:rsidR="00BF10A3" w:rsidRPr="0095078A" w14:paraId="7C99BF54" w14:textId="77777777" w:rsidTr="001F7400">
        <w:trPr>
          <w:trHeight w:val="256"/>
        </w:trPr>
        <w:tc>
          <w:tcPr>
            <w:tcW w:w="738" w:type="dxa"/>
            <w:noWrap/>
            <w:hideMark/>
          </w:tcPr>
          <w:p w14:paraId="5525018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52</w:t>
            </w:r>
          </w:p>
        </w:tc>
        <w:tc>
          <w:tcPr>
            <w:tcW w:w="5150" w:type="dxa"/>
            <w:noWrap/>
            <w:hideMark/>
          </w:tcPr>
          <w:p w14:paraId="07B8502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Business Management and Administrative Services</w:t>
            </w:r>
          </w:p>
        </w:tc>
        <w:tc>
          <w:tcPr>
            <w:tcW w:w="824" w:type="dxa"/>
            <w:noWrap/>
            <w:hideMark/>
          </w:tcPr>
          <w:p w14:paraId="44E836F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54</w:t>
            </w:r>
          </w:p>
        </w:tc>
        <w:tc>
          <w:tcPr>
            <w:tcW w:w="836" w:type="dxa"/>
            <w:noWrap/>
            <w:hideMark/>
          </w:tcPr>
          <w:p w14:paraId="1B91AE8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20</w:t>
            </w:r>
          </w:p>
        </w:tc>
        <w:tc>
          <w:tcPr>
            <w:tcW w:w="1075" w:type="dxa"/>
            <w:noWrap/>
            <w:hideMark/>
          </w:tcPr>
          <w:p w14:paraId="3EE109C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381</w:t>
            </w:r>
          </w:p>
        </w:tc>
        <w:tc>
          <w:tcPr>
            <w:tcW w:w="838" w:type="dxa"/>
            <w:noWrap/>
            <w:hideMark/>
          </w:tcPr>
          <w:p w14:paraId="5A40A22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455</w:t>
            </w:r>
          </w:p>
        </w:tc>
      </w:tr>
      <w:tr w:rsidR="00BF10A3" w:rsidRPr="0095078A" w14:paraId="69153ECD" w14:textId="77777777" w:rsidTr="001F7400">
        <w:trPr>
          <w:trHeight w:val="256"/>
        </w:trPr>
        <w:tc>
          <w:tcPr>
            <w:tcW w:w="738" w:type="dxa"/>
            <w:noWrap/>
            <w:hideMark/>
          </w:tcPr>
          <w:p w14:paraId="314E01D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47</w:t>
            </w:r>
          </w:p>
        </w:tc>
        <w:tc>
          <w:tcPr>
            <w:tcW w:w="5150" w:type="dxa"/>
            <w:noWrap/>
            <w:hideMark/>
          </w:tcPr>
          <w:p w14:paraId="18A84BA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Mechanics and Repairs</w:t>
            </w:r>
          </w:p>
        </w:tc>
        <w:tc>
          <w:tcPr>
            <w:tcW w:w="824" w:type="dxa"/>
            <w:noWrap/>
            <w:hideMark/>
          </w:tcPr>
          <w:p w14:paraId="0B6A026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49</w:t>
            </w:r>
          </w:p>
        </w:tc>
        <w:tc>
          <w:tcPr>
            <w:tcW w:w="836" w:type="dxa"/>
            <w:noWrap/>
            <w:hideMark/>
          </w:tcPr>
          <w:p w14:paraId="7CEB1BF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w:t>
            </w:r>
          </w:p>
        </w:tc>
        <w:tc>
          <w:tcPr>
            <w:tcW w:w="1075" w:type="dxa"/>
            <w:noWrap/>
            <w:hideMark/>
          </w:tcPr>
          <w:p w14:paraId="629D61F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198</w:t>
            </w:r>
          </w:p>
        </w:tc>
        <w:tc>
          <w:tcPr>
            <w:tcW w:w="838" w:type="dxa"/>
            <w:noWrap/>
            <w:hideMark/>
          </w:tcPr>
          <w:p w14:paraId="4AC4559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258</w:t>
            </w:r>
          </w:p>
        </w:tc>
      </w:tr>
      <w:tr w:rsidR="00BF10A3" w:rsidRPr="0095078A" w14:paraId="528002EF" w14:textId="77777777" w:rsidTr="001F7400">
        <w:trPr>
          <w:trHeight w:val="256"/>
        </w:trPr>
        <w:tc>
          <w:tcPr>
            <w:tcW w:w="738" w:type="dxa"/>
            <w:noWrap/>
            <w:hideMark/>
          </w:tcPr>
          <w:p w14:paraId="6F17255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50</w:t>
            </w:r>
          </w:p>
        </w:tc>
        <w:tc>
          <w:tcPr>
            <w:tcW w:w="5150" w:type="dxa"/>
            <w:noWrap/>
            <w:hideMark/>
          </w:tcPr>
          <w:p w14:paraId="6600B03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Visual and Performing Arts</w:t>
            </w:r>
          </w:p>
        </w:tc>
        <w:tc>
          <w:tcPr>
            <w:tcW w:w="824" w:type="dxa"/>
            <w:noWrap/>
            <w:hideMark/>
          </w:tcPr>
          <w:p w14:paraId="4375ACA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6" w:type="dxa"/>
            <w:noWrap/>
            <w:hideMark/>
          </w:tcPr>
          <w:p w14:paraId="146DB87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1075" w:type="dxa"/>
            <w:noWrap/>
            <w:hideMark/>
          </w:tcPr>
          <w:p w14:paraId="5049BA3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237</w:t>
            </w:r>
          </w:p>
        </w:tc>
        <w:tc>
          <w:tcPr>
            <w:tcW w:w="838" w:type="dxa"/>
            <w:noWrap/>
            <w:hideMark/>
          </w:tcPr>
          <w:p w14:paraId="3779B0C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244</w:t>
            </w:r>
          </w:p>
        </w:tc>
      </w:tr>
      <w:tr w:rsidR="00BF10A3" w:rsidRPr="0095078A" w14:paraId="4A993CB1" w14:textId="77777777" w:rsidTr="001F7400">
        <w:trPr>
          <w:trHeight w:val="256"/>
        </w:trPr>
        <w:tc>
          <w:tcPr>
            <w:tcW w:w="738" w:type="dxa"/>
            <w:noWrap/>
            <w:hideMark/>
          </w:tcPr>
          <w:p w14:paraId="13FD649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w:t>
            </w:r>
          </w:p>
        </w:tc>
        <w:tc>
          <w:tcPr>
            <w:tcW w:w="5150" w:type="dxa"/>
            <w:noWrap/>
            <w:hideMark/>
          </w:tcPr>
          <w:p w14:paraId="7B08BF8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Computer and Information Sciences</w:t>
            </w:r>
          </w:p>
        </w:tc>
        <w:tc>
          <w:tcPr>
            <w:tcW w:w="824" w:type="dxa"/>
            <w:noWrap/>
            <w:hideMark/>
          </w:tcPr>
          <w:p w14:paraId="19A9AE7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w:t>
            </w:r>
          </w:p>
        </w:tc>
        <w:tc>
          <w:tcPr>
            <w:tcW w:w="836" w:type="dxa"/>
            <w:noWrap/>
            <w:hideMark/>
          </w:tcPr>
          <w:p w14:paraId="1D96B2B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w:t>
            </w:r>
          </w:p>
        </w:tc>
        <w:tc>
          <w:tcPr>
            <w:tcW w:w="1075" w:type="dxa"/>
            <w:noWrap/>
            <w:hideMark/>
          </w:tcPr>
          <w:p w14:paraId="39530C1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206</w:t>
            </w:r>
          </w:p>
        </w:tc>
        <w:tc>
          <w:tcPr>
            <w:tcW w:w="838" w:type="dxa"/>
            <w:noWrap/>
            <w:hideMark/>
          </w:tcPr>
          <w:p w14:paraId="4204BB7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218</w:t>
            </w:r>
          </w:p>
        </w:tc>
      </w:tr>
      <w:tr w:rsidR="00BF10A3" w:rsidRPr="0095078A" w14:paraId="34DDB118" w14:textId="77777777" w:rsidTr="001F7400">
        <w:trPr>
          <w:trHeight w:val="256"/>
        </w:trPr>
        <w:tc>
          <w:tcPr>
            <w:tcW w:w="738" w:type="dxa"/>
            <w:noWrap/>
            <w:hideMark/>
          </w:tcPr>
          <w:p w14:paraId="73BA386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43</w:t>
            </w:r>
          </w:p>
        </w:tc>
        <w:tc>
          <w:tcPr>
            <w:tcW w:w="5150" w:type="dxa"/>
            <w:noWrap/>
            <w:hideMark/>
          </w:tcPr>
          <w:p w14:paraId="4A139D8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Protective Services</w:t>
            </w:r>
          </w:p>
        </w:tc>
        <w:tc>
          <w:tcPr>
            <w:tcW w:w="824" w:type="dxa"/>
            <w:noWrap/>
            <w:hideMark/>
          </w:tcPr>
          <w:p w14:paraId="6D8F9F3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83</w:t>
            </w:r>
          </w:p>
        </w:tc>
        <w:tc>
          <w:tcPr>
            <w:tcW w:w="836" w:type="dxa"/>
            <w:noWrap/>
            <w:hideMark/>
          </w:tcPr>
          <w:p w14:paraId="39DB998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1075" w:type="dxa"/>
            <w:noWrap/>
            <w:hideMark/>
          </w:tcPr>
          <w:p w14:paraId="389ECC9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115</w:t>
            </w:r>
          </w:p>
        </w:tc>
        <w:tc>
          <w:tcPr>
            <w:tcW w:w="838" w:type="dxa"/>
            <w:noWrap/>
            <w:hideMark/>
          </w:tcPr>
          <w:p w14:paraId="3F1C1EF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200</w:t>
            </w:r>
          </w:p>
        </w:tc>
      </w:tr>
      <w:tr w:rsidR="00BF10A3" w:rsidRPr="0095078A" w14:paraId="73818CB1" w14:textId="77777777" w:rsidTr="001F7400">
        <w:trPr>
          <w:trHeight w:val="256"/>
        </w:trPr>
        <w:tc>
          <w:tcPr>
            <w:tcW w:w="738" w:type="dxa"/>
            <w:noWrap/>
            <w:hideMark/>
          </w:tcPr>
          <w:p w14:paraId="37DFAFC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15</w:t>
            </w:r>
          </w:p>
        </w:tc>
        <w:tc>
          <w:tcPr>
            <w:tcW w:w="5150" w:type="dxa"/>
            <w:noWrap/>
            <w:hideMark/>
          </w:tcPr>
          <w:p w14:paraId="1B661DE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Engineering Related Technologies</w:t>
            </w:r>
          </w:p>
        </w:tc>
        <w:tc>
          <w:tcPr>
            <w:tcW w:w="824" w:type="dxa"/>
            <w:noWrap/>
            <w:hideMark/>
          </w:tcPr>
          <w:p w14:paraId="3796403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w:t>
            </w:r>
          </w:p>
        </w:tc>
        <w:tc>
          <w:tcPr>
            <w:tcW w:w="836" w:type="dxa"/>
            <w:noWrap/>
            <w:hideMark/>
          </w:tcPr>
          <w:p w14:paraId="1A2A969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w:t>
            </w:r>
          </w:p>
        </w:tc>
        <w:tc>
          <w:tcPr>
            <w:tcW w:w="1075" w:type="dxa"/>
            <w:noWrap/>
            <w:hideMark/>
          </w:tcPr>
          <w:p w14:paraId="6EE0B89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115</w:t>
            </w:r>
          </w:p>
        </w:tc>
        <w:tc>
          <w:tcPr>
            <w:tcW w:w="838" w:type="dxa"/>
            <w:noWrap/>
            <w:hideMark/>
          </w:tcPr>
          <w:p w14:paraId="3E162B2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131</w:t>
            </w:r>
          </w:p>
        </w:tc>
      </w:tr>
      <w:tr w:rsidR="00BF10A3" w:rsidRPr="0095078A" w14:paraId="2CA52656" w14:textId="77777777" w:rsidTr="001F7400">
        <w:trPr>
          <w:trHeight w:val="256"/>
        </w:trPr>
        <w:tc>
          <w:tcPr>
            <w:tcW w:w="738" w:type="dxa"/>
            <w:noWrap/>
            <w:hideMark/>
          </w:tcPr>
          <w:p w14:paraId="4BFF5E3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13</w:t>
            </w:r>
          </w:p>
        </w:tc>
        <w:tc>
          <w:tcPr>
            <w:tcW w:w="5150" w:type="dxa"/>
            <w:noWrap/>
            <w:hideMark/>
          </w:tcPr>
          <w:p w14:paraId="1ECEE7E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Education</w:t>
            </w:r>
          </w:p>
        </w:tc>
        <w:tc>
          <w:tcPr>
            <w:tcW w:w="824" w:type="dxa"/>
            <w:noWrap/>
            <w:hideMark/>
          </w:tcPr>
          <w:p w14:paraId="02A38D6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27</w:t>
            </w:r>
          </w:p>
        </w:tc>
        <w:tc>
          <w:tcPr>
            <w:tcW w:w="836" w:type="dxa"/>
            <w:noWrap/>
            <w:hideMark/>
          </w:tcPr>
          <w:p w14:paraId="5774149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26</w:t>
            </w:r>
          </w:p>
        </w:tc>
        <w:tc>
          <w:tcPr>
            <w:tcW w:w="1075" w:type="dxa"/>
            <w:noWrap/>
            <w:hideMark/>
          </w:tcPr>
          <w:p w14:paraId="1B45ACF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60</w:t>
            </w:r>
          </w:p>
        </w:tc>
        <w:tc>
          <w:tcPr>
            <w:tcW w:w="838" w:type="dxa"/>
            <w:noWrap/>
            <w:hideMark/>
          </w:tcPr>
          <w:p w14:paraId="5B0A13C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113</w:t>
            </w:r>
          </w:p>
        </w:tc>
      </w:tr>
      <w:tr w:rsidR="00BF10A3" w:rsidRPr="0095078A" w14:paraId="6203F0D9" w14:textId="77777777" w:rsidTr="001F7400">
        <w:trPr>
          <w:trHeight w:val="256"/>
        </w:trPr>
        <w:tc>
          <w:tcPr>
            <w:tcW w:w="738" w:type="dxa"/>
            <w:noWrap/>
            <w:hideMark/>
          </w:tcPr>
          <w:p w14:paraId="56BC8CC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46</w:t>
            </w:r>
          </w:p>
        </w:tc>
        <w:tc>
          <w:tcPr>
            <w:tcW w:w="5150" w:type="dxa"/>
            <w:noWrap/>
            <w:hideMark/>
          </w:tcPr>
          <w:p w14:paraId="1A72935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Construction Trades</w:t>
            </w:r>
          </w:p>
        </w:tc>
        <w:tc>
          <w:tcPr>
            <w:tcW w:w="824" w:type="dxa"/>
            <w:noWrap/>
            <w:hideMark/>
          </w:tcPr>
          <w:p w14:paraId="388AC4D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39</w:t>
            </w:r>
          </w:p>
        </w:tc>
        <w:tc>
          <w:tcPr>
            <w:tcW w:w="836" w:type="dxa"/>
            <w:noWrap/>
            <w:hideMark/>
          </w:tcPr>
          <w:p w14:paraId="3EAE8FA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w:t>
            </w:r>
          </w:p>
        </w:tc>
        <w:tc>
          <w:tcPr>
            <w:tcW w:w="1075" w:type="dxa"/>
            <w:noWrap/>
            <w:hideMark/>
          </w:tcPr>
          <w:p w14:paraId="49CAA75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59</w:t>
            </w:r>
          </w:p>
        </w:tc>
        <w:tc>
          <w:tcPr>
            <w:tcW w:w="838" w:type="dxa"/>
            <w:noWrap/>
            <w:hideMark/>
          </w:tcPr>
          <w:p w14:paraId="7E82264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108</w:t>
            </w:r>
          </w:p>
        </w:tc>
      </w:tr>
      <w:tr w:rsidR="00BF10A3" w:rsidRPr="0095078A" w14:paraId="3190CF24" w14:textId="77777777" w:rsidTr="001F7400">
        <w:trPr>
          <w:trHeight w:val="256"/>
        </w:trPr>
        <w:tc>
          <w:tcPr>
            <w:tcW w:w="738" w:type="dxa"/>
            <w:noWrap/>
            <w:hideMark/>
          </w:tcPr>
          <w:p w14:paraId="4C3B9A5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22</w:t>
            </w:r>
          </w:p>
        </w:tc>
        <w:tc>
          <w:tcPr>
            <w:tcW w:w="5150" w:type="dxa"/>
            <w:noWrap/>
            <w:hideMark/>
          </w:tcPr>
          <w:p w14:paraId="259D99F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Law and Legal Services</w:t>
            </w:r>
          </w:p>
        </w:tc>
        <w:tc>
          <w:tcPr>
            <w:tcW w:w="824" w:type="dxa"/>
            <w:noWrap/>
            <w:hideMark/>
          </w:tcPr>
          <w:p w14:paraId="2A2914D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w:t>
            </w:r>
          </w:p>
        </w:tc>
        <w:tc>
          <w:tcPr>
            <w:tcW w:w="836" w:type="dxa"/>
            <w:noWrap/>
            <w:hideMark/>
          </w:tcPr>
          <w:p w14:paraId="0512449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w:t>
            </w:r>
          </w:p>
        </w:tc>
        <w:tc>
          <w:tcPr>
            <w:tcW w:w="1075" w:type="dxa"/>
            <w:noWrap/>
            <w:hideMark/>
          </w:tcPr>
          <w:p w14:paraId="28DE3AA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69</w:t>
            </w:r>
          </w:p>
        </w:tc>
        <w:tc>
          <w:tcPr>
            <w:tcW w:w="838" w:type="dxa"/>
            <w:noWrap/>
            <w:hideMark/>
          </w:tcPr>
          <w:p w14:paraId="707E1FA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88</w:t>
            </w:r>
          </w:p>
        </w:tc>
      </w:tr>
      <w:tr w:rsidR="00BF10A3" w:rsidRPr="0095078A" w14:paraId="1BEF5DD0" w14:textId="77777777" w:rsidTr="001F7400">
        <w:trPr>
          <w:trHeight w:val="256"/>
        </w:trPr>
        <w:tc>
          <w:tcPr>
            <w:tcW w:w="738" w:type="dxa"/>
            <w:noWrap/>
            <w:hideMark/>
          </w:tcPr>
          <w:p w14:paraId="1B67559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48</w:t>
            </w:r>
          </w:p>
        </w:tc>
        <w:tc>
          <w:tcPr>
            <w:tcW w:w="5150" w:type="dxa"/>
            <w:noWrap/>
            <w:hideMark/>
          </w:tcPr>
          <w:p w14:paraId="664B86E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Precision Production Trades</w:t>
            </w:r>
          </w:p>
        </w:tc>
        <w:tc>
          <w:tcPr>
            <w:tcW w:w="824" w:type="dxa"/>
            <w:noWrap/>
            <w:hideMark/>
          </w:tcPr>
          <w:p w14:paraId="7A8422B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23</w:t>
            </w:r>
          </w:p>
        </w:tc>
        <w:tc>
          <w:tcPr>
            <w:tcW w:w="836" w:type="dxa"/>
            <w:noWrap/>
            <w:hideMark/>
          </w:tcPr>
          <w:p w14:paraId="3A34A08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1075" w:type="dxa"/>
            <w:noWrap/>
            <w:hideMark/>
          </w:tcPr>
          <w:p w14:paraId="0FFFDB1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28</w:t>
            </w:r>
          </w:p>
        </w:tc>
        <w:tc>
          <w:tcPr>
            <w:tcW w:w="838" w:type="dxa"/>
            <w:noWrap/>
            <w:hideMark/>
          </w:tcPr>
          <w:p w14:paraId="658434E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56</w:t>
            </w:r>
          </w:p>
        </w:tc>
      </w:tr>
      <w:tr w:rsidR="00BF10A3" w:rsidRPr="0095078A" w14:paraId="74B0ED7C" w14:textId="77777777" w:rsidTr="001F7400">
        <w:trPr>
          <w:trHeight w:val="256"/>
        </w:trPr>
        <w:tc>
          <w:tcPr>
            <w:tcW w:w="738" w:type="dxa"/>
            <w:noWrap/>
            <w:hideMark/>
          </w:tcPr>
          <w:p w14:paraId="48EEB5C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w:t>
            </w:r>
          </w:p>
        </w:tc>
        <w:tc>
          <w:tcPr>
            <w:tcW w:w="5150" w:type="dxa"/>
            <w:noWrap/>
            <w:hideMark/>
          </w:tcPr>
          <w:p w14:paraId="08BF61A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Telecommunications Technologies</w:t>
            </w:r>
          </w:p>
        </w:tc>
        <w:tc>
          <w:tcPr>
            <w:tcW w:w="824" w:type="dxa"/>
            <w:noWrap/>
            <w:hideMark/>
          </w:tcPr>
          <w:p w14:paraId="311190B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09E9A8E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6401796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46</w:t>
            </w:r>
          </w:p>
        </w:tc>
        <w:tc>
          <w:tcPr>
            <w:tcW w:w="838" w:type="dxa"/>
            <w:noWrap/>
            <w:hideMark/>
          </w:tcPr>
          <w:p w14:paraId="279AB22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48</w:t>
            </w:r>
          </w:p>
        </w:tc>
      </w:tr>
      <w:tr w:rsidR="00BF10A3" w:rsidRPr="0095078A" w14:paraId="47F644E6" w14:textId="77777777" w:rsidTr="001F7400">
        <w:trPr>
          <w:trHeight w:val="256"/>
        </w:trPr>
        <w:tc>
          <w:tcPr>
            <w:tcW w:w="738" w:type="dxa"/>
            <w:noWrap/>
            <w:hideMark/>
          </w:tcPr>
          <w:p w14:paraId="4293A92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49</w:t>
            </w:r>
          </w:p>
        </w:tc>
        <w:tc>
          <w:tcPr>
            <w:tcW w:w="5150" w:type="dxa"/>
            <w:noWrap/>
            <w:hideMark/>
          </w:tcPr>
          <w:p w14:paraId="35CD27C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Transportation and Material Moving Workers</w:t>
            </w:r>
          </w:p>
        </w:tc>
        <w:tc>
          <w:tcPr>
            <w:tcW w:w="824" w:type="dxa"/>
            <w:noWrap/>
            <w:hideMark/>
          </w:tcPr>
          <w:p w14:paraId="1A7C5C6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25</w:t>
            </w:r>
          </w:p>
        </w:tc>
        <w:tc>
          <w:tcPr>
            <w:tcW w:w="836" w:type="dxa"/>
            <w:noWrap/>
            <w:hideMark/>
          </w:tcPr>
          <w:p w14:paraId="2FF2BEF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1075" w:type="dxa"/>
            <w:noWrap/>
            <w:hideMark/>
          </w:tcPr>
          <w:p w14:paraId="0E946C1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19</w:t>
            </w:r>
          </w:p>
        </w:tc>
        <w:tc>
          <w:tcPr>
            <w:tcW w:w="838" w:type="dxa"/>
            <w:noWrap/>
            <w:hideMark/>
          </w:tcPr>
          <w:p w14:paraId="6F0257F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46</w:t>
            </w:r>
          </w:p>
        </w:tc>
      </w:tr>
      <w:tr w:rsidR="00BF10A3" w:rsidRPr="0095078A" w14:paraId="404328AF" w14:textId="77777777" w:rsidTr="001F7400">
        <w:trPr>
          <w:trHeight w:val="256"/>
        </w:trPr>
        <w:tc>
          <w:tcPr>
            <w:tcW w:w="738" w:type="dxa"/>
            <w:noWrap/>
            <w:hideMark/>
          </w:tcPr>
          <w:p w14:paraId="4DBE0A0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19</w:t>
            </w:r>
          </w:p>
        </w:tc>
        <w:tc>
          <w:tcPr>
            <w:tcW w:w="5150" w:type="dxa"/>
            <w:noWrap/>
            <w:hideMark/>
          </w:tcPr>
          <w:p w14:paraId="0E93FD5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Home Economics</w:t>
            </w:r>
          </w:p>
        </w:tc>
        <w:tc>
          <w:tcPr>
            <w:tcW w:w="824" w:type="dxa"/>
            <w:noWrap/>
            <w:hideMark/>
          </w:tcPr>
          <w:p w14:paraId="5E6AFF6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18</w:t>
            </w:r>
          </w:p>
        </w:tc>
        <w:tc>
          <w:tcPr>
            <w:tcW w:w="836" w:type="dxa"/>
            <w:noWrap/>
            <w:hideMark/>
          </w:tcPr>
          <w:p w14:paraId="49D4AB2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1075" w:type="dxa"/>
            <w:noWrap/>
            <w:hideMark/>
          </w:tcPr>
          <w:p w14:paraId="7EB6820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9</w:t>
            </w:r>
          </w:p>
        </w:tc>
        <w:tc>
          <w:tcPr>
            <w:tcW w:w="838" w:type="dxa"/>
            <w:noWrap/>
            <w:hideMark/>
          </w:tcPr>
          <w:p w14:paraId="3AA753B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32</w:t>
            </w:r>
          </w:p>
        </w:tc>
      </w:tr>
      <w:tr w:rsidR="00BF10A3" w:rsidRPr="0095078A" w14:paraId="2BBE8CF1" w14:textId="77777777" w:rsidTr="001F7400">
        <w:trPr>
          <w:trHeight w:val="256"/>
        </w:trPr>
        <w:tc>
          <w:tcPr>
            <w:tcW w:w="738" w:type="dxa"/>
            <w:noWrap/>
            <w:hideMark/>
          </w:tcPr>
          <w:p w14:paraId="6B7CAAE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42</w:t>
            </w:r>
          </w:p>
        </w:tc>
        <w:tc>
          <w:tcPr>
            <w:tcW w:w="5150" w:type="dxa"/>
            <w:noWrap/>
            <w:hideMark/>
          </w:tcPr>
          <w:p w14:paraId="28B6086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Psychology</w:t>
            </w:r>
          </w:p>
        </w:tc>
        <w:tc>
          <w:tcPr>
            <w:tcW w:w="824" w:type="dxa"/>
            <w:noWrap/>
            <w:hideMark/>
          </w:tcPr>
          <w:p w14:paraId="6A6D748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041CCE8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602B658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24</w:t>
            </w:r>
          </w:p>
        </w:tc>
        <w:tc>
          <w:tcPr>
            <w:tcW w:w="838" w:type="dxa"/>
            <w:noWrap/>
            <w:hideMark/>
          </w:tcPr>
          <w:p w14:paraId="7BE217F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26</w:t>
            </w:r>
          </w:p>
        </w:tc>
      </w:tr>
      <w:tr w:rsidR="00BF10A3" w:rsidRPr="0095078A" w14:paraId="710736F3" w14:textId="77777777" w:rsidTr="001F7400">
        <w:trPr>
          <w:trHeight w:val="256"/>
        </w:trPr>
        <w:tc>
          <w:tcPr>
            <w:tcW w:w="738" w:type="dxa"/>
            <w:noWrap/>
            <w:hideMark/>
          </w:tcPr>
          <w:p w14:paraId="4831B92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9</w:t>
            </w:r>
          </w:p>
        </w:tc>
        <w:tc>
          <w:tcPr>
            <w:tcW w:w="5150" w:type="dxa"/>
            <w:noWrap/>
            <w:hideMark/>
          </w:tcPr>
          <w:p w14:paraId="3699624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Communications</w:t>
            </w:r>
          </w:p>
        </w:tc>
        <w:tc>
          <w:tcPr>
            <w:tcW w:w="824" w:type="dxa"/>
            <w:noWrap/>
            <w:hideMark/>
          </w:tcPr>
          <w:p w14:paraId="355B94A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1562D59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0BA8AC3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21</w:t>
            </w:r>
          </w:p>
        </w:tc>
        <w:tc>
          <w:tcPr>
            <w:tcW w:w="838" w:type="dxa"/>
            <w:noWrap/>
            <w:hideMark/>
          </w:tcPr>
          <w:p w14:paraId="60E29F5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21</w:t>
            </w:r>
          </w:p>
        </w:tc>
      </w:tr>
      <w:tr w:rsidR="00BF10A3" w:rsidRPr="0095078A" w14:paraId="2BD0E52E" w14:textId="77777777" w:rsidTr="001F7400">
        <w:trPr>
          <w:trHeight w:val="256"/>
        </w:trPr>
        <w:tc>
          <w:tcPr>
            <w:tcW w:w="738" w:type="dxa"/>
            <w:noWrap/>
            <w:hideMark/>
          </w:tcPr>
          <w:p w14:paraId="3CD3F58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24</w:t>
            </w:r>
          </w:p>
        </w:tc>
        <w:tc>
          <w:tcPr>
            <w:tcW w:w="5150" w:type="dxa"/>
            <w:noWrap/>
            <w:hideMark/>
          </w:tcPr>
          <w:p w14:paraId="2A7EE91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Liberal Arts and Sciences, General Studies and Humanities</w:t>
            </w:r>
          </w:p>
        </w:tc>
        <w:tc>
          <w:tcPr>
            <w:tcW w:w="824" w:type="dxa"/>
            <w:noWrap/>
            <w:hideMark/>
          </w:tcPr>
          <w:p w14:paraId="61C05E1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9</w:t>
            </w:r>
          </w:p>
        </w:tc>
        <w:tc>
          <w:tcPr>
            <w:tcW w:w="836" w:type="dxa"/>
            <w:noWrap/>
            <w:hideMark/>
          </w:tcPr>
          <w:p w14:paraId="2BE73AB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60C3DFC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838" w:type="dxa"/>
            <w:noWrap/>
            <w:hideMark/>
          </w:tcPr>
          <w:p w14:paraId="556C038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14</w:t>
            </w:r>
          </w:p>
        </w:tc>
      </w:tr>
      <w:tr w:rsidR="00BF10A3" w:rsidRPr="0095078A" w14:paraId="6CFBFBC7" w14:textId="77777777" w:rsidTr="001F7400">
        <w:trPr>
          <w:trHeight w:val="256"/>
        </w:trPr>
        <w:tc>
          <w:tcPr>
            <w:tcW w:w="738" w:type="dxa"/>
            <w:noWrap/>
            <w:hideMark/>
          </w:tcPr>
          <w:p w14:paraId="07F4EEF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44</w:t>
            </w:r>
          </w:p>
        </w:tc>
        <w:tc>
          <w:tcPr>
            <w:tcW w:w="5150" w:type="dxa"/>
            <w:noWrap/>
            <w:hideMark/>
          </w:tcPr>
          <w:p w14:paraId="5A7FC6E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Public Administration and Services</w:t>
            </w:r>
          </w:p>
        </w:tc>
        <w:tc>
          <w:tcPr>
            <w:tcW w:w="824" w:type="dxa"/>
            <w:noWrap/>
            <w:hideMark/>
          </w:tcPr>
          <w:p w14:paraId="72FF6C7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4BF08FB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66C6E0D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w:t>
            </w:r>
          </w:p>
        </w:tc>
        <w:tc>
          <w:tcPr>
            <w:tcW w:w="838" w:type="dxa"/>
            <w:noWrap/>
            <w:hideMark/>
          </w:tcPr>
          <w:p w14:paraId="76AD2F4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12</w:t>
            </w:r>
          </w:p>
        </w:tc>
      </w:tr>
      <w:tr w:rsidR="00BF10A3" w:rsidRPr="0095078A" w14:paraId="3C3FFBCB" w14:textId="77777777" w:rsidTr="001F7400">
        <w:trPr>
          <w:trHeight w:val="256"/>
        </w:trPr>
        <w:tc>
          <w:tcPr>
            <w:tcW w:w="738" w:type="dxa"/>
            <w:noWrap/>
            <w:hideMark/>
          </w:tcPr>
          <w:p w14:paraId="19F6EFA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31</w:t>
            </w:r>
          </w:p>
        </w:tc>
        <w:tc>
          <w:tcPr>
            <w:tcW w:w="5150" w:type="dxa"/>
            <w:noWrap/>
            <w:hideMark/>
          </w:tcPr>
          <w:p w14:paraId="315515A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Parks, Recreation, Leisure, and Fitness Studies</w:t>
            </w:r>
          </w:p>
        </w:tc>
        <w:tc>
          <w:tcPr>
            <w:tcW w:w="824" w:type="dxa"/>
            <w:noWrap/>
            <w:hideMark/>
          </w:tcPr>
          <w:p w14:paraId="282CEA7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5E2C54B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65BAB6C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11</w:t>
            </w:r>
          </w:p>
        </w:tc>
        <w:tc>
          <w:tcPr>
            <w:tcW w:w="838" w:type="dxa"/>
            <w:noWrap/>
            <w:hideMark/>
          </w:tcPr>
          <w:p w14:paraId="47023F3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12</w:t>
            </w:r>
          </w:p>
        </w:tc>
      </w:tr>
      <w:tr w:rsidR="00BF10A3" w:rsidRPr="0095078A" w14:paraId="646256A1" w14:textId="77777777" w:rsidTr="001F7400">
        <w:trPr>
          <w:trHeight w:val="256"/>
        </w:trPr>
        <w:tc>
          <w:tcPr>
            <w:tcW w:w="738" w:type="dxa"/>
            <w:noWrap/>
            <w:hideMark/>
          </w:tcPr>
          <w:p w14:paraId="7DAB7A4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23</w:t>
            </w:r>
          </w:p>
        </w:tc>
        <w:tc>
          <w:tcPr>
            <w:tcW w:w="5150" w:type="dxa"/>
            <w:noWrap/>
            <w:hideMark/>
          </w:tcPr>
          <w:p w14:paraId="367EE65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English Language and Literature/Letters</w:t>
            </w:r>
          </w:p>
        </w:tc>
        <w:tc>
          <w:tcPr>
            <w:tcW w:w="824" w:type="dxa"/>
            <w:noWrap/>
            <w:hideMark/>
          </w:tcPr>
          <w:p w14:paraId="3D57445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57E581F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1075" w:type="dxa"/>
            <w:noWrap/>
            <w:hideMark/>
          </w:tcPr>
          <w:p w14:paraId="1AB6C73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w:t>
            </w:r>
          </w:p>
        </w:tc>
        <w:tc>
          <w:tcPr>
            <w:tcW w:w="838" w:type="dxa"/>
            <w:noWrap/>
            <w:hideMark/>
          </w:tcPr>
          <w:p w14:paraId="7104E8C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w:t>
            </w:r>
          </w:p>
        </w:tc>
      </w:tr>
      <w:tr w:rsidR="00BF10A3" w:rsidRPr="0095078A" w14:paraId="4AC395FC" w14:textId="77777777" w:rsidTr="001F7400">
        <w:trPr>
          <w:trHeight w:val="256"/>
        </w:trPr>
        <w:tc>
          <w:tcPr>
            <w:tcW w:w="738" w:type="dxa"/>
            <w:noWrap/>
            <w:hideMark/>
          </w:tcPr>
          <w:p w14:paraId="2BA25DF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30</w:t>
            </w:r>
          </w:p>
        </w:tc>
        <w:tc>
          <w:tcPr>
            <w:tcW w:w="5150" w:type="dxa"/>
            <w:noWrap/>
            <w:hideMark/>
          </w:tcPr>
          <w:p w14:paraId="0EFABF4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Multi-interdisciplinary Studies</w:t>
            </w:r>
          </w:p>
        </w:tc>
        <w:tc>
          <w:tcPr>
            <w:tcW w:w="824" w:type="dxa"/>
            <w:noWrap/>
            <w:hideMark/>
          </w:tcPr>
          <w:p w14:paraId="44886FF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6" w:type="dxa"/>
            <w:noWrap/>
            <w:hideMark/>
          </w:tcPr>
          <w:p w14:paraId="413B3B0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18546A8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w:t>
            </w:r>
          </w:p>
        </w:tc>
        <w:tc>
          <w:tcPr>
            <w:tcW w:w="838" w:type="dxa"/>
            <w:noWrap/>
            <w:hideMark/>
          </w:tcPr>
          <w:p w14:paraId="7986FDC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8</w:t>
            </w:r>
          </w:p>
        </w:tc>
      </w:tr>
      <w:tr w:rsidR="00BF10A3" w:rsidRPr="0095078A" w14:paraId="23E833C0" w14:textId="77777777" w:rsidTr="001F7400">
        <w:trPr>
          <w:trHeight w:val="256"/>
        </w:trPr>
        <w:tc>
          <w:tcPr>
            <w:tcW w:w="738" w:type="dxa"/>
            <w:noWrap/>
            <w:hideMark/>
          </w:tcPr>
          <w:p w14:paraId="4C5DCFC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5150" w:type="dxa"/>
            <w:noWrap/>
            <w:hideMark/>
          </w:tcPr>
          <w:p w14:paraId="45F88FA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Agricultural Business and Production</w:t>
            </w:r>
          </w:p>
        </w:tc>
        <w:tc>
          <w:tcPr>
            <w:tcW w:w="824" w:type="dxa"/>
            <w:noWrap/>
            <w:hideMark/>
          </w:tcPr>
          <w:p w14:paraId="6BAB163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6" w:type="dxa"/>
            <w:noWrap/>
            <w:hideMark/>
          </w:tcPr>
          <w:p w14:paraId="1D80FA9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7819C02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w:t>
            </w:r>
          </w:p>
        </w:tc>
        <w:tc>
          <w:tcPr>
            <w:tcW w:w="838" w:type="dxa"/>
            <w:noWrap/>
            <w:hideMark/>
          </w:tcPr>
          <w:p w14:paraId="0EEC8CF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w:t>
            </w:r>
          </w:p>
        </w:tc>
      </w:tr>
      <w:tr w:rsidR="00BF10A3" w:rsidRPr="0095078A" w14:paraId="1CEF1739" w14:textId="77777777" w:rsidTr="001F7400">
        <w:trPr>
          <w:trHeight w:val="256"/>
        </w:trPr>
        <w:tc>
          <w:tcPr>
            <w:tcW w:w="738" w:type="dxa"/>
            <w:noWrap/>
            <w:hideMark/>
          </w:tcPr>
          <w:p w14:paraId="1E160EB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45</w:t>
            </w:r>
          </w:p>
        </w:tc>
        <w:tc>
          <w:tcPr>
            <w:tcW w:w="5150" w:type="dxa"/>
            <w:noWrap/>
            <w:hideMark/>
          </w:tcPr>
          <w:p w14:paraId="4F3E49C8"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Social Sciences and History</w:t>
            </w:r>
          </w:p>
        </w:tc>
        <w:tc>
          <w:tcPr>
            <w:tcW w:w="824" w:type="dxa"/>
            <w:noWrap/>
            <w:hideMark/>
          </w:tcPr>
          <w:p w14:paraId="23A1615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011F03D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1DE4324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c>
          <w:tcPr>
            <w:tcW w:w="838" w:type="dxa"/>
            <w:noWrap/>
            <w:hideMark/>
          </w:tcPr>
          <w:p w14:paraId="566933A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6</w:t>
            </w:r>
          </w:p>
        </w:tc>
      </w:tr>
      <w:tr w:rsidR="00BF10A3" w:rsidRPr="0095078A" w14:paraId="1ABA57E6" w14:textId="77777777" w:rsidTr="001F7400">
        <w:trPr>
          <w:trHeight w:val="256"/>
        </w:trPr>
        <w:tc>
          <w:tcPr>
            <w:tcW w:w="738" w:type="dxa"/>
            <w:noWrap/>
            <w:hideMark/>
          </w:tcPr>
          <w:p w14:paraId="1B5AB28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14</w:t>
            </w:r>
          </w:p>
        </w:tc>
        <w:tc>
          <w:tcPr>
            <w:tcW w:w="5150" w:type="dxa"/>
            <w:noWrap/>
            <w:hideMark/>
          </w:tcPr>
          <w:p w14:paraId="017F060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Engineering</w:t>
            </w:r>
          </w:p>
        </w:tc>
        <w:tc>
          <w:tcPr>
            <w:tcW w:w="824" w:type="dxa"/>
            <w:noWrap/>
            <w:hideMark/>
          </w:tcPr>
          <w:p w14:paraId="011754D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771DD60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4EA9AD4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8" w:type="dxa"/>
            <w:noWrap/>
            <w:hideMark/>
          </w:tcPr>
          <w:p w14:paraId="5E69C51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r>
      <w:tr w:rsidR="00BF10A3" w:rsidRPr="0095078A" w14:paraId="35E46DF9" w14:textId="77777777" w:rsidTr="001F7400">
        <w:trPr>
          <w:trHeight w:val="256"/>
        </w:trPr>
        <w:tc>
          <w:tcPr>
            <w:tcW w:w="738" w:type="dxa"/>
            <w:noWrap/>
            <w:hideMark/>
          </w:tcPr>
          <w:p w14:paraId="79CADEE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41</w:t>
            </w:r>
          </w:p>
        </w:tc>
        <w:tc>
          <w:tcPr>
            <w:tcW w:w="5150" w:type="dxa"/>
            <w:noWrap/>
            <w:hideMark/>
          </w:tcPr>
          <w:p w14:paraId="76D647A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Science Technologies</w:t>
            </w:r>
          </w:p>
        </w:tc>
        <w:tc>
          <w:tcPr>
            <w:tcW w:w="824" w:type="dxa"/>
            <w:noWrap/>
            <w:hideMark/>
          </w:tcPr>
          <w:p w14:paraId="158744D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6" w:type="dxa"/>
            <w:noWrap/>
            <w:hideMark/>
          </w:tcPr>
          <w:p w14:paraId="01695D2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4227619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8" w:type="dxa"/>
            <w:noWrap/>
            <w:hideMark/>
          </w:tcPr>
          <w:p w14:paraId="7BD8593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r>
      <w:tr w:rsidR="00BF10A3" w:rsidRPr="0095078A" w14:paraId="4467E8E1" w14:textId="77777777" w:rsidTr="001F7400">
        <w:trPr>
          <w:trHeight w:val="256"/>
        </w:trPr>
        <w:tc>
          <w:tcPr>
            <w:tcW w:w="738" w:type="dxa"/>
            <w:noWrap/>
            <w:hideMark/>
          </w:tcPr>
          <w:p w14:paraId="175BCA3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34</w:t>
            </w:r>
          </w:p>
        </w:tc>
        <w:tc>
          <w:tcPr>
            <w:tcW w:w="5150" w:type="dxa"/>
            <w:noWrap/>
            <w:hideMark/>
          </w:tcPr>
          <w:p w14:paraId="3768806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Health-related Knowledge and Skills</w:t>
            </w:r>
          </w:p>
        </w:tc>
        <w:tc>
          <w:tcPr>
            <w:tcW w:w="824" w:type="dxa"/>
            <w:noWrap/>
            <w:hideMark/>
          </w:tcPr>
          <w:p w14:paraId="3F120D7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329C3EB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2F1FB9B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c>
          <w:tcPr>
            <w:tcW w:w="838" w:type="dxa"/>
            <w:noWrap/>
            <w:hideMark/>
          </w:tcPr>
          <w:p w14:paraId="6F239DC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r>
      <w:tr w:rsidR="00BF10A3" w:rsidRPr="0095078A" w14:paraId="7B98CAE9" w14:textId="77777777" w:rsidTr="001F7400">
        <w:trPr>
          <w:trHeight w:val="256"/>
        </w:trPr>
        <w:tc>
          <w:tcPr>
            <w:tcW w:w="738" w:type="dxa"/>
            <w:noWrap/>
            <w:hideMark/>
          </w:tcPr>
          <w:p w14:paraId="615DCBA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39</w:t>
            </w:r>
          </w:p>
        </w:tc>
        <w:tc>
          <w:tcPr>
            <w:tcW w:w="5150" w:type="dxa"/>
            <w:noWrap/>
            <w:hideMark/>
          </w:tcPr>
          <w:p w14:paraId="665A2C7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Theological Studies and Religious Vocations</w:t>
            </w:r>
          </w:p>
        </w:tc>
        <w:tc>
          <w:tcPr>
            <w:tcW w:w="824" w:type="dxa"/>
            <w:noWrap/>
            <w:hideMark/>
          </w:tcPr>
          <w:p w14:paraId="2C69B66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6E87D5C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1075" w:type="dxa"/>
            <w:noWrap/>
            <w:hideMark/>
          </w:tcPr>
          <w:p w14:paraId="6C2101E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8" w:type="dxa"/>
            <w:noWrap/>
            <w:hideMark/>
          </w:tcPr>
          <w:p w14:paraId="4952767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r>
      <w:tr w:rsidR="00BF10A3" w:rsidRPr="0095078A" w14:paraId="76A6B1AF" w14:textId="77777777" w:rsidTr="001F7400">
        <w:trPr>
          <w:trHeight w:val="256"/>
        </w:trPr>
        <w:tc>
          <w:tcPr>
            <w:tcW w:w="738" w:type="dxa"/>
            <w:noWrap/>
            <w:hideMark/>
          </w:tcPr>
          <w:p w14:paraId="2FAD589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54</w:t>
            </w:r>
          </w:p>
        </w:tc>
        <w:tc>
          <w:tcPr>
            <w:tcW w:w="5150" w:type="dxa"/>
            <w:noWrap/>
            <w:hideMark/>
          </w:tcPr>
          <w:p w14:paraId="282D3E3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History</w:t>
            </w:r>
          </w:p>
        </w:tc>
        <w:tc>
          <w:tcPr>
            <w:tcW w:w="824" w:type="dxa"/>
            <w:noWrap/>
            <w:hideMark/>
          </w:tcPr>
          <w:p w14:paraId="6AB8091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314173A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36FF6FC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8" w:type="dxa"/>
            <w:noWrap/>
            <w:hideMark/>
          </w:tcPr>
          <w:p w14:paraId="00707E3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r>
      <w:tr w:rsidR="00BF10A3" w:rsidRPr="0095078A" w14:paraId="37C225FB" w14:textId="77777777" w:rsidTr="001F7400">
        <w:trPr>
          <w:trHeight w:val="256"/>
        </w:trPr>
        <w:tc>
          <w:tcPr>
            <w:tcW w:w="738" w:type="dxa"/>
            <w:noWrap/>
            <w:hideMark/>
          </w:tcPr>
          <w:p w14:paraId="73FB7F2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w:t>
            </w:r>
          </w:p>
        </w:tc>
        <w:tc>
          <w:tcPr>
            <w:tcW w:w="5150" w:type="dxa"/>
            <w:noWrap/>
            <w:hideMark/>
          </w:tcPr>
          <w:p w14:paraId="12492AA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Architecture and Related Programs</w:t>
            </w:r>
          </w:p>
        </w:tc>
        <w:tc>
          <w:tcPr>
            <w:tcW w:w="824" w:type="dxa"/>
            <w:noWrap/>
            <w:hideMark/>
          </w:tcPr>
          <w:p w14:paraId="1BF4E59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1D1789F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2B13F17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8" w:type="dxa"/>
            <w:noWrap/>
            <w:hideMark/>
          </w:tcPr>
          <w:p w14:paraId="37223E7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r>
      <w:tr w:rsidR="00BF10A3" w:rsidRPr="0095078A" w14:paraId="41CA3218" w14:textId="77777777" w:rsidTr="001F7400">
        <w:trPr>
          <w:trHeight w:val="256"/>
        </w:trPr>
        <w:tc>
          <w:tcPr>
            <w:tcW w:w="738" w:type="dxa"/>
            <w:noWrap/>
            <w:hideMark/>
          </w:tcPr>
          <w:p w14:paraId="2E37D91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21</w:t>
            </w:r>
          </w:p>
        </w:tc>
        <w:tc>
          <w:tcPr>
            <w:tcW w:w="5150" w:type="dxa"/>
            <w:noWrap/>
            <w:hideMark/>
          </w:tcPr>
          <w:p w14:paraId="2F90F99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Technology/Education Industrial Arts</w:t>
            </w:r>
          </w:p>
        </w:tc>
        <w:tc>
          <w:tcPr>
            <w:tcW w:w="824" w:type="dxa"/>
            <w:noWrap/>
            <w:hideMark/>
          </w:tcPr>
          <w:p w14:paraId="67C3D75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5F291B5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470BBB2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8" w:type="dxa"/>
            <w:noWrap/>
            <w:hideMark/>
          </w:tcPr>
          <w:p w14:paraId="2818282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r>
      <w:tr w:rsidR="00BF10A3" w:rsidRPr="0095078A" w14:paraId="7B18F1D5" w14:textId="77777777" w:rsidTr="001F7400">
        <w:trPr>
          <w:trHeight w:val="256"/>
        </w:trPr>
        <w:tc>
          <w:tcPr>
            <w:tcW w:w="738" w:type="dxa"/>
            <w:noWrap/>
            <w:hideMark/>
          </w:tcPr>
          <w:p w14:paraId="04F0A43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32</w:t>
            </w:r>
          </w:p>
        </w:tc>
        <w:tc>
          <w:tcPr>
            <w:tcW w:w="5150" w:type="dxa"/>
            <w:noWrap/>
            <w:hideMark/>
          </w:tcPr>
          <w:p w14:paraId="1ED81E6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Basic Skills</w:t>
            </w:r>
          </w:p>
        </w:tc>
        <w:tc>
          <w:tcPr>
            <w:tcW w:w="824" w:type="dxa"/>
            <w:noWrap/>
            <w:hideMark/>
          </w:tcPr>
          <w:p w14:paraId="64143CF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7774F71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5D37781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c>
          <w:tcPr>
            <w:tcW w:w="838" w:type="dxa"/>
            <w:noWrap/>
            <w:hideMark/>
          </w:tcPr>
          <w:p w14:paraId="340691E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w:t>
            </w:r>
          </w:p>
        </w:tc>
      </w:tr>
      <w:tr w:rsidR="00BF10A3" w:rsidRPr="0095078A" w14:paraId="24411CC3" w14:textId="77777777" w:rsidTr="001F7400">
        <w:trPr>
          <w:trHeight w:val="256"/>
        </w:trPr>
        <w:tc>
          <w:tcPr>
            <w:tcW w:w="738" w:type="dxa"/>
            <w:noWrap/>
            <w:hideMark/>
          </w:tcPr>
          <w:p w14:paraId="0702763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3</w:t>
            </w:r>
          </w:p>
        </w:tc>
        <w:tc>
          <w:tcPr>
            <w:tcW w:w="5150" w:type="dxa"/>
            <w:noWrap/>
            <w:hideMark/>
          </w:tcPr>
          <w:p w14:paraId="047CC20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Conservation and Renewable Natural Resources</w:t>
            </w:r>
          </w:p>
        </w:tc>
        <w:tc>
          <w:tcPr>
            <w:tcW w:w="824" w:type="dxa"/>
            <w:noWrap/>
            <w:hideMark/>
          </w:tcPr>
          <w:p w14:paraId="412BDE3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4AF961E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5C2E17B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8" w:type="dxa"/>
            <w:noWrap/>
            <w:hideMark/>
          </w:tcPr>
          <w:p w14:paraId="6F517D4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r>
      <w:tr w:rsidR="00BF10A3" w:rsidRPr="0095078A" w14:paraId="64CDC74A" w14:textId="77777777" w:rsidTr="001F7400">
        <w:trPr>
          <w:trHeight w:val="256"/>
        </w:trPr>
        <w:tc>
          <w:tcPr>
            <w:tcW w:w="738" w:type="dxa"/>
            <w:noWrap/>
            <w:hideMark/>
          </w:tcPr>
          <w:p w14:paraId="70F92F3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26</w:t>
            </w:r>
          </w:p>
        </w:tc>
        <w:tc>
          <w:tcPr>
            <w:tcW w:w="5150" w:type="dxa"/>
            <w:noWrap/>
            <w:hideMark/>
          </w:tcPr>
          <w:p w14:paraId="22964587"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Biological and Biomedical Sciences</w:t>
            </w:r>
          </w:p>
        </w:tc>
        <w:tc>
          <w:tcPr>
            <w:tcW w:w="824" w:type="dxa"/>
            <w:noWrap/>
            <w:hideMark/>
          </w:tcPr>
          <w:p w14:paraId="79F6040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6E04DB3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4B5B2EB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8" w:type="dxa"/>
            <w:noWrap/>
            <w:hideMark/>
          </w:tcPr>
          <w:p w14:paraId="041CED71"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r>
      <w:tr w:rsidR="00BF10A3" w:rsidRPr="0095078A" w14:paraId="06CC4569" w14:textId="77777777" w:rsidTr="001F7400">
        <w:trPr>
          <w:trHeight w:val="256"/>
        </w:trPr>
        <w:tc>
          <w:tcPr>
            <w:tcW w:w="738" w:type="dxa"/>
            <w:noWrap/>
            <w:hideMark/>
          </w:tcPr>
          <w:p w14:paraId="4563476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40</w:t>
            </w:r>
          </w:p>
        </w:tc>
        <w:tc>
          <w:tcPr>
            <w:tcW w:w="5150" w:type="dxa"/>
            <w:noWrap/>
            <w:hideMark/>
          </w:tcPr>
          <w:p w14:paraId="0CB765B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Physical Sciences</w:t>
            </w:r>
          </w:p>
        </w:tc>
        <w:tc>
          <w:tcPr>
            <w:tcW w:w="824" w:type="dxa"/>
            <w:noWrap/>
            <w:hideMark/>
          </w:tcPr>
          <w:p w14:paraId="72C58D1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1FC1CDD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6902BD4B"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8" w:type="dxa"/>
            <w:noWrap/>
            <w:hideMark/>
          </w:tcPr>
          <w:p w14:paraId="2924E0A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r>
      <w:tr w:rsidR="00BF10A3" w:rsidRPr="0095078A" w14:paraId="27BA9C51" w14:textId="77777777" w:rsidTr="001F7400">
        <w:trPr>
          <w:trHeight w:val="256"/>
        </w:trPr>
        <w:tc>
          <w:tcPr>
            <w:tcW w:w="738" w:type="dxa"/>
            <w:noWrap/>
            <w:hideMark/>
          </w:tcPr>
          <w:p w14:paraId="658F8A95"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16</w:t>
            </w:r>
          </w:p>
        </w:tc>
        <w:tc>
          <w:tcPr>
            <w:tcW w:w="5150" w:type="dxa"/>
            <w:noWrap/>
            <w:hideMark/>
          </w:tcPr>
          <w:p w14:paraId="4EC4743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Foreign Languages and Literature</w:t>
            </w:r>
          </w:p>
        </w:tc>
        <w:tc>
          <w:tcPr>
            <w:tcW w:w="824" w:type="dxa"/>
            <w:noWrap/>
            <w:hideMark/>
          </w:tcPr>
          <w:p w14:paraId="61ABF02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836" w:type="dxa"/>
            <w:noWrap/>
            <w:hideMark/>
          </w:tcPr>
          <w:p w14:paraId="1C29A1AD"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1075" w:type="dxa"/>
            <w:noWrap/>
            <w:hideMark/>
          </w:tcPr>
          <w:p w14:paraId="042C2D96"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8" w:type="dxa"/>
            <w:noWrap/>
            <w:hideMark/>
          </w:tcPr>
          <w:p w14:paraId="2DDD8EC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r>
      <w:tr w:rsidR="00BF10A3" w:rsidRPr="0095078A" w14:paraId="5A5DD3E9" w14:textId="77777777" w:rsidTr="001F7400">
        <w:trPr>
          <w:trHeight w:val="256"/>
        </w:trPr>
        <w:tc>
          <w:tcPr>
            <w:tcW w:w="738" w:type="dxa"/>
            <w:noWrap/>
            <w:hideMark/>
          </w:tcPr>
          <w:p w14:paraId="3D0BA23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25</w:t>
            </w:r>
          </w:p>
        </w:tc>
        <w:tc>
          <w:tcPr>
            <w:tcW w:w="5150" w:type="dxa"/>
            <w:noWrap/>
            <w:hideMark/>
          </w:tcPr>
          <w:p w14:paraId="025B3389"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Library Studies</w:t>
            </w:r>
          </w:p>
        </w:tc>
        <w:tc>
          <w:tcPr>
            <w:tcW w:w="824" w:type="dxa"/>
            <w:noWrap/>
            <w:hideMark/>
          </w:tcPr>
          <w:p w14:paraId="7FD4C58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6" w:type="dxa"/>
            <w:noWrap/>
            <w:hideMark/>
          </w:tcPr>
          <w:p w14:paraId="20AB36DF"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c>
          <w:tcPr>
            <w:tcW w:w="1075" w:type="dxa"/>
            <w:noWrap/>
            <w:hideMark/>
          </w:tcPr>
          <w:p w14:paraId="6364DD74"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0</w:t>
            </w:r>
          </w:p>
        </w:tc>
        <w:tc>
          <w:tcPr>
            <w:tcW w:w="838" w:type="dxa"/>
            <w:noWrap/>
            <w:hideMark/>
          </w:tcPr>
          <w:p w14:paraId="2F90A02E"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w:t>
            </w:r>
          </w:p>
        </w:tc>
      </w:tr>
      <w:tr w:rsidR="00BF10A3" w:rsidRPr="0095078A" w14:paraId="798EBE14" w14:textId="77777777" w:rsidTr="001F7400">
        <w:trPr>
          <w:trHeight w:val="256"/>
        </w:trPr>
        <w:tc>
          <w:tcPr>
            <w:tcW w:w="5888" w:type="dxa"/>
            <w:gridSpan w:val="2"/>
            <w:noWrap/>
            <w:hideMark/>
          </w:tcPr>
          <w:p w14:paraId="5C976B42"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Total</w:t>
            </w:r>
          </w:p>
        </w:tc>
        <w:tc>
          <w:tcPr>
            <w:tcW w:w="824" w:type="dxa"/>
            <w:noWrap/>
            <w:hideMark/>
          </w:tcPr>
          <w:p w14:paraId="37FAA61C"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1,093</w:t>
            </w:r>
          </w:p>
        </w:tc>
        <w:tc>
          <w:tcPr>
            <w:tcW w:w="836" w:type="dxa"/>
            <w:noWrap/>
            <w:hideMark/>
          </w:tcPr>
          <w:p w14:paraId="25C33F90"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253</w:t>
            </w:r>
          </w:p>
        </w:tc>
        <w:tc>
          <w:tcPr>
            <w:tcW w:w="1075" w:type="dxa"/>
            <w:noWrap/>
            <w:hideMark/>
          </w:tcPr>
          <w:p w14:paraId="4E6A446A"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4,193</w:t>
            </w:r>
          </w:p>
        </w:tc>
        <w:tc>
          <w:tcPr>
            <w:tcW w:w="838" w:type="dxa"/>
            <w:noWrap/>
            <w:hideMark/>
          </w:tcPr>
          <w:p w14:paraId="5DCF6CD3" w14:textId="77777777" w:rsidR="00BF10A3" w:rsidRPr="0095078A" w:rsidRDefault="00BF10A3" w:rsidP="001F7400">
            <w:pPr>
              <w:rPr>
                <w:rFonts w:ascii="Courier New" w:eastAsiaTheme="minorHAnsi" w:hAnsi="Courier New" w:cs="Courier New"/>
                <w:sz w:val="16"/>
                <w:szCs w:val="16"/>
              </w:rPr>
            </w:pPr>
            <w:r w:rsidRPr="0095078A">
              <w:rPr>
                <w:rFonts w:ascii="Courier New" w:eastAsiaTheme="minorHAnsi" w:hAnsi="Courier New" w:cs="Courier New"/>
                <w:sz w:val="16"/>
                <w:szCs w:val="16"/>
              </w:rPr>
              <w:t>5,539</w:t>
            </w:r>
          </w:p>
        </w:tc>
      </w:tr>
    </w:tbl>
    <w:p w14:paraId="741F06E4" w14:textId="77777777" w:rsidR="00BF10A3" w:rsidRPr="0095078A" w:rsidRDefault="00BF10A3" w:rsidP="00BF10A3">
      <w:pPr>
        <w:spacing w:after="0" w:line="240" w:lineRule="auto"/>
        <w:rPr>
          <w:rFonts w:ascii="Courier New" w:eastAsiaTheme="minorHAnsi" w:hAnsi="Courier New" w:cstheme="minorBidi"/>
          <w:sz w:val="16"/>
        </w:rPr>
      </w:pPr>
    </w:p>
    <w:p w14:paraId="65583BCE"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i/>
          <w:sz w:val="24"/>
          <w:szCs w:val="24"/>
        </w:rPr>
        <w:tab/>
      </w:r>
      <w:r w:rsidRPr="00AA6DFD">
        <w:rPr>
          <w:rFonts w:ascii="Courier New" w:hAnsi="Courier New" w:cs="Courier New"/>
          <w:sz w:val="24"/>
          <w:szCs w:val="24"/>
        </w:rPr>
        <w:t>Table 2.17 illustrates the type of programs, by sector, in the 2012 GE informational D/E rates.  The most common types of programs offered were Health Professions and Related Sciences programs, Personal and Miscellaneous Services programs, and Business Management and Administrative Services programs.  A substantial majority (over 75 percent</w:t>
      </w:r>
      <w:r w:rsidRPr="00B53B21">
        <w:rPr>
          <w:rFonts w:ascii="Courier New" w:hAnsi="Courier New"/>
          <w:sz w:val="24"/>
        </w:rPr>
        <w:t>) of these programs are offered by for-profit institutions.  This table includes all programs in the sample at all credential levels.</w:t>
      </w:r>
    </w:p>
    <w:p w14:paraId="04FB4C18" w14:textId="77777777" w:rsidR="00BF10A3" w:rsidRPr="00AA6DFD" w:rsidRDefault="00BF10A3" w:rsidP="00BF10A3">
      <w:pPr>
        <w:spacing w:after="0" w:line="480" w:lineRule="auto"/>
        <w:rPr>
          <w:rFonts w:ascii="Courier New" w:hAnsi="Courier New" w:cs="Courier New"/>
          <w:sz w:val="24"/>
          <w:szCs w:val="24"/>
        </w:rPr>
      </w:pPr>
    </w:p>
    <w:p w14:paraId="37A2EAAB"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2.18: 2012 GE Informational D/E Rates Programs As a Percentage of All Programs in FY 2010 Reporting by Two-Digit CIP Code </w:t>
      </w:r>
    </w:p>
    <w:p w14:paraId="00117393" w14:textId="77777777" w:rsidR="00BF10A3" w:rsidRPr="00416F23" w:rsidRDefault="00BF10A3" w:rsidP="00BF10A3">
      <w:pPr>
        <w:pStyle w:val="NoSpacing"/>
        <w:rPr>
          <w:rFonts w:ascii="Courier New" w:eastAsiaTheme="minorHAnsi" w:hAnsi="Courier New" w:cstheme="minorBidi"/>
          <w:sz w:val="16"/>
        </w:rPr>
      </w:pPr>
    </w:p>
    <w:tbl>
      <w:tblPr>
        <w:tblStyle w:val="TableGrid6"/>
        <w:tblW w:w="0" w:type="auto"/>
        <w:tblLook w:val="04A0" w:firstRow="1" w:lastRow="0" w:firstColumn="1" w:lastColumn="0" w:noHBand="0" w:noVBand="1"/>
      </w:tblPr>
      <w:tblGrid>
        <w:gridCol w:w="775"/>
        <w:gridCol w:w="5081"/>
        <w:gridCol w:w="793"/>
        <w:gridCol w:w="889"/>
        <w:gridCol w:w="964"/>
        <w:gridCol w:w="775"/>
      </w:tblGrid>
      <w:tr w:rsidR="00BF10A3" w:rsidRPr="00416F23" w14:paraId="011DB85C" w14:textId="77777777" w:rsidTr="001F7400">
        <w:trPr>
          <w:trHeight w:val="743"/>
        </w:trPr>
        <w:tc>
          <w:tcPr>
            <w:tcW w:w="775" w:type="dxa"/>
            <w:vAlign w:val="center"/>
            <w:hideMark/>
          </w:tcPr>
          <w:p w14:paraId="388B6C86"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2-Digit CIP Code</w:t>
            </w:r>
          </w:p>
        </w:tc>
        <w:tc>
          <w:tcPr>
            <w:tcW w:w="5081" w:type="dxa"/>
            <w:vAlign w:val="center"/>
            <w:hideMark/>
          </w:tcPr>
          <w:p w14:paraId="57CF2B45"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2-Digit CIP Name</w:t>
            </w:r>
          </w:p>
        </w:tc>
        <w:tc>
          <w:tcPr>
            <w:tcW w:w="793" w:type="dxa"/>
            <w:noWrap/>
            <w:vAlign w:val="center"/>
            <w:hideMark/>
          </w:tcPr>
          <w:p w14:paraId="41BBCE55"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Public</w:t>
            </w:r>
          </w:p>
        </w:tc>
        <w:tc>
          <w:tcPr>
            <w:tcW w:w="889" w:type="dxa"/>
            <w:noWrap/>
            <w:vAlign w:val="center"/>
            <w:hideMark/>
          </w:tcPr>
          <w:p w14:paraId="5CE76BAB"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Private</w:t>
            </w:r>
          </w:p>
        </w:tc>
        <w:tc>
          <w:tcPr>
            <w:tcW w:w="964" w:type="dxa"/>
            <w:noWrap/>
            <w:vAlign w:val="center"/>
            <w:hideMark/>
          </w:tcPr>
          <w:p w14:paraId="351A6254"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For-Profit</w:t>
            </w:r>
          </w:p>
        </w:tc>
        <w:tc>
          <w:tcPr>
            <w:tcW w:w="775" w:type="dxa"/>
            <w:noWrap/>
            <w:vAlign w:val="center"/>
            <w:hideMark/>
          </w:tcPr>
          <w:p w14:paraId="503AF6DF" w14:textId="77777777" w:rsidR="00BF10A3" w:rsidRPr="00416F23" w:rsidRDefault="00BF10A3" w:rsidP="001F7400">
            <w:pPr>
              <w:jc w:val="center"/>
              <w:rPr>
                <w:rFonts w:ascii="Courier New" w:eastAsiaTheme="minorHAnsi" w:hAnsi="Courier New" w:cstheme="minorBidi"/>
                <w:b/>
                <w:bCs/>
                <w:sz w:val="16"/>
              </w:rPr>
            </w:pPr>
            <w:r w:rsidRPr="00416F23">
              <w:rPr>
                <w:rFonts w:ascii="Courier New" w:eastAsiaTheme="minorHAnsi" w:hAnsi="Courier New" w:cstheme="minorBidi"/>
                <w:b/>
                <w:bCs/>
                <w:sz w:val="16"/>
              </w:rPr>
              <w:t>Total</w:t>
            </w:r>
          </w:p>
        </w:tc>
      </w:tr>
      <w:tr w:rsidR="00BF10A3" w:rsidRPr="00416F23" w14:paraId="14408B40" w14:textId="77777777" w:rsidTr="001F7400">
        <w:trPr>
          <w:trHeight w:val="225"/>
        </w:trPr>
        <w:tc>
          <w:tcPr>
            <w:tcW w:w="775" w:type="dxa"/>
            <w:noWrap/>
            <w:hideMark/>
          </w:tcPr>
          <w:p w14:paraId="6C3651C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51</w:t>
            </w:r>
          </w:p>
        </w:tc>
        <w:tc>
          <w:tcPr>
            <w:tcW w:w="5081" w:type="dxa"/>
            <w:noWrap/>
            <w:hideMark/>
          </w:tcPr>
          <w:p w14:paraId="7AEB12A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Health Professions and Related Sciences</w:t>
            </w:r>
          </w:p>
        </w:tc>
        <w:tc>
          <w:tcPr>
            <w:tcW w:w="793" w:type="dxa"/>
            <w:noWrap/>
            <w:hideMark/>
          </w:tcPr>
          <w:p w14:paraId="2737AF9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12.9%</w:t>
            </w:r>
          </w:p>
        </w:tc>
        <w:tc>
          <w:tcPr>
            <w:tcW w:w="889" w:type="dxa"/>
            <w:noWrap/>
            <w:hideMark/>
          </w:tcPr>
          <w:p w14:paraId="1E5817B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17.8%</w:t>
            </w:r>
          </w:p>
        </w:tc>
        <w:tc>
          <w:tcPr>
            <w:tcW w:w="964" w:type="dxa"/>
            <w:noWrap/>
            <w:hideMark/>
          </w:tcPr>
          <w:p w14:paraId="3493660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43.5%</w:t>
            </w:r>
          </w:p>
        </w:tc>
        <w:tc>
          <w:tcPr>
            <w:tcW w:w="775" w:type="dxa"/>
            <w:noWrap/>
            <w:hideMark/>
          </w:tcPr>
          <w:p w14:paraId="15BD24F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25.6%</w:t>
            </w:r>
          </w:p>
        </w:tc>
      </w:tr>
      <w:tr w:rsidR="00BF10A3" w:rsidRPr="00416F23" w14:paraId="485175AB" w14:textId="77777777" w:rsidTr="001F7400">
        <w:trPr>
          <w:trHeight w:val="225"/>
        </w:trPr>
        <w:tc>
          <w:tcPr>
            <w:tcW w:w="775" w:type="dxa"/>
            <w:noWrap/>
            <w:hideMark/>
          </w:tcPr>
          <w:p w14:paraId="0B2AD67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52</w:t>
            </w:r>
          </w:p>
        </w:tc>
        <w:tc>
          <w:tcPr>
            <w:tcW w:w="5081" w:type="dxa"/>
            <w:noWrap/>
            <w:hideMark/>
          </w:tcPr>
          <w:p w14:paraId="0572604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Business Management and Administrative Services</w:t>
            </w:r>
          </w:p>
        </w:tc>
        <w:tc>
          <w:tcPr>
            <w:tcW w:w="793" w:type="dxa"/>
            <w:noWrap/>
            <w:hideMark/>
          </w:tcPr>
          <w:p w14:paraId="0FE3935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1.5%</w:t>
            </w:r>
          </w:p>
        </w:tc>
        <w:tc>
          <w:tcPr>
            <w:tcW w:w="889" w:type="dxa"/>
            <w:noWrap/>
            <w:hideMark/>
          </w:tcPr>
          <w:p w14:paraId="2897BEB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6.8%</w:t>
            </w:r>
          </w:p>
        </w:tc>
        <w:tc>
          <w:tcPr>
            <w:tcW w:w="964" w:type="dxa"/>
            <w:noWrap/>
            <w:hideMark/>
          </w:tcPr>
          <w:p w14:paraId="607BDA4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22.8%</w:t>
            </w:r>
          </w:p>
        </w:tc>
        <w:tc>
          <w:tcPr>
            <w:tcW w:w="775" w:type="dxa"/>
            <w:noWrap/>
            <w:hideMark/>
          </w:tcPr>
          <w:p w14:paraId="0A71BC4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8.3%</w:t>
            </w:r>
          </w:p>
        </w:tc>
      </w:tr>
      <w:tr w:rsidR="00BF10A3" w:rsidRPr="00416F23" w14:paraId="35017483" w14:textId="77777777" w:rsidTr="001F7400">
        <w:trPr>
          <w:trHeight w:val="225"/>
        </w:trPr>
        <w:tc>
          <w:tcPr>
            <w:tcW w:w="775" w:type="dxa"/>
            <w:noWrap/>
            <w:hideMark/>
          </w:tcPr>
          <w:p w14:paraId="781BF49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12</w:t>
            </w:r>
          </w:p>
        </w:tc>
        <w:tc>
          <w:tcPr>
            <w:tcW w:w="5081" w:type="dxa"/>
            <w:noWrap/>
            <w:hideMark/>
          </w:tcPr>
          <w:p w14:paraId="63832C0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Personal and Miscellaneous Services</w:t>
            </w:r>
          </w:p>
        </w:tc>
        <w:tc>
          <w:tcPr>
            <w:tcW w:w="793" w:type="dxa"/>
            <w:noWrap/>
            <w:hideMark/>
          </w:tcPr>
          <w:p w14:paraId="3A3D0D6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7.3%</w:t>
            </w:r>
          </w:p>
        </w:tc>
        <w:tc>
          <w:tcPr>
            <w:tcW w:w="889" w:type="dxa"/>
            <w:noWrap/>
            <w:hideMark/>
          </w:tcPr>
          <w:p w14:paraId="5337910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18.0%</w:t>
            </w:r>
          </w:p>
        </w:tc>
        <w:tc>
          <w:tcPr>
            <w:tcW w:w="964" w:type="dxa"/>
            <w:noWrap/>
            <w:hideMark/>
          </w:tcPr>
          <w:p w14:paraId="15C4131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34.3%</w:t>
            </w:r>
          </w:p>
        </w:tc>
        <w:tc>
          <w:tcPr>
            <w:tcW w:w="775" w:type="dxa"/>
            <w:noWrap/>
            <w:hideMark/>
          </w:tcPr>
          <w:p w14:paraId="1E1C0BE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26.2%</w:t>
            </w:r>
          </w:p>
        </w:tc>
      </w:tr>
      <w:tr w:rsidR="00BF10A3" w:rsidRPr="00416F23" w14:paraId="6D1703D8" w14:textId="77777777" w:rsidTr="001F7400">
        <w:trPr>
          <w:trHeight w:val="225"/>
        </w:trPr>
        <w:tc>
          <w:tcPr>
            <w:tcW w:w="775" w:type="dxa"/>
            <w:noWrap/>
            <w:hideMark/>
          </w:tcPr>
          <w:p w14:paraId="13DF860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47</w:t>
            </w:r>
          </w:p>
        </w:tc>
        <w:tc>
          <w:tcPr>
            <w:tcW w:w="5081" w:type="dxa"/>
            <w:noWrap/>
            <w:hideMark/>
          </w:tcPr>
          <w:p w14:paraId="01259C7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Mechanics and Repairs</w:t>
            </w:r>
          </w:p>
        </w:tc>
        <w:tc>
          <w:tcPr>
            <w:tcW w:w="793" w:type="dxa"/>
            <w:noWrap/>
            <w:hideMark/>
          </w:tcPr>
          <w:p w14:paraId="1AF0B74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w:t>
            </w:r>
          </w:p>
        </w:tc>
        <w:tc>
          <w:tcPr>
            <w:tcW w:w="889" w:type="dxa"/>
            <w:noWrap/>
            <w:hideMark/>
          </w:tcPr>
          <w:p w14:paraId="1FB5140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20.4%</w:t>
            </w:r>
          </w:p>
        </w:tc>
        <w:tc>
          <w:tcPr>
            <w:tcW w:w="964" w:type="dxa"/>
            <w:noWrap/>
            <w:hideMark/>
          </w:tcPr>
          <w:p w14:paraId="00CD92E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56.6%</w:t>
            </w:r>
          </w:p>
        </w:tc>
        <w:tc>
          <w:tcPr>
            <w:tcW w:w="775" w:type="dxa"/>
            <w:noWrap/>
            <w:hideMark/>
          </w:tcPr>
          <w:p w14:paraId="6989F8B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9.7%</w:t>
            </w:r>
          </w:p>
        </w:tc>
      </w:tr>
      <w:tr w:rsidR="00BF10A3" w:rsidRPr="00416F23" w14:paraId="4E774B45" w14:textId="77777777" w:rsidTr="001F7400">
        <w:trPr>
          <w:trHeight w:val="225"/>
        </w:trPr>
        <w:tc>
          <w:tcPr>
            <w:tcW w:w="775" w:type="dxa"/>
            <w:noWrap/>
            <w:hideMark/>
          </w:tcPr>
          <w:p w14:paraId="26FB592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11</w:t>
            </w:r>
          </w:p>
        </w:tc>
        <w:tc>
          <w:tcPr>
            <w:tcW w:w="5081" w:type="dxa"/>
            <w:noWrap/>
            <w:hideMark/>
          </w:tcPr>
          <w:p w14:paraId="1396EA6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Computer and Information Sciences</w:t>
            </w:r>
          </w:p>
        </w:tc>
        <w:tc>
          <w:tcPr>
            <w:tcW w:w="793" w:type="dxa"/>
            <w:noWrap/>
            <w:hideMark/>
          </w:tcPr>
          <w:p w14:paraId="1FAC549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0.4%</w:t>
            </w:r>
          </w:p>
        </w:tc>
        <w:tc>
          <w:tcPr>
            <w:tcW w:w="889" w:type="dxa"/>
            <w:noWrap/>
            <w:hideMark/>
          </w:tcPr>
          <w:p w14:paraId="31358AB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6.7%</w:t>
            </w:r>
          </w:p>
        </w:tc>
        <w:tc>
          <w:tcPr>
            <w:tcW w:w="964" w:type="dxa"/>
            <w:noWrap/>
            <w:hideMark/>
          </w:tcPr>
          <w:p w14:paraId="6E170C8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22.8%</w:t>
            </w:r>
          </w:p>
        </w:tc>
        <w:tc>
          <w:tcPr>
            <w:tcW w:w="775" w:type="dxa"/>
            <w:noWrap/>
            <w:hideMark/>
          </w:tcPr>
          <w:p w14:paraId="0548A1E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8.2%</w:t>
            </w:r>
          </w:p>
        </w:tc>
      </w:tr>
      <w:tr w:rsidR="00BF10A3" w:rsidRPr="00416F23" w14:paraId="04CD2F44" w14:textId="77777777" w:rsidTr="001F7400">
        <w:trPr>
          <w:trHeight w:val="225"/>
        </w:trPr>
        <w:tc>
          <w:tcPr>
            <w:tcW w:w="775" w:type="dxa"/>
            <w:noWrap/>
            <w:hideMark/>
          </w:tcPr>
          <w:p w14:paraId="518F6CA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15</w:t>
            </w:r>
          </w:p>
        </w:tc>
        <w:tc>
          <w:tcPr>
            <w:tcW w:w="5081" w:type="dxa"/>
            <w:noWrap/>
            <w:hideMark/>
          </w:tcPr>
          <w:p w14:paraId="06494E8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Engineering Related Technologies</w:t>
            </w:r>
          </w:p>
        </w:tc>
        <w:tc>
          <w:tcPr>
            <w:tcW w:w="793" w:type="dxa"/>
            <w:noWrap/>
            <w:hideMark/>
          </w:tcPr>
          <w:p w14:paraId="4555E8B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0.5%</w:t>
            </w:r>
          </w:p>
        </w:tc>
        <w:tc>
          <w:tcPr>
            <w:tcW w:w="889" w:type="dxa"/>
            <w:noWrap/>
            <w:hideMark/>
          </w:tcPr>
          <w:p w14:paraId="0BCE326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16.7%</w:t>
            </w:r>
          </w:p>
        </w:tc>
        <w:tc>
          <w:tcPr>
            <w:tcW w:w="964" w:type="dxa"/>
            <w:noWrap/>
            <w:hideMark/>
          </w:tcPr>
          <w:p w14:paraId="0070D63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36.7%</w:t>
            </w:r>
          </w:p>
        </w:tc>
        <w:tc>
          <w:tcPr>
            <w:tcW w:w="775" w:type="dxa"/>
            <w:noWrap/>
            <w:hideMark/>
          </w:tcPr>
          <w:p w14:paraId="03D7B1D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6.4%</w:t>
            </w:r>
          </w:p>
        </w:tc>
      </w:tr>
      <w:tr w:rsidR="00BF10A3" w:rsidRPr="00416F23" w14:paraId="1A3F8F51" w14:textId="77777777" w:rsidTr="001F7400">
        <w:trPr>
          <w:trHeight w:val="225"/>
        </w:trPr>
        <w:tc>
          <w:tcPr>
            <w:tcW w:w="775" w:type="dxa"/>
            <w:noWrap/>
            <w:hideMark/>
          </w:tcPr>
          <w:p w14:paraId="4E9AF33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50</w:t>
            </w:r>
          </w:p>
        </w:tc>
        <w:tc>
          <w:tcPr>
            <w:tcW w:w="5081" w:type="dxa"/>
            <w:noWrap/>
            <w:hideMark/>
          </w:tcPr>
          <w:p w14:paraId="2972882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Visual and Performing Arts</w:t>
            </w:r>
          </w:p>
        </w:tc>
        <w:tc>
          <w:tcPr>
            <w:tcW w:w="793" w:type="dxa"/>
            <w:noWrap/>
            <w:hideMark/>
          </w:tcPr>
          <w:p w14:paraId="29DEDEC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0.3%</w:t>
            </w:r>
          </w:p>
        </w:tc>
        <w:tc>
          <w:tcPr>
            <w:tcW w:w="889" w:type="dxa"/>
            <w:noWrap/>
            <w:hideMark/>
          </w:tcPr>
          <w:p w14:paraId="6614FCC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4.0%</w:t>
            </w:r>
          </w:p>
        </w:tc>
        <w:tc>
          <w:tcPr>
            <w:tcW w:w="964" w:type="dxa"/>
            <w:noWrap/>
            <w:hideMark/>
          </w:tcPr>
          <w:p w14:paraId="4E32A75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36.0%</w:t>
            </w:r>
          </w:p>
        </w:tc>
        <w:tc>
          <w:tcPr>
            <w:tcW w:w="775" w:type="dxa"/>
            <w:noWrap/>
            <w:hideMark/>
          </w:tcPr>
          <w:p w14:paraId="084A021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17.5%</w:t>
            </w:r>
          </w:p>
        </w:tc>
      </w:tr>
      <w:tr w:rsidR="00BF10A3" w:rsidRPr="00416F23" w14:paraId="21133ECA" w14:textId="77777777" w:rsidTr="001F7400">
        <w:trPr>
          <w:trHeight w:val="225"/>
        </w:trPr>
        <w:tc>
          <w:tcPr>
            <w:tcW w:w="775" w:type="dxa"/>
            <w:noWrap/>
            <w:hideMark/>
          </w:tcPr>
          <w:p w14:paraId="1369D12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13</w:t>
            </w:r>
          </w:p>
        </w:tc>
        <w:tc>
          <w:tcPr>
            <w:tcW w:w="5081" w:type="dxa"/>
            <w:noWrap/>
            <w:hideMark/>
          </w:tcPr>
          <w:p w14:paraId="5D8A480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Education</w:t>
            </w:r>
          </w:p>
        </w:tc>
        <w:tc>
          <w:tcPr>
            <w:tcW w:w="793" w:type="dxa"/>
            <w:noWrap/>
            <w:hideMark/>
          </w:tcPr>
          <w:p w14:paraId="1CFABDA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3.9%</w:t>
            </w:r>
          </w:p>
        </w:tc>
        <w:tc>
          <w:tcPr>
            <w:tcW w:w="889" w:type="dxa"/>
            <w:noWrap/>
            <w:hideMark/>
          </w:tcPr>
          <w:p w14:paraId="5A4A08C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6.2%</w:t>
            </w:r>
          </w:p>
        </w:tc>
        <w:tc>
          <w:tcPr>
            <w:tcW w:w="964" w:type="dxa"/>
            <w:noWrap/>
            <w:hideMark/>
          </w:tcPr>
          <w:p w14:paraId="653FB01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23.2%</w:t>
            </w:r>
          </w:p>
        </w:tc>
        <w:tc>
          <w:tcPr>
            <w:tcW w:w="775" w:type="dxa"/>
            <w:noWrap/>
            <w:hideMark/>
          </w:tcPr>
          <w:p w14:paraId="5752DDC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8.3%</w:t>
            </w:r>
          </w:p>
        </w:tc>
      </w:tr>
      <w:tr w:rsidR="00BF10A3" w:rsidRPr="00416F23" w14:paraId="2654C69B" w14:textId="77777777" w:rsidTr="001F7400">
        <w:trPr>
          <w:trHeight w:val="225"/>
        </w:trPr>
        <w:tc>
          <w:tcPr>
            <w:tcW w:w="775" w:type="dxa"/>
            <w:noWrap/>
            <w:hideMark/>
          </w:tcPr>
          <w:p w14:paraId="7A5C8BE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43</w:t>
            </w:r>
          </w:p>
        </w:tc>
        <w:tc>
          <w:tcPr>
            <w:tcW w:w="5081" w:type="dxa"/>
            <w:noWrap/>
            <w:hideMark/>
          </w:tcPr>
          <w:p w14:paraId="4B6FB91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Protective Services</w:t>
            </w:r>
          </w:p>
        </w:tc>
        <w:tc>
          <w:tcPr>
            <w:tcW w:w="793" w:type="dxa"/>
            <w:noWrap/>
            <w:hideMark/>
          </w:tcPr>
          <w:p w14:paraId="181C8C9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9.4%</w:t>
            </w:r>
          </w:p>
        </w:tc>
        <w:tc>
          <w:tcPr>
            <w:tcW w:w="889" w:type="dxa"/>
            <w:noWrap/>
            <w:hideMark/>
          </w:tcPr>
          <w:p w14:paraId="1A4A192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5.6%</w:t>
            </w:r>
          </w:p>
        </w:tc>
        <w:tc>
          <w:tcPr>
            <w:tcW w:w="964" w:type="dxa"/>
            <w:noWrap/>
            <w:hideMark/>
          </w:tcPr>
          <w:p w14:paraId="27B4C68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29.6%</w:t>
            </w:r>
          </w:p>
        </w:tc>
        <w:tc>
          <w:tcPr>
            <w:tcW w:w="775" w:type="dxa"/>
            <w:noWrap/>
            <w:hideMark/>
          </w:tcPr>
          <w:p w14:paraId="5D30706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15.3%</w:t>
            </w:r>
          </w:p>
        </w:tc>
      </w:tr>
      <w:tr w:rsidR="00BF10A3" w:rsidRPr="00416F23" w14:paraId="356F5DCE" w14:textId="77777777" w:rsidTr="001F7400">
        <w:trPr>
          <w:trHeight w:val="225"/>
        </w:trPr>
        <w:tc>
          <w:tcPr>
            <w:tcW w:w="775" w:type="dxa"/>
            <w:noWrap/>
            <w:hideMark/>
          </w:tcPr>
          <w:p w14:paraId="1D54021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48</w:t>
            </w:r>
          </w:p>
        </w:tc>
        <w:tc>
          <w:tcPr>
            <w:tcW w:w="5081" w:type="dxa"/>
            <w:noWrap/>
            <w:hideMark/>
          </w:tcPr>
          <w:p w14:paraId="3AE05D9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Precision Production Trades</w:t>
            </w:r>
          </w:p>
        </w:tc>
        <w:tc>
          <w:tcPr>
            <w:tcW w:w="793" w:type="dxa"/>
            <w:noWrap/>
            <w:hideMark/>
          </w:tcPr>
          <w:p w14:paraId="4C73E0D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w:t>
            </w:r>
          </w:p>
        </w:tc>
        <w:tc>
          <w:tcPr>
            <w:tcW w:w="889" w:type="dxa"/>
            <w:noWrap/>
            <w:hideMark/>
          </w:tcPr>
          <w:p w14:paraId="1484A62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22.7%</w:t>
            </w:r>
          </w:p>
        </w:tc>
        <w:tc>
          <w:tcPr>
            <w:tcW w:w="964" w:type="dxa"/>
            <w:noWrap/>
            <w:hideMark/>
          </w:tcPr>
          <w:p w14:paraId="3FE6825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51.9%</w:t>
            </w:r>
          </w:p>
        </w:tc>
        <w:tc>
          <w:tcPr>
            <w:tcW w:w="775" w:type="dxa"/>
            <w:noWrap/>
            <w:hideMark/>
          </w:tcPr>
          <w:p w14:paraId="0923974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5.0%</w:t>
            </w:r>
          </w:p>
        </w:tc>
      </w:tr>
      <w:tr w:rsidR="00BF10A3" w:rsidRPr="00416F23" w14:paraId="551708E6" w14:textId="77777777" w:rsidTr="001F7400">
        <w:trPr>
          <w:trHeight w:val="225"/>
        </w:trPr>
        <w:tc>
          <w:tcPr>
            <w:tcW w:w="775" w:type="dxa"/>
            <w:noWrap/>
            <w:hideMark/>
          </w:tcPr>
          <w:p w14:paraId="0C6E679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46</w:t>
            </w:r>
          </w:p>
        </w:tc>
        <w:tc>
          <w:tcPr>
            <w:tcW w:w="5081" w:type="dxa"/>
            <w:noWrap/>
            <w:hideMark/>
          </w:tcPr>
          <w:p w14:paraId="0289488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Construction Trades</w:t>
            </w:r>
          </w:p>
        </w:tc>
        <w:tc>
          <w:tcPr>
            <w:tcW w:w="793" w:type="dxa"/>
            <w:noWrap/>
            <w:hideMark/>
          </w:tcPr>
          <w:p w14:paraId="67B024C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4.1%</w:t>
            </w:r>
          </w:p>
        </w:tc>
        <w:tc>
          <w:tcPr>
            <w:tcW w:w="889" w:type="dxa"/>
            <w:noWrap/>
            <w:hideMark/>
          </w:tcPr>
          <w:p w14:paraId="6B7EE56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41.7%</w:t>
            </w:r>
          </w:p>
        </w:tc>
        <w:tc>
          <w:tcPr>
            <w:tcW w:w="964" w:type="dxa"/>
            <w:noWrap/>
            <w:hideMark/>
          </w:tcPr>
          <w:p w14:paraId="7E341A8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46.8%</w:t>
            </w:r>
          </w:p>
        </w:tc>
        <w:tc>
          <w:tcPr>
            <w:tcW w:w="775" w:type="dxa"/>
            <w:noWrap/>
            <w:hideMark/>
          </w:tcPr>
          <w:p w14:paraId="2FEA930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9.8%</w:t>
            </w:r>
          </w:p>
        </w:tc>
      </w:tr>
      <w:tr w:rsidR="00BF10A3" w:rsidRPr="00416F23" w14:paraId="71643818" w14:textId="77777777" w:rsidTr="001F7400">
        <w:trPr>
          <w:trHeight w:val="225"/>
        </w:trPr>
        <w:tc>
          <w:tcPr>
            <w:tcW w:w="775" w:type="dxa"/>
            <w:noWrap/>
            <w:hideMark/>
          </w:tcPr>
          <w:p w14:paraId="6FBD307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w:t>
            </w:r>
          </w:p>
        </w:tc>
        <w:tc>
          <w:tcPr>
            <w:tcW w:w="5081" w:type="dxa"/>
            <w:noWrap/>
            <w:hideMark/>
          </w:tcPr>
          <w:p w14:paraId="47F998C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Law and Legal Services</w:t>
            </w:r>
          </w:p>
        </w:tc>
        <w:tc>
          <w:tcPr>
            <w:tcW w:w="793" w:type="dxa"/>
            <w:noWrap/>
            <w:hideMark/>
          </w:tcPr>
          <w:p w14:paraId="4D65F54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3.5%</w:t>
            </w:r>
          </w:p>
        </w:tc>
        <w:tc>
          <w:tcPr>
            <w:tcW w:w="889" w:type="dxa"/>
            <w:noWrap/>
            <w:hideMark/>
          </w:tcPr>
          <w:p w14:paraId="5B7EDA5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13.6%</w:t>
            </w:r>
          </w:p>
        </w:tc>
        <w:tc>
          <w:tcPr>
            <w:tcW w:w="964" w:type="dxa"/>
            <w:noWrap/>
            <w:hideMark/>
          </w:tcPr>
          <w:p w14:paraId="2C8A1A2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18.5%</w:t>
            </w:r>
          </w:p>
        </w:tc>
        <w:tc>
          <w:tcPr>
            <w:tcW w:w="775" w:type="dxa"/>
            <w:noWrap/>
            <w:hideMark/>
          </w:tcPr>
          <w:p w14:paraId="491979D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11.7%</w:t>
            </w:r>
          </w:p>
        </w:tc>
      </w:tr>
      <w:tr w:rsidR="00BF10A3" w:rsidRPr="00416F23" w14:paraId="18748AE4" w14:textId="77777777" w:rsidTr="001F7400">
        <w:trPr>
          <w:trHeight w:val="225"/>
        </w:trPr>
        <w:tc>
          <w:tcPr>
            <w:tcW w:w="775" w:type="dxa"/>
            <w:noWrap/>
            <w:hideMark/>
          </w:tcPr>
          <w:p w14:paraId="2CC8EEC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19</w:t>
            </w:r>
          </w:p>
        </w:tc>
        <w:tc>
          <w:tcPr>
            <w:tcW w:w="5081" w:type="dxa"/>
            <w:noWrap/>
            <w:hideMark/>
          </w:tcPr>
          <w:p w14:paraId="337C032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Home Economics</w:t>
            </w:r>
          </w:p>
        </w:tc>
        <w:tc>
          <w:tcPr>
            <w:tcW w:w="793" w:type="dxa"/>
            <w:noWrap/>
            <w:hideMark/>
          </w:tcPr>
          <w:p w14:paraId="3791F35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2.6%</w:t>
            </w:r>
          </w:p>
        </w:tc>
        <w:tc>
          <w:tcPr>
            <w:tcW w:w="889" w:type="dxa"/>
            <w:noWrap/>
            <w:hideMark/>
          </w:tcPr>
          <w:p w14:paraId="75313A5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25.0%</w:t>
            </w:r>
          </w:p>
        </w:tc>
        <w:tc>
          <w:tcPr>
            <w:tcW w:w="964" w:type="dxa"/>
            <w:noWrap/>
            <w:hideMark/>
          </w:tcPr>
          <w:p w14:paraId="7C978DA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20.5%</w:t>
            </w:r>
          </w:p>
        </w:tc>
        <w:tc>
          <w:tcPr>
            <w:tcW w:w="775" w:type="dxa"/>
            <w:noWrap/>
            <w:hideMark/>
          </w:tcPr>
          <w:p w14:paraId="5D22BB3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4.3%</w:t>
            </w:r>
          </w:p>
        </w:tc>
      </w:tr>
      <w:tr w:rsidR="00BF10A3" w:rsidRPr="00416F23" w14:paraId="0C5D4BD3" w14:textId="77777777" w:rsidTr="001F7400">
        <w:trPr>
          <w:trHeight w:val="225"/>
        </w:trPr>
        <w:tc>
          <w:tcPr>
            <w:tcW w:w="775" w:type="dxa"/>
            <w:noWrap/>
            <w:hideMark/>
          </w:tcPr>
          <w:p w14:paraId="4A010DD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w:t>
            </w:r>
          </w:p>
        </w:tc>
        <w:tc>
          <w:tcPr>
            <w:tcW w:w="5081" w:type="dxa"/>
            <w:noWrap/>
            <w:hideMark/>
          </w:tcPr>
          <w:p w14:paraId="257DCA9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Agricultural Business and Production</w:t>
            </w:r>
          </w:p>
        </w:tc>
        <w:tc>
          <w:tcPr>
            <w:tcW w:w="793" w:type="dxa"/>
            <w:noWrap/>
            <w:hideMark/>
          </w:tcPr>
          <w:p w14:paraId="65D23E5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0.4%</w:t>
            </w:r>
          </w:p>
        </w:tc>
        <w:tc>
          <w:tcPr>
            <w:tcW w:w="889" w:type="dxa"/>
            <w:noWrap/>
            <w:hideMark/>
          </w:tcPr>
          <w:p w14:paraId="4DADE1D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20.0%</w:t>
            </w:r>
          </w:p>
        </w:tc>
        <w:tc>
          <w:tcPr>
            <w:tcW w:w="964" w:type="dxa"/>
            <w:noWrap/>
            <w:hideMark/>
          </w:tcPr>
          <w:p w14:paraId="22BD362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33.3%</w:t>
            </w:r>
          </w:p>
        </w:tc>
        <w:tc>
          <w:tcPr>
            <w:tcW w:w="775" w:type="dxa"/>
            <w:noWrap/>
            <w:hideMark/>
          </w:tcPr>
          <w:p w14:paraId="4FD3D34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1.2%</w:t>
            </w:r>
          </w:p>
        </w:tc>
      </w:tr>
      <w:tr w:rsidR="00BF10A3" w:rsidRPr="00416F23" w14:paraId="37E8737B" w14:textId="77777777" w:rsidTr="001F7400">
        <w:trPr>
          <w:trHeight w:val="225"/>
        </w:trPr>
        <w:tc>
          <w:tcPr>
            <w:tcW w:w="775" w:type="dxa"/>
            <w:noWrap/>
            <w:hideMark/>
          </w:tcPr>
          <w:p w14:paraId="723288E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10</w:t>
            </w:r>
          </w:p>
        </w:tc>
        <w:tc>
          <w:tcPr>
            <w:tcW w:w="5081" w:type="dxa"/>
            <w:noWrap/>
            <w:hideMark/>
          </w:tcPr>
          <w:p w14:paraId="17BA3EE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Telecommunications Technologies</w:t>
            </w:r>
          </w:p>
        </w:tc>
        <w:tc>
          <w:tcPr>
            <w:tcW w:w="793" w:type="dxa"/>
            <w:noWrap/>
            <w:hideMark/>
          </w:tcPr>
          <w:p w14:paraId="5F0B5CC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0.3%</w:t>
            </w:r>
          </w:p>
        </w:tc>
        <w:tc>
          <w:tcPr>
            <w:tcW w:w="889" w:type="dxa"/>
            <w:noWrap/>
            <w:hideMark/>
          </w:tcPr>
          <w:p w14:paraId="51F462F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20.0%</w:t>
            </w:r>
          </w:p>
        </w:tc>
        <w:tc>
          <w:tcPr>
            <w:tcW w:w="964" w:type="dxa"/>
            <w:noWrap/>
            <w:hideMark/>
          </w:tcPr>
          <w:p w14:paraId="2784870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35.1%</w:t>
            </w:r>
          </w:p>
        </w:tc>
        <w:tc>
          <w:tcPr>
            <w:tcW w:w="775" w:type="dxa"/>
            <w:noWrap/>
            <w:hideMark/>
          </w:tcPr>
          <w:p w14:paraId="223DCCD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9.3%</w:t>
            </w:r>
          </w:p>
        </w:tc>
      </w:tr>
      <w:tr w:rsidR="00BF10A3" w:rsidRPr="00416F23" w14:paraId="709D5043" w14:textId="77777777" w:rsidTr="001F7400">
        <w:trPr>
          <w:trHeight w:val="225"/>
        </w:trPr>
        <w:tc>
          <w:tcPr>
            <w:tcW w:w="775" w:type="dxa"/>
            <w:noWrap/>
            <w:hideMark/>
          </w:tcPr>
          <w:p w14:paraId="6BA2F69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44</w:t>
            </w:r>
          </w:p>
        </w:tc>
        <w:tc>
          <w:tcPr>
            <w:tcW w:w="5081" w:type="dxa"/>
            <w:noWrap/>
            <w:hideMark/>
          </w:tcPr>
          <w:p w14:paraId="65DA246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Public Administration and Services</w:t>
            </w:r>
          </w:p>
        </w:tc>
        <w:tc>
          <w:tcPr>
            <w:tcW w:w="793" w:type="dxa"/>
            <w:noWrap/>
            <w:hideMark/>
          </w:tcPr>
          <w:p w14:paraId="7CB3ED9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0.5%</w:t>
            </w:r>
          </w:p>
        </w:tc>
        <w:tc>
          <w:tcPr>
            <w:tcW w:w="889" w:type="dxa"/>
            <w:noWrap/>
            <w:hideMark/>
          </w:tcPr>
          <w:p w14:paraId="1DADC59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3.6%</w:t>
            </w:r>
          </w:p>
        </w:tc>
        <w:tc>
          <w:tcPr>
            <w:tcW w:w="964" w:type="dxa"/>
            <w:noWrap/>
            <w:hideMark/>
          </w:tcPr>
          <w:p w14:paraId="2E81291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23.3%</w:t>
            </w:r>
          </w:p>
        </w:tc>
        <w:tc>
          <w:tcPr>
            <w:tcW w:w="775" w:type="dxa"/>
            <w:noWrap/>
            <w:hideMark/>
          </w:tcPr>
          <w:p w14:paraId="2C13046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4.7%</w:t>
            </w:r>
          </w:p>
        </w:tc>
      </w:tr>
      <w:tr w:rsidR="00BF10A3" w:rsidRPr="00416F23" w14:paraId="6E565D05" w14:textId="77777777" w:rsidTr="001F7400">
        <w:trPr>
          <w:trHeight w:val="225"/>
        </w:trPr>
        <w:tc>
          <w:tcPr>
            <w:tcW w:w="775" w:type="dxa"/>
            <w:noWrap/>
            <w:hideMark/>
          </w:tcPr>
          <w:p w14:paraId="5E1D20E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9</w:t>
            </w:r>
          </w:p>
        </w:tc>
        <w:tc>
          <w:tcPr>
            <w:tcW w:w="5081" w:type="dxa"/>
            <w:noWrap/>
            <w:hideMark/>
          </w:tcPr>
          <w:p w14:paraId="1E846D2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Communications</w:t>
            </w:r>
          </w:p>
        </w:tc>
        <w:tc>
          <w:tcPr>
            <w:tcW w:w="793" w:type="dxa"/>
            <w:noWrap/>
            <w:hideMark/>
          </w:tcPr>
          <w:p w14:paraId="595D2BB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6662F98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7E0C698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27.6%</w:t>
            </w:r>
          </w:p>
        </w:tc>
        <w:tc>
          <w:tcPr>
            <w:tcW w:w="775" w:type="dxa"/>
            <w:noWrap/>
            <w:hideMark/>
          </w:tcPr>
          <w:p w14:paraId="3D39D2B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8.3%</w:t>
            </w:r>
          </w:p>
        </w:tc>
      </w:tr>
      <w:tr w:rsidR="00BF10A3" w:rsidRPr="00416F23" w14:paraId="194BEA4D" w14:textId="77777777" w:rsidTr="001F7400">
        <w:trPr>
          <w:trHeight w:val="225"/>
        </w:trPr>
        <w:tc>
          <w:tcPr>
            <w:tcW w:w="775" w:type="dxa"/>
            <w:noWrap/>
            <w:hideMark/>
          </w:tcPr>
          <w:p w14:paraId="023B8A2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49</w:t>
            </w:r>
          </w:p>
        </w:tc>
        <w:tc>
          <w:tcPr>
            <w:tcW w:w="5081" w:type="dxa"/>
            <w:noWrap/>
            <w:hideMark/>
          </w:tcPr>
          <w:p w14:paraId="412F748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Transportation and Material Moving Workers</w:t>
            </w:r>
          </w:p>
        </w:tc>
        <w:tc>
          <w:tcPr>
            <w:tcW w:w="793" w:type="dxa"/>
            <w:noWrap/>
            <w:hideMark/>
          </w:tcPr>
          <w:p w14:paraId="5497072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14.7%</w:t>
            </w:r>
          </w:p>
        </w:tc>
        <w:tc>
          <w:tcPr>
            <w:tcW w:w="889" w:type="dxa"/>
            <w:noWrap/>
            <w:hideMark/>
          </w:tcPr>
          <w:p w14:paraId="40FA9AB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28.6%</w:t>
            </w:r>
          </w:p>
        </w:tc>
        <w:tc>
          <w:tcPr>
            <w:tcW w:w="964" w:type="dxa"/>
            <w:noWrap/>
            <w:hideMark/>
          </w:tcPr>
          <w:p w14:paraId="690F459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43.2%</w:t>
            </w:r>
          </w:p>
        </w:tc>
        <w:tc>
          <w:tcPr>
            <w:tcW w:w="775" w:type="dxa"/>
            <w:noWrap/>
            <w:hideMark/>
          </w:tcPr>
          <w:p w14:paraId="09EE62A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20.8%</w:t>
            </w:r>
          </w:p>
        </w:tc>
      </w:tr>
      <w:tr w:rsidR="00BF10A3" w:rsidRPr="00416F23" w14:paraId="424B296A" w14:textId="77777777" w:rsidTr="001F7400">
        <w:trPr>
          <w:trHeight w:val="225"/>
        </w:trPr>
        <w:tc>
          <w:tcPr>
            <w:tcW w:w="775" w:type="dxa"/>
            <w:noWrap/>
            <w:hideMark/>
          </w:tcPr>
          <w:p w14:paraId="10685DF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31</w:t>
            </w:r>
          </w:p>
        </w:tc>
        <w:tc>
          <w:tcPr>
            <w:tcW w:w="5081" w:type="dxa"/>
            <w:noWrap/>
            <w:hideMark/>
          </w:tcPr>
          <w:p w14:paraId="0EE8DBD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Parks, Recreation, Leisure, and Fitness Studies</w:t>
            </w:r>
          </w:p>
        </w:tc>
        <w:tc>
          <w:tcPr>
            <w:tcW w:w="793" w:type="dxa"/>
            <w:noWrap/>
            <w:hideMark/>
          </w:tcPr>
          <w:p w14:paraId="16459EA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0.9%</w:t>
            </w:r>
          </w:p>
        </w:tc>
        <w:tc>
          <w:tcPr>
            <w:tcW w:w="889" w:type="dxa"/>
            <w:noWrap/>
            <w:hideMark/>
          </w:tcPr>
          <w:p w14:paraId="07E4D36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708DC7C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14.5%</w:t>
            </w:r>
          </w:p>
        </w:tc>
        <w:tc>
          <w:tcPr>
            <w:tcW w:w="775" w:type="dxa"/>
            <w:noWrap/>
            <w:hideMark/>
          </w:tcPr>
          <w:p w14:paraId="0A35856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6.1%</w:t>
            </w:r>
          </w:p>
        </w:tc>
      </w:tr>
      <w:tr w:rsidR="00BF10A3" w:rsidRPr="00416F23" w14:paraId="3F86ECB4" w14:textId="77777777" w:rsidTr="001F7400">
        <w:trPr>
          <w:trHeight w:val="225"/>
        </w:trPr>
        <w:tc>
          <w:tcPr>
            <w:tcW w:w="775" w:type="dxa"/>
            <w:noWrap/>
            <w:hideMark/>
          </w:tcPr>
          <w:p w14:paraId="5880AA6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24</w:t>
            </w:r>
          </w:p>
        </w:tc>
        <w:tc>
          <w:tcPr>
            <w:tcW w:w="5081" w:type="dxa"/>
            <w:noWrap/>
            <w:hideMark/>
          </w:tcPr>
          <w:p w14:paraId="5B16755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Liberal Arts and Sciences, General Studies and Humanities</w:t>
            </w:r>
          </w:p>
        </w:tc>
        <w:tc>
          <w:tcPr>
            <w:tcW w:w="793" w:type="dxa"/>
            <w:noWrap/>
            <w:hideMark/>
          </w:tcPr>
          <w:p w14:paraId="07A0FD8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6.9%</w:t>
            </w:r>
          </w:p>
        </w:tc>
        <w:tc>
          <w:tcPr>
            <w:tcW w:w="889" w:type="dxa"/>
            <w:noWrap/>
            <w:hideMark/>
          </w:tcPr>
          <w:p w14:paraId="462AD2E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73E8A30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10.6%</w:t>
            </w:r>
          </w:p>
        </w:tc>
        <w:tc>
          <w:tcPr>
            <w:tcW w:w="775" w:type="dxa"/>
            <w:noWrap/>
            <w:hideMark/>
          </w:tcPr>
          <w:p w14:paraId="3EC2501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7.5%</w:t>
            </w:r>
          </w:p>
        </w:tc>
      </w:tr>
      <w:tr w:rsidR="00BF10A3" w:rsidRPr="00416F23" w14:paraId="13A777D3" w14:textId="77777777" w:rsidTr="001F7400">
        <w:trPr>
          <w:trHeight w:val="225"/>
        </w:trPr>
        <w:tc>
          <w:tcPr>
            <w:tcW w:w="775" w:type="dxa"/>
            <w:noWrap/>
            <w:hideMark/>
          </w:tcPr>
          <w:p w14:paraId="36337C4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30</w:t>
            </w:r>
          </w:p>
        </w:tc>
        <w:tc>
          <w:tcPr>
            <w:tcW w:w="5081" w:type="dxa"/>
            <w:noWrap/>
            <w:hideMark/>
          </w:tcPr>
          <w:p w14:paraId="70335CD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Multi-interdisciplinary Studies</w:t>
            </w:r>
          </w:p>
        </w:tc>
        <w:tc>
          <w:tcPr>
            <w:tcW w:w="793" w:type="dxa"/>
            <w:noWrap/>
            <w:hideMark/>
          </w:tcPr>
          <w:p w14:paraId="7D7CEAD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1.8%</w:t>
            </w:r>
          </w:p>
        </w:tc>
        <w:tc>
          <w:tcPr>
            <w:tcW w:w="889" w:type="dxa"/>
            <w:noWrap/>
            <w:hideMark/>
          </w:tcPr>
          <w:p w14:paraId="3C4ADC7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1EF8229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22.2%</w:t>
            </w:r>
          </w:p>
        </w:tc>
        <w:tc>
          <w:tcPr>
            <w:tcW w:w="775" w:type="dxa"/>
            <w:noWrap/>
            <w:hideMark/>
          </w:tcPr>
          <w:p w14:paraId="3053A32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4.4%</w:t>
            </w:r>
          </w:p>
        </w:tc>
      </w:tr>
      <w:tr w:rsidR="00BF10A3" w:rsidRPr="00416F23" w14:paraId="263E6002" w14:textId="77777777" w:rsidTr="001F7400">
        <w:trPr>
          <w:trHeight w:val="225"/>
        </w:trPr>
        <w:tc>
          <w:tcPr>
            <w:tcW w:w="775" w:type="dxa"/>
            <w:noWrap/>
            <w:hideMark/>
          </w:tcPr>
          <w:p w14:paraId="1AAC8CE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45</w:t>
            </w:r>
          </w:p>
        </w:tc>
        <w:tc>
          <w:tcPr>
            <w:tcW w:w="5081" w:type="dxa"/>
            <w:noWrap/>
            <w:hideMark/>
          </w:tcPr>
          <w:p w14:paraId="68A65D0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Social Sciences and History</w:t>
            </w:r>
          </w:p>
        </w:tc>
        <w:tc>
          <w:tcPr>
            <w:tcW w:w="793" w:type="dxa"/>
            <w:noWrap/>
            <w:hideMark/>
          </w:tcPr>
          <w:p w14:paraId="514C7B1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0.8%</w:t>
            </w:r>
          </w:p>
        </w:tc>
        <w:tc>
          <w:tcPr>
            <w:tcW w:w="889" w:type="dxa"/>
            <w:noWrap/>
            <w:hideMark/>
          </w:tcPr>
          <w:p w14:paraId="7E1BD4A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3.8%</w:t>
            </w:r>
          </w:p>
        </w:tc>
        <w:tc>
          <w:tcPr>
            <w:tcW w:w="964" w:type="dxa"/>
            <w:noWrap/>
            <w:hideMark/>
          </w:tcPr>
          <w:p w14:paraId="0CB9478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15.4%</w:t>
            </w:r>
          </w:p>
        </w:tc>
        <w:tc>
          <w:tcPr>
            <w:tcW w:w="775" w:type="dxa"/>
            <w:noWrap/>
            <w:hideMark/>
          </w:tcPr>
          <w:p w14:paraId="3AFA0FD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3.4%</w:t>
            </w:r>
          </w:p>
        </w:tc>
      </w:tr>
      <w:tr w:rsidR="00BF10A3" w:rsidRPr="00416F23" w14:paraId="75E7C02A" w14:textId="77777777" w:rsidTr="001F7400">
        <w:trPr>
          <w:trHeight w:val="225"/>
        </w:trPr>
        <w:tc>
          <w:tcPr>
            <w:tcW w:w="775" w:type="dxa"/>
            <w:noWrap/>
            <w:hideMark/>
          </w:tcPr>
          <w:p w14:paraId="41F5E95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42</w:t>
            </w:r>
          </w:p>
        </w:tc>
        <w:tc>
          <w:tcPr>
            <w:tcW w:w="5081" w:type="dxa"/>
            <w:noWrap/>
            <w:hideMark/>
          </w:tcPr>
          <w:p w14:paraId="1205ACC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Psychology</w:t>
            </w:r>
          </w:p>
        </w:tc>
        <w:tc>
          <w:tcPr>
            <w:tcW w:w="793" w:type="dxa"/>
            <w:noWrap/>
            <w:hideMark/>
          </w:tcPr>
          <w:p w14:paraId="7EC2705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2.6%</w:t>
            </w:r>
          </w:p>
        </w:tc>
        <w:tc>
          <w:tcPr>
            <w:tcW w:w="889" w:type="dxa"/>
            <w:noWrap/>
            <w:hideMark/>
          </w:tcPr>
          <w:p w14:paraId="045D755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1.7%</w:t>
            </w:r>
          </w:p>
        </w:tc>
        <w:tc>
          <w:tcPr>
            <w:tcW w:w="964" w:type="dxa"/>
            <w:noWrap/>
            <w:hideMark/>
          </w:tcPr>
          <w:p w14:paraId="106BE82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32.9%</w:t>
            </w:r>
          </w:p>
        </w:tc>
        <w:tc>
          <w:tcPr>
            <w:tcW w:w="775" w:type="dxa"/>
            <w:noWrap/>
            <w:hideMark/>
          </w:tcPr>
          <w:p w14:paraId="16B697B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15.3%</w:t>
            </w:r>
          </w:p>
        </w:tc>
      </w:tr>
      <w:tr w:rsidR="00BF10A3" w:rsidRPr="00416F23" w14:paraId="3DFE3C1D" w14:textId="77777777" w:rsidTr="001F7400">
        <w:trPr>
          <w:trHeight w:val="225"/>
        </w:trPr>
        <w:tc>
          <w:tcPr>
            <w:tcW w:w="775" w:type="dxa"/>
            <w:noWrap/>
            <w:hideMark/>
          </w:tcPr>
          <w:p w14:paraId="56C4064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w:t>
            </w:r>
          </w:p>
        </w:tc>
        <w:tc>
          <w:tcPr>
            <w:tcW w:w="5081" w:type="dxa"/>
            <w:noWrap/>
            <w:hideMark/>
          </w:tcPr>
          <w:p w14:paraId="3932287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Engineering</w:t>
            </w:r>
          </w:p>
        </w:tc>
        <w:tc>
          <w:tcPr>
            <w:tcW w:w="793" w:type="dxa"/>
            <w:noWrap/>
            <w:hideMark/>
          </w:tcPr>
          <w:p w14:paraId="5447201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1.2%</w:t>
            </w:r>
          </w:p>
        </w:tc>
        <w:tc>
          <w:tcPr>
            <w:tcW w:w="889" w:type="dxa"/>
            <w:noWrap/>
            <w:hideMark/>
          </w:tcPr>
          <w:p w14:paraId="47A606E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6.7%</w:t>
            </w:r>
          </w:p>
        </w:tc>
        <w:tc>
          <w:tcPr>
            <w:tcW w:w="964" w:type="dxa"/>
            <w:noWrap/>
            <w:hideMark/>
          </w:tcPr>
          <w:p w14:paraId="4764179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5.9%</w:t>
            </w:r>
          </w:p>
        </w:tc>
        <w:tc>
          <w:tcPr>
            <w:tcW w:w="775" w:type="dxa"/>
            <w:noWrap/>
            <w:hideMark/>
          </w:tcPr>
          <w:p w14:paraId="65E930B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3.0%</w:t>
            </w:r>
          </w:p>
        </w:tc>
      </w:tr>
      <w:tr w:rsidR="00BF10A3" w:rsidRPr="00416F23" w14:paraId="1C39BA8E" w14:textId="77777777" w:rsidTr="001F7400">
        <w:trPr>
          <w:trHeight w:val="225"/>
        </w:trPr>
        <w:tc>
          <w:tcPr>
            <w:tcW w:w="775" w:type="dxa"/>
            <w:noWrap/>
            <w:hideMark/>
          </w:tcPr>
          <w:p w14:paraId="5D54EC6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16</w:t>
            </w:r>
          </w:p>
        </w:tc>
        <w:tc>
          <w:tcPr>
            <w:tcW w:w="5081" w:type="dxa"/>
            <w:noWrap/>
            <w:hideMark/>
          </w:tcPr>
          <w:p w14:paraId="1DFD999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Foreign Languages and Literature</w:t>
            </w:r>
          </w:p>
        </w:tc>
        <w:tc>
          <w:tcPr>
            <w:tcW w:w="793" w:type="dxa"/>
            <w:noWrap/>
            <w:hideMark/>
          </w:tcPr>
          <w:p w14:paraId="24F9E07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0.9%</w:t>
            </w:r>
          </w:p>
        </w:tc>
        <w:tc>
          <w:tcPr>
            <w:tcW w:w="889" w:type="dxa"/>
            <w:noWrap/>
            <w:hideMark/>
          </w:tcPr>
          <w:p w14:paraId="212602D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4A46B28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153B3A5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0.8%</w:t>
            </w:r>
          </w:p>
        </w:tc>
      </w:tr>
      <w:tr w:rsidR="00BF10A3" w:rsidRPr="00416F23" w14:paraId="18EF6792" w14:textId="77777777" w:rsidTr="001F7400">
        <w:trPr>
          <w:trHeight w:val="225"/>
        </w:trPr>
        <w:tc>
          <w:tcPr>
            <w:tcW w:w="775" w:type="dxa"/>
            <w:noWrap/>
            <w:hideMark/>
          </w:tcPr>
          <w:p w14:paraId="6DB68DB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23</w:t>
            </w:r>
          </w:p>
        </w:tc>
        <w:tc>
          <w:tcPr>
            <w:tcW w:w="5081" w:type="dxa"/>
            <w:noWrap/>
            <w:hideMark/>
          </w:tcPr>
          <w:p w14:paraId="0F684F5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English Language and Literature/Letters</w:t>
            </w:r>
          </w:p>
        </w:tc>
        <w:tc>
          <w:tcPr>
            <w:tcW w:w="793" w:type="dxa"/>
            <w:noWrap/>
            <w:hideMark/>
          </w:tcPr>
          <w:p w14:paraId="2FB7D78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3AD42E9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29.4%</w:t>
            </w:r>
          </w:p>
        </w:tc>
        <w:tc>
          <w:tcPr>
            <w:tcW w:w="964" w:type="dxa"/>
            <w:noWrap/>
            <w:hideMark/>
          </w:tcPr>
          <w:p w14:paraId="790CE4F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22.7%</w:t>
            </w:r>
          </w:p>
        </w:tc>
        <w:tc>
          <w:tcPr>
            <w:tcW w:w="775" w:type="dxa"/>
            <w:noWrap/>
            <w:hideMark/>
          </w:tcPr>
          <w:p w14:paraId="7EB8F72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8.6%</w:t>
            </w:r>
          </w:p>
        </w:tc>
      </w:tr>
      <w:tr w:rsidR="00BF10A3" w:rsidRPr="00416F23" w14:paraId="43FA4B95" w14:textId="77777777" w:rsidTr="001F7400">
        <w:trPr>
          <w:trHeight w:val="225"/>
        </w:trPr>
        <w:tc>
          <w:tcPr>
            <w:tcW w:w="775" w:type="dxa"/>
            <w:noWrap/>
            <w:hideMark/>
          </w:tcPr>
          <w:p w14:paraId="3365070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39</w:t>
            </w:r>
          </w:p>
        </w:tc>
        <w:tc>
          <w:tcPr>
            <w:tcW w:w="5081" w:type="dxa"/>
            <w:noWrap/>
            <w:hideMark/>
          </w:tcPr>
          <w:p w14:paraId="45CAAFB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Theological Studies and Religious Vocations</w:t>
            </w:r>
          </w:p>
        </w:tc>
        <w:tc>
          <w:tcPr>
            <w:tcW w:w="793" w:type="dxa"/>
            <w:noWrap/>
            <w:hideMark/>
          </w:tcPr>
          <w:p w14:paraId="0BC2FC9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5260AD7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2.3%</w:t>
            </w:r>
          </w:p>
        </w:tc>
        <w:tc>
          <w:tcPr>
            <w:tcW w:w="964" w:type="dxa"/>
            <w:noWrap/>
            <w:hideMark/>
          </w:tcPr>
          <w:p w14:paraId="61EB265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152B94D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1.9%</w:t>
            </w:r>
          </w:p>
        </w:tc>
      </w:tr>
      <w:tr w:rsidR="00BF10A3" w:rsidRPr="00416F23" w14:paraId="1E37C0E7" w14:textId="77777777" w:rsidTr="001F7400">
        <w:trPr>
          <w:trHeight w:val="225"/>
        </w:trPr>
        <w:tc>
          <w:tcPr>
            <w:tcW w:w="775" w:type="dxa"/>
            <w:noWrap/>
            <w:hideMark/>
          </w:tcPr>
          <w:p w14:paraId="74326B8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26</w:t>
            </w:r>
          </w:p>
        </w:tc>
        <w:tc>
          <w:tcPr>
            <w:tcW w:w="5081" w:type="dxa"/>
            <w:noWrap/>
            <w:hideMark/>
          </w:tcPr>
          <w:p w14:paraId="4D549A3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Biological and Biomedical Sciences</w:t>
            </w:r>
          </w:p>
        </w:tc>
        <w:tc>
          <w:tcPr>
            <w:tcW w:w="793" w:type="dxa"/>
            <w:noWrap/>
            <w:hideMark/>
          </w:tcPr>
          <w:p w14:paraId="41AD57B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320C087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12AD7B0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7.7%</w:t>
            </w:r>
          </w:p>
        </w:tc>
        <w:tc>
          <w:tcPr>
            <w:tcW w:w="775" w:type="dxa"/>
            <w:noWrap/>
            <w:hideMark/>
          </w:tcPr>
          <w:p w14:paraId="24564F9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1.1%</w:t>
            </w:r>
          </w:p>
        </w:tc>
      </w:tr>
      <w:tr w:rsidR="00BF10A3" w:rsidRPr="00416F23" w14:paraId="48BD0EA9" w14:textId="77777777" w:rsidTr="001F7400">
        <w:trPr>
          <w:trHeight w:val="225"/>
        </w:trPr>
        <w:tc>
          <w:tcPr>
            <w:tcW w:w="775" w:type="dxa"/>
            <w:noWrap/>
            <w:hideMark/>
          </w:tcPr>
          <w:p w14:paraId="5BF0131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w:t>
            </w:r>
          </w:p>
        </w:tc>
        <w:tc>
          <w:tcPr>
            <w:tcW w:w="5081" w:type="dxa"/>
            <w:noWrap/>
            <w:hideMark/>
          </w:tcPr>
          <w:p w14:paraId="241A3E6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Conservation and Renewable Natural Resources</w:t>
            </w:r>
          </w:p>
        </w:tc>
        <w:tc>
          <w:tcPr>
            <w:tcW w:w="793" w:type="dxa"/>
            <w:noWrap/>
            <w:hideMark/>
          </w:tcPr>
          <w:p w14:paraId="1DD849A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0D8EAF3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35E57EA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8.3%</w:t>
            </w:r>
          </w:p>
        </w:tc>
        <w:tc>
          <w:tcPr>
            <w:tcW w:w="775" w:type="dxa"/>
            <w:noWrap/>
            <w:hideMark/>
          </w:tcPr>
          <w:p w14:paraId="40383E5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1.2%</w:t>
            </w:r>
          </w:p>
        </w:tc>
      </w:tr>
      <w:tr w:rsidR="00BF10A3" w:rsidRPr="00416F23" w14:paraId="76F65111" w14:textId="77777777" w:rsidTr="001F7400">
        <w:trPr>
          <w:trHeight w:val="225"/>
        </w:trPr>
        <w:tc>
          <w:tcPr>
            <w:tcW w:w="775" w:type="dxa"/>
            <w:noWrap/>
            <w:hideMark/>
          </w:tcPr>
          <w:p w14:paraId="17E84EE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41</w:t>
            </w:r>
          </w:p>
        </w:tc>
        <w:tc>
          <w:tcPr>
            <w:tcW w:w="5081" w:type="dxa"/>
            <w:noWrap/>
            <w:hideMark/>
          </w:tcPr>
          <w:p w14:paraId="4628924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Science Technologies</w:t>
            </w:r>
          </w:p>
        </w:tc>
        <w:tc>
          <w:tcPr>
            <w:tcW w:w="793" w:type="dxa"/>
            <w:noWrap/>
            <w:hideMark/>
          </w:tcPr>
          <w:p w14:paraId="1D8129E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2.8%</w:t>
            </w:r>
          </w:p>
        </w:tc>
        <w:tc>
          <w:tcPr>
            <w:tcW w:w="889" w:type="dxa"/>
            <w:noWrap/>
            <w:hideMark/>
          </w:tcPr>
          <w:p w14:paraId="7F324B6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4783943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28.6%</w:t>
            </w:r>
          </w:p>
        </w:tc>
        <w:tc>
          <w:tcPr>
            <w:tcW w:w="775" w:type="dxa"/>
            <w:noWrap/>
            <w:hideMark/>
          </w:tcPr>
          <w:p w14:paraId="1DDB090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5.1%</w:t>
            </w:r>
          </w:p>
        </w:tc>
      </w:tr>
      <w:tr w:rsidR="00BF10A3" w:rsidRPr="00416F23" w14:paraId="3AB801AC" w14:textId="77777777" w:rsidTr="001F7400">
        <w:trPr>
          <w:trHeight w:val="225"/>
        </w:trPr>
        <w:tc>
          <w:tcPr>
            <w:tcW w:w="775" w:type="dxa"/>
            <w:noWrap/>
            <w:hideMark/>
          </w:tcPr>
          <w:p w14:paraId="6290FF3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w:t>
            </w:r>
          </w:p>
        </w:tc>
        <w:tc>
          <w:tcPr>
            <w:tcW w:w="5081" w:type="dxa"/>
            <w:noWrap/>
            <w:hideMark/>
          </w:tcPr>
          <w:p w14:paraId="6F9C05E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Architecture and Related Programs</w:t>
            </w:r>
          </w:p>
        </w:tc>
        <w:tc>
          <w:tcPr>
            <w:tcW w:w="793" w:type="dxa"/>
            <w:noWrap/>
            <w:hideMark/>
          </w:tcPr>
          <w:p w14:paraId="4F9B1A6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0C4FBC3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14.3%</w:t>
            </w:r>
          </w:p>
        </w:tc>
        <w:tc>
          <w:tcPr>
            <w:tcW w:w="964" w:type="dxa"/>
            <w:noWrap/>
            <w:hideMark/>
          </w:tcPr>
          <w:p w14:paraId="69F3DCD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14.3%</w:t>
            </w:r>
          </w:p>
        </w:tc>
        <w:tc>
          <w:tcPr>
            <w:tcW w:w="775" w:type="dxa"/>
            <w:noWrap/>
            <w:hideMark/>
          </w:tcPr>
          <w:p w14:paraId="4B6D49E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3.4%</w:t>
            </w:r>
          </w:p>
        </w:tc>
      </w:tr>
      <w:tr w:rsidR="00BF10A3" w:rsidRPr="00416F23" w14:paraId="29EC3E01" w14:textId="77777777" w:rsidTr="001F7400">
        <w:trPr>
          <w:trHeight w:val="225"/>
        </w:trPr>
        <w:tc>
          <w:tcPr>
            <w:tcW w:w="775" w:type="dxa"/>
            <w:noWrap/>
            <w:hideMark/>
          </w:tcPr>
          <w:p w14:paraId="4025018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w:t>
            </w:r>
          </w:p>
        </w:tc>
        <w:tc>
          <w:tcPr>
            <w:tcW w:w="5081" w:type="dxa"/>
            <w:noWrap/>
            <w:hideMark/>
          </w:tcPr>
          <w:p w14:paraId="66B8239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Area, Cultural, Ethnic, and Gender Studies</w:t>
            </w:r>
          </w:p>
        </w:tc>
        <w:tc>
          <w:tcPr>
            <w:tcW w:w="793" w:type="dxa"/>
            <w:noWrap/>
            <w:hideMark/>
          </w:tcPr>
          <w:p w14:paraId="4139E3E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64E9919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6F82A11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016C119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777B6A93" w14:textId="77777777" w:rsidTr="001F7400">
        <w:trPr>
          <w:trHeight w:val="225"/>
        </w:trPr>
        <w:tc>
          <w:tcPr>
            <w:tcW w:w="775" w:type="dxa"/>
            <w:noWrap/>
            <w:hideMark/>
          </w:tcPr>
          <w:p w14:paraId="671365E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25</w:t>
            </w:r>
          </w:p>
        </w:tc>
        <w:tc>
          <w:tcPr>
            <w:tcW w:w="5081" w:type="dxa"/>
            <w:noWrap/>
            <w:hideMark/>
          </w:tcPr>
          <w:p w14:paraId="6E396DC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Library Studies</w:t>
            </w:r>
          </w:p>
        </w:tc>
        <w:tc>
          <w:tcPr>
            <w:tcW w:w="793" w:type="dxa"/>
            <w:noWrap/>
            <w:hideMark/>
          </w:tcPr>
          <w:p w14:paraId="2C36450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3902616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14.3%</w:t>
            </w:r>
          </w:p>
        </w:tc>
        <w:tc>
          <w:tcPr>
            <w:tcW w:w="964" w:type="dxa"/>
            <w:noWrap/>
            <w:hideMark/>
          </w:tcPr>
          <w:p w14:paraId="2B5E7F2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634209B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2.4%</w:t>
            </w:r>
          </w:p>
        </w:tc>
      </w:tr>
      <w:tr w:rsidR="00BF10A3" w:rsidRPr="00416F23" w14:paraId="38B4FCA5" w14:textId="77777777" w:rsidTr="001F7400">
        <w:trPr>
          <w:trHeight w:val="225"/>
        </w:trPr>
        <w:tc>
          <w:tcPr>
            <w:tcW w:w="775" w:type="dxa"/>
            <w:noWrap/>
            <w:hideMark/>
          </w:tcPr>
          <w:p w14:paraId="54B472F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40</w:t>
            </w:r>
          </w:p>
        </w:tc>
        <w:tc>
          <w:tcPr>
            <w:tcW w:w="5081" w:type="dxa"/>
            <w:noWrap/>
            <w:hideMark/>
          </w:tcPr>
          <w:p w14:paraId="29ABB81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Physical Sciences</w:t>
            </w:r>
          </w:p>
        </w:tc>
        <w:tc>
          <w:tcPr>
            <w:tcW w:w="793" w:type="dxa"/>
            <w:noWrap/>
            <w:hideMark/>
          </w:tcPr>
          <w:p w14:paraId="3BC2FB7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4.3%</w:t>
            </w:r>
          </w:p>
        </w:tc>
        <w:tc>
          <w:tcPr>
            <w:tcW w:w="889" w:type="dxa"/>
            <w:noWrap/>
            <w:hideMark/>
          </w:tcPr>
          <w:p w14:paraId="4235D04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2584420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5DE5172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3.2%</w:t>
            </w:r>
          </w:p>
        </w:tc>
      </w:tr>
      <w:tr w:rsidR="00BF10A3" w:rsidRPr="00416F23" w14:paraId="324E7D17" w14:textId="77777777" w:rsidTr="001F7400">
        <w:trPr>
          <w:trHeight w:val="225"/>
        </w:trPr>
        <w:tc>
          <w:tcPr>
            <w:tcW w:w="775" w:type="dxa"/>
            <w:noWrap/>
            <w:hideMark/>
          </w:tcPr>
          <w:p w14:paraId="124D0D8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54</w:t>
            </w:r>
          </w:p>
        </w:tc>
        <w:tc>
          <w:tcPr>
            <w:tcW w:w="5081" w:type="dxa"/>
            <w:noWrap/>
            <w:hideMark/>
          </w:tcPr>
          <w:p w14:paraId="310BACE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History</w:t>
            </w:r>
          </w:p>
        </w:tc>
        <w:tc>
          <w:tcPr>
            <w:tcW w:w="793" w:type="dxa"/>
            <w:noWrap/>
            <w:hideMark/>
          </w:tcPr>
          <w:p w14:paraId="27F43B9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5F9EA90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64C772F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13.3%</w:t>
            </w:r>
          </w:p>
        </w:tc>
        <w:tc>
          <w:tcPr>
            <w:tcW w:w="775" w:type="dxa"/>
            <w:noWrap/>
            <w:hideMark/>
          </w:tcPr>
          <w:p w14:paraId="52917BF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8.0%</w:t>
            </w:r>
          </w:p>
        </w:tc>
      </w:tr>
      <w:tr w:rsidR="00BF10A3" w:rsidRPr="00416F23" w14:paraId="34827870" w14:textId="77777777" w:rsidTr="001F7400">
        <w:trPr>
          <w:trHeight w:val="225"/>
        </w:trPr>
        <w:tc>
          <w:tcPr>
            <w:tcW w:w="775" w:type="dxa"/>
            <w:noWrap/>
            <w:hideMark/>
          </w:tcPr>
          <w:p w14:paraId="0821AF9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27</w:t>
            </w:r>
          </w:p>
        </w:tc>
        <w:tc>
          <w:tcPr>
            <w:tcW w:w="5081" w:type="dxa"/>
            <w:noWrap/>
            <w:hideMark/>
          </w:tcPr>
          <w:p w14:paraId="0F597A8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Mathematics and Statistics</w:t>
            </w:r>
          </w:p>
        </w:tc>
        <w:tc>
          <w:tcPr>
            <w:tcW w:w="793" w:type="dxa"/>
            <w:noWrap/>
            <w:hideMark/>
          </w:tcPr>
          <w:p w14:paraId="76BEB55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0D3F565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51E141E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49AAB22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6B6177AB" w14:textId="77777777" w:rsidTr="001F7400">
        <w:trPr>
          <w:trHeight w:val="225"/>
        </w:trPr>
        <w:tc>
          <w:tcPr>
            <w:tcW w:w="775" w:type="dxa"/>
            <w:noWrap/>
            <w:hideMark/>
          </w:tcPr>
          <w:p w14:paraId="0C531F7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38</w:t>
            </w:r>
          </w:p>
        </w:tc>
        <w:tc>
          <w:tcPr>
            <w:tcW w:w="5081" w:type="dxa"/>
            <w:noWrap/>
            <w:hideMark/>
          </w:tcPr>
          <w:p w14:paraId="6BEB6D6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Philosophy and Religious Studies</w:t>
            </w:r>
          </w:p>
        </w:tc>
        <w:tc>
          <w:tcPr>
            <w:tcW w:w="793" w:type="dxa"/>
            <w:noWrap/>
            <w:hideMark/>
          </w:tcPr>
          <w:p w14:paraId="41D0D95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042EBF0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1063B3B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5BF1EEC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309E030B" w14:textId="77777777" w:rsidTr="001F7400">
        <w:trPr>
          <w:trHeight w:val="225"/>
        </w:trPr>
        <w:tc>
          <w:tcPr>
            <w:tcW w:w="775" w:type="dxa"/>
            <w:noWrap/>
            <w:hideMark/>
          </w:tcPr>
          <w:p w14:paraId="1538CA3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32</w:t>
            </w:r>
          </w:p>
        </w:tc>
        <w:tc>
          <w:tcPr>
            <w:tcW w:w="5081" w:type="dxa"/>
            <w:noWrap/>
            <w:hideMark/>
          </w:tcPr>
          <w:p w14:paraId="3EB36E6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Basic Skills</w:t>
            </w:r>
          </w:p>
        </w:tc>
        <w:tc>
          <w:tcPr>
            <w:tcW w:w="793" w:type="dxa"/>
            <w:noWrap/>
            <w:hideMark/>
          </w:tcPr>
          <w:p w14:paraId="049E98D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535A57E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4BEA428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66.7%</w:t>
            </w:r>
          </w:p>
        </w:tc>
        <w:tc>
          <w:tcPr>
            <w:tcW w:w="775" w:type="dxa"/>
            <w:noWrap/>
            <w:hideMark/>
          </w:tcPr>
          <w:p w14:paraId="7507358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13.3%</w:t>
            </w:r>
          </w:p>
        </w:tc>
      </w:tr>
      <w:tr w:rsidR="00BF10A3" w:rsidRPr="00416F23" w14:paraId="21DB003D" w14:textId="77777777" w:rsidTr="001F7400">
        <w:trPr>
          <w:trHeight w:val="225"/>
        </w:trPr>
        <w:tc>
          <w:tcPr>
            <w:tcW w:w="775" w:type="dxa"/>
            <w:noWrap/>
            <w:hideMark/>
          </w:tcPr>
          <w:p w14:paraId="38E785E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34</w:t>
            </w:r>
          </w:p>
        </w:tc>
        <w:tc>
          <w:tcPr>
            <w:tcW w:w="5081" w:type="dxa"/>
            <w:noWrap/>
            <w:hideMark/>
          </w:tcPr>
          <w:p w14:paraId="2508BEA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Health-related Knowledge and Skills</w:t>
            </w:r>
          </w:p>
        </w:tc>
        <w:tc>
          <w:tcPr>
            <w:tcW w:w="793" w:type="dxa"/>
            <w:noWrap/>
            <w:hideMark/>
          </w:tcPr>
          <w:p w14:paraId="5B867D9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518D8FF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3ED86C04"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100.0%</w:t>
            </w:r>
          </w:p>
        </w:tc>
        <w:tc>
          <w:tcPr>
            <w:tcW w:w="775" w:type="dxa"/>
            <w:noWrap/>
            <w:hideMark/>
          </w:tcPr>
          <w:p w14:paraId="0FB4B04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30.8%</w:t>
            </w:r>
          </w:p>
        </w:tc>
      </w:tr>
      <w:tr w:rsidR="00BF10A3" w:rsidRPr="00416F23" w14:paraId="055EF5F8" w14:textId="77777777" w:rsidTr="001F7400">
        <w:trPr>
          <w:trHeight w:val="225"/>
        </w:trPr>
        <w:tc>
          <w:tcPr>
            <w:tcW w:w="775" w:type="dxa"/>
            <w:noWrap/>
            <w:hideMark/>
          </w:tcPr>
          <w:p w14:paraId="69A4EE5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36</w:t>
            </w:r>
          </w:p>
        </w:tc>
        <w:tc>
          <w:tcPr>
            <w:tcW w:w="5081" w:type="dxa"/>
            <w:noWrap/>
            <w:hideMark/>
          </w:tcPr>
          <w:p w14:paraId="775852B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Leisure and Recreational Activities</w:t>
            </w:r>
          </w:p>
        </w:tc>
        <w:tc>
          <w:tcPr>
            <w:tcW w:w="793" w:type="dxa"/>
            <w:noWrap/>
            <w:hideMark/>
          </w:tcPr>
          <w:p w14:paraId="126987B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7588B73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18E9D89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5E267B8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2182A41A" w14:textId="77777777" w:rsidTr="001F7400">
        <w:trPr>
          <w:trHeight w:val="225"/>
        </w:trPr>
        <w:tc>
          <w:tcPr>
            <w:tcW w:w="775" w:type="dxa"/>
            <w:noWrap/>
            <w:hideMark/>
          </w:tcPr>
          <w:p w14:paraId="270ED67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60</w:t>
            </w:r>
          </w:p>
        </w:tc>
        <w:tc>
          <w:tcPr>
            <w:tcW w:w="5081" w:type="dxa"/>
            <w:noWrap/>
            <w:hideMark/>
          </w:tcPr>
          <w:p w14:paraId="7F46E6A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Residency Programs</w:t>
            </w:r>
          </w:p>
        </w:tc>
        <w:tc>
          <w:tcPr>
            <w:tcW w:w="793" w:type="dxa"/>
            <w:noWrap/>
            <w:hideMark/>
          </w:tcPr>
          <w:p w14:paraId="5E0C6B5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1D7DCEA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7E6CC5E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2DF16A2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2C8BFE6D" w14:textId="77777777" w:rsidTr="001F7400">
        <w:trPr>
          <w:trHeight w:val="225"/>
        </w:trPr>
        <w:tc>
          <w:tcPr>
            <w:tcW w:w="775" w:type="dxa"/>
            <w:noWrap/>
            <w:hideMark/>
          </w:tcPr>
          <w:p w14:paraId="2BDE40E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28</w:t>
            </w:r>
          </w:p>
        </w:tc>
        <w:tc>
          <w:tcPr>
            <w:tcW w:w="5081" w:type="dxa"/>
            <w:noWrap/>
            <w:hideMark/>
          </w:tcPr>
          <w:p w14:paraId="086DA8E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Reserve Officer Training Corps</w:t>
            </w:r>
          </w:p>
        </w:tc>
        <w:tc>
          <w:tcPr>
            <w:tcW w:w="793" w:type="dxa"/>
            <w:noWrap/>
            <w:hideMark/>
          </w:tcPr>
          <w:p w14:paraId="71F47EF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4BB8225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720A8EF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1A1B8362"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73250A95" w14:textId="77777777" w:rsidTr="001F7400">
        <w:trPr>
          <w:trHeight w:val="225"/>
        </w:trPr>
        <w:tc>
          <w:tcPr>
            <w:tcW w:w="775" w:type="dxa"/>
            <w:noWrap/>
            <w:hideMark/>
          </w:tcPr>
          <w:p w14:paraId="11AC5B7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21</w:t>
            </w:r>
          </w:p>
        </w:tc>
        <w:tc>
          <w:tcPr>
            <w:tcW w:w="5081" w:type="dxa"/>
            <w:noWrap/>
            <w:hideMark/>
          </w:tcPr>
          <w:p w14:paraId="1C3CA83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Technology/Education Industrial Arts</w:t>
            </w:r>
          </w:p>
        </w:tc>
        <w:tc>
          <w:tcPr>
            <w:tcW w:w="793" w:type="dxa"/>
            <w:noWrap/>
            <w:hideMark/>
          </w:tcPr>
          <w:p w14:paraId="5E0EE9C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7D2A506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5B5C521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100.0%</w:t>
            </w:r>
          </w:p>
        </w:tc>
        <w:tc>
          <w:tcPr>
            <w:tcW w:w="775" w:type="dxa"/>
            <w:noWrap/>
            <w:hideMark/>
          </w:tcPr>
          <w:p w14:paraId="7FC63D2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50.0%</w:t>
            </w:r>
          </w:p>
        </w:tc>
      </w:tr>
      <w:tr w:rsidR="00BF10A3" w:rsidRPr="00416F23" w14:paraId="00C11B4C" w14:textId="77777777" w:rsidTr="001F7400">
        <w:trPr>
          <w:trHeight w:val="225"/>
        </w:trPr>
        <w:tc>
          <w:tcPr>
            <w:tcW w:w="775" w:type="dxa"/>
            <w:noWrap/>
            <w:hideMark/>
          </w:tcPr>
          <w:p w14:paraId="6F13FB4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29</w:t>
            </w:r>
          </w:p>
        </w:tc>
        <w:tc>
          <w:tcPr>
            <w:tcW w:w="5081" w:type="dxa"/>
            <w:noWrap/>
            <w:hideMark/>
          </w:tcPr>
          <w:p w14:paraId="6C9BA41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Military Technologies</w:t>
            </w:r>
          </w:p>
        </w:tc>
        <w:tc>
          <w:tcPr>
            <w:tcW w:w="793" w:type="dxa"/>
            <w:noWrap/>
            <w:hideMark/>
          </w:tcPr>
          <w:p w14:paraId="29F2E35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66086A7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6BE9BD6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01143EF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6C701695" w14:textId="77777777" w:rsidTr="001F7400">
        <w:trPr>
          <w:trHeight w:val="225"/>
        </w:trPr>
        <w:tc>
          <w:tcPr>
            <w:tcW w:w="775" w:type="dxa"/>
            <w:noWrap/>
            <w:hideMark/>
          </w:tcPr>
          <w:p w14:paraId="0B40EC9C"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33</w:t>
            </w:r>
          </w:p>
        </w:tc>
        <w:tc>
          <w:tcPr>
            <w:tcW w:w="5081" w:type="dxa"/>
            <w:noWrap/>
            <w:hideMark/>
          </w:tcPr>
          <w:p w14:paraId="54C1CBE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Citizenship Activities</w:t>
            </w:r>
          </w:p>
        </w:tc>
        <w:tc>
          <w:tcPr>
            <w:tcW w:w="793" w:type="dxa"/>
            <w:noWrap/>
            <w:hideMark/>
          </w:tcPr>
          <w:p w14:paraId="29B893CB"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290A8D91"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14E5BDB5"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4CAB8DE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060A3E95" w14:textId="77777777" w:rsidTr="001F7400">
        <w:trPr>
          <w:trHeight w:val="225"/>
        </w:trPr>
        <w:tc>
          <w:tcPr>
            <w:tcW w:w="775" w:type="dxa"/>
            <w:noWrap/>
            <w:hideMark/>
          </w:tcPr>
          <w:p w14:paraId="231F446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53</w:t>
            </w:r>
          </w:p>
        </w:tc>
        <w:tc>
          <w:tcPr>
            <w:tcW w:w="5081" w:type="dxa"/>
            <w:noWrap/>
            <w:hideMark/>
          </w:tcPr>
          <w:p w14:paraId="018FB0AF"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High School/Secondary Diplomas and Certificates</w:t>
            </w:r>
          </w:p>
        </w:tc>
        <w:tc>
          <w:tcPr>
            <w:tcW w:w="793" w:type="dxa"/>
            <w:noWrap/>
            <w:hideMark/>
          </w:tcPr>
          <w:p w14:paraId="0079E2D3"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5EFF6370"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06969A2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5AA4F9A6"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r w:rsidR="00BF10A3" w:rsidRPr="00416F23" w14:paraId="636F9C99" w14:textId="77777777" w:rsidTr="001F7400">
        <w:trPr>
          <w:trHeight w:val="225"/>
        </w:trPr>
        <w:tc>
          <w:tcPr>
            <w:tcW w:w="775" w:type="dxa"/>
            <w:noWrap/>
            <w:hideMark/>
          </w:tcPr>
          <w:p w14:paraId="520F9579"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37</w:t>
            </w:r>
          </w:p>
        </w:tc>
        <w:tc>
          <w:tcPr>
            <w:tcW w:w="5081" w:type="dxa"/>
            <w:noWrap/>
            <w:hideMark/>
          </w:tcPr>
          <w:p w14:paraId="3AE61767"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Personal Awareness and Self-Improvement</w:t>
            </w:r>
          </w:p>
        </w:tc>
        <w:tc>
          <w:tcPr>
            <w:tcW w:w="793" w:type="dxa"/>
            <w:noWrap/>
            <w:hideMark/>
          </w:tcPr>
          <w:p w14:paraId="281C9918"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889" w:type="dxa"/>
            <w:noWrap/>
            <w:hideMark/>
          </w:tcPr>
          <w:p w14:paraId="6C29FCEA"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964" w:type="dxa"/>
            <w:noWrap/>
            <w:hideMark/>
          </w:tcPr>
          <w:p w14:paraId="21D89CFD"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c>
          <w:tcPr>
            <w:tcW w:w="775" w:type="dxa"/>
            <w:noWrap/>
            <w:hideMark/>
          </w:tcPr>
          <w:p w14:paraId="0E0B52AE" w14:textId="77777777" w:rsidR="00BF10A3" w:rsidRPr="00416F23" w:rsidRDefault="00BF10A3" w:rsidP="001F7400">
            <w:pPr>
              <w:rPr>
                <w:rFonts w:ascii="Courier New" w:eastAsiaTheme="minorHAnsi" w:hAnsi="Courier New" w:cstheme="minorBidi"/>
                <w:sz w:val="16"/>
              </w:rPr>
            </w:pPr>
            <w:r w:rsidRPr="00416F23">
              <w:rPr>
                <w:rFonts w:ascii="Courier New" w:eastAsiaTheme="minorHAnsi" w:hAnsi="Courier New" w:cstheme="minorBidi"/>
                <w:sz w:val="16"/>
              </w:rPr>
              <w:t>0.0%</w:t>
            </w:r>
          </w:p>
        </w:tc>
      </w:tr>
    </w:tbl>
    <w:p w14:paraId="4BD78D0C" w14:textId="77777777" w:rsidR="00BF10A3" w:rsidRPr="00416F23" w:rsidRDefault="00BF10A3" w:rsidP="00BF10A3">
      <w:pPr>
        <w:spacing w:after="0" w:line="240" w:lineRule="auto"/>
        <w:rPr>
          <w:rFonts w:ascii="Courier New" w:eastAsiaTheme="minorHAnsi" w:hAnsi="Courier New" w:cstheme="minorBidi"/>
          <w:sz w:val="16"/>
        </w:rPr>
      </w:pPr>
    </w:p>
    <w:p w14:paraId="274ADBA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2.18 illustrates the percentage of programs in the 2012 GE informational D/E rates sample out of the universe of all GE programs</w:t>
      </w:r>
      <w:r w:rsidRPr="00AA6DFD">
        <w:rPr>
          <w:rStyle w:val="FootnoteReference"/>
          <w:rFonts w:ascii="Courier New" w:hAnsi="Courier New" w:cs="Courier New"/>
          <w:sz w:val="24"/>
          <w:szCs w:val="24"/>
        </w:rPr>
        <w:footnoteReference w:id="327"/>
      </w:r>
      <w:r w:rsidRPr="00AA6DFD">
        <w:rPr>
          <w:rFonts w:ascii="Courier New" w:hAnsi="Courier New" w:cs="Courier New"/>
          <w:sz w:val="24"/>
          <w:szCs w:val="24"/>
        </w:rPr>
        <w:t xml:space="preserve"> for each two-digit CIP code ordered by the frequency of programs in the universe of GE programs.  </w:t>
      </w:r>
      <w:r w:rsidRPr="00B53B21">
        <w:rPr>
          <w:rFonts w:ascii="Courier New" w:hAnsi="Courier New"/>
          <w:sz w:val="24"/>
        </w:rPr>
        <w:t>The first row shows that 12.9 percent of public health professions and related science programs (out of all public health professionals and related sciences programs) are in the sample.  Also in the sample are 17.8 percent of private health professional and related science programs (out of all private health professionals and related sciences programs); and 43.5 percent of the for-profit health professional and</w:t>
      </w:r>
      <w:r w:rsidRPr="00AA6DFD">
        <w:rPr>
          <w:rFonts w:ascii="Courier New" w:hAnsi="Courier New" w:cs="Courier New"/>
          <w:sz w:val="24"/>
          <w:szCs w:val="24"/>
        </w:rPr>
        <w:t xml:space="preserve"> related sciences programs (out of all for-profit health professionals and related sciences programs).  In addition, 25.6 percent of health professionals and related sciences programs in all sectors are in the sample (out of all health professionals and related sciences programs in all sectors).</w:t>
      </w:r>
    </w:p>
    <w:p w14:paraId="7DDA5F46"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2.19: 2012 GE Informational D/E Rates FY 2010 Enrollment Count</w:t>
      </w:r>
    </w:p>
    <w:p w14:paraId="3D86020E" w14:textId="77777777" w:rsidR="00BF10A3" w:rsidRPr="008D5724" w:rsidRDefault="00BF10A3" w:rsidP="00BF10A3">
      <w:pPr>
        <w:rPr>
          <w:rFonts w:ascii="Courier New" w:hAnsi="Courier New"/>
          <w:sz w:val="16"/>
        </w:rPr>
      </w:pPr>
    </w:p>
    <w:tbl>
      <w:tblPr>
        <w:tblW w:w="9595" w:type="dxa"/>
        <w:tblInd w:w="93" w:type="dxa"/>
        <w:tblLook w:val="04A0" w:firstRow="1" w:lastRow="0" w:firstColumn="1" w:lastColumn="0" w:noHBand="0" w:noVBand="1"/>
      </w:tblPr>
      <w:tblGrid>
        <w:gridCol w:w="727"/>
        <w:gridCol w:w="4758"/>
        <w:gridCol w:w="928"/>
        <w:gridCol w:w="928"/>
        <w:gridCol w:w="1127"/>
        <w:gridCol w:w="1127"/>
      </w:tblGrid>
      <w:tr w:rsidR="00BF10A3" w:rsidRPr="007C5546" w14:paraId="154A0E3D" w14:textId="77777777" w:rsidTr="001F7400">
        <w:trPr>
          <w:trHeight w:val="299"/>
        </w:trPr>
        <w:tc>
          <w:tcPr>
            <w:tcW w:w="727" w:type="dxa"/>
            <w:tcBorders>
              <w:top w:val="single" w:sz="4" w:space="0" w:color="auto"/>
              <w:left w:val="single" w:sz="4" w:space="0" w:color="auto"/>
              <w:bottom w:val="nil"/>
              <w:right w:val="single" w:sz="4" w:space="0" w:color="auto"/>
            </w:tcBorders>
            <w:shd w:val="clear" w:color="auto" w:fill="auto"/>
            <w:vAlign w:val="bottom"/>
            <w:hideMark/>
          </w:tcPr>
          <w:p w14:paraId="5909B611"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2-Digit CIP Code</w:t>
            </w:r>
          </w:p>
        </w:tc>
        <w:tc>
          <w:tcPr>
            <w:tcW w:w="4758" w:type="dxa"/>
            <w:tcBorders>
              <w:top w:val="single" w:sz="4" w:space="0" w:color="auto"/>
              <w:left w:val="nil"/>
              <w:bottom w:val="nil"/>
              <w:right w:val="single" w:sz="4" w:space="0" w:color="auto"/>
            </w:tcBorders>
            <w:shd w:val="clear" w:color="auto" w:fill="auto"/>
            <w:vAlign w:val="bottom"/>
            <w:hideMark/>
          </w:tcPr>
          <w:p w14:paraId="649A81FD"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2-Digit CIP Name</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1679C29F"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Public</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582BFCF7"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Private</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2A947A35"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For-profit</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1D20FB01" w14:textId="77777777" w:rsidR="00BF10A3" w:rsidRPr="00322AEF" w:rsidRDefault="00BF10A3" w:rsidP="001F7400">
            <w:pPr>
              <w:spacing w:after="0" w:line="240" w:lineRule="auto"/>
              <w:jc w:val="center"/>
              <w:rPr>
                <w:rFonts w:ascii="Courier New" w:eastAsia="Times New Roman" w:hAnsi="Courier New" w:cs="Courier New"/>
                <w:b/>
                <w:bCs/>
                <w:color w:val="000000"/>
                <w:sz w:val="16"/>
                <w:szCs w:val="16"/>
              </w:rPr>
            </w:pPr>
            <w:r w:rsidRPr="00322AEF">
              <w:rPr>
                <w:rFonts w:ascii="Courier New" w:eastAsia="Times New Roman" w:hAnsi="Courier New" w:cs="Courier New"/>
                <w:b/>
                <w:bCs/>
                <w:color w:val="000000"/>
                <w:sz w:val="16"/>
                <w:szCs w:val="16"/>
              </w:rPr>
              <w:t>Total</w:t>
            </w:r>
          </w:p>
        </w:tc>
      </w:tr>
      <w:tr w:rsidR="00BF10A3" w:rsidRPr="007C5546" w14:paraId="68A5E281" w14:textId="77777777" w:rsidTr="001F7400">
        <w:trPr>
          <w:trHeight w:val="299"/>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E87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51</w:t>
            </w:r>
          </w:p>
        </w:tc>
        <w:tc>
          <w:tcPr>
            <w:tcW w:w="4758" w:type="dxa"/>
            <w:tcBorders>
              <w:top w:val="single" w:sz="4" w:space="0" w:color="auto"/>
              <w:left w:val="nil"/>
              <w:bottom w:val="single" w:sz="4" w:space="0" w:color="auto"/>
              <w:right w:val="single" w:sz="4" w:space="0" w:color="auto"/>
            </w:tcBorders>
            <w:shd w:val="clear" w:color="auto" w:fill="auto"/>
            <w:noWrap/>
            <w:vAlign w:val="bottom"/>
            <w:hideMark/>
          </w:tcPr>
          <w:p w14:paraId="04B300D0"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Health Professions and Related Sciences</w:t>
            </w:r>
          </w:p>
        </w:tc>
        <w:tc>
          <w:tcPr>
            <w:tcW w:w="928" w:type="dxa"/>
            <w:tcBorders>
              <w:top w:val="nil"/>
              <w:left w:val="nil"/>
              <w:bottom w:val="single" w:sz="4" w:space="0" w:color="auto"/>
              <w:right w:val="single" w:sz="4" w:space="0" w:color="auto"/>
            </w:tcBorders>
            <w:shd w:val="clear" w:color="auto" w:fill="auto"/>
            <w:noWrap/>
            <w:vAlign w:val="bottom"/>
            <w:hideMark/>
          </w:tcPr>
          <w:p w14:paraId="6232EE6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82,308</w:t>
            </w:r>
          </w:p>
        </w:tc>
        <w:tc>
          <w:tcPr>
            <w:tcW w:w="928" w:type="dxa"/>
            <w:tcBorders>
              <w:top w:val="nil"/>
              <w:left w:val="nil"/>
              <w:bottom w:val="single" w:sz="4" w:space="0" w:color="auto"/>
              <w:right w:val="single" w:sz="4" w:space="0" w:color="auto"/>
            </w:tcBorders>
            <w:shd w:val="clear" w:color="auto" w:fill="auto"/>
            <w:noWrap/>
            <w:vAlign w:val="bottom"/>
            <w:hideMark/>
          </w:tcPr>
          <w:p w14:paraId="56F099C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26,749</w:t>
            </w:r>
          </w:p>
        </w:tc>
        <w:tc>
          <w:tcPr>
            <w:tcW w:w="1127" w:type="dxa"/>
            <w:tcBorders>
              <w:top w:val="nil"/>
              <w:left w:val="nil"/>
              <w:bottom w:val="single" w:sz="4" w:space="0" w:color="auto"/>
              <w:right w:val="single" w:sz="4" w:space="0" w:color="auto"/>
            </w:tcBorders>
            <w:shd w:val="clear" w:color="auto" w:fill="auto"/>
            <w:noWrap/>
            <w:vAlign w:val="bottom"/>
            <w:hideMark/>
          </w:tcPr>
          <w:p w14:paraId="6748D94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689,375</w:t>
            </w:r>
          </w:p>
        </w:tc>
        <w:tc>
          <w:tcPr>
            <w:tcW w:w="1127" w:type="dxa"/>
            <w:tcBorders>
              <w:top w:val="nil"/>
              <w:left w:val="nil"/>
              <w:bottom w:val="single" w:sz="4" w:space="0" w:color="auto"/>
              <w:right w:val="single" w:sz="4" w:space="0" w:color="auto"/>
            </w:tcBorders>
            <w:shd w:val="clear" w:color="auto" w:fill="auto"/>
            <w:noWrap/>
            <w:vAlign w:val="bottom"/>
            <w:hideMark/>
          </w:tcPr>
          <w:p w14:paraId="70C5A05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798,432</w:t>
            </w:r>
          </w:p>
        </w:tc>
      </w:tr>
      <w:tr w:rsidR="00BF10A3" w:rsidRPr="007C5546" w14:paraId="3B1FDC0A"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EEF5D1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52</w:t>
            </w:r>
          </w:p>
        </w:tc>
        <w:tc>
          <w:tcPr>
            <w:tcW w:w="4758" w:type="dxa"/>
            <w:tcBorders>
              <w:top w:val="nil"/>
              <w:left w:val="nil"/>
              <w:bottom w:val="single" w:sz="4" w:space="0" w:color="auto"/>
              <w:right w:val="single" w:sz="4" w:space="0" w:color="auto"/>
            </w:tcBorders>
            <w:shd w:val="clear" w:color="auto" w:fill="auto"/>
            <w:noWrap/>
            <w:vAlign w:val="bottom"/>
            <w:hideMark/>
          </w:tcPr>
          <w:p w14:paraId="7FD2CFE2"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Business Management and Administrative Services</w:t>
            </w:r>
          </w:p>
        </w:tc>
        <w:tc>
          <w:tcPr>
            <w:tcW w:w="928" w:type="dxa"/>
            <w:tcBorders>
              <w:top w:val="nil"/>
              <w:left w:val="nil"/>
              <w:bottom w:val="single" w:sz="4" w:space="0" w:color="auto"/>
              <w:right w:val="single" w:sz="4" w:space="0" w:color="auto"/>
            </w:tcBorders>
            <w:shd w:val="clear" w:color="auto" w:fill="auto"/>
            <w:noWrap/>
            <w:vAlign w:val="bottom"/>
            <w:hideMark/>
          </w:tcPr>
          <w:p w14:paraId="557E087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6,339</w:t>
            </w:r>
          </w:p>
        </w:tc>
        <w:tc>
          <w:tcPr>
            <w:tcW w:w="928" w:type="dxa"/>
            <w:tcBorders>
              <w:top w:val="nil"/>
              <w:left w:val="nil"/>
              <w:bottom w:val="single" w:sz="4" w:space="0" w:color="auto"/>
              <w:right w:val="single" w:sz="4" w:space="0" w:color="auto"/>
            </w:tcBorders>
            <w:shd w:val="clear" w:color="auto" w:fill="auto"/>
            <w:noWrap/>
            <w:vAlign w:val="bottom"/>
            <w:hideMark/>
          </w:tcPr>
          <w:p w14:paraId="5F177E5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3,082</w:t>
            </w:r>
          </w:p>
        </w:tc>
        <w:tc>
          <w:tcPr>
            <w:tcW w:w="1127" w:type="dxa"/>
            <w:tcBorders>
              <w:top w:val="nil"/>
              <w:left w:val="nil"/>
              <w:bottom w:val="single" w:sz="4" w:space="0" w:color="auto"/>
              <w:right w:val="single" w:sz="4" w:space="0" w:color="auto"/>
            </w:tcBorders>
            <w:shd w:val="clear" w:color="auto" w:fill="auto"/>
            <w:noWrap/>
            <w:vAlign w:val="bottom"/>
            <w:hideMark/>
          </w:tcPr>
          <w:p w14:paraId="2356C9E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564,141</w:t>
            </w:r>
          </w:p>
        </w:tc>
        <w:tc>
          <w:tcPr>
            <w:tcW w:w="1127" w:type="dxa"/>
            <w:tcBorders>
              <w:top w:val="nil"/>
              <w:left w:val="nil"/>
              <w:bottom w:val="single" w:sz="4" w:space="0" w:color="auto"/>
              <w:right w:val="single" w:sz="4" w:space="0" w:color="auto"/>
            </w:tcBorders>
            <w:shd w:val="clear" w:color="auto" w:fill="auto"/>
            <w:noWrap/>
            <w:vAlign w:val="bottom"/>
            <w:hideMark/>
          </w:tcPr>
          <w:p w14:paraId="538BF41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573,562</w:t>
            </w:r>
          </w:p>
        </w:tc>
      </w:tr>
      <w:tr w:rsidR="00BF10A3" w:rsidRPr="007C5546" w14:paraId="4A359B31"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04942A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12</w:t>
            </w:r>
          </w:p>
        </w:tc>
        <w:tc>
          <w:tcPr>
            <w:tcW w:w="4758" w:type="dxa"/>
            <w:tcBorders>
              <w:top w:val="nil"/>
              <w:left w:val="nil"/>
              <w:bottom w:val="single" w:sz="4" w:space="0" w:color="auto"/>
              <w:right w:val="single" w:sz="4" w:space="0" w:color="auto"/>
            </w:tcBorders>
            <w:shd w:val="clear" w:color="auto" w:fill="auto"/>
            <w:noWrap/>
            <w:vAlign w:val="bottom"/>
            <w:hideMark/>
          </w:tcPr>
          <w:p w14:paraId="258DC98C"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Personal and Miscellaneous Services</w:t>
            </w:r>
          </w:p>
        </w:tc>
        <w:tc>
          <w:tcPr>
            <w:tcW w:w="928" w:type="dxa"/>
            <w:tcBorders>
              <w:top w:val="nil"/>
              <w:left w:val="nil"/>
              <w:bottom w:val="single" w:sz="4" w:space="0" w:color="auto"/>
              <w:right w:val="single" w:sz="4" w:space="0" w:color="auto"/>
            </w:tcBorders>
            <w:shd w:val="clear" w:color="auto" w:fill="auto"/>
            <w:noWrap/>
            <w:vAlign w:val="bottom"/>
            <w:hideMark/>
          </w:tcPr>
          <w:p w14:paraId="4B79B60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8,396</w:t>
            </w:r>
          </w:p>
        </w:tc>
        <w:tc>
          <w:tcPr>
            <w:tcW w:w="928" w:type="dxa"/>
            <w:tcBorders>
              <w:top w:val="nil"/>
              <w:left w:val="nil"/>
              <w:bottom w:val="single" w:sz="4" w:space="0" w:color="auto"/>
              <w:right w:val="single" w:sz="4" w:space="0" w:color="auto"/>
            </w:tcBorders>
            <w:shd w:val="clear" w:color="auto" w:fill="auto"/>
            <w:noWrap/>
            <w:vAlign w:val="bottom"/>
            <w:hideMark/>
          </w:tcPr>
          <w:p w14:paraId="1749374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1,597</w:t>
            </w:r>
          </w:p>
        </w:tc>
        <w:tc>
          <w:tcPr>
            <w:tcW w:w="1127" w:type="dxa"/>
            <w:tcBorders>
              <w:top w:val="nil"/>
              <w:left w:val="nil"/>
              <w:bottom w:val="single" w:sz="4" w:space="0" w:color="auto"/>
              <w:right w:val="single" w:sz="4" w:space="0" w:color="auto"/>
            </w:tcBorders>
            <w:shd w:val="clear" w:color="auto" w:fill="auto"/>
            <w:noWrap/>
            <w:vAlign w:val="bottom"/>
            <w:hideMark/>
          </w:tcPr>
          <w:p w14:paraId="6ED9BD7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183,441</w:t>
            </w:r>
          </w:p>
        </w:tc>
        <w:tc>
          <w:tcPr>
            <w:tcW w:w="1127" w:type="dxa"/>
            <w:tcBorders>
              <w:top w:val="nil"/>
              <w:left w:val="nil"/>
              <w:bottom w:val="single" w:sz="4" w:space="0" w:color="auto"/>
              <w:right w:val="single" w:sz="4" w:space="0" w:color="auto"/>
            </w:tcBorders>
            <w:shd w:val="clear" w:color="auto" w:fill="auto"/>
            <w:noWrap/>
            <w:vAlign w:val="bottom"/>
            <w:hideMark/>
          </w:tcPr>
          <w:p w14:paraId="3246339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193,434</w:t>
            </w:r>
          </w:p>
        </w:tc>
      </w:tr>
      <w:tr w:rsidR="00BF10A3" w:rsidRPr="007C5546" w14:paraId="5A203033"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58F8C4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43</w:t>
            </w:r>
          </w:p>
        </w:tc>
        <w:tc>
          <w:tcPr>
            <w:tcW w:w="4758" w:type="dxa"/>
            <w:tcBorders>
              <w:top w:val="nil"/>
              <w:left w:val="nil"/>
              <w:bottom w:val="single" w:sz="4" w:space="0" w:color="auto"/>
              <w:right w:val="single" w:sz="4" w:space="0" w:color="auto"/>
            </w:tcBorders>
            <w:shd w:val="clear" w:color="auto" w:fill="auto"/>
            <w:noWrap/>
            <w:vAlign w:val="bottom"/>
            <w:hideMark/>
          </w:tcPr>
          <w:p w14:paraId="6F047134"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Protective Services</w:t>
            </w:r>
          </w:p>
        </w:tc>
        <w:tc>
          <w:tcPr>
            <w:tcW w:w="928" w:type="dxa"/>
            <w:tcBorders>
              <w:top w:val="nil"/>
              <w:left w:val="nil"/>
              <w:bottom w:val="single" w:sz="4" w:space="0" w:color="auto"/>
              <w:right w:val="single" w:sz="4" w:space="0" w:color="auto"/>
            </w:tcBorders>
            <w:shd w:val="clear" w:color="auto" w:fill="auto"/>
            <w:noWrap/>
            <w:vAlign w:val="bottom"/>
            <w:hideMark/>
          </w:tcPr>
          <w:p w14:paraId="1877BEB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11,248</w:t>
            </w:r>
          </w:p>
        </w:tc>
        <w:tc>
          <w:tcPr>
            <w:tcW w:w="928" w:type="dxa"/>
            <w:tcBorders>
              <w:top w:val="nil"/>
              <w:left w:val="nil"/>
              <w:bottom w:val="single" w:sz="4" w:space="0" w:color="auto"/>
              <w:right w:val="single" w:sz="4" w:space="0" w:color="auto"/>
            </w:tcBorders>
            <w:shd w:val="clear" w:color="auto" w:fill="auto"/>
            <w:noWrap/>
            <w:vAlign w:val="bottom"/>
            <w:hideMark/>
          </w:tcPr>
          <w:p w14:paraId="44DB6E3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336</w:t>
            </w:r>
          </w:p>
        </w:tc>
        <w:tc>
          <w:tcPr>
            <w:tcW w:w="1127" w:type="dxa"/>
            <w:tcBorders>
              <w:top w:val="nil"/>
              <w:left w:val="nil"/>
              <w:bottom w:val="single" w:sz="4" w:space="0" w:color="auto"/>
              <w:right w:val="single" w:sz="4" w:space="0" w:color="auto"/>
            </w:tcBorders>
            <w:shd w:val="clear" w:color="auto" w:fill="auto"/>
            <w:noWrap/>
            <w:vAlign w:val="bottom"/>
            <w:hideMark/>
          </w:tcPr>
          <w:p w14:paraId="3120B6C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163,685</w:t>
            </w:r>
          </w:p>
        </w:tc>
        <w:tc>
          <w:tcPr>
            <w:tcW w:w="1127" w:type="dxa"/>
            <w:tcBorders>
              <w:top w:val="nil"/>
              <w:left w:val="nil"/>
              <w:bottom w:val="single" w:sz="4" w:space="0" w:color="auto"/>
              <w:right w:val="single" w:sz="4" w:space="0" w:color="auto"/>
            </w:tcBorders>
            <w:shd w:val="clear" w:color="auto" w:fill="auto"/>
            <w:noWrap/>
            <w:vAlign w:val="bottom"/>
            <w:hideMark/>
          </w:tcPr>
          <w:p w14:paraId="4F10FF5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175,269</w:t>
            </w:r>
          </w:p>
        </w:tc>
      </w:tr>
      <w:tr w:rsidR="00BF10A3" w:rsidRPr="007C5546" w14:paraId="479DE844"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FE609F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11</w:t>
            </w:r>
          </w:p>
        </w:tc>
        <w:tc>
          <w:tcPr>
            <w:tcW w:w="4758" w:type="dxa"/>
            <w:tcBorders>
              <w:top w:val="nil"/>
              <w:left w:val="nil"/>
              <w:bottom w:val="single" w:sz="4" w:space="0" w:color="auto"/>
              <w:right w:val="single" w:sz="4" w:space="0" w:color="auto"/>
            </w:tcBorders>
            <w:shd w:val="clear" w:color="auto" w:fill="auto"/>
            <w:noWrap/>
            <w:vAlign w:val="bottom"/>
            <w:hideMark/>
          </w:tcPr>
          <w:p w14:paraId="57182E3A"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Computer and Information Sciences</w:t>
            </w:r>
          </w:p>
        </w:tc>
        <w:tc>
          <w:tcPr>
            <w:tcW w:w="928" w:type="dxa"/>
            <w:tcBorders>
              <w:top w:val="nil"/>
              <w:left w:val="nil"/>
              <w:bottom w:val="single" w:sz="4" w:space="0" w:color="auto"/>
              <w:right w:val="single" w:sz="4" w:space="0" w:color="auto"/>
            </w:tcBorders>
            <w:shd w:val="clear" w:color="auto" w:fill="auto"/>
            <w:noWrap/>
            <w:vAlign w:val="bottom"/>
            <w:hideMark/>
          </w:tcPr>
          <w:p w14:paraId="55B2527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1,291</w:t>
            </w:r>
          </w:p>
        </w:tc>
        <w:tc>
          <w:tcPr>
            <w:tcW w:w="928" w:type="dxa"/>
            <w:tcBorders>
              <w:top w:val="nil"/>
              <w:left w:val="nil"/>
              <w:bottom w:val="single" w:sz="4" w:space="0" w:color="auto"/>
              <w:right w:val="single" w:sz="4" w:space="0" w:color="auto"/>
            </w:tcBorders>
            <w:shd w:val="clear" w:color="auto" w:fill="auto"/>
            <w:noWrap/>
            <w:vAlign w:val="bottom"/>
            <w:hideMark/>
          </w:tcPr>
          <w:p w14:paraId="35119E0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628</w:t>
            </w:r>
          </w:p>
        </w:tc>
        <w:tc>
          <w:tcPr>
            <w:tcW w:w="1127" w:type="dxa"/>
            <w:tcBorders>
              <w:top w:val="nil"/>
              <w:left w:val="nil"/>
              <w:bottom w:val="single" w:sz="4" w:space="0" w:color="auto"/>
              <w:right w:val="single" w:sz="4" w:space="0" w:color="auto"/>
            </w:tcBorders>
            <w:shd w:val="clear" w:color="auto" w:fill="auto"/>
            <w:noWrap/>
            <w:vAlign w:val="bottom"/>
            <w:hideMark/>
          </w:tcPr>
          <w:p w14:paraId="7FE9533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140,709</w:t>
            </w:r>
          </w:p>
        </w:tc>
        <w:tc>
          <w:tcPr>
            <w:tcW w:w="1127" w:type="dxa"/>
            <w:tcBorders>
              <w:top w:val="nil"/>
              <w:left w:val="nil"/>
              <w:bottom w:val="single" w:sz="4" w:space="0" w:color="auto"/>
              <w:right w:val="single" w:sz="4" w:space="0" w:color="auto"/>
            </w:tcBorders>
            <w:shd w:val="clear" w:color="auto" w:fill="auto"/>
            <w:noWrap/>
            <w:vAlign w:val="bottom"/>
            <w:hideMark/>
          </w:tcPr>
          <w:p w14:paraId="352AD79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142,628</w:t>
            </w:r>
          </w:p>
        </w:tc>
      </w:tr>
      <w:tr w:rsidR="00BF10A3" w:rsidRPr="007C5546" w14:paraId="5389C457"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FE450D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w:t>
            </w:r>
          </w:p>
        </w:tc>
        <w:tc>
          <w:tcPr>
            <w:tcW w:w="4758" w:type="dxa"/>
            <w:tcBorders>
              <w:top w:val="nil"/>
              <w:left w:val="nil"/>
              <w:bottom w:val="single" w:sz="4" w:space="0" w:color="auto"/>
              <w:right w:val="single" w:sz="4" w:space="0" w:color="auto"/>
            </w:tcBorders>
            <w:shd w:val="clear" w:color="auto" w:fill="auto"/>
            <w:noWrap/>
            <w:vAlign w:val="bottom"/>
            <w:hideMark/>
          </w:tcPr>
          <w:p w14:paraId="44FD5324"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Education</w:t>
            </w:r>
          </w:p>
        </w:tc>
        <w:tc>
          <w:tcPr>
            <w:tcW w:w="928" w:type="dxa"/>
            <w:tcBorders>
              <w:top w:val="nil"/>
              <w:left w:val="nil"/>
              <w:bottom w:val="single" w:sz="4" w:space="0" w:color="auto"/>
              <w:right w:val="single" w:sz="4" w:space="0" w:color="auto"/>
            </w:tcBorders>
            <w:shd w:val="clear" w:color="auto" w:fill="auto"/>
            <w:noWrap/>
            <w:vAlign w:val="bottom"/>
            <w:hideMark/>
          </w:tcPr>
          <w:p w14:paraId="456B778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3,325</w:t>
            </w:r>
          </w:p>
        </w:tc>
        <w:tc>
          <w:tcPr>
            <w:tcW w:w="928" w:type="dxa"/>
            <w:tcBorders>
              <w:top w:val="nil"/>
              <w:left w:val="nil"/>
              <w:bottom w:val="single" w:sz="4" w:space="0" w:color="auto"/>
              <w:right w:val="single" w:sz="4" w:space="0" w:color="auto"/>
            </w:tcBorders>
            <w:shd w:val="clear" w:color="auto" w:fill="auto"/>
            <w:noWrap/>
            <w:vAlign w:val="bottom"/>
            <w:hideMark/>
          </w:tcPr>
          <w:p w14:paraId="46D53BA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3,338</w:t>
            </w:r>
          </w:p>
        </w:tc>
        <w:tc>
          <w:tcPr>
            <w:tcW w:w="1127" w:type="dxa"/>
            <w:tcBorders>
              <w:top w:val="nil"/>
              <w:left w:val="nil"/>
              <w:bottom w:val="single" w:sz="4" w:space="0" w:color="auto"/>
              <w:right w:val="single" w:sz="4" w:space="0" w:color="auto"/>
            </w:tcBorders>
            <w:shd w:val="clear" w:color="auto" w:fill="auto"/>
            <w:noWrap/>
            <w:vAlign w:val="bottom"/>
            <w:hideMark/>
          </w:tcPr>
          <w:p w14:paraId="7D5E45B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96,037</w:t>
            </w:r>
          </w:p>
        </w:tc>
        <w:tc>
          <w:tcPr>
            <w:tcW w:w="1127" w:type="dxa"/>
            <w:tcBorders>
              <w:top w:val="nil"/>
              <w:left w:val="nil"/>
              <w:bottom w:val="single" w:sz="4" w:space="0" w:color="auto"/>
              <w:right w:val="single" w:sz="4" w:space="0" w:color="auto"/>
            </w:tcBorders>
            <w:shd w:val="clear" w:color="auto" w:fill="auto"/>
            <w:noWrap/>
            <w:vAlign w:val="bottom"/>
            <w:hideMark/>
          </w:tcPr>
          <w:p w14:paraId="24A470D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102,700</w:t>
            </w:r>
          </w:p>
        </w:tc>
      </w:tr>
      <w:tr w:rsidR="00BF10A3" w:rsidRPr="007C5546" w14:paraId="540C61CC"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73E2E7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47</w:t>
            </w:r>
          </w:p>
        </w:tc>
        <w:tc>
          <w:tcPr>
            <w:tcW w:w="4758" w:type="dxa"/>
            <w:tcBorders>
              <w:top w:val="nil"/>
              <w:left w:val="nil"/>
              <w:bottom w:val="single" w:sz="4" w:space="0" w:color="auto"/>
              <w:right w:val="single" w:sz="4" w:space="0" w:color="auto"/>
            </w:tcBorders>
            <w:shd w:val="clear" w:color="auto" w:fill="auto"/>
            <w:noWrap/>
            <w:vAlign w:val="bottom"/>
            <w:hideMark/>
          </w:tcPr>
          <w:p w14:paraId="5788BA62"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Mechanics and Repairs</w:t>
            </w:r>
          </w:p>
        </w:tc>
        <w:tc>
          <w:tcPr>
            <w:tcW w:w="928" w:type="dxa"/>
            <w:tcBorders>
              <w:top w:val="nil"/>
              <w:left w:val="nil"/>
              <w:bottom w:val="single" w:sz="4" w:space="0" w:color="auto"/>
              <w:right w:val="single" w:sz="4" w:space="0" w:color="auto"/>
            </w:tcBorders>
            <w:shd w:val="clear" w:color="auto" w:fill="auto"/>
            <w:noWrap/>
            <w:vAlign w:val="bottom"/>
            <w:hideMark/>
          </w:tcPr>
          <w:p w14:paraId="33631BD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3,747</w:t>
            </w:r>
          </w:p>
        </w:tc>
        <w:tc>
          <w:tcPr>
            <w:tcW w:w="928" w:type="dxa"/>
            <w:tcBorders>
              <w:top w:val="nil"/>
              <w:left w:val="nil"/>
              <w:bottom w:val="single" w:sz="4" w:space="0" w:color="auto"/>
              <w:right w:val="single" w:sz="4" w:space="0" w:color="auto"/>
            </w:tcBorders>
            <w:shd w:val="clear" w:color="auto" w:fill="auto"/>
            <w:noWrap/>
            <w:vAlign w:val="bottom"/>
            <w:hideMark/>
          </w:tcPr>
          <w:p w14:paraId="7C2EEF1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2,154</w:t>
            </w:r>
          </w:p>
        </w:tc>
        <w:tc>
          <w:tcPr>
            <w:tcW w:w="1127" w:type="dxa"/>
            <w:tcBorders>
              <w:top w:val="nil"/>
              <w:left w:val="nil"/>
              <w:bottom w:val="single" w:sz="4" w:space="0" w:color="auto"/>
              <w:right w:val="single" w:sz="4" w:space="0" w:color="auto"/>
            </w:tcBorders>
            <w:shd w:val="clear" w:color="auto" w:fill="auto"/>
            <w:noWrap/>
            <w:vAlign w:val="bottom"/>
            <w:hideMark/>
          </w:tcPr>
          <w:p w14:paraId="2F96970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84,164</w:t>
            </w:r>
          </w:p>
        </w:tc>
        <w:tc>
          <w:tcPr>
            <w:tcW w:w="1127" w:type="dxa"/>
            <w:tcBorders>
              <w:top w:val="nil"/>
              <w:left w:val="nil"/>
              <w:bottom w:val="single" w:sz="4" w:space="0" w:color="auto"/>
              <w:right w:val="single" w:sz="4" w:space="0" w:color="auto"/>
            </w:tcBorders>
            <w:shd w:val="clear" w:color="auto" w:fill="auto"/>
            <w:noWrap/>
            <w:vAlign w:val="bottom"/>
            <w:hideMark/>
          </w:tcPr>
          <w:p w14:paraId="3F2D9DD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90,065</w:t>
            </w:r>
          </w:p>
        </w:tc>
      </w:tr>
      <w:tr w:rsidR="00BF10A3" w:rsidRPr="007C5546" w14:paraId="7298AE5C"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A10A72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50</w:t>
            </w:r>
          </w:p>
        </w:tc>
        <w:tc>
          <w:tcPr>
            <w:tcW w:w="4758" w:type="dxa"/>
            <w:tcBorders>
              <w:top w:val="nil"/>
              <w:left w:val="nil"/>
              <w:bottom w:val="single" w:sz="4" w:space="0" w:color="auto"/>
              <w:right w:val="single" w:sz="4" w:space="0" w:color="auto"/>
            </w:tcBorders>
            <w:shd w:val="clear" w:color="auto" w:fill="auto"/>
            <w:noWrap/>
            <w:vAlign w:val="bottom"/>
            <w:hideMark/>
          </w:tcPr>
          <w:p w14:paraId="6BE9470D"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Visual and Performing Arts</w:t>
            </w:r>
          </w:p>
        </w:tc>
        <w:tc>
          <w:tcPr>
            <w:tcW w:w="928" w:type="dxa"/>
            <w:tcBorders>
              <w:top w:val="nil"/>
              <w:left w:val="nil"/>
              <w:bottom w:val="single" w:sz="4" w:space="0" w:color="auto"/>
              <w:right w:val="single" w:sz="4" w:space="0" w:color="auto"/>
            </w:tcBorders>
            <w:shd w:val="clear" w:color="auto" w:fill="auto"/>
            <w:noWrap/>
            <w:vAlign w:val="bottom"/>
            <w:hideMark/>
          </w:tcPr>
          <w:p w14:paraId="6F57AD4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148</w:t>
            </w:r>
          </w:p>
        </w:tc>
        <w:tc>
          <w:tcPr>
            <w:tcW w:w="928" w:type="dxa"/>
            <w:tcBorders>
              <w:top w:val="nil"/>
              <w:left w:val="nil"/>
              <w:bottom w:val="single" w:sz="4" w:space="0" w:color="auto"/>
              <w:right w:val="single" w:sz="4" w:space="0" w:color="auto"/>
            </w:tcBorders>
            <w:shd w:val="clear" w:color="auto" w:fill="auto"/>
            <w:noWrap/>
            <w:vAlign w:val="bottom"/>
            <w:hideMark/>
          </w:tcPr>
          <w:p w14:paraId="119FDB8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299</w:t>
            </w:r>
          </w:p>
        </w:tc>
        <w:tc>
          <w:tcPr>
            <w:tcW w:w="1127" w:type="dxa"/>
            <w:tcBorders>
              <w:top w:val="nil"/>
              <w:left w:val="nil"/>
              <w:bottom w:val="single" w:sz="4" w:space="0" w:color="auto"/>
              <w:right w:val="single" w:sz="4" w:space="0" w:color="auto"/>
            </w:tcBorders>
            <w:shd w:val="clear" w:color="auto" w:fill="auto"/>
            <w:noWrap/>
            <w:vAlign w:val="bottom"/>
            <w:hideMark/>
          </w:tcPr>
          <w:p w14:paraId="3CB6B12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86,178</w:t>
            </w:r>
          </w:p>
        </w:tc>
        <w:tc>
          <w:tcPr>
            <w:tcW w:w="1127" w:type="dxa"/>
            <w:tcBorders>
              <w:top w:val="nil"/>
              <w:left w:val="nil"/>
              <w:bottom w:val="single" w:sz="4" w:space="0" w:color="auto"/>
              <w:right w:val="single" w:sz="4" w:space="0" w:color="auto"/>
            </w:tcBorders>
            <w:shd w:val="clear" w:color="auto" w:fill="auto"/>
            <w:noWrap/>
            <w:vAlign w:val="bottom"/>
            <w:hideMark/>
          </w:tcPr>
          <w:p w14:paraId="47B7D5F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86,625</w:t>
            </w:r>
          </w:p>
        </w:tc>
      </w:tr>
      <w:tr w:rsidR="00BF10A3" w:rsidRPr="007C5546" w14:paraId="5E182EA7"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665F7C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15</w:t>
            </w:r>
          </w:p>
        </w:tc>
        <w:tc>
          <w:tcPr>
            <w:tcW w:w="4758" w:type="dxa"/>
            <w:tcBorders>
              <w:top w:val="nil"/>
              <w:left w:val="nil"/>
              <w:bottom w:val="single" w:sz="4" w:space="0" w:color="auto"/>
              <w:right w:val="single" w:sz="4" w:space="0" w:color="auto"/>
            </w:tcBorders>
            <w:shd w:val="clear" w:color="auto" w:fill="auto"/>
            <w:noWrap/>
            <w:vAlign w:val="bottom"/>
            <w:hideMark/>
          </w:tcPr>
          <w:p w14:paraId="70DE9C60"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Engineering Related Technologies</w:t>
            </w:r>
          </w:p>
        </w:tc>
        <w:tc>
          <w:tcPr>
            <w:tcW w:w="928" w:type="dxa"/>
            <w:tcBorders>
              <w:top w:val="nil"/>
              <w:left w:val="nil"/>
              <w:bottom w:val="single" w:sz="4" w:space="0" w:color="auto"/>
              <w:right w:val="single" w:sz="4" w:space="0" w:color="auto"/>
            </w:tcBorders>
            <w:shd w:val="clear" w:color="auto" w:fill="auto"/>
            <w:noWrap/>
            <w:vAlign w:val="bottom"/>
            <w:hideMark/>
          </w:tcPr>
          <w:p w14:paraId="2721F2F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656</w:t>
            </w:r>
          </w:p>
        </w:tc>
        <w:tc>
          <w:tcPr>
            <w:tcW w:w="928" w:type="dxa"/>
            <w:tcBorders>
              <w:top w:val="nil"/>
              <w:left w:val="nil"/>
              <w:bottom w:val="single" w:sz="4" w:space="0" w:color="auto"/>
              <w:right w:val="single" w:sz="4" w:space="0" w:color="auto"/>
            </w:tcBorders>
            <w:shd w:val="clear" w:color="auto" w:fill="auto"/>
            <w:noWrap/>
            <w:vAlign w:val="bottom"/>
            <w:hideMark/>
          </w:tcPr>
          <w:p w14:paraId="5C73546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876</w:t>
            </w:r>
          </w:p>
        </w:tc>
        <w:tc>
          <w:tcPr>
            <w:tcW w:w="1127" w:type="dxa"/>
            <w:tcBorders>
              <w:top w:val="nil"/>
              <w:left w:val="nil"/>
              <w:bottom w:val="single" w:sz="4" w:space="0" w:color="auto"/>
              <w:right w:val="single" w:sz="4" w:space="0" w:color="auto"/>
            </w:tcBorders>
            <w:shd w:val="clear" w:color="auto" w:fill="auto"/>
            <w:noWrap/>
            <w:vAlign w:val="bottom"/>
            <w:hideMark/>
          </w:tcPr>
          <w:p w14:paraId="4F7B0A9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74,762</w:t>
            </w:r>
          </w:p>
        </w:tc>
        <w:tc>
          <w:tcPr>
            <w:tcW w:w="1127" w:type="dxa"/>
            <w:tcBorders>
              <w:top w:val="nil"/>
              <w:left w:val="nil"/>
              <w:bottom w:val="single" w:sz="4" w:space="0" w:color="auto"/>
              <w:right w:val="single" w:sz="4" w:space="0" w:color="auto"/>
            </w:tcBorders>
            <w:shd w:val="clear" w:color="auto" w:fill="auto"/>
            <w:noWrap/>
            <w:vAlign w:val="bottom"/>
            <w:hideMark/>
          </w:tcPr>
          <w:p w14:paraId="3E51AAF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76,294</w:t>
            </w:r>
          </w:p>
        </w:tc>
      </w:tr>
      <w:tr w:rsidR="00BF10A3" w:rsidRPr="007C5546" w14:paraId="78EC5F43"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0C2989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30</w:t>
            </w:r>
          </w:p>
        </w:tc>
        <w:tc>
          <w:tcPr>
            <w:tcW w:w="4758" w:type="dxa"/>
            <w:tcBorders>
              <w:top w:val="nil"/>
              <w:left w:val="nil"/>
              <w:bottom w:val="single" w:sz="4" w:space="0" w:color="auto"/>
              <w:right w:val="single" w:sz="4" w:space="0" w:color="auto"/>
            </w:tcBorders>
            <w:shd w:val="clear" w:color="auto" w:fill="auto"/>
            <w:noWrap/>
            <w:vAlign w:val="bottom"/>
            <w:hideMark/>
          </w:tcPr>
          <w:p w14:paraId="24654747"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Multi-interdisciplinary Studies</w:t>
            </w:r>
          </w:p>
        </w:tc>
        <w:tc>
          <w:tcPr>
            <w:tcW w:w="928" w:type="dxa"/>
            <w:tcBorders>
              <w:top w:val="nil"/>
              <w:left w:val="nil"/>
              <w:bottom w:val="single" w:sz="4" w:space="0" w:color="auto"/>
              <w:right w:val="single" w:sz="4" w:space="0" w:color="auto"/>
            </w:tcBorders>
            <w:shd w:val="clear" w:color="auto" w:fill="auto"/>
            <w:noWrap/>
            <w:vAlign w:val="bottom"/>
            <w:hideMark/>
          </w:tcPr>
          <w:p w14:paraId="5C6C47E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151</w:t>
            </w:r>
          </w:p>
        </w:tc>
        <w:tc>
          <w:tcPr>
            <w:tcW w:w="928" w:type="dxa"/>
            <w:tcBorders>
              <w:top w:val="nil"/>
              <w:left w:val="nil"/>
              <w:bottom w:val="single" w:sz="4" w:space="0" w:color="auto"/>
              <w:right w:val="single" w:sz="4" w:space="0" w:color="auto"/>
            </w:tcBorders>
            <w:shd w:val="clear" w:color="auto" w:fill="auto"/>
            <w:noWrap/>
            <w:vAlign w:val="bottom"/>
            <w:hideMark/>
          </w:tcPr>
          <w:p w14:paraId="410E81D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64970B2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55,203</w:t>
            </w:r>
          </w:p>
        </w:tc>
        <w:tc>
          <w:tcPr>
            <w:tcW w:w="1127" w:type="dxa"/>
            <w:tcBorders>
              <w:top w:val="nil"/>
              <w:left w:val="nil"/>
              <w:bottom w:val="single" w:sz="4" w:space="0" w:color="auto"/>
              <w:right w:val="single" w:sz="4" w:space="0" w:color="auto"/>
            </w:tcBorders>
            <w:shd w:val="clear" w:color="auto" w:fill="auto"/>
            <w:noWrap/>
            <w:vAlign w:val="bottom"/>
            <w:hideMark/>
          </w:tcPr>
          <w:p w14:paraId="119414B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55,354</w:t>
            </w:r>
          </w:p>
        </w:tc>
      </w:tr>
      <w:tr w:rsidR="00BF10A3" w:rsidRPr="007C5546" w14:paraId="0BF78B98"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F0F8DE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42</w:t>
            </w:r>
          </w:p>
        </w:tc>
        <w:tc>
          <w:tcPr>
            <w:tcW w:w="4758" w:type="dxa"/>
            <w:tcBorders>
              <w:top w:val="nil"/>
              <w:left w:val="nil"/>
              <w:bottom w:val="single" w:sz="4" w:space="0" w:color="auto"/>
              <w:right w:val="single" w:sz="4" w:space="0" w:color="auto"/>
            </w:tcBorders>
            <w:shd w:val="clear" w:color="auto" w:fill="auto"/>
            <w:noWrap/>
            <w:vAlign w:val="bottom"/>
            <w:hideMark/>
          </w:tcPr>
          <w:p w14:paraId="32C43E86"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Psychology</w:t>
            </w:r>
          </w:p>
        </w:tc>
        <w:tc>
          <w:tcPr>
            <w:tcW w:w="928" w:type="dxa"/>
            <w:tcBorders>
              <w:top w:val="nil"/>
              <w:left w:val="nil"/>
              <w:bottom w:val="single" w:sz="4" w:space="0" w:color="auto"/>
              <w:right w:val="single" w:sz="4" w:space="0" w:color="auto"/>
            </w:tcBorders>
            <w:shd w:val="clear" w:color="auto" w:fill="auto"/>
            <w:noWrap/>
            <w:vAlign w:val="bottom"/>
            <w:hideMark/>
          </w:tcPr>
          <w:p w14:paraId="2D9F5F7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275</w:t>
            </w:r>
          </w:p>
        </w:tc>
        <w:tc>
          <w:tcPr>
            <w:tcW w:w="928" w:type="dxa"/>
            <w:tcBorders>
              <w:top w:val="nil"/>
              <w:left w:val="nil"/>
              <w:bottom w:val="single" w:sz="4" w:space="0" w:color="auto"/>
              <w:right w:val="single" w:sz="4" w:space="0" w:color="auto"/>
            </w:tcBorders>
            <w:shd w:val="clear" w:color="auto" w:fill="auto"/>
            <w:noWrap/>
            <w:vAlign w:val="bottom"/>
            <w:hideMark/>
          </w:tcPr>
          <w:p w14:paraId="561E285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56</w:t>
            </w:r>
          </w:p>
        </w:tc>
        <w:tc>
          <w:tcPr>
            <w:tcW w:w="1127" w:type="dxa"/>
            <w:tcBorders>
              <w:top w:val="nil"/>
              <w:left w:val="nil"/>
              <w:bottom w:val="single" w:sz="4" w:space="0" w:color="auto"/>
              <w:right w:val="single" w:sz="4" w:space="0" w:color="auto"/>
            </w:tcBorders>
            <w:shd w:val="clear" w:color="auto" w:fill="auto"/>
            <w:noWrap/>
            <w:vAlign w:val="bottom"/>
            <w:hideMark/>
          </w:tcPr>
          <w:p w14:paraId="5DFDFF0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46,252</w:t>
            </w:r>
          </w:p>
        </w:tc>
        <w:tc>
          <w:tcPr>
            <w:tcW w:w="1127" w:type="dxa"/>
            <w:tcBorders>
              <w:top w:val="nil"/>
              <w:left w:val="nil"/>
              <w:bottom w:val="single" w:sz="4" w:space="0" w:color="auto"/>
              <w:right w:val="single" w:sz="4" w:space="0" w:color="auto"/>
            </w:tcBorders>
            <w:shd w:val="clear" w:color="auto" w:fill="auto"/>
            <w:noWrap/>
            <w:vAlign w:val="bottom"/>
            <w:hideMark/>
          </w:tcPr>
          <w:p w14:paraId="742D613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46,583</w:t>
            </w:r>
          </w:p>
        </w:tc>
      </w:tr>
      <w:tr w:rsidR="00BF10A3" w:rsidRPr="007C5546" w14:paraId="0929B76D"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2B30F6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44</w:t>
            </w:r>
          </w:p>
        </w:tc>
        <w:tc>
          <w:tcPr>
            <w:tcW w:w="4758" w:type="dxa"/>
            <w:tcBorders>
              <w:top w:val="nil"/>
              <w:left w:val="nil"/>
              <w:bottom w:val="single" w:sz="4" w:space="0" w:color="auto"/>
              <w:right w:val="single" w:sz="4" w:space="0" w:color="auto"/>
            </w:tcBorders>
            <w:shd w:val="clear" w:color="auto" w:fill="auto"/>
            <w:noWrap/>
            <w:vAlign w:val="bottom"/>
            <w:hideMark/>
          </w:tcPr>
          <w:p w14:paraId="1A638DD6"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Public Administration and Services</w:t>
            </w:r>
          </w:p>
        </w:tc>
        <w:tc>
          <w:tcPr>
            <w:tcW w:w="928" w:type="dxa"/>
            <w:tcBorders>
              <w:top w:val="nil"/>
              <w:left w:val="nil"/>
              <w:bottom w:val="single" w:sz="4" w:space="0" w:color="auto"/>
              <w:right w:val="single" w:sz="4" w:space="0" w:color="auto"/>
            </w:tcBorders>
            <w:shd w:val="clear" w:color="auto" w:fill="auto"/>
            <w:noWrap/>
            <w:vAlign w:val="bottom"/>
            <w:hideMark/>
          </w:tcPr>
          <w:p w14:paraId="7844F7E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54</w:t>
            </w:r>
          </w:p>
        </w:tc>
        <w:tc>
          <w:tcPr>
            <w:tcW w:w="928" w:type="dxa"/>
            <w:tcBorders>
              <w:top w:val="nil"/>
              <w:left w:val="nil"/>
              <w:bottom w:val="single" w:sz="4" w:space="0" w:color="auto"/>
              <w:right w:val="single" w:sz="4" w:space="0" w:color="auto"/>
            </w:tcBorders>
            <w:shd w:val="clear" w:color="auto" w:fill="auto"/>
            <w:noWrap/>
            <w:vAlign w:val="bottom"/>
            <w:hideMark/>
          </w:tcPr>
          <w:p w14:paraId="08E806E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64</w:t>
            </w:r>
          </w:p>
        </w:tc>
        <w:tc>
          <w:tcPr>
            <w:tcW w:w="1127" w:type="dxa"/>
            <w:tcBorders>
              <w:top w:val="nil"/>
              <w:left w:val="nil"/>
              <w:bottom w:val="single" w:sz="4" w:space="0" w:color="auto"/>
              <w:right w:val="single" w:sz="4" w:space="0" w:color="auto"/>
            </w:tcBorders>
            <w:shd w:val="clear" w:color="auto" w:fill="auto"/>
            <w:noWrap/>
            <w:vAlign w:val="bottom"/>
            <w:hideMark/>
          </w:tcPr>
          <w:p w14:paraId="485CC00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39,432</w:t>
            </w:r>
          </w:p>
        </w:tc>
        <w:tc>
          <w:tcPr>
            <w:tcW w:w="1127" w:type="dxa"/>
            <w:tcBorders>
              <w:top w:val="nil"/>
              <w:left w:val="nil"/>
              <w:bottom w:val="single" w:sz="4" w:space="0" w:color="auto"/>
              <w:right w:val="single" w:sz="4" w:space="0" w:color="auto"/>
            </w:tcBorders>
            <w:shd w:val="clear" w:color="auto" w:fill="auto"/>
            <w:noWrap/>
            <w:vAlign w:val="bottom"/>
            <w:hideMark/>
          </w:tcPr>
          <w:p w14:paraId="293FA1A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39,550</w:t>
            </w:r>
          </w:p>
        </w:tc>
      </w:tr>
      <w:tr w:rsidR="00BF10A3" w:rsidRPr="007C5546" w14:paraId="38F3D48E"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06E7AB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22</w:t>
            </w:r>
          </w:p>
        </w:tc>
        <w:tc>
          <w:tcPr>
            <w:tcW w:w="4758" w:type="dxa"/>
            <w:tcBorders>
              <w:top w:val="nil"/>
              <w:left w:val="nil"/>
              <w:bottom w:val="single" w:sz="4" w:space="0" w:color="auto"/>
              <w:right w:val="single" w:sz="4" w:space="0" w:color="auto"/>
            </w:tcBorders>
            <w:shd w:val="clear" w:color="auto" w:fill="auto"/>
            <w:noWrap/>
            <w:vAlign w:val="bottom"/>
            <w:hideMark/>
          </w:tcPr>
          <w:p w14:paraId="49664EBD"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Law and Legal Services</w:t>
            </w:r>
          </w:p>
        </w:tc>
        <w:tc>
          <w:tcPr>
            <w:tcW w:w="928" w:type="dxa"/>
            <w:tcBorders>
              <w:top w:val="nil"/>
              <w:left w:val="nil"/>
              <w:bottom w:val="single" w:sz="4" w:space="0" w:color="auto"/>
              <w:right w:val="single" w:sz="4" w:space="0" w:color="auto"/>
            </w:tcBorders>
            <w:shd w:val="clear" w:color="auto" w:fill="auto"/>
            <w:noWrap/>
            <w:vAlign w:val="bottom"/>
            <w:hideMark/>
          </w:tcPr>
          <w:p w14:paraId="74E7927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1,682</w:t>
            </w:r>
          </w:p>
        </w:tc>
        <w:tc>
          <w:tcPr>
            <w:tcW w:w="928" w:type="dxa"/>
            <w:tcBorders>
              <w:top w:val="nil"/>
              <w:left w:val="nil"/>
              <w:bottom w:val="single" w:sz="4" w:space="0" w:color="auto"/>
              <w:right w:val="single" w:sz="4" w:space="0" w:color="auto"/>
            </w:tcBorders>
            <w:shd w:val="clear" w:color="auto" w:fill="auto"/>
            <w:noWrap/>
            <w:vAlign w:val="bottom"/>
            <w:hideMark/>
          </w:tcPr>
          <w:p w14:paraId="72EA7E9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799</w:t>
            </w:r>
          </w:p>
        </w:tc>
        <w:tc>
          <w:tcPr>
            <w:tcW w:w="1127" w:type="dxa"/>
            <w:tcBorders>
              <w:top w:val="nil"/>
              <w:left w:val="nil"/>
              <w:bottom w:val="single" w:sz="4" w:space="0" w:color="auto"/>
              <w:right w:val="single" w:sz="4" w:space="0" w:color="auto"/>
            </w:tcBorders>
            <w:shd w:val="clear" w:color="auto" w:fill="auto"/>
            <w:noWrap/>
            <w:vAlign w:val="bottom"/>
            <w:hideMark/>
          </w:tcPr>
          <w:p w14:paraId="29089E2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26,354</w:t>
            </w:r>
          </w:p>
        </w:tc>
        <w:tc>
          <w:tcPr>
            <w:tcW w:w="1127" w:type="dxa"/>
            <w:tcBorders>
              <w:top w:val="nil"/>
              <w:left w:val="nil"/>
              <w:bottom w:val="single" w:sz="4" w:space="0" w:color="auto"/>
              <w:right w:val="single" w:sz="4" w:space="0" w:color="auto"/>
            </w:tcBorders>
            <w:shd w:val="clear" w:color="auto" w:fill="auto"/>
            <w:noWrap/>
            <w:vAlign w:val="bottom"/>
            <w:hideMark/>
          </w:tcPr>
          <w:p w14:paraId="4AA8633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28,835</w:t>
            </w:r>
          </w:p>
        </w:tc>
      </w:tr>
      <w:tr w:rsidR="00BF10A3" w:rsidRPr="007C5546" w14:paraId="5C571AE7"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D2E2AA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46</w:t>
            </w:r>
          </w:p>
        </w:tc>
        <w:tc>
          <w:tcPr>
            <w:tcW w:w="4758" w:type="dxa"/>
            <w:tcBorders>
              <w:top w:val="nil"/>
              <w:left w:val="nil"/>
              <w:bottom w:val="single" w:sz="4" w:space="0" w:color="auto"/>
              <w:right w:val="single" w:sz="4" w:space="0" w:color="auto"/>
            </w:tcBorders>
            <w:shd w:val="clear" w:color="auto" w:fill="auto"/>
            <w:noWrap/>
            <w:vAlign w:val="bottom"/>
            <w:hideMark/>
          </w:tcPr>
          <w:p w14:paraId="6F27CF37"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Construction Trades</w:t>
            </w:r>
          </w:p>
        </w:tc>
        <w:tc>
          <w:tcPr>
            <w:tcW w:w="928" w:type="dxa"/>
            <w:tcBorders>
              <w:top w:val="nil"/>
              <w:left w:val="nil"/>
              <w:bottom w:val="single" w:sz="4" w:space="0" w:color="auto"/>
              <w:right w:val="single" w:sz="4" w:space="0" w:color="auto"/>
            </w:tcBorders>
            <w:shd w:val="clear" w:color="auto" w:fill="auto"/>
            <w:noWrap/>
            <w:vAlign w:val="bottom"/>
            <w:hideMark/>
          </w:tcPr>
          <w:p w14:paraId="65455CC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2,686</w:t>
            </w:r>
          </w:p>
        </w:tc>
        <w:tc>
          <w:tcPr>
            <w:tcW w:w="928" w:type="dxa"/>
            <w:tcBorders>
              <w:top w:val="nil"/>
              <w:left w:val="nil"/>
              <w:bottom w:val="single" w:sz="4" w:space="0" w:color="auto"/>
              <w:right w:val="single" w:sz="4" w:space="0" w:color="auto"/>
            </w:tcBorders>
            <w:shd w:val="clear" w:color="auto" w:fill="auto"/>
            <w:noWrap/>
            <w:vAlign w:val="bottom"/>
            <w:hideMark/>
          </w:tcPr>
          <w:p w14:paraId="31060D0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1,778</w:t>
            </w:r>
          </w:p>
        </w:tc>
        <w:tc>
          <w:tcPr>
            <w:tcW w:w="1127" w:type="dxa"/>
            <w:tcBorders>
              <w:top w:val="nil"/>
              <w:left w:val="nil"/>
              <w:bottom w:val="single" w:sz="4" w:space="0" w:color="auto"/>
              <w:right w:val="single" w:sz="4" w:space="0" w:color="auto"/>
            </w:tcBorders>
            <w:shd w:val="clear" w:color="auto" w:fill="auto"/>
            <w:noWrap/>
            <w:vAlign w:val="bottom"/>
            <w:hideMark/>
          </w:tcPr>
          <w:p w14:paraId="502D7B6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11,833</w:t>
            </w:r>
          </w:p>
        </w:tc>
        <w:tc>
          <w:tcPr>
            <w:tcW w:w="1127" w:type="dxa"/>
            <w:tcBorders>
              <w:top w:val="nil"/>
              <w:left w:val="nil"/>
              <w:bottom w:val="single" w:sz="4" w:space="0" w:color="auto"/>
              <w:right w:val="single" w:sz="4" w:space="0" w:color="auto"/>
            </w:tcBorders>
            <w:shd w:val="clear" w:color="auto" w:fill="auto"/>
            <w:noWrap/>
            <w:vAlign w:val="bottom"/>
            <w:hideMark/>
          </w:tcPr>
          <w:p w14:paraId="7BE35C4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16,297</w:t>
            </w:r>
          </w:p>
        </w:tc>
      </w:tr>
      <w:tr w:rsidR="00BF10A3" w:rsidRPr="007C5546" w14:paraId="5B4EAEDA"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4B0025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24</w:t>
            </w:r>
          </w:p>
        </w:tc>
        <w:tc>
          <w:tcPr>
            <w:tcW w:w="4758" w:type="dxa"/>
            <w:tcBorders>
              <w:top w:val="nil"/>
              <w:left w:val="nil"/>
              <w:bottom w:val="single" w:sz="4" w:space="0" w:color="auto"/>
              <w:right w:val="single" w:sz="4" w:space="0" w:color="auto"/>
            </w:tcBorders>
            <w:shd w:val="clear" w:color="auto" w:fill="auto"/>
            <w:noWrap/>
            <w:vAlign w:val="bottom"/>
            <w:hideMark/>
          </w:tcPr>
          <w:p w14:paraId="3F565EBB"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Liberal Arts and Sciences, General Studies and Humanities</w:t>
            </w:r>
          </w:p>
        </w:tc>
        <w:tc>
          <w:tcPr>
            <w:tcW w:w="928" w:type="dxa"/>
            <w:tcBorders>
              <w:top w:val="nil"/>
              <w:left w:val="nil"/>
              <w:bottom w:val="single" w:sz="4" w:space="0" w:color="auto"/>
              <w:right w:val="single" w:sz="4" w:space="0" w:color="auto"/>
            </w:tcBorders>
            <w:shd w:val="clear" w:color="auto" w:fill="auto"/>
            <w:noWrap/>
            <w:vAlign w:val="bottom"/>
            <w:hideMark/>
          </w:tcPr>
          <w:p w14:paraId="6F7CFC5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8,342</w:t>
            </w:r>
          </w:p>
        </w:tc>
        <w:tc>
          <w:tcPr>
            <w:tcW w:w="928" w:type="dxa"/>
            <w:tcBorders>
              <w:top w:val="nil"/>
              <w:left w:val="nil"/>
              <w:bottom w:val="single" w:sz="4" w:space="0" w:color="auto"/>
              <w:right w:val="single" w:sz="4" w:space="0" w:color="auto"/>
            </w:tcBorders>
            <w:shd w:val="clear" w:color="auto" w:fill="auto"/>
            <w:noWrap/>
            <w:vAlign w:val="bottom"/>
            <w:hideMark/>
          </w:tcPr>
          <w:p w14:paraId="28E91EE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1253251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7,594</w:t>
            </w:r>
          </w:p>
        </w:tc>
        <w:tc>
          <w:tcPr>
            <w:tcW w:w="1127" w:type="dxa"/>
            <w:tcBorders>
              <w:top w:val="nil"/>
              <w:left w:val="nil"/>
              <w:bottom w:val="single" w:sz="4" w:space="0" w:color="auto"/>
              <w:right w:val="single" w:sz="4" w:space="0" w:color="auto"/>
            </w:tcBorders>
            <w:shd w:val="clear" w:color="auto" w:fill="auto"/>
            <w:noWrap/>
            <w:vAlign w:val="bottom"/>
            <w:hideMark/>
          </w:tcPr>
          <w:p w14:paraId="1AC38EE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15,936</w:t>
            </w:r>
          </w:p>
        </w:tc>
      </w:tr>
      <w:tr w:rsidR="00BF10A3" w:rsidRPr="007C5546" w14:paraId="4CDD4C5C"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496C71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w:t>
            </w:r>
          </w:p>
        </w:tc>
        <w:tc>
          <w:tcPr>
            <w:tcW w:w="4758" w:type="dxa"/>
            <w:tcBorders>
              <w:top w:val="nil"/>
              <w:left w:val="nil"/>
              <w:bottom w:val="single" w:sz="4" w:space="0" w:color="auto"/>
              <w:right w:val="single" w:sz="4" w:space="0" w:color="auto"/>
            </w:tcBorders>
            <w:shd w:val="clear" w:color="auto" w:fill="auto"/>
            <w:noWrap/>
            <w:vAlign w:val="bottom"/>
            <w:hideMark/>
          </w:tcPr>
          <w:p w14:paraId="5760E51E"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Telecommunications Technologies</w:t>
            </w:r>
          </w:p>
        </w:tc>
        <w:tc>
          <w:tcPr>
            <w:tcW w:w="928" w:type="dxa"/>
            <w:tcBorders>
              <w:top w:val="nil"/>
              <w:left w:val="nil"/>
              <w:bottom w:val="single" w:sz="4" w:space="0" w:color="auto"/>
              <w:right w:val="single" w:sz="4" w:space="0" w:color="auto"/>
            </w:tcBorders>
            <w:shd w:val="clear" w:color="auto" w:fill="auto"/>
            <w:noWrap/>
            <w:vAlign w:val="bottom"/>
            <w:hideMark/>
          </w:tcPr>
          <w:p w14:paraId="3B42A46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435</w:t>
            </w:r>
          </w:p>
        </w:tc>
        <w:tc>
          <w:tcPr>
            <w:tcW w:w="928" w:type="dxa"/>
            <w:tcBorders>
              <w:top w:val="nil"/>
              <w:left w:val="nil"/>
              <w:bottom w:val="single" w:sz="4" w:space="0" w:color="auto"/>
              <w:right w:val="single" w:sz="4" w:space="0" w:color="auto"/>
            </w:tcBorders>
            <w:shd w:val="clear" w:color="auto" w:fill="auto"/>
            <w:noWrap/>
            <w:vAlign w:val="bottom"/>
            <w:hideMark/>
          </w:tcPr>
          <w:p w14:paraId="06AA3B4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52</w:t>
            </w:r>
          </w:p>
        </w:tc>
        <w:tc>
          <w:tcPr>
            <w:tcW w:w="1127" w:type="dxa"/>
            <w:tcBorders>
              <w:top w:val="nil"/>
              <w:left w:val="nil"/>
              <w:bottom w:val="single" w:sz="4" w:space="0" w:color="auto"/>
              <w:right w:val="single" w:sz="4" w:space="0" w:color="auto"/>
            </w:tcBorders>
            <w:shd w:val="clear" w:color="auto" w:fill="auto"/>
            <w:noWrap/>
            <w:vAlign w:val="bottom"/>
            <w:hideMark/>
          </w:tcPr>
          <w:p w14:paraId="4BB17C5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13,570</w:t>
            </w:r>
          </w:p>
        </w:tc>
        <w:tc>
          <w:tcPr>
            <w:tcW w:w="1127" w:type="dxa"/>
            <w:tcBorders>
              <w:top w:val="nil"/>
              <w:left w:val="nil"/>
              <w:bottom w:val="single" w:sz="4" w:space="0" w:color="auto"/>
              <w:right w:val="single" w:sz="4" w:space="0" w:color="auto"/>
            </w:tcBorders>
            <w:shd w:val="clear" w:color="auto" w:fill="auto"/>
            <w:noWrap/>
            <w:vAlign w:val="bottom"/>
            <w:hideMark/>
          </w:tcPr>
          <w:p w14:paraId="72FC1C7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14,057</w:t>
            </w:r>
          </w:p>
        </w:tc>
      </w:tr>
      <w:tr w:rsidR="00BF10A3" w:rsidRPr="007C5546" w14:paraId="0A52D33D"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0C74FB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45</w:t>
            </w:r>
          </w:p>
        </w:tc>
        <w:tc>
          <w:tcPr>
            <w:tcW w:w="4758" w:type="dxa"/>
            <w:tcBorders>
              <w:top w:val="nil"/>
              <w:left w:val="nil"/>
              <w:bottom w:val="single" w:sz="4" w:space="0" w:color="auto"/>
              <w:right w:val="single" w:sz="4" w:space="0" w:color="auto"/>
            </w:tcBorders>
            <w:shd w:val="clear" w:color="auto" w:fill="auto"/>
            <w:noWrap/>
            <w:vAlign w:val="bottom"/>
            <w:hideMark/>
          </w:tcPr>
          <w:p w14:paraId="594B228F"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Social Sciences and History</w:t>
            </w:r>
          </w:p>
        </w:tc>
        <w:tc>
          <w:tcPr>
            <w:tcW w:w="928" w:type="dxa"/>
            <w:tcBorders>
              <w:top w:val="nil"/>
              <w:left w:val="nil"/>
              <w:bottom w:val="single" w:sz="4" w:space="0" w:color="auto"/>
              <w:right w:val="single" w:sz="4" w:space="0" w:color="auto"/>
            </w:tcBorders>
            <w:shd w:val="clear" w:color="auto" w:fill="auto"/>
            <w:noWrap/>
            <w:vAlign w:val="bottom"/>
            <w:hideMark/>
          </w:tcPr>
          <w:p w14:paraId="3279AF6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014BBC8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101</w:t>
            </w:r>
          </w:p>
        </w:tc>
        <w:tc>
          <w:tcPr>
            <w:tcW w:w="1127" w:type="dxa"/>
            <w:tcBorders>
              <w:top w:val="nil"/>
              <w:left w:val="nil"/>
              <w:bottom w:val="single" w:sz="4" w:space="0" w:color="auto"/>
              <w:right w:val="single" w:sz="4" w:space="0" w:color="auto"/>
            </w:tcBorders>
            <w:shd w:val="clear" w:color="auto" w:fill="auto"/>
            <w:noWrap/>
            <w:vAlign w:val="bottom"/>
            <w:hideMark/>
          </w:tcPr>
          <w:p w14:paraId="518BFE9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10,331</w:t>
            </w:r>
          </w:p>
        </w:tc>
        <w:tc>
          <w:tcPr>
            <w:tcW w:w="1127" w:type="dxa"/>
            <w:tcBorders>
              <w:top w:val="nil"/>
              <w:left w:val="nil"/>
              <w:bottom w:val="single" w:sz="4" w:space="0" w:color="auto"/>
              <w:right w:val="single" w:sz="4" w:space="0" w:color="auto"/>
            </w:tcBorders>
            <w:shd w:val="clear" w:color="auto" w:fill="auto"/>
            <w:noWrap/>
            <w:vAlign w:val="bottom"/>
            <w:hideMark/>
          </w:tcPr>
          <w:p w14:paraId="02B2397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10,432</w:t>
            </w:r>
          </w:p>
        </w:tc>
      </w:tr>
      <w:tr w:rsidR="00BF10A3" w:rsidRPr="007C5546" w14:paraId="605ED354"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67E723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19</w:t>
            </w:r>
          </w:p>
        </w:tc>
        <w:tc>
          <w:tcPr>
            <w:tcW w:w="4758" w:type="dxa"/>
            <w:tcBorders>
              <w:top w:val="nil"/>
              <w:left w:val="nil"/>
              <w:bottom w:val="single" w:sz="4" w:space="0" w:color="auto"/>
              <w:right w:val="single" w:sz="4" w:space="0" w:color="auto"/>
            </w:tcBorders>
            <w:shd w:val="clear" w:color="auto" w:fill="auto"/>
            <w:noWrap/>
            <w:vAlign w:val="bottom"/>
            <w:hideMark/>
          </w:tcPr>
          <w:p w14:paraId="5BEFF159"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Home Economics</w:t>
            </w:r>
          </w:p>
        </w:tc>
        <w:tc>
          <w:tcPr>
            <w:tcW w:w="928" w:type="dxa"/>
            <w:tcBorders>
              <w:top w:val="nil"/>
              <w:left w:val="nil"/>
              <w:bottom w:val="single" w:sz="4" w:space="0" w:color="auto"/>
              <w:right w:val="single" w:sz="4" w:space="0" w:color="auto"/>
            </w:tcBorders>
            <w:shd w:val="clear" w:color="auto" w:fill="auto"/>
            <w:noWrap/>
            <w:vAlign w:val="bottom"/>
            <w:hideMark/>
          </w:tcPr>
          <w:p w14:paraId="1F0AC45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7,111</w:t>
            </w:r>
          </w:p>
        </w:tc>
        <w:tc>
          <w:tcPr>
            <w:tcW w:w="928" w:type="dxa"/>
            <w:tcBorders>
              <w:top w:val="nil"/>
              <w:left w:val="nil"/>
              <w:bottom w:val="single" w:sz="4" w:space="0" w:color="auto"/>
              <w:right w:val="single" w:sz="4" w:space="0" w:color="auto"/>
            </w:tcBorders>
            <w:shd w:val="clear" w:color="auto" w:fill="auto"/>
            <w:noWrap/>
            <w:vAlign w:val="bottom"/>
            <w:hideMark/>
          </w:tcPr>
          <w:p w14:paraId="7B1A965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699</w:t>
            </w:r>
          </w:p>
        </w:tc>
        <w:tc>
          <w:tcPr>
            <w:tcW w:w="1127" w:type="dxa"/>
            <w:tcBorders>
              <w:top w:val="nil"/>
              <w:left w:val="nil"/>
              <w:bottom w:val="single" w:sz="4" w:space="0" w:color="auto"/>
              <w:right w:val="single" w:sz="4" w:space="0" w:color="auto"/>
            </w:tcBorders>
            <w:shd w:val="clear" w:color="auto" w:fill="auto"/>
            <w:noWrap/>
            <w:vAlign w:val="bottom"/>
            <w:hideMark/>
          </w:tcPr>
          <w:p w14:paraId="460680E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1,684</w:t>
            </w:r>
          </w:p>
        </w:tc>
        <w:tc>
          <w:tcPr>
            <w:tcW w:w="1127" w:type="dxa"/>
            <w:tcBorders>
              <w:top w:val="nil"/>
              <w:left w:val="nil"/>
              <w:bottom w:val="single" w:sz="4" w:space="0" w:color="auto"/>
              <w:right w:val="single" w:sz="4" w:space="0" w:color="auto"/>
            </w:tcBorders>
            <w:shd w:val="clear" w:color="auto" w:fill="auto"/>
            <w:noWrap/>
            <w:vAlign w:val="bottom"/>
            <w:hideMark/>
          </w:tcPr>
          <w:p w14:paraId="028C6DD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9,494</w:t>
            </w:r>
          </w:p>
        </w:tc>
      </w:tr>
      <w:tr w:rsidR="00BF10A3" w:rsidRPr="007C5546" w14:paraId="10183317"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0DE31E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49</w:t>
            </w:r>
          </w:p>
        </w:tc>
        <w:tc>
          <w:tcPr>
            <w:tcW w:w="4758" w:type="dxa"/>
            <w:tcBorders>
              <w:top w:val="nil"/>
              <w:left w:val="nil"/>
              <w:bottom w:val="single" w:sz="4" w:space="0" w:color="auto"/>
              <w:right w:val="single" w:sz="4" w:space="0" w:color="auto"/>
            </w:tcBorders>
            <w:shd w:val="clear" w:color="auto" w:fill="auto"/>
            <w:noWrap/>
            <w:vAlign w:val="bottom"/>
            <w:hideMark/>
          </w:tcPr>
          <w:p w14:paraId="572C78F3"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Transportation and Material Moving Workers</w:t>
            </w:r>
          </w:p>
        </w:tc>
        <w:tc>
          <w:tcPr>
            <w:tcW w:w="928" w:type="dxa"/>
            <w:tcBorders>
              <w:top w:val="nil"/>
              <w:left w:val="nil"/>
              <w:bottom w:val="single" w:sz="4" w:space="0" w:color="auto"/>
              <w:right w:val="single" w:sz="4" w:space="0" w:color="auto"/>
            </w:tcBorders>
            <w:shd w:val="clear" w:color="auto" w:fill="auto"/>
            <w:noWrap/>
            <w:vAlign w:val="bottom"/>
            <w:hideMark/>
          </w:tcPr>
          <w:p w14:paraId="6028F7E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1,312</w:t>
            </w:r>
          </w:p>
        </w:tc>
        <w:tc>
          <w:tcPr>
            <w:tcW w:w="928" w:type="dxa"/>
            <w:tcBorders>
              <w:top w:val="nil"/>
              <w:left w:val="nil"/>
              <w:bottom w:val="single" w:sz="4" w:space="0" w:color="auto"/>
              <w:right w:val="single" w:sz="4" w:space="0" w:color="auto"/>
            </w:tcBorders>
            <w:shd w:val="clear" w:color="auto" w:fill="auto"/>
            <w:noWrap/>
            <w:vAlign w:val="bottom"/>
            <w:hideMark/>
          </w:tcPr>
          <w:p w14:paraId="1EBBAC9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271</w:t>
            </w:r>
          </w:p>
        </w:tc>
        <w:tc>
          <w:tcPr>
            <w:tcW w:w="1127" w:type="dxa"/>
            <w:tcBorders>
              <w:top w:val="nil"/>
              <w:left w:val="nil"/>
              <w:bottom w:val="single" w:sz="4" w:space="0" w:color="auto"/>
              <w:right w:val="single" w:sz="4" w:space="0" w:color="auto"/>
            </w:tcBorders>
            <w:shd w:val="clear" w:color="auto" w:fill="auto"/>
            <w:noWrap/>
            <w:vAlign w:val="bottom"/>
            <w:hideMark/>
          </w:tcPr>
          <w:p w14:paraId="20D8FBD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7,459</w:t>
            </w:r>
          </w:p>
        </w:tc>
        <w:tc>
          <w:tcPr>
            <w:tcW w:w="1127" w:type="dxa"/>
            <w:tcBorders>
              <w:top w:val="nil"/>
              <w:left w:val="nil"/>
              <w:bottom w:val="single" w:sz="4" w:space="0" w:color="auto"/>
              <w:right w:val="single" w:sz="4" w:space="0" w:color="auto"/>
            </w:tcBorders>
            <w:shd w:val="clear" w:color="auto" w:fill="auto"/>
            <w:noWrap/>
            <w:vAlign w:val="bottom"/>
            <w:hideMark/>
          </w:tcPr>
          <w:p w14:paraId="3F43336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9,042</w:t>
            </w:r>
          </w:p>
        </w:tc>
      </w:tr>
      <w:tr w:rsidR="00BF10A3" w:rsidRPr="007C5546" w14:paraId="75EC9664"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B6CBB1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48</w:t>
            </w:r>
          </w:p>
        </w:tc>
        <w:tc>
          <w:tcPr>
            <w:tcW w:w="4758" w:type="dxa"/>
            <w:tcBorders>
              <w:top w:val="nil"/>
              <w:left w:val="nil"/>
              <w:bottom w:val="single" w:sz="4" w:space="0" w:color="auto"/>
              <w:right w:val="single" w:sz="4" w:space="0" w:color="auto"/>
            </w:tcBorders>
            <w:shd w:val="clear" w:color="auto" w:fill="auto"/>
            <w:noWrap/>
            <w:vAlign w:val="bottom"/>
            <w:hideMark/>
          </w:tcPr>
          <w:p w14:paraId="6551607A"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Precision Production Trades</w:t>
            </w:r>
          </w:p>
        </w:tc>
        <w:tc>
          <w:tcPr>
            <w:tcW w:w="928" w:type="dxa"/>
            <w:tcBorders>
              <w:top w:val="nil"/>
              <w:left w:val="nil"/>
              <w:bottom w:val="single" w:sz="4" w:space="0" w:color="auto"/>
              <w:right w:val="single" w:sz="4" w:space="0" w:color="auto"/>
            </w:tcBorders>
            <w:shd w:val="clear" w:color="auto" w:fill="auto"/>
            <w:noWrap/>
            <w:vAlign w:val="bottom"/>
            <w:hideMark/>
          </w:tcPr>
          <w:p w14:paraId="7DEF185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1,642</w:t>
            </w:r>
          </w:p>
        </w:tc>
        <w:tc>
          <w:tcPr>
            <w:tcW w:w="928" w:type="dxa"/>
            <w:tcBorders>
              <w:top w:val="nil"/>
              <w:left w:val="nil"/>
              <w:bottom w:val="single" w:sz="4" w:space="0" w:color="auto"/>
              <w:right w:val="single" w:sz="4" w:space="0" w:color="auto"/>
            </w:tcBorders>
            <w:shd w:val="clear" w:color="auto" w:fill="auto"/>
            <w:noWrap/>
            <w:vAlign w:val="bottom"/>
            <w:hideMark/>
          </w:tcPr>
          <w:p w14:paraId="58858A4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1,165</w:t>
            </w:r>
          </w:p>
        </w:tc>
        <w:tc>
          <w:tcPr>
            <w:tcW w:w="1127" w:type="dxa"/>
            <w:tcBorders>
              <w:top w:val="nil"/>
              <w:left w:val="nil"/>
              <w:bottom w:val="single" w:sz="4" w:space="0" w:color="auto"/>
              <w:right w:val="single" w:sz="4" w:space="0" w:color="auto"/>
            </w:tcBorders>
            <w:shd w:val="clear" w:color="auto" w:fill="auto"/>
            <w:noWrap/>
            <w:vAlign w:val="bottom"/>
            <w:hideMark/>
          </w:tcPr>
          <w:p w14:paraId="1616F3B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5,887</w:t>
            </w:r>
          </w:p>
        </w:tc>
        <w:tc>
          <w:tcPr>
            <w:tcW w:w="1127" w:type="dxa"/>
            <w:tcBorders>
              <w:top w:val="nil"/>
              <w:left w:val="nil"/>
              <w:bottom w:val="single" w:sz="4" w:space="0" w:color="auto"/>
              <w:right w:val="single" w:sz="4" w:space="0" w:color="auto"/>
            </w:tcBorders>
            <w:shd w:val="clear" w:color="auto" w:fill="auto"/>
            <w:noWrap/>
            <w:vAlign w:val="bottom"/>
            <w:hideMark/>
          </w:tcPr>
          <w:p w14:paraId="09900A6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8,694</w:t>
            </w:r>
          </w:p>
        </w:tc>
      </w:tr>
      <w:tr w:rsidR="00BF10A3" w:rsidRPr="007C5546" w14:paraId="36BEA430"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0526D4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23</w:t>
            </w:r>
          </w:p>
        </w:tc>
        <w:tc>
          <w:tcPr>
            <w:tcW w:w="4758" w:type="dxa"/>
            <w:tcBorders>
              <w:top w:val="nil"/>
              <w:left w:val="nil"/>
              <w:bottom w:val="single" w:sz="4" w:space="0" w:color="auto"/>
              <w:right w:val="single" w:sz="4" w:space="0" w:color="auto"/>
            </w:tcBorders>
            <w:shd w:val="clear" w:color="auto" w:fill="auto"/>
            <w:noWrap/>
            <w:vAlign w:val="bottom"/>
            <w:hideMark/>
          </w:tcPr>
          <w:p w14:paraId="4536BBF8"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English Language and Literature/Letters</w:t>
            </w:r>
          </w:p>
        </w:tc>
        <w:tc>
          <w:tcPr>
            <w:tcW w:w="928" w:type="dxa"/>
            <w:tcBorders>
              <w:top w:val="nil"/>
              <w:left w:val="nil"/>
              <w:bottom w:val="single" w:sz="4" w:space="0" w:color="auto"/>
              <w:right w:val="single" w:sz="4" w:space="0" w:color="auto"/>
            </w:tcBorders>
            <w:shd w:val="clear" w:color="auto" w:fill="auto"/>
            <w:noWrap/>
            <w:vAlign w:val="bottom"/>
            <w:hideMark/>
          </w:tcPr>
          <w:p w14:paraId="5FD5F30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2DD86C5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1,101</w:t>
            </w:r>
          </w:p>
        </w:tc>
        <w:tc>
          <w:tcPr>
            <w:tcW w:w="1127" w:type="dxa"/>
            <w:tcBorders>
              <w:top w:val="nil"/>
              <w:left w:val="nil"/>
              <w:bottom w:val="single" w:sz="4" w:space="0" w:color="auto"/>
              <w:right w:val="single" w:sz="4" w:space="0" w:color="auto"/>
            </w:tcBorders>
            <w:shd w:val="clear" w:color="auto" w:fill="auto"/>
            <w:noWrap/>
            <w:vAlign w:val="bottom"/>
            <w:hideMark/>
          </w:tcPr>
          <w:p w14:paraId="62C2276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5,659</w:t>
            </w:r>
          </w:p>
        </w:tc>
        <w:tc>
          <w:tcPr>
            <w:tcW w:w="1127" w:type="dxa"/>
            <w:tcBorders>
              <w:top w:val="nil"/>
              <w:left w:val="nil"/>
              <w:bottom w:val="single" w:sz="4" w:space="0" w:color="auto"/>
              <w:right w:val="single" w:sz="4" w:space="0" w:color="auto"/>
            </w:tcBorders>
            <w:shd w:val="clear" w:color="auto" w:fill="auto"/>
            <w:noWrap/>
            <w:vAlign w:val="bottom"/>
            <w:hideMark/>
          </w:tcPr>
          <w:p w14:paraId="4D6F027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6,760</w:t>
            </w:r>
          </w:p>
        </w:tc>
      </w:tr>
      <w:tr w:rsidR="00BF10A3" w:rsidRPr="007C5546" w14:paraId="1ABC4AA6"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AADA32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w:t>
            </w:r>
          </w:p>
        </w:tc>
        <w:tc>
          <w:tcPr>
            <w:tcW w:w="4758" w:type="dxa"/>
            <w:tcBorders>
              <w:top w:val="nil"/>
              <w:left w:val="nil"/>
              <w:bottom w:val="single" w:sz="4" w:space="0" w:color="auto"/>
              <w:right w:val="single" w:sz="4" w:space="0" w:color="auto"/>
            </w:tcBorders>
            <w:shd w:val="clear" w:color="auto" w:fill="auto"/>
            <w:noWrap/>
            <w:vAlign w:val="bottom"/>
            <w:hideMark/>
          </w:tcPr>
          <w:p w14:paraId="0259B1BE"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Communications</w:t>
            </w:r>
          </w:p>
        </w:tc>
        <w:tc>
          <w:tcPr>
            <w:tcW w:w="928" w:type="dxa"/>
            <w:tcBorders>
              <w:top w:val="nil"/>
              <w:left w:val="nil"/>
              <w:bottom w:val="single" w:sz="4" w:space="0" w:color="auto"/>
              <w:right w:val="single" w:sz="4" w:space="0" w:color="auto"/>
            </w:tcBorders>
            <w:shd w:val="clear" w:color="auto" w:fill="auto"/>
            <w:noWrap/>
            <w:vAlign w:val="bottom"/>
            <w:hideMark/>
          </w:tcPr>
          <w:p w14:paraId="460488E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37061A8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0034BED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6,034</w:t>
            </w:r>
          </w:p>
        </w:tc>
        <w:tc>
          <w:tcPr>
            <w:tcW w:w="1127" w:type="dxa"/>
            <w:tcBorders>
              <w:top w:val="nil"/>
              <w:left w:val="nil"/>
              <w:bottom w:val="single" w:sz="4" w:space="0" w:color="auto"/>
              <w:right w:val="single" w:sz="4" w:space="0" w:color="auto"/>
            </w:tcBorders>
            <w:shd w:val="clear" w:color="auto" w:fill="auto"/>
            <w:noWrap/>
            <w:vAlign w:val="bottom"/>
            <w:hideMark/>
          </w:tcPr>
          <w:p w14:paraId="028A9D2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6,034</w:t>
            </w:r>
          </w:p>
        </w:tc>
      </w:tr>
      <w:tr w:rsidR="00BF10A3" w:rsidRPr="007C5546" w14:paraId="3B568591"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448883D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14</w:t>
            </w:r>
          </w:p>
        </w:tc>
        <w:tc>
          <w:tcPr>
            <w:tcW w:w="4758" w:type="dxa"/>
            <w:tcBorders>
              <w:top w:val="nil"/>
              <w:left w:val="nil"/>
              <w:bottom w:val="single" w:sz="4" w:space="0" w:color="auto"/>
              <w:right w:val="single" w:sz="4" w:space="0" w:color="auto"/>
            </w:tcBorders>
            <w:shd w:val="clear" w:color="auto" w:fill="auto"/>
            <w:noWrap/>
            <w:vAlign w:val="bottom"/>
            <w:hideMark/>
          </w:tcPr>
          <w:p w14:paraId="4437400A"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Engineering</w:t>
            </w:r>
          </w:p>
        </w:tc>
        <w:tc>
          <w:tcPr>
            <w:tcW w:w="928" w:type="dxa"/>
            <w:tcBorders>
              <w:top w:val="nil"/>
              <w:left w:val="nil"/>
              <w:bottom w:val="single" w:sz="4" w:space="0" w:color="auto"/>
              <w:right w:val="single" w:sz="4" w:space="0" w:color="auto"/>
            </w:tcBorders>
            <w:shd w:val="clear" w:color="auto" w:fill="auto"/>
            <w:noWrap/>
            <w:vAlign w:val="bottom"/>
            <w:hideMark/>
          </w:tcPr>
          <w:p w14:paraId="16A088D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45</w:t>
            </w:r>
          </w:p>
        </w:tc>
        <w:tc>
          <w:tcPr>
            <w:tcW w:w="928" w:type="dxa"/>
            <w:tcBorders>
              <w:top w:val="nil"/>
              <w:left w:val="nil"/>
              <w:bottom w:val="single" w:sz="4" w:space="0" w:color="auto"/>
              <w:right w:val="single" w:sz="4" w:space="0" w:color="auto"/>
            </w:tcBorders>
            <w:shd w:val="clear" w:color="auto" w:fill="auto"/>
            <w:noWrap/>
            <w:vAlign w:val="bottom"/>
            <w:hideMark/>
          </w:tcPr>
          <w:p w14:paraId="27AE655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164</w:t>
            </w:r>
          </w:p>
        </w:tc>
        <w:tc>
          <w:tcPr>
            <w:tcW w:w="1127" w:type="dxa"/>
            <w:tcBorders>
              <w:top w:val="nil"/>
              <w:left w:val="nil"/>
              <w:bottom w:val="single" w:sz="4" w:space="0" w:color="auto"/>
              <w:right w:val="single" w:sz="4" w:space="0" w:color="auto"/>
            </w:tcBorders>
            <w:shd w:val="clear" w:color="auto" w:fill="auto"/>
            <w:noWrap/>
            <w:vAlign w:val="bottom"/>
            <w:hideMark/>
          </w:tcPr>
          <w:p w14:paraId="68728E2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4,738</w:t>
            </w:r>
          </w:p>
        </w:tc>
        <w:tc>
          <w:tcPr>
            <w:tcW w:w="1127" w:type="dxa"/>
            <w:tcBorders>
              <w:top w:val="nil"/>
              <w:left w:val="nil"/>
              <w:bottom w:val="single" w:sz="4" w:space="0" w:color="auto"/>
              <w:right w:val="single" w:sz="4" w:space="0" w:color="auto"/>
            </w:tcBorders>
            <w:shd w:val="clear" w:color="auto" w:fill="auto"/>
            <w:noWrap/>
            <w:vAlign w:val="bottom"/>
            <w:hideMark/>
          </w:tcPr>
          <w:p w14:paraId="0DC435F4"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4,947</w:t>
            </w:r>
          </w:p>
        </w:tc>
      </w:tr>
      <w:tr w:rsidR="00BF10A3" w:rsidRPr="007C5546" w14:paraId="0317576F"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14EE0C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31</w:t>
            </w:r>
          </w:p>
        </w:tc>
        <w:tc>
          <w:tcPr>
            <w:tcW w:w="4758" w:type="dxa"/>
            <w:tcBorders>
              <w:top w:val="nil"/>
              <w:left w:val="nil"/>
              <w:bottom w:val="single" w:sz="4" w:space="0" w:color="auto"/>
              <w:right w:val="single" w:sz="4" w:space="0" w:color="auto"/>
            </w:tcBorders>
            <w:shd w:val="clear" w:color="auto" w:fill="auto"/>
            <w:noWrap/>
            <w:vAlign w:val="bottom"/>
            <w:hideMark/>
          </w:tcPr>
          <w:p w14:paraId="4A12B2C6"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Parks, Recreation, Leisure, and Fitness Studies</w:t>
            </w:r>
          </w:p>
        </w:tc>
        <w:tc>
          <w:tcPr>
            <w:tcW w:w="928" w:type="dxa"/>
            <w:tcBorders>
              <w:top w:val="nil"/>
              <w:left w:val="nil"/>
              <w:bottom w:val="single" w:sz="4" w:space="0" w:color="auto"/>
              <w:right w:val="single" w:sz="4" w:space="0" w:color="auto"/>
            </w:tcBorders>
            <w:shd w:val="clear" w:color="auto" w:fill="auto"/>
            <w:noWrap/>
            <w:vAlign w:val="bottom"/>
            <w:hideMark/>
          </w:tcPr>
          <w:p w14:paraId="4A61266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815</w:t>
            </w:r>
          </w:p>
        </w:tc>
        <w:tc>
          <w:tcPr>
            <w:tcW w:w="928" w:type="dxa"/>
            <w:tcBorders>
              <w:top w:val="nil"/>
              <w:left w:val="nil"/>
              <w:bottom w:val="single" w:sz="4" w:space="0" w:color="auto"/>
              <w:right w:val="single" w:sz="4" w:space="0" w:color="auto"/>
            </w:tcBorders>
            <w:shd w:val="clear" w:color="auto" w:fill="auto"/>
            <w:noWrap/>
            <w:vAlign w:val="bottom"/>
            <w:hideMark/>
          </w:tcPr>
          <w:p w14:paraId="0C0B25D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22B8976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3,377</w:t>
            </w:r>
          </w:p>
        </w:tc>
        <w:tc>
          <w:tcPr>
            <w:tcW w:w="1127" w:type="dxa"/>
            <w:tcBorders>
              <w:top w:val="nil"/>
              <w:left w:val="nil"/>
              <w:bottom w:val="single" w:sz="4" w:space="0" w:color="auto"/>
              <w:right w:val="single" w:sz="4" w:space="0" w:color="auto"/>
            </w:tcBorders>
            <w:shd w:val="clear" w:color="auto" w:fill="auto"/>
            <w:noWrap/>
            <w:vAlign w:val="bottom"/>
            <w:hideMark/>
          </w:tcPr>
          <w:p w14:paraId="1E96326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4,192</w:t>
            </w:r>
          </w:p>
        </w:tc>
      </w:tr>
      <w:tr w:rsidR="00BF10A3" w:rsidRPr="007C5546" w14:paraId="20728D63"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181E68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34</w:t>
            </w:r>
          </w:p>
        </w:tc>
        <w:tc>
          <w:tcPr>
            <w:tcW w:w="4758" w:type="dxa"/>
            <w:tcBorders>
              <w:top w:val="nil"/>
              <w:left w:val="nil"/>
              <w:bottom w:val="single" w:sz="4" w:space="0" w:color="auto"/>
              <w:right w:val="single" w:sz="4" w:space="0" w:color="auto"/>
            </w:tcBorders>
            <w:shd w:val="clear" w:color="auto" w:fill="auto"/>
            <w:noWrap/>
            <w:vAlign w:val="bottom"/>
            <w:hideMark/>
          </w:tcPr>
          <w:p w14:paraId="5F75EBDD"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Health-related Knowledge and Skills</w:t>
            </w:r>
          </w:p>
        </w:tc>
        <w:tc>
          <w:tcPr>
            <w:tcW w:w="928" w:type="dxa"/>
            <w:tcBorders>
              <w:top w:val="nil"/>
              <w:left w:val="nil"/>
              <w:bottom w:val="single" w:sz="4" w:space="0" w:color="auto"/>
              <w:right w:val="single" w:sz="4" w:space="0" w:color="auto"/>
            </w:tcBorders>
            <w:shd w:val="clear" w:color="auto" w:fill="auto"/>
            <w:noWrap/>
            <w:vAlign w:val="bottom"/>
            <w:hideMark/>
          </w:tcPr>
          <w:p w14:paraId="49E662D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2669A42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3DCA1BF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1,320</w:t>
            </w:r>
          </w:p>
        </w:tc>
        <w:tc>
          <w:tcPr>
            <w:tcW w:w="1127" w:type="dxa"/>
            <w:tcBorders>
              <w:top w:val="nil"/>
              <w:left w:val="nil"/>
              <w:bottom w:val="single" w:sz="4" w:space="0" w:color="auto"/>
              <w:right w:val="single" w:sz="4" w:space="0" w:color="auto"/>
            </w:tcBorders>
            <w:shd w:val="clear" w:color="auto" w:fill="auto"/>
            <w:noWrap/>
            <w:vAlign w:val="bottom"/>
            <w:hideMark/>
          </w:tcPr>
          <w:p w14:paraId="0D9ECED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1,320</w:t>
            </w:r>
          </w:p>
        </w:tc>
      </w:tr>
      <w:tr w:rsidR="00BF10A3" w:rsidRPr="007C5546" w14:paraId="3A55C25C"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5A6E30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54</w:t>
            </w:r>
          </w:p>
        </w:tc>
        <w:tc>
          <w:tcPr>
            <w:tcW w:w="4758" w:type="dxa"/>
            <w:tcBorders>
              <w:top w:val="nil"/>
              <w:left w:val="nil"/>
              <w:bottom w:val="single" w:sz="4" w:space="0" w:color="auto"/>
              <w:right w:val="single" w:sz="4" w:space="0" w:color="auto"/>
            </w:tcBorders>
            <w:shd w:val="clear" w:color="auto" w:fill="auto"/>
            <w:noWrap/>
            <w:vAlign w:val="bottom"/>
            <w:hideMark/>
          </w:tcPr>
          <w:p w14:paraId="4E60A277"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History</w:t>
            </w:r>
          </w:p>
        </w:tc>
        <w:tc>
          <w:tcPr>
            <w:tcW w:w="928" w:type="dxa"/>
            <w:tcBorders>
              <w:top w:val="nil"/>
              <w:left w:val="nil"/>
              <w:bottom w:val="single" w:sz="4" w:space="0" w:color="auto"/>
              <w:right w:val="single" w:sz="4" w:space="0" w:color="auto"/>
            </w:tcBorders>
            <w:shd w:val="clear" w:color="auto" w:fill="auto"/>
            <w:noWrap/>
            <w:vAlign w:val="bottom"/>
            <w:hideMark/>
          </w:tcPr>
          <w:p w14:paraId="6C45930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4426980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17A2798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1,293</w:t>
            </w:r>
          </w:p>
        </w:tc>
        <w:tc>
          <w:tcPr>
            <w:tcW w:w="1127" w:type="dxa"/>
            <w:tcBorders>
              <w:top w:val="nil"/>
              <w:left w:val="nil"/>
              <w:bottom w:val="single" w:sz="4" w:space="0" w:color="auto"/>
              <w:right w:val="single" w:sz="4" w:space="0" w:color="auto"/>
            </w:tcBorders>
            <w:shd w:val="clear" w:color="auto" w:fill="auto"/>
            <w:noWrap/>
            <w:vAlign w:val="bottom"/>
            <w:hideMark/>
          </w:tcPr>
          <w:p w14:paraId="4F1D83C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1,293</w:t>
            </w:r>
          </w:p>
        </w:tc>
      </w:tr>
      <w:tr w:rsidR="00BF10A3" w:rsidRPr="007C5546" w14:paraId="539F24B3"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70E256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21</w:t>
            </w:r>
          </w:p>
        </w:tc>
        <w:tc>
          <w:tcPr>
            <w:tcW w:w="4758" w:type="dxa"/>
            <w:tcBorders>
              <w:top w:val="nil"/>
              <w:left w:val="nil"/>
              <w:bottom w:val="single" w:sz="4" w:space="0" w:color="auto"/>
              <w:right w:val="single" w:sz="4" w:space="0" w:color="auto"/>
            </w:tcBorders>
            <w:shd w:val="clear" w:color="auto" w:fill="auto"/>
            <w:noWrap/>
            <w:vAlign w:val="bottom"/>
            <w:hideMark/>
          </w:tcPr>
          <w:p w14:paraId="44BEB6EA"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Technology/Education Industrial Arts</w:t>
            </w:r>
          </w:p>
        </w:tc>
        <w:tc>
          <w:tcPr>
            <w:tcW w:w="928" w:type="dxa"/>
            <w:tcBorders>
              <w:top w:val="nil"/>
              <w:left w:val="nil"/>
              <w:bottom w:val="single" w:sz="4" w:space="0" w:color="auto"/>
              <w:right w:val="single" w:sz="4" w:space="0" w:color="auto"/>
            </w:tcBorders>
            <w:shd w:val="clear" w:color="auto" w:fill="auto"/>
            <w:noWrap/>
            <w:vAlign w:val="bottom"/>
            <w:hideMark/>
          </w:tcPr>
          <w:p w14:paraId="637C138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2A074C03"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74FBDA9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1,066</w:t>
            </w:r>
          </w:p>
        </w:tc>
        <w:tc>
          <w:tcPr>
            <w:tcW w:w="1127" w:type="dxa"/>
            <w:tcBorders>
              <w:top w:val="nil"/>
              <w:left w:val="nil"/>
              <w:bottom w:val="single" w:sz="4" w:space="0" w:color="auto"/>
              <w:right w:val="single" w:sz="4" w:space="0" w:color="auto"/>
            </w:tcBorders>
            <w:shd w:val="clear" w:color="auto" w:fill="auto"/>
            <w:noWrap/>
            <w:vAlign w:val="bottom"/>
            <w:hideMark/>
          </w:tcPr>
          <w:p w14:paraId="7CFEBCD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1,066</w:t>
            </w:r>
          </w:p>
        </w:tc>
      </w:tr>
      <w:tr w:rsidR="00BF10A3" w:rsidRPr="007C5546" w14:paraId="174D3F2A"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B4FC17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w:t>
            </w:r>
          </w:p>
        </w:tc>
        <w:tc>
          <w:tcPr>
            <w:tcW w:w="4758" w:type="dxa"/>
            <w:tcBorders>
              <w:top w:val="nil"/>
              <w:left w:val="nil"/>
              <w:bottom w:val="single" w:sz="4" w:space="0" w:color="auto"/>
              <w:right w:val="single" w:sz="4" w:space="0" w:color="auto"/>
            </w:tcBorders>
            <w:shd w:val="clear" w:color="auto" w:fill="auto"/>
            <w:noWrap/>
            <w:vAlign w:val="bottom"/>
            <w:hideMark/>
          </w:tcPr>
          <w:p w14:paraId="5DBDD549"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Architecture and Related Programs</w:t>
            </w:r>
          </w:p>
        </w:tc>
        <w:tc>
          <w:tcPr>
            <w:tcW w:w="928" w:type="dxa"/>
            <w:tcBorders>
              <w:top w:val="nil"/>
              <w:left w:val="nil"/>
              <w:bottom w:val="single" w:sz="4" w:space="0" w:color="auto"/>
              <w:right w:val="single" w:sz="4" w:space="0" w:color="auto"/>
            </w:tcBorders>
            <w:shd w:val="clear" w:color="auto" w:fill="auto"/>
            <w:noWrap/>
            <w:vAlign w:val="bottom"/>
            <w:hideMark/>
          </w:tcPr>
          <w:p w14:paraId="56AC304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26C5F18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37</w:t>
            </w:r>
          </w:p>
        </w:tc>
        <w:tc>
          <w:tcPr>
            <w:tcW w:w="1127" w:type="dxa"/>
            <w:tcBorders>
              <w:top w:val="nil"/>
              <w:left w:val="nil"/>
              <w:bottom w:val="single" w:sz="4" w:space="0" w:color="auto"/>
              <w:right w:val="single" w:sz="4" w:space="0" w:color="auto"/>
            </w:tcBorders>
            <w:shd w:val="clear" w:color="auto" w:fill="auto"/>
            <w:noWrap/>
            <w:vAlign w:val="bottom"/>
            <w:hideMark/>
          </w:tcPr>
          <w:p w14:paraId="12D0D0E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532</w:t>
            </w:r>
          </w:p>
        </w:tc>
        <w:tc>
          <w:tcPr>
            <w:tcW w:w="1127" w:type="dxa"/>
            <w:tcBorders>
              <w:top w:val="nil"/>
              <w:left w:val="nil"/>
              <w:bottom w:val="single" w:sz="4" w:space="0" w:color="auto"/>
              <w:right w:val="single" w:sz="4" w:space="0" w:color="auto"/>
            </w:tcBorders>
            <w:shd w:val="clear" w:color="auto" w:fill="auto"/>
            <w:noWrap/>
            <w:vAlign w:val="bottom"/>
            <w:hideMark/>
          </w:tcPr>
          <w:p w14:paraId="6FEAA1C7"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569</w:t>
            </w:r>
          </w:p>
        </w:tc>
      </w:tr>
      <w:tr w:rsidR="00BF10A3" w:rsidRPr="007C5546" w14:paraId="450B62BE"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97CE91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41</w:t>
            </w:r>
          </w:p>
        </w:tc>
        <w:tc>
          <w:tcPr>
            <w:tcW w:w="4758" w:type="dxa"/>
            <w:tcBorders>
              <w:top w:val="nil"/>
              <w:left w:val="nil"/>
              <w:bottom w:val="single" w:sz="4" w:space="0" w:color="auto"/>
              <w:right w:val="single" w:sz="4" w:space="0" w:color="auto"/>
            </w:tcBorders>
            <w:shd w:val="clear" w:color="auto" w:fill="auto"/>
            <w:noWrap/>
            <w:vAlign w:val="bottom"/>
            <w:hideMark/>
          </w:tcPr>
          <w:p w14:paraId="18066E4C"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Science Technologies</w:t>
            </w:r>
          </w:p>
        </w:tc>
        <w:tc>
          <w:tcPr>
            <w:tcW w:w="928" w:type="dxa"/>
            <w:tcBorders>
              <w:top w:val="nil"/>
              <w:left w:val="nil"/>
              <w:bottom w:val="single" w:sz="4" w:space="0" w:color="auto"/>
              <w:right w:val="single" w:sz="4" w:space="0" w:color="auto"/>
            </w:tcBorders>
            <w:shd w:val="clear" w:color="auto" w:fill="auto"/>
            <w:noWrap/>
            <w:vAlign w:val="bottom"/>
            <w:hideMark/>
          </w:tcPr>
          <w:p w14:paraId="49C21EC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192</w:t>
            </w:r>
          </w:p>
        </w:tc>
        <w:tc>
          <w:tcPr>
            <w:tcW w:w="928" w:type="dxa"/>
            <w:tcBorders>
              <w:top w:val="nil"/>
              <w:left w:val="nil"/>
              <w:bottom w:val="single" w:sz="4" w:space="0" w:color="auto"/>
              <w:right w:val="single" w:sz="4" w:space="0" w:color="auto"/>
            </w:tcBorders>
            <w:shd w:val="clear" w:color="auto" w:fill="auto"/>
            <w:noWrap/>
            <w:vAlign w:val="bottom"/>
            <w:hideMark/>
          </w:tcPr>
          <w:p w14:paraId="3723382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5D2DAF5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253</w:t>
            </w:r>
          </w:p>
        </w:tc>
        <w:tc>
          <w:tcPr>
            <w:tcW w:w="1127" w:type="dxa"/>
            <w:tcBorders>
              <w:top w:val="nil"/>
              <w:left w:val="nil"/>
              <w:bottom w:val="single" w:sz="4" w:space="0" w:color="auto"/>
              <w:right w:val="single" w:sz="4" w:space="0" w:color="auto"/>
            </w:tcBorders>
            <w:shd w:val="clear" w:color="auto" w:fill="auto"/>
            <w:noWrap/>
            <w:vAlign w:val="bottom"/>
            <w:hideMark/>
          </w:tcPr>
          <w:p w14:paraId="3CAC9CE2"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445</w:t>
            </w:r>
          </w:p>
        </w:tc>
      </w:tr>
      <w:tr w:rsidR="00BF10A3" w:rsidRPr="007C5546" w14:paraId="683BF067"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60D7E84A"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w:t>
            </w:r>
          </w:p>
        </w:tc>
        <w:tc>
          <w:tcPr>
            <w:tcW w:w="4758" w:type="dxa"/>
            <w:tcBorders>
              <w:top w:val="nil"/>
              <w:left w:val="nil"/>
              <w:bottom w:val="single" w:sz="4" w:space="0" w:color="auto"/>
              <w:right w:val="single" w:sz="4" w:space="0" w:color="auto"/>
            </w:tcBorders>
            <w:shd w:val="clear" w:color="auto" w:fill="auto"/>
            <w:noWrap/>
            <w:vAlign w:val="bottom"/>
            <w:hideMark/>
          </w:tcPr>
          <w:p w14:paraId="55F753D8"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Conservation and Renewable Natural Resources</w:t>
            </w:r>
          </w:p>
        </w:tc>
        <w:tc>
          <w:tcPr>
            <w:tcW w:w="928" w:type="dxa"/>
            <w:tcBorders>
              <w:top w:val="nil"/>
              <w:left w:val="nil"/>
              <w:bottom w:val="single" w:sz="4" w:space="0" w:color="auto"/>
              <w:right w:val="single" w:sz="4" w:space="0" w:color="auto"/>
            </w:tcBorders>
            <w:shd w:val="clear" w:color="auto" w:fill="auto"/>
            <w:noWrap/>
            <w:vAlign w:val="bottom"/>
            <w:hideMark/>
          </w:tcPr>
          <w:p w14:paraId="0C58741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3869678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3EB6489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420</w:t>
            </w:r>
          </w:p>
        </w:tc>
        <w:tc>
          <w:tcPr>
            <w:tcW w:w="1127" w:type="dxa"/>
            <w:tcBorders>
              <w:top w:val="nil"/>
              <w:left w:val="nil"/>
              <w:bottom w:val="single" w:sz="4" w:space="0" w:color="auto"/>
              <w:right w:val="single" w:sz="4" w:space="0" w:color="auto"/>
            </w:tcBorders>
            <w:shd w:val="clear" w:color="auto" w:fill="auto"/>
            <w:noWrap/>
            <w:vAlign w:val="bottom"/>
            <w:hideMark/>
          </w:tcPr>
          <w:p w14:paraId="720C984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420</w:t>
            </w:r>
          </w:p>
        </w:tc>
      </w:tr>
      <w:tr w:rsidR="00BF10A3" w:rsidRPr="007C5546" w14:paraId="0C0AC3A8"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5E829A3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w:t>
            </w:r>
          </w:p>
        </w:tc>
        <w:tc>
          <w:tcPr>
            <w:tcW w:w="4758" w:type="dxa"/>
            <w:tcBorders>
              <w:top w:val="nil"/>
              <w:left w:val="nil"/>
              <w:bottom w:val="single" w:sz="4" w:space="0" w:color="auto"/>
              <w:right w:val="single" w:sz="4" w:space="0" w:color="auto"/>
            </w:tcBorders>
            <w:shd w:val="clear" w:color="auto" w:fill="auto"/>
            <w:noWrap/>
            <w:vAlign w:val="bottom"/>
            <w:hideMark/>
          </w:tcPr>
          <w:p w14:paraId="536371BF"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Agricultural Business and Production</w:t>
            </w:r>
          </w:p>
        </w:tc>
        <w:tc>
          <w:tcPr>
            <w:tcW w:w="928" w:type="dxa"/>
            <w:tcBorders>
              <w:top w:val="nil"/>
              <w:left w:val="nil"/>
              <w:bottom w:val="single" w:sz="4" w:space="0" w:color="auto"/>
              <w:right w:val="single" w:sz="4" w:space="0" w:color="auto"/>
            </w:tcBorders>
            <w:shd w:val="clear" w:color="auto" w:fill="auto"/>
            <w:noWrap/>
            <w:vAlign w:val="bottom"/>
            <w:hideMark/>
          </w:tcPr>
          <w:p w14:paraId="290F7B9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101</w:t>
            </w:r>
          </w:p>
        </w:tc>
        <w:tc>
          <w:tcPr>
            <w:tcW w:w="928" w:type="dxa"/>
            <w:tcBorders>
              <w:top w:val="nil"/>
              <w:left w:val="nil"/>
              <w:bottom w:val="single" w:sz="4" w:space="0" w:color="auto"/>
              <w:right w:val="single" w:sz="4" w:space="0" w:color="auto"/>
            </w:tcBorders>
            <w:shd w:val="clear" w:color="auto" w:fill="auto"/>
            <w:noWrap/>
            <w:vAlign w:val="bottom"/>
            <w:hideMark/>
          </w:tcPr>
          <w:p w14:paraId="5205031B"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94</w:t>
            </w:r>
          </w:p>
        </w:tc>
        <w:tc>
          <w:tcPr>
            <w:tcW w:w="1127" w:type="dxa"/>
            <w:tcBorders>
              <w:top w:val="nil"/>
              <w:left w:val="nil"/>
              <w:bottom w:val="single" w:sz="4" w:space="0" w:color="auto"/>
              <w:right w:val="single" w:sz="4" w:space="0" w:color="auto"/>
            </w:tcBorders>
            <w:shd w:val="clear" w:color="auto" w:fill="auto"/>
            <w:noWrap/>
            <w:vAlign w:val="bottom"/>
            <w:hideMark/>
          </w:tcPr>
          <w:p w14:paraId="255505F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202</w:t>
            </w:r>
          </w:p>
        </w:tc>
        <w:tc>
          <w:tcPr>
            <w:tcW w:w="1127" w:type="dxa"/>
            <w:tcBorders>
              <w:top w:val="nil"/>
              <w:left w:val="nil"/>
              <w:bottom w:val="single" w:sz="4" w:space="0" w:color="auto"/>
              <w:right w:val="single" w:sz="4" w:space="0" w:color="auto"/>
            </w:tcBorders>
            <w:shd w:val="clear" w:color="auto" w:fill="auto"/>
            <w:noWrap/>
            <w:vAlign w:val="bottom"/>
            <w:hideMark/>
          </w:tcPr>
          <w:p w14:paraId="49D1ADF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397</w:t>
            </w:r>
          </w:p>
        </w:tc>
      </w:tr>
      <w:tr w:rsidR="00BF10A3" w:rsidRPr="007C5546" w14:paraId="0AB94CAF"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1400B3F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39</w:t>
            </w:r>
          </w:p>
        </w:tc>
        <w:tc>
          <w:tcPr>
            <w:tcW w:w="4758" w:type="dxa"/>
            <w:tcBorders>
              <w:top w:val="nil"/>
              <w:left w:val="nil"/>
              <w:bottom w:val="single" w:sz="4" w:space="0" w:color="auto"/>
              <w:right w:val="single" w:sz="4" w:space="0" w:color="auto"/>
            </w:tcBorders>
            <w:shd w:val="clear" w:color="auto" w:fill="auto"/>
            <w:noWrap/>
            <w:vAlign w:val="bottom"/>
            <w:hideMark/>
          </w:tcPr>
          <w:p w14:paraId="7A05ADF9"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Theological Studies and Religious Vocations</w:t>
            </w:r>
          </w:p>
        </w:tc>
        <w:tc>
          <w:tcPr>
            <w:tcW w:w="928" w:type="dxa"/>
            <w:tcBorders>
              <w:top w:val="nil"/>
              <w:left w:val="nil"/>
              <w:bottom w:val="single" w:sz="4" w:space="0" w:color="auto"/>
              <w:right w:val="single" w:sz="4" w:space="0" w:color="auto"/>
            </w:tcBorders>
            <w:shd w:val="clear" w:color="auto" w:fill="auto"/>
            <w:noWrap/>
            <w:vAlign w:val="bottom"/>
            <w:hideMark/>
          </w:tcPr>
          <w:p w14:paraId="46F02B1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06B1A79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167</w:t>
            </w:r>
          </w:p>
        </w:tc>
        <w:tc>
          <w:tcPr>
            <w:tcW w:w="1127" w:type="dxa"/>
            <w:tcBorders>
              <w:top w:val="nil"/>
              <w:left w:val="nil"/>
              <w:bottom w:val="single" w:sz="4" w:space="0" w:color="auto"/>
              <w:right w:val="single" w:sz="4" w:space="0" w:color="auto"/>
            </w:tcBorders>
            <w:shd w:val="clear" w:color="auto" w:fill="auto"/>
            <w:noWrap/>
            <w:vAlign w:val="bottom"/>
            <w:hideMark/>
          </w:tcPr>
          <w:p w14:paraId="6877E37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5A5F07C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167</w:t>
            </w:r>
          </w:p>
        </w:tc>
      </w:tr>
      <w:tr w:rsidR="00BF10A3" w:rsidRPr="007C5546" w14:paraId="3725CB0E"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01BF99B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32</w:t>
            </w:r>
          </w:p>
        </w:tc>
        <w:tc>
          <w:tcPr>
            <w:tcW w:w="4758" w:type="dxa"/>
            <w:tcBorders>
              <w:top w:val="nil"/>
              <w:left w:val="nil"/>
              <w:bottom w:val="single" w:sz="4" w:space="0" w:color="auto"/>
              <w:right w:val="single" w:sz="4" w:space="0" w:color="auto"/>
            </w:tcBorders>
            <w:shd w:val="clear" w:color="auto" w:fill="auto"/>
            <w:noWrap/>
            <w:vAlign w:val="bottom"/>
            <w:hideMark/>
          </w:tcPr>
          <w:p w14:paraId="2E77ACB0"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Basic Skills</w:t>
            </w:r>
          </w:p>
        </w:tc>
        <w:tc>
          <w:tcPr>
            <w:tcW w:w="928" w:type="dxa"/>
            <w:tcBorders>
              <w:top w:val="nil"/>
              <w:left w:val="nil"/>
              <w:bottom w:val="single" w:sz="4" w:space="0" w:color="auto"/>
              <w:right w:val="single" w:sz="4" w:space="0" w:color="auto"/>
            </w:tcBorders>
            <w:shd w:val="clear" w:color="auto" w:fill="auto"/>
            <w:noWrap/>
            <w:vAlign w:val="bottom"/>
            <w:hideMark/>
          </w:tcPr>
          <w:p w14:paraId="402894D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6FE1B4D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40E4A98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131</w:t>
            </w:r>
          </w:p>
        </w:tc>
        <w:tc>
          <w:tcPr>
            <w:tcW w:w="1127" w:type="dxa"/>
            <w:tcBorders>
              <w:top w:val="nil"/>
              <w:left w:val="nil"/>
              <w:bottom w:val="single" w:sz="4" w:space="0" w:color="auto"/>
              <w:right w:val="single" w:sz="4" w:space="0" w:color="auto"/>
            </w:tcBorders>
            <w:shd w:val="clear" w:color="auto" w:fill="auto"/>
            <w:noWrap/>
            <w:vAlign w:val="bottom"/>
            <w:hideMark/>
          </w:tcPr>
          <w:p w14:paraId="1F4863B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131</w:t>
            </w:r>
          </w:p>
        </w:tc>
      </w:tr>
      <w:tr w:rsidR="00BF10A3" w:rsidRPr="007C5546" w14:paraId="539E6766"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FEBA9A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25</w:t>
            </w:r>
          </w:p>
        </w:tc>
        <w:tc>
          <w:tcPr>
            <w:tcW w:w="4758" w:type="dxa"/>
            <w:tcBorders>
              <w:top w:val="nil"/>
              <w:left w:val="nil"/>
              <w:bottom w:val="single" w:sz="4" w:space="0" w:color="auto"/>
              <w:right w:val="single" w:sz="4" w:space="0" w:color="auto"/>
            </w:tcBorders>
            <w:shd w:val="clear" w:color="auto" w:fill="auto"/>
            <w:noWrap/>
            <w:vAlign w:val="bottom"/>
            <w:hideMark/>
          </w:tcPr>
          <w:p w14:paraId="4ED970FF"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Library Studies</w:t>
            </w:r>
          </w:p>
        </w:tc>
        <w:tc>
          <w:tcPr>
            <w:tcW w:w="928" w:type="dxa"/>
            <w:tcBorders>
              <w:top w:val="nil"/>
              <w:left w:val="nil"/>
              <w:bottom w:val="single" w:sz="4" w:space="0" w:color="auto"/>
              <w:right w:val="single" w:sz="4" w:space="0" w:color="auto"/>
            </w:tcBorders>
            <w:shd w:val="clear" w:color="auto" w:fill="auto"/>
            <w:noWrap/>
            <w:vAlign w:val="bottom"/>
            <w:hideMark/>
          </w:tcPr>
          <w:p w14:paraId="06D0B8F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105566E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89</w:t>
            </w:r>
          </w:p>
        </w:tc>
        <w:tc>
          <w:tcPr>
            <w:tcW w:w="1127" w:type="dxa"/>
            <w:tcBorders>
              <w:top w:val="nil"/>
              <w:left w:val="nil"/>
              <w:bottom w:val="single" w:sz="4" w:space="0" w:color="auto"/>
              <w:right w:val="single" w:sz="4" w:space="0" w:color="auto"/>
            </w:tcBorders>
            <w:shd w:val="clear" w:color="auto" w:fill="auto"/>
            <w:noWrap/>
            <w:vAlign w:val="bottom"/>
            <w:hideMark/>
          </w:tcPr>
          <w:p w14:paraId="375A619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215EF9B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89</w:t>
            </w:r>
          </w:p>
        </w:tc>
      </w:tr>
      <w:tr w:rsidR="00BF10A3" w:rsidRPr="007C5546" w14:paraId="1ED026A1"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7EF19B4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26</w:t>
            </w:r>
          </w:p>
        </w:tc>
        <w:tc>
          <w:tcPr>
            <w:tcW w:w="4758" w:type="dxa"/>
            <w:tcBorders>
              <w:top w:val="nil"/>
              <w:left w:val="nil"/>
              <w:bottom w:val="single" w:sz="4" w:space="0" w:color="auto"/>
              <w:right w:val="single" w:sz="4" w:space="0" w:color="auto"/>
            </w:tcBorders>
            <w:shd w:val="clear" w:color="auto" w:fill="auto"/>
            <w:noWrap/>
            <w:vAlign w:val="bottom"/>
            <w:hideMark/>
          </w:tcPr>
          <w:p w14:paraId="15DFE4B8"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Biological and Biomedical Sciences</w:t>
            </w:r>
          </w:p>
        </w:tc>
        <w:tc>
          <w:tcPr>
            <w:tcW w:w="928" w:type="dxa"/>
            <w:tcBorders>
              <w:top w:val="nil"/>
              <w:left w:val="nil"/>
              <w:bottom w:val="single" w:sz="4" w:space="0" w:color="auto"/>
              <w:right w:val="single" w:sz="4" w:space="0" w:color="auto"/>
            </w:tcBorders>
            <w:shd w:val="clear" w:color="auto" w:fill="auto"/>
            <w:noWrap/>
            <w:vAlign w:val="bottom"/>
            <w:hideMark/>
          </w:tcPr>
          <w:p w14:paraId="4956112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928" w:type="dxa"/>
            <w:tcBorders>
              <w:top w:val="nil"/>
              <w:left w:val="nil"/>
              <w:bottom w:val="single" w:sz="4" w:space="0" w:color="auto"/>
              <w:right w:val="single" w:sz="4" w:space="0" w:color="auto"/>
            </w:tcBorders>
            <w:shd w:val="clear" w:color="auto" w:fill="auto"/>
            <w:noWrap/>
            <w:vAlign w:val="bottom"/>
            <w:hideMark/>
          </w:tcPr>
          <w:p w14:paraId="05DDDD3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2B7D4A9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71</w:t>
            </w:r>
          </w:p>
        </w:tc>
        <w:tc>
          <w:tcPr>
            <w:tcW w:w="1127" w:type="dxa"/>
            <w:tcBorders>
              <w:top w:val="nil"/>
              <w:left w:val="nil"/>
              <w:bottom w:val="single" w:sz="4" w:space="0" w:color="auto"/>
              <w:right w:val="single" w:sz="4" w:space="0" w:color="auto"/>
            </w:tcBorders>
            <w:shd w:val="clear" w:color="auto" w:fill="auto"/>
            <w:noWrap/>
            <w:vAlign w:val="bottom"/>
            <w:hideMark/>
          </w:tcPr>
          <w:p w14:paraId="00A39678"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71</w:t>
            </w:r>
          </w:p>
        </w:tc>
      </w:tr>
      <w:tr w:rsidR="00BF10A3" w:rsidRPr="007C5546" w14:paraId="04D63FB1"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3266A856"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16</w:t>
            </w:r>
          </w:p>
        </w:tc>
        <w:tc>
          <w:tcPr>
            <w:tcW w:w="4758" w:type="dxa"/>
            <w:tcBorders>
              <w:top w:val="nil"/>
              <w:left w:val="nil"/>
              <w:bottom w:val="single" w:sz="4" w:space="0" w:color="auto"/>
              <w:right w:val="single" w:sz="4" w:space="0" w:color="auto"/>
            </w:tcBorders>
            <w:shd w:val="clear" w:color="auto" w:fill="auto"/>
            <w:noWrap/>
            <w:vAlign w:val="bottom"/>
            <w:hideMark/>
          </w:tcPr>
          <w:p w14:paraId="2754B2EA"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Foreign Languages and Literature</w:t>
            </w:r>
          </w:p>
        </w:tc>
        <w:tc>
          <w:tcPr>
            <w:tcW w:w="928" w:type="dxa"/>
            <w:tcBorders>
              <w:top w:val="nil"/>
              <w:left w:val="nil"/>
              <w:bottom w:val="single" w:sz="4" w:space="0" w:color="auto"/>
              <w:right w:val="single" w:sz="4" w:space="0" w:color="auto"/>
            </w:tcBorders>
            <w:shd w:val="clear" w:color="auto" w:fill="auto"/>
            <w:noWrap/>
            <w:vAlign w:val="bottom"/>
            <w:hideMark/>
          </w:tcPr>
          <w:p w14:paraId="776077A9"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71</w:t>
            </w:r>
          </w:p>
        </w:tc>
        <w:tc>
          <w:tcPr>
            <w:tcW w:w="928" w:type="dxa"/>
            <w:tcBorders>
              <w:top w:val="nil"/>
              <w:left w:val="nil"/>
              <w:bottom w:val="single" w:sz="4" w:space="0" w:color="auto"/>
              <w:right w:val="single" w:sz="4" w:space="0" w:color="auto"/>
            </w:tcBorders>
            <w:shd w:val="clear" w:color="auto" w:fill="auto"/>
            <w:noWrap/>
            <w:vAlign w:val="bottom"/>
            <w:hideMark/>
          </w:tcPr>
          <w:p w14:paraId="4ADB7CE0"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615283C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359734ED"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71</w:t>
            </w:r>
          </w:p>
        </w:tc>
      </w:tr>
      <w:tr w:rsidR="00BF10A3" w:rsidRPr="007C5546" w14:paraId="7A066279" w14:textId="77777777" w:rsidTr="001F7400">
        <w:trPr>
          <w:trHeight w:val="299"/>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14:paraId="2A5629BE"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40</w:t>
            </w:r>
          </w:p>
        </w:tc>
        <w:tc>
          <w:tcPr>
            <w:tcW w:w="4758" w:type="dxa"/>
            <w:tcBorders>
              <w:top w:val="nil"/>
              <w:left w:val="nil"/>
              <w:bottom w:val="single" w:sz="4" w:space="0" w:color="auto"/>
              <w:right w:val="single" w:sz="4" w:space="0" w:color="auto"/>
            </w:tcBorders>
            <w:shd w:val="clear" w:color="auto" w:fill="auto"/>
            <w:noWrap/>
            <w:vAlign w:val="bottom"/>
            <w:hideMark/>
          </w:tcPr>
          <w:p w14:paraId="468C1997" w14:textId="77777777" w:rsidR="00BF10A3" w:rsidRPr="00322AEF" w:rsidRDefault="00BF10A3" w:rsidP="001F7400">
            <w:pPr>
              <w:spacing w:after="0" w:line="240" w:lineRule="auto"/>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Physical Sciences</w:t>
            </w:r>
          </w:p>
        </w:tc>
        <w:tc>
          <w:tcPr>
            <w:tcW w:w="928" w:type="dxa"/>
            <w:tcBorders>
              <w:top w:val="nil"/>
              <w:left w:val="nil"/>
              <w:bottom w:val="single" w:sz="4" w:space="0" w:color="auto"/>
              <w:right w:val="single" w:sz="4" w:space="0" w:color="auto"/>
            </w:tcBorders>
            <w:shd w:val="clear" w:color="auto" w:fill="auto"/>
            <w:noWrap/>
            <w:vAlign w:val="bottom"/>
            <w:hideMark/>
          </w:tcPr>
          <w:p w14:paraId="07BE9F35"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28</w:t>
            </w:r>
          </w:p>
        </w:tc>
        <w:tc>
          <w:tcPr>
            <w:tcW w:w="928" w:type="dxa"/>
            <w:tcBorders>
              <w:top w:val="nil"/>
              <w:left w:val="nil"/>
              <w:bottom w:val="single" w:sz="4" w:space="0" w:color="auto"/>
              <w:right w:val="single" w:sz="4" w:space="0" w:color="auto"/>
            </w:tcBorders>
            <w:shd w:val="clear" w:color="auto" w:fill="auto"/>
            <w:noWrap/>
            <w:vAlign w:val="bottom"/>
            <w:hideMark/>
          </w:tcPr>
          <w:p w14:paraId="36EE7691"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754768FF"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bottom"/>
            <w:hideMark/>
          </w:tcPr>
          <w:p w14:paraId="4F93F40C" w14:textId="77777777" w:rsidR="00BF10A3" w:rsidRPr="00322AEF" w:rsidRDefault="00BF10A3" w:rsidP="001F7400">
            <w:pPr>
              <w:spacing w:after="0" w:line="240" w:lineRule="auto"/>
              <w:jc w:val="right"/>
              <w:rPr>
                <w:rFonts w:ascii="Courier New" w:eastAsia="Times New Roman" w:hAnsi="Courier New" w:cs="Courier New"/>
                <w:color w:val="000000"/>
                <w:sz w:val="16"/>
                <w:szCs w:val="16"/>
              </w:rPr>
            </w:pPr>
            <w:r w:rsidRPr="00322AEF">
              <w:rPr>
                <w:rFonts w:ascii="Courier New" w:eastAsia="Times New Roman" w:hAnsi="Courier New" w:cs="Courier New"/>
                <w:color w:val="000000"/>
                <w:sz w:val="16"/>
                <w:szCs w:val="16"/>
              </w:rPr>
              <w:t>28</w:t>
            </w:r>
          </w:p>
        </w:tc>
      </w:tr>
      <w:tr w:rsidR="00BF10A3" w:rsidRPr="007C5546" w14:paraId="297BE946" w14:textId="77777777" w:rsidTr="001F7400">
        <w:trPr>
          <w:trHeight w:val="299"/>
        </w:trPr>
        <w:tc>
          <w:tcPr>
            <w:tcW w:w="54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FCAE4C" w14:textId="77777777" w:rsidR="00BF10A3" w:rsidRPr="007C5546" w:rsidRDefault="00BF10A3" w:rsidP="001F7400">
            <w:pPr>
              <w:spacing w:after="0" w:line="240" w:lineRule="auto"/>
              <w:jc w:val="center"/>
              <w:rPr>
                <w:rFonts w:ascii="Courier" w:eastAsia="Times New Roman" w:hAnsi="Courier" w:cs="Calibri"/>
                <w:color w:val="000000"/>
                <w:sz w:val="16"/>
                <w:szCs w:val="16"/>
              </w:rPr>
            </w:pPr>
            <w:r w:rsidRPr="007C5546">
              <w:rPr>
                <w:rFonts w:ascii="Courier" w:eastAsia="Times New Roman" w:hAnsi="Courier" w:cs="Calibri"/>
                <w:color w:val="000000"/>
                <w:sz w:val="16"/>
                <w:szCs w:val="16"/>
              </w:rPr>
              <w:t>Total</w:t>
            </w:r>
          </w:p>
        </w:tc>
        <w:tc>
          <w:tcPr>
            <w:tcW w:w="928" w:type="dxa"/>
            <w:tcBorders>
              <w:top w:val="nil"/>
              <w:left w:val="nil"/>
              <w:bottom w:val="single" w:sz="4" w:space="0" w:color="auto"/>
              <w:right w:val="single" w:sz="4" w:space="0" w:color="auto"/>
            </w:tcBorders>
            <w:shd w:val="clear" w:color="auto" w:fill="auto"/>
            <w:noWrap/>
            <w:vAlign w:val="bottom"/>
            <w:hideMark/>
          </w:tcPr>
          <w:p w14:paraId="35B77A7E" w14:textId="77777777" w:rsidR="00BF10A3" w:rsidRPr="007C5546" w:rsidRDefault="00BF10A3" w:rsidP="001F7400">
            <w:pPr>
              <w:spacing w:after="0" w:line="240" w:lineRule="auto"/>
              <w:jc w:val="right"/>
              <w:rPr>
                <w:rFonts w:ascii="Courier" w:eastAsia="Times New Roman" w:hAnsi="Courier" w:cs="Calibri"/>
                <w:color w:val="000000"/>
                <w:sz w:val="16"/>
                <w:szCs w:val="16"/>
              </w:rPr>
            </w:pPr>
            <w:r w:rsidRPr="007C5546">
              <w:rPr>
                <w:rFonts w:ascii="Courier" w:eastAsia="Times New Roman" w:hAnsi="Courier" w:cs="Calibri"/>
                <w:color w:val="000000"/>
                <w:sz w:val="16"/>
                <w:szCs w:val="16"/>
              </w:rPr>
              <w:t>142,400</w:t>
            </w:r>
          </w:p>
        </w:tc>
        <w:tc>
          <w:tcPr>
            <w:tcW w:w="928" w:type="dxa"/>
            <w:tcBorders>
              <w:top w:val="nil"/>
              <w:left w:val="nil"/>
              <w:bottom w:val="single" w:sz="4" w:space="0" w:color="auto"/>
              <w:right w:val="single" w:sz="4" w:space="0" w:color="auto"/>
            </w:tcBorders>
            <w:shd w:val="clear" w:color="auto" w:fill="auto"/>
            <w:noWrap/>
            <w:vAlign w:val="bottom"/>
            <w:hideMark/>
          </w:tcPr>
          <w:p w14:paraId="5AE3084B" w14:textId="77777777" w:rsidR="00BF10A3" w:rsidRPr="007C5546" w:rsidRDefault="00BF10A3" w:rsidP="001F7400">
            <w:pPr>
              <w:spacing w:after="0" w:line="240" w:lineRule="auto"/>
              <w:jc w:val="right"/>
              <w:rPr>
                <w:rFonts w:ascii="Courier" w:eastAsia="Times New Roman" w:hAnsi="Courier" w:cs="Calibri"/>
                <w:color w:val="000000"/>
                <w:sz w:val="16"/>
                <w:szCs w:val="16"/>
              </w:rPr>
            </w:pPr>
            <w:r w:rsidRPr="007C5546">
              <w:rPr>
                <w:rFonts w:ascii="Courier" w:eastAsia="Times New Roman" w:hAnsi="Courier" w:cs="Calibri"/>
                <w:color w:val="000000"/>
                <w:sz w:val="16"/>
                <w:szCs w:val="16"/>
              </w:rPr>
              <w:t>45,696</w:t>
            </w:r>
          </w:p>
        </w:tc>
        <w:tc>
          <w:tcPr>
            <w:tcW w:w="1127" w:type="dxa"/>
            <w:tcBorders>
              <w:top w:val="nil"/>
              <w:left w:val="nil"/>
              <w:bottom w:val="single" w:sz="4" w:space="0" w:color="auto"/>
              <w:right w:val="single" w:sz="4" w:space="0" w:color="auto"/>
            </w:tcBorders>
            <w:shd w:val="clear" w:color="auto" w:fill="auto"/>
            <w:noWrap/>
            <w:vAlign w:val="bottom"/>
            <w:hideMark/>
          </w:tcPr>
          <w:p w14:paraId="52C1FAE3" w14:textId="77777777" w:rsidR="00BF10A3" w:rsidRPr="007C5546" w:rsidRDefault="00BF10A3" w:rsidP="001F7400">
            <w:pPr>
              <w:spacing w:after="0" w:line="240" w:lineRule="auto"/>
              <w:jc w:val="right"/>
              <w:rPr>
                <w:rFonts w:ascii="Courier" w:eastAsia="Times New Roman" w:hAnsi="Courier" w:cs="Calibri"/>
                <w:color w:val="000000"/>
                <w:sz w:val="16"/>
                <w:szCs w:val="16"/>
              </w:rPr>
            </w:pPr>
            <w:r w:rsidRPr="007C5546">
              <w:rPr>
                <w:rFonts w:ascii="Courier" w:eastAsia="Times New Roman" w:hAnsi="Courier" w:cs="Calibri"/>
                <w:color w:val="000000"/>
                <w:sz w:val="16"/>
                <w:szCs w:val="16"/>
              </w:rPr>
              <w:t>2,333,187</w:t>
            </w:r>
          </w:p>
        </w:tc>
        <w:tc>
          <w:tcPr>
            <w:tcW w:w="1127" w:type="dxa"/>
            <w:tcBorders>
              <w:top w:val="nil"/>
              <w:left w:val="nil"/>
              <w:bottom w:val="single" w:sz="4" w:space="0" w:color="auto"/>
              <w:right w:val="single" w:sz="4" w:space="0" w:color="auto"/>
            </w:tcBorders>
            <w:shd w:val="clear" w:color="auto" w:fill="auto"/>
            <w:noWrap/>
            <w:vAlign w:val="bottom"/>
            <w:hideMark/>
          </w:tcPr>
          <w:p w14:paraId="76C2C7E7" w14:textId="77777777" w:rsidR="00BF10A3" w:rsidRPr="007C5546" w:rsidRDefault="00BF10A3" w:rsidP="001F7400">
            <w:pPr>
              <w:spacing w:after="0" w:line="240" w:lineRule="auto"/>
              <w:jc w:val="center"/>
              <w:rPr>
                <w:rFonts w:ascii="Courier" w:eastAsia="Times New Roman" w:hAnsi="Courier" w:cs="Calibri"/>
                <w:color w:val="000000"/>
                <w:sz w:val="16"/>
                <w:szCs w:val="16"/>
              </w:rPr>
            </w:pPr>
            <w:r>
              <w:rPr>
                <w:rFonts w:ascii="Courier" w:eastAsia="Times New Roman" w:hAnsi="Courier" w:cs="Calibri"/>
                <w:color w:val="000000"/>
                <w:sz w:val="16"/>
                <w:szCs w:val="16"/>
              </w:rPr>
              <w:t>2,521,283</w:t>
            </w:r>
          </w:p>
        </w:tc>
      </w:tr>
    </w:tbl>
    <w:p w14:paraId="11B0DBC1" w14:textId="77777777" w:rsidR="00BF10A3" w:rsidRDefault="00BF10A3" w:rsidP="00BF10A3">
      <w:pPr>
        <w:pStyle w:val="NoSpacing"/>
      </w:pPr>
    </w:p>
    <w:p w14:paraId="48EB2CDE" w14:textId="77777777" w:rsidR="00BF10A3"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2.19 illustrates the enrollment count by sector for the 2012 GE informational D/E rates program sample.  The types of programs with the highest number of FY 2010 enrollees were Health Professions and Related Sciences programs, Business Management and Ministry of Services programs, and Personal and Miscellaneous Services programs.  Over ninety percent of enrollees attended programs offered by for-profit institutions and only two percent of enrollees attended programs offered by private nonprofit institutions.</w:t>
      </w:r>
    </w:p>
    <w:p w14:paraId="01250B82" w14:textId="77777777" w:rsidR="00BF10A3" w:rsidRDefault="00BF10A3" w:rsidP="00BF10A3">
      <w:pPr>
        <w:spacing w:after="0" w:line="240" w:lineRule="auto"/>
        <w:rPr>
          <w:rFonts w:ascii="Courier New" w:hAnsi="Courier New" w:cs="Courier New"/>
          <w:b/>
          <w:sz w:val="24"/>
          <w:szCs w:val="24"/>
        </w:rPr>
      </w:pPr>
      <w:r>
        <w:rPr>
          <w:rFonts w:ascii="Courier New" w:hAnsi="Courier New" w:cs="Courier New"/>
          <w:sz w:val="24"/>
          <w:szCs w:val="24"/>
        </w:rPr>
        <w:br/>
      </w:r>
      <w:r w:rsidRPr="00AA6DFD">
        <w:rPr>
          <w:rFonts w:ascii="Courier New" w:hAnsi="Courier New" w:cs="Courier New"/>
          <w:b/>
          <w:sz w:val="24"/>
          <w:szCs w:val="24"/>
        </w:rPr>
        <w:t>Table 2.20: 2012 GE Informational D/E Rates Enrollment as a Percentage of All Enrollment in FY 2010 R</w:t>
      </w:r>
      <w:r>
        <w:rPr>
          <w:rFonts w:ascii="Courier New" w:hAnsi="Courier New" w:cs="Courier New"/>
          <w:b/>
          <w:sz w:val="24"/>
          <w:szCs w:val="24"/>
        </w:rPr>
        <w:t xml:space="preserve">eporting by Two-Digit CIP Code </w:t>
      </w:r>
    </w:p>
    <w:p w14:paraId="053718F3" w14:textId="77777777" w:rsidR="00BF10A3" w:rsidRPr="006A3483" w:rsidRDefault="00BF10A3" w:rsidP="00BF10A3">
      <w:pPr>
        <w:spacing w:after="0" w:line="240" w:lineRule="auto"/>
        <w:rPr>
          <w:rFonts w:ascii="Courier New" w:hAnsi="Courier New" w:cs="Courier New"/>
          <w:b/>
          <w:sz w:val="24"/>
          <w:szCs w:val="24"/>
        </w:rPr>
      </w:pPr>
    </w:p>
    <w:tbl>
      <w:tblPr>
        <w:tblStyle w:val="TableGrid"/>
        <w:tblW w:w="0" w:type="auto"/>
        <w:tblLook w:val="04A0" w:firstRow="1" w:lastRow="0" w:firstColumn="1" w:lastColumn="0" w:noHBand="0" w:noVBand="1"/>
      </w:tblPr>
      <w:tblGrid>
        <w:gridCol w:w="805"/>
        <w:gridCol w:w="4582"/>
        <w:gridCol w:w="993"/>
        <w:gridCol w:w="1281"/>
        <w:gridCol w:w="923"/>
        <w:gridCol w:w="992"/>
      </w:tblGrid>
      <w:tr w:rsidR="00BF10A3" w:rsidRPr="001210D2" w14:paraId="6C465382" w14:textId="77777777" w:rsidTr="001F7400">
        <w:trPr>
          <w:trHeight w:val="635"/>
        </w:trPr>
        <w:tc>
          <w:tcPr>
            <w:tcW w:w="817" w:type="dxa"/>
            <w:vAlign w:val="center"/>
            <w:hideMark/>
          </w:tcPr>
          <w:p w14:paraId="2DC4E7E3"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2-Digit CIP Code</w:t>
            </w:r>
          </w:p>
        </w:tc>
        <w:tc>
          <w:tcPr>
            <w:tcW w:w="4671" w:type="dxa"/>
            <w:vAlign w:val="center"/>
            <w:hideMark/>
          </w:tcPr>
          <w:p w14:paraId="7600CAFD"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2-Digit CIP Name</w:t>
            </w:r>
          </w:p>
        </w:tc>
        <w:tc>
          <w:tcPr>
            <w:tcW w:w="1009" w:type="dxa"/>
            <w:noWrap/>
            <w:vAlign w:val="center"/>
            <w:hideMark/>
          </w:tcPr>
          <w:p w14:paraId="1778341A"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Public</w:t>
            </w:r>
          </w:p>
        </w:tc>
        <w:tc>
          <w:tcPr>
            <w:tcW w:w="1303" w:type="dxa"/>
            <w:noWrap/>
            <w:vAlign w:val="center"/>
            <w:hideMark/>
          </w:tcPr>
          <w:p w14:paraId="79737F9E"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Private</w:t>
            </w:r>
          </w:p>
        </w:tc>
        <w:tc>
          <w:tcPr>
            <w:tcW w:w="768" w:type="dxa"/>
            <w:noWrap/>
            <w:vAlign w:val="center"/>
            <w:hideMark/>
          </w:tcPr>
          <w:p w14:paraId="5EF3B6C0"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For-Profit</w:t>
            </w:r>
          </w:p>
        </w:tc>
        <w:tc>
          <w:tcPr>
            <w:tcW w:w="1008" w:type="dxa"/>
            <w:noWrap/>
            <w:vAlign w:val="center"/>
            <w:hideMark/>
          </w:tcPr>
          <w:p w14:paraId="46B6C23C" w14:textId="77777777" w:rsidR="00BF10A3" w:rsidRPr="001210D2" w:rsidRDefault="00BF10A3" w:rsidP="001F7400">
            <w:pPr>
              <w:pStyle w:val="NoSpacing"/>
              <w:jc w:val="center"/>
              <w:rPr>
                <w:rFonts w:ascii="Courier New" w:hAnsi="Courier New" w:cs="Courier New"/>
                <w:b/>
                <w:bCs/>
              </w:rPr>
            </w:pPr>
            <w:r w:rsidRPr="001210D2">
              <w:rPr>
                <w:rFonts w:ascii="Courier New" w:hAnsi="Courier New" w:cs="Courier New"/>
                <w:b/>
                <w:bCs/>
              </w:rPr>
              <w:t>Total</w:t>
            </w:r>
          </w:p>
        </w:tc>
      </w:tr>
      <w:tr w:rsidR="00BF10A3" w:rsidRPr="001210D2" w14:paraId="785452C2" w14:textId="77777777" w:rsidTr="001F7400">
        <w:trPr>
          <w:trHeight w:val="217"/>
        </w:trPr>
        <w:tc>
          <w:tcPr>
            <w:tcW w:w="817" w:type="dxa"/>
            <w:noWrap/>
            <w:hideMark/>
          </w:tcPr>
          <w:p w14:paraId="60FE88A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51</w:t>
            </w:r>
          </w:p>
        </w:tc>
        <w:tc>
          <w:tcPr>
            <w:tcW w:w="4671" w:type="dxa"/>
            <w:noWrap/>
            <w:hideMark/>
          </w:tcPr>
          <w:p w14:paraId="1FCD543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Health Professions and Related Sciences</w:t>
            </w:r>
          </w:p>
        </w:tc>
        <w:tc>
          <w:tcPr>
            <w:tcW w:w="1009" w:type="dxa"/>
            <w:noWrap/>
            <w:hideMark/>
          </w:tcPr>
          <w:p w14:paraId="2323E0B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29.4%</w:t>
            </w:r>
          </w:p>
        </w:tc>
        <w:tc>
          <w:tcPr>
            <w:tcW w:w="1303" w:type="dxa"/>
            <w:noWrap/>
            <w:hideMark/>
          </w:tcPr>
          <w:p w14:paraId="3270FBE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69.5%</w:t>
            </w:r>
          </w:p>
        </w:tc>
        <w:tc>
          <w:tcPr>
            <w:tcW w:w="768" w:type="dxa"/>
            <w:noWrap/>
            <w:hideMark/>
          </w:tcPr>
          <w:p w14:paraId="337C15C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76.3%</w:t>
            </w:r>
          </w:p>
        </w:tc>
        <w:tc>
          <w:tcPr>
            <w:tcW w:w="1008" w:type="dxa"/>
            <w:noWrap/>
            <w:hideMark/>
          </w:tcPr>
          <w:p w14:paraId="3A5C0C6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65.4%</w:t>
            </w:r>
          </w:p>
        </w:tc>
      </w:tr>
      <w:tr w:rsidR="00BF10A3" w:rsidRPr="001210D2" w14:paraId="6F231247" w14:textId="77777777" w:rsidTr="001F7400">
        <w:trPr>
          <w:trHeight w:val="217"/>
        </w:trPr>
        <w:tc>
          <w:tcPr>
            <w:tcW w:w="817" w:type="dxa"/>
            <w:noWrap/>
            <w:hideMark/>
          </w:tcPr>
          <w:p w14:paraId="55F7D50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52</w:t>
            </w:r>
          </w:p>
        </w:tc>
        <w:tc>
          <w:tcPr>
            <w:tcW w:w="4671" w:type="dxa"/>
            <w:noWrap/>
            <w:hideMark/>
          </w:tcPr>
          <w:p w14:paraId="1FB49E2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Business Management and Administrative Services</w:t>
            </w:r>
          </w:p>
        </w:tc>
        <w:tc>
          <w:tcPr>
            <w:tcW w:w="1009" w:type="dxa"/>
            <w:noWrap/>
            <w:hideMark/>
          </w:tcPr>
          <w:p w14:paraId="6F23F68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4.8%</w:t>
            </w:r>
          </w:p>
        </w:tc>
        <w:tc>
          <w:tcPr>
            <w:tcW w:w="1303" w:type="dxa"/>
            <w:noWrap/>
            <w:hideMark/>
          </w:tcPr>
          <w:p w14:paraId="51B4F03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50.7%</w:t>
            </w:r>
          </w:p>
        </w:tc>
        <w:tc>
          <w:tcPr>
            <w:tcW w:w="768" w:type="dxa"/>
            <w:noWrap/>
            <w:hideMark/>
          </w:tcPr>
          <w:p w14:paraId="256FFB6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82.6%</w:t>
            </w:r>
          </w:p>
        </w:tc>
        <w:tc>
          <w:tcPr>
            <w:tcW w:w="1008" w:type="dxa"/>
            <w:noWrap/>
            <w:hideMark/>
          </w:tcPr>
          <w:p w14:paraId="540C18D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69.9%</w:t>
            </w:r>
          </w:p>
        </w:tc>
      </w:tr>
      <w:tr w:rsidR="00BF10A3" w:rsidRPr="001210D2" w14:paraId="7659614B" w14:textId="77777777" w:rsidTr="001F7400">
        <w:trPr>
          <w:trHeight w:val="217"/>
        </w:trPr>
        <w:tc>
          <w:tcPr>
            <w:tcW w:w="817" w:type="dxa"/>
            <w:noWrap/>
            <w:hideMark/>
          </w:tcPr>
          <w:p w14:paraId="2F8123E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12</w:t>
            </w:r>
          </w:p>
        </w:tc>
        <w:tc>
          <w:tcPr>
            <w:tcW w:w="4671" w:type="dxa"/>
            <w:noWrap/>
            <w:hideMark/>
          </w:tcPr>
          <w:p w14:paraId="084A52C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Personal and Miscellaneous Services</w:t>
            </w:r>
          </w:p>
        </w:tc>
        <w:tc>
          <w:tcPr>
            <w:tcW w:w="1009" w:type="dxa"/>
            <w:noWrap/>
            <w:hideMark/>
          </w:tcPr>
          <w:p w14:paraId="265615D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18.8%</w:t>
            </w:r>
          </w:p>
        </w:tc>
        <w:tc>
          <w:tcPr>
            <w:tcW w:w="1303" w:type="dxa"/>
            <w:noWrap/>
            <w:hideMark/>
          </w:tcPr>
          <w:p w14:paraId="4F910E3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50.3%</w:t>
            </w:r>
          </w:p>
        </w:tc>
        <w:tc>
          <w:tcPr>
            <w:tcW w:w="768" w:type="dxa"/>
            <w:noWrap/>
            <w:hideMark/>
          </w:tcPr>
          <w:p w14:paraId="0ADAE21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76.5%</w:t>
            </w:r>
          </w:p>
        </w:tc>
        <w:tc>
          <w:tcPr>
            <w:tcW w:w="1008" w:type="dxa"/>
            <w:noWrap/>
            <w:hideMark/>
          </w:tcPr>
          <w:p w14:paraId="0A1F85B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67.2%</w:t>
            </w:r>
          </w:p>
        </w:tc>
      </w:tr>
      <w:tr w:rsidR="00BF10A3" w:rsidRPr="001210D2" w14:paraId="4F828C5F" w14:textId="77777777" w:rsidTr="001F7400">
        <w:trPr>
          <w:trHeight w:val="217"/>
        </w:trPr>
        <w:tc>
          <w:tcPr>
            <w:tcW w:w="817" w:type="dxa"/>
            <w:noWrap/>
            <w:hideMark/>
          </w:tcPr>
          <w:p w14:paraId="5DF673B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43</w:t>
            </w:r>
          </w:p>
        </w:tc>
        <w:tc>
          <w:tcPr>
            <w:tcW w:w="4671" w:type="dxa"/>
            <w:noWrap/>
            <w:hideMark/>
          </w:tcPr>
          <w:p w14:paraId="52C1AB2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Protective Services</w:t>
            </w:r>
          </w:p>
        </w:tc>
        <w:tc>
          <w:tcPr>
            <w:tcW w:w="1009" w:type="dxa"/>
            <w:noWrap/>
            <w:hideMark/>
          </w:tcPr>
          <w:p w14:paraId="6AD03DE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19.4%</w:t>
            </w:r>
          </w:p>
        </w:tc>
        <w:tc>
          <w:tcPr>
            <w:tcW w:w="1303" w:type="dxa"/>
            <w:noWrap/>
            <w:hideMark/>
          </w:tcPr>
          <w:p w14:paraId="51E2AF7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33.2%</w:t>
            </w:r>
          </w:p>
        </w:tc>
        <w:tc>
          <w:tcPr>
            <w:tcW w:w="768" w:type="dxa"/>
            <w:noWrap/>
            <w:hideMark/>
          </w:tcPr>
          <w:p w14:paraId="007324A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76.7%</w:t>
            </w:r>
          </w:p>
        </w:tc>
        <w:tc>
          <w:tcPr>
            <w:tcW w:w="1008" w:type="dxa"/>
            <w:noWrap/>
            <w:hideMark/>
          </w:tcPr>
          <w:p w14:paraId="5C51F72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64.4%</w:t>
            </w:r>
          </w:p>
        </w:tc>
      </w:tr>
      <w:tr w:rsidR="00BF10A3" w:rsidRPr="001210D2" w14:paraId="472F7CBD" w14:textId="77777777" w:rsidTr="001F7400">
        <w:trPr>
          <w:trHeight w:val="217"/>
        </w:trPr>
        <w:tc>
          <w:tcPr>
            <w:tcW w:w="817" w:type="dxa"/>
            <w:noWrap/>
            <w:hideMark/>
          </w:tcPr>
          <w:p w14:paraId="5E50069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11</w:t>
            </w:r>
          </w:p>
        </w:tc>
        <w:tc>
          <w:tcPr>
            <w:tcW w:w="4671" w:type="dxa"/>
            <w:noWrap/>
            <w:hideMark/>
          </w:tcPr>
          <w:p w14:paraId="3F19557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Computer and Information Sciences</w:t>
            </w:r>
          </w:p>
        </w:tc>
        <w:tc>
          <w:tcPr>
            <w:tcW w:w="1009" w:type="dxa"/>
            <w:noWrap/>
            <w:hideMark/>
          </w:tcPr>
          <w:p w14:paraId="49EFF60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3.5%</w:t>
            </w:r>
          </w:p>
        </w:tc>
        <w:tc>
          <w:tcPr>
            <w:tcW w:w="1303" w:type="dxa"/>
            <w:noWrap/>
            <w:hideMark/>
          </w:tcPr>
          <w:p w14:paraId="15BDDE1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37.2%</w:t>
            </w:r>
          </w:p>
        </w:tc>
        <w:tc>
          <w:tcPr>
            <w:tcW w:w="768" w:type="dxa"/>
            <w:noWrap/>
            <w:hideMark/>
          </w:tcPr>
          <w:p w14:paraId="2FFE85C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66.8%</w:t>
            </w:r>
          </w:p>
        </w:tc>
        <w:tc>
          <w:tcPr>
            <w:tcW w:w="1008" w:type="dxa"/>
            <w:noWrap/>
            <w:hideMark/>
          </w:tcPr>
          <w:p w14:paraId="525FFB1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57.3%</w:t>
            </w:r>
          </w:p>
        </w:tc>
      </w:tr>
      <w:tr w:rsidR="00BF10A3" w:rsidRPr="001210D2" w14:paraId="05FCDEA8" w14:textId="77777777" w:rsidTr="001F7400">
        <w:trPr>
          <w:trHeight w:val="217"/>
        </w:trPr>
        <w:tc>
          <w:tcPr>
            <w:tcW w:w="817" w:type="dxa"/>
            <w:noWrap/>
            <w:hideMark/>
          </w:tcPr>
          <w:p w14:paraId="03D1360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13</w:t>
            </w:r>
          </w:p>
        </w:tc>
        <w:tc>
          <w:tcPr>
            <w:tcW w:w="4671" w:type="dxa"/>
            <w:noWrap/>
            <w:hideMark/>
          </w:tcPr>
          <w:p w14:paraId="0C127C7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Education</w:t>
            </w:r>
          </w:p>
        </w:tc>
        <w:tc>
          <w:tcPr>
            <w:tcW w:w="1009" w:type="dxa"/>
            <w:noWrap/>
            <w:hideMark/>
          </w:tcPr>
          <w:p w14:paraId="3C3CC2F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16.6%</w:t>
            </w:r>
          </w:p>
        </w:tc>
        <w:tc>
          <w:tcPr>
            <w:tcW w:w="1303" w:type="dxa"/>
            <w:noWrap/>
            <w:hideMark/>
          </w:tcPr>
          <w:p w14:paraId="0210FF6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41.4%</w:t>
            </w:r>
          </w:p>
        </w:tc>
        <w:tc>
          <w:tcPr>
            <w:tcW w:w="768" w:type="dxa"/>
            <w:noWrap/>
            <w:hideMark/>
          </w:tcPr>
          <w:p w14:paraId="61232C0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71.3%</w:t>
            </w:r>
          </w:p>
        </w:tc>
        <w:tc>
          <w:tcPr>
            <w:tcW w:w="1008" w:type="dxa"/>
            <w:noWrap/>
            <w:hideMark/>
          </w:tcPr>
          <w:p w14:paraId="1D5CA39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63.1%</w:t>
            </w:r>
          </w:p>
        </w:tc>
      </w:tr>
      <w:tr w:rsidR="00BF10A3" w:rsidRPr="001210D2" w14:paraId="1A3DF8DF" w14:textId="77777777" w:rsidTr="001F7400">
        <w:trPr>
          <w:trHeight w:val="217"/>
        </w:trPr>
        <w:tc>
          <w:tcPr>
            <w:tcW w:w="817" w:type="dxa"/>
            <w:noWrap/>
            <w:hideMark/>
          </w:tcPr>
          <w:p w14:paraId="50F67DB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47</w:t>
            </w:r>
          </w:p>
        </w:tc>
        <w:tc>
          <w:tcPr>
            <w:tcW w:w="4671" w:type="dxa"/>
            <w:noWrap/>
            <w:hideMark/>
          </w:tcPr>
          <w:p w14:paraId="1B42AA0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Mechanics and Repairs</w:t>
            </w:r>
          </w:p>
        </w:tc>
        <w:tc>
          <w:tcPr>
            <w:tcW w:w="1009" w:type="dxa"/>
            <w:noWrap/>
            <w:hideMark/>
          </w:tcPr>
          <w:p w14:paraId="6781BDB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5.6%</w:t>
            </w:r>
          </w:p>
        </w:tc>
        <w:tc>
          <w:tcPr>
            <w:tcW w:w="1303" w:type="dxa"/>
            <w:noWrap/>
            <w:hideMark/>
          </w:tcPr>
          <w:p w14:paraId="7758C46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55.5%</w:t>
            </w:r>
          </w:p>
        </w:tc>
        <w:tc>
          <w:tcPr>
            <w:tcW w:w="768" w:type="dxa"/>
            <w:noWrap/>
            <w:hideMark/>
          </w:tcPr>
          <w:p w14:paraId="2373FEA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89.4%</w:t>
            </w:r>
          </w:p>
        </w:tc>
        <w:tc>
          <w:tcPr>
            <w:tcW w:w="1008" w:type="dxa"/>
            <w:noWrap/>
            <w:hideMark/>
          </w:tcPr>
          <w:p w14:paraId="33FD5F4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54.5%</w:t>
            </w:r>
          </w:p>
        </w:tc>
      </w:tr>
      <w:tr w:rsidR="00BF10A3" w:rsidRPr="001210D2" w14:paraId="7D02F6E1" w14:textId="77777777" w:rsidTr="001F7400">
        <w:trPr>
          <w:trHeight w:val="217"/>
        </w:trPr>
        <w:tc>
          <w:tcPr>
            <w:tcW w:w="817" w:type="dxa"/>
            <w:noWrap/>
            <w:hideMark/>
          </w:tcPr>
          <w:p w14:paraId="56814C1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50</w:t>
            </w:r>
          </w:p>
        </w:tc>
        <w:tc>
          <w:tcPr>
            <w:tcW w:w="4671" w:type="dxa"/>
            <w:noWrap/>
            <w:hideMark/>
          </w:tcPr>
          <w:p w14:paraId="395005D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Visual and Performing Arts</w:t>
            </w:r>
          </w:p>
        </w:tc>
        <w:tc>
          <w:tcPr>
            <w:tcW w:w="1009" w:type="dxa"/>
            <w:noWrap/>
            <w:hideMark/>
          </w:tcPr>
          <w:p w14:paraId="4DFCBE8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w:t>
            </w:r>
          </w:p>
        </w:tc>
        <w:tc>
          <w:tcPr>
            <w:tcW w:w="1303" w:type="dxa"/>
            <w:noWrap/>
            <w:hideMark/>
          </w:tcPr>
          <w:p w14:paraId="74262E6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18.1%</w:t>
            </w:r>
          </w:p>
        </w:tc>
        <w:tc>
          <w:tcPr>
            <w:tcW w:w="768" w:type="dxa"/>
            <w:noWrap/>
            <w:hideMark/>
          </w:tcPr>
          <w:p w14:paraId="77D0600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76.3%</w:t>
            </w:r>
          </w:p>
        </w:tc>
        <w:tc>
          <w:tcPr>
            <w:tcW w:w="1008" w:type="dxa"/>
            <w:noWrap/>
            <w:hideMark/>
          </w:tcPr>
          <w:p w14:paraId="100077D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66.8%</w:t>
            </w:r>
          </w:p>
        </w:tc>
      </w:tr>
      <w:tr w:rsidR="00BF10A3" w:rsidRPr="001210D2" w14:paraId="1160003A" w14:textId="77777777" w:rsidTr="001F7400">
        <w:trPr>
          <w:trHeight w:val="217"/>
        </w:trPr>
        <w:tc>
          <w:tcPr>
            <w:tcW w:w="817" w:type="dxa"/>
            <w:noWrap/>
            <w:hideMark/>
          </w:tcPr>
          <w:p w14:paraId="75C60C4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15</w:t>
            </w:r>
          </w:p>
        </w:tc>
        <w:tc>
          <w:tcPr>
            <w:tcW w:w="4671" w:type="dxa"/>
            <w:noWrap/>
            <w:hideMark/>
          </w:tcPr>
          <w:p w14:paraId="49D1C0E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Engineering Related Technologies</w:t>
            </w:r>
          </w:p>
        </w:tc>
        <w:tc>
          <w:tcPr>
            <w:tcW w:w="1009" w:type="dxa"/>
            <w:noWrap/>
            <w:hideMark/>
          </w:tcPr>
          <w:p w14:paraId="0EE2584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2.6%</w:t>
            </w:r>
          </w:p>
        </w:tc>
        <w:tc>
          <w:tcPr>
            <w:tcW w:w="1303" w:type="dxa"/>
            <w:noWrap/>
            <w:hideMark/>
          </w:tcPr>
          <w:p w14:paraId="1C61670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58.6%</w:t>
            </w:r>
          </w:p>
        </w:tc>
        <w:tc>
          <w:tcPr>
            <w:tcW w:w="768" w:type="dxa"/>
            <w:noWrap/>
            <w:hideMark/>
          </w:tcPr>
          <w:p w14:paraId="5FBA12B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89.5%</w:t>
            </w:r>
          </w:p>
        </w:tc>
        <w:tc>
          <w:tcPr>
            <w:tcW w:w="1008" w:type="dxa"/>
            <w:noWrap/>
            <w:hideMark/>
          </w:tcPr>
          <w:p w14:paraId="006DDA6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68.9%</w:t>
            </w:r>
          </w:p>
        </w:tc>
      </w:tr>
      <w:tr w:rsidR="00BF10A3" w:rsidRPr="001210D2" w14:paraId="36AB1229" w14:textId="77777777" w:rsidTr="001F7400">
        <w:trPr>
          <w:trHeight w:val="217"/>
        </w:trPr>
        <w:tc>
          <w:tcPr>
            <w:tcW w:w="817" w:type="dxa"/>
            <w:noWrap/>
            <w:hideMark/>
          </w:tcPr>
          <w:p w14:paraId="2AF5790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30</w:t>
            </w:r>
          </w:p>
        </w:tc>
        <w:tc>
          <w:tcPr>
            <w:tcW w:w="4671" w:type="dxa"/>
            <w:noWrap/>
            <w:hideMark/>
          </w:tcPr>
          <w:p w14:paraId="262FE8B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Multi-interdisciplinary Studies</w:t>
            </w:r>
          </w:p>
        </w:tc>
        <w:tc>
          <w:tcPr>
            <w:tcW w:w="1009" w:type="dxa"/>
            <w:noWrap/>
            <w:hideMark/>
          </w:tcPr>
          <w:p w14:paraId="1700031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7.7%</w:t>
            </w:r>
          </w:p>
        </w:tc>
        <w:tc>
          <w:tcPr>
            <w:tcW w:w="1303" w:type="dxa"/>
            <w:noWrap/>
            <w:hideMark/>
          </w:tcPr>
          <w:p w14:paraId="768397E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1677BD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94.6%</w:t>
            </w:r>
          </w:p>
        </w:tc>
        <w:tc>
          <w:tcPr>
            <w:tcW w:w="1008" w:type="dxa"/>
            <w:noWrap/>
            <w:hideMark/>
          </w:tcPr>
          <w:p w14:paraId="6A07574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91.4%</w:t>
            </w:r>
          </w:p>
        </w:tc>
      </w:tr>
      <w:tr w:rsidR="00BF10A3" w:rsidRPr="001210D2" w14:paraId="1928FB11" w14:textId="77777777" w:rsidTr="001F7400">
        <w:trPr>
          <w:trHeight w:val="217"/>
        </w:trPr>
        <w:tc>
          <w:tcPr>
            <w:tcW w:w="817" w:type="dxa"/>
            <w:noWrap/>
            <w:hideMark/>
          </w:tcPr>
          <w:p w14:paraId="5BE4758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42</w:t>
            </w:r>
          </w:p>
        </w:tc>
        <w:tc>
          <w:tcPr>
            <w:tcW w:w="4671" w:type="dxa"/>
            <w:noWrap/>
            <w:hideMark/>
          </w:tcPr>
          <w:p w14:paraId="667E871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Psychology</w:t>
            </w:r>
          </w:p>
        </w:tc>
        <w:tc>
          <w:tcPr>
            <w:tcW w:w="1009" w:type="dxa"/>
            <w:noWrap/>
            <w:hideMark/>
          </w:tcPr>
          <w:p w14:paraId="1F10D07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15.9%</w:t>
            </w:r>
          </w:p>
        </w:tc>
        <w:tc>
          <w:tcPr>
            <w:tcW w:w="1303" w:type="dxa"/>
            <w:noWrap/>
            <w:hideMark/>
          </w:tcPr>
          <w:p w14:paraId="631A935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5.2%</w:t>
            </w:r>
          </w:p>
        </w:tc>
        <w:tc>
          <w:tcPr>
            <w:tcW w:w="768" w:type="dxa"/>
            <w:noWrap/>
            <w:hideMark/>
          </w:tcPr>
          <w:p w14:paraId="0D9435B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66.8%</w:t>
            </w:r>
          </w:p>
        </w:tc>
        <w:tc>
          <w:tcPr>
            <w:tcW w:w="1008" w:type="dxa"/>
            <w:noWrap/>
            <w:hideMark/>
          </w:tcPr>
          <w:p w14:paraId="09DDB30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64.7%</w:t>
            </w:r>
          </w:p>
        </w:tc>
      </w:tr>
      <w:tr w:rsidR="00BF10A3" w:rsidRPr="001210D2" w14:paraId="019B6322" w14:textId="77777777" w:rsidTr="001F7400">
        <w:trPr>
          <w:trHeight w:val="217"/>
        </w:trPr>
        <w:tc>
          <w:tcPr>
            <w:tcW w:w="817" w:type="dxa"/>
            <w:noWrap/>
            <w:hideMark/>
          </w:tcPr>
          <w:p w14:paraId="54347C8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44</w:t>
            </w:r>
          </w:p>
        </w:tc>
        <w:tc>
          <w:tcPr>
            <w:tcW w:w="4671" w:type="dxa"/>
            <w:noWrap/>
            <w:hideMark/>
          </w:tcPr>
          <w:p w14:paraId="7C99966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Public Administration and Services</w:t>
            </w:r>
          </w:p>
        </w:tc>
        <w:tc>
          <w:tcPr>
            <w:tcW w:w="1009" w:type="dxa"/>
            <w:noWrap/>
            <w:hideMark/>
          </w:tcPr>
          <w:p w14:paraId="2B2C3EC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0.9%</w:t>
            </w:r>
          </w:p>
        </w:tc>
        <w:tc>
          <w:tcPr>
            <w:tcW w:w="1303" w:type="dxa"/>
            <w:noWrap/>
            <w:hideMark/>
          </w:tcPr>
          <w:p w14:paraId="5B70D25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16.8%</w:t>
            </w:r>
          </w:p>
        </w:tc>
        <w:tc>
          <w:tcPr>
            <w:tcW w:w="768" w:type="dxa"/>
            <w:noWrap/>
            <w:hideMark/>
          </w:tcPr>
          <w:p w14:paraId="1243794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76.1%</w:t>
            </w:r>
          </w:p>
        </w:tc>
        <w:tc>
          <w:tcPr>
            <w:tcW w:w="1008" w:type="dxa"/>
            <w:noWrap/>
            <w:hideMark/>
          </w:tcPr>
          <w:p w14:paraId="4191634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67.8%</w:t>
            </w:r>
          </w:p>
        </w:tc>
      </w:tr>
      <w:tr w:rsidR="00BF10A3" w:rsidRPr="001210D2" w14:paraId="26A18264" w14:textId="77777777" w:rsidTr="001F7400">
        <w:trPr>
          <w:trHeight w:val="217"/>
        </w:trPr>
        <w:tc>
          <w:tcPr>
            <w:tcW w:w="817" w:type="dxa"/>
            <w:noWrap/>
            <w:hideMark/>
          </w:tcPr>
          <w:p w14:paraId="4136C0E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22</w:t>
            </w:r>
          </w:p>
        </w:tc>
        <w:tc>
          <w:tcPr>
            <w:tcW w:w="4671" w:type="dxa"/>
            <w:noWrap/>
            <w:hideMark/>
          </w:tcPr>
          <w:p w14:paraId="6C92540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Law and Legal Services</w:t>
            </w:r>
          </w:p>
        </w:tc>
        <w:tc>
          <w:tcPr>
            <w:tcW w:w="1009" w:type="dxa"/>
            <w:noWrap/>
            <w:hideMark/>
          </w:tcPr>
          <w:p w14:paraId="44AF53A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15.5%</w:t>
            </w:r>
          </w:p>
        </w:tc>
        <w:tc>
          <w:tcPr>
            <w:tcW w:w="1303" w:type="dxa"/>
            <w:noWrap/>
            <w:hideMark/>
          </w:tcPr>
          <w:p w14:paraId="152850A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48.6%</w:t>
            </w:r>
          </w:p>
        </w:tc>
        <w:tc>
          <w:tcPr>
            <w:tcW w:w="768" w:type="dxa"/>
            <w:noWrap/>
            <w:hideMark/>
          </w:tcPr>
          <w:p w14:paraId="46AC137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50.9%</w:t>
            </w:r>
          </w:p>
        </w:tc>
        <w:tc>
          <w:tcPr>
            <w:tcW w:w="1008" w:type="dxa"/>
            <w:noWrap/>
            <w:hideMark/>
          </w:tcPr>
          <w:p w14:paraId="527326B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44.8%</w:t>
            </w:r>
          </w:p>
        </w:tc>
      </w:tr>
      <w:tr w:rsidR="00BF10A3" w:rsidRPr="001210D2" w14:paraId="3E5F6E2C" w14:textId="77777777" w:rsidTr="001F7400">
        <w:trPr>
          <w:trHeight w:val="217"/>
        </w:trPr>
        <w:tc>
          <w:tcPr>
            <w:tcW w:w="817" w:type="dxa"/>
            <w:noWrap/>
            <w:hideMark/>
          </w:tcPr>
          <w:p w14:paraId="1D14017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46</w:t>
            </w:r>
          </w:p>
        </w:tc>
        <w:tc>
          <w:tcPr>
            <w:tcW w:w="4671" w:type="dxa"/>
            <w:noWrap/>
            <w:hideMark/>
          </w:tcPr>
          <w:p w14:paraId="2389ACA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Construction Trades</w:t>
            </w:r>
          </w:p>
        </w:tc>
        <w:tc>
          <w:tcPr>
            <w:tcW w:w="1009" w:type="dxa"/>
            <w:noWrap/>
            <w:hideMark/>
          </w:tcPr>
          <w:p w14:paraId="73B0EB1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12.3%</w:t>
            </w:r>
          </w:p>
        </w:tc>
        <w:tc>
          <w:tcPr>
            <w:tcW w:w="1303" w:type="dxa"/>
            <w:noWrap/>
            <w:hideMark/>
          </w:tcPr>
          <w:p w14:paraId="6536BCB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89.4%</w:t>
            </w:r>
          </w:p>
        </w:tc>
        <w:tc>
          <w:tcPr>
            <w:tcW w:w="768" w:type="dxa"/>
            <w:noWrap/>
            <w:hideMark/>
          </w:tcPr>
          <w:p w14:paraId="7FF1EA7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74.7%</w:t>
            </w:r>
          </w:p>
        </w:tc>
        <w:tc>
          <w:tcPr>
            <w:tcW w:w="1008" w:type="dxa"/>
            <w:noWrap/>
            <w:hideMark/>
          </w:tcPr>
          <w:p w14:paraId="7EBD472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41.1%</w:t>
            </w:r>
          </w:p>
        </w:tc>
      </w:tr>
      <w:tr w:rsidR="00BF10A3" w:rsidRPr="001210D2" w14:paraId="2F4E0DF4" w14:textId="77777777" w:rsidTr="001F7400">
        <w:trPr>
          <w:trHeight w:val="217"/>
        </w:trPr>
        <w:tc>
          <w:tcPr>
            <w:tcW w:w="817" w:type="dxa"/>
            <w:noWrap/>
            <w:hideMark/>
          </w:tcPr>
          <w:p w14:paraId="6E12611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24</w:t>
            </w:r>
          </w:p>
        </w:tc>
        <w:tc>
          <w:tcPr>
            <w:tcW w:w="4671" w:type="dxa"/>
            <w:noWrap/>
            <w:hideMark/>
          </w:tcPr>
          <w:p w14:paraId="522326F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Liberal Arts and Sciences, General Studies and Humanities</w:t>
            </w:r>
          </w:p>
        </w:tc>
        <w:tc>
          <w:tcPr>
            <w:tcW w:w="1009" w:type="dxa"/>
            <w:noWrap/>
            <w:hideMark/>
          </w:tcPr>
          <w:p w14:paraId="299A9E6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57.4%</w:t>
            </w:r>
          </w:p>
        </w:tc>
        <w:tc>
          <w:tcPr>
            <w:tcW w:w="1303" w:type="dxa"/>
            <w:noWrap/>
            <w:hideMark/>
          </w:tcPr>
          <w:p w14:paraId="2BBAE87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C753FC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69.5%</w:t>
            </w:r>
          </w:p>
        </w:tc>
        <w:tc>
          <w:tcPr>
            <w:tcW w:w="1008" w:type="dxa"/>
            <w:noWrap/>
            <w:hideMark/>
          </w:tcPr>
          <w:p w14:paraId="791B81C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61.5%</w:t>
            </w:r>
          </w:p>
        </w:tc>
      </w:tr>
      <w:tr w:rsidR="00BF10A3" w:rsidRPr="001210D2" w14:paraId="6D1D2DC4" w14:textId="77777777" w:rsidTr="001F7400">
        <w:trPr>
          <w:trHeight w:val="217"/>
        </w:trPr>
        <w:tc>
          <w:tcPr>
            <w:tcW w:w="817" w:type="dxa"/>
            <w:noWrap/>
            <w:hideMark/>
          </w:tcPr>
          <w:p w14:paraId="607A03B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w:t>
            </w:r>
          </w:p>
        </w:tc>
        <w:tc>
          <w:tcPr>
            <w:tcW w:w="4671" w:type="dxa"/>
            <w:noWrap/>
            <w:hideMark/>
          </w:tcPr>
          <w:p w14:paraId="43ED2E3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Telecommunications Technologies</w:t>
            </w:r>
          </w:p>
        </w:tc>
        <w:tc>
          <w:tcPr>
            <w:tcW w:w="1009" w:type="dxa"/>
            <w:noWrap/>
            <w:hideMark/>
          </w:tcPr>
          <w:p w14:paraId="7D11D5C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4.5%</w:t>
            </w:r>
          </w:p>
        </w:tc>
        <w:tc>
          <w:tcPr>
            <w:tcW w:w="1303" w:type="dxa"/>
            <w:noWrap/>
            <w:hideMark/>
          </w:tcPr>
          <w:p w14:paraId="30442F0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48.6%</w:t>
            </w:r>
          </w:p>
        </w:tc>
        <w:tc>
          <w:tcPr>
            <w:tcW w:w="768" w:type="dxa"/>
            <w:noWrap/>
            <w:hideMark/>
          </w:tcPr>
          <w:p w14:paraId="42CD0EA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62.3%</w:t>
            </w:r>
          </w:p>
        </w:tc>
        <w:tc>
          <w:tcPr>
            <w:tcW w:w="1008" w:type="dxa"/>
            <w:noWrap/>
            <w:hideMark/>
          </w:tcPr>
          <w:p w14:paraId="4FB8518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44.6%</w:t>
            </w:r>
          </w:p>
        </w:tc>
      </w:tr>
      <w:tr w:rsidR="00BF10A3" w:rsidRPr="001210D2" w14:paraId="491C6A4E" w14:textId="77777777" w:rsidTr="001F7400">
        <w:trPr>
          <w:trHeight w:val="217"/>
        </w:trPr>
        <w:tc>
          <w:tcPr>
            <w:tcW w:w="817" w:type="dxa"/>
            <w:noWrap/>
            <w:hideMark/>
          </w:tcPr>
          <w:p w14:paraId="1371A41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45</w:t>
            </w:r>
          </w:p>
        </w:tc>
        <w:tc>
          <w:tcPr>
            <w:tcW w:w="4671" w:type="dxa"/>
            <w:noWrap/>
            <w:hideMark/>
          </w:tcPr>
          <w:p w14:paraId="09B1428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Social Sciences and History</w:t>
            </w:r>
          </w:p>
        </w:tc>
        <w:tc>
          <w:tcPr>
            <w:tcW w:w="1009" w:type="dxa"/>
            <w:noWrap/>
            <w:hideMark/>
          </w:tcPr>
          <w:p w14:paraId="7051062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F662EA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21.6%</w:t>
            </w:r>
          </w:p>
        </w:tc>
        <w:tc>
          <w:tcPr>
            <w:tcW w:w="768" w:type="dxa"/>
            <w:noWrap/>
            <w:hideMark/>
          </w:tcPr>
          <w:p w14:paraId="3E19B6A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65.6%</w:t>
            </w:r>
          </w:p>
        </w:tc>
        <w:tc>
          <w:tcPr>
            <w:tcW w:w="1008" w:type="dxa"/>
            <w:noWrap/>
            <w:hideMark/>
          </w:tcPr>
          <w:p w14:paraId="7B82199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60.1%</w:t>
            </w:r>
          </w:p>
        </w:tc>
      </w:tr>
      <w:tr w:rsidR="00BF10A3" w:rsidRPr="001210D2" w14:paraId="3511D461" w14:textId="77777777" w:rsidTr="001F7400">
        <w:trPr>
          <w:trHeight w:val="217"/>
        </w:trPr>
        <w:tc>
          <w:tcPr>
            <w:tcW w:w="817" w:type="dxa"/>
            <w:noWrap/>
            <w:hideMark/>
          </w:tcPr>
          <w:p w14:paraId="622711D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19</w:t>
            </w:r>
          </w:p>
        </w:tc>
        <w:tc>
          <w:tcPr>
            <w:tcW w:w="4671" w:type="dxa"/>
            <w:noWrap/>
            <w:hideMark/>
          </w:tcPr>
          <w:p w14:paraId="0FE5623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Home Economics</w:t>
            </w:r>
          </w:p>
        </w:tc>
        <w:tc>
          <w:tcPr>
            <w:tcW w:w="1009" w:type="dxa"/>
            <w:noWrap/>
            <w:hideMark/>
          </w:tcPr>
          <w:p w14:paraId="6DF4C4E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14.0%</w:t>
            </w:r>
          </w:p>
        </w:tc>
        <w:tc>
          <w:tcPr>
            <w:tcW w:w="1303" w:type="dxa"/>
            <w:noWrap/>
            <w:hideMark/>
          </w:tcPr>
          <w:p w14:paraId="62326FE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68.3%</w:t>
            </w:r>
          </w:p>
        </w:tc>
        <w:tc>
          <w:tcPr>
            <w:tcW w:w="768" w:type="dxa"/>
            <w:noWrap/>
            <w:hideMark/>
          </w:tcPr>
          <w:p w14:paraId="43FB4A7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25.5%</w:t>
            </w:r>
          </w:p>
        </w:tc>
        <w:tc>
          <w:tcPr>
            <w:tcW w:w="1008" w:type="dxa"/>
            <w:noWrap/>
            <w:hideMark/>
          </w:tcPr>
          <w:p w14:paraId="1A65238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16.3%</w:t>
            </w:r>
          </w:p>
        </w:tc>
      </w:tr>
      <w:tr w:rsidR="00BF10A3" w:rsidRPr="001210D2" w14:paraId="0C621781" w14:textId="77777777" w:rsidTr="001F7400">
        <w:trPr>
          <w:trHeight w:val="217"/>
        </w:trPr>
        <w:tc>
          <w:tcPr>
            <w:tcW w:w="817" w:type="dxa"/>
            <w:noWrap/>
            <w:hideMark/>
          </w:tcPr>
          <w:p w14:paraId="080D664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49</w:t>
            </w:r>
          </w:p>
        </w:tc>
        <w:tc>
          <w:tcPr>
            <w:tcW w:w="4671" w:type="dxa"/>
            <w:noWrap/>
            <w:hideMark/>
          </w:tcPr>
          <w:p w14:paraId="05189D5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Transportation and Material Moving Workers</w:t>
            </w:r>
          </w:p>
        </w:tc>
        <w:tc>
          <w:tcPr>
            <w:tcW w:w="1009" w:type="dxa"/>
            <w:noWrap/>
            <w:hideMark/>
          </w:tcPr>
          <w:p w14:paraId="1C59B2C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31.9%</w:t>
            </w:r>
          </w:p>
        </w:tc>
        <w:tc>
          <w:tcPr>
            <w:tcW w:w="1303" w:type="dxa"/>
            <w:noWrap/>
            <w:hideMark/>
          </w:tcPr>
          <w:p w14:paraId="382C6CC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36.3%</w:t>
            </w:r>
          </w:p>
        </w:tc>
        <w:tc>
          <w:tcPr>
            <w:tcW w:w="768" w:type="dxa"/>
            <w:noWrap/>
            <w:hideMark/>
          </w:tcPr>
          <w:p w14:paraId="1B5540F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87.4%</w:t>
            </w:r>
          </w:p>
        </w:tc>
        <w:tc>
          <w:tcPr>
            <w:tcW w:w="1008" w:type="dxa"/>
            <w:noWrap/>
            <w:hideMark/>
          </w:tcPr>
          <w:p w14:paraId="30AA328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67.5%</w:t>
            </w:r>
          </w:p>
        </w:tc>
      </w:tr>
      <w:tr w:rsidR="00BF10A3" w:rsidRPr="001210D2" w14:paraId="2D57E4A3" w14:textId="77777777" w:rsidTr="001F7400">
        <w:trPr>
          <w:trHeight w:val="217"/>
        </w:trPr>
        <w:tc>
          <w:tcPr>
            <w:tcW w:w="817" w:type="dxa"/>
            <w:noWrap/>
            <w:hideMark/>
          </w:tcPr>
          <w:p w14:paraId="2A2C5FE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48</w:t>
            </w:r>
          </w:p>
        </w:tc>
        <w:tc>
          <w:tcPr>
            <w:tcW w:w="4671" w:type="dxa"/>
            <w:noWrap/>
            <w:hideMark/>
          </w:tcPr>
          <w:p w14:paraId="0367983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Precision Production Trades</w:t>
            </w:r>
          </w:p>
        </w:tc>
        <w:tc>
          <w:tcPr>
            <w:tcW w:w="1009" w:type="dxa"/>
            <w:noWrap/>
            <w:hideMark/>
          </w:tcPr>
          <w:p w14:paraId="3847C03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5.6%</w:t>
            </w:r>
          </w:p>
        </w:tc>
        <w:tc>
          <w:tcPr>
            <w:tcW w:w="1303" w:type="dxa"/>
            <w:noWrap/>
            <w:hideMark/>
          </w:tcPr>
          <w:p w14:paraId="33A5BAF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85.9%</w:t>
            </w:r>
          </w:p>
        </w:tc>
        <w:tc>
          <w:tcPr>
            <w:tcW w:w="768" w:type="dxa"/>
            <w:noWrap/>
            <w:hideMark/>
          </w:tcPr>
          <w:p w14:paraId="7802B6C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78.1%</w:t>
            </w:r>
          </w:p>
        </w:tc>
        <w:tc>
          <w:tcPr>
            <w:tcW w:w="1008" w:type="dxa"/>
            <w:noWrap/>
            <w:hideMark/>
          </w:tcPr>
          <w:p w14:paraId="1B29CAD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22.9%</w:t>
            </w:r>
          </w:p>
        </w:tc>
      </w:tr>
      <w:tr w:rsidR="00BF10A3" w:rsidRPr="001210D2" w14:paraId="45FC4A9B" w14:textId="77777777" w:rsidTr="001F7400">
        <w:trPr>
          <w:trHeight w:val="217"/>
        </w:trPr>
        <w:tc>
          <w:tcPr>
            <w:tcW w:w="817" w:type="dxa"/>
            <w:noWrap/>
            <w:hideMark/>
          </w:tcPr>
          <w:p w14:paraId="1FEB1A1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23</w:t>
            </w:r>
          </w:p>
        </w:tc>
        <w:tc>
          <w:tcPr>
            <w:tcW w:w="4671" w:type="dxa"/>
            <w:noWrap/>
            <w:hideMark/>
          </w:tcPr>
          <w:p w14:paraId="19545B7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English Language and Literature/Letters</w:t>
            </w:r>
          </w:p>
        </w:tc>
        <w:tc>
          <w:tcPr>
            <w:tcW w:w="1009" w:type="dxa"/>
            <w:noWrap/>
            <w:hideMark/>
          </w:tcPr>
          <w:p w14:paraId="5444C04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C91A03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94.7%</w:t>
            </w:r>
          </w:p>
        </w:tc>
        <w:tc>
          <w:tcPr>
            <w:tcW w:w="768" w:type="dxa"/>
            <w:noWrap/>
            <w:hideMark/>
          </w:tcPr>
          <w:p w14:paraId="29BD175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77.3%</w:t>
            </w:r>
          </w:p>
        </w:tc>
        <w:tc>
          <w:tcPr>
            <w:tcW w:w="1008" w:type="dxa"/>
            <w:noWrap/>
            <w:hideMark/>
          </w:tcPr>
          <w:p w14:paraId="5634E32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39.6%</w:t>
            </w:r>
          </w:p>
        </w:tc>
      </w:tr>
      <w:tr w:rsidR="00BF10A3" w:rsidRPr="001210D2" w14:paraId="2BDBE45E" w14:textId="77777777" w:rsidTr="001F7400">
        <w:trPr>
          <w:trHeight w:val="217"/>
        </w:trPr>
        <w:tc>
          <w:tcPr>
            <w:tcW w:w="817" w:type="dxa"/>
            <w:noWrap/>
            <w:hideMark/>
          </w:tcPr>
          <w:p w14:paraId="7AC6EF8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w:t>
            </w:r>
          </w:p>
        </w:tc>
        <w:tc>
          <w:tcPr>
            <w:tcW w:w="4671" w:type="dxa"/>
            <w:noWrap/>
            <w:hideMark/>
          </w:tcPr>
          <w:p w14:paraId="3CE0ECD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Communications</w:t>
            </w:r>
          </w:p>
        </w:tc>
        <w:tc>
          <w:tcPr>
            <w:tcW w:w="1009" w:type="dxa"/>
            <w:noWrap/>
            <w:hideMark/>
          </w:tcPr>
          <w:p w14:paraId="1BEB785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3374288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0A42854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51.9%</w:t>
            </w:r>
          </w:p>
        </w:tc>
        <w:tc>
          <w:tcPr>
            <w:tcW w:w="1008" w:type="dxa"/>
            <w:noWrap/>
            <w:hideMark/>
          </w:tcPr>
          <w:p w14:paraId="34FEBE6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38.8%</w:t>
            </w:r>
          </w:p>
        </w:tc>
      </w:tr>
      <w:tr w:rsidR="00BF10A3" w:rsidRPr="001210D2" w14:paraId="4F3D40DF" w14:textId="77777777" w:rsidTr="001F7400">
        <w:trPr>
          <w:trHeight w:val="217"/>
        </w:trPr>
        <w:tc>
          <w:tcPr>
            <w:tcW w:w="817" w:type="dxa"/>
            <w:noWrap/>
            <w:hideMark/>
          </w:tcPr>
          <w:p w14:paraId="2DD4A74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14</w:t>
            </w:r>
          </w:p>
        </w:tc>
        <w:tc>
          <w:tcPr>
            <w:tcW w:w="4671" w:type="dxa"/>
            <w:noWrap/>
            <w:hideMark/>
          </w:tcPr>
          <w:p w14:paraId="5222A41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Engineering</w:t>
            </w:r>
          </w:p>
        </w:tc>
        <w:tc>
          <w:tcPr>
            <w:tcW w:w="1009" w:type="dxa"/>
            <w:noWrap/>
            <w:hideMark/>
          </w:tcPr>
          <w:p w14:paraId="15FECB6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3.3%</w:t>
            </w:r>
          </w:p>
        </w:tc>
        <w:tc>
          <w:tcPr>
            <w:tcW w:w="1303" w:type="dxa"/>
            <w:noWrap/>
            <w:hideMark/>
          </w:tcPr>
          <w:p w14:paraId="6ACDB9E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55.4%</w:t>
            </w:r>
          </w:p>
        </w:tc>
        <w:tc>
          <w:tcPr>
            <w:tcW w:w="768" w:type="dxa"/>
            <w:noWrap/>
            <w:hideMark/>
          </w:tcPr>
          <w:p w14:paraId="7160E4E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84.4%</w:t>
            </w:r>
          </w:p>
        </w:tc>
        <w:tc>
          <w:tcPr>
            <w:tcW w:w="1008" w:type="dxa"/>
            <w:noWrap/>
            <w:hideMark/>
          </w:tcPr>
          <w:p w14:paraId="2D3B191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68.0%</w:t>
            </w:r>
          </w:p>
        </w:tc>
      </w:tr>
      <w:tr w:rsidR="00BF10A3" w:rsidRPr="001210D2" w14:paraId="780E2BC6" w14:textId="77777777" w:rsidTr="001F7400">
        <w:trPr>
          <w:trHeight w:val="217"/>
        </w:trPr>
        <w:tc>
          <w:tcPr>
            <w:tcW w:w="817" w:type="dxa"/>
            <w:noWrap/>
            <w:hideMark/>
          </w:tcPr>
          <w:p w14:paraId="7BEE7E7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31</w:t>
            </w:r>
          </w:p>
        </w:tc>
        <w:tc>
          <w:tcPr>
            <w:tcW w:w="4671" w:type="dxa"/>
            <w:noWrap/>
            <w:hideMark/>
          </w:tcPr>
          <w:p w14:paraId="07771BD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Parks, Recreation, Leisure, and Fitness Studies</w:t>
            </w:r>
          </w:p>
        </w:tc>
        <w:tc>
          <w:tcPr>
            <w:tcW w:w="1009" w:type="dxa"/>
            <w:noWrap/>
            <w:hideMark/>
          </w:tcPr>
          <w:p w14:paraId="7F74A56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24.9%</w:t>
            </w:r>
          </w:p>
        </w:tc>
        <w:tc>
          <w:tcPr>
            <w:tcW w:w="1303" w:type="dxa"/>
            <w:noWrap/>
            <w:hideMark/>
          </w:tcPr>
          <w:p w14:paraId="38FA627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78A1623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36.4%</w:t>
            </w:r>
          </w:p>
        </w:tc>
        <w:tc>
          <w:tcPr>
            <w:tcW w:w="1008" w:type="dxa"/>
            <w:noWrap/>
            <w:hideMark/>
          </w:tcPr>
          <w:p w14:paraId="624123F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33.0%</w:t>
            </w:r>
          </w:p>
        </w:tc>
      </w:tr>
      <w:tr w:rsidR="00BF10A3" w:rsidRPr="001210D2" w14:paraId="40778A35" w14:textId="77777777" w:rsidTr="001F7400">
        <w:trPr>
          <w:trHeight w:val="217"/>
        </w:trPr>
        <w:tc>
          <w:tcPr>
            <w:tcW w:w="817" w:type="dxa"/>
            <w:noWrap/>
            <w:hideMark/>
          </w:tcPr>
          <w:p w14:paraId="52B231B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34</w:t>
            </w:r>
          </w:p>
        </w:tc>
        <w:tc>
          <w:tcPr>
            <w:tcW w:w="4671" w:type="dxa"/>
            <w:noWrap/>
            <w:hideMark/>
          </w:tcPr>
          <w:p w14:paraId="192AB4D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Health-related Knowledge and Skills</w:t>
            </w:r>
          </w:p>
        </w:tc>
        <w:tc>
          <w:tcPr>
            <w:tcW w:w="1009" w:type="dxa"/>
            <w:noWrap/>
            <w:hideMark/>
          </w:tcPr>
          <w:p w14:paraId="16696BA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5530E8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E61215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100.0%</w:t>
            </w:r>
          </w:p>
        </w:tc>
        <w:tc>
          <w:tcPr>
            <w:tcW w:w="1008" w:type="dxa"/>
            <w:noWrap/>
            <w:hideMark/>
          </w:tcPr>
          <w:p w14:paraId="2F49E23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91.0%</w:t>
            </w:r>
          </w:p>
        </w:tc>
      </w:tr>
      <w:tr w:rsidR="00BF10A3" w:rsidRPr="001210D2" w14:paraId="5E3204A6" w14:textId="77777777" w:rsidTr="001F7400">
        <w:trPr>
          <w:trHeight w:val="217"/>
        </w:trPr>
        <w:tc>
          <w:tcPr>
            <w:tcW w:w="817" w:type="dxa"/>
            <w:noWrap/>
            <w:hideMark/>
          </w:tcPr>
          <w:p w14:paraId="44FDD84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54</w:t>
            </w:r>
          </w:p>
        </w:tc>
        <w:tc>
          <w:tcPr>
            <w:tcW w:w="4671" w:type="dxa"/>
            <w:noWrap/>
            <w:hideMark/>
          </w:tcPr>
          <w:p w14:paraId="595E675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History</w:t>
            </w:r>
          </w:p>
        </w:tc>
        <w:tc>
          <w:tcPr>
            <w:tcW w:w="1009" w:type="dxa"/>
            <w:noWrap/>
            <w:hideMark/>
          </w:tcPr>
          <w:p w14:paraId="15AF6F1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064684B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5A5DA6B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30.2%</w:t>
            </w:r>
          </w:p>
        </w:tc>
        <w:tc>
          <w:tcPr>
            <w:tcW w:w="1008" w:type="dxa"/>
            <w:noWrap/>
            <w:hideMark/>
          </w:tcPr>
          <w:p w14:paraId="55D16C3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29.9%</w:t>
            </w:r>
          </w:p>
        </w:tc>
      </w:tr>
      <w:tr w:rsidR="00BF10A3" w:rsidRPr="001210D2" w14:paraId="505BFE28" w14:textId="77777777" w:rsidTr="001F7400">
        <w:trPr>
          <w:trHeight w:val="217"/>
        </w:trPr>
        <w:tc>
          <w:tcPr>
            <w:tcW w:w="817" w:type="dxa"/>
            <w:noWrap/>
            <w:hideMark/>
          </w:tcPr>
          <w:p w14:paraId="3FE93FC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21</w:t>
            </w:r>
          </w:p>
        </w:tc>
        <w:tc>
          <w:tcPr>
            <w:tcW w:w="4671" w:type="dxa"/>
            <w:noWrap/>
            <w:hideMark/>
          </w:tcPr>
          <w:p w14:paraId="723F94B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Technology/Education Industrial Arts</w:t>
            </w:r>
          </w:p>
        </w:tc>
        <w:tc>
          <w:tcPr>
            <w:tcW w:w="1009" w:type="dxa"/>
            <w:noWrap/>
            <w:hideMark/>
          </w:tcPr>
          <w:p w14:paraId="0C394D3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0D54A9F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0409919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100.0%</w:t>
            </w:r>
          </w:p>
        </w:tc>
        <w:tc>
          <w:tcPr>
            <w:tcW w:w="1008" w:type="dxa"/>
            <w:noWrap/>
            <w:hideMark/>
          </w:tcPr>
          <w:p w14:paraId="7E24444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99.4%</w:t>
            </w:r>
          </w:p>
        </w:tc>
      </w:tr>
      <w:tr w:rsidR="00BF10A3" w:rsidRPr="001210D2" w14:paraId="38C02F86" w14:textId="77777777" w:rsidTr="001F7400">
        <w:trPr>
          <w:trHeight w:val="217"/>
        </w:trPr>
        <w:tc>
          <w:tcPr>
            <w:tcW w:w="817" w:type="dxa"/>
            <w:noWrap/>
            <w:hideMark/>
          </w:tcPr>
          <w:p w14:paraId="74321E5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w:t>
            </w:r>
          </w:p>
        </w:tc>
        <w:tc>
          <w:tcPr>
            <w:tcW w:w="4671" w:type="dxa"/>
            <w:noWrap/>
            <w:hideMark/>
          </w:tcPr>
          <w:p w14:paraId="41C3F42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Architecture and Related Programs</w:t>
            </w:r>
          </w:p>
        </w:tc>
        <w:tc>
          <w:tcPr>
            <w:tcW w:w="1009" w:type="dxa"/>
            <w:noWrap/>
            <w:hideMark/>
          </w:tcPr>
          <w:p w14:paraId="157B887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3F2F0B7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41.1%</w:t>
            </w:r>
          </w:p>
        </w:tc>
        <w:tc>
          <w:tcPr>
            <w:tcW w:w="768" w:type="dxa"/>
            <w:noWrap/>
            <w:hideMark/>
          </w:tcPr>
          <w:p w14:paraId="0AD7534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71.4%</w:t>
            </w:r>
          </w:p>
        </w:tc>
        <w:tc>
          <w:tcPr>
            <w:tcW w:w="1008" w:type="dxa"/>
            <w:noWrap/>
            <w:hideMark/>
          </w:tcPr>
          <w:p w14:paraId="01A1D6F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15.5%</w:t>
            </w:r>
          </w:p>
        </w:tc>
      </w:tr>
      <w:tr w:rsidR="00BF10A3" w:rsidRPr="001210D2" w14:paraId="1393CFD4" w14:textId="77777777" w:rsidTr="001F7400">
        <w:trPr>
          <w:trHeight w:val="217"/>
        </w:trPr>
        <w:tc>
          <w:tcPr>
            <w:tcW w:w="817" w:type="dxa"/>
            <w:noWrap/>
            <w:hideMark/>
          </w:tcPr>
          <w:p w14:paraId="3FEBFC3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41</w:t>
            </w:r>
          </w:p>
        </w:tc>
        <w:tc>
          <w:tcPr>
            <w:tcW w:w="4671" w:type="dxa"/>
            <w:noWrap/>
            <w:hideMark/>
          </w:tcPr>
          <w:p w14:paraId="5B3711A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Science Technologies</w:t>
            </w:r>
          </w:p>
        </w:tc>
        <w:tc>
          <w:tcPr>
            <w:tcW w:w="1009" w:type="dxa"/>
            <w:noWrap/>
            <w:hideMark/>
          </w:tcPr>
          <w:p w14:paraId="6AAC5D4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12.0%</w:t>
            </w:r>
          </w:p>
        </w:tc>
        <w:tc>
          <w:tcPr>
            <w:tcW w:w="1303" w:type="dxa"/>
            <w:noWrap/>
            <w:hideMark/>
          </w:tcPr>
          <w:p w14:paraId="7183361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51BE431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42.8%</w:t>
            </w:r>
          </w:p>
        </w:tc>
        <w:tc>
          <w:tcPr>
            <w:tcW w:w="1008" w:type="dxa"/>
            <w:noWrap/>
            <w:hideMark/>
          </w:tcPr>
          <w:p w14:paraId="0B21325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20.3%</w:t>
            </w:r>
          </w:p>
        </w:tc>
      </w:tr>
      <w:tr w:rsidR="00BF10A3" w:rsidRPr="001210D2" w14:paraId="56ED8B23" w14:textId="77777777" w:rsidTr="001F7400">
        <w:trPr>
          <w:trHeight w:val="217"/>
        </w:trPr>
        <w:tc>
          <w:tcPr>
            <w:tcW w:w="817" w:type="dxa"/>
            <w:noWrap/>
            <w:hideMark/>
          </w:tcPr>
          <w:p w14:paraId="2898A44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w:t>
            </w:r>
          </w:p>
        </w:tc>
        <w:tc>
          <w:tcPr>
            <w:tcW w:w="4671" w:type="dxa"/>
            <w:noWrap/>
            <w:hideMark/>
          </w:tcPr>
          <w:p w14:paraId="02E3DED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Conservation and Renewable Natural Resources</w:t>
            </w:r>
          </w:p>
        </w:tc>
        <w:tc>
          <w:tcPr>
            <w:tcW w:w="1009" w:type="dxa"/>
            <w:noWrap/>
            <w:hideMark/>
          </w:tcPr>
          <w:p w14:paraId="7AE9834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B5EF19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467561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17.9%</w:t>
            </w:r>
          </w:p>
        </w:tc>
        <w:tc>
          <w:tcPr>
            <w:tcW w:w="1008" w:type="dxa"/>
            <w:noWrap/>
            <w:hideMark/>
          </w:tcPr>
          <w:p w14:paraId="7B5DC22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11.5%</w:t>
            </w:r>
          </w:p>
        </w:tc>
      </w:tr>
      <w:tr w:rsidR="00BF10A3" w:rsidRPr="001210D2" w14:paraId="4CE375F2" w14:textId="77777777" w:rsidTr="001F7400">
        <w:trPr>
          <w:trHeight w:val="217"/>
        </w:trPr>
        <w:tc>
          <w:tcPr>
            <w:tcW w:w="817" w:type="dxa"/>
            <w:noWrap/>
            <w:hideMark/>
          </w:tcPr>
          <w:p w14:paraId="71FF900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w:t>
            </w:r>
          </w:p>
        </w:tc>
        <w:tc>
          <w:tcPr>
            <w:tcW w:w="4671" w:type="dxa"/>
            <w:noWrap/>
            <w:hideMark/>
          </w:tcPr>
          <w:p w14:paraId="7446813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Agricultural Business and Production</w:t>
            </w:r>
          </w:p>
        </w:tc>
        <w:tc>
          <w:tcPr>
            <w:tcW w:w="1009" w:type="dxa"/>
            <w:noWrap/>
            <w:hideMark/>
          </w:tcPr>
          <w:p w14:paraId="4FD7044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1.5%</w:t>
            </w:r>
          </w:p>
        </w:tc>
        <w:tc>
          <w:tcPr>
            <w:tcW w:w="1303" w:type="dxa"/>
            <w:noWrap/>
            <w:hideMark/>
          </w:tcPr>
          <w:p w14:paraId="06CCCD2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81.0%</w:t>
            </w:r>
          </w:p>
        </w:tc>
        <w:tc>
          <w:tcPr>
            <w:tcW w:w="768" w:type="dxa"/>
            <w:noWrap/>
            <w:hideMark/>
          </w:tcPr>
          <w:p w14:paraId="79E7EA9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72.1%</w:t>
            </w:r>
          </w:p>
        </w:tc>
        <w:tc>
          <w:tcPr>
            <w:tcW w:w="1008" w:type="dxa"/>
            <w:noWrap/>
            <w:hideMark/>
          </w:tcPr>
          <w:p w14:paraId="511FD2B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5.7%</w:t>
            </w:r>
          </w:p>
        </w:tc>
      </w:tr>
      <w:tr w:rsidR="00BF10A3" w:rsidRPr="001210D2" w14:paraId="77968D32" w14:textId="77777777" w:rsidTr="001F7400">
        <w:trPr>
          <w:trHeight w:val="217"/>
        </w:trPr>
        <w:tc>
          <w:tcPr>
            <w:tcW w:w="817" w:type="dxa"/>
            <w:noWrap/>
            <w:hideMark/>
          </w:tcPr>
          <w:p w14:paraId="4D3098F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39</w:t>
            </w:r>
          </w:p>
        </w:tc>
        <w:tc>
          <w:tcPr>
            <w:tcW w:w="4671" w:type="dxa"/>
            <w:noWrap/>
            <w:hideMark/>
          </w:tcPr>
          <w:p w14:paraId="5C69CDB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Theological Studies and Religious Vocations</w:t>
            </w:r>
          </w:p>
        </w:tc>
        <w:tc>
          <w:tcPr>
            <w:tcW w:w="1009" w:type="dxa"/>
            <w:noWrap/>
            <w:hideMark/>
          </w:tcPr>
          <w:p w14:paraId="6206D5D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3B45FDC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14.6%</w:t>
            </w:r>
          </w:p>
        </w:tc>
        <w:tc>
          <w:tcPr>
            <w:tcW w:w="768" w:type="dxa"/>
            <w:noWrap/>
            <w:hideMark/>
          </w:tcPr>
          <w:p w14:paraId="0724C9D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296089E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10.4%</w:t>
            </w:r>
          </w:p>
        </w:tc>
      </w:tr>
      <w:tr w:rsidR="00BF10A3" w:rsidRPr="001210D2" w14:paraId="1406A366" w14:textId="77777777" w:rsidTr="001F7400">
        <w:trPr>
          <w:trHeight w:val="217"/>
        </w:trPr>
        <w:tc>
          <w:tcPr>
            <w:tcW w:w="817" w:type="dxa"/>
            <w:noWrap/>
            <w:hideMark/>
          </w:tcPr>
          <w:p w14:paraId="65B3BF2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32</w:t>
            </w:r>
          </w:p>
        </w:tc>
        <w:tc>
          <w:tcPr>
            <w:tcW w:w="4671" w:type="dxa"/>
            <w:noWrap/>
            <w:hideMark/>
          </w:tcPr>
          <w:p w14:paraId="3BB9557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Basic Skills</w:t>
            </w:r>
          </w:p>
        </w:tc>
        <w:tc>
          <w:tcPr>
            <w:tcW w:w="1009" w:type="dxa"/>
            <w:noWrap/>
            <w:hideMark/>
          </w:tcPr>
          <w:p w14:paraId="500FD02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09B23F6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1637A30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35.8%</w:t>
            </w:r>
          </w:p>
        </w:tc>
        <w:tc>
          <w:tcPr>
            <w:tcW w:w="1008" w:type="dxa"/>
            <w:noWrap/>
            <w:hideMark/>
          </w:tcPr>
          <w:p w14:paraId="6F75C4A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23.7%</w:t>
            </w:r>
          </w:p>
        </w:tc>
      </w:tr>
      <w:tr w:rsidR="00BF10A3" w:rsidRPr="001210D2" w14:paraId="17891E6E" w14:textId="77777777" w:rsidTr="001F7400">
        <w:trPr>
          <w:trHeight w:val="217"/>
        </w:trPr>
        <w:tc>
          <w:tcPr>
            <w:tcW w:w="817" w:type="dxa"/>
            <w:noWrap/>
            <w:hideMark/>
          </w:tcPr>
          <w:p w14:paraId="5DB73A4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25</w:t>
            </w:r>
          </w:p>
        </w:tc>
        <w:tc>
          <w:tcPr>
            <w:tcW w:w="4671" w:type="dxa"/>
            <w:noWrap/>
            <w:hideMark/>
          </w:tcPr>
          <w:p w14:paraId="59436E7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Library Studies</w:t>
            </w:r>
          </w:p>
        </w:tc>
        <w:tc>
          <w:tcPr>
            <w:tcW w:w="1009" w:type="dxa"/>
            <w:noWrap/>
            <w:hideMark/>
          </w:tcPr>
          <w:p w14:paraId="0AF0A4D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4CEFAF8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50.3%</w:t>
            </w:r>
          </w:p>
        </w:tc>
        <w:tc>
          <w:tcPr>
            <w:tcW w:w="768" w:type="dxa"/>
            <w:noWrap/>
            <w:hideMark/>
          </w:tcPr>
          <w:p w14:paraId="222CCFF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2C320F7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10.1%</w:t>
            </w:r>
          </w:p>
        </w:tc>
      </w:tr>
      <w:tr w:rsidR="00BF10A3" w:rsidRPr="001210D2" w14:paraId="305DBA25" w14:textId="77777777" w:rsidTr="001F7400">
        <w:trPr>
          <w:trHeight w:val="217"/>
        </w:trPr>
        <w:tc>
          <w:tcPr>
            <w:tcW w:w="817" w:type="dxa"/>
            <w:noWrap/>
            <w:hideMark/>
          </w:tcPr>
          <w:p w14:paraId="02612AA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16</w:t>
            </w:r>
          </w:p>
        </w:tc>
        <w:tc>
          <w:tcPr>
            <w:tcW w:w="4671" w:type="dxa"/>
            <w:noWrap/>
            <w:hideMark/>
          </w:tcPr>
          <w:p w14:paraId="64ADB6C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Foreign Languages and Literature</w:t>
            </w:r>
          </w:p>
        </w:tc>
        <w:tc>
          <w:tcPr>
            <w:tcW w:w="1009" w:type="dxa"/>
            <w:noWrap/>
            <w:hideMark/>
          </w:tcPr>
          <w:p w14:paraId="774920D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2.7%</w:t>
            </w:r>
          </w:p>
        </w:tc>
        <w:tc>
          <w:tcPr>
            <w:tcW w:w="1303" w:type="dxa"/>
            <w:noWrap/>
            <w:hideMark/>
          </w:tcPr>
          <w:p w14:paraId="4B7EE72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5E776CD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269800A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2.6%</w:t>
            </w:r>
          </w:p>
        </w:tc>
      </w:tr>
      <w:tr w:rsidR="00BF10A3" w:rsidRPr="001210D2" w14:paraId="3D91DD71" w14:textId="77777777" w:rsidTr="001F7400">
        <w:trPr>
          <w:trHeight w:val="217"/>
        </w:trPr>
        <w:tc>
          <w:tcPr>
            <w:tcW w:w="817" w:type="dxa"/>
            <w:noWrap/>
            <w:hideMark/>
          </w:tcPr>
          <w:p w14:paraId="16BAEF1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26</w:t>
            </w:r>
          </w:p>
        </w:tc>
        <w:tc>
          <w:tcPr>
            <w:tcW w:w="4671" w:type="dxa"/>
            <w:noWrap/>
            <w:hideMark/>
          </w:tcPr>
          <w:p w14:paraId="1C7404E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Biological and Biomedical Sciences</w:t>
            </w:r>
          </w:p>
        </w:tc>
        <w:tc>
          <w:tcPr>
            <w:tcW w:w="1009" w:type="dxa"/>
            <w:noWrap/>
            <w:hideMark/>
          </w:tcPr>
          <w:p w14:paraId="29EDC65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21DE29E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62FA754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7.9%</w:t>
            </w:r>
          </w:p>
        </w:tc>
        <w:tc>
          <w:tcPr>
            <w:tcW w:w="1008" w:type="dxa"/>
            <w:noWrap/>
            <w:hideMark/>
          </w:tcPr>
          <w:p w14:paraId="3D7145D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4.2%</w:t>
            </w:r>
          </w:p>
        </w:tc>
      </w:tr>
      <w:tr w:rsidR="00BF10A3" w:rsidRPr="001210D2" w14:paraId="3708FEDD" w14:textId="77777777" w:rsidTr="001F7400">
        <w:trPr>
          <w:trHeight w:val="217"/>
        </w:trPr>
        <w:tc>
          <w:tcPr>
            <w:tcW w:w="817" w:type="dxa"/>
            <w:noWrap/>
            <w:hideMark/>
          </w:tcPr>
          <w:p w14:paraId="1FE90DB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40</w:t>
            </w:r>
          </w:p>
        </w:tc>
        <w:tc>
          <w:tcPr>
            <w:tcW w:w="4671" w:type="dxa"/>
            <w:noWrap/>
            <w:hideMark/>
          </w:tcPr>
          <w:p w14:paraId="4ABF30B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Physical Sciences</w:t>
            </w:r>
          </w:p>
        </w:tc>
        <w:tc>
          <w:tcPr>
            <w:tcW w:w="1009" w:type="dxa"/>
            <w:noWrap/>
            <w:hideMark/>
          </w:tcPr>
          <w:p w14:paraId="23BDC30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26.9%</w:t>
            </w:r>
          </w:p>
        </w:tc>
        <w:tc>
          <w:tcPr>
            <w:tcW w:w="1303" w:type="dxa"/>
            <w:noWrap/>
            <w:hideMark/>
          </w:tcPr>
          <w:p w14:paraId="41EF29B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0F1F892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47DE525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17.8%</w:t>
            </w:r>
          </w:p>
        </w:tc>
      </w:tr>
      <w:tr w:rsidR="00BF10A3" w:rsidRPr="001210D2" w14:paraId="2F368E4C" w14:textId="77777777" w:rsidTr="001F7400">
        <w:trPr>
          <w:trHeight w:val="217"/>
        </w:trPr>
        <w:tc>
          <w:tcPr>
            <w:tcW w:w="817" w:type="dxa"/>
            <w:noWrap/>
            <w:hideMark/>
          </w:tcPr>
          <w:p w14:paraId="6F262D6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38</w:t>
            </w:r>
          </w:p>
        </w:tc>
        <w:tc>
          <w:tcPr>
            <w:tcW w:w="4671" w:type="dxa"/>
            <w:noWrap/>
            <w:hideMark/>
          </w:tcPr>
          <w:p w14:paraId="26A9202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Philosophy and Religious Studies</w:t>
            </w:r>
          </w:p>
        </w:tc>
        <w:tc>
          <w:tcPr>
            <w:tcW w:w="1009" w:type="dxa"/>
            <w:noWrap/>
            <w:hideMark/>
          </w:tcPr>
          <w:p w14:paraId="4142B67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375E74E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DB6B56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255B00B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74C944FD" w14:textId="77777777" w:rsidTr="001F7400">
        <w:trPr>
          <w:trHeight w:val="217"/>
        </w:trPr>
        <w:tc>
          <w:tcPr>
            <w:tcW w:w="817" w:type="dxa"/>
            <w:noWrap/>
            <w:hideMark/>
          </w:tcPr>
          <w:p w14:paraId="5AFDC71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36</w:t>
            </w:r>
          </w:p>
        </w:tc>
        <w:tc>
          <w:tcPr>
            <w:tcW w:w="4671" w:type="dxa"/>
            <w:noWrap/>
            <w:hideMark/>
          </w:tcPr>
          <w:p w14:paraId="54CB69C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Leisure and Recreational Activities</w:t>
            </w:r>
          </w:p>
        </w:tc>
        <w:tc>
          <w:tcPr>
            <w:tcW w:w="1009" w:type="dxa"/>
            <w:noWrap/>
            <w:hideMark/>
          </w:tcPr>
          <w:p w14:paraId="1AA6393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75ED836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33D664B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42E20AE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556395BF" w14:textId="77777777" w:rsidTr="001F7400">
        <w:trPr>
          <w:trHeight w:val="217"/>
        </w:trPr>
        <w:tc>
          <w:tcPr>
            <w:tcW w:w="817" w:type="dxa"/>
            <w:noWrap/>
            <w:hideMark/>
          </w:tcPr>
          <w:p w14:paraId="68688E8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w:t>
            </w:r>
          </w:p>
        </w:tc>
        <w:tc>
          <w:tcPr>
            <w:tcW w:w="4671" w:type="dxa"/>
            <w:noWrap/>
            <w:hideMark/>
          </w:tcPr>
          <w:p w14:paraId="0E30AB2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Area, Cultural, Ethnic, and Gender Studies</w:t>
            </w:r>
          </w:p>
        </w:tc>
        <w:tc>
          <w:tcPr>
            <w:tcW w:w="1009" w:type="dxa"/>
            <w:noWrap/>
            <w:hideMark/>
          </w:tcPr>
          <w:p w14:paraId="7C23F14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09EB39E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201862E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6296FC8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21C896A6" w14:textId="77777777" w:rsidTr="001F7400">
        <w:trPr>
          <w:trHeight w:val="217"/>
        </w:trPr>
        <w:tc>
          <w:tcPr>
            <w:tcW w:w="817" w:type="dxa"/>
            <w:noWrap/>
            <w:hideMark/>
          </w:tcPr>
          <w:p w14:paraId="6874A92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28</w:t>
            </w:r>
          </w:p>
        </w:tc>
        <w:tc>
          <w:tcPr>
            <w:tcW w:w="4671" w:type="dxa"/>
            <w:noWrap/>
            <w:hideMark/>
          </w:tcPr>
          <w:p w14:paraId="5E897B0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Reserve Officer Training Corps</w:t>
            </w:r>
          </w:p>
        </w:tc>
        <w:tc>
          <w:tcPr>
            <w:tcW w:w="1009" w:type="dxa"/>
            <w:noWrap/>
            <w:hideMark/>
          </w:tcPr>
          <w:p w14:paraId="5B40C6A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5F11E71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4CDAF87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077B571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08A83A77" w14:textId="77777777" w:rsidTr="001F7400">
        <w:trPr>
          <w:trHeight w:val="217"/>
        </w:trPr>
        <w:tc>
          <w:tcPr>
            <w:tcW w:w="817" w:type="dxa"/>
            <w:noWrap/>
            <w:hideMark/>
          </w:tcPr>
          <w:p w14:paraId="274825D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27</w:t>
            </w:r>
          </w:p>
        </w:tc>
        <w:tc>
          <w:tcPr>
            <w:tcW w:w="4671" w:type="dxa"/>
            <w:noWrap/>
            <w:hideMark/>
          </w:tcPr>
          <w:p w14:paraId="15E154A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Mathematics and Statistics</w:t>
            </w:r>
          </w:p>
        </w:tc>
        <w:tc>
          <w:tcPr>
            <w:tcW w:w="1009" w:type="dxa"/>
            <w:noWrap/>
            <w:hideMark/>
          </w:tcPr>
          <w:p w14:paraId="007A059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435CAD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7EB3C1D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5121618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72FF5441" w14:textId="77777777" w:rsidTr="001F7400">
        <w:trPr>
          <w:trHeight w:val="217"/>
        </w:trPr>
        <w:tc>
          <w:tcPr>
            <w:tcW w:w="817" w:type="dxa"/>
            <w:noWrap/>
            <w:hideMark/>
          </w:tcPr>
          <w:p w14:paraId="38D78B59"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29</w:t>
            </w:r>
          </w:p>
        </w:tc>
        <w:tc>
          <w:tcPr>
            <w:tcW w:w="4671" w:type="dxa"/>
            <w:noWrap/>
            <w:hideMark/>
          </w:tcPr>
          <w:p w14:paraId="40099DF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Military Technologies</w:t>
            </w:r>
          </w:p>
        </w:tc>
        <w:tc>
          <w:tcPr>
            <w:tcW w:w="1009" w:type="dxa"/>
            <w:noWrap/>
            <w:hideMark/>
          </w:tcPr>
          <w:p w14:paraId="4BFCDA6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3E536F9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21EBF8D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74B586BF"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6D2C84DA" w14:textId="77777777" w:rsidTr="001F7400">
        <w:trPr>
          <w:trHeight w:val="217"/>
        </w:trPr>
        <w:tc>
          <w:tcPr>
            <w:tcW w:w="817" w:type="dxa"/>
            <w:noWrap/>
            <w:hideMark/>
          </w:tcPr>
          <w:p w14:paraId="48504004"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60</w:t>
            </w:r>
          </w:p>
        </w:tc>
        <w:tc>
          <w:tcPr>
            <w:tcW w:w="4671" w:type="dxa"/>
            <w:noWrap/>
            <w:hideMark/>
          </w:tcPr>
          <w:p w14:paraId="49B4C3C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Residency Programs</w:t>
            </w:r>
          </w:p>
        </w:tc>
        <w:tc>
          <w:tcPr>
            <w:tcW w:w="1009" w:type="dxa"/>
            <w:noWrap/>
            <w:hideMark/>
          </w:tcPr>
          <w:p w14:paraId="36C7797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1D8BB1B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132D40A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4A16F11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773E363E" w14:textId="77777777" w:rsidTr="001F7400">
        <w:trPr>
          <w:trHeight w:val="217"/>
        </w:trPr>
        <w:tc>
          <w:tcPr>
            <w:tcW w:w="817" w:type="dxa"/>
            <w:noWrap/>
            <w:hideMark/>
          </w:tcPr>
          <w:p w14:paraId="5FF19C8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33</w:t>
            </w:r>
          </w:p>
        </w:tc>
        <w:tc>
          <w:tcPr>
            <w:tcW w:w="4671" w:type="dxa"/>
            <w:noWrap/>
            <w:hideMark/>
          </w:tcPr>
          <w:p w14:paraId="530FA2B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Citizenship Activities</w:t>
            </w:r>
          </w:p>
        </w:tc>
        <w:tc>
          <w:tcPr>
            <w:tcW w:w="1009" w:type="dxa"/>
            <w:noWrap/>
            <w:hideMark/>
          </w:tcPr>
          <w:p w14:paraId="19E229FD"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14718AC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62E5D326"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25E2575C"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1C9AF20A" w14:textId="77777777" w:rsidTr="001F7400">
        <w:trPr>
          <w:trHeight w:val="217"/>
        </w:trPr>
        <w:tc>
          <w:tcPr>
            <w:tcW w:w="817" w:type="dxa"/>
            <w:noWrap/>
            <w:hideMark/>
          </w:tcPr>
          <w:p w14:paraId="28B3CFDA"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37</w:t>
            </w:r>
          </w:p>
        </w:tc>
        <w:tc>
          <w:tcPr>
            <w:tcW w:w="4671" w:type="dxa"/>
            <w:noWrap/>
            <w:hideMark/>
          </w:tcPr>
          <w:p w14:paraId="1539A44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Personal Awareness and Self-Improvement</w:t>
            </w:r>
          </w:p>
        </w:tc>
        <w:tc>
          <w:tcPr>
            <w:tcW w:w="1009" w:type="dxa"/>
            <w:noWrap/>
            <w:hideMark/>
          </w:tcPr>
          <w:p w14:paraId="5F5F251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601E7DCE"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0CCD2640"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354113A2"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r w:rsidR="00BF10A3" w:rsidRPr="001210D2" w14:paraId="7067F13D" w14:textId="77777777" w:rsidTr="001F7400">
        <w:trPr>
          <w:trHeight w:val="217"/>
        </w:trPr>
        <w:tc>
          <w:tcPr>
            <w:tcW w:w="817" w:type="dxa"/>
            <w:noWrap/>
            <w:hideMark/>
          </w:tcPr>
          <w:p w14:paraId="7F442858"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53</w:t>
            </w:r>
          </w:p>
        </w:tc>
        <w:tc>
          <w:tcPr>
            <w:tcW w:w="4671" w:type="dxa"/>
            <w:noWrap/>
            <w:hideMark/>
          </w:tcPr>
          <w:p w14:paraId="74CCB971"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High School/Secondary Diplomas and Certificates</w:t>
            </w:r>
          </w:p>
        </w:tc>
        <w:tc>
          <w:tcPr>
            <w:tcW w:w="1009" w:type="dxa"/>
            <w:noWrap/>
            <w:hideMark/>
          </w:tcPr>
          <w:p w14:paraId="6CF31F75"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303" w:type="dxa"/>
            <w:noWrap/>
            <w:hideMark/>
          </w:tcPr>
          <w:p w14:paraId="460AABA3"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768" w:type="dxa"/>
            <w:noWrap/>
            <w:hideMark/>
          </w:tcPr>
          <w:p w14:paraId="226767DB"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c>
          <w:tcPr>
            <w:tcW w:w="1008" w:type="dxa"/>
            <w:noWrap/>
            <w:hideMark/>
          </w:tcPr>
          <w:p w14:paraId="7407F5A7" w14:textId="77777777" w:rsidR="00BF10A3" w:rsidRPr="001210D2" w:rsidRDefault="00BF10A3" w:rsidP="001F7400">
            <w:pPr>
              <w:pStyle w:val="NoSpacing"/>
              <w:rPr>
                <w:rFonts w:ascii="Courier New" w:hAnsi="Courier New" w:cs="Courier New"/>
              </w:rPr>
            </w:pPr>
            <w:r w:rsidRPr="001210D2">
              <w:rPr>
                <w:rFonts w:ascii="Courier New" w:hAnsi="Courier New" w:cs="Courier New"/>
              </w:rPr>
              <w:t>0.0%</w:t>
            </w:r>
          </w:p>
        </w:tc>
      </w:tr>
    </w:tbl>
    <w:p w14:paraId="5E9EAED0" w14:textId="77777777" w:rsidR="00BF10A3" w:rsidRPr="001210D2" w:rsidRDefault="00BF10A3" w:rsidP="00BF10A3">
      <w:pPr>
        <w:spacing w:after="0" w:line="240" w:lineRule="auto"/>
        <w:rPr>
          <w:rFonts w:ascii="Courier New" w:hAnsi="Courier New" w:cs="Courier New"/>
          <w:sz w:val="20"/>
          <w:szCs w:val="20"/>
        </w:rPr>
      </w:pPr>
    </w:p>
    <w:p w14:paraId="08A552EF"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 xml:space="preserve">Table 2.20 illustrates the percentage of FY 2010 enrollees in the 2012 </w:t>
      </w:r>
      <w:r>
        <w:rPr>
          <w:rFonts w:ascii="Courier New" w:hAnsi="Courier New" w:cs="Courier New"/>
          <w:sz w:val="24"/>
          <w:szCs w:val="24"/>
        </w:rPr>
        <w:t xml:space="preserve">GE </w:t>
      </w:r>
      <w:r w:rsidRPr="00AA6DFD">
        <w:rPr>
          <w:rFonts w:ascii="Courier New" w:hAnsi="Courier New" w:cs="Courier New"/>
          <w:sz w:val="24"/>
          <w:szCs w:val="24"/>
        </w:rPr>
        <w:t xml:space="preserve">informational D/E rates sample out of the universe of all FY 2010 GE reported enrollment for each two-digit CIP code ordered by </w:t>
      </w:r>
      <w:r w:rsidRPr="00B53B21">
        <w:rPr>
          <w:rFonts w:ascii="Courier New" w:hAnsi="Courier New"/>
          <w:sz w:val="24"/>
        </w:rPr>
        <w:t>the frequency of enrollees in the universe of GE programs.  The first row shows that 29.4 percent of enrollees in public health professions and related science programs (out of all enrollees in public health professionals and related sciences programs) are in the sample.  Also in the sample are 69.5 percent of enrollees in private health professional and related science programs (out of all enrollees in private health professionals and related sciences programs); 76.3 percent of enrollees in for-profit health professional and related sciences programs (out of enrollees in all for-profit health professionals and related sciences programs); and 65.4 percent of enrollees in health professionals and related sciences programs in all sectors (out of all enrollees in health professionals and related sciences programs in all sectors).</w:t>
      </w:r>
    </w:p>
    <w:p w14:paraId="496B477B" w14:textId="77777777" w:rsidR="00BF10A3" w:rsidRDefault="00BF10A3" w:rsidP="00BF10A3">
      <w:pPr>
        <w:rPr>
          <w:rFonts w:ascii="Courier New" w:hAnsi="Courier New" w:cs="Courier New"/>
          <w:b/>
          <w:sz w:val="24"/>
          <w:szCs w:val="24"/>
        </w:rPr>
      </w:pPr>
      <w:r>
        <w:rPr>
          <w:rFonts w:ascii="Courier New" w:hAnsi="Courier New" w:cs="Courier New"/>
          <w:b/>
          <w:sz w:val="24"/>
          <w:szCs w:val="24"/>
        </w:rPr>
        <w:br w:type="page"/>
      </w:r>
    </w:p>
    <w:p w14:paraId="33A21D6A" w14:textId="77777777" w:rsidR="00BF10A3" w:rsidRDefault="00BF10A3" w:rsidP="00BF10A3">
      <w:pPr>
        <w:spacing w:after="0" w:line="480" w:lineRule="auto"/>
        <w:rPr>
          <w:rFonts w:ascii="Courier New" w:hAnsi="Courier New" w:cs="Courier New"/>
          <w:b/>
          <w:sz w:val="24"/>
          <w:szCs w:val="24"/>
        </w:rPr>
        <w:sectPr w:rsidR="00BF10A3" w:rsidSect="007F58F4">
          <w:pgSz w:w="12240" w:h="15840"/>
          <w:pgMar w:top="1440" w:right="1440" w:bottom="1440" w:left="1440" w:header="720" w:footer="720" w:gutter="0"/>
          <w:cols w:space="720"/>
          <w:docGrid w:linePitch="360"/>
        </w:sectPr>
      </w:pPr>
    </w:p>
    <w:p w14:paraId="6D4F3C47"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b/>
          <w:sz w:val="24"/>
          <w:szCs w:val="24"/>
        </w:rPr>
        <w:t xml:space="preserve">Table 2.21: 2012 GE Informational D/E Rates Program Results </w:t>
      </w:r>
    </w:p>
    <w:tbl>
      <w:tblPr>
        <w:tblW w:w="13617" w:type="dxa"/>
        <w:tblInd w:w="93" w:type="dxa"/>
        <w:tblLook w:val="04A0" w:firstRow="1" w:lastRow="0" w:firstColumn="1" w:lastColumn="0" w:noHBand="0" w:noVBand="1"/>
      </w:tblPr>
      <w:tblGrid>
        <w:gridCol w:w="915"/>
        <w:gridCol w:w="1260"/>
        <w:gridCol w:w="2430"/>
        <w:gridCol w:w="990"/>
        <w:gridCol w:w="990"/>
        <w:gridCol w:w="990"/>
        <w:gridCol w:w="990"/>
        <w:gridCol w:w="1181"/>
        <w:gridCol w:w="1181"/>
        <w:gridCol w:w="1181"/>
        <w:gridCol w:w="1521"/>
      </w:tblGrid>
      <w:tr w:rsidR="00BF10A3" w:rsidRPr="009B3B4D" w14:paraId="06E3B48F" w14:textId="77777777" w:rsidTr="001F7400">
        <w:trPr>
          <w:trHeight w:val="168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868A8"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Sector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63A810"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IHE Type</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2C3315AD"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Credential Level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D3599A"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Programs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D2134EC"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Passing Programs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DF8229F"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Zone Programs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354DBEC"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Failing Programs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69859C03"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Enrollment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5BF1089"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Enrollment in Passing Programs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DEA2266"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Enrollment in Zone Programs</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A367999"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Enrollment in Failing Programs</w:t>
            </w:r>
          </w:p>
        </w:tc>
      </w:tr>
      <w:tr w:rsidR="00BF10A3" w:rsidRPr="009B3B4D" w14:paraId="5BF6957D" w14:textId="77777777" w:rsidTr="001F7400">
        <w:trPr>
          <w:trHeight w:val="300"/>
        </w:trPr>
        <w:tc>
          <w:tcPr>
            <w:tcW w:w="46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927A7C" w14:textId="77777777" w:rsidR="00BF10A3" w:rsidRPr="00137456" w:rsidRDefault="00BF10A3" w:rsidP="001F7400">
            <w:pPr>
              <w:spacing w:after="0" w:line="240" w:lineRule="auto"/>
              <w:jc w:val="center"/>
              <w:rPr>
                <w:rFonts w:ascii="Courier" w:eastAsia="Times New Roman" w:hAnsi="Courier" w:cs="Calibri"/>
                <w:b/>
                <w:bCs/>
                <w:color w:val="000000"/>
                <w:sz w:val="16"/>
                <w:szCs w:val="16"/>
              </w:rPr>
            </w:pPr>
            <w:r w:rsidRPr="00137456">
              <w:rPr>
                <w:rFonts w:ascii="Courier" w:eastAsia="Times New Roman" w:hAnsi="Courier" w:cs="Calibri"/>
                <w:b/>
                <w:bCs/>
                <w:color w:val="000000"/>
                <w:sz w:val="16"/>
                <w:szCs w:val="16"/>
              </w:rPr>
              <w:t>Overall Total</w:t>
            </w:r>
          </w:p>
        </w:tc>
        <w:tc>
          <w:tcPr>
            <w:tcW w:w="990" w:type="dxa"/>
            <w:tcBorders>
              <w:top w:val="nil"/>
              <w:left w:val="nil"/>
              <w:bottom w:val="single" w:sz="4" w:space="0" w:color="auto"/>
              <w:right w:val="single" w:sz="4" w:space="0" w:color="auto"/>
            </w:tcBorders>
            <w:shd w:val="clear" w:color="auto" w:fill="auto"/>
            <w:vAlign w:val="center"/>
            <w:hideMark/>
          </w:tcPr>
          <w:p w14:paraId="5671CB26" w14:textId="77777777" w:rsidR="00BF10A3" w:rsidRPr="00137456" w:rsidRDefault="00BF10A3" w:rsidP="001F7400">
            <w:pPr>
              <w:spacing w:after="0" w:line="240" w:lineRule="auto"/>
              <w:jc w:val="center"/>
              <w:rPr>
                <w:rFonts w:ascii="Courier" w:eastAsia="Times New Roman" w:hAnsi="Courier" w:cs="Calibri"/>
                <w:b/>
                <w:bCs/>
                <w:color w:val="000000"/>
                <w:sz w:val="16"/>
                <w:szCs w:val="16"/>
              </w:rPr>
            </w:pPr>
            <w:r w:rsidRPr="00137456">
              <w:rPr>
                <w:rFonts w:ascii="Courier" w:eastAsia="Times New Roman" w:hAnsi="Courier" w:cs="Calibri"/>
                <w:b/>
                <w:bCs/>
                <w:color w:val="000000"/>
                <w:sz w:val="16"/>
                <w:szCs w:val="16"/>
              </w:rPr>
              <w:t>5,539</w:t>
            </w:r>
          </w:p>
        </w:tc>
        <w:tc>
          <w:tcPr>
            <w:tcW w:w="990" w:type="dxa"/>
            <w:tcBorders>
              <w:top w:val="nil"/>
              <w:left w:val="nil"/>
              <w:bottom w:val="single" w:sz="4" w:space="0" w:color="auto"/>
              <w:right w:val="single" w:sz="4" w:space="0" w:color="auto"/>
            </w:tcBorders>
            <w:shd w:val="clear" w:color="auto" w:fill="auto"/>
            <w:vAlign w:val="center"/>
            <w:hideMark/>
          </w:tcPr>
          <w:p w14:paraId="668B646B" w14:textId="77777777" w:rsidR="00BF10A3" w:rsidRPr="00137456" w:rsidRDefault="00BF10A3" w:rsidP="001F7400">
            <w:pPr>
              <w:spacing w:after="0" w:line="240" w:lineRule="auto"/>
              <w:jc w:val="center"/>
              <w:rPr>
                <w:rFonts w:ascii="Courier" w:eastAsia="Times New Roman" w:hAnsi="Courier" w:cs="Calibri"/>
                <w:b/>
                <w:bCs/>
                <w:color w:val="000000"/>
                <w:sz w:val="16"/>
                <w:szCs w:val="16"/>
              </w:rPr>
            </w:pPr>
            <w:r w:rsidRPr="00137456">
              <w:rPr>
                <w:rFonts w:ascii="Courier" w:eastAsia="Times New Roman" w:hAnsi="Courier" w:cs="Calibri"/>
                <w:b/>
                <w:bCs/>
                <w:color w:val="000000"/>
                <w:sz w:val="16"/>
                <w:szCs w:val="16"/>
              </w:rPr>
              <w:t>4,094</w:t>
            </w:r>
          </w:p>
        </w:tc>
        <w:tc>
          <w:tcPr>
            <w:tcW w:w="990" w:type="dxa"/>
            <w:tcBorders>
              <w:top w:val="nil"/>
              <w:left w:val="nil"/>
              <w:bottom w:val="single" w:sz="4" w:space="0" w:color="auto"/>
              <w:right w:val="single" w:sz="4" w:space="0" w:color="auto"/>
            </w:tcBorders>
            <w:shd w:val="clear" w:color="auto" w:fill="auto"/>
            <w:vAlign w:val="center"/>
            <w:hideMark/>
          </w:tcPr>
          <w:p w14:paraId="0C984121" w14:textId="77777777" w:rsidR="00BF10A3" w:rsidRPr="00137456" w:rsidRDefault="00BF10A3" w:rsidP="001F7400">
            <w:pPr>
              <w:spacing w:after="0" w:line="240" w:lineRule="auto"/>
              <w:jc w:val="center"/>
              <w:rPr>
                <w:rFonts w:ascii="Courier" w:eastAsia="Times New Roman" w:hAnsi="Courier" w:cs="Calibri"/>
                <w:b/>
                <w:bCs/>
                <w:color w:val="000000"/>
                <w:sz w:val="16"/>
                <w:szCs w:val="16"/>
              </w:rPr>
            </w:pPr>
            <w:r w:rsidRPr="00137456">
              <w:rPr>
                <w:rFonts w:ascii="Courier" w:eastAsia="Times New Roman" w:hAnsi="Courier" w:cs="Calibri"/>
                <w:b/>
                <w:bCs/>
                <w:color w:val="000000"/>
                <w:sz w:val="16"/>
                <w:szCs w:val="16"/>
              </w:rPr>
              <w:t>928</w:t>
            </w:r>
          </w:p>
        </w:tc>
        <w:tc>
          <w:tcPr>
            <w:tcW w:w="990" w:type="dxa"/>
            <w:tcBorders>
              <w:top w:val="nil"/>
              <w:left w:val="nil"/>
              <w:bottom w:val="single" w:sz="4" w:space="0" w:color="auto"/>
              <w:right w:val="single" w:sz="4" w:space="0" w:color="auto"/>
            </w:tcBorders>
            <w:shd w:val="clear" w:color="auto" w:fill="auto"/>
            <w:vAlign w:val="center"/>
            <w:hideMark/>
          </w:tcPr>
          <w:p w14:paraId="480743D0" w14:textId="77777777" w:rsidR="00BF10A3" w:rsidRPr="00137456" w:rsidRDefault="00BF10A3" w:rsidP="001F7400">
            <w:pPr>
              <w:spacing w:after="0" w:line="240" w:lineRule="auto"/>
              <w:jc w:val="center"/>
              <w:rPr>
                <w:rFonts w:ascii="Courier" w:eastAsia="Times New Roman" w:hAnsi="Courier" w:cs="Calibri"/>
                <w:b/>
                <w:bCs/>
                <w:color w:val="000000"/>
                <w:sz w:val="16"/>
                <w:szCs w:val="16"/>
              </w:rPr>
            </w:pPr>
            <w:r w:rsidRPr="00137456">
              <w:rPr>
                <w:rFonts w:ascii="Courier" w:eastAsia="Times New Roman" w:hAnsi="Courier" w:cs="Calibri"/>
                <w:b/>
                <w:bCs/>
                <w:color w:val="000000"/>
                <w:sz w:val="16"/>
                <w:szCs w:val="16"/>
              </w:rPr>
              <w:t>517</w:t>
            </w:r>
          </w:p>
        </w:tc>
        <w:tc>
          <w:tcPr>
            <w:tcW w:w="1177" w:type="dxa"/>
            <w:tcBorders>
              <w:top w:val="nil"/>
              <w:left w:val="nil"/>
              <w:bottom w:val="single" w:sz="4" w:space="0" w:color="auto"/>
              <w:right w:val="single" w:sz="4" w:space="0" w:color="auto"/>
            </w:tcBorders>
            <w:shd w:val="clear" w:color="auto" w:fill="auto"/>
            <w:vAlign w:val="center"/>
            <w:hideMark/>
          </w:tcPr>
          <w:p w14:paraId="59C15E93" w14:textId="77777777" w:rsidR="00BF10A3" w:rsidRPr="00137456" w:rsidRDefault="00BF10A3" w:rsidP="001F7400">
            <w:pPr>
              <w:spacing w:after="0" w:line="240" w:lineRule="auto"/>
              <w:jc w:val="center"/>
              <w:rPr>
                <w:rFonts w:ascii="Courier" w:eastAsia="Times New Roman" w:hAnsi="Courier" w:cs="Calibri"/>
                <w:b/>
                <w:bCs/>
                <w:color w:val="000000"/>
                <w:sz w:val="12"/>
                <w:szCs w:val="12"/>
              </w:rPr>
            </w:pPr>
            <w:r w:rsidRPr="00137456">
              <w:rPr>
                <w:rFonts w:ascii="Courier" w:hAnsi="Courier" w:cs="Calibri"/>
                <w:b/>
                <w:bCs/>
                <w:color w:val="000000"/>
                <w:sz w:val="12"/>
                <w:szCs w:val="12"/>
              </w:rPr>
              <w:t>2,521,283</w:t>
            </w:r>
          </w:p>
        </w:tc>
        <w:tc>
          <w:tcPr>
            <w:tcW w:w="1177" w:type="dxa"/>
            <w:tcBorders>
              <w:top w:val="nil"/>
              <w:left w:val="nil"/>
              <w:bottom w:val="single" w:sz="4" w:space="0" w:color="auto"/>
              <w:right w:val="single" w:sz="4" w:space="0" w:color="auto"/>
            </w:tcBorders>
            <w:shd w:val="clear" w:color="auto" w:fill="auto"/>
            <w:vAlign w:val="center"/>
            <w:hideMark/>
          </w:tcPr>
          <w:p w14:paraId="6A560956" w14:textId="77777777" w:rsidR="00BF10A3" w:rsidRPr="00137456" w:rsidRDefault="00BF10A3" w:rsidP="001F7400">
            <w:pPr>
              <w:spacing w:after="0" w:line="240" w:lineRule="auto"/>
              <w:jc w:val="center"/>
              <w:rPr>
                <w:rFonts w:ascii="Courier" w:eastAsia="Times New Roman" w:hAnsi="Courier" w:cs="Calibri"/>
                <w:b/>
                <w:bCs/>
                <w:color w:val="000000"/>
                <w:sz w:val="12"/>
                <w:szCs w:val="12"/>
              </w:rPr>
            </w:pPr>
            <w:r w:rsidRPr="00137456">
              <w:rPr>
                <w:rFonts w:ascii="Courier" w:hAnsi="Courier" w:cs="Calibri"/>
                <w:b/>
                <w:bCs/>
                <w:color w:val="000000"/>
                <w:sz w:val="12"/>
                <w:szCs w:val="12"/>
              </w:rPr>
              <w:t>1,679,616</w:t>
            </w:r>
          </w:p>
        </w:tc>
        <w:tc>
          <w:tcPr>
            <w:tcW w:w="1177" w:type="dxa"/>
            <w:tcBorders>
              <w:top w:val="nil"/>
              <w:left w:val="nil"/>
              <w:bottom w:val="single" w:sz="4" w:space="0" w:color="auto"/>
              <w:right w:val="single" w:sz="4" w:space="0" w:color="auto"/>
            </w:tcBorders>
            <w:shd w:val="clear" w:color="auto" w:fill="auto"/>
            <w:vAlign w:val="center"/>
            <w:hideMark/>
          </w:tcPr>
          <w:p w14:paraId="01B12394" w14:textId="77777777" w:rsidR="00BF10A3" w:rsidRPr="00137456" w:rsidRDefault="00BF10A3" w:rsidP="001F7400">
            <w:pPr>
              <w:spacing w:after="0" w:line="240" w:lineRule="auto"/>
              <w:jc w:val="center"/>
              <w:rPr>
                <w:rFonts w:ascii="Courier" w:eastAsia="Times New Roman" w:hAnsi="Courier" w:cs="Calibri"/>
                <w:b/>
                <w:bCs/>
                <w:color w:val="000000"/>
                <w:sz w:val="12"/>
                <w:szCs w:val="12"/>
              </w:rPr>
            </w:pPr>
            <w:r w:rsidRPr="00137456">
              <w:rPr>
                <w:rFonts w:ascii="Courier" w:hAnsi="Courier" w:cs="Calibri"/>
                <w:b/>
                <w:bCs/>
                <w:color w:val="000000"/>
                <w:sz w:val="12"/>
                <w:szCs w:val="12"/>
              </w:rPr>
              <w:t>453,904</w:t>
            </w:r>
          </w:p>
        </w:tc>
        <w:tc>
          <w:tcPr>
            <w:tcW w:w="1521" w:type="dxa"/>
            <w:tcBorders>
              <w:top w:val="nil"/>
              <w:left w:val="nil"/>
              <w:bottom w:val="single" w:sz="4" w:space="0" w:color="auto"/>
              <w:right w:val="single" w:sz="4" w:space="0" w:color="auto"/>
            </w:tcBorders>
            <w:shd w:val="clear" w:color="auto" w:fill="auto"/>
            <w:vAlign w:val="center"/>
            <w:hideMark/>
          </w:tcPr>
          <w:p w14:paraId="03AE977F" w14:textId="77777777" w:rsidR="00BF10A3" w:rsidRPr="00137456" w:rsidRDefault="00BF10A3" w:rsidP="001F7400">
            <w:pPr>
              <w:spacing w:after="0" w:line="240" w:lineRule="auto"/>
              <w:jc w:val="center"/>
              <w:rPr>
                <w:rFonts w:ascii="Courier" w:eastAsia="Times New Roman" w:hAnsi="Courier" w:cs="Calibri"/>
                <w:b/>
                <w:bCs/>
                <w:color w:val="000000"/>
                <w:sz w:val="12"/>
                <w:szCs w:val="12"/>
              </w:rPr>
            </w:pPr>
            <w:r w:rsidRPr="00137456">
              <w:rPr>
                <w:rFonts w:ascii="Courier" w:hAnsi="Courier" w:cs="Calibri"/>
                <w:b/>
                <w:bCs/>
                <w:color w:val="000000"/>
                <w:sz w:val="12"/>
                <w:szCs w:val="12"/>
              </w:rPr>
              <w:t>387,763</w:t>
            </w:r>
          </w:p>
        </w:tc>
      </w:tr>
      <w:tr w:rsidR="00BF10A3" w:rsidRPr="009B3B4D" w14:paraId="73BEA628" w14:textId="77777777" w:rsidTr="001F7400">
        <w:trPr>
          <w:trHeight w:val="300"/>
        </w:trPr>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D1CFA6"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Public</w:t>
            </w:r>
          </w:p>
        </w:tc>
        <w:tc>
          <w:tcPr>
            <w:tcW w:w="36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7CD14"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Total</w:t>
            </w:r>
          </w:p>
        </w:tc>
        <w:tc>
          <w:tcPr>
            <w:tcW w:w="990" w:type="dxa"/>
            <w:tcBorders>
              <w:top w:val="nil"/>
              <w:left w:val="nil"/>
              <w:bottom w:val="single" w:sz="4" w:space="0" w:color="auto"/>
              <w:right w:val="single" w:sz="4" w:space="0" w:color="auto"/>
            </w:tcBorders>
            <w:shd w:val="clear" w:color="auto" w:fill="auto"/>
            <w:noWrap/>
            <w:vAlign w:val="bottom"/>
            <w:hideMark/>
          </w:tcPr>
          <w:p w14:paraId="4D232D7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1,093</w:t>
            </w:r>
          </w:p>
        </w:tc>
        <w:tc>
          <w:tcPr>
            <w:tcW w:w="990" w:type="dxa"/>
            <w:tcBorders>
              <w:top w:val="nil"/>
              <w:left w:val="nil"/>
              <w:bottom w:val="single" w:sz="4" w:space="0" w:color="auto"/>
              <w:right w:val="single" w:sz="4" w:space="0" w:color="auto"/>
            </w:tcBorders>
            <w:shd w:val="clear" w:color="auto" w:fill="auto"/>
            <w:noWrap/>
            <w:vAlign w:val="bottom"/>
            <w:hideMark/>
          </w:tcPr>
          <w:p w14:paraId="599406B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1,090</w:t>
            </w:r>
          </w:p>
        </w:tc>
        <w:tc>
          <w:tcPr>
            <w:tcW w:w="990" w:type="dxa"/>
            <w:tcBorders>
              <w:top w:val="nil"/>
              <w:left w:val="nil"/>
              <w:bottom w:val="single" w:sz="4" w:space="0" w:color="auto"/>
              <w:right w:val="single" w:sz="4" w:space="0" w:color="auto"/>
            </w:tcBorders>
            <w:shd w:val="clear" w:color="auto" w:fill="auto"/>
            <w:noWrap/>
            <w:vAlign w:val="bottom"/>
            <w:hideMark/>
          </w:tcPr>
          <w:p w14:paraId="1ED2AE8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137EBAF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1177" w:type="dxa"/>
            <w:tcBorders>
              <w:top w:val="nil"/>
              <w:left w:val="nil"/>
              <w:bottom w:val="single" w:sz="4" w:space="0" w:color="auto"/>
              <w:right w:val="single" w:sz="4" w:space="0" w:color="auto"/>
            </w:tcBorders>
            <w:shd w:val="clear" w:color="auto" w:fill="auto"/>
            <w:noWrap/>
            <w:vAlign w:val="bottom"/>
            <w:hideMark/>
          </w:tcPr>
          <w:p w14:paraId="7FD7D04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142,400</w:t>
            </w:r>
          </w:p>
        </w:tc>
        <w:tc>
          <w:tcPr>
            <w:tcW w:w="1177" w:type="dxa"/>
            <w:tcBorders>
              <w:top w:val="nil"/>
              <w:left w:val="nil"/>
              <w:bottom w:val="single" w:sz="4" w:space="0" w:color="auto"/>
              <w:right w:val="single" w:sz="4" w:space="0" w:color="auto"/>
            </w:tcBorders>
            <w:shd w:val="clear" w:color="auto" w:fill="auto"/>
            <w:noWrap/>
            <w:vAlign w:val="bottom"/>
            <w:hideMark/>
          </w:tcPr>
          <w:p w14:paraId="155EFEC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142,077</w:t>
            </w:r>
          </w:p>
        </w:tc>
        <w:tc>
          <w:tcPr>
            <w:tcW w:w="1177" w:type="dxa"/>
            <w:tcBorders>
              <w:top w:val="nil"/>
              <w:left w:val="nil"/>
              <w:bottom w:val="single" w:sz="4" w:space="0" w:color="auto"/>
              <w:right w:val="single" w:sz="4" w:space="0" w:color="auto"/>
            </w:tcBorders>
            <w:shd w:val="clear" w:color="auto" w:fill="auto"/>
            <w:noWrap/>
            <w:vAlign w:val="bottom"/>
            <w:hideMark/>
          </w:tcPr>
          <w:p w14:paraId="785FF16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277</w:t>
            </w:r>
          </w:p>
        </w:tc>
        <w:tc>
          <w:tcPr>
            <w:tcW w:w="1521" w:type="dxa"/>
            <w:tcBorders>
              <w:top w:val="nil"/>
              <w:left w:val="nil"/>
              <w:bottom w:val="single" w:sz="4" w:space="0" w:color="auto"/>
              <w:right w:val="single" w:sz="4" w:space="0" w:color="auto"/>
            </w:tcBorders>
            <w:shd w:val="clear" w:color="auto" w:fill="auto"/>
            <w:noWrap/>
            <w:vAlign w:val="bottom"/>
            <w:hideMark/>
          </w:tcPr>
          <w:p w14:paraId="13BDCF1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46</w:t>
            </w:r>
          </w:p>
        </w:tc>
      </w:tr>
      <w:tr w:rsidR="00BF10A3" w:rsidRPr="009B3B4D" w14:paraId="66958478"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73F92F95"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14:paraId="39A36C47"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&lt; 2 year</w:t>
            </w:r>
          </w:p>
        </w:tc>
        <w:tc>
          <w:tcPr>
            <w:tcW w:w="2430" w:type="dxa"/>
            <w:tcBorders>
              <w:top w:val="nil"/>
              <w:left w:val="nil"/>
              <w:bottom w:val="single" w:sz="4" w:space="0" w:color="auto"/>
              <w:right w:val="single" w:sz="4" w:space="0" w:color="auto"/>
            </w:tcBorders>
            <w:shd w:val="clear" w:color="auto" w:fill="auto"/>
            <w:noWrap/>
            <w:vAlign w:val="center"/>
            <w:hideMark/>
          </w:tcPr>
          <w:p w14:paraId="4D7DB117"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69FF9C4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157</w:t>
            </w:r>
          </w:p>
        </w:tc>
        <w:tc>
          <w:tcPr>
            <w:tcW w:w="990" w:type="dxa"/>
            <w:tcBorders>
              <w:top w:val="nil"/>
              <w:left w:val="nil"/>
              <w:bottom w:val="single" w:sz="4" w:space="0" w:color="auto"/>
              <w:right w:val="single" w:sz="4" w:space="0" w:color="auto"/>
            </w:tcBorders>
            <w:shd w:val="clear" w:color="auto" w:fill="auto"/>
            <w:noWrap/>
            <w:vAlign w:val="bottom"/>
            <w:hideMark/>
          </w:tcPr>
          <w:p w14:paraId="0E1ABF8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157</w:t>
            </w:r>
          </w:p>
        </w:tc>
        <w:tc>
          <w:tcPr>
            <w:tcW w:w="990" w:type="dxa"/>
            <w:tcBorders>
              <w:top w:val="nil"/>
              <w:left w:val="nil"/>
              <w:bottom w:val="single" w:sz="4" w:space="0" w:color="auto"/>
              <w:right w:val="single" w:sz="4" w:space="0" w:color="auto"/>
            </w:tcBorders>
            <w:shd w:val="clear" w:color="auto" w:fill="auto"/>
            <w:noWrap/>
            <w:vAlign w:val="bottom"/>
            <w:hideMark/>
          </w:tcPr>
          <w:p w14:paraId="3332B4A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3B4921E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7FA5FCA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11,439</w:t>
            </w:r>
          </w:p>
        </w:tc>
        <w:tc>
          <w:tcPr>
            <w:tcW w:w="1177" w:type="dxa"/>
            <w:tcBorders>
              <w:top w:val="nil"/>
              <w:left w:val="nil"/>
              <w:bottom w:val="single" w:sz="4" w:space="0" w:color="auto"/>
              <w:right w:val="single" w:sz="4" w:space="0" w:color="auto"/>
            </w:tcBorders>
            <w:shd w:val="clear" w:color="auto" w:fill="auto"/>
            <w:noWrap/>
            <w:vAlign w:val="bottom"/>
            <w:hideMark/>
          </w:tcPr>
          <w:p w14:paraId="1DDA377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11,439</w:t>
            </w:r>
          </w:p>
        </w:tc>
        <w:tc>
          <w:tcPr>
            <w:tcW w:w="1177" w:type="dxa"/>
            <w:tcBorders>
              <w:top w:val="nil"/>
              <w:left w:val="nil"/>
              <w:bottom w:val="single" w:sz="4" w:space="0" w:color="auto"/>
              <w:right w:val="single" w:sz="4" w:space="0" w:color="auto"/>
            </w:tcBorders>
            <w:shd w:val="clear" w:color="auto" w:fill="auto"/>
            <w:noWrap/>
            <w:vAlign w:val="bottom"/>
            <w:hideMark/>
          </w:tcPr>
          <w:p w14:paraId="578E648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0CB3BE3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3B6EB982"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1107E1CA"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14:paraId="766DAEF6"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2-3 year</w:t>
            </w:r>
          </w:p>
        </w:tc>
        <w:tc>
          <w:tcPr>
            <w:tcW w:w="2430" w:type="dxa"/>
            <w:tcBorders>
              <w:top w:val="nil"/>
              <w:left w:val="nil"/>
              <w:bottom w:val="single" w:sz="4" w:space="0" w:color="auto"/>
              <w:right w:val="single" w:sz="4" w:space="0" w:color="auto"/>
            </w:tcBorders>
            <w:shd w:val="clear" w:color="auto" w:fill="auto"/>
            <w:noWrap/>
            <w:vAlign w:val="center"/>
            <w:hideMark/>
          </w:tcPr>
          <w:p w14:paraId="68DE167D"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2B11B4A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824</w:t>
            </w:r>
          </w:p>
        </w:tc>
        <w:tc>
          <w:tcPr>
            <w:tcW w:w="990" w:type="dxa"/>
            <w:tcBorders>
              <w:top w:val="nil"/>
              <w:left w:val="nil"/>
              <w:bottom w:val="single" w:sz="4" w:space="0" w:color="auto"/>
              <w:right w:val="single" w:sz="4" w:space="0" w:color="auto"/>
            </w:tcBorders>
            <w:shd w:val="clear" w:color="auto" w:fill="auto"/>
            <w:noWrap/>
            <w:vAlign w:val="bottom"/>
            <w:hideMark/>
          </w:tcPr>
          <w:p w14:paraId="614CD63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823</w:t>
            </w:r>
          </w:p>
        </w:tc>
        <w:tc>
          <w:tcPr>
            <w:tcW w:w="990" w:type="dxa"/>
            <w:tcBorders>
              <w:top w:val="nil"/>
              <w:left w:val="nil"/>
              <w:bottom w:val="single" w:sz="4" w:space="0" w:color="auto"/>
              <w:right w:val="single" w:sz="4" w:space="0" w:color="auto"/>
            </w:tcBorders>
            <w:shd w:val="clear" w:color="auto" w:fill="auto"/>
            <w:noWrap/>
            <w:vAlign w:val="bottom"/>
            <w:hideMark/>
          </w:tcPr>
          <w:p w14:paraId="5BC3E55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0542D64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70237C8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119,615</w:t>
            </w:r>
          </w:p>
        </w:tc>
        <w:tc>
          <w:tcPr>
            <w:tcW w:w="1177" w:type="dxa"/>
            <w:tcBorders>
              <w:top w:val="nil"/>
              <w:left w:val="nil"/>
              <w:bottom w:val="single" w:sz="4" w:space="0" w:color="auto"/>
              <w:right w:val="single" w:sz="4" w:space="0" w:color="auto"/>
            </w:tcBorders>
            <w:shd w:val="clear" w:color="auto" w:fill="auto"/>
            <w:noWrap/>
            <w:vAlign w:val="bottom"/>
            <w:hideMark/>
          </w:tcPr>
          <w:p w14:paraId="1C6CD78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119,559</w:t>
            </w:r>
          </w:p>
        </w:tc>
        <w:tc>
          <w:tcPr>
            <w:tcW w:w="1177" w:type="dxa"/>
            <w:tcBorders>
              <w:top w:val="nil"/>
              <w:left w:val="nil"/>
              <w:bottom w:val="single" w:sz="4" w:space="0" w:color="auto"/>
              <w:right w:val="single" w:sz="4" w:space="0" w:color="auto"/>
            </w:tcBorders>
            <w:shd w:val="clear" w:color="auto" w:fill="auto"/>
            <w:noWrap/>
            <w:vAlign w:val="bottom"/>
            <w:hideMark/>
          </w:tcPr>
          <w:p w14:paraId="16952E6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56</w:t>
            </w:r>
          </w:p>
        </w:tc>
        <w:tc>
          <w:tcPr>
            <w:tcW w:w="1521" w:type="dxa"/>
            <w:tcBorders>
              <w:top w:val="nil"/>
              <w:left w:val="nil"/>
              <w:bottom w:val="single" w:sz="4" w:space="0" w:color="auto"/>
              <w:right w:val="single" w:sz="4" w:space="0" w:color="auto"/>
            </w:tcBorders>
            <w:shd w:val="clear" w:color="auto" w:fill="auto"/>
            <w:noWrap/>
            <w:vAlign w:val="bottom"/>
            <w:hideMark/>
          </w:tcPr>
          <w:p w14:paraId="7421455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6E288C60"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21CF7709"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1660B3"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4-year</w:t>
            </w:r>
          </w:p>
        </w:tc>
        <w:tc>
          <w:tcPr>
            <w:tcW w:w="2430" w:type="dxa"/>
            <w:tcBorders>
              <w:top w:val="nil"/>
              <w:left w:val="nil"/>
              <w:bottom w:val="single" w:sz="4" w:space="0" w:color="auto"/>
              <w:right w:val="single" w:sz="4" w:space="0" w:color="auto"/>
            </w:tcBorders>
            <w:shd w:val="clear" w:color="auto" w:fill="auto"/>
            <w:noWrap/>
            <w:vAlign w:val="center"/>
            <w:hideMark/>
          </w:tcPr>
          <w:p w14:paraId="088870FF"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7563A26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86</w:t>
            </w:r>
          </w:p>
        </w:tc>
        <w:tc>
          <w:tcPr>
            <w:tcW w:w="990" w:type="dxa"/>
            <w:tcBorders>
              <w:top w:val="nil"/>
              <w:left w:val="nil"/>
              <w:bottom w:val="single" w:sz="4" w:space="0" w:color="auto"/>
              <w:right w:val="single" w:sz="4" w:space="0" w:color="auto"/>
            </w:tcBorders>
            <w:shd w:val="clear" w:color="auto" w:fill="auto"/>
            <w:noWrap/>
            <w:vAlign w:val="bottom"/>
            <w:hideMark/>
          </w:tcPr>
          <w:p w14:paraId="0A5B2DD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84</w:t>
            </w:r>
          </w:p>
        </w:tc>
        <w:tc>
          <w:tcPr>
            <w:tcW w:w="990" w:type="dxa"/>
            <w:tcBorders>
              <w:top w:val="nil"/>
              <w:left w:val="nil"/>
              <w:bottom w:val="single" w:sz="4" w:space="0" w:color="auto"/>
              <w:right w:val="single" w:sz="4" w:space="0" w:color="auto"/>
            </w:tcBorders>
            <w:shd w:val="clear" w:color="auto" w:fill="auto"/>
            <w:noWrap/>
            <w:vAlign w:val="bottom"/>
            <w:hideMark/>
          </w:tcPr>
          <w:p w14:paraId="66FAE09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41868C8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1177" w:type="dxa"/>
            <w:tcBorders>
              <w:top w:val="nil"/>
              <w:left w:val="nil"/>
              <w:bottom w:val="single" w:sz="4" w:space="0" w:color="auto"/>
              <w:right w:val="single" w:sz="4" w:space="0" w:color="auto"/>
            </w:tcBorders>
            <w:shd w:val="clear" w:color="auto" w:fill="auto"/>
            <w:noWrap/>
            <w:vAlign w:val="bottom"/>
            <w:hideMark/>
          </w:tcPr>
          <w:p w14:paraId="61CA973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8,102</w:t>
            </w:r>
          </w:p>
        </w:tc>
        <w:tc>
          <w:tcPr>
            <w:tcW w:w="1177" w:type="dxa"/>
            <w:tcBorders>
              <w:top w:val="nil"/>
              <w:left w:val="nil"/>
              <w:bottom w:val="single" w:sz="4" w:space="0" w:color="auto"/>
              <w:right w:val="single" w:sz="4" w:space="0" w:color="auto"/>
            </w:tcBorders>
            <w:shd w:val="clear" w:color="auto" w:fill="auto"/>
            <w:noWrap/>
            <w:vAlign w:val="bottom"/>
            <w:hideMark/>
          </w:tcPr>
          <w:p w14:paraId="341840A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7,835</w:t>
            </w:r>
          </w:p>
        </w:tc>
        <w:tc>
          <w:tcPr>
            <w:tcW w:w="1177" w:type="dxa"/>
            <w:tcBorders>
              <w:top w:val="nil"/>
              <w:left w:val="nil"/>
              <w:bottom w:val="single" w:sz="4" w:space="0" w:color="auto"/>
              <w:right w:val="single" w:sz="4" w:space="0" w:color="auto"/>
            </w:tcBorders>
            <w:shd w:val="clear" w:color="auto" w:fill="auto"/>
            <w:noWrap/>
            <w:vAlign w:val="bottom"/>
            <w:hideMark/>
          </w:tcPr>
          <w:p w14:paraId="2175CD9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221</w:t>
            </w:r>
          </w:p>
        </w:tc>
        <w:tc>
          <w:tcPr>
            <w:tcW w:w="1521" w:type="dxa"/>
            <w:tcBorders>
              <w:top w:val="nil"/>
              <w:left w:val="nil"/>
              <w:bottom w:val="single" w:sz="4" w:space="0" w:color="auto"/>
              <w:right w:val="single" w:sz="4" w:space="0" w:color="auto"/>
            </w:tcBorders>
            <w:shd w:val="clear" w:color="auto" w:fill="auto"/>
            <w:noWrap/>
            <w:vAlign w:val="bottom"/>
            <w:hideMark/>
          </w:tcPr>
          <w:p w14:paraId="3F5D022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46</w:t>
            </w:r>
          </w:p>
        </w:tc>
      </w:tr>
      <w:tr w:rsidR="00BF10A3" w:rsidRPr="009B3B4D" w14:paraId="433DE75D"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249E2288"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619F8535"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3FC63F3C"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Post-Bacc Certificate</w:t>
            </w:r>
          </w:p>
        </w:tc>
        <w:tc>
          <w:tcPr>
            <w:tcW w:w="990" w:type="dxa"/>
            <w:tcBorders>
              <w:top w:val="nil"/>
              <w:left w:val="nil"/>
              <w:bottom w:val="single" w:sz="4" w:space="0" w:color="auto"/>
              <w:right w:val="single" w:sz="4" w:space="0" w:color="auto"/>
            </w:tcBorders>
            <w:shd w:val="clear" w:color="auto" w:fill="auto"/>
            <w:noWrap/>
            <w:vAlign w:val="bottom"/>
            <w:hideMark/>
          </w:tcPr>
          <w:p w14:paraId="3374B9B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26</w:t>
            </w:r>
          </w:p>
        </w:tc>
        <w:tc>
          <w:tcPr>
            <w:tcW w:w="990" w:type="dxa"/>
            <w:tcBorders>
              <w:top w:val="nil"/>
              <w:left w:val="nil"/>
              <w:bottom w:val="single" w:sz="4" w:space="0" w:color="auto"/>
              <w:right w:val="single" w:sz="4" w:space="0" w:color="auto"/>
            </w:tcBorders>
            <w:shd w:val="clear" w:color="auto" w:fill="auto"/>
            <w:noWrap/>
            <w:vAlign w:val="bottom"/>
            <w:hideMark/>
          </w:tcPr>
          <w:p w14:paraId="2006527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26</w:t>
            </w:r>
          </w:p>
        </w:tc>
        <w:tc>
          <w:tcPr>
            <w:tcW w:w="990" w:type="dxa"/>
            <w:tcBorders>
              <w:top w:val="nil"/>
              <w:left w:val="nil"/>
              <w:bottom w:val="single" w:sz="4" w:space="0" w:color="auto"/>
              <w:right w:val="single" w:sz="4" w:space="0" w:color="auto"/>
            </w:tcBorders>
            <w:shd w:val="clear" w:color="auto" w:fill="auto"/>
            <w:noWrap/>
            <w:vAlign w:val="bottom"/>
            <w:hideMark/>
          </w:tcPr>
          <w:p w14:paraId="2D95772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5A09765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380E2A5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3,244</w:t>
            </w:r>
          </w:p>
        </w:tc>
        <w:tc>
          <w:tcPr>
            <w:tcW w:w="1177" w:type="dxa"/>
            <w:tcBorders>
              <w:top w:val="nil"/>
              <w:left w:val="nil"/>
              <w:bottom w:val="single" w:sz="4" w:space="0" w:color="auto"/>
              <w:right w:val="single" w:sz="4" w:space="0" w:color="auto"/>
            </w:tcBorders>
            <w:shd w:val="clear" w:color="auto" w:fill="auto"/>
            <w:noWrap/>
            <w:vAlign w:val="bottom"/>
            <w:hideMark/>
          </w:tcPr>
          <w:p w14:paraId="127B4F0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3,244</w:t>
            </w:r>
          </w:p>
        </w:tc>
        <w:tc>
          <w:tcPr>
            <w:tcW w:w="1177" w:type="dxa"/>
            <w:tcBorders>
              <w:top w:val="nil"/>
              <w:left w:val="nil"/>
              <w:bottom w:val="single" w:sz="4" w:space="0" w:color="auto"/>
              <w:right w:val="single" w:sz="4" w:space="0" w:color="auto"/>
            </w:tcBorders>
            <w:shd w:val="clear" w:color="auto" w:fill="auto"/>
            <w:noWrap/>
            <w:vAlign w:val="bottom"/>
            <w:hideMark/>
          </w:tcPr>
          <w:p w14:paraId="1F93B05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7FDFAEB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11DEEFAF" w14:textId="77777777" w:rsidTr="001F7400">
        <w:trPr>
          <w:trHeight w:val="300"/>
        </w:trPr>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E1A8A3"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Private</w:t>
            </w:r>
          </w:p>
        </w:tc>
        <w:tc>
          <w:tcPr>
            <w:tcW w:w="3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0F447D"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Total</w:t>
            </w:r>
          </w:p>
        </w:tc>
        <w:tc>
          <w:tcPr>
            <w:tcW w:w="990" w:type="dxa"/>
            <w:tcBorders>
              <w:top w:val="nil"/>
              <w:left w:val="nil"/>
              <w:bottom w:val="single" w:sz="4" w:space="0" w:color="auto"/>
              <w:right w:val="single" w:sz="4" w:space="0" w:color="auto"/>
            </w:tcBorders>
            <w:shd w:val="clear" w:color="auto" w:fill="auto"/>
            <w:noWrap/>
            <w:vAlign w:val="bottom"/>
            <w:hideMark/>
          </w:tcPr>
          <w:p w14:paraId="18C34FF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253</w:t>
            </w:r>
          </w:p>
        </w:tc>
        <w:tc>
          <w:tcPr>
            <w:tcW w:w="990" w:type="dxa"/>
            <w:tcBorders>
              <w:top w:val="nil"/>
              <w:left w:val="nil"/>
              <w:bottom w:val="single" w:sz="4" w:space="0" w:color="auto"/>
              <w:right w:val="single" w:sz="4" w:space="0" w:color="auto"/>
            </w:tcBorders>
            <w:shd w:val="clear" w:color="auto" w:fill="auto"/>
            <w:noWrap/>
            <w:vAlign w:val="bottom"/>
            <w:hideMark/>
          </w:tcPr>
          <w:p w14:paraId="17E0A24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242</w:t>
            </w:r>
          </w:p>
        </w:tc>
        <w:tc>
          <w:tcPr>
            <w:tcW w:w="990" w:type="dxa"/>
            <w:tcBorders>
              <w:top w:val="nil"/>
              <w:left w:val="nil"/>
              <w:bottom w:val="single" w:sz="4" w:space="0" w:color="auto"/>
              <w:right w:val="single" w:sz="4" w:space="0" w:color="auto"/>
            </w:tcBorders>
            <w:shd w:val="clear" w:color="auto" w:fill="auto"/>
            <w:noWrap/>
            <w:vAlign w:val="bottom"/>
            <w:hideMark/>
          </w:tcPr>
          <w:p w14:paraId="1FBE8A4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w:t>
            </w:r>
          </w:p>
        </w:tc>
        <w:tc>
          <w:tcPr>
            <w:tcW w:w="990" w:type="dxa"/>
            <w:tcBorders>
              <w:top w:val="nil"/>
              <w:left w:val="nil"/>
              <w:bottom w:val="single" w:sz="4" w:space="0" w:color="auto"/>
              <w:right w:val="single" w:sz="4" w:space="0" w:color="auto"/>
            </w:tcBorders>
            <w:shd w:val="clear" w:color="auto" w:fill="auto"/>
            <w:noWrap/>
            <w:vAlign w:val="bottom"/>
            <w:hideMark/>
          </w:tcPr>
          <w:p w14:paraId="6BCBDC1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w:t>
            </w:r>
          </w:p>
        </w:tc>
        <w:tc>
          <w:tcPr>
            <w:tcW w:w="1177" w:type="dxa"/>
            <w:tcBorders>
              <w:top w:val="nil"/>
              <w:left w:val="nil"/>
              <w:bottom w:val="single" w:sz="4" w:space="0" w:color="auto"/>
              <w:right w:val="single" w:sz="4" w:space="0" w:color="auto"/>
            </w:tcBorders>
            <w:shd w:val="clear" w:color="auto" w:fill="auto"/>
            <w:noWrap/>
            <w:vAlign w:val="bottom"/>
            <w:hideMark/>
          </w:tcPr>
          <w:p w14:paraId="06C7932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45,696</w:t>
            </w:r>
          </w:p>
        </w:tc>
        <w:tc>
          <w:tcPr>
            <w:tcW w:w="1177" w:type="dxa"/>
            <w:tcBorders>
              <w:top w:val="nil"/>
              <w:left w:val="nil"/>
              <w:bottom w:val="single" w:sz="4" w:space="0" w:color="auto"/>
              <w:right w:val="single" w:sz="4" w:space="0" w:color="auto"/>
            </w:tcBorders>
            <w:shd w:val="clear" w:color="auto" w:fill="auto"/>
            <w:noWrap/>
            <w:vAlign w:val="bottom"/>
            <w:hideMark/>
          </w:tcPr>
          <w:p w14:paraId="31654AE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40,695</w:t>
            </w:r>
          </w:p>
        </w:tc>
        <w:tc>
          <w:tcPr>
            <w:tcW w:w="1177" w:type="dxa"/>
            <w:tcBorders>
              <w:top w:val="nil"/>
              <w:left w:val="nil"/>
              <w:bottom w:val="single" w:sz="4" w:space="0" w:color="auto"/>
              <w:right w:val="single" w:sz="4" w:space="0" w:color="auto"/>
            </w:tcBorders>
            <w:shd w:val="clear" w:color="auto" w:fill="auto"/>
            <w:noWrap/>
            <w:vAlign w:val="bottom"/>
            <w:hideMark/>
          </w:tcPr>
          <w:p w14:paraId="15F79D4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3,886</w:t>
            </w:r>
          </w:p>
        </w:tc>
        <w:tc>
          <w:tcPr>
            <w:tcW w:w="1521" w:type="dxa"/>
            <w:tcBorders>
              <w:top w:val="nil"/>
              <w:left w:val="nil"/>
              <w:bottom w:val="single" w:sz="4" w:space="0" w:color="auto"/>
              <w:right w:val="single" w:sz="4" w:space="0" w:color="auto"/>
            </w:tcBorders>
            <w:shd w:val="clear" w:color="auto" w:fill="auto"/>
            <w:noWrap/>
            <w:vAlign w:val="bottom"/>
            <w:hideMark/>
          </w:tcPr>
          <w:p w14:paraId="575924A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1,115</w:t>
            </w:r>
          </w:p>
        </w:tc>
      </w:tr>
      <w:tr w:rsidR="00BF10A3" w:rsidRPr="009B3B4D" w14:paraId="3A67EAD1"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309DD315"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tcBorders>
              <w:top w:val="nil"/>
              <w:left w:val="nil"/>
              <w:bottom w:val="single" w:sz="4" w:space="0" w:color="auto"/>
              <w:right w:val="single" w:sz="4" w:space="0" w:color="auto"/>
            </w:tcBorders>
            <w:shd w:val="clear" w:color="auto" w:fill="auto"/>
            <w:noWrap/>
            <w:vAlign w:val="center"/>
            <w:hideMark/>
          </w:tcPr>
          <w:p w14:paraId="31B7A38C"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&lt; 2 year</w:t>
            </w:r>
          </w:p>
        </w:tc>
        <w:tc>
          <w:tcPr>
            <w:tcW w:w="2430" w:type="dxa"/>
            <w:tcBorders>
              <w:top w:val="nil"/>
              <w:left w:val="nil"/>
              <w:bottom w:val="single" w:sz="4" w:space="0" w:color="auto"/>
              <w:right w:val="single" w:sz="4" w:space="0" w:color="auto"/>
            </w:tcBorders>
            <w:shd w:val="clear" w:color="auto" w:fill="auto"/>
            <w:noWrap/>
            <w:vAlign w:val="center"/>
            <w:hideMark/>
          </w:tcPr>
          <w:p w14:paraId="6D0A004F"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33BAB75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49</w:t>
            </w:r>
          </w:p>
        </w:tc>
        <w:tc>
          <w:tcPr>
            <w:tcW w:w="990" w:type="dxa"/>
            <w:tcBorders>
              <w:top w:val="nil"/>
              <w:left w:val="nil"/>
              <w:bottom w:val="single" w:sz="4" w:space="0" w:color="auto"/>
              <w:right w:val="single" w:sz="4" w:space="0" w:color="auto"/>
            </w:tcBorders>
            <w:shd w:val="clear" w:color="auto" w:fill="auto"/>
            <w:noWrap/>
            <w:vAlign w:val="bottom"/>
            <w:hideMark/>
          </w:tcPr>
          <w:p w14:paraId="1D19040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47</w:t>
            </w:r>
          </w:p>
        </w:tc>
        <w:tc>
          <w:tcPr>
            <w:tcW w:w="990" w:type="dxa"/>
            <w:tcBorders>
              <w:top w:val="nil"/>
              <w:left w:val="nil"/>
              <w:bottom w:val="single" w:sz="4" w:space="0" w:color="auto"/>
              <w:right w:val="single" w:sz="4" w:space="0" w:color="auto"/>
            </w:tcBorders>
            <w:shd w:val="clear" w:color="auto" w:fill="auto"/>
            <w:noWrap/>
            <w:vAlign w:val="bottom"/>
            <w:hideMark/>
          </w:tcPr>
          <w:p w14:paraId="63BCAF4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589D00B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1A3283F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9,609</w:t>
            </w:r>
          </w:p>
        </w:tc>
        <w:tc>
          <w:tcPr>
            <w:tcW w:w="1177" w:type="dxa"/>
            <w:tcBorders>
              <w:top w:val="nil"/>
              <w:left w:val="nil"/>
              <w:bottom w:val="single" w:sz="4" w:space="0" w:color="auto"/>
              <w:right w:val="single" w:sz="4" w:space="0" w:color="auto"/>
            </w:tcBorders>
            <w:shd w:val="clear" w:color="auto" w:fill="auto"/>
            <w:noWrap/>
            <w:vAlign w:val="bottom"/>
            <w:hideMark/>
          </w:tcPr>
          <w:p w14:paraId="1EFC854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9,147</w:t>
            </w:r>
          </w:p>
        </w:tc>
        <w:tc>
          <w:tcPr>
            <w:tcW w:w="1177" w:type="dxa"/>
            <w:tcBorders>
              <w:top w:val="nil"/>
              <w:left w:val="nil"/>
              <w:bottom w:val="single" w:sz="4" w:space="0" w:color="auto"/>
              <w:right w:val="single" w:sz="4" w:space="0" w:color="auto"/>
            </w:tcBorders>
            <w:shd w:val="clear" w:color="auto" w:fill="auto"/>
            <w:noWrap/>
            <w:vAlign w:val="bottom"/>
            <w:hideMark/>
          </w:tcPr>
          <w:p w14:paraId="5890B3C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462</w:t>
            </w:r>
          </w:p>
        </w:tc>
        <w:tc>
          <w:tcPr>
            <w:tcW w:w="1521" w:type="dxa"/>
            <w:tcBorders>
              <w:top w:val="nil"/>
              <w:left w:val="nil"/>
              <w:bottom w:val="single" w:sz="4" w:space="0" w:color="auto"/>
              <w:right w:val="single" w:sz="4" w:space="0" w:color="auto"/>
            </w:tcBorders>
            <w:shd w:val="clear" w:color="auto" w:fill="auto"/>
            <w:noWrap/>
            <w:vAlign w:val="bottom"/>
            <w:hideMark/>
          </w:tcPr>
          <w:p w14:paraId="424DB6B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632BEB65"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3FA82752"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95500"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2-3 year</w:t>
            </w:r>
          </w:p>
        </w:tc>
        <w:tc>
          <w:tcPr>
            <w:tcW w:w="2430" w:type="dxa"/>
            <w:tcBorders>
              <w:top w:val="nil"/>
              <w:left w:val="nil"/>
              <w:bottom w:val="single" w:sz="4" w:space="0" w:color="auto"/>
              <w:right w:val="single" w:sz="4" w:space="0" w:color="auto"/>
            </w:tcBorders>
            <w:shd w:val="clear" w:color="auto" w:fill="auto"/>
            <w:noWrap/>
            <w:vAlign w:val="center"/>
            <w:hideMark/>
          </w:tcPr>
          <w:p w14:paraId="683E9D2A"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45204EF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73</w:t>
            </w:r>
          </w:p>
        </w:tc>
        <w:tc>
          <w:tcPr>
            <w:tcW w:w="990" w:type="dxa"/>
            <w:tcBorders>
              <w:top w:val="nil"/>
              <w:left w:val="nil"/>
              <w:bottom w:val="single" w:sz="4" w:space="0" w:color="auto"/>
              <w:right w:val="single" w:sz="4" w:space="0" w:color="auto"/>
            </w:tcBorders>
            <w:shd w:val="clear" w:color="auto" w:fill="auto"/>
            <w:noWrap/>
            <w:vAlign w:val="bottom"/>
            <w:hideMark/>
          </w:tcPr>
          <w:p w14:paraId="03832DF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70</w:t>
            </w:r>
          </w:p>
        </w:tc>
        <w:tc>
          <w:tcPr>
            <w:tcW w:w="990" w:type="dxa"/>
            <w:tcBorders>
              <w:top w:val="nil"/>
              <w:left w:val="nil"/>
              <w:bottom w:val="single" w:sz="4" w:space="0" w:color="auto"/>
              <w:right w:val="single" w:sz="4" w:space="0" w:color="auto"/>
            </w:tcBorders>
            <w:shd w:val="clear" w:color="auto" w:fill="auto"/>
            <w:noWrap/>
            <w:vAlign w:val="bottom"/>
            <w:hideMark/>
          </w:tcPr>
          <w:p w14:paraId="5A87C98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264A331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0797531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10,307</w:t>
            </w:r>
          </w:p>
        </w:tc>
        <w:tc>
          <w:tcPr>
            <w:tcW w:w="1177" w:type="dxa"/>
            <w:tcBorders>
              <w:top w:val="nil"/>
              <w:left w:val="nil"/>
              <w:bottom w:val="single" w:sz="4" w:space="0" w:color="auto"/>
              <w:right w:val="single" w:sz="4" w:space="0" w:color="auto"/>
            </w:tcBorders>
            <w:shd w:val="clear" w:color="auto" w:fill="auto"/>
            <w:noWrap/>
            <w:vAlign w:val="bottom"/>
            <w:hideMark/>
          </w:tcPr>
          <w:p w14:paraId="535BBA1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8,875</w:t>
            </w:r>
          </w:p>
        </w:tc>
        <w:tc>
          <w:tcPr>
            <w:tcW w:w="1177" w:type="dxa"/>
            <w:tcBorders>
              <w:top w:val="nil"/>
              <w:left w:val="nil"/>
              <w:bottom w:val="single" w:sz="4" w:space="0" w:color="auto"/>
              <w:right w:val="single" w:sz="4" w:space="0" w:color="auto"/>
            </w:tcBorders>
            <w:shd w:val="clear" w:color="auto" w:fill="auto"/>
            <w:noWrap/>
            <w:vAlign w:val="bottom"/>
            <w:hideMark/>
          </w:tcPr>
          <w:p w14:paraId="00FE5C7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1,432</w:t>
            </w:r>
          </w:p>
        </w:tc>
        <w:tc>
          <w:tcPr>
            <w:tcW w:w="1521" w:type="dxa"/>
            <w:tcBorders>
              <w:top w:val="nil"/>
              <w:left w:val="nil"/>
              <w:bottom w:val="single" w:sz="4" w:space="0" w:color="auto"/>
              <w:right w:val="single" w:sz="4" w:space="0" w:color="auto"/>
            </w:tcBorders>
            <w:shd w:val="clear" w:color="auto" w:fill="auto"/>
            <w:noWrap/>
            <w:vAlign w:val="bottom"/>
            <w:hideMark/>
          </w:tcPr>
          <w:p w14:paraId="392F35B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58D253EB"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26F25F0E"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3B355C00"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09174385"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Post-Bacc Certificate</w:t>
            </w:r>
          </w:p>
        </w:tc>
        <w:tc>
          <w:tcPr>
            <w:tcW w:w="990" w:type="dxa"/>
            <w:tcBorders>
              <w:top w:val="nil"/>
              <w:left w:val="nil"/>
              <w:bottom w:val="single" w:sz="4" w:space="0" w:color="auto"/>
              <w:right w:val="single" w:sz="4" w:space="0" w:color="auto"/>
            </w:tcBorders>
            <w:shd w:val="clear" w:color="auto" w:fill="auto"/>
            <w:noWrap/>
            <w:vAlign w:val="bottom"/>
            <w:hideMark/>
          </w:tcPr>
          <w:p w14:paraId="5C85FEC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1B8C4B1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7028DA8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6A53BFC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29F166F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17</w:t>
            </w:r>
          </w:p>
        </w:tc>
        <w:tc>
          <w:tcPr>
            <w:tcW w:w="1177" w:type="dxa"/>
            <w:tcBorders>
              <w:top w:val="nil"/>
              <w:left w:val="nil"/>
              <w:bottom w:val="single" w:sz="4" w:space="0" w:color="auto"/>
              <w:right w:val="single" w:sz="4" w:space="0" w:color="auto"/>
            </w:tcBorders>
            <w:shd w:val="clear" w:color="auto" w:fill="auto"/>
            <w:noWrap/>
            <w:vAlign w:val="bottom"/>
            <w:hideMark/>
          </w:tcPr>
          <w:p w14:paraId="2D07457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17</w:t>
            </w:r>
          </w:p>
        </w:tc>
        <w:tc>
          <w:tcPr>
            <w:tcW w:w="1177" w:type="dxa"/>
            <w:tcBorders>
              <w:top w:val="nil"/>
              <w:left w:val="nil"/>
              <w:bottom w:val="single" w:sz="4" w:space="0" w:color="auto"/>
              <w:right w:val="single" w:sz="4" w:space="0" w:color="auto"/>
            </w:tcBorders>
            <w:shd w:val="clear" w:color="auto" w:fill="auto"/>
            <w:noWrap/>
            <w:vAlign w:val="bottom"/>
            <w:hideMark/>
          </w:tcPr>
          <w:p w14:paraId="0B00506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261A44E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017327F4"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17EA3DD5"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52D798"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4-year</w:t>
            </w:r>
          </w:p>
        </w:tc>
        <w:tc>
          <w:tcPr>
            <w:tcW w:w="2430" w:type="dxa"/>
            <w:tcBorders>
              <w:top w:val="nil"/>
              <w:left w:val="nil"/>
              <w:bottom w:val="single" w:sz="4" w:space="0" w:color="auto"/>
              <w:right w:val="single" w:sz="4" w:space="0" w:color="auto"/>
            </w:tcBorders>
            <w:shd w:val="clear" w:color="auto" w:fill="auto"/>
            <w:noWrap/>
            <w:vAlign w:val="center"/>
            <w:hideMark/>
          </w:tcPr>
          <w:p w14:paraId="55259312"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1D8803D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91</w:t>
            </w:r>
          </w:p>
        </w:tc>
        <w:tc>
          <w:tcPr>
            <w:tcW w:w="990" w:type="dxa"/>
            <w:tcBorders>
              <w:top w:val="nil"/>
              <w:left w:val="nil"/>
              <w:bottom w:val="single" w:sz="4" w:space="0" w:color="auto"/>
              <w:right w:val="single" w:sz="4" w:space="0" w:color="auto"/>
            </w:tcBorders>
            <w:shd w:val="clear" w:color="auto" w:fill="auto"/>
            <w:noWrap/>
            <w:vAlign w:val="bottom"/>
            <w:hideMark/>
          </w:tcPr>
          <w:p w14:paraId="0609057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86</w:t>
            </w:r>
          </w:p>
        </w:tc>
        <w:tc>
          <w:tcPr>
            <w:tcW w:w="990" w:type="dxa"/>
            <w:tcBorders>
              <w:top w:val="nil"/>
              <w:left w:val="nil"/>
              <w:bottom w:val="single" w:sz="4" w:space="0" w:color="auto"/>
              <w:right w:val="single" w:sz="4" w:space="0" w:color="auto"/>
            </w:tcBorders>
            <w:shd w:val="clear" w:color="auto" w:fill="auto"/>
            <w:noWrap/>
            <w:vAlign w:val="bottom"/>
            <w:hideMark/>
          </w:tcPr>
          <w:p w14:paraId="232340F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1A80B11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1177" w:type="dxa"/>
            <w:tcBorders>
              <w:top w:val="nil"/>
              <w:left w:val="nil"/>
              <w:bottom w:val="single" w:sz="4" w:space="0" w:color="auto"/>
              <w:right w:val="single" w:sz="4" w:space="0" w:color="auto"/>
            </w:tcBorders>
            <w:shd w:val="clear" w:color="auto" w:fill="auto"/>
            <w:noWrap/>
            <w:vAlign w:val="bottom"/>
            <w:hideMark/>
          </w:tcPr>
          <w:p w14:paraId="56171D1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20,666</w:t>
            </w:r>
          </w:p>
        </w:tc>
        <w:tc>
          <w:tcPr>
            <w:tcW w:w="1177" w:type="dxa"/>
            <w:tcBorders>
              <w:top w:val="nil"/>
              <w:left w:val="nil"/>
              <w:bottom w:val="single" w:sz="4" w:space="0" w:color="auto"/>
              <w:right w:val="single" w:sz="4" w:space="0" w:color="auto"/>
            </w:tcBorders>
            <w:shd w:val="clear" w:color="auto" w:fill="auto"/>
            <w:noWrap/>
            <w:vAlign w:val="bottom"/>
            <w:hideMark/>
          </w:tcPr>
          <w:p w14:paraId="4FC3013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17,679</w:t>
            </w:r>
          </w:p>
        </w:tc>
        <w:tc>
          <w:tcPr>
            <w:tcW w:w="1177" w:type="dxa"/>
            <w:tcBorders>
              <w:top w:val="nil"/>
              <w:left w:val="nil"/>
              <w:bottom w:val="single" w:sz="4" w:space="0" w:color="auto"/>
              <w:right w:val="single" w:sz="4" w:space="0" w:color="auto"/>
            </w:tcBorders>
            <w:shd w:val="clear" w:color="auto" w:fill="auto"/>
            <w:noWrap/>
            <w:vAlign w:val="bottom"/>
            <w:hideMark/>
          </w:tcPr>
          <w:p w14:paraId="0712BEB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1,992</w:t>
            </w:r>
          </w:p>
        </w:tc>
        <w:tc>
          <w:tcPr>
            <w:tcW w:w="1521" w:type="dxa"/>
            <w:tcBorders>
              <w:top w:val="nil"/>
              <w:left w:val="nil"/>
              <w:bottom w:val="single" w:sz="4" w:space="0" w:color="auto"/>
              <w:right w:val="single" w:sz="4" w:space="0" w:color="auto"/>
            </w:tcBorders>
            <w:shd w:val="clear" w:color="auto" w:fill="auto"/>
            <w:noWrap/>
            <w:vAlign w:val="bottom"/>
            <w:hideMark/>
          </w:tcPr>
          <w:p w14:paraId="752AAE7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995</w:t>
            </w:r>
          </w:p>
        </w:tc>
      </w:tr>
      <w:tr w:rsidR="00BF10A3" w:rsidRPr="009B3B4D" w14:paraId="2BF99782"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39D07BB4"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0E268DD9"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781C7A85"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Post-Bacc Certificate</w:t>
            </w:r>
          </w:p>
        </w:tc>
        <w:tc>
          <w:tcPr>
            <w:tcW w:w="990" w:type="dxa"/>
            <w:tcBorders>
              <w:top w:val="nil"/>
              <w:left w:val="nil"/>
              <w:bottom w:val="single" w:sz="4" w:space="0" w:color="auto"/>
              <w:right w:val="single" w:sz="4" w:space="0" w:color="auto"/>
            </w:tcBorders>
            <w:shd w:val="clear" w:color="auto" w:fill="auto"/>
            <w:noWrap/>
            <w:vAlign w:val="bottom"/>
            <w:hideMark/>
          </w:tcPr>
          <w:p w14:paraId="7795457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39</w:t>
            </w:r>
          </w:p>
        </w:tc>
        <w:tc>
          <w:tcPr>
            <w:tcW w:w="990" w:type="dxa"/>
            <w:tcBorders>
              <w:top w:val="nil"/>
              <w:left w:val="nil"/>
              <w:bottom w:val="single" w:sz="4" w:space="0" w:color="auto"/>
              <w:right w:val="single" w:sz="4" w:space="0" w:color="auto"/>
            </w:tcBorders>
            <w:shd w:val="clear" w:color="auto" w:fill="auto"/>
            <w:noWrap/>
            <w:vAlign w:val="bottom"/>
            <w:hideMark/>
          </w:tcPr>
          <w:p w14:paraId="3496B78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38</w:t>
            </w:r>
          </w:p>
        </w:tc>
        <w:tc>
          <w:tcPr>
            <w:tcW w:w="990" w:type="dxa"/>
            <w:tcBorders>
              <w:top w:val="nil"/>
              <w:left w:val="nil"/>
              <w:bottom w:val="single" w:sz="4" w:space="0" w:color="auto"/>
              <w:right w:val="single" w:sz="4" w:space="0" w:color="auto"/>
            </w:tcBorders>
            <w:shd w:val="clear" w:color="auto" w:fill="auto"/>
            <w:noWrap/>
            <w:vAlign w:val="bottom"/>
            <w:hideMark/>
          </w:tcPr>
          <w:p w14:paraId="150B930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78145D5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1177" w:type="dxa"/>
            <w:tcBorders>
              <w:top w:val="nil"/>
              <w:left w:val="nil"/>
              <w:bottom w:val="single" w:sz="4" w:space="0" w:color="auto"/>
              <w:right w:val="single" w:sz="4" w:space="0" w:color="auto"/>
            </w:tcBorders>
            <w:shd w:val="clear" w:color="auto" w:fill="auto"/>
            <w:noWrap/>
            <w:vAlign w:val="bottom"/>
            <w:hideMark/>
          </w:tcPr>
          <w:p w14:paraId="404DBEB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5,097</w:t>
            </w:r>
          </w:p>
        </w:tc>
        <w:tc>
          <w:tcPr>
            <w:tcW w:w="1177" w:type="dxa"/>
            <w:tcBorders>
              <w:top w:val="nil"/>
              <w:left w:val="nil"/>
              <w:bottom w:val="single" w:sz="4" w:space="0" w:color="auto"/>
              <w:right w:val="single" w:sz="4" w:space="0" w:color="auto"/>
            </w:tcBorders>
            <w:shd w:val="clear" w:color="auto" w:fill="auto"/>
            <w:noWrap/>
            <w:vAlign w:val="bottom"/>
            <w:hideMark/>
          </w:tcPr>
          <w:p w14:paraId="019AC39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4,977</w:t>
            </w:r>
          </w:p>
        </w:tc>
        <w:tc>
          <w:tcPr>
            <w:tcW w:w="1177" w:type="dxa"/>
            <w:tcBorders>
              <w:top w:val="nil"/>
              <w:left w:val="nil"/>
              <w:bottom w:val="single" w:sz="4" w:space="0" w:color="auto"/>
              <w:right w:val="single" w:sz="4" w:space="0" w:color="auto"/>
            </w:tcBorders>
            <w:shd w:val="clear" w:color="auto" w:fill="auto"/>
            <w:noWrap/>
            <w:vAlign w:val="bottom"/>
            <w:hideMark/>
          </w:tcPr>
          <w:p w14:paraId="294EE99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5363853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120</w:t>
            </w:r>
          </w:p>
        </w:tc>
      </w:tr>
      <w:tr w:rsidR="00BF10A3" w:rsidRPr="009B3B4D" w14:paraId="4FBEE46A" w14:textId="77777777" w:rsidTr="001F7400">
        <w:trPr>
          <w:trHeight w:val="300"/>
        </w:trPr>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62B46" w14:textId="77777777" w:rsidR="00BF10A3" w:rsidRPr="009B3B4D" w:rsidRDefault="00BF10A3" w:rsidP="001F7400">
            <w:pPr>
              <w:spacing w:after="0" w:line="240" w:lineRule="auto"/>
              <w:jc w:val="center"/>
              <w:rPr>
                <w:rFonts w:ascii="Courier" w:eastAsia="Times New Roman" w:hAnsi="Courier" w:cs="Calibri"/>
                <w:b/>
                <w:bCs/>
                <w:color w:val="000000"/>
                <w:sz w:val="16"/>
                <w:szCs w:val="16"/>
              </w:rPr>
            </w:pPr>
            <w:r w:rsidRPr="009B3B4D">
              <w:rPr>
                <w:rFonts w:ascii="Courier" w:eastAsia="Times New Roman" w:hAnsi="Courier" w:cs="Calibri"/>
                <w:b/>
                <w:bCs/>
                <w:color w:val="000000"/>
                <w:sz w:val="16"/>
                <w:szCs w:val="16"/>
              </w:rPr>
              <w:t>For-Profit</w:t>
            </w:r>
          </w:p>
        </w:tc>
        <w:tc>
          <w:tcPr>
            <w:tcW w:w="3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26D620"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Total</w:t>
            </w:r>
          </w:p>
        </w:tc>
        <w:tc>
          <w:tcPr>
            <w:tcW w:w="990" w:type="dxa"/>
            <w:tcBorders>
              <w:top w:val="nil"/>
              <w:left w:val="nil"/>
              <w:bottom w:val="single" w:sz="4" w:space="0" w:color="auto"/>
              <w:right w:val="single" w:sz="4" w:space="0" w:color="auto"/>
            </w:tcBorders>
            <w:shd w:val="clear" w:color="auto" w:fill="auto"/>
            <w:noWrap/>
            <w:vAlign w:val="bottom"/>
            <w:hideMark/>
          </w:tcPr>
          <w:p w14:paraId="0AF15E3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4,193</w:t>
            </w:r>
          </w:p>
        </w:tc>
        <w:tc>
          <w:tcPr>
            <w:tcW w:w="990" w:type="dxa"/>
            <w:tcBorders>
              <w:top w:val="nil"/>
              <w:left w:val="nil"/>
              <w:bottom w:val="single" w:sz="4" w:space="0" w:color="auto"/>
              <w:right w:val="single" w:sz="4" w:space="0" w:color="auto"/>
            </w:tcBorders>
            <w:shd w:val="clear" w:color="auto" w:fill="auto"/>
            <w:noWrap/>
            <w:vAlign w:val="bottom"/>
            <w:hideMark/>
          </w:tcPr>
          <w:p w14:paraId="68B866F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2,762</w:t>
            </w:r>
          </w:p>
        </w:tc>
        <w:tc>
          <w:tcPr>
            <w:tcW w:w="990" w:type="dxa"/>
            <w:tcBorders>
              <w:top w:val="nil"/>
              <w:left w:val="nil"/>
              <w:bottom w:val="single" w:sz="4" w:space="0" w:color="auto"/>
              <w:right w:val="single" w:sz="4" w:space="0" w:color="auto"/>
            </w:tcBorders>
            <w:shd w:val="clear" w:color="auto" w:fill="auto"/>
            <w:noWrap/>
            <w:vAlign w:val="bottom"/>
            <w:hideMark/>
          </w:tcPr>
          <w:p w14:paraId="05528BF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918</w:t>
            </w:r>
          </w:p>
        </w:tc>
        <w:tc>
          <w:tcPr>
            <w:tcW w:w="990" w:type="dxa"/>
            <w:tcBorders>
              <w:top w:val="nil"/>
              <w:left w:val="nil"/>
              <w:bottom w:val="single" w:sz="4" w:space="0" w:color="auto"/>
              <w:right w:val="single" w:sz="4" w:space="0" w:color="auto"/>
            </w:tcBorders>
            <w:shd w:val="clear" w:color="auto" w:fill="auto"/>
            <w:noWrap/>
            <w:vAlign w:val="bottom"/>
            <w:hideMark/>
          </w:tcPr>
          <w:p w14:paraId="4AD036B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513</w:t>
            </w:r>
          </w:p>
        </w:tc>
        <w:tc>
          <w:tcPr>
            <w:tcW w:w="1177" w:type="dxa"/>
            <w:tcBorders>
              <w:top w:val="nil"/>
              <w:left w:val="nil"/>
              <w:bottom w:val="single" w:sz="4" w:space="0" w:color="auto"/>
              <w:right w:val="single" w:sz="4" w:space="0" w:color="auto"/>
            </w:tcBorders>
            <w:shd w:val="clear" w:color="auto" w:fill="auto"/>
            <w:noWrap/>
            <w:vAlign w:val="bottom"/>
            <w:hideMark/>
          </w:tcPr>
          <w:p w14:paraId="30D0800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2,333,187</w:t>
            </w:r>
          </w:p>
        </w:tc>
        <w:tc>
          <w:tcPr>
            <w:tcW w:w="1177" w:type="dxa"/>
            <w:tcBorders>
              <w:top w:val="nil"/>
              <w:left w:val="nil"/>
              <w:bottom w:val="single" w:sz="4" w:space="0" w:color="auto"/>
              <w:right w:val="single" w:sz="4" w:space="0" w:color="auto"/>
            </w:tcBorders>
            <w:shd w:val="clear" w:color="auto" w:fill="auto"/>
            <w:noWrap/>
            <w:vAlign w:val="bottom"/>
            <w:hideMark/>
          </w:tcPr>
          <w:p w14:paraId="49CC22B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1,496,844</w:t>
            </w:r>
          </w:p>
        </w:tc>
        <w:tc>
          <w:tcPr>
            <w:tcW w:w="1177" w:type="dxa"/>
            <w:tcBorders>
              <w:top w:val="nil"/>
              <w:left w:val="nil"/>
              <w:bottom w:val="single" w:sz="4" w:space="0" w:color="auto"/>
              <w:right w:val="single" w:sz="4" w:space="0" w:color="auto"/>
            </w:tcBorders>
            <w:shd w:val="clear" w:color="auto" w:fill="auto"/>
            <w:noWrap/>
            <w:vAlign w:val="bottom"/>
            <w:hideMark/>
          </w:tcPr>
          <w:p w14:paraId="375CE40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449,741</w:t>
            </w:r>
          </w:p>
        </w:tc>
        <w:tc>
          <w:tcPr>
            <w:tcW w:w="1521" w:type="dxa"/>
            <w:tcBorders>
              <w:top w:val="nil"/>
              <w:left w:val="nil"/>
              <w:bottom w:val="single" w:sz="4" w:space="0" w:color="auto"/>
              <w:right w:val="single" w:sz="4" w:space="0" w:color="auto"/>
            </w:tcBorders>
            <w:shd w:val="clear" w:color="auto" w:fill="auto"/>
            <w:noWrap/>
            <w:vAlign w:val="bottom"/>
            <w:hideMark/>
          </w:tcPr>
          <w:p w14:paraId="01A5C68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386,602</w:t>
            </w:r>
          </w:p>
        </w:tc>
      </w:tr>
      <w:tr w:rsidR="00BF10A3" w:rsidRPr="009B3B4D" w14:paraId="4CB42BFA"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694DA480"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CC0AD"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&lt; 2 year</w:t>
            </w:r>
          </w:p>
        </w:tc>
        <w:tc>
          <w:tcPr>
            <w:tcW w:w="2430" w:type="dxa"/>
            <w:tcBorders>
              <w:top w:val="nil"/>
              <w:left w:val="nil"/>
              <w:bottom w:val="single" w:sz="4" w:space="0" w:color="auto"/>
              <w:right w:val="single" w:sz="4" w:space="0" w:color="auto"/>
            </w:tcBorders>
            <w:shd w:val="clear" w:color="auto" w:fill="auto"/>
            <w:noWrap/>
            <w:vAlign w:val="center"/>
            <w:hideMark/>
          </w:tcPr>
          <w:p w14:paraId="1868A88F"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0217252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1,100</w:t>
            </w:r>
          </w:p>
        </w:tc>
        <w:tc>
          <w:tcPr>
            <w:tcW w:w="990" w:type="dxa"/>
            <w:tcBorders>
              <w:top w:val="nil"/>
              <w:left w:val="nil"/>
              <w:bottom w:val="single" w:sz="4" w:space="0" w:color="auto"/>
              <w:right w:val="single" w:sz="4" w:space="0" w:color="auto"/>
            </w:tcBorders>
            <w:shd w:val="clear" w:color="auto" w:fill="auto"/>
            <w:noWrap/>
            <w:vAlign w:val="bottom"/>
            <w:hideMark/>
          </w:tcPr>
          <w:p w14:paraId="4CF933A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877</w:t>
            </w:r>
          </w:p>
        </w:tc>
        <w:tc>
          <w:tcPr>
            <w:tcW w:w="990" w:type="dxa"/>
            <w:tcBorders>
              <w:top w:val="nil"/>
              <w:left w:val="nil"/>
              <w:bottom w:val="single" w:sz="4" w:space="0" w:color="auto"/>
              <w:right w:val="single" w:sz="4" w:space="0" w:color="auto"/>
            </w:tcBorders>
            <w:shd w:val="clear" w:color="auto" w:fill="auto"/>
            <w:noWrap/>
            <w:vAlign w:val="bottom"/>
            <w:hideMark/>
          </w:tcPr>
          <w:p w14:paraId="0F3EF8B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185</w:t>
            </w:r>
          </w:p>
        </w:tc>
        <w:tc>
          <w:tcPr>
            <w:tcW w:w="990" w:type="dxa"/>
            <w:tcBorders>
              <w:top w:val="nil"/>
              <w:left w:val="nil"/>
              <w:bottom w:val="single" w:sz="4" w:space="0" w:color="auto"/>
              <w:right w:val="single" w:sz="4" w:space="0" w:color="auto"/>
            </w:tcBorders>
            <w:shd w:val="clear" w:color="auto" w:fill="auto"/>
            <w:noWrap/>
            <w:vAlign w:val="bottom"/>
            <w:hideMark/>
          </w:tcPr>
          <w:p w14:paraId="7DD76E2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38</w:t>
            </w:r>
          </w:p>
        </w:tc>
        <w:tc>
          <w:tcPr>
            <w:tcW w:w="1177" w:type="dxa"/>
            <w:tcBorders>
              <w:top w:val="nil"/>
              <w:left w:val="nil"/>
              <w:bottom w:val="single" w:sz="4" w:space="0" w:color="auto"/>
              <w:right w:val="single" w:sz="4" w:space="0" w:color="auto"/>
            </w:tcBorders>
            <w:shd w:val="clear" w:color="auto" w:fill="auto"/>
            <w:noWrap/>
            <w:vAlign w:val="bottom"/>
            <w:hideMark/>
          </w:tcPr>
          <w:p w14:paraId="4CAA7FF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216,363</w:t>
            </w:r>
          </w:p>
        </w:tc>
        <w:tc>
          <w:tcPr>
            <w:tcW w:w="1177" w:type="dxa"/>
            <w:tcBorders>
              <w:top w:val="nil"/>
              <w:left w:val="nil"/>
              <w:bottom w:val="single" w:sz="4" w:space="0" w:color="auto"/>
              <w:right w:val="single" w:sz="4" w:space="0" w:color="auto"/>
            </w:tcBorders>
            <w:shd w:val="clear" w:color="auto" w:fill="auto"/>
            <w:noWrap/>
            <w:vAlign w:val="bottom"/>
            <w:hideMark/>
          </w:tcPr>
          <w:p w14:paraId="43FB71C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154,749</w:t>
            </w:r>
          </w:p>
        </w:tc>
        <w:tc>
          <w:tcPr>
            <w:tcW w:w="1177" w:type="dxa"/>
            <w:tcBorders>
              <w:top w:val="nil"/>
              <w:left w:val="nil"/>
              <w:bottom w:val="single" w:sz="4" w:space="0" w:color="auto"/>
              <w:right w:val="single" w:sz="4" w:space="0" w:color="auto"/>
            </w:tcBorders>
            <w:shd w:val="clear" w:color="auto" w:fill="auto"/>
            <w:noWrap/>
            <w:vAlign w:val="bottom"/>
            <w:hideMark/>
          </w:tcPr>
          <w:p w14:paraId="2047E93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51,207</w:t>
            </w:r>
          </w:p>
        </w:tc>
        <w:tc>
          <w:tcPr>
            <w:tcW w:w="1521" w:type="dxa"/>
            <w:tcBorders>
              <w:top w:val="nil"/>
              <w:left w:val="nil"/>
              <w:bottom w:val="single" w:sz="4" w:space="0" w:color="auto"/>
              <w:right w:val="single" w:sz="4" w:space="0" w:color="auto"/>
            </w:tcBorders>
            <w:shd w:val="clear" w:color="auto" w:fill="auto"/>
            <w:noWrap/>
            <w:vAlign w:val="bottom"/>
            <w:hideMark/>
          </w:tcPr>
          <w:p w14:paraId="01CA65E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10,407</w:t>
            </w:r>
          </w:p>
        </w:tc>
      </w:tr>
      <w:tr w:rsidR="00BF10A3" w:rsidRPr="009B3B4D" w14:paraId="085CE1C0"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37080697"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49F1A77F"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56B38867"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Associate's</w:t>
            </w:r>
          </w:p>
        </w:tc>
        <w:tc>
          <w:tcPr>
            <w:tcW w:w="990" w:type="dxa"/>
            <w:tcBorders>
              <w:top w:val="nil"/>
              <w:left w:val="nil"/>
              <w:bottom w:val="single" w:sz="4" w:space="0" w:color="auto"/>
              <w:right w:val="single" w:sz="4" w:space="0" w:color="auto"/>
            </w:tcBorders>
            <w:shd w:val="clear" w:color="auto" w:fill="auto"/>
            <w:noWrap/>
            <w:vAlign w:val="bottom"/>
            <w:hideMark/>
          </w:tcPr>
          <w:p w14:paraId="4084CC6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w:t>
            </w:r>
          </w:p>
        </w:tc>
        <w:tc>
          <w:tcPr>
            <w:tcW w:w="990" w:type="dxa"/>
            <w:tcBorders>
              <w:top w:val="nil"/>
              <w:left w:val="nil"/>
              <w:bottom w:val="single" w:sz="4" w:space="0" w:color="auto"/>
              <w:right w:val="single" w:sz="4" w:space="0" w:color="auto"/>
            </w:tcBorders>
            <w:shd w:val="clear" w:color="auto" w:fill="auto"/>
            <w:noWrap/>
            <w:vAlign w:val="bottom"/>
            <w:hideMark/>
          </w:tcPr>
          <w:p w14:paraId="41A193D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bottom"/>
            <w:hideMark/>
          </w:tcPr>
          <w:p w14:paraId="6EB1301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1E8FAB4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08AB1F2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195</w:t>
            </w:r>
          </w:p>
        </w:tc>
        <w:tc>
          <w:tcPr>
            <w:tcW w:w="1177" w:type="dxa"/>
            <w:tcBorders>
              <w:top w:val="nil"/>
              <w:left w:val="nil"/>
              <w:bottom w:val="single" w:sz="4" w:space="0" w:color="auto"/>
              <w:right w:val="single" w:sz="4" w:space="0" w:color="auto"/>
            </w:tcBorders>
            <w:shd w:val="clear" w:color="auto" w:fill="auto"/>
            <w:noWrap/>
            <w:vAlign w:val="bottom"/>
            <w:hideMark/>
          </w:tcPr>
          <w:p w14:paraId="27D7233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195</w:t>
            </w:r>
          </w:p>
        </w:tc>
        <w:tc>
          <w:tcPr>
            <w:tcW w:w="1177" w:type="dxa"/>
            <w:tcBorders>
              <w:top w:val="nil"/>
              <w:left w:val="nil"/>
              <w:bottom w:val="single" w:sz="4" w:space="0" w:color="auto"/>
              <w:right w:val="single" w:sz="4" w:space="0" w:color="auto"/>
            </w:tcBorders>
            <w:shd w:val="clear" w:color="auto" w:fill="auto"/>
            <w:noWrap/>
            <w:vAlign w:val="bottom"/>
            <w:hideMark/>
          </w:tcPr>
          <w:p w14:paraId="036FAF9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6EB09BF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6EDF3519"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6E4D3613"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23206101"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2C361EA2"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1st Professional Degree</w:t>
            </w:r>
          </w:p>
        </w:tc>
        <w:tc>
          <w:tcPr>
            <w:tcW w:w="990" w:type="dxa"/>
            <w:tcBorders>
              <w:top w:val="nil"/>
              <w:left w:val="nil"/>
              <w:bottom w:val="single" w:sz="4" w:space="0" w:color="auto"/>
              <w:right w:val="single" w:sz="4" w:space="0" w:color="auto"/>
            </w:tcBorders>
            <w:shd w:val="clear" w:color="auto" w:fill="auto"/>
            <w:noWrap/>
            <w:vAlign w:val="bottom"/>
            <w:hideMark/>
          </w:tcPr>
          <w:p w14:paraId="3341FA5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bottom"/>
            <w:hideMark/>
          </w:tcPr>
          <w:p w14:paraId="052D3B5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bottom"/>
            <w:hideMark/>
          </w:tcPr>
          <w:p w14:paraId="33493AE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1B64F39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0AE22C5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312</w:t>
            </w:r>
          </w:p>
        </w:tc>
        <w:tc>
          <w:tcPr>
            <w:tcW w:w="1177" w:type="dxa"/>
            <w:tcBorders>
              <w:top w:val="nil"/>
              <w:left w:val="nil"/>
              <w:bottom w:val="single" w:sz="4" w:space="0" w:color="auto"/>
              <w:right w:val="single" w:sz="4" w:space="0" w:color="auto"/>
            </w:tcBorders>
            <w:shd w:val="clear" w:color="auto" w:fill="auto"/>
            <w:noWrap/>
            <w:vAlign w:val="bottom"/>
            <w:hideMark/>
          </w:tcPr>
          <w:p w14:paraId="21CB034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312</w:t>
            </w:r>
          </w:p>
        </w:tc>
        <w:tc>
          <w:tcPr>
            <w:tcW w:w="1177" w:type="dxa"/>
            <w:tcBorders>
              <w:top w:val="nil"/>
              <w:left w:val="nil"/>
              <w:bottom w:val="single" w:sz="4" w:space="0" w:color="auto"/>
              <w:right w:val="single" w:sz="4" w:space="0" w:color="auto"/>
            </w:tcBorders>
            <w:shd w:val="clear" w:color="auto" w:fill="auto"/>
            <w:noWrap/>
            <w:vAlign w:val="bottom"/>
            <w:hideMark/>
          </w:tcPr>
          <w:p w14:paraId="044AA60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3ED0E49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7070E2FC"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0404E6AA"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11AE7F"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2-3 year</w:t>
            </w:r>
          </w:p>
        </w:tc>
        <w:tc>
          <w:tcPr>
            <w:tcW w:w="2430" w:type="dxa"/>
            <w:tcBorders>
              <w:top w:val="nil"/>
              <w:left w:val="nil"/>
              <w:bottom w:val="single" w:sz="4" w:space="0" w:color="auto"/>
              <w:right w:val="single" w:sz="4" w:space="0" w:color="auto"/>
            </w:tcBorders>
            <w:shd w:val="clear" w:color="auto" w:fill="auto"/>
            <w:noWrap/>
            <w:vAlign w:val="center"/>
            <w:hideMark/>
          </w:tcPr>
          <w:p w14:paraId="00601475"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00FD899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1,223</w:t>
            </w:r>
          </w:p>
        </w:tc>
        <w:tc>
          <w:tcPr>
            <w:tcW w:w="990" w:type="dxa"/>
            <w:tcBorders>
              <w:top w:val="nil"/>
              <w:left w:val="nil"/>
              <w:bottom w:val="single" w:sz="4" w:space="0" w:color="auto"/>
              <w:right w:val="single" w:sz="4" w:space="0" w:color="auto"/>
            </w:tcBorders>
            <w:shd w:val="clear" w:color="auto" w:fill="auto"/>
            <w:noWrap/>
            <w:vAlign w:val="bottom"/>
            <w:hideMark/>
          </w:tcPr>
          <w:p w14:paraId="1993814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903</w:t>
            </w:r>
          </w:p>
        </w:tc>
        <w:tc>
          <w:tcPr>
            <w:tcW w:w="990" w:type="dxa"/>
            <w:tcBorders>
              <w:top w:val="nil"/>
              <w:left w:val="nil"/>
              <w:bottom w:val="single" w:sz="4" w:space="0" w:color="auto"/>
              <w:right w:val="single" w:sz="4" w:space="0" w:color="auto"/>
            </w:tcBorders>
            <w:shd w:val="clear" w:color="auto" w:fill="auto"/>
            <w:noWrap/>
            <w:vAlign w:val="bottom"/>
            <w:hideMark/>
          </w:tcPr>
          <w:p w14:paraId="4AD4585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264</w:t>
            </w:r>
          </w:p>
        </w:tc>
        <w:tc>
          <w:tcPr>
            <w:tcW w:w="990" w:type="dxa"/>
            <w:tcBorders>
              <w:top w:val="nil"/>
              <w:left w:val="nil"/>
              <w:bottom w:val="single" w:sz="4" w:space="0" w:color="auto"/>
              <w:right w:val="single" w:sz="4" w:space="0" w:color="auto"/>
            </w:tcBorders>
            <w:shd w:val="clear" w:color="auto" w:fill="auto"/>
            <w:noWrap/>
            <w:vAlign w:val="bottom"/>
            <w:hideMark/>
          </w:tcPr>
          <w:p w14:paraId="4F4D562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56</w:t>
            </w:r>
          </w:p>
        </w:tc>
        <w:tc>
          <w:tcPr>
            <w:tcW w:w="1177" w:type="dxa"/>
            <w:tcBorders>
              <w:top w:val="nil"/>
              <w:left w:val="nil"/>
              <w:bottom w:val="single" w:sz="4" w:space="0" w:color="auto"/>
              <w:right w:val="single" w:sz="4" w:space="0" w:color="auto"/>
            </w:tcBorders>
            <w:shd w:val="clear" w:color="auto" w:fill="auto"/>
            <w:noWrap/>
            <w:vAlign w:val="bottom"/>
            <w:hideMark/>
          </w:tcPr>
          <w:p w14:paraId="64EEBC2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365,500</w:t>
            </w:r>
          </w:p>
        </w:tc>
        <w:tc>
          <w:tcPr>
            <w:tcW w:w="1177" w:type="dxa"/>
            <w:tcBorders>
              <w:top w:val="nil"/>
              <w:left w:val="nil"/>
              <w:bottom w:val="single" w:sz="4" w:space="0" w:color="auto"/>
              <w:right w:val="single" w:sz="4" w:space="0" w:color="auto"/>
            </w:tcBorders>
            <w:shd w:val="clear" w:color="auto" w:fill="auto"/>
            <w:noWrap/>
            <w:vAlign w:val="bottom"/>
            <w:hideMark/>
          </w:tcPr>
          <w:p w14:paraId="35B527E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255,040</w:t>
            </w:r>
          </w:p>
        </w:tc>
        <w:tc>
          <w:tcPr>
            <w:tcW w:w="1177" w:type="dxa"/>
            <w:tcBorders>
              <w:top w:val="nil"/>
              <w:left w:val="nil"/>
              <w:bottom w:val="single" w:sz="4" w:space="0" w:color="auto"/>
              <w:right w:val="single" w:sz="4" w:space="0" w:color="auto"/>
            </w:tcBorders>
            <w:shd w:val="clear" w:color="auto" w:fill="auto"/>
            <w:noWrap/>
            <w:vAlign w:val="bottom"/>
            <w:hideMark/>
          </w:tcPr>
          <w:p w14:paraId="01C83C1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97,385</w:t>
            </w:r>
          </w:p>
        </w:tc>
        <w:tc>
          <w:tcPr>
            <w:tcW w:w="1521" w:type="dxa"/>
            <w:tcBorders>
              <w:top w:val="nil"/>
              <w:left w:val="nil"/>
              <w:bottom w:val="single" w:sz="4" w:space="0" w:color="auto"/>
              <w:right w:val="single" w:sz="4" w:space="0" w:color="auto"/>
            </w:tcBorders>
            <w:shd w:val="clear" w:color="auto" w:fill="auto"/>
            <w:noWrap/>
            <w:vAlign w:val="bottom"/>
            <w:hideMark/>
          </w:tcPr>
          <w:p w14:paraId="79B6AF5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13,075</w:t>
            </w:r>
          </w:p>
        </w:tc>
      </w:tr>
      <w:tr w:rsidR="00BF10A3" w:rsidRPr="009B3B4D" w14:paraId="2499F1FC"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35C0DA9A"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428F25EE"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08AEE917"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Associate's</w:t>
            </w:r>
          </w:p>
        </w:tc>
        <w:tc>
          <w:tcPr>
            <w:tcW w:w="990" w:type="dxa"/>
            <w:tcBorders>
              <w:top w:val="nil"/>
              <w:left w:val="nil"/>
              <w:bottom w:val="single" w:sz="4" w:space="0" w:color="auto"/>
              <w:right w:val="single" w:sz="4" w:space="0" w:color="auto"/>
            </w:tcBorders>
            <w:shd w:val="clear" w:color="auto" w:fill="auto"/>
            <w:noWrap/>
            <w:vAlign w:val="bottom"/>
            <w:hideMark/>
          </w:tcPr>
          <w:p w14:paraId="3930D1B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452</w:t>
            </w:r>
          </w:p>
        </w:tc>
        <w:tc>
          <w:tcPr>
            <w:tcW w:w="990" w:type="dxa"/>
            <w:tcBorders>
              <w:top w:val="nil"/>
              <w:left w:val="nil"/>
              <w:bottom w:val="single" w:sz="4" w:space="0" w:color="auto"/>
              <w:right w:val="single" w:sz="4" w:space="0" w:color="auto"/>
            </w:tcBorders>
            <w:shd w:val="clear" w:color="auto" w:fill="auto"/>
            <w:noWrap/>
            <w:vAlign w:val="bottom"/>
            <w:hideMark/>
          </w:tcPr>
          <w:p w14:paraId="20EA932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215</w:t>
            </w:r>
          </w:p>
        </w:tc>
        <w:tc>
          <w:tcPr>
            <w:tcW w:w="990" w:type="dxa"/>
            <w:tcBorders>
              <w:top w:val="nil"/>
              <w:left w:val="nil"/>
              <w:bottom w:val="single" w:sz="4" w:space="0" w:color="auto"/>
              <w:right w:val="single" w:sz="4" w:space="0" w:color="auto"/>
            </w:tcBorders>
            <w:shd w:val="clear" w:color="auto" w:fill="auto"/>
            <w:noWrap/>
            <w:vAlign w:val="bottom"/>
            <w:hideMark/>
          </w:tcPr>
          <w:p w14:paraId="621C1D0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160</w:t>
            </w:r>
          </w:p>
        </w:tc>
        <w:tc>
          <w:tcPr>
            <w:tcW w:w="990" w:type="dxa"/>
            <w:tcBorders>
              <w:top w:val="nil"/>
              <w:left w:val="nil"/>
              <w:bottom w:val="single" w:sz="4" w:space="0" w:color="auto"/>
              <w:right w:val="single" w:sz="4" w:space="0" w:color="auto"/>
            </w:tcBorders>
            <w:shd w:val="clear" w:color="auto" w:fill="auto"/>
            <w:noWrap/>
            <w:vAlign w:val="bottom"/>
            <w:hideMark/>
          </w:tcPr>
          <w:p w14:paraId="6B936C6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77</w:t>
            </w:r>
          </w:p>
        </w:tc>
        <w:tc>
          <w:tcPr>
            <w:tcW w:w="1177" w:type="dxa"/>
            <w:tcBorders>
              <w:top w:val="nil"/>
              <w:left w:val="nil"/>
              <w:bottom w:val="single" w:sz="4" w:space="0" w:color="auto"/>
              <w:right w:val="single" w:sz="4" w:space="0" w:color="auto"/>
            </w:tcBorders>
            <w:shd w:val="clear" w:color="auto" w:fill="auto"/>
            <w:noWrap/>
            <w:vAlign w:val="bottom"/>
            <w:hideMark/>
          </w:tcPr>
          <w:p w14:paraId="11B2FF8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105,750</w:t>
            </w:r>
          </w:p>
        </w:tc>
        <w:tc>
          <w:tcPr>
            <w:tcW w:w="1177" w:type="dxa"/>
            <w:tcBorders>
              <w:top w:val="nil"/>
              <w:left w:val="nil"/>
              <w:bottom w:val="single" w:sz="4" w:space="0" w:color="auto"/>
              <w:right w:val="single" w:sz="4" w:space="0" w:color="auto"/>
            </w:tcBorders>
            <w:shd w:val="clear" w:color="auto" w:fill="auto"/>
            <w:noWrap/>
            <w:vAlign w:val="bottom"/>
            <w:hideMark/>
          </w:tcPr>
          <w:p w14:paraId="1B0233A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41,914</w:t>
            </w:r>
          </w:p>
        </w:tc>
        <w:tc>
          <w:tcPr>
            <w:tcW w:w="1177" w:type="dxa"/>
            <w:tcBorders>
              <w:top w:val="nil"/>
              <w:left w:val="nil"/>
              <w:bottom w:val="single" w:sz="4" w:space="0" w:color="auto"/>
              <w:right w:val="single" w:sz="4" w:space="0" w:color="auto"/>
            </w:tcBorders>
            <w:shd w:val="clear" w:color="auto" w:fill="auto"/>
            <w:noWrap/>
            <w:vAlign w:val="bottom"/>
            <w:hideMark/>
          </w:tcPr>
          <w:p w14:paraId="3E84D52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34,921</w:t>
            </w:r>
          </w:p>
        </w:tc>
        <w:tc>
          <w:tcPr>
            <w:tcW w:w="1521" w:type="dxa"/>
            <w:tcBorders>
              <w:top w:val="nil"/>
              <w:left w:val="nil"/>
              <w:bottom w:val="single" w:sz="4" w:space="0" w:color="auto"/>
              <w:right w:val="single" w:sz="4" w:space="0" w:color="auto"/>
            </w:tcBorders>
            <w:shd w:val="clear" w:color="auto" w:fill="auto"/>
            <w:noWrap/>
            <w:vAlign w:val="bottom"/>
            <w:hideMark/>
          </w:tcPr>
          <w:p w14:paraId="08F11AB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28,915</w:t>
            </w:r>
          </w:p>
        </w:tc>
      </w:tr>
      <w:tr w:rsidR="00BF10A3" w:rsidRPr="009B3B4D" w14:paraId="1AA3697E"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40E529C9"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3280EAAC"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16B79C7B"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Post-Bacc Certificate</w:t>
            </w:r>
          </w:p>
        </w:tc>
        <w:tc>
          <w:tcPr>
            <w:tcW w:w="990" w:type="dxa"/>
            <w:tcBorders>
              <w:top w:val="nil"/>
              <w:left w:val="nil"/>
              <w:bottom w:val="single" w:sz="4" w:space="0" w:color="auto"/>
              <w:right w:val="single" w:sz="4" w:space="0" w:color="auto"/>
            </w:tcBorders>
            <w:shd w:val="clear" w:color="auto" w:fill="auto"/>
            <w:noWrap/>
            <w:vAlign w:val="bottom"/>
            <w:hideMark/>
          </w:tcPr>
          <w:p w14:paraId="1CFAE5E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6053039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6BBCCF6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456D9AA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18D3CD3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156</w:t>
            </w:r>
          </w:p>
        </w:tc>
        <w:tc>
          <w:tcPr>
            <w:tcW w:w="1177" w:type="dxa"/>
            <w:tcBorders>
              <w:top w:val="nil"/>
              <w:left w:val="nil"/>
              <w:bottom w:val="single" w:sz="4" w:space="0" w:color="auto"/>
              <w:right w:val="single" w:sz="4" w:space="0" w:color="auto"/>
            </w:tcBorders>
            <w:shd w:val="clear" w:color="auto" w:fill="auto"/>
            <w:noWrap/>
            <w:vAlign w:val="bottom"/>
            <w:hideMark/>
          </w:tcPr>
          <w:p w14:paraId="1074A62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156</w:t>
            </w:r>
          </w:p>
        </w:tc>
        <w:tc>
          <w:tcPr>
            <w:tcW w:w="1177" w:type="dxa"/>
            <w:tcBorders>
              <w:top w:val="nil"/>
              <w:left w:val="nil"/>
              <w:bottom w:val="single" w:sz="4" w:space="0" w:color="auto"/>
              <w:right w:val="single" w:sz="4" w:space="0" w:color="auto"/>
            </w:tcBorders>
            <w:shd w:val="clear" w:color="auto" w:fill="auto"/>
            <w:noWrap/>
            <w:vAlign w:val="bottom"/>
            <w:hideMark/>
          </w:tcPr>
          <w:p w14:paraId="6617D51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3B572E9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6FD00AB0"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0A12CC4F"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4BBC2" w14:textId="77777777" w:rsidR="00BF10A3" w:rsidRPr="009B3B4D" w:rsidRDefault="00BF10A3" w:rsidP="001F7400">
            <w:pPr>
              <w:spacing w:after="0" w:line="240" w:lineRule="auto"/>
              <w:jc w:val="center"/>
              <w:rPr>
                <w:rFonts w:ascii="Courier" w:eastAsia="Times New Roman" w:hAnsi="Courier" w:cs="Calibri"/>
                <w:color w:val="000000"/>
                <w:sz w:val="16"/>
                <w:szCs w:val="16"/>
              </w:rPr>
            </w:pPr>
            <w:r w:rsidRPr="009B3B4D">
              <w:rPr>
                <w:rFonts w:ascii="Courier" w:eastAsia="Times New Roman" w:hAnsi="Courier" w:cs="Calibri"/>
                <w:color w:val="000000"/>
                <w:sz w:val="16"/>
                <w:szCs w:val="16"/>
              </w:rPr>
              <w:t>4-year</w:t>
            </w:r>
          </w:p>
        </w:tc>
        <w:tc>
          <w:tcPr>
            <w:tcW w:w="2430" w:type="dxa"/>
            <w:tcBorders>
              <w:top w:val="nil"/>
              <w:left w:val="nil"/>
              <w:bottom w:val="single" w:sz="4" w:space="0" w:color="auto"/>
              <w:right w:val="single" w:sz="4" w:space="0" w:color="auto"/>
            </w:tcBorders>
            <w:shd w:val="clear" w:color="auto" w:fill="auto"/>
            <w:noWrap/>
            <w:vAlign w:val="center"/>
            <w:hideMark/>
          </w:tcPr>
          <w:p w14:paraId="1813B8C7"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Certificate</w:t>
            </w:r>
          </w:p>
        </w:tc>
        <w:tc>
          <w:tcPr>
            <w:tcW w:w="990" w:type="dxa"/>
            <w:tcBorders>
              <w:top w:val="nil"/>
              <w:left w:val="nil"/>
              <w:bottom w:val="single" w:sz="4" w:space="0" w:color="auto"/>
              <w:right w:val="single" w:sz="4" w:space="0" w:color="auto"/>
            </w:tcBorders>
            <w:shd w:val="clear" w:color="auto" w:fill="auto"/>
            <w:noWrap/>
            <w:vAlign w:val="bottom"/>
            <w:hideMark/>
          </w:tcPr>
          <w:p w14:paraId="47A45FB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267</w:t>
            </w:r>
          </w:p>
        </w:tc>
        <w:tc>
          <w:tcPr>
            <w:tcW w:w="990" w:type="dxa"/>
            <w:tcBorders>
              <w:top w:val="nil"/>
              <w:left w:val="nil"/>
              <w:bottom w:val="single" w:sz="4" w:space="0" w:color="auto"/>
              <w:right w:val="single" w:sz="4" w:space="0" w:color="auto"/>
            </w:tcBorders>
            <w:shd w:val="clear" w:color="auto" w:fill="auto"/>
            <w:noWrap/>
            <w:vAlign w:val="bottom"/>
            <w:hideMark/>
          </w:tcPr>
          <w:p w14:paraId="07F8DCE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169</w:t>
            </w:r>
          </w:p>
        </w:tc>
        <w:tc>
          <w:tcPr>
            <w:tcW w:w="990" w:type="dxa"/>
            <w:tcBorders>
              <w:top w:val="nil"/>
              <w:left w:val="nil"/>
              <w:bottom w:val="single" w:sz="4" w:space="0" w:color="auto"/>
              <w:right w:val="single" w:sz="4" w:space="0" w:color="auto"/>
            </w:tcBorders>
            <w:shd w:val="clear" w:color="auto" w:fill="auto"/>
            <w:noWrap/>
            <w:vAlign w:val="bottom"/>
            <w:hideMark/>
          </w:tcPr>
          <w:p w14:paraId="713E5EB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70</w:t>
            </w:r>
          </w:p>
        </w:tc>
        <w:tc>
          <w:tcPr>
            <w:tcW w:w="990" w:type="dxa"/>
            <w:tcBorders>
              <w:top w:val="nil"/>
              <w:left w:val="nil"/>
              <w:bottom w:val="single" w:sz="4" w:space="0" w:color="auto"/>
              <w:right w:val="single" w:sz="4" w:space="0" w:color="auto"/>
            </w:tcBorders>
            <w:shd w:val="clear" w:color="auto" w:fill="auto"/>
            <w:noWrap/>
            <w:vAlign w:val="bottom"/>
            <w:hideMark/>
          </w:tcPr>
          <w:p w14:paraId="00C41DB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28</w:t>
            </w:r>
          </w:p>
        </w:tc>
        <w:tc>
          <w:tcPr>
            <w:tcW w:w="1177" w:type="dxa"/>
            <w:tcBorders>
              <w:top w:val="nil"/>
              <w:left w:val="nil"/>
              <w:bottom w:val="single" w:sz="4" w:space="0" w:color="auto"/>
              <w:right w:val="single" w:sz="4" w:space="0" w:color="auto"/>
            </w:tcBorders>
            <w:shd w:val="clear" w:color="auto" w:fill="auto"/>
            <w:noWrap/>
            <w:vAlign w:val="bottom"/>
            <w:hideMark/>
          </w:tcPr>
          <w:p w14:paraId="7EB4FF1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84,610</w:t>
            </w:r>
          </w:p>
        </w:tc>
        <w:tc>
          <w:tcPr>
            <w:tcW w:w="1177" w:type="dxa"/>
            <w:tcBorders>
              <w:top w:val="nil"/>
              <w:left w:val="nil"/>
              <w:bottom w:val="single" w:sz="4" w:space="0" w:color="auto"/>
              <w:right w:val="single" w:sz="4" w:space="0" w:color="auto"/>
            </w:tcBorders>
            <w:shd w:val="clear" w:color="auto" w:fill="auto"/>
            <w:noWrap/>
            <w:vAlign w:val="bottom"/>
            <w:hideMark/>
          </w:tcPr>
          <w:p w14:paraId="00AC3BF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47,102</w:t>
            </w:r>
          </w:p>
        </w:tc>
        <w:tc>
          <w:tcPr>
            <w:tcW w:w="1177" w:type="dxa"/>
            <w:tcBorders>
              <w:top w:val="nil"/>
              <w:left w:val="nil"/>
              <w:bottom w:val="single" w:sz="4" w:space="0" w:color="auto"/>
              <w:right w:val="single" w:sz="4" w:space="0" w:color="auto"/>
            </w:tcBorders>
            <w:shd w:val="clear" w:color="auto" w:fill="auto"/>
            <w:noWrap/>
            <w:vAlign w:val="bottom"/>
            <w:hideMark/>
          </w:tcPr>
          <w:p w14:paraId="6A84D009"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30,205</w:t>
            </w:r>
          </w:p>
        </w:tc>
        <w:tc>
          <w:tcPr>
            <w:tcW w:w="1521" w:type="dxa"/>
            <w:tcBorders>
              <w:top w:val="nil"/>
              <w:left w:val="nil"/>
              <w:bottom w:val="single" w:sz="4" w:space="0" w:color="auto"/>
              <w:right w:val="single" w:sz="4" w:space="0" w:color="auto"/>
            </w:tcBorders>
            <w:shd w:val="clear" w:color="auto" w:fill="auto"/>
            <w:noWrap/>
            <w:vAlign w:val="bottom"/>
            <w:hideMark/>
          </w:tcPr>
          <w:p w14:paraId="042DE5A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7,303</w:t>
            </w:r>
          </w:p>
        </w:tc>
      </w:tr>
      <w:tr w:rsidR="00BF10A3" w:rsidRPr="009B3B4D" w14:paraId="702249CF"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1B36E5AB"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2415A1F9"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6CF3808E"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Associate's</w:t>
            </w:r>
          </w:p>
        </w:tc>
        <w:tc>
          <w:tcPr>
            <w:tcW w:w="990" w:type="dxa"/>
            <w:tcBorders>
              <w:top w:val="nil"/>
              <w:left w:val="nil"/>
              <w:bottom w:val="single" w:sz="4" w:space="0" w:color="auto"/>
              <w:right w:val="single" w:sz="4" w:space="0" w:color="auto"/>
            </w:tcBorders>
            <w:shd w:val="clear" w:color="auto" w:fill="auto"/>
            <w:noWrap/>
            <w:vAlign w:val="bottom"/>
            <w:hideMark/>
          </w:tcPr>
          <w:p w14:paraId="5497C32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514</w:t>
            </w:r>
          </w:p>
        </w:tc>
        <w:tc>
          <w:tcPr>
            <w:tcW w:w="990" w:type="dxa"/>
            <w:tcBorders>
              <w:top w:val="nil"/>
              <w:left w:val="nil"/>
              <w:bottom w:val="single" w:sz="4" w:space="0" w:color="auto"/>
              <w:right w:val="single" w:sz="4" w:space="0" w:color="auto"/>
            </w:tcBorders>
            <w:shd w:val="clear" w:color="auto" w:fill="auto"/>
            <w:noWrap/>
            <w:vAlign w:val="bottom"/>
            <w:hideMark/>
          </w:tcPr>
          <w:p w14:paraId="5D262A2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183</w:t>
            </w:r>
          </w:p>
        </w:tc>
        <w:tc>
          <w:tcPr>
            <w:tcW w:w="990" w:type="dxa"/>
            <w:tcBorders>
              <w:top w:val="nil"/>
              <w:left w:val="nil"/>
              <w:bottom w:val="single" w:sz="4" w:space="0" w:color="auto"/>
              <w:right w:val="single" w:sz="4" w:space="0" w:color="auto"/>
            </w:tcBorders>
            <w:shd w:val="clear" w:color="auto" w:fill="auto"/>
            <w:noWrap/>
            <w:vAlign w:val="bottom"/>
            <w:hideMark/>
          </w:tcPr>
          <w:p w14:paraId="1C2BC72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167</w:t>
            </w:r>
          </w:p>
        </w:tc>
        <w:tc>
          <w:tcPr>
            <w:tcW w:w="990" w:type="dxa"/>
            <w:tcBorders>
              <w:top w:val="nil"/>
              <w:left w:val="nil"/>
              <w:bottom w:val="single" w:sz="4" w:space="0" w:color="auto"/>
              <w:right w:val="single" w:sz="4" w:space="0" w:color="auto"/>
            </w:tcBorders>
            <w:shd w:val="clear" w:color="auto" w:fill="auto"/>
            <w:noWrap/>
            <w:vAlign w:val="bottom"/>
            <w:hideMark/>
          </w:tcPr>
          <w:p w14:paraId="5682EFD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164</w:t>
            </w:r>
          </w:p>
        </w:tc>
        <w:tc>
          <w:tcPr>
            <w:tcW w:w="1177" w:type="dxa"/>
            <w:tcBorders>
              <w:top w:val="nil"/>
              <w:left w:val="nil"/>
              <w:bottom w:val="single" w:sz="4" w:space="0" w:color="auto"/>
              <w:right w:val="single" w:sz="4" w:space="0" w:color="auto"/>
            </w:tcBorders>
            <w:shd w:val="clear" w:color="auto" w:fill="auto"/>
            <w:noWrap/>
            <w:vAlign w:val="bottom"/>
            <w:hideMark/>
          </w:tcPr>
          <w:p w14:paraId="7838D7E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669,030</w:t>
            </w:r>
          </w:p>
        </w:tc>
        <w:tc>
          <w:tcPr>
            <w:tcW w:w="1177" w:type="dxa"/>
            <w:tcBorders>
              <w:top w:val="nil"/>
              <w:left w:val="nil"/>
              <w:bottom w:val="single" w:sz="4" w:space="0" w:color="auto"/>
              <w:right w:val="single" w:sz="4" w:space="0" w:color="auto"/>
            </w:tcBorders>
            <w:shd w:val="clear" w:color="auto" w:fill="auto"/>
            <w:noWrap/>
            <w:vAlign w:val="bottom"/>
            <w:hideMark/>
          </w:tcPr>
          <w:p w14:paraId="37C0E62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240,135</w:t>
            </w:r>
          </w:p>
        </w:tc>
        <w:tc>
          <w:tcPr>
            <w:tcW w:w="1177" w:type="dxa"/>
            <w:tcBorders>
              <w:top w:val="nil"/>
              <w:left w:val="nil"/>
              <w:bottom w:val="single" w:sz="4" w:space="0" w:color="auto"/>
              <w:right w:val="single" w:sz="4" w:space="0" w:color="auto"/>
            </w:tcBorders>
            <w:shd w:val="clear" w:color="auto" w:fill="auto"/>
            <w:noWrap/>
            <w:vAlign w:val="bottom"/>
            <w:hideMark/>
          </w:tcPr>
          <w:p w14:paraId="7E4B646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174,977</w:t>
            </w:r>
          </w:p>
        </w:tc>
        <w:tc>
          <w:tcPr>
            <w:tcW w:w="1521" w:type="dxa"/>
            <w:tcBorders>
              <w:top w:val="nil"/>
              <w:left w:val="nil"/>
              <w:bottom w:val="single" w:sz="4" w:space="0" w:color="auto"/>
              <w:right w:val="single" w:sz="4" w:space="0" w:color="auto"/>
            </w:tcBorders>
            <w:shd w:val="clear" w:color="auto" w:fill="auto"/>
            <w:noWrap/>
            <w:vAlign w:val="bottom"/>
            <w:hideMark/>
          </w:tcPr>
          <w:p w14:paraId="2D56A5C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253,918</w:t>
            </w:r>
          </w:p>
        </w:tc>
      </w:tr>
      <w:tr w:rsidR="00BF10A3" w:rsidRPr="009B3B4D" w14:paraId="204B80AC"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6E7682D5"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53861027"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59267BDD"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Bachelor's</w:t>
            </w:r>
          </w:p>
        </w:tc>
        <w:tc>
          <w:tcPr>
            <w:tcW w:w="990" w:type="dxa"/>
            <w:tcBorders>
              <w:top w:val="nil"/>
              <w:left w:val="nil"/>
              <w:bottom w:val="single" w:sz="4" w:space="0" w:color="auto"/>
              <w:right w:val="single" w:sz="4" w:space="0" w:color="auto"/>
            </w:tcBorders>
            <w:shd w:val="clear" w:color="auto" w:fill="auto"/>
            <w:noWrap/>
            <w:vAlign w:val="bottom"/>
            <w:hideMark/>
          </w:tcPr>
          <w:p w14:paraId="346AA30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407</w:t>
            </w:r>
          </w:p>
        </w:tc>
        <w:tc>
          <w:tcPr>
            <w:tcW w:w="990" w:type="dxa"/>
            <w:tcBorders>
              <w:top w:val="nil"/>
              <w:left w:val="nil"/>
              <w:bottom w:val="single" w:sz="4" w:space="0" w:color="auto"/>
              <w:right w:val="single" w:sz="4" w:space="0" w:color="auto"/>
            </w:tcBorders>
            <w:shd w:val="clear" w:color="auto" w:fill="auto"/>
            <w:noWrap/>
            <w:vAlign w:val="bottom"/>
            <w:hideMark/>
          </w:tcPr>
          <w:p w14:paraId="79FC2F6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208</w:t>
            </w:r>
          </w:p>
        </w:tc>
        <w:tc>
          <w:tcPr>
            <w:tcW w:w="990" w:type="dxa"/>
            <w:tcBorders>
              <w:top w:val="nil"/>
              <w:left w:val="nil"/>
              <w:bottom w:val="single" w:sz="4" w:space="0" w:color="auto"/>
              <w:right w:val="single" w:sz="4" w:space="0" w:color="auto"/>
            </w:tcBorders>
            <w:shd w:val="clear" w:color="auto" w:fill="auto"/>
            <w:noWrap/>
            <w:vAlign w:val="bottom"/>
            <w:hideMark/>
          </w:tcPr>
          <w:p w14:paraId="5AB3A50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62</w:t>
            </w:r>
          </w:p>
        </w:tc>
        <w:tc>
          <w:tcPr>
            <w:tcW w:w="990" w:type="dxa"/>
            <w:tcBorders>
              <w:top w:val="nil"/>
              <w:left w:val="nil"/>
              <w:bottom w:val="single" w:sz="4" w:space="0" w:color="auto"/>
              <w:right w:val="single" w:sz="4" w:space="0" w:color="auto"/>
            </w:tcBorders>
            <w:shd w:val="clear" w:color="auto" w:fill="auto"/>
            <w:noWrap/>
            <w:vAlign w:val="bottom"/>
            <w:hideMark/>
          </w:tcPr>
          <w:p w14:paraId="38CE441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137</w:t>
            </w:r>
          </w:p>
        </w:tc>
        <w:tc>
          <w:tcPr>
            <w:tcW w:w="1177" w:type="dxa"/>
            <w:tcBorders>
              <w:top w:val="nil"/>
              <w:left w:val="nil"/>
              <w:bottom w:val="single" w:sz="4" w:space="0" w:color="auto"/>
              <w:right w:val="single" w:sz="4" w:space="0" w:color="auto"/>
            </w:tcBorders>
            <w:shd w:val="clear" w:color="auto" w:fill="auto"/>
            <w:noWrap/>
            <w:vAlign w:val="bottom"/>
            <w:hideMark/>
          </w:tcPr>
          <w:p w14:paraId="5C165A8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618,330</w:t>
            </w:r>
          </w:p>
        </w:tc>
        <w:tc>
          <w:tcPr>
            <w:tcW w:w="1177" w:type="dxa"/>
            <w:tcBorders>
              <w:top w:val="nil"/>
              <w:left w:val="nil"/>
              <w:bottom w:val="single" w:sz="4" w:space="0" w:color="auto"/>
              <w:right w:val="single" w:sz="4" w:space="0" w:color="auto"/>
            </w:tcBorders>
            <w:shd w:val="clear" w:color="auto" w:fill="auto"/>
            <w:noWrap/>
            <w:vAlign w:val="bottom"/>
            <w:hideMark/>
          </w:tcPr>
          <w:p w14:paraId="609BCDC6"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493,257</w:t>
            </w:r>
          </w:p>
        </w:tc>
        <w:tc>
          <w:tcPr>
            <w:tcW w:w="1177" w:type="dxa"/>
            <w:tcBorders>
              <w:top w:val="nil"/>
              <w:left w:val="nil"/>
              <w:bottom w:val="single" w:sz="4" w:space="0" w:color="auto"/>
              <w:right w:val="single" w:sz="4" w:space="0" w:color="auto"/>
            </w:tcBorders>
            <w:shd w:val="clear" w:color="auto" w:fill="auto"/>
            <w:noWrap/>
            <w:vAlign w:val="bottom"/>
            <w:hideMark/>
          </w:tcPr>
          <w:p w14:paraId="543211E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55,897</w:t>
            </w:r>
          </w:p>
        </w:tc>
        <w:tc>
          <w:tcPr>
            <w:tcW w:w="1521" w:type="dxa"/>
            <w:tcBorders>
              <w:top w:val="nil"/>
              <w:left w:val="nil"/>
              <w:bottom w:val="single" w:sz="4" w:space="0" w:color="auto"/>
              <w:right w:val="single" w:sz="4" w:space="0" w:color="auto"/>
            </w:tcBorders>
            <w:shd w:val="clear" w:color="auto" w:fill="auto"/>
            <w:noWrap/>
            <w:vAlign w:val="bottom"/>
            <w:hideMark/>
          </w:tcPr>
          <w:p w14:paraId="1FE49C4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69,176</w:t>
            </w:r>
          </w:p>
        </w:tc>
      </w:tr>
      <w:tr w:rsidR="00BF10A3" w:rsidRPr="009B3B4D" w14:paraId="07031485"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0B940128"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47FD17A0"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53802286"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Post-Bacc Certificate</w:t>
            </w:r>
          </w:p>
        </w:tc>
        <w:tc>
          <w:tcPr>
            <w:tcW w:w="990" w:type="dxa"/>
            <w:tcBorders>
              <w:top w:val="nil"/>
              <w:left w:val="nil"/>
              <w:bottom w:val="single" w:sz="4" w:space="0" w:color="auto"/>
              <w:right w:val="single" w:sz="4" w:space="0" w:color="auto"/>
            </w:tcBorders>
            <w:shd w:val="clear" w:color="auto" w:fill="auto"/>
            <w:noWrap/>
            <w:vAlign w:val="bottom"/>
            <w:hideMark/>
          </w:tcPr>
          <w:p w14:paraId="75B960D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w:t>
            </w:r>
          </w:p>
        </w:tc>
        <w:tc>
          <w:tcPr>
            <w:tcW w:w="990" w:type="dxa"/>
            <w:tcBorders>
              <w:top w:val="nil"/>
              <w:left w:val="nil"/>
              <w:bottom w:val="single" w:sz="4" w:space="0" w:color="auto"/>
              <w:right w:val="single" w:sz="4" w:space="0" w:color="auto"/>
            </w:tcBorders>
            <w:shd w:val="clear" w:color="auto" w:fill="auto"/>
            <w:noWrap/>
            <w:vAlign w:val="bottom"/>
            <w:hideMark/>
          </w:tcPr>
          <w:p w14:paraId="63C61DF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8</w:t>
            </w:r>
          </w:p>
        </w:tc>
        <w:tc>
          <w:tcPr>
            <w:tcW w:w="990" w:type="dxa"/>
            <w:tcBorders>
              <w:top w:val="nil"/>
              <w:left w:val="nil"/>
              <w:bottom w:val="single" w:sz="4" w:space="0" w:color="auto"/>
              <w:right w:val="single" w:sz="4" w:space="0" w:color="auto"/>
            </w:tcBorders>
            <w:shd w:val="clear" w:color="auto" w:fill="auto"/>
            <w:noWrap/>
            <w:vAlign w:val="bottom"/>
            <w:hideMark/>
          </w:tcPr>
          <w:p w14:paraId="42781CD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14F73FF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6C5DDB1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1,950</w:t>
            </w:r>
          </w:p>
        </w:tc>
        <w:tc>
          <w:tcPr>
            <w:tcW w:w="1177" w:type="dxa"/>
            <w:tcBorders>
              <w:top w:val="nil"/>
              <w:left w:val="nil"/>
              <w:bottom w:val="single" w:sz="4" w:space="0" w:color="auto"/>
              <w:right w:val="single" w:sz="4" w:space="0" w:color="auto"/>
            </w:tcBorders>
            <w:shd w:val="clear" w:color="auto" w:fill="auto"/>
            <w:noWrap/>
            <w:vAlign w:val="bottom"/>
            <w:hideMark/>
          </w:tcPr>
          <w:p w14:paraId="67AB04E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1,950</w:t>
            </w:r>
          </w:p>
        </w:tc>
        <w:tc>
          <w:tcPr>
            <w:tcW w:w="1177" w:type="dxa"/>
            <w:tcBorders>
              <w:top w:val="nil"/>
              <w:left w:val="nil"/>
              <w:bottom w:val="single" w:sz="4" w:space="0" w:color="auto"/>
              <w:right w:val="single" w:sz="4" w:space="0" w:color="auto"/>
            </w:tcBorders>
            <w:shd w:val="clear" w:color="auto" w:fill="auto"/>
            <w:noWrap/>
            <w:vAlign w:val="bottom"/>
            <w:hideMark/>
          </w:tcPr>
          <w:p w14:paraId="26E8F6C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521" w:type="dxa"/>
            <w:tcBorders>
              <w:top w:val="nil"/>
              <w:left w:val="nil"/>
              <w:bottom w:val="single" w:sz="4" w:space="0" w:color="auto"/>
              <w:right w:val="single" w:sz="4" w:space="0" w:color="auto"/>
            </w:tcBorders>
            <w:shd w:val="clear" w:color="auto" w:fill="auto"/>
            <w:noWrap/>
            <w:vAlign w:val="bottom"/>
            <w:hideMark/>
          </w:tcPr>
          <w:p w14:paraId="5250F63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0851D70E"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1C36F90D"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03FD2D2F"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22BB262A"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Master's</w:t>
            </w:r>
          </w:p>
        </w:tc>
        <w:tc>
          <w:tcPr>
            <w:tcW w:w="990" w:type="dxa"/>
            <w:tcBorders>
              <w:top w:val="nil"/>
              <w:left w:val="nil"/>
              <w:bottom w:val="single" w:sz="4" w:space="0" w:color="auto"/>
              <w:right w:val="single" w:sz="4" w:space="0" w:color="auto"/>
            </w:tcBorders>
            <w:shd w:val="clear" w:color="auto" w:fill="auto"/>
            <w:noWrap/>
            <w:vAlign w:val="bottom"/>
            <w:hideMark/>
          </w:tcPr>
          <w:p w14:paraId="00B3D4AE"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171</w:t>
            </w:r>
          </w:p>
        </w:tc>
        <w:tc>
          <w:tcPr>
            <w:tcW w:w="990" w:type="dxa"/>
            <w:tcBorders>
              <w:top w:val="nil"/>
              <w:left w:val="nil"/>
              <w:bottom w:val="single" w:sz="4" w:space="0" w:color="auto"/>
              <w:right w:val="single" w:sz="4" w:space="0" w:color="auto"/>
            </w:tcBorders>
            <w:shd w:val="clear" w:color="auto" w:fill="auto"/>
            <w:noWrap/>
            <w:vAlign w:val="bottom"/>
            <w:hideMark/>
          </w:tcPr>
          <w:p w14:paraId="0DF2CC4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157</w:t>
            </w:r>
          </w:p>
        </w:tc>
        <w:tc>
          <w:tcPr>
            <w:tcW w:w="990" w:type="dxa"/>
            <w:tcBorders>
              <w:top w:val="nil"/>
              <w:left w:val="nil"/>
              <w:bottom w:val="single" w:sz="4" w:space="0" w:color="auto"/>
              <w:right w:val="single" w:sz="4" w:space="0" w:color="auto"/>
            </w:tcBorders>
            <w:shd w:val="clear" w:color="auto" w:fill="auto"/>
            <w:noWrap/>
            <w:vAlign w:val="bottom"/>
            <w:hideMark/>
          </w:tcPr>
          <w:p w14:paraId="3692F0E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bottom"/>
            <w:hideMark/>
          </w:tcPr>
          <w:p w14:paraId="3E305C4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w:t>
            </w:r>
          </w:p>
        </w:tc>
        <w:tc>
          <w:tcPr>
            <w:tcW w:w="1177" w:type="dxa"/>
            <w:tcBorders>
              <w:top w:val="nil"/>
              <w:left w:val="nil"/>
              <w:bottom w:val="single" w:sz="4" w:space="0" w:color="auto"/>
              <w:right w:val="single" w:sz="4" w:space="0" w:color="auto"/>
            </w:tcBorders>
            <w:shd w:val="clear" w:color="auto" w:fill="auto"/>
            <w:noWrap/>
            <w:vAlign w:val="bottom"/>
            <w:hideMark/>
          </w:tcPr>
          <w:p w14:paraId="6050817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226,106</w:t>
            </w:r>
          </w:p>
        </w:tc>
        <w:tc>
          <w:tcPr>
            <w:tcW w:w="1177" w:type="dxa"/>
            <w:tcBorders>
              <w:top w:val="nil"/>
              <w:left w:val="nil"/>
              <w:bottom w:val="single" w:sz="4" w:space="0" w:color="auto"/>
              <w:right w:val="single" w:sz="4" w:space="0" w:color="auto"/>
            </w:tcBorders>
            <w:shd w:val="clear" w:color="auto" w:fill="auto"/>
            <w:noWrap/>
            <w:vAlign w:val="bottom"/>
            <w:hideMark/>
          </w:tcPr>
          <w:p w14:paraId="0B84314A"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222,173</w:t>
            </w:r>
          </w:p>
        </w:tc>
        <w:tc>
          <w:tcPr>
            <w:tcW w:w="1177" w:type="dxa"/>
            <w:tcBorders>
              <w:top w:val="nil"/>
              <w:left w:val="nil"/>
              <w:bottom w:val="single" w:sz="4" w:space="0" w:color="auto"/>
              <w:right w:val="single" w:sz="4" w:space="0" w:color="auto"/>
            </w:tcBorders>
            <w:shd w:val="clear" w:color="auto" w:fill="auto"/>
            <w:noWrap/>
            <w:vAlign w:val="bottom"/>
            <w:hideMark/>
          </w:tcPr>
          <w:p w14:paraId="6963A30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1,511</w:t>
            </w:r>
          </w:p>
        </w:tc>
        <w:tc>
          <w:tcPr>
            <w:tcW w:w="1521" w:type="dxa"/>
            <w:tcBorders>
              <w:top w:val="nil"/>
              <w:left w:val="nil"/>
              <w:bottom w:val="single" w:sz="4" w:space="0" w:color="auto"/>
              <w:right w:val="single" w:sz="4" w:space="0" w:color="auto"/>
            </w:tcBorders>
            <w:shd w:val="clear" w:color="auto" w:fill="auto"/>
            <w:noWrap/>
            <w:vAlign w:val="bottom"/>
            <w:hideMark/>
          </w:tcPr>
          <w:p w14:paraId="2E72E1E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2,422</w:t>
            </w:r>
          </w:p>
        </w:tc>
      </w:tr>
      <w:tr w:rsidR="00BF10A3" w:rsidRPr="009B3B4D" w14:paraId="5D0CF920"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46B3F007"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000C2260"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6C8F6A94"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Doctoral</w:t>
            </w:r>
          </w:p>
        </w:tc>
        <w:tc>
          <w:tcPr>
            <w:tcW w:w="990" w:type="dxa"/>
            <w:tcBorders>
              <w:top w:val="nil"/>
              <w:left w:val="nil"/>
              <w:bottom w:val="single" w:sz="4" w:space="0" w:color="auto"/>
              <w:right w:val="single" w:sz="4" w:space="0" w:color="auto"/>
            </w:tcBorders>
            <w:shd w:val="clear" w:color="auto" w:fill="auto"/>
            <w:noWrap/>
            <w:vAlign w:val="bottom"/>
            <w:hideMark/>
          </w:tcPr>
          <w:p w14:paraId="54F8A85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bottom"/>
            <w:hideMark/>
          </w:tcPr>
          <w:p w14:paraId="625E69AB"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28</w:t>
            </w:r>
          </w:p>
        </w:tc>
        <w:tc>
          <w:tcPr>
            <w:tcW w:w="990" w:type="dxa"/>
            <w:tcBorders>
              <w:top w:val="nil"/>
              <w:left w:val="nil"/>
              <w:bottom w:val="single" w:sz="4" w:space="0" w:color="auto"/>
              <w:right w:val="single" w:sz="4" w:space="0" w:color="auto"/>
            </w:tcBorders>
            <w:shd w:val="clear" w:color="auto" w:fill="auto"/>
            <w:noWrap/>
            <w:vAlign w:val="bottom"/>
            <w:hideMark/>
          </w:tcPr>
          <w:p w14:paraId="5B08A61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75D828C0"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00A045A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37,676</w:t>
            </w:r>
          </w:p>
        </w:tc>
        <w:tc>
          <w:tcPr>
            <w:tcW w:w="1177" w:type="dxa"/>
            <w:tcBorders>
              <w:top w:val="nil"/>
              <w:left w:val="nil"/>
              <w:bottom w:val="single" w:sz="4" w:space="0" w:color="auto"/>
              <w:right w:val="single" w:sz="4" w:space="0" w:color="auto"/>
            </w:tcBorders>
            <w:shd w:val="clear" w:color="auto" w:fill="auto"/>
            <w:noWrap/>
            <w:vAlign w:val="bottom"/>
            <w:hideMark/>
          </w:tcPr>
          <w:p w14:paraId="1F9C49A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36,754</w:t>
            </w:r>
          </w:p>
        </w:tc>
        <w:tc>
          <w:tcPr>
            <w:tcW w:w="1177" w:type="dxa"/>
            <w:tcBorders>
              <w:top w:val="nil"/>
              <w:left w:val="nil"/>
              <w:bottom w:val="single" w:sz="4" w:space="0" w:color="auto"/>
              <w:right w:val="single" w:sz="4" w:space="0" w:color="auto"/>
            </w:tcBorders>
            <w:shd w:val="clear" w:color="auto" w:fill="auto"/>
            <w:noWrap/>
            <w:vAlign w:val="bottom"/>
            <w:hideMark/>
          </w:tcPr>
          <w:p w14:paraId="49C2FB97"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922</w:t>
            </w:r>
          </w:p>
        </w:tc>
        <w:tc>
          <w:tcPr>
            <w:tcW w:w="1521" w:type="dxa"/>
            <w:tcBorders>
              <w:top w:val="nil"/>
              <w:left w:val="nil"/>
              <w:bottom w:val="single" w:sz="4" w:space="0" w:color="auto"/>
              <w:right w:val="single" w:sz="4" w:space="0" w:color="auto"/>
            </w:tcBorders>
            <w:shd w:val="clear" w:color="auto" w:fill="auto"/>
            <w:noWrap/>
            <w:vAlign w:val="bottom"/>
            <w:hideMark/>
          </w:tcPr>
          <w:p w14:paraId="583AA65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0</w:t>
            </w:r>
          </w:p>
        </w:tc>
      </w:tr>
      <w:tr w:rsidR="00BF10A3" w:rsidRPr="009B3B4D" w14:paraId="2430B4F3" w14:textId="77777777" w:rsidTr="001F7400">
        <w:trPr>
          <w:trHeight w:val="300"/>
        </w:trPr>
        <w:tc>
          <w:tcPr>
            <w:tcW w:w="915" w:type="dxa"/>
            <w:vMerge/>
            <w:tcBorders>
              <w:top w:val="nil"/>
              <w:left w:val="single" w:sz="4" w:space="0" w:color="auto"/>
              <w:bottom w:val="single" w:sz="4" w:space="0" w:color="auto"/>
              <w:right w:val="single" w:sz="4" w:space="0" w:color="auto"/>
            </w:tcBorders>
            <w:vAlign w:val="center"/>
            <w:hideMark/>
          </w:tcPr>
          <w:p w14:paraId="55BE3B6E" w14:textId="77777777" w:rsidR="00BF10A3" w:rsidRPr="009B3B4D" w:rsidRDefault="00BF10A3" w:rsidP="001F7400">
            <w:pPr>
              <w:spacing w:after="0" w:line="240" w:lineRule="auto"/>
              <w:rPr>
                <w:rFonts w:ascii="Courier" w:eastAsia="Times New Roman" w:hAnsi="Courier" w:cs="Calibri"/>
                <w:b/>
                <w:bCs/>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14:paraId="7DFADFFF" w14:textId="77777777" w:rsidR="00BF10A3" w:rsidRPr="009B3B4D" w:rsidRDefault="00BF10A3" w:rsidP="001F7400">
            <w:pPr>
              <w:spacing w:after="0" w:line="240" w:lineRule="auto"/>
              <w:rPr>
                <w:rFonts w:ascii="Courier" w:eastAsia="Times New Roman" w:hAnsi="Courier" w:cs="Calibri"/>
                <w:color w:val="000000"/>
                <w:sz w:val="16"/>
                <w:szCs w:val="16"/>
              </w:rPr>
            </w:pPr>
          </w:p>
        </w:tc>
        <w:tc>
          <w:tcPr>
            <w:tcW w:w="2430" w:type="dxa"/>
            <w:tcBorders>
              <w:top w:val="nil"/>
              <w:left w:val="nil"/>
              <w:bottom w:val="single" w:sz="4" w:space="0" w:color="auto"/>
              <w:right w:val="single" w:sz="4" w:space="0" w:color="auto"/>
            </w:tcBorders>
            <w:shd w:val="clear" w:color="auto" w:fill="auto"/>
            <w:noWrap/>
            <w:vAlign w:val="center"/>
            <w:hideMark/>
          </w:tcPr>
          <w:p w14:paraId="1C702F34"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1st Professional Degree</w:t>
            </w:r>
          </w:p>
        </w:tc>
        <w:tc>
          <w:tcPr>
            <w:tcW w:w="990" w:type="dxa"/>
            <w:tcBorders>
              <w:top w:val="nil"/>
              <w:left w:val="nil"/>
              <w:bottom w:val="single" w:sz="4" w:space="0" w:color="auto"/>
              <w:right w:val="single" w:sz="4" w:space="0" w:color="auto"/>
            </w:tcBorders>
            <w:shd w:val="clear" w:color="auto" w:fill="auto"/>
            <w:noWrap/>
            <w:vAlign w:val="bottom"/>
            <w:hideMark/>
          </w:tcPr>
          <w:p w14:paraId="16CF913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10</w:t>
            </w:r>
          </w:p>
        </w:tc>
        <w:tc>
          <w:tcPr>
            <w:tcW w:w="990" w:type="dxa"/>
            <w:tcBorders>
              <w:top w:val="nil"/>
              <w:left w:val="nil"/>
              <w:bottom w:val="single" w:sz="4" w:space="0" w:color="auto"/>
              <w:right w:val="single" w:sz="4" w:space="0" w:color="auto"/>
            </w:tcBorders>
            <w:shd w:val="clear" w:color="auto" w:fill="auto"/>
            <w:noWrap/>
            <w:vAlign w:val="bottom"/>
            <w:hideMark/>
          </w:tcPr>
          <w:p w14:paraId="3402D51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w:t>
            </w:r>
          </w:p>
        </w:tc>
        <w:tc>
          <w:tcPr>
            <w:tcW w:w="990" w:type="dxa"/>
            <w:tcBorders>
              <w:top w:val="nil"/>
              <w:left w:val="nil"/>
              <w:bottom w:val="single" w:sz="4" w:space="0" w:color="auto"/>
              <w:right w:val="single" w:sz="4" w:space="0" w:color="auto"/>
            </w:tcBorders>
            <w:shd w:val="clear" w:color="auto" w:fill="auto"/>
            <w:noWrap/>
            <w:vAlign w:val="bottom"/>
            <w:hideMark/>
          </w:tcPr>
          <w:p w14:paraId="6BB541E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23ADE20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w:t>
            </w:r>
          </w:p>
        </w:tc>
        <w:tc>
          <w:tcPr>
            <w:tcW w:w="1177" w:type="dxa"/>
            <w:tcBorders>
              <w:top w:val="nil"/>
              <w:left w:val="nil"/>
              <w:bottom w:val="single" w:sz="4" w:space="0" w:color="auto"/>
              <w:right w:val="single" w:sz="4" w:space="0" w:color="auto"/>
            </w:tcBorders>
            <w:shd w:val="clear" w:color="auto" w:fill="auto"/>
            <w:noWrap/>
            <w:vAlign w:val="bottom"/>
            <w:hideMark/>
          </w:tcPr>
          <w:p w14:paraId="60C51FB3"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7,209</w:t>
            </w:r>
          </w:p>
        </w:tc>
        <w:tc>
          <w:tcPr>
            <w:tcW w:w="1177" w:type="dxa"/>
            <w:tcBorders>
              <w:top w:val="nil"/>
              <w:left w:val="nil"/>
              <w:bottom w:val="single" w:sz="4" w:space="0" w:color="auto"/>
              <w:right w:val="single" w:sz="4" w:space="0" w:color="auto"/>
            </w:tcBorders>
            <w:shd w:val="clear" w:color="auto" w:fill="auto"/>
            <w:noWrap/>
            <w:vAlign w:val="bottom"/>
            <w:hideMark/>
          </w:tcPr>
          <w:p w14:paraId="055E0B38"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3,107</w:t>
            </w:r>
          </w:p>
        </w:tc>
        <w:tc>
          <w:tcPr>
            <w:tcW w:w="1177" w:type="dxa"/>
            <w:tcBorders>
              <w:top w:val="nil"/>
              <w:left w:val="nil"/>
              <w:bottom w:val="single" w:sz="4" w:space="0" w:color="auto"/>
              <w:right w:val="single" w:sz="4" w:space="0" w:color="auto"/>
            </w:tcBorders>
            <w:shd w:val="clear" w:color="auto" w:fill="auto"/>
            <w:noWrap/>
            <w:vAlign w:val="bottom"/>
            <w:hideMark/>
          </w:tcPr>
          <w:p w14:paraId="03E11A1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2,716</w:t>
            </w:r>
          </w:p>
        </w:tc>
        <w:tc>
          <w:tcPr>
            <w:tcW w:w="1521" w:type="dxa"/>
            <w:tcBorders>
              <w:top w:val="nil"/>
              <w:left w:val="nil"/>
              <w:bottom w:val="single" w:sz="4" w:space="0" w:color="auto"/>
              <w:right w:val="single" w:sz="4" w:space="0" w:color="auto"/>
            </w:tcBorders>
            <w:shd w:val="clear" w:color="auto" w:fill="auto"/>
            <w:noWrap/>
            <w:vAlign w:val="bottom"/>
            <w:hideMark/>
          </w:tcPr>
          <w:p w14:paraId="6DB3C24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1,386</w:t>
            </w:r>
          </w:p>
        </w:tc>
      </w:tr>
      <w:tr w:rsidR="00BF10A3" w:rsidRPr="009B3B4D" w14:paraId="24CB025B" w14:textId="77777777" w:rsidTr="001F7400">
        <w:trPr>
          <w:trHeight w:val="300"/>
        </w:trPr>
        <w:tc>
          <w:tcPr>
            <w:tcW w:w="46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86B2" w14:textId="77777777" w:rsidR="00BF10A3" w:rsidRPr="009B3B4D" w:rsidRDefault="00BF10A3" w:rsidP="001F7400">
            <w:pPr>
              <w:spacing w:after="0" w:line="240" w:lineRule="auto"/>
              <w:rPr>
                <w:rFonts w:ascii="Courier" w:eastAsia="Times New Roman" w:hAnsi="Courier" w:cs="Calibri"/>
                <w:color w:val="000000"/>
                <w:sz w:val="16"/>
                <w:szCs w:val="16"/>
              </w:rPr>
            </w:pPr>
            <w:r w:rsidRPr="009B3B4D">
              <w:rPr>
                <w:rFonts w:ascii="Courier" w:eastAsia="Times New Roman" w:hAnsi="Courier" w:cs="Calibri"/>
                <w:color w:val="000000"/>
                <w:sz w:val="16"/>
                <w:szCs w:val="16"/>
              </w:rPr>
              <w:t>Overall Total</w:t>
            </w:r>
          </w:p>
        </w:tc>
        <w:tc>
          <w:tcPr>
            <w:tcW w:w="990" w:type="dxa"/>
            <w:tcBorders>
              <w:top w:val="nil"/>
              <w:left w:val="nil"/>
              <w:bottom w:val="single" w:sz="4" w:space="0" w:color="auto"/>
              <w:right w:val="single" w:sz="4" w:space="0" w:color="auto"/>
            </w:tcBorders>
            <w:shd w:val="clear" w:color="auto" w:fill="auto"/>
            <w:noWrap/>
            <w:vAlign w:val="bottom"/>
            <w:hideMark/>
          </w:tcPr>
          <w:p w14:paraId="722E523F"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5,539</w:t>
            </w:r>
          </w:p>
        </w:tc>
        <w:tc>
          <w:tcPr>
            <w:tcW w:w="990" w:type="dxa"/>
            <w:tcBorders>
              <w:top w:val="nil"/>
              <w:left w:val="nil"/>
              <w:bottom w:val="single" w:sz="4" w:space="0" w:color="auto"/>
              <w:right w:val="single" w:sz="4" w:space="0" w:color="auto"/>
            </w:tcBorders>
            <w:shd w:val="clear" w:color="auto" w:fill="auto"/>
            <w:noWrap/>
            <w:vAlign w:val="bottom"/>
            <w:hideMark/>
          </w:tcPr>
          <w:p w14:paraId="7616373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4,094</w:t>
            </w:r>
          </w:p>
        </w:tc>
        <w:tc>
          <w:tcPr>
            <w:tcW w:w="990" w:type="dxa"/>
            <w:tcBorders>
              <w:top w:val="nil"/>
              <w:left w:val="nil"/>
              <w:bottom w:val="single" w:sz="4" w:space="0" w:color="auto"/>
              <w:right w:val="single" w:sz="4" w:space="0" w:color="auto"/>
            </w:tcBorders>
            <w:shd w:val="clear" w:color="auto" w:fill="auto"/>
            <w:noWrap/>
            <w:vAlign w:val="bottom"/>
            <w:hideMark/>
          </w:tcPr>
          <w:p w14:paraId="4D5039D4"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928</w:t>
            </w:r>
          </w:p>
        </w:tc>
        <w:tc>
          <w:tcPr>
            <w:tcW w:w="990" w:type="dxa"/>
            <w:tcBorders>
              <w:top w:val="nil"/>
              <w:left w:val="nil"/>
              <w:bottom w:val="single" w:sz="4" w:space="0" w:color="auto"/>
              <w:right w:val="single" w:sz="4" w:space="0" w:color="auto"/>
            </w:tcBorders>
            <w:shd w:val="clear" w:color="auto" w:fill="auto"/>
            <w:noWrap/>
            <w:vAlign w:val="bottom"/>
            <w:hideMark/>
          </w:tcPr>
          <w:p w14:paraId="19C74A91"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517</w:t>
            </w:r>
          </w:p>
        </w:tc>
        <w:tc>
          <w:tcPr>
            <w:tcW w:w="1177" w:type="dxa"/>
            <w:tcBorders>
              <w:top w:val="nil"/>
              <w:left w:val="nil"/>
              <w:bottom w:val="single" w:sz="4" w:space="0" w:color="auto"/>
              <w:right w:val="single" w:sz="4" w:space="0" w:color="auto"/>
            </w:tcBorders>
            <w:shd w:val="clear" w:color="auto" w:fill="auto"/>
            <w:noWrap/>
            <w:vAlign w:val="bottom"/>
            <w:hideMark/>
          </w:tcPr>
          <w:p w14:paraId="0D845A45"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2,521,283</w:t>
            </w:r>
          </w:p>
        </w:tc>
        <w:tc>
          <w:tcPr>
            <w:tcW w:w="1177" w:type="dxa"/>
            <w:tcBorders>
              <w:top w:val="nil"/>
              <w:left w:val="nil"/>
              <w:bottom w:val="single" w:sz="4" w:space="0" w:color="auto"/>
              <w:right w:val="single" w:sz="4" w:space="0" w:color="auto"/>
            </w:tcBorders>
            <w:shd w:val="clear" w:color="auto" w:fill="auto"/>
            <w:noWrap/>
            <w:vAlign w:val="bottom"/>
            <w:hideMark/>
          </w:tcPr>
          <w:p w14:paraId="2987C862"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1,679,616</w:t>
            </w:r>
          </w:p>
        </w:tc>
        <w:tc>
          <w:tcPr>
            <w:tcW w:w="1177" w:type="dxa"/>
            <w:tcBorders>
              <w:top w:val="nil"/>
              <w:left w:val="nil"/>
              <w:bottom w:val="single" w:sz="4" w:space="0" w:color="auto"/>
              <w:right w:val="single" w:sz="4" w:space="0" w:color="auto"/>
            </w:tcBorders>
            <w:shd w:val="clear" w:color="auto" w:fill="auto"/>
            <w:noWrap/>
            <w:vAlign w:val="bottom"/>
            <w:hideMark/>
          </w:tcPr>
          <w:p w14:paraId="591F1DBC"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453,904</w:t>
            </w:r>
          </w:p>
        </w:tc>
        <w:tc>
          <w:tcPr>
            <w:tcW w:w="1521" w:type="dxa"/>
            <w:tcBorders>
              <w:top w:val="nil"/>
              <w:left w:val="nil"/>
              <w:bottom w:val="single" w:sz="4" w:space="0" w:color="auto"/>
              <w:right w:val="single" w:sz="4" w:space="0" w:color="auto"/>
            </w:tcBorders>
            <w:shd w:val="clear" w:color="auto" w:fill="auto"/>
            <w:noWrap/>
            <w:vAlign w:val="bottom"/>
            <w:hideMark/>
          </w:tcPr>
          <w:p w14:paraId="19C48FBD" w14:textId="77777777" w:rsidR="00BF10A3" w:rsidRPr="009B3B4D" w:rsidRDefault="00BF10A3" w:rsidP="001F7400">
            <w:pPr>
              <w:spacing w:after="0" w:line="240" w:lineRule="auto"/>
              <w:jc w:val="right"/>
              <w:rPr>
                <w:rFonts w:ascii="Courier" w:eastAsia="Times New Roman" w:hAnsi="Courier" w:cs="Calibri"/>
                <w:color w:val="000000"/>
                <w:sz w:val="16"/>
                <w:szCs w:val="16"/>
              </w:rPr>
            </w:pPr>
            <w:r w:rsidRPr="009B3B4D">
              <w:rPr>
                <w:rFonts w:ascii="Courier" w:eastAsia="Times New Roman" w:hAnsi="Courier" w:cs="Calibri"/>
                <w:color w:val="000000"/>
                <w:sz w:val="16"/>
                <w:szCs w:val="16"/>
              </w:rPr>
              <w:t>387,763</w:t>
            </w:r>
          </w:p>
        </w:tc>
      </w:tr>
    </w:tbl>
    <w:p w14:paraId="1B26157B" w14:textId="77777777" w:rsidR="00BF10A3" w:rsidRPr="00AA6DFD" w:rsidRDefault="00BF10A3" w:rsidP="00BF10A3">
      <w:pPr>
        <w:spacing w:after="0" w:line="480" w:lineRule="auto"/>
        <w:rPr>
          <w:rFonts w:ascii="Courier New" w:hAnsi="Courier New" w:cs="Courier New"/>
          <w:sz w:val="24"/>
          <w:szCs w:val="24"/>
        </w:rPr>
      </w:pPr>
    </w:p>
    <w:p w14:paraId="1F12E0E8" w14:textId="77777777" w:rsidR="00BF10A3" w:rsidRDefault="00BF10A3" w:rsidP="00BF10A3">
      <w:pPr>
        <w:rPr>
          <w:rFonts w:ascii="Courier New" w:hAnsi="Courier New" w:cs="Courier New"/>
          <w:sz w:val="24"/>
          <w:szCs w:val="24"/>
        </w:rPr>
        <w:sectPr w:rsidR="00BF10A3" w:rsidSect="00F43A22">
          <w:pgSz w:w="15840" w:h="12240" w:orient="landscape"/>
          <w:pgMar w:top="1440" w:right="1440" w:bottom="1440" w:left="1440" w:header="720" w:footer="720" w:gutter="0"/>
          <w:cols w:space="720"/>
          <w:docGrid w:linePitch="360"/>
        </w:sectPr>
      </w:pPr>
      <w:r>
        <w:rPr>
          <w:rFonts w:ascii="Courier New" w:hAnsi="Courier New" w:cs="Courier New"/>
          <w:sz w:val="24"/>
          <w:szCs w:val="24"/>
        </w:rPr>
        <w:br w:type="page"/>
      </w:r>
    </w:p>
    <w:p w14:paraId="324AFA3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2.21 illustrates the 2012 GE informational D/E rates program results.  This analysis shows that: </w:t>
      </w:r>
    </w:p>
    <w:p w14:paraId="016E43AA" w14:textId="77777777" w:rsidR="00BF10A3" w:rsidRPr="00AA6DFD" w:rsidRDefault="00BF10A3" w:rsidP="00BF10A3">
      <w:pPr>
        <w:pStyle w:val="ListParagraph"/>
        <w:numPr>
          <w:ilvl w:val="0"/>
          <w:numId w:val="14"/>
        </w:numPr>
        <w:spacing w:after="0" w:line="480" w:lineRule="auto"/>
        <w:rPr>
          <w:rFonts w:ascii="Courier New" w:hAnsi="Courier New" w:cs="Courier New"/>
          <w:sz w:val="24"/>
          <w:szCs w:val="24"/>
        </w:rPr>
      </w:pPr>
      <w:r w:rsidRPr="00AA6DFD">
        <w:rPr>
          <w:rFonts w:ascii="Courier New" w:hAnsi="Courier New" w:cs="Courier New"/>
          <w:sz w:val="24"/>
          <w:szCs w:val="24"/>
        </w:rPr>
        <w:t>4,094 programs (74 percent</w:t>
      </w:r>
      <w:r w:rsidRPr="00AA6DFD">
        <w:rPr>
          <w:rStyle w:val="FootnoteReference"/>
          <w:rFonts w:ascii="Courier New" w:hAnsi="Courier New"/>
          <w:sz w:val="24"/>
          <w:szCs w:val="24"/>
        </w:rPr>
        <w:footnoteReference w:id="328"/>
      </w:r>
      <w:r w:rsidRPr="00AA6DFD">
        <w:rPr>
          <w:rFonts w:ascii="Courier New" w:hAnsi="Courier New" w:cs="Courier New"/>
          <w:sz w:val="24"/>
          <w:szCs w:val="24"/>
        </w:rPr>
        <w:t xml:space="preserve"> of programs and comprising 67 percent (1,679,616) of the total enrollees) would pass the D/E rates measure. </w:t>
      </w:r>
    </w:p>
    <w:p w14:paraId="7E2673E5" w14:textId="77777777" w:rsidR="00BF10A3" w:rsidRPr="00AA6DFD" w:rsidRDefault="00BF10A3" w:rsidP="00BF10A3">
      <w:pPr>
        <w:pStyle w:val="ListParagraph"/>
        <w:numPr>
          <w:ilvl w:val="0"/>
          <w:numId w:val="14"/>
        </w:numPr>
        <w:spacing w:after="0" w:line="480" w:lineRule="auto"/>
        <w:rPr>
          <w:rFonts w:ascii="Courier New" w:hAnsi="Courier New" w:cs="Courier New"/>
          <w:sz w:val="24"/>
          <w:szCs w:val="24"/>
        </w:rPr>
      </w:pPr>
      <w:r w:rsidRPr="00B53B21">
        <w:rPr>
          <w:rFonts w:ascii="Courier New" w:hAnsi="Courier New"/>
          <w:sz w:val="24"/>
        </w:rPr>
        <w:t>92</w:t>
      </w:r>
      <w:r w:rsidRPr="00AA6DFD">
        <w:rPr>
          <w:rFonts w:ascii="Courier New" w:hAnsi="Courier New" w:cs="Courier New"/>
          <w:sz w:val="24"/>
          <w:szCs w:val="24"/>
        </w:rPr>
        <w:t xml:space="preserve">8 programs (17 percent of programs with 453,904 enrollees (18 percent)) would fall into the zone. </w:t>
      </w:r>
    </w:p>
    <w:p w14:paraId="24391FAA" w14:textId="77777777" w:rsidR="00BF10A3" w:rsidRPr="00AA6DFD" w:rsidRDefault="00BF10A3" w:rsidP="00BF10A3">
      <w:pPr>
        <w:pStyle w:val="ListParagraph"/>
        <w:numPr>
          <w:ilvl w:val="0"/>
          <w:numId w:val="14"/>
        </w:numPr>
        <w:spacing w:after="0" w:line="480" w:lineRule="auto"/>
        <w:rPr>
          <w:rFonts w:ascii="Courier New" w:hAnsi="Courier New" w:cs="Courier New"/>
          <w:sz w:val="24"/>
          <w:szCs w:val="24"/>
        </w:rPr>
      </w:pPr>
      <w:r w:rsidRPr="00AA6DFD">
        <w:rPr>
          <w:rFonts w:ascii="Courier New" w:hAnsi="Courier New" w:cs="Courier New"/>
          <w:sz w:val="24"/>
          <w:szCs w:val="24"/>
        </w:rPr>
        <w:t>517 of programs (9 percent of programs with 387,763 enrollees (15 percent)) would fail.</w:t>
      </w:r>
    </w:p>
    <w:p w14:paraId="3E808B5C"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Almost all programs that would fail or fall in the zone were at for-profit institutions.</w:t>
      </w:r>
    </w:p>
    <w:p w14:paraId="646F10A7" w14:textId="77777777" w:rsidR="00BF10A3" w:rsidRPr="00822152"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w:t>
      </w:r>
      <w:r w:rsidRPr="00822152">
        <w:rPr>
          <w:rFonts w:ascii="Courier New" w:hAnsi="Courier New" w:cs="Courier New"/>
          <w:b/>
          <w:sz w:val="24"/>
          <w:szCs w:val="24"/>
        </w:rPr>
        <w:t>.22: Average Annual Loan Payment, Earnings, and Repayment Rate, Default Rate of 2012 GE Informational Rates Sample by Sector</w:t>
      </w:r>
    </w:p>
    <w:p w14:paraId="13DEB468" w14:textId="77777777" w:rsidR="00BF10A3" w:rsidRPr="00822152" w:rsidRDefault="00BF10A3" w:rsidP="00BF10A3">
      <w:pPr>
        <w:tabs>
          <w:tab w:val="left" w:pos="1356"/>
        </w:tabs>
        <w:spacing w:after="0" w:line="240" w:lineRule="auto"/>
        <w:rPr>
          <w:rFonts w:ascii="Courier New" w:eastAsiaTheme="minorHAnsi" w:hAnsi="Courier New" w:cs="Courier New"/>
          <w:sz w:val="24"/>
          <w:szCs w:val="24"/>
        </w:rPr>
      </w:pPr>
    </w:p>
    <w:tbl>
      <w:tblPr>
        <w:tblStyle w:val="TableGrid7"/>
        <w:tblW w:w="0" w:type="auto"/>
        <w:tblLook w:val="04A0" w:firstRow="1" w:lastRow="0" w:firstColumn="1" w:lastColumn="0" w:noHBand="0" w:noVBand="1"/>
      </w:tblPr>
      <w:tblGrid>
        <w:gridCol w:w="1818"/>
        <w:gridCol w:w="1225"/>
        <w:gridCol w:w="1548"/>
        <w:gridCol w:w="1699"/>
        <w:gridCol w:w="1510"/>
      </w:tblGrid>
      <w:tr w:rsidR="00BF10A3" w:rsidRPr="00822152" w14:paraId="57BFCCD8" w14:textId="77777777" w:rsidTr="001F7400">
        <w:trPr>
          <w:trHeight w:val="488"/>
        </w:trPr>
        <w:tc>
          <w:tcPr>
            <w:tcW w:w="1818" w:type="dxa"/>
            <w:noWrap/>
            <w:vAlign w:val="center"/>
            <w:hideMark/>
          </w:tcPr>
          <w:p w14:paraId="61BBB62C" w14:textId="77777777" w:rsidR="00BF10A3" w:rsidRPr="00822152" w:rsidRDefault="00BF10A3" w:rsidP="001F7400">
            <w:pPr>
              <w:rPr>
                <w:rFonts w:ascii="Courier New" w:eastAsiaTheme="minorHAnsi" w:hAnsi="Courier New" w:cstheme="minorBidi"/>
                <w:b/>
                <w:sz w:val="24"/>
                <w:szCs w:val="24"/>
              </w:rPr>
            </w:pPr>
            <w:r w:rsidRPr="00822152">
              <w:rPr>
                <w:rFonts w:ascii="Courier New" w:eastAsiaTheme="minorHAnsi" w:hAnsi="Courier New" w:cstheme="minorBidi"/>
                <w:b/>
                <w:sz w:val="24"/>
                <w:szCs w:val="24"/>
              </w:rPr>
              <w:t> </w:t>
            </w:r>
          </w:p>
        </w:tc>
        <w:tc>
          <w:tcPr>
            <w:tcW w:w="1202" w:type="dxa"/>
            <w:noWrap/>
            <w:vAlign w:val="center"/>
            <w:hideMark/>
          </w:tcPr>
          <w:p w14:paraId="79489F41" w14:textId="77777777" w:rsidR="00BF10A3" w:rsidRPr="00822152" w:rsidRDefault="00BF10A3" w:rsidP="001F7400">
            <w:pPr>
              <w:jc w:val="center"/>
              <w:rPr>
                <w:rFonts w:ascii="Courier New" w:eastAsiaTheme="minorHAnsi" w:hAnsi="Courier New" w:cstheme="minorBidi"/>
                <w:b/>
                <w:sz w:val="24"/>
                <w:szCs w:val="24"/>
              </w:rPr>
            </w:pPr>
            <w:r w:rsidRPr="00822152">
              <w:rPr>
                <w:rFonts w:ascii="Courier New" w:eastAsiaTheme="minorHAnsi" w:hAnsi="Courier New" w:cstheme="minorBidi"/>
                <w:b/>
                <w:sz w:val="24"/>
                <w:szCs w:val="24"/>
              </w:rPr>
              <w:t>Annual Loan Payment</w:t>
            </w:r>
          </w:p>
        </w:tc>
        <w:tc>
          <w:tcPr>
            <w:tcW w:w="1548" w:type="dxa"/>
            <w:noWrap/>
            <w:vAlign w:val="center"/>
            <w:hideMark/>
          </w:tcPr>
          <w:p w14:paraId="721288AE" w14:textId="77777777" w:rsidR="00BF10A3" w:rsidRPr="00822152" w:rsidRDefault="00BF10A3" w:rsidP="001F7400">
            <w:pPr>
              <w:jc w:val="center"/>
              <w:rPr>
                <w:rFonts w:ascii="Courier New" w:eastAsiaTheme="minorHAnsi" w:hAnsi="Courier New" w:cstheme="minorBidi"/>
                <w:b/>
                <w:sz w:val="24"/>
                <w:szCs w:val="24"/>
              </w:rPr>
            </w:pPr>
            <w:r w:rsidRPr="00822152">
              <w:rPr>
                <w:rFonts w:ascii="Courier New" w:eastAsiaTheme="minorHAnsi" w:hAnsi="Courier New" w:cstheme="minorBidi"/>
                <w:b/>
                <w:sz w:val="24"/>
                <w:szCs w:val="24"/>
              </w:rPr>
              <w:t>Annual Earnings</w:t>
            </w:r>
          </w:p>
        </w:tc>
        <w:tc>
          <w:tcPr>
            <w:tcW w:w="1699" w:type="dxa"/>
            <w:noWrap/>
            <w:vAlign w:val="center"/>
            <w:hideMark/>
          </w:tcPr>
          <w:p w14:paraId="4C127605" w14:textId="77777777" w:rsidR="00BF10A3" w:rsidRPr="00822152" w:rsidRDefault="00BF10A3" w:rsidP="001F7400">
            <w:pPr>
              <w:jc w:val="center"/>
              <w:rPr>
                <w:rFonts w:ascii="Courier New" w:eastAsiaTheme="minorHAnsi" w:hAnsi="Courier New" w:cstheme="minorBidi"/>
                <w:b/>
                <w:sz w:val="24"/>
                <w:szCs w:val="24"/>
              </w:rPr>
            </w:pPr>
            <w:r w:rsidRPr="00822152">
              <w:rPr>
                <w:rFonts w:ascii="Courier New" w:eastAsiaTheme="minorHAnsi" w:hAnsi="Courier New" w:cstheme="minorBidi"/>
                <w:b/>
                <w:sz w:val="24"/>
                <w:szCs w:val="24"/>
              </w:rPr>
              <w:t>Repayment Rate</w:t>
            </w:r>
          </w:p>
        </w:tc>
        <w:tc>
          <w:tcPr>
            <w:tcW w:w="1510" w:type="dxa"/>
            <w:noWrap/>
            <w:vAlign w:val="center"/>
            <w:hideMark/>
          </w:tcPr>
          <w:p w14:paraId="7B466C90" w14:textId="77777777" w:rsidR="00BF10A3" w:rsidRPr="00822152" w:rsidRDefault="00BF10A3" w:rsidP="001F7400">
            <w:pPr>
              <w:jc w:val="center"/>
              <w:rPr>
                <w:rFonts w:ascii="Courier New" w:eastAsiaTheme="minorHAnsi" w:hAnsi="Courier New" w:cstheme="minorBidi"/>
                <w:b/>
                <w:sz w:val="24"/>
                <w:szCs w:val="24"/>
              </w:rPr>
            </w:pPr>
            <w:r w:rsidRPr="00822152">
              <w:rPr>
                <w:rFonts w:ascii="Courier New" w:eastAsiaTheme="minorHAnsi" w:hAnsi="Courier New" w:cstheme="minorBidi"/>
                <w:b/>
                <w:sz w:val="24"/>
                <w:szCs w:val="24"/>
              </w:rPr>
              <w:t>Default Rate</w:t>
            </w:r>
          </w:p>
        </w:tc>
      </w:tr>
      <w:tr w:rsidR="00BF10A3" w:rsidRPr="00822152" w14:paraId="0C94DD92" w14:textId="77777777" w:rsidTr="001F7400">
        <w:trPr>
          <w:trHeight w:val="488"/>
        </w:trPr>
        <w:tc>
          <w:tcPr>
            <w:tcW w:w="1818" w:type="dxa"/>
            <w:noWrap/>
            <w:vAlign w:val="center"/>
            <w:hideMark/>
          </w:tcPr>
          <w:p w14:paraId="74224FF6" w14:textId="77777777" w:rsidR="00BF10A3" w:rsidRPr="00822152" w:rsidRDefault="00BF10A3" w:rsidP="001F7400">
            <w:pPr>
              <w:rPr>
                <w:rFonts w:ascii="Courier New" w:eastAsiaTheme="minorHAnsi" w:hAnsi="Courier New" w:cstheme="minorBidi"/>
                <w:b/>
                <w:sz w:val="24"/>
                <w:szCs w:val="24"/>
              </w:rPr>
            </w:pPr>
            <w:r w:rsidRPr="00822152">
              <w:rPr>
                <w:rFonts w:ascii="Courier New" w:eastAsiaTheme="minorHAnsi" w:hAnsi="Courier New" w:cstheme="minorBidi"/>
                <w:b/>
                <w:sz w:val="24"/>
                <w:szCs w:val="24"/>
              </w:rPr>
              <w:t>Public</w:t>
            </w:r>
          </w:p>
        </w:tc>
        <w:tc>
          <w:tcPr>
            <w:tcW w:w="1202" w:type="dxa"/>
            <w:noWrap/>
            <w:vAlign w:val="center"/>
            <w:hideMark/>
          </w:tcPr>
          <w:p w14:paraId="636273DF"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351</w:t>
            </w:r>
          </w:p>
        </w:tc>
        <w:tc>
          <w:tcPr>
            <w:tcW w:w="1548" w:type="dxa"/>
            <w:noWrap/>
            <w:vAlign w:val="center"/>
            <w:hideMark/>
          </w:tcPr>
          <w:p w14:paraId="5304143E"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32,488</w:t>
            </w:r>
          </w:p>
        </w:tc>
        <w:tc>
          <w:tcPr>
            <w:tcW w:w="1699" w:type="dxa"/>
            <w:noWrap/>
            <w:vAlign w:val="center"/>
            <w:hideMark/>
          </w:tcPr>
          <w:p w14:paraId="5E896D62"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55.6</w:t>
            </w:r>
          </w:p>
        </w:tc>
        <w:tc>
          <w:tcPr>
            <w:tcW w:w="1510" w:type="dxa"/>
            <w:noWrap/>
            <w:vAlign w:val="center"/>
            <w:hideMark/>
          </w:tcPr>
          <w:p w14:paraId="593620CA"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11.7</w:t>
            </w:r>
          </w:p>
        </w:tc>
      </w:tr>
      <w:tr w:rsidR="00BF10A3" w:rsidRPr="00822152" w14:paraId="3E29035E" w14:textId="77777777" w:rsidTr="001F7400">
        <w:trPr>
          <w:trHeight w:val="488"/>
        </w:trPr>
        <w:tc>
          <w:tcPr>
            <w:tcW w:w="1818" w:type="dxa"/>
            <w:noWrap/>
            <w:vAlign w:val="center"/>
            <w:hideMark/>
          </w:tcPr>
          <w:p w14:paraId="4604EB00" w14:textId="77777777" w:rsidR="00BF10A3" w:rsidRPr="00822152" w:rsidRDefault="00BF10A3" w:rsidP="001F7400">
            <w:pPr>
              <w:rPr>
                <w:rFonts w:ascii="Courier New" w:eastAsiaTheme="minorHAnsi" w:hAnsi="Courier New" w:cstheme="minorBidi"/>
                <w:b/>
                <w:sz w:val="24"/>
                <w:szCs w:val="24"/>
              </w:rPr>
            </w:pPr>
            <w:r w:rsidRPr="00822152">
              <w:rPr>
                <w:rFonts w:ascii="Courier New" w:eastAsiaTheme="minorHAnsi" w:hAnsi="Courier New" w:cstheme="minorBidi"/>
                <w:b/>
                <w:sz w:val="24"/>
                <w:szCs w:val="24"/>
              </w:rPr>
              <w:t>Private</w:t>
            </w:r>
          </w:p>
        </w:tc>
        <w:tc>
          <w:tcPr>
            <w:tcW w:w="1202" w:type="dxa"/>
            <w:noWrap/>
            <w:vAlign w:val="center"/>
            <w:hideMark/>
          </w:tcPr>
          <w:p w14:paraId="45B84B59"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768</w:t>
            </w:r>
          </w:p>
        </w:tc>
        <w:tc>
          <w:tcPr>
            <w:tcW w:w="1548" w:type="dxa"/>
            <w:noWrap/>
            <w:vAlign w:val="center"/>
            <w:hideMark/>
          </w:tcPr>
          <w:p w14:paraId="4A2F61D5"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25,398</w:t>
            </w:r>
          </w:p>
        </w:tc>
        <w:tc>
          <w:tcPr>
            <w:tcW w:w="1699" w:type="dxa"/>
            <w:noWrap/>
            <w:vAlign w:val="center"/>
            <w:hideMark/>
          </w:tcPr>
          <w:p w14:paraId="16C913AE"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42.9</w:t>
            </w:r>
          </w:p>
        </w:tc>
        <w:tc>
          <w:tcPr>
            <w:tcW w:w="1510" w:type="dxa"/>
            <w:noWrap/>
            <w:vAlign w:val="center"/>
            <w:hideMark/>
          </w:tcPr>
          <w:p w14:paraId="3B04B1E2"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14.5</w:t>
            </w:r>
          </w:p>
        </w:tc>
      </w:tr>
      <w:tr w:rsidR="00BF10A3" w:rsidRPr="00822152" w14:paraId="1659908A" w14:textId="77777777" w:rsidTr="001F7400">
        <w:trPr>
          <w:trHeight w:val="488"/>
        </w:trPr>
        <w:tc>
          <w:tcPr>
            <w:tcW w:w="1818" w:type="dxa"/>
            <w:noWrap/>
            <w:vAlign w:val="center"/>
            <w:hideMark/>
          </w:tcPr>
          <w:p w14:paraId="467305F0" w14:textId="77777777" w:rsidR="00BF10A3" w:rsidRPr="00822152" w:rsidRDefault="00BF10A3" w:rsidP="001F7400">
            <w:pPr>
              <w:rPr>
                <w:rFonts w:ascii="Courier New" w:eastAsiaTheme="minorHAnsi" w:hAnsi="Courier New" w:cstheme="minorBidi"/>
                <w:b/>
                <w:sz w:val="24"/>
                <w:szCs w:val="24"/>
              </w:rPr>
            </w:pPr>
            <w:r w:rsidRPr="00822152">
              <w:rPr>
                <w:rFonts w:ascii="Courier New" w:eastAsiaTheme="minorHAnsi" w:hAnsi="Courier New" w:cstheme="minorBidi"/>
                <w:b/>
                <w:sz w:val="24"/>
                <w:szCs w:val="24"/>
              </w:rPr>
              <w:t>For-Profit</w:t>
            </w:r>
          </w:p>
        </w:tc>
        <w:tc>
          <w:tcPr>
            <w:tcW w:w="1202" w:type="dxa"/>
            <w:noWrap/>
            <w:vAlign w:val="center"/>
            <w:hideMark/>
          </w:tcPr>
          <w:p w14:paraId="45B7AB64"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1,704</w:t>
            </w:r>
          </w:p>
        </w:tc>
        <w:tc>
          <w:tcPr>
            <w:tcW w:w="1548" w:type="dxa"/>
            <w:noWrap/>
            <w:vAlign w:val="center"/>
            <w:hideMark/>
          </w:tcPr>
          <w:p w14:paraId="3237080D"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27,290</w:t>
            </w:r>
          </w:p>
        </w:tc>
        <w:tc>
          <w:tcPr>
            <w:tcW w:w="1699" w:type="dxa"/>
            <w:noWrap/>
            <w:vAlign w:val="center"/>
            <w:hideMark/>
          </w:tcPr>
          <w:p w14:paraId="043CA3B5"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41.2</w:t>
            </w:r>
          </w:p>
        </w:tc>
        <w:tc>
          <w:tcPr>
            <w:tcW w:w="1510" w:type="dxa"/>
            <w:noWrap/>
            <w:vAlign w:val="center"/>
            <w:hideMark/>
          </w:tcPr>
          <w:p w14:paraId="25610716" w14:textId="77777777" w:rsidR="00BF10A3" w:rsidRPr="00822152" w:rsidRDefault="00BF10A3" w:rsidP="001F7400">
            <w:pPr>
              <w:jc w:val="right"/>
              <w:rPr>
                <w:rFonts w:ascii="Courier New" w:eastAsiaTheme="minorHAnsi" w:hAnsi="Courier New" w:cstheme="minorBidi"/>
                <w:sz w:val="24"/>
                <w:szCs w:val="24"/>
              </w:rPr>
            </w:pPr>
            <w:r w:rsidRPr="00822152">
              <w:rPr>
                <w:rFonts w:ascii="Courier New" w:eastAsiaTheme="minorHAnsi" w:hAnsi="Courier New" w:cstheme="minorBidi"/>
                <w:sz w:val="24"/>
                <w:szCs w:val="24"/>
              </w:rPr>
              <w:t>22.2</w:t>
            </w:r>
          </w:p>
        </w:tc>
      </w:tr>
    </w:tbl>
    <w:p w14:paraId="050AC4CB" w14:textId="77777777" w:rsidR="00BF10A3" w:rsidRDefault="00BF10A3" w:rsidP="00BF10A3">
      <w:pPr>
        <w:spacing w:after="0" w:line="240" w:lineRule="auto"/>
        <w:rPr>
          <w:rFonts w:ascii="Courier New" w:hAnsi="Courier New" w:cs="Courier New"/>
          <w:sz w:val="24"/>
          <w:szCs w:val="24"/>
        </w:rPr>
      </w:pPr>
    </w:p>
    <w:p w14:paraId="092C5E3D" w14:textId="77777777" w:rsidR="00BF10A3" w:rsidRPr="0058723A"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 xml:space="preserve">Table 2.22 provides the average program annual loan payment (weighted by the number of students completing a program), the average program earnings (weighted by the number of students completing a program), the average default rate (weighted by the number of applicable borrowers), and the average repayment rate (weighted by the number of applicable borrowers) for each </w:t>
      </w:r>
      <w:r w:rsidRPr="0058723A">
        <w:rPr>
          <w:rFonts w:ascii="Courier New" w:hAnsi="Courier New" w:cs="Courier New"/>
          <w:sz w:val="24"/>
          <w:szCs w:val="24"/>
        </w:rPr>
        <w:t xml:space="preserve">sector. </w:t>
      </w:r>
    </w:p>
    <w:p w14:paraId="0628105F" w14:textId="77777777" w:rsidR="00BF10A3" w:rsidRPr="0058723A" w:rsidRDefault="00BF10A3" w:rsidP="00BF10A3">
      <w:pPr>
        <w:spacing w:after="0" w:line="240" w:lineRule="auto"/>
        <w:rPr>
          <w:rFonts w:ascii="Courier New" w:hAnsi="Courier New" w:cs="Courier New"/>
          <w:b/>
          <w:sz w:val="24"/>
          <w:szCs w:val="24"/>
        </w:rPr>
      </w:pPr>
      <w:r w:rsidRPr="0058723A">
        <w:rPr>
          <w:rFonts w:ascii="Courier New" w:hAnsi="Courier New" w:cs="Courier New"/>
          <w:b/>
          <w:sz w:val="24"/>
          <w:szCs w:val="24"/>
        </w:rPr>
        <w:t>Table 2.23: Average Annual Loan Payment, Earnings, and Repayment Rate, Default Rate of 2012 GE Informational Rates Sample by Status</w:t>
      </w:r>
    </w:p>
    <w:p w14:paraId="4A08C78E" w14:textId="77777777" w:rsidR="00BF10A3" w:rsidRPr="0058723A" w:rsidRDefault="00BF10A3" w:rsidP="00BF10A3">
      <w:pPr>
        <w:spacing w:after="0" w:line="240" w:lineRule="auto"/>
        <w:rPr>
          <w:rFonts w:ascii="Courier New" w:eastAsiaTheme="minorHAnsi" w:hAnsi="Courier New" w:cstheme="minorBidi"/>
          <w:sz w:val="24"/>
          <w:szCs w:val="24"/>
        </w:rPr>
      </w:pPr>
    </w:p>
    <w:tbl>
      <w:tblPr>
        <w:tblStyle w:val="TableGrid8"/>
        <w:tblW w:w="0" w:type="auto"/>
        <w:tblLook w:val="04A0" w:firstRow="1" w:lastRow="0" w:firstColumn="1" w:lastColumn="0" w:noHBand="0" w:noVBand="1"/>
      </w:tblPr>
      <w:tblGrid>
        <w:gridCol w:w="1285"/>
        <w:gridCol w:w="1285"/>
        <w:gridCol w:w="1369"/>
        <w:gridCol w:w="1513"/>
        <w:gridCol w:w="1285"/>
      </w:tblGrid>
      <w:tr w:rsidR="00BF10A3" w:rsidRPr="0058723A" w14:paraId="6C4C278D" w14:textId="77777777" w:rsidTr="001F7400">
        <w:trPr>
          <w:trHeight w:val="521"/>
        </w:trPr>
        <w:tc>
          <w:tcPr>
            <w:tcW w:w="1285" w:type="dxa"/>
            <w:noWrap/>
            <w:vAlign w:val="center"/>
            <w:hideMark/>
          </w:tcPr>
          <w:p w14:paraId="4DDC7185" w14:textId="77777777" w:rsidR="00BF10A3" w:rsidRPr="0058723A" w:rsidRDefault="00BF10A3" w:rsidP="001F7400">
            <w:pPr>
              <w:jc w:val="center"/>
              <w:rPr>
                <w:rFonts w:ascii="Courier New" w:eastAsiaTheme="minorHAnsi" w:hAnsi="Courier New" w:cstheme="minorBidi"/>
                <w:b/>
                <w:sz w:val="24"/>
                <w:szCs w:val="24"/>
              </w:rPr>
            </w:pPr>
          </w:p>
        </w:tc>
        <w:tc>
          <w:tcPr>
            <w:tcW w:w="1285" w:type="dxa"/>
            <w:noWrap/>
            <w:vAlign w:val="center"/>
            <w:hideMark/>
          </w:tcPr>
          <w:p w14:paraId="1CFBDA7A" w14:textId="77777777" w:rsidR="00BF10A3" w:rsidRPr="0058723A" w:rsidRDefault="00BF10A3" w:rsidP="001F7400">
            <w:pPr>
              <w:jc w:val="center"/>
              <w:rPr>
                <w:rFonts w:ascii="Courier New" w:eastAsiaTheme="minorHAnsi" w:hAnsi="Courier New" w:cstheme="minorBidi"/>
                <w:b/>
                <w:sz w:val="24"/>
                <w:szCs w:val="24"/>
              </w:rPr>
            </w:pPr>
            <w:r w:rsidRPr="0058723A">
              <w:rPr>
                <w:rFonts w:ascii="Courier New" w:eastAsiaTheme="minorHAnsi" w:hAnsi="Courier New" w:cstheme="minorBidi"/>
                <w:b/>
                <w:sz w:val="24"/>
                <w:szCs w:val="24"/>
              </w:rPr>
              <w:t>Annual Loan Payment</w:t>
            </w:r>
          </w:p>
        </w:tc>
        <w:tc>
          <w:tcPr>
            <w:tcW w:w="1318" w:type="dxa"/>
            <w:noWrap/>
            <w:vAlign w:val="center"/>
            <w:hideMark/>
          </w:tcPr>
          <w:p w14:paraId="04F94806" w14:textId="77777777" w:rsidR="00BF10A3" w:rsidRPr="0058723A" w:rsidRDefault="00BF10A3" w:rsidP="001F7400">
            <w:pPr>
              <w:jc w:val="center"/>
              <w:rPr>
                <w:rFonts w:ascii="Courier New" w:eastAsiaTheme="minorHAnsi" w:hAnsi="Courier New" w:cstheme="minorBidi"/>
                <w:b/>
                <w:sz w:val="24"/>
                <w:szCs w:val="24"/>
              </w:rPr>
            </w:pPr>
            <w:r w:rsidRPr="0058723A">
              <w:rPr>
                <w:rFonts w:ascii="Courier New" w:eastAsiaTheme="minorHAnsi" w:hAnsi="Courier New" w:cstheme="minorBidi"/>
                <w:b/>
                <w:sz w:val="24"/>
                <w:szCs w:val="24"/>
              </w:rPr>
              <w:t>Annual Earnings</w:t>
            </w:r>
          </w:p>
        </w:tc>
        <w:tc>
          <w:tcPr>
            <w:tcW w:w="1447" w:type="dxa"/>
            <w:noWrap/>
            <w:vAlign w:val="center"/>
            <w:hideMark/>
          </w:tcPr>
          <w:p w14:paraId="6A4CCF84" w14:textId="77777777" w:rsidR="00BF10A3" w:rsidRPr="0058723A" w:rsidRDefault="00BF10A3" w:rsidP="001F7400">
            <w:pPr>
              <w:jc w:val="center"/>
              <w:rPr>
                <w:rFonts w:ascii="Courier New" w:eastAsiaTheme="minorHAnsi" w:hAnsi="Courier New" w:cstheme="minorBidi"/>
                <w:b/>
                <w:sz w:val="24"/>
                <w:szCs w:val="24"/>
              </w:rPr>
            </w:pPr>
            <w:r w:rsidRPr="0058723A">
              <w:rPr>
                <w:rFonts w:ascii="Courier New" w:eastAsiaTheme="minorHAnsi" w:hAnsi="Courier New" w:cstheme="minorBidi"/>
                <w:b/>
                <w:sz w:val="24"/>
                <w:szCs w:val="24"/>
              </w:rPr>
              <w:t>Repayment Rate</w:t>
            </w:r>
          </w:p>
        </w:tc>
        <w:tc>
          <w:tcPr>
            <w:tcW w:w="1285" w:type="dxa"/>
            <w:noWrap/>
            <w:vAlign w:val="center"/>
            <w:hideMark/>
          </w:tcPr>
          <w:p w14:paraId="1FC1E3C8" w14:textId="77777777" w:rsidR="00BF10A3" w:rsidRPr="0058723A" w:rsidRDefault="00BF10A3" w:rsidP="001F7400">
            <w:pPr>
              <w:jc w:val="center"/>
              <w:rPr>
                <w:rFonts w:ascii="Courier New" w:eastAsiaTheme="minorHAnsi" w:hAnsi="Courier New" w:cstheme="minorBidi"/>
                <w:b/>
                <w:sz w:val="24"/>
                <w:szCs w:val="24"/>
              </w:rPr>
            </w:pPr>
            <w:r w:rsidRPr="0058723A">
              <w:rPr>
                <w:rFonts w:ascii="Courier New" w:eastAsiaTheme="minorHAnsi" w:hAnsi="Courier New" w:cstheme="minorBidi"/>
                <w:b/>
                <w:sz w:val="24"/>
                <w:szCs w:val="24"/>
              </w:rPr>
              <w:t>Default Rate</w:t>
            </w:r>
          </w:p>
        </w:tc>
      </w:tr>
      <w:tr w:rsidR="00BF10A3" w:rsidRPr="0058723A" w14:paraId="58E1370C" w14:textId="77777777" w:rsidTr="001F7400">
        <w:trPr>
          <w:trHeight w:val="521"/>
        </w:trPr>
        <w:tc>
          <w:tcPr>
            <w:tcW w:w="1285" w:type="dxa"/>
            <w:noWrap/>
            <w:vAlign w:val="center"/>
            <w:hideMark/>
          </w:tcPr>
          <w:p w14:paraId="40963965" w14:textId="77777777" w:rsidR="00BF10A3" w:rsidRPr="0058723A" w:rsidRDefault="00BF10A3" w:rsidP="001F7400">
            <w:pPr>
              <w:rPr>
                <w:rFonts w:ascii="Courier New" w:eastAsiaTheme="minorHAnsi" w:hAnsi="Courier New" w:cstheme="minorBidi"/>
                <w:b/>
                <w:sz w:val="24"/>
                <w:szCs w:val="24"/>
              </w:rPr>
            </w:pPr>
            <w:r w:rsidRPr="0058723A">
              <w:rPr>
                <w:rFonts w:ascii="Courier New" w:eastAsiaTheme="minorHAnsi" w:hAnsi="Courier New" w:cstheme="minorBidi"/>
                <w:b/>
                <w:sz w:val="24"/>
                <w:szCs w:val="24"/>
              </w:rPr>
              <w:t>Pass</w:t>
            </w:r>
          </w:p>
        </w:tc>
        <w:tc>
          <w:tcPr>
            <w:tcW w:w="1285" w:type="dxa"/>
            <w:noWrap/>
            <w:vAlign w:val="center"/>
            <w:hideMark/>
          </w:tcPr>
          <w:p w14:paraId="5E24A431"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1,284</w:t>
            </w:r>
          </w:p>
        </w:tc>
        <w:tc>
          <w:tcPr>
            <w:tcW w:w="1318" w:type="dxa"/>
            <w:noWrap/>
            <w:vAlign w:val="center"/>
            <w:hideMark/>
          </w:tcPr>
          <w:p w14:paraId="3EBBD719"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30,714</w:t>
            </w:r>
          </w:p>
        </w:tc>
        <w:tc>
          <w:tcPr>
            <w:tcW w:w="1447" w:type="dxa"/>
            <w:noWrap/>
            <w:vAlign w:val="center"/>
            <w:hideMark/>
          </w:tcPr>
          <w:p w14:paraId="4737B81E"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45.0</w:t>
            </w:r>
          </w:p>
        </w:tc>
        <w:tc>
          <w:tcPr>
            <w:tcW w:w="1285" w:type="dxa"/>
            <w:noWrap/>
            <w:vAlign w:val="center"/>
            <w:hideMark/>
          </w:tcPr>
          <w:p w14:paraId="3F9F2F2A"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19.5</w:t>
            </w:r>
          </w:p>
        </w:tc>
      </w:tr>
      <w:tr w:rsidR="00BF10A3" w:rsidRPr="0058723A" w14:paraId="2D405087" w14:textId="77777777" w:rsidTr="001F7400">
        <w:trPr>
          <w:trHeight w:val="521"/>
        </w:trPr>
        <w:tc>
          <w:tcPr>
            <w:tcW w:w="1285" w:type="dxa"/>
            <w:noWrap/>
            <w:vAlign w:val="center"/>
            <w:hideMark/>
          </w:tcPr>
          <w:p w14:paraId="5309AA90" w14:textId="77777777" w:rsidR="00BF10A3" w:rsidRPr="0058723A" w:rsidRDefault="00BF10A3" w:rsidP="001F7400">
            <w:pPr>
              <w:rPr>
                <w:rFonts w:ascii="Courier New" w:eastAsiaTheme="minorHAnsi" w:hAnsi="Courier New" w:cstheme="minorBidi"/>
                <w:b/>
                <w:sz w:val="24"/>
                <w:szCs w:val="24"/>
              </w:rPr>
            </w:pPr>
            <w:r w:rsidRPr="0058723A">
              <w:rPr>
                <w:rFonts w:ascii="Courier New" w:eastAsiaTheme="minorHAnsi" w:hAnsi="Courier New" w:cstheme="minorBidi"/>
                <w:b/>
                <w:sz w:val="24"/>
                <w:szCs w:val="24"/>
              </w:rPr>
              <w:t>Zone</w:t>
            </w:r>
          </w:p>
        </w:tc>
        <w:tc>
          <w:tcPr>
            <w:tcW w:w="1285" w:type="dxa"/>
            <w:noWrap/>
            <w:vAlign w:val="center"/>
            <w:hideMark/>
          </w:tcPr>
          <w:p w14:paraId="34E14309"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1,723</w:t>
            </w:r>
          </w:p>
        </w:tc>
        <w:tc>
          <w:tcPr>
            <w:tcW w:w="1318" w:type="dxa"/>
            <w:noWrap/>
            <w:vAlign w:val="center"/>
            <w:hideMark/>
          </w:tcPr>
          <w:p w14:paraId="40D57940"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17,498</w:t>
            </w:r>
          </w:p>
        </w:tc>
        <w:tc>
          <w:tcPr>
            <w:tcW w:w="1447" w:type="dxa"/>
            <w:noWrap/>
            <w:vAlign w:val="center"/>
            <w:hideMark/>
          </w:tcPr>
          <w:p w14:paraId="589962F1"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32.9</w:t>
            </w:r>
          </w:p>
        </w:tc>
        <w:tc>
          <w:tcPr>
            <w:tcW w:w="1285" w:type="dxa"/>
            <w:noWrap/>
            <w:vAlign w:val="center"/>
            <w:hideMark/>
          </w:tcPr>
          <w:p w14:paraId="0F759776"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25.2</w:t>
            </w:r>
          </w:p>
        </w:tc>
      </w:tr>
      <w:tr w:rsidR="00BF10A3" w:rsidRPr="0058723A" w14:paraId="5C68AD61" w14:textId="77777777" w:rsidTr="001F7400">
        <w:trPr>
          <w:trHeight w:val="521"/>
        </w:trPr>
        <w:tc>
          <w:tcPr>
            <w:tcW w:w="1285" w:type="dxa"/>
            <w:noWrap/>
            <w:vAlign w:val="center"/>
            <w:hideMark/>
          </w:tcPr>
          <w:p w14:paraId="175E0989" w14:textId="77777777" w:rsidR="00BF10A3" w:rsidRPr="0058723A" w:rsidRDefault="00BF10A3" w:rsidP="001F7400">
            <w:pPr>
              <w:rPr>
                <w:rFonts w:ascii="Courier New" w:eastAsiaTheme="minorHAnsi" w:hAnsi="Courier New" w:cstheme="minorBidi"/>
                <w:b/>
                <w:sz w:val="24"/>
                <w:szCs w:val="24"/>
              </w:rPr>
            </w:pPr>
            <w:r w:rsidRPr="0058723A">
              <w:rPr>
                <w:rFonts w:ascii="Courier New" w:eastAsiaTheme="minorHAnsi" w:hAnsi="Courier New" w:cstheme="minorBidi"/>
                <w:b/>
                <w:sz w:val="24"/>
                <w:szCs w:val="24"/>
              </w:rPr>
              <w:t>Fail</w:t>
            </w:r>
          </w:p>
        </w:tc>
        <w:tc>
          <w:tcPr>
            <w:tcW w:w="1285" w:type="dxa"/>
            <w:noWrap/>
            <w:vAlign w:val="center"/>
            <w:hideMark/>
          </w:tcPr>
          <w:p w14:paraId="0DA092FB"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3,622</w:t>
            </w:r>
          </w:p>
        </w:tc>
        <w:tc>
          <w:tcPr>
            <w:tcW w:w="1318" w:type="dxa"/>
            <w:noWrap/>
            <w:vAlign w:val="center"/>
            <w:hideMark/>
          </w:tcPr>
          <w:p w14:paraId="6433623A"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21,016</w:t>
            </w:r>
          </w:p>
        </w:tc>
        <w:tc>
          <w:tcPr>
            <w:tcW w:w="1447" w:type="dxa"/>
            <w:noWrap/>
            <w:vAlign w:val="center"/>
            <w:hideMark/>
          </w:tcPr>
          <w:p w14:paraId="224C2A02"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32.3</w:t>
            </w:r>
          </w:p>
        </w:tc>
        <w:tc>
          <w:tcPr>
            <w:tcW w:w="1285" w:type="dxa"/>
            <w:noWrap/>
            <w:vAlign w:val="center"/>
            <w:hideMark/>
          </w:tcPr>
          <w:p w14:paraId="5EF44785" w14:textId="77777777" w:rsidR="00BF10A3" w:rsidRPr="0058723A" w:rsidRDefault="00BF10A3" w:rsidP="001F7400">
            <w:pPr>
              <w:jc w:val="right"/>
              <w:rPr>
                <w:rFonts w:ascii="Courier New" w:eastAsiaTheme="minorHAnsi" w:hAnsi="Courier New" w:cstheme="minorBidi"/>
                <w:sz w:val="24"/>
                <w:szCs w:val="24"/>
              </w:rPr>
            </w:pPr>
            <w:r w:rsidRPr="0058723A">
              <w:rPr>
                <w:rFonts w:ascii="Courier New" w:eastAsiaTheme="minorHAnsi" w:hAnsi="Courier New" w:cstheme="minorBidi"/>
                <w:sz w:val="24"/>
                <w:szCs w:val="24"/>
              </w:rPr>
              <w:t>27.6</w:t>
            </w:r>
          </w:p>
        </w:tc>
      </w:tr>
    </w:tbl>
    <w:p w14:paraId="36D049F1" w14:textId="77777777" w:rsidR="00BF10A3" w:rsidRDefault="00BF10A3" w:rsidP="00BF10A3">
      <w:pPr>
        <w:spacing w:after="0" w:line="240" w:lineRule="auto"/>
        <w:rPr>
          <w:rFonts w:ascii="Courier New" w:hAnsi="Courier New" w:cs="Courier New"/>
          <w:sz w:val="24"/>
          <w:szCs w:val="24"/>
        </w:rPr>
      </w:pPr>
    </w:p>
    <w:p w14:paraId="6FB1650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2.23 provides the average program annual loan payment (weighted by the number of students completing a program), the average program earnings (weighted by the number of students completed a program), the average default rate (weighted by the number of applicable borrowers), and the average repayment rate (weighted by the number of applicable borrowers) for passing, zone, and failing programs.  </w:t>
      </w:r>
    </w:p>
    <w:p w14:paraId="037D025B" w14:textId="77777777" w:rsidR="00BF10A3"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2.24: 2012 GE Informational D/E Rates Passing Programs Disaggregated by Annual Earnings Rate and Discretionary Income Rate</w:t>
      </w:r>
    </w:p>
    <w:p w14:paraId="6DCFFD80" w14:textId="77777777" w:rsidR="00BF10A3" w:rsidRDefault="00BF10A3" w:rsidP="00BF10A3">
      <w:pPr>
        <w:keepNext/>
        <w:spacing w:after="0" w:line="240" w:lineRule="auto"/>
        <w:rPr>
          <w:rFonts w:ascii="Courier New" w:hAnsi="Courier New" w:cs="Courier New"/>
          <w:b/>
          <w:sz w:val="24"/>
          <w:szCs w:val="24"/>
        </w:rPr>
      </w:pPr>
    </w:p>
    <w:p w14:paraId="5F3D0A4A" w14:textId="77777777" w:rsidR="00BF10A3" w:rsidRPr="00AA6DFD" w:rsidRDefault="00BF10A3" w:rsidP="00BF10A3">
      <w:pPr>
        <w:keepNext/>
        <w:spacing w:after="0" w:line="240" w:lineRule="auto"/>
        <w:rPr>
          <w:rFonts w:ascii="Courier New" w:hAnsi="Courier New" w:cs="Courier New"/>
          <w:b/>
          <w:sz w:val="24"/>
          <w:szCs w:val="24"/>
        </w:rPr>
      </w:pPr>
      <w:r>
        <w:rPr>
          <w:noProof/>
        </w:rPr>
        <w:drawing>
          <wp:inline distT="0" distB="0" distL="0" distR="0" wp14:anchorId="4B43524C" wp14:editId="70B9056C">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3C09D36" w14:textId="77777777" w:rsidR="00BF10A3" w:rsidRDefault="00BF10A3" w:rsidP="00BF10A3">
      <w:pPr>
        <w:spacing w:after="0" w:line="240" w:lineRule="auto"/>
        <w:ind w:firstLine="720"/>
        <w:rPr>
          <w:rFonts w:ascii="Courier New" w:hAnsi="Courier New" w:cs="Courier New"/>
          <w:sz w:val="24"/>
          <w:szCs w:val="24"/>
        </w:rPr>
      </w:pPr>
    </w:p>
    <w:p w14:paraId="4F5C02C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2.24 shows that 60 percent of programs that passed overall passed both the annual earnings rate and the discretionary income rate.  Thirty-three percent of programs that passed the D/E rates measure overall failed the discretionary income rate and passed the annual earnings rate whereas no programs that failed the annual earnings rate passed the discretionary income rate. </w:t>
      </w:r>
    </w:p>
    <w:p w14:paraId="17E33DD3"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2.25: 2012 GE Informational D/E Rates Zone Programs Disaggregated by Annual Earnings Rate and Discretionary Income Rate</w:t>
      </w:r>
    </w:p>
    <w:p w14:paraId="03C77D9B" w14:textId="77777777" w:rsidR="00BF10A3" w:rsidRPr="00AA6DFD" w:rsidRDefault="00BF10A3" w:rsidP="00BF10A3">
      <w:pPr>
        <w:keepNext/>
        <w:spacing w:after="0" w:line="240" w:lineRule="auto"/>
        <w:rPr>
          <w:rFonts w:ascii="Courier New" w:hAnsi="Courier New" w:cs="Courier New"/>
          <w:b/>
          <w:sz w:val="24"/>
          <w:szCs w:val="24"/>
        </w:rPr>
      </w:pPr>
    </w:p>
    <w:p w14:paraId="172A4E65" w14:textId="77777777" w:rsidR="00BF10A3" w:rsidRPr="00051293" w:rsidRDefault="00BF10A3" w:rsidP="00BF10A3">
      <w:pPr>
        <w:keepNext/>
        <w:spacing w:after="0" w:line="480" w:lineRule="auto"/>
        <w:rPr>
          <w:rFonts w:ascii="Courier New" w:hAnsi="Courier New" w:cs="Courier New"/>
          <w:sz w:val="24"/>
          <w:szCs w:val="24"/>
        </w:rPr>
      </w:pPr>
      <w:r>
        <w:rPr>
          <w:noProof/>
        </w:rPr>
        <w:drawing>
          <wp:inline distT="0" distB="0" distL="0" distR="0" wp14:anchorId="0511FBF2" wp14:editId="1DFB2232">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D0E3D2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Table 2.25 shows that eighty-three percent of programs in the zone failed the discretionary income rate but were in the zone for the annual earnings rate.  Only 3 percent of zone programs failed the annual earnings rate but were in the zone for the discretionary income rate.</w:t>
      </w:r>
    </w:p>
    <w:p w14:paraId="364DC1F0" w14:textId="77777777" w:rsidR="00BF10A3" w:rsidRDefault="00BF10A3" w:rsidP="00BF10A3">
      <w:pPr>
        <w:rPr>
          <w:rFonts w:ascii="Courier New" w:hAnsi="Courier New" w:cs="Courier New"/>
          <w:b/>
          <w:sz w:val="24"/>
          <w:szCs w:val="24"/>
        </w:rPr>
      </w:pPr>
      <w:r>
        <w:rPr>
          <w:rFonts w:ascii="Courier New" w:hAnsi="Courier New" w:cs="Courier New"/>
          <w:b/>
          <w:sz w:val="24"/>
          <w:szCs w:val="24"/>
        </w:rPr>
        <w:br w:type="page"/>
      </w:r>
    </w:p>
    <w:p w14:paraId="6015DED0" w14:textId="77777777" w:rsidR="00BF10A3" w:rsidRDefault="00BF10A3" w:rsidP="00BF10A3">
      <w:pPr>
        <w:spacing w:after="0" w:line="240" w:lineRule="auto"/>
        <w:rPr>
          <w:rFonts w:ascii="Courier New" w:hAnsi="Courier New" w:cs="Courier New"/>
          <w:b/>
          <w:sz w:val="24"/>
          <w:szCs w:val="24"/>
        </w:rPr>
        <w:sectPr w:rsidR="00BF10A3" w:rsidSect="007F58F4">
          <w:pgSz w:w="12240" w:h="15840"/>
          <w:pgMar w:top="1440" w:right="1440" w:bottom="1440" w:left="1440" w:header="720" w:footer="720" w:gutter="0"/>
          <w:cols w:space="720"/>
          <w:docGrid w:linePitch="360"/>
        </w:sectPr>
      </w:pPr>
    </w:p>
    <w:p w14:paraId="4211CE78" w14:textId="77777777" w:rsidR="00BF10A3" w:rsidRPr="004E3765" w:rsidRDefault="00BF10A3" w:rsidP="00BF10A3">
      <w:pPr>
        <w:spacing w:after="0" w:line="240" w:lineRule="auto"/>
        <w:rPr>
          <w:rFonts w:ascii="Courier New" w:hAnsi="Courier New" w:cs="Courier New"/>
          <w:b/>
          <w:sz w:val="24"/>
          <w:szCs w:val="24"/>
        </w:rPr>
      </w:pPr>
      <w:r w:rsidRPr="004E3765">
        <w:rPr>
          <w:rFonts w:ascii="Courier New" w:hAnsi="Courier New" w:cs="Courier New"/>
          <w:b/>
          <w:sz w:val="24"/>
          <w:szCs w:val="24"/>
        </w:rPr>
        <w:t>Table 2.26: Most Frequent Types of Programs in the 2012 Informational D/E Rates</w:t>
      </w:r>
    </w:p>
    <w:p w14:paraId="402AA391" w14:textId="77777777" w:rsidR="00BF10A3" w:rsidRPr="004E3765" w:rsidRDefault="00BF10A3" w:rsidP="00BF10A3">
      <w:pPr>
        <w:spacing w:after="0" w:line="240" w:lineRule="auto"/>
        <w:rPr>
          <w:rFonts w:ascii="Courier New" w:eastAsiaTheme="minorHAnsi" w:hAnsi="Courier New" w:cs="Courier New"/>
          <w:sz w:val="24"/>
          <w:szCs w:val="24"/>
        </w:rPr>
      </w:pPr>
    </w:p>
    <w:tbl>
      <w:tblPr>
        <w:tblStyle w:val="TableGrid9"/>
        <w:tblW w:w="0" w:type="auto"/>
        <w:tblLook w:val="04A0" w:firstRow="1" w:lastRow="0" w:firstColumn="1" w:lastColumn="0" w:noHBand="0" w:noVBand="1"/>
      </w:tblPr>
      <w:tblGrid>
        <w:gridCol w:w="4079"/>
        <w:gridCol w:w="1457"/>
        <w:gridCol w:w="1008"/>
        <w:gridCol w:w="1069"/>
        <w:gridCol w:w="881"/>
        <w:gridCol w:w="1082"/>
      </w:tblGrid>
      <w:tr w:rsidR="00BF10A3" w:rsidRPr="004E3765" w14:paraId="7D699195" w14:textId="77777777" w:rsidTr="001F7400">
        <w:trPr>
          <w:cantSplit/>
          <w:trHeight w:val="1134"/>
        </w:trPr>
        <w:tc>
          <w:tcPr>
            <w:tcW w:w="5758" w:type="dxa"/>
            <w:vAlign w:val="center"/>
            <w:hideMark/>
          </w:tcPr>
          <w:p w14:paraId="3ED1C093" w14:textId="77777777" w:rsidR="00BF10A3" w:rsidRPr="004E3765" w:rsidRDefault="00BF10A3" w:rsidP="001F7400">
            <w:pPr>
              <w:jc w:val="center"/>
              <w:rPr>
                <w:rFonts w:ascii="Courier New" w:eastAsiaTheme="minorHAnsi" w:hAnsi="Courier New" w:cstheme="minorBidi"/>
                <w:b/>
                <w:bCs/>
                <w:sz w:val="16"/>
              </w:rPr>
            </w:pPr>
            <w:r w:rsidRPr="004E3765">
              <w:rPr>
                <w:rFonts w:ascii="Courier New" w:eastAsiaTheme="minorHAnsi" w:hAnsi="Courier New" w:cstheme="minorBidi"/>
                <w:b/>
                <w:bCs/>
                <w:sz w:val="16"/>
              </w:rPr>
              <w:t>CIP</w:t>
            </w:r>
          </w:p>
        </w:tc>
        <w:tc>
          <w:tcPr>
            <w:tcW w:w="1997" w:type="dxa"/>
            <w:vAlign w:val="center"/>
            <w:hideMark/>
          </w:tcPr>
          <w:p w14:paraId="0FD5AB83" w14:textId="77777777" w:rsidR="00BF10A3" w:rsidRPr="004E3765" w:rsidRDefault="00BF10A3" w:rsidP="001F7400">
            <w:pPr>
              <w:jc w:val="center"/>
              <w:rPr>
                <w:rFonts w:ascii="Courier New" w:eastAsiaTheme="minorHAnsi" w:hAnsi="Courier New" w:cstheme="minorBidi"/>
                <w:b/>
                <w:bCs/>
                <w:sz w:val="16"/>
              </w:rPr>
            </w:pPr>
            <w:r w:rsidRPr="004E3765">
              <w:rPr>
                <w:rFonts w:ascii="Courier New" w:eastAsiaTheme="minorHAnsi" w:hAnsi="Courier New" w:cstheme="minorBidi"/>
                <w:b/>
                <w:bCs/>
                <w:sz w:val="16"/>
              </w:rPr>
              <w:t>Credential level</w:t>
            </w:r>
          </w:p>
        </w:tc>
        <w:tc>
          <w:tcPr>
            <w:tcW w:w="1353" w:type="dxa"/>
            <w:textDirection w:val="btLr"/>
            <w:vAlign w:val="center"/>
            <w:hideMark/>
          </w:tcPr>
          <w:p w14:paraId="1321677B" w14:textId="77777777" w:rsidR="00BF10A3" w:rsidRPr="004E3765" w:rsidRDefault="00BF10A3" w:rsidP="001F7400">
            <w:pPr>
              <w:ind w:left="113" w:right="113"/>
              <w:jc w:val="center"/>
              <w:rPr>
                <w:rFonts w:ascii="Courier New" w:eastAsiaTheme="minorHAnsi" w:hAnsi="Courier New" w:cstheme="minorBidi"/>
                <w:b/>
                <w:bCs/>
                <w:sz w:val="16"/>
              </w:rPr>
            </w:pPr>
            <w:r w:rsidRPr="004E3765">
              <w:rPr>
                <w:rFonts w:ascii="Courier New" w:eastAsiaTheme="minorHAnsi" w:hAnsi="Courier New" w:cstheme="minorBidi"/>
                <w:b/>
                <w:bCs/>
                <w:sz w:val="16"/>
              </w:rPr>
              <w:t>Programs</w:t>
            </w:r>
          </w:p>
        </w:tc>
        <w:tc>
          <w:tcPr>
            <w:tcW w:w="1440" w:type="dxa"/>
            <w:textDirection w:val="btLr"/>
            <w:vAlign w:val="center"/>
            <w:hideMark/>
          </w:tcPr>
          <w:p w14:paraId="038B9794" w14:textId="77777777" w:rsidR="00BF10A3" w:rsidRPr="004E3765" w:rsidRDefault="00BF10A3" w:rsidP="001F7400">
            <w:pPr>
              <w:ind w:left="113" w:right="113"/>
              <w:jc w:val="center"/>
              <w:rPr>
                <w:rFonts w:ascii="Courier New" w:eastAsiaTheme="minorHAnsi" w:hAnsi="Courier New" w:cstheme="minorBidi"/>
                <w:b/>
                <w:bCs/>
                <w:sz w:val="16"/>
              </w:rPr>
            </w:pPr>
            <w:r w:rsidRPr="004E3765">
              <w:rPr>
                <w:rFonts w:ascii="Courier New" w:eastAsiaTheme="minorHAnsi" w:hAnsi="Courier New" w:cstheme="minorBidi"/>
                <w:b/>
                <w:bCs/>
                <w:sz w:val="16"/>
              </w:rPr>
              <w:t>% of all programs</w:t>
            </w:r>
          </w:p>
        </w:tc>
        <w:tc>
          <w:tcPr>
            <w:tcW w:w="1170" w:type="dxa"/>
            <w:textDirection w:val="btLr"/>
            <w:vAlign w:val="center"/>
            <w:hideMark/>
          </w:tcPr>
          <w:p w14:paraId="1D42BD98" w14:textId="77777777" w:rsidR="00BF10A3" w:rsidRPr="004E3765" w:rsidRDefault="00BF10A3" w:rsidP="001F7400">
            <w:pPr>
              <w:ind w:left="113" w:right="113"/>
              <w:jc w:val="center"/>
              <w:rPr>
                <w:rFonts w:ascii="Courier New" w:eastAsiaTheme="minorHAnsi" w:hAnsi="Courier New" w:cstheme="minorBidi"/>
                <w:b/>
                <w:bCs/>
                <w:sz w:val="16"/>
              </w:rPr>
            </w:pPr>
            <w:r w:rsidRPr="004E3765">
              <w:rPr>
                <w:rFonts w:ascii="Courier New" w:eastAsiaTheme="minorHAnsi" w:hAnsi="Courier New" w:cstheme="minorBidi"/>
                <w:b/>
                <w:bCs/>
                <w:sz w:val="16"/>
              </w:rPr>
              <w:t>t4 students</w:t>
            </w:r>
          </w:p>
        </w:tc>
        <w:tc>
          <w:tcPr>
            <w:tcW w:w="1458" w:type="dxa"/>
            <w:textDirection w:val="btLr"/>
            <w:vAlign w:val="center"/>
            <w:hideMark/>
          </w:tcPr>
          <w:p w14:paraId="247025DF" w14:textId="77777777" w:rsidR="00BF10A3" w:rsidRPr="004E3765" w:rsidRDefault="00BF10A3" w:rsidP="001F7400">
            <w:pPr>
              <w:ind w:left="113" w:right="113"/>
              <w:jc w:val="center"/>
              <w:rPr>
                <w:rFonts w:ascii="Courier New" w:eastAsiaTheme="minorHAnsi" w:hAnsi="Courier New" w:cstheme="minorBidi"/>
                <w:b/>
                <w:bCs/>
                <w:sz w:val="16"/>
              </w:rPr>
            </w:pPr>
            <w:r w:rsidRPr="004E3765">
              <w:rPr>
                <w:rFonts w:ascii="Courier New" w:eastAsiaTheme="minorHAnsi" w:hAnsi="Courier New" w:cstheme="minorBidi"/>
                <w:b/>
                <w:bCs/>
                <w:sz w:val="16"/>
              </w:rPr>
              <w:t>% of all t4 students</w:t>
            </w:r>
          </w:p>
        </w:tc>
      </w:tr>
      <w:tr w:rsidR="00BF10A3" w:rsidRPr="004E3765" w14:paraId="30176F82" w14:textId="77777777" w:rsidTr="001F7400">
        <w:trPr>
          <w:trHeight w:val="300"/>
        </w:trPr>
        <w:tc>
          <w:tcPr>
            <w:tcW w:w="5758" w:type="dxa"/>
            <w:noWrap/>
            <w:hideMark/>
          </w:tcPr>
          <w:p w14:paraId="5602FC7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MEDICAL/CLINICAL ASSISTANT.</w:t>
            </w:r>
          </w:p>
        </w:tc>
        <w:tc>
          <w:tcPr>
            <w:tcW w:w="1997" w:type="dxa"/>
            <w:noWrap/>
            <w:hideMark/>
          </w:tcPr>
          <w:p w14:paraId="4B9C13F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3DB676B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347</w:t>
            </w:r>
          </w:p>
        </w:tc>
        <w:tc>
          <w:tcPr>
            <w:tcW w:w="1440" w:type="dxa"/>
            <w:noWrap/>
            <w:hideMark/>
          </w:tcPr>
          <w:p w14:paraId="1BF54D1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6.3%</w:t>
            </w:r>
          </w:p>
        </w:tc>
        <w:tc>
          <w:tcPr>
            <w:tcW w:w="1170" w:type="dxa"/>
            <w:noWrap/>
            <w:hideMark/>
          </w:tcPr>
          <w:p w14:paraId="2C9AE91C"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176,086</w:t>
            </w:r>
          </w:p>
        </w:tc>
        <w:tc>
          <w:tcPr>
            <w:tcW w:w="1458" w:type="dxa"/>
            <w:noWrap/>
            <w:hideMark/>
          </w:tcPr>
          <w:p w14:paraId="4DED9FC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7.0%</w:t>
            </w:r>
          </w:p>
        </w:tc>
      </w:tr>
      <w:tr w:rsidR="00BF10A3" w:rsidRPr="004E3765" w14:paraId="017629D1" w14:textId="77777777" w:rsidTr="001F7400">
        <w:trPr>
          <w:trHeight w:val="300"/>
        </w:trPr>
        <w:tc>
          <w:tcPr>
            <w:tcW w:w="5758" w:type="dxa"/>
            <w:noWrap/>
            <w:hideMark/>
          </w:tcPr>
          <w:p w14:paraId="0E1D9C6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BUSINESS ADMINISTRATION AND MANAGEMENT, GENERAL.</w:t>
            </w:r>
          </w:p>
        </w:tc>
        <w:tc>
          <w:tcPr>
            <w:tcW w:w="1997" w:type="dxa"/>
            <w:noWrap/>
            <w:hideMark/>
          </w:tcPr>
          <w:p w14:paraId="2104FA0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Bachelor's</w:t>
            </w:r>
          </w:p>
        </w:tc>
        <w:tc>
          <w:tcPr>
            <w:tcW w:w="1353" w:type="dxa"/>
            <w:noWrap/>
            <w:hideMark/>
          </w:tcPr>
          <w:p w14:paraId="56F8884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41</w:t>
            </w:r>
          </w:p>
        </w:tc>
        <w:tc>
          <w:tcPr>
            <w:tcW w:w="1440" w:type="dxa"/>
            <w:noWrap/>
            <w:hideMark/>
          </w:tcPr>
          <w:p w14:paraId="1790EC4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0.7%</w:t>
            </w:r>
          </w:p>
        </w:tc>
        <w:tc>
          <w:tcPr>
            <w:tcW w:w="1170" w:type="dxa"/>
            <w:noWrap/>
            <w:hideMark/>
          </w:tcPr>
          <w:p w14:paraId="2DC61E0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168,054</w:t>
            </w:r>
          </w:p>
        </w:tc>
        <w:tc>
          <w:tcPr>
            <w:tcW w:w="1458" w:type="dxa"/>
            <w:noWrap/>
            <w:hideMark/>
          </w:tcPr>
          <w:p w14:paraId="247A435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6.7%</w:t>
            </w:r>
          </w:p>
        </w:tc>
      </w:tr>
      <w:tr w:rsidR="00BF10A3" w:rsidRPr="004E3765" w14:paraId="132B7D13" w14:textId="77777777" w:rsidTr="001F7400">
        <w:trPr>
          <w:trHeight w:val="300"/>
        </w:trPr>
        <w:tc>
          <w:tcPr>
            <w:tcW w:w="5758" w:type="dxa"/>
            <w:noWrap/>
            <w:hideMark/>
          </w:tcPr>
          <w:p w14:paraId="2D2ED5CC"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COSMETOLOGY/COSMETOLOGIST, GENERAL.</w:t>
            </w:r>
          </w:p>
        </w:tc>
        <w:tc>
          <w:tcPr>
            <w:tcW w:w="1997" w:type="dxa"/>
            <w:noWrap/>
            <w:hideMark/>
          </w:tcPr>
          <w:p w14:paraId="78CCC6A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62EDEE50"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590</w:t>
            </w:r>
          </w:p>
        </w:tc>
        <w:tc>
          <w:tcPr>
            <w:tcW w:w="1440" w:type="dxa"/>
            <w:noWrap/>
            <w:hideMark/>
          </w:tcPr>
          <w:p w14:paraId="5CDC5C0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10.7%</w:t>
            </w:r>
          </w:p>
        </w:tc>
        <w:tc>
          <w:tcPr>
            <w:tcW w:w="1170" w:type="dxa"/>
            <w:noWrap/>
            <w:hideMark/>
          </w:tcPr>
          <w:p w14:paraId="0CC3B17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115,579</w:t>
            </w:r>
          </w:p>
        </w:tc>
        <w:tc>
          <w:tcPr>
            <w:tcW w:w="1458" w:type="dxa"/>
            <w:noWrap/>
            <w:hideMark/>
          </w:tcPr>
          <w:p w14:paraId="4A7C072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4.6%</w:t>
            </w:r>
          </w:p>
        </w:tc>
      </w:tr>
      <w:tr w:rsidR="00BF10A3" w:rsidRPr="004E3765" w14:paraId="48AA55D3" w14:textId="77777777" w:rsidTr="001F7400">
        <w:trPr>
          <w:trHeight w:val="300"/>
        </w:trPr>
        <w:tc>
          <w:tcPr>
            <w:tcW w:w="5758" w:type="dxa"/>
            <w:noWrap/>
            <w:hideMark/>
          </w:tcPr>
          <w:p w14:paraId="0669F8D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LICENSED PRACTICAL/VOCATIONAL NURSE TRAINING*</w:t>
            </w:r>
          </w:p>
        </w:tc>
        <w:tc>
          <w:tcPr>
            <w:tcW w:w="1997" w:type="dxa"/>
            <w:noWrap/>
            <w:hideMark/>
          </w:tcPr>
          <w:p w14:paraId="2A7B95F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6234DA0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491</w:t>
            </w:r>
          </w:p>
        </w:tc>
        <w:tc>
          <w:tcPr>
            <w:tcW w:w="1440" w:type="dxa"/>
            <w:noWrap/>
            <w:hideMark/>
          </w:tcPr>
          <w:p w14:paraId="209C37D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8.9%</w:t>
            </w:r>
          </w:p>
        </w:tc>
        <w:tc>
          <w:tcPr>
            <w:tcW w:w="1170" w:type="dxa"/>
            <w:noWrap/>
            <w:hideMark/>
          </w:tcPr>
          <w:p w14:paraId="24165CD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79,923</w:t>
            </w:r>
          </w:p>
        </w:tc>
        <w:tc>
          <w:tcPr>
            <w:tcW w:w="1458" w:type="dxa"/>
            <w:noWrap/>
            <w:hideMark/>
          </w:tcPr>
          <w:p w14:paraId="08F5618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3.2%</w:t>
            </w:r>
          </w:p>
        </w:tc>
      </w:tr>
      <w:tr w:rsidR="00BF10A3" w:rsidRPr="004E3765" w14:paraId="7746519F" w14:textId="77777777" w:rsidTr="001F7400">
        <w:trPr>
          <w:trHeight w:val="300"/>
        </w:trPr>
        <w:tc>
          <w:tcPr>
            <w:tcW w:w="5758" w:type="dxa"/>
            <w:noWrap/>
            <w:hideMark/>
          </w:tcPr>
          <w:p w14:paraId="49AB4FD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BUSINESS ADMINISTRATION AND MANAGEMENT, GENERAL.</w:t>
            </w:r>
          </w:p>
        </w:tc>
        <w:tc>
          <w:tcPr>
            <w:tcW w:w="1997" w:type="dxa"/>
            <w:noWrap/>
            <w:hideMark/>
          </w:tcPr>
          <w:p w14:paraId="4C22392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Master's</w:t>
            </w:r>
          </w:p>
        </w:tc>
        <w:tc>
          <w:tcPr>
            <w:tcW w:w="1353" w:type="dxa"/>
            <w:noWrap/>
            <w:hideMark/>
          </w:tcPr>
          <w:p w14:paraId="57F67AE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28</w:t>
            </w:r>
          </w:p>
        </w:tc>
        <w:tc>
          <w:tcPr>
            <w:tcW w:w="1440" w:type="dxa"/>
            <w:noWrap/>
            <w:hideMark/>
          </w:tcPr>
          <w:p w14:paraId="25D600E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0.5%</w:t>
            </w:r>
          </w:p>
        </w:tc>
        <w:tc>
          <w:tcPr>
            <w:tcW w:w="1170" w:type="dxa"/>
            <w:noWrap/>
            <w:hideMark/>
          </w:tcPr>
          <w:p w14:paraId="1DED89F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77,571</w:t>
            </w:r>
          </w:p>
        </w:tc>
        <w:tc>
          <w:tcPr>
            <w:tcW w:w="1458" w:type="dxa"/>
            <w:noWrap/>
            <w:hideMark/>
          </w:tcPr>
          <w:p w14:paraId="3CD29FB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3.1%</w:t>
            </w:r>
          </w:p>
        </w:tc>
      </w:tr>
      <w:tr w:rsidR="00BF10A3" w:rsidRPr="004E3765" w14:paraId="450C58D5" w14:textId="77777777" w:rsidTr="001F7400">
        <w:trPr>
          <w:trHeight w:val="300"/>
        </w:trPr>
        <w:tc>
          <w:tcPr>
            <w:tcW w:w="5758" w:type="dxa"/>
            <w:noWrap/>
            <w:hideMark/>
          </w:tcPr>
          <w:p w14:paraId="5FB643A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MEDICAL/CLINICAL ASSISTANT.</w:t>
            </w:r>
          </w:p>
        </w:tc>
        <w:tc>
          <w:tcPr>
            <w:tcW w:w="1997" w:type="dxa"/>
            <w:noWrap/>
            <w:hideMark/>
          </w:tcPr>
          <w:p w14:paraId="6E4E90D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5716ADB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96</w:t>
            </w:r>
          </w:p>
        </w:tc>
        <w:tc>
          <w:tcPr>
            <w:tcW w:w="1440" w:type="dxa"/>
            <w:noWrap/>
            <w:hideMark/>
          </w:tcPr>
          <w:p w14:paraId="1C14299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1.7%</w:t>
            </w:r>
          </w:p>
        </w:tc>
        <w:tc>
          <w:tcPr>
            <w:tcW w:w="1170" w:type="dxa"/>
            <w:noWrap/>
            <w:hideMark/>
          </w:tcPr>
          <w:p w14:paraId="4C8D52D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64,012</w:t>
            </w:r>
          </w:p>
        </w:tc>
        <w:tc>
          <w:tcPr>
            <w:tcW w:w="1458" w:type="dxa"/>
            <w:noWrap/>
            <w:hideMark/>
          </w:tcPr>
          <w:p w14:paraId="64AFBDAC"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2.5%</w:t>
            </w:r>
          </w:p>
        </w:tc>
      </w:tr>
      <w:tr w:rsidR="00BF10A3" w:rsidRPr="004E3765" w14:paraId="74BFA14B" w14:textId="77777777" w:rsidTr="001F7400">
        <w:trPr>
          <w:trHeight w:val="300"/>
        </w:trPr>
        <w:tc>
          <w:tcPr>
            <w:tcW w:w="5758" w:type="dxa"/>
            <w:noWrap/>
            <w:hideMark/>
          </w:tcPr>
          <w:p w14:paraId="05B8CC0F"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OFFICE MANAGEMENT AND SUPERVISION.</w:t>
            </w:r>
          </w:p>
        </w:tc>
        <w:tc>
          <w:tcPr>
            <w:tcW w:w="1997" w:type="dxa"/>
            <w:noWrap/>
            <w:hideMark/>
          </w:tcPr>
          <w:p w14:paraId="1D79056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46D15C3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w:t>
            </w:r>
          </w:p>
        </w:tc>
        <w:tc>
          <w:tcPr>
            <w:tcW w:w="1440" w:type="dxa"/>
            <w:noWrap/>
            <w:hideMark/>
          </w:tcPr>
          <w:p w14:paraId="68CAB5D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0.0%</w:t>
            </w:r>
          </w:p>
        </w:tc>
        <w:tc>
          <w:tcPr>
            <w:tcW w:w="1170" w:type="dxa"/>
            <w:noWrap/>
            <w:hideMark/>
          </w:tcPr>
          <w:p w14:paraId="43AEE47A"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58,489</w:t>
            </w:r>
          </w:p>
        </w:tc>
        <w:tc>
          <w:tcPr>
            <w:tcW w:w="1458" w:type="dxa"/>
            <w:noWrap/>
            <w:hideMark/>
          </w:tcPr>
          <w:p w14:paraId="2780015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2.3%</w:t>
            </w:r>
          </w:p>
        </w:tc>
      </w:tr>
      <w:tr w:rsidR="00BF10A3" w:rsidRPr="004E3765" w14:paraId="7D2AC374" w14:textId="77777777" w:rsidTr="001F7400">
        <w:trPr>
          <w:trHeight w:val="300"/>
        </w:trPr>
        <w:tc>
          <w:tcPr>
            <w:tcW w:w="5758" w:type="dxa"/>
            <w:noWrap/>
            <w:hideMark/>
          </w:tcPr>
          <w:p w14:paraId="769BB9C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BUSINESS ADMINISTRATION AND MANAGEMENT, GENERAL.</w:t>
            </w:r>
          </w:p>
        </w:tc>
        <w:tc>
          <w:tcPr>
            <w:tcW w:w="1997" w:type="dxa"/>
            <w:noWrap/>
            <w:hideMark/>
          </w:tcPr>
          <w:p w14:paraId="4F32C09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69141F3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42</w:t>
            </w:r>
          </w:p>
        </w:tc>
        <w:tc>
          <w:tcPr>
            <w:tcW w:w="1440" w:type="dxa"/>
            <w:noWrap/>
            <w:hideMark/>
          </w:tcPr>
          <w:p w14:paraId="43FEC5E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0.8%</w:t>
            </w:r>
          </w:p>
        </w:tc>
        <w:tc>
          <w:tcPr>
            <w:tcW w:w="1170" w:type="dxa"/>
            <w:noWrap/>
            <w:hideMark/>
          </w:tcPr>
          <w:p w14:paraId="1FFAA32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51,756</w:t>
            </w:r>
          </w:p>
        </w:tc>
        <w:tc>
          <w:tcPr>
            <w:tcW w:w="1458" w:type="dxa"/>
            <w:noWrap/>
            <w:hideMark/>
          </w:tcPr>
          <w:p w14:paraId="6D51FB8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2.1%</w:t>
            </w:r>
          </w:p>
        </w:tc>
      </w:tr>
      <w:tr w:rsidR="00BF10A3" w:rsidRPr="004E3765" w14:paraId="5697912D" w14:textId="77777777" w:rsidTr="001F7400">
        <w:trPr>
          <w:trHeight w:val="300"/>
        </w:trPr>
        <w:tc>
          <w:tcPr>
            <w:tcW w:w="5758" w:type="dxa"/>
            <w:noWrap/>
            <w:hideMark/>
          </w:tcPr>
          <w:p w14:paraId="6C99248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AUTOMOBILE/AUTOMOTIVE MECHANICS TECHNOLOGY/TECHNICIAN.</w:t>
            </w:r>
          </w:p>
        </w:tc>
        <w:tc>
          <w:tcPr>
            <w:tcW w:w="1997" w:type="dxa"/>
            <w:noWrap/>
            <w:hideMark/>
          </w:tcPr>
          <w:p w14:paraId="4A1A9AAB"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79AC6D4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47</w:t>
            </w:r>
          </w:p>
        </w:tc>
        <w:tc>
          <w:tcPr>
            <w:tcW w:w="1440" w:type="dxa"/>
            <w:noWrap/>
            <w:hideMark/>
          </w:tcPr>
          <w:p w14:paraId="66EA4BB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0.8%</w:t>
            </w:r>
          </w:p>
        </w:tc>
        <w:tc>
          <w:tcPr>
            <w:tcW w:w="1170" w:type="dxa"/>
            <w:noWrap/>
            <w:hideMark/>
          </w:tcPr>
          <w:p w14:paraId="4567610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33,349</w:t>
            </w:r>
          </w:p>
        </w:tc>
        <w:tc>
          <w:tcPr>
            <w:tcW w:w="1458" w:type="dxa"/>
            <w:noWrap/>
            <w:hideMark/>
          </w:tcPr>
          <w:p w14:paraId="2A032B0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1.3%</w:t>
            </w:r>
          </w:p>
        </w:tc>
      </w:tr>
      <w:tr w:rsidR="00BF10A3" w:rsidRPr="004E3765" w14:paraId="374A879E" w14:textId="77777777" w:rsidTr="001F7400">
        <w:trPr>
          <w:trHeight w:val="300"/>
        </w:trPr>
        <w:tc>
          <w:tcPr>
            <w:tcW w:w="5758" w:type="dxa"/>
            <w:noWrap/>
            <w:hideMark/>
          </w:tcPr>
          <w:p w14:paraId="0FA9441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MASSAGE THERAPY/THERAPEUTIC MASSAGE.</w:t>
            </w:r>
          </w:p>
        </w:tc>
        <w:tc>
          <w:tcPr>
            <w:tcW w:w="1997" w:type="dxa"/>
            <w:noWrap/>
            <w:hideMark/>
          </w:tcPr>
          <w:p w14:paraId="6BA4F60C"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32801B3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222</w:t>
            </w:r>
          </w:p>
        </w:tc>
        <w:tc>
          <w:tcPr>
            <w:tcW w:w="1440" w:type="dxa"/>
            <w:noWrap/>
            <w:hideMark/>
          </w:tcPr>
          <w:p w14:paraId="77A0627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4.0%</w:t>
            </w:r>
          </w:p>
        </w:tc>
        <w:tc>
          <w:tcPr>
            <w:tcW w:w="1170" w:type="dxa"/>
            <w:noWrap/>
            <w:hideMark/>
          </w:tcPr>
          <w:p w14:paraId="5EEF7C5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33,267</w:t>
            </w:r>
          </w:p>
        </w:tc>
        <w:tc>
          <w:tcPr>
            <w:tcW w:w="1458" w:type="dxa"/>
            <w:noWrap/>
            <w:hideMark/>
          </w:tcPr>
          <w:p w14:paraId="248256D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1.3%</w:t>
            </w:r>
          </w:p>
        </w:tc>
      </w:tr>
      <w:tr w:rsidR="00BF10A3" w:rsidRPr="004E3765" w14:paraId="67334C1F" w14:textId="77777777" w:rsidTr="001F7400">
        <w:trPr>
          <w:trHeight w:val="300"/>
        </w:trPr>
        <w:tc>
          <w:tcPr>
            <w:tcW w:w="5758" w:type="dxa"/>
            <w:noWrap/>
            <w:hideMark/>
          </w:tcPr>
          <w:p w14:paraId="4141887F"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MEDICAL OFFICE ASSISTANT/SPECIALIST.</w:t>
            </w:r>
          </w:p>
        </w:tc>
        <w:tc>
          <w:tcPr>
            <w:tcW w:w="1997" w:type="dxa"/>
            <w:noWrap/>
            <w:hideMark/>
          </w:tcPr>
          <w:p w14:paraId="0A1E50A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4808A1FB"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10</w:t>
            </w:r>
          </w:p>
        </w:tc>
        <w:tc>
          <w:tcPr>
            <w:tcW w:w="1440" w:type="dxa"/>
            <w:noWrap/>
            <w:hideMark/>
          </w:tcPr>
          <w:p w14:paraId="0E3B046F"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0.2%</w:t>
            </w:r>
          </w:p>
        </w:tc>
        <w:tc>
          <w:tcPr>
            <w:tcW w:w="1170" w:type="dxa"/>
            <w:noWrap/>
            <w:hideMark/>
          </w:tcPr>
          <w:p w14:paraId="0925DF8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32,951</w:t>
            </w:r>
          </w:p>
        </w:tc>
        <w:tc>
          <w:tcPr>
            <w:tcW w:w="1458" w:type="dxa"/>
            <w:noWrap/>
            <w:hideMark/>
          </w:tcPr>
          <w:p w14:paraId="0CFD29A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1.3%</w:t>
            </w:r>
          </w:p>
        </w:tc>
      </w:tr>
      <w:tr w:rsidR="00BF10A3" w:rsidRPr="004E3765" w14:paraId="5EF037A4" w14:textId="77777777" w:rsidTr="001F7400">
        <w:trPr>
          <w:trHeight w:val="300"/>
        </w:trPr>
        <w:tc>
          <w:tcPr>
            <w:tcW w:w="5758" w:type="dxa"/>
            <w:noWrap/>
            <w:hideMark/>
          </w:tcPr>
          <w:p w14:paraId="35FC2F6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CRIMINAL JUSTICE/LAW ENFORCEMENT ADMINISTRATION.</w:t>
            </w:r>
          </w:p>
        </w:tc>
        <w:tc>
          <w:tcPr>
            <w:tcW w:w="1997" w:type="dxa"/>
            <w:noWrap/>
            <w:hideMark/>
          </w:tcPr>
          <w:p w14:paraId="26B3831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Bachelor's</w:t>
            </w:r>
          </w:p>
        </w:tc>
        <w:tc>
          <w:tcPr>
            <w:tcW w:w="1353" w:type="dxa"/>
            <w:noWrap/>
            <w:hideMark/>
          </w:tcPr>
          <w:p w14:paraId="4FB81EA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8</w:t>
            </w:r>
          </w:p>
        </w:tc>
        <w:tc>
          <w:tcPr>
            <w:tcW w:w="1440" w:type="dxa"/>
            <w:noWrap/>
            <w:hideMark/>
          </w:tcPr>
          <w:p w14:paraId="657CFA0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0.1%</w:t>
            </w:r>
          </w:p>
        </w:tc>
        <w:tc>
          <w:tcPr>
            <w:tcW w:w="1170" w:type="dxa"/>
            <w:noWrap/>
            <w:hideMark/>
          </w:tcPr>
          <w:p w14:paraId="0691E1E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32,284</w:t>
            </w:r>
          </w:p>
        </w:tc>
        <w:tc>
          <w:tcPr>
            <w:tcW w:w="1458" w:type="dxa"/>
            <w:noWrap/>
            <w:hideMark/>
          </w:tcPr>
          <w:p w14:paraId="2594F7B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1.3%</w:t>
            </w:r>
          </w:p>
        </w:tc>
      </w:tr>
      <w:tr w:rsidR="00BF10A3" w:rsidRPr="004E3765" w14:paraId="0402EA5A" w14:textId="77777777" w:rsidTr="001F7400">
        <w:trPr>
          <w:trHeight w:val="300"/>
        </w:trPr>
        <w:tc>
          <w:tcPr>
            <w:tcW w:w="5758" w:type="dxa"/>
            <w:noWrap/>
            <w:hideMark/>
          </w:tcPr>
          <w:p w14:paraId="40937AB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COMPUTER SYSTEMS NETWORKING AND TELECOMMUNICATIONS.</w:t>
            </w:r>
          </w:p>
        </w:tc>
        <w:tc>
          <w:tcPr>
            <w:tcW w:w="1997" w:type="dxa"/>
            <w:noWrap/>
            <w:hideMark/>
          </w:tcPr>
          <w:p w14:paraId="74D702FC"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779A753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16</w:t>
            </w:r>
          </w:p>
        </w:tc>
        <w:tc>
          <w:tcPr>
            <w:tcW w:w="1440" w:type="dxa"/>
            <w:noWrap/>
            <w:hideMark/>
          </w:tcPr>
          <w:p w14:paraId="7B8F4F3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0.3%</w:t>
            </w:r>
          </w:p>
        </w:tc>
        <w:tc>
          <w:tcPr>
            <w:tcW w:w="1170" w:type="dxa"/>
            <w:noWrap/>
            <w:hideMark/>
          </w:tcPr>
          <w:p w14:paraId="43DFC10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32,283</w:t>
            </w:r>
          </w:p>
        </w:tc>
        <w:tc>
          <w:tcPr>
            <w:tcW w:w="1458" w:type="dxa"/>
            <w:noWrap/>
            <w:hideMark/>
          </w:tcPr>
          <w:p w14:paraId="79FD431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1.3%</w:t>
            </w:r>
          </w:p>
        </w:tc>
      </w:tr>
      <w:tr w:rsidR="00BF10A3" w:rsidRPr="004E3765" w14:paraId="10899537" w14:textId="77777777" w:rsidTr="001F7400">
        <w:trPr>
          <w:trHeight w:val="300"/>
        </w:trPr>
        <w:tc>
          <w:tcPr>
            <w:tcW w:w="5758" w:type="dxa"/>
            <w:noWrap/>
            <w:hideMark/>
          </w:tcPr>
          <w:p w14:paraId="7EE525E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HEALTH INFORMATION/MEDICAL RECORDS TECHNOLOGY/TECHNICIAN.</w:t>
            </w:r>
          </w:p>
        </w:tc>
        <w:tc>
          <w:tcPr>
            <w:tcW w:w="1997" w:type="dxa"/>
            <w:noWrap/>
            <w:hideMark/>
          </w:tcPr>
          <w:p w14:paraId="37EB28DE"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538B975A"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6</w:t>
            </w:r>
          </w:p>
        </w:tc>
        <w:tc>
          <w:tcPr>
            <w:tcW w:w="1440" w:type="dxa"/>
            <w:noWrap/>
            <w:hideMark/>
          </w:tcPr>
          <w:p w14:paraId="2D3A353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0.1%</w:t>
            </w:r>
          </w:p>
        </w:tc>
        <w:tc>
          <w:tcPr>
            <w:tcW w:w="1170" w:type="dxa"/>
            <w:noWrap/>
            <w:hideMark/>
          </w:tcPr>
          <w:p w14:paraId="2D18001B"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29,372</w:t>
            </w:r>
          </w:p>
        </w:tc>
        <w:tc>
          <w:tcPr>
            <w:tcW w:w="1458" w:type="dxa"/>
            <w:noWrap/>
            <w:hideMark/>
          </w:tcPr>
          <w:p w14:paraId="0CC8DB1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1.2%</w:t>
            </w:r>
          </w:p>
        </w:tc>
      </w:tr>
      <w:tr w:rsidR="00BF10A3" w:rsidRPr="004E3765" w14:paraId="7FB2B066" w14:textId="77777777" w:rsidTr="001F7400">
        <w:trPr>
          <w:trHeight w:val="300"/>
        </w:trPr>
        <w:tc>
          <w:tcPr>
            <w:tcW w:w="5758" w:type="dxa"/>
            <w:noWrap/>
            <w:hideMark/>
          </w:tcPr>
          <w:p w14:paraId="092E17A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CORRECTIONS AND CRIMINAL JUSTICE, OTHER.</w:t>
            </w:r>
          </w:p>
        </w:tc>
        <w:tc>
          <w:tcPr>
            <w:tcW w:w="1997" w:type="dxa"/>
            <w:noWrap/>
            <w:hideMark/>
          </w:tcPr>
          <w:p w14:paraId="484D3B4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55E6F63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w:t>
            </w:r>
          </w:p>
        </w:tc>
        <w:tc>
          <w:tcPr>
            <w:tcW w:w="1440" w:type="dxa"/>
            <w:noWrap/>
            <w:hideMark/>
          </w:tcPr>
          <w:p w14:paraId="187F9DE1"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0.0%</w:t>
            </w:r>
          </w:p>
        </w:tc>
        <w:tc>
          <w:tcPr>
            <w:tcW w:w="1170" w:type="dxa"/>
            <w:noWrap/>
            <w:hideMark/>
          </w:tcPr>
          <w:p w14:paraId="72D87FA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27,743</w:t>
            </w:r>
          </w:p>
        </w:tc>
        <w:tc>
          <w:tcPr>
            <w:tcW w:w="1458" w:type="dxa"/>
            <w:noWrap/>
            <w:hideMark/>
          </w:tcPr>
          <w:p w14:paraId="76A6FFD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1.1%</w:t>
            </w:r>
          </w:p>
        </w:tc>
      </w:tr>
      <w:tr w:rsidR="00BF10A3" w:rsidRPr="004E3765" w14:paraId="2A54A041" w14:textId="77777777" w:rsidTr="001F7400">
        <w:trPr>
          <w:trHeight w:val="300"/>
        </w:trPr>
        <w:tc>
          <w:tcPr>
            <w:tcW w:w="5758" w:type="dxa"/>
            <w:noWrap/>
            <w:hideMark/>
          </w:tcPr>
          <w:p w14:paraId="052647A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BEHAVIORAL SCIENCES.</w:t>
            </w:r>
          </w:p>
        </w:tc>
        <w:tc>
          <w:tcPr>
            <w:tcW w:w="1997" w:type="dxa"/>
            <w:noWrap/>
            <w:hideMark/>
          </w:tcPr>
          <w:p w14:paraId="289751E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502D869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w:t>
            </w:r>
          </w:p>
        </w:tc>
        <w:tc>
          <w:tcPr>
            <w:tcW w:w="1440" w:type="dxa"/>
            <w:noWrap/>
            <w:hideMark/>
          </w:tcPr>
          <w:p w14:paraId="7D907AB5"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0.0%</w:t>
            </w:r>
          </w:p>
        </w:tc>
        <w:tc>
          <w:tcPr>
            <w:tcW w:w="1170" w:type="dxa"/>
            <w:noWrap/>
            <w:hideMark/>
          </w:tcPr>
          <w:p w14:paraId="2AC072A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27,090</w:t>
            </w:r>
          </w:p>
        </w:tc>
        <w:tc>
          <w:tcPr>
            <w:tcW w:w="1458" w:type="dxa"/>
            <w:noWrap/>
            <w:hideMark/>
          </w:tcPr>
          <w:p w14:paraId="33FA748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1.1%</w:t>
            </w:r>
          </w:p>
        </w:tc>
      </w:tr>
      <w:tr w:rsidR="00BF10A3" w:rsidRPr="004E3765" w14:paraId="7EC38173" w14:textId="77777777" w:rsidTr="001F7400">
        <w:trPr>
          <w:trHeight w:val="300"/>
        </w:trPr>
        <w:tc>
          <w:tcPr>
            <w:tcW w:w="5758" w:type="dxa"/>
            <w:noWrap/>
            <w:hideMark/>
          </w:tcPr>
          <w:p w14:paraId="0B94AF37"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BUSINESS ADMINISTRATION, MANAGEMENT AND OPERATIONS, OTHER.</w:t>
            </w:r>
          </w:p>
        </w:tc>
        <w:tc>
          <w:tcPr>
            <w:tcW w:w="1997" w:type="dxa"/>
            <w:noWrap/>
            <w:hideMark/>
          </w:tcPr>
          <w:p w14:paraId="62127D09"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Bachelor's</w:t>
            </w:r>
          </w:p>
        </w:tc>
        <w:tc>
          <w:tcPr>
            <w:tcW w:w="1353" w:type="dxa"/>
            <w:noWrap/>
            <w:hideMark/>
          </w:tcPr>
          <w:p w14:paraId="7A53BAFA"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5</w:t>
            </w:r>
          </w:p>
        </w:tc>
        <w:tc>
          <w:tcPr>
            <w:tcW w:w="1440" w:type="dxa"/>
            <w:noWrap/>
            <w:hideMark/>
          </w:tcPr>
          <w:p w14:paraId="7938FA8F"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0.1%</w:t>
            </w:r>
          </w:p>
        </w:tc>
        <w:tc>
          <w:tcPr>
            <w:tcW w:w="1170" w:type="dxa"/>
            <w:noWrap/>
            <w:hideMark/>
          </w:tcPr>
          <w:p w14:paraId="19F135D0"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25,469</w:t>
            </w:r>
          </w:p>
        </w:tc>
        <w:tc>
          <w:tcPr>
            <w:tcW w:w="1458" w:type="dxa"/>
            <w:noWrap/>
            <w:hideMark/>
          </w:tcPr>
          <w:p w14:paraId="55AA3BC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1.0%</w:t>
            </w:r>
          </w:p>
        </w:tc>
      </w:tr>
      <w:tr w:rsidR="00BF10A3" w:rsidRPr="004E3765" w14:paraId="3135BED1" w14:textId="77777777" w:rsidTr="001F7400">
        <w:trPr>
          <w:trHeight w:val="300"/>
        </w:trPr>
        <w:tc>
          <w:tcPr>
            <w:tcW w:w="5758" w:type="dxa"/>
            <w:noWrap/>
            <w:hideMark/>
          </w:tcPr>
          <w:p w14:paraId="2D4A224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CULINARY ARTS/CHEF TRAINING.</w:t>
            </w:r>
          </w:p>
        </w:tc>
        <w:tc>
          <w:tcPr>
            <w:tcW w:w="1997" w:type="dxa"/>
            <w:noWrap/>
            <w:hideMark/>
          </w:tcPr>
          <w:p w14:paraId="101196E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Associate's</w:t>
            </w:r>
          </w:p>
        </w:tc>
        <w:tc>
          <w:tcPr>
            <w:tcW w:w="1353" w:type="dxa"/>
            <w:noWrap/>
            <w:hideMark/>
          </w:tcPr>
          <w:p w14:paraId="0DD6A34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33</w:t>
            </w:r>
          </w:p>
        </w:tc>
        <w:tc>
          <w:tcPr>
            <w:tcW w:w="1440" w:type="dxa"/>
            <w:noWrap/>
            <w:hideMark/>
          </w:tcPr>
          <w:p w14:paraId="7E421388"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0.6%</w:t>
            </w:r>
          </w:p>
        </w:tc>
        <w:tc>
          <w:tcPr>
            <w:tcW w:w="1170" w:type="dxa"/>
            <w:noWrap/>
            <w:hideMark/>
          </w:tcPr>
          <w:p w14:paraId="47F4529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24,997</w:t>
            </w:r>
          </w:p>
        </w:tc>
        <w:tc>
          <w:tcPr>
            <w:tcW w:w="1458" w:type="dxa"/>
            <w:noWrap/>
            <w:hideMark/>
          </w:tcPr>
          <w:p w14:paraId="0310A926"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1.0%</w:t>
            </w:r>
          </w:p>
        </w:tc>
      </w:tr>
      <w:tr w:rsidR="00BF10A3" w:rsidRPr="004E3765" w14:paraId="25AAB7BA" w14:textId="77777777" w:rsidTr="001F7400">
        <w:trPr>
          <w:trHeight w:val="300"/>
        </w:trPr>
        <w:tc>
          <w:tcPr>
            <w:tcW w:w="5758" w:type="dxa"/>
            <w:noWrap/>
            <w:hideMark/>
          </w:tcPr>
          <w:p w14:paraId="75E6319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PHARMACY TECHNICIAN/ASSISTANT.</w:t>
            </w:r>
          </w:p>
        </w:tc>
        <w:tc>
          <w:tcPr>
            <w:tcW w:w="1997" w:type="dxa"/>
            <w:noWrap/>
            <w:hideMark/>
          </w:tcPr>
          <w:p w14:paraId="1B0A5524"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Certificate</w:t>
            </w:r>
          </w:p>
        </w:tc>
        <w:tc>
          <w:tcPr>
            <w:tcW w:w="1353" w:type="dxa"/>
            <w:noWrap/>
            <w:hideMark/>
          </w:tcPr>
          <w:p w14:paraId="7670F85A"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116</w:t>
            </w:r>
          </w:p>
        </w:tc>
        <w:tc>
          <w:tcPr>
            <w:tcW w:w="1440" w:type="dxa"/>
            <w:noWrap/>
            <w:hideMark/>
          </w:tcPr>
          <w:p w14:paraId="66F49053"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2.1%</w:t>
            </w:r>
          </w:p>
        </w:tc>
        <w:tc>
          <w:tcPr>
            <w:tcW w:w="1170" w:type="dxa"/>
            <w:noWrap/>
            <w:hideMark/>
          </w:tcPr>
          <w:p w14:paraId="4F51B51D"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24,945</w:t>
            </w:r>
          </w:p>
        </w:tc>
        <w:tc>
          <w:tcPr>
            <w:tcW w:w="1458" w:type="dxa"/>
            <w:noWrap/>
            <w:hideMark/>
          </w:tcPr>
          <w:p w14:paraId="0C9E0822" w14:textId="77777777" w:rsidR="00BF10A3" w:rsidRPr="004E3765" w:rsidRDefault="00BF10A3" w:rsidP="001F7400">
            <w:pPr>
              <w:rPr>
                <w:rFonts w:ascii="Courier New" w:eastAsiaTheme="minorHAnsi" w:hAnsi="Courier New" w:cstheme="minorBidi"/>
                <w:sz w:val="16"/>
              </w:rPr>
            </w:pPr>
            <w:r w:rsidRPr="004E3765">
              <w:rPr>
                <w:rFonts w:ascii="Courier New" w:eastAsiaTheme="minorHAnsi" w:hAnsi="Courier New" w:cstheme="minorBidi"/>
                <w:sz w:val="16"/>
              </w:rPr>
              <w:t>1.0%</w:t>
            </w:r>
          </w:p>
        </w:tc>
      </w:tr>
      <w:tr w:rsidR="00BF10A3" w:rsidRPr="004E3765" w14:paraId="3B9E79CC" w14:textId="77777777" w:rsidTr="001F7400">
        <w:trPr>
          <w:trHeight w:val="300"/>
        </w:trPr>
        <w:tc>
          <w:tcPr>
            <w:tcW w:w="5758" w:type="dxa"/>
            <w:noWrap/>
            <w:hideMark/>
          </w:tcPr>
          <w:p w14:paraId="215716F7"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ALL OTHER</w:t>
            </w:r>
          </w:p>
        </w:tc>
        <w:tc>
          <w:tcPr>
            <w:tcW w:w="1997" w:type="dxa"/>
            <w:noWrap/>
            <w:hideMark/>
          </w:tcPr>
          <w:p w14:paraId="2518C4A5"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ALL OTHER</w:t>
            </w:r>
          </w:p>
        </w:tc>
        <w:tc>
          <w:tcPr>
            <w:tcW w:w="1353" w:type="dxa"/>
            <w:noWrap/>
            <w:hideMark/>
          </w:tcPr>
          <w:p w14:paraId="423CA949"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3,436</w:t>
            </w:r>
          </w:p>
        </w:tc>
        <w:tc>
          <w:tcPr>
            <w:tcW w:w="1440" w:type="dxa"/>
            <w:noWrap/>
            <w:hideMark/>
          </w:tcPr>
          <w:p w14:paraId="2C3729F7"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62.0%</w:t>
            </w:r>
          </w:p>
        </w:tc>
        <w:tc>
          <w:tcPr>
            <w:tcW w:w="1170" w:type="dxa"/>
            <w:noWrap/>
            <w:hideMark/>
          </w:tcPr>
          <w:p w14:paraId="5B51B767"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1,406,063</w:t>
            </w:r>
          </w:p>
        </w:tc>
        <w:tc>
          <w:tcPr>
            <w:tcW w:w="1458" w:type="dxa"/>
            <w:noWrap/>
            <w:hideMark/>
          </w:tcPr>
          <w:p w14:paraId="68F5DFFA" w14:textId="77777777" w:rsidR="00BF10A3" w:rsidRPr="004E3765" w:rsidRDefault="00BF10A3" w:rsidP="001F7400">
            <w:pPr>
              <w:rPr>
                <w:rFonts w:ascii="Courier New" w:eastAsiaTheme="minorHAnsi" w:hAnsi="Courier New" w:cstheme="minorBidi"/>
                <w:b/>
                <w:sz w:val="16"/>
              </w:rPr>
            </w:pPr>
            <w:r w:rsidRPr="004E3765">
              <w:rPr>
                <w:rFonts w:ascii="Courier New" w:eastAsiaTheme="minorHAnsi" w:hAnsi="Courier New" w:cstheme="minorBidi"/>
                <w:b/>
                <w:sz w:val="16"/>
              </w:rPr>
              <w:t>55.8%</w:t>
            </w:r>
          </w:p>
        </w:tc>
      </w:tr>
    </w:tbl>
    <w:p w14:paraId="49B36A3D" w14:textId="77777777" w:rsidR="00BF10A3" w:rsidRPr="004E3765" w:rsidRDefault="00BF10A3" w:rsidP="00BF10A3">
      <w:pPr>
        <w:spacing w:after="0" w:line="240" w:lineRule="auto"/>
        <w:rPr>
          <w:rFonts w:ascii="Courier New" w:eastAsiaTheme="minorHAnsi" w:hAnsi="Courier New" w:cstheme="minorBidi"/>
          <w:sz w:val="16"/>
        </w:rPr>
      </w:pPr>
    </w:p>
    <w:p w14:paraId="02FF8BEB" w14:textId="77777777" w:rsidR="00BF10A3" w:rsidRDefault="00BF10A3" w:rsidP="00BF10A3">
      <w:pPr>
        <w:spacing w:line="480" w:lineRule="auto"/>
        <w:ind w:firstLine="720"/>
        <w:rPr>
          <w:rFonts w:ascii="Courier New" w:hAnsi="Courier New" w:cs="Courier New"/>
          <w:sz w:val="24"/>
          <w:szCs w:val="24"/>
        </w:rPr>
      </w:pPr>
      <w:r w:rsidRPr="00AA6DFD">
        <w:rPr>
          <w:rFonts w:ascii="Courier New" w:hAnsi="Courier New" w:cs="Courier New"/>
          <w:sz w:val="24"/>
          <w:szCs w:val="24"/>
        </w:rPr>
        <w:t>Table 2.26 illustrates the most frequent types of programs (by enrollment count) in the 2012 informational D/E rates sample.  The most frequent types of programs are cosmetology certificate programs, nursing certificate programs, medical/clinical assistant certificate programs, and massage therapy certificates.</w:t>
      </w:r>
      <w:r>
        <w:rPr>
          <w:rFonts w:ascii="Courier New" w:hAnsi="Courier New" w:cs="Courier New"/>
          <w:sz w:val="24"/>
          <w:szCs w:val="24"/>
        </w:rPr>
        <w:br w:type="page"/>
      </w:r>
    </w:p>
    <w:p w14:paraId="20A75D1C" w14:textId="77777777" w:rsidR="00BF10A3" w:rsidRDefault="00BF10A3" w:rsidP="00BF10A3">
      <w:pPr>
        <w:spacing w:after="0" w:line="480" w:lineRule="auto"/>
        <w:rPr>
          <w:rFonts w:ascii="Courier New" w:hAnsi="Courier New" w:cs="Courier New"/>
          <w:sz w:val="24"/>
          <w:szCs w:val="24"/>
        </w:rPr>
        <w:sectPr w:rsidR="00BF10A3" w:rsidSect="007F58F4">
          <w:pgSz w:w="12240" w:h="15840"/>
          <w:pgMar w:top="1440" w:right="1440" w:bottom="1440" w:left="1440" w:header="720" w:footer="720" w:gutter="0"/>
          <w:cols w:space="720"/>
          <w:docGrid w:linePitch="360"/>
        </w:sectPr>
      </w:pPr>
    </w:p>
    <w:p w14:paraId="4FABD17E" w14:textId="77777777" w:rsidR="00BF10A3" w:rsidRDefault="00BF10A3" w:rsidP="00BF10A3">
      <w:pPr>
        <w:rPr>
          <w:rFonts w:ascii="Courier New" w:hAnsi="Courier New" w:cs="Courier New"/>
          <w:b/>
          <w:sz w:val="24"/>
          <w:szCs w:val="24"/>
        </w:rPr>
      </w:pPr>
    </w:p>
    <w:p w14:paraId="0D90A2D9" w14:textId="77777777" w:rsidR="00BF10A3" w:rsidRPr="001270AC"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2.27: </w:t>
      </w:r>
      <w:r w:rsidRPr="001270AC">
        <w:rPr>
          <w:rFonts w:ascii="Courier New" w:hAnsi="Courier New" w:cs="Courier New"/>
          <w:b/>
          <w:sz w:val="24"/>
          <w:szCs w:val="24"/>
        </w:rPr>
        <w:t>Average Program Annual Loan Payment, Earnings, Default Rate, and Repayment Rate for Most Frequent Type of Programs (by Enrollment Count)</w:t>
      </w:r>
    </w:p>
    <w:p w14:paraId="00C40AAB" w14:textId="77777777" w:rsidR="00BF10A3" w:rsidRPr="001270AC" w:rsidRDefault="00BF10A3" w:rsidP="00BF10A3">
      <w:pPr>
        <w:spacing w:after="0" w:line="240" w:lineRule="auto"/>
        <w:rPr>
          <w:rFonts w:ascii="Courier New" w:eastAsiaTheme="minorHAnsi" w:hAnsi="Courier New" w:cstheme="minorBidi"/>
          <w:sz w:val="24"/>
          <w:szCs w:val="24"/>
        </w:rPr>
      </w:pPr>
    </w:p>
    <w:tbl>
      <w:tblPr>
        <w:tblStyle w:val="TableGrid10"/>
        <w:tblW w:w="11448" w:type="dxa"/>
        <w:tblLook w:val="04A0" w:firstRow="1" w:lastRow="0" w:firstColumn="1" w:lastColumn="0" w:noHBand="0" w:noVBand="1"/>
      </w:tblPr>
      <w:tblGrid>
        <w:gridCol w:w="4608"/>
        <w:gridCol w:w="1710"/>
        <w:gridCol w:w="1350"/>
        <w:gridCol w:w="1530"/>
        <w:gridCol w:w="1080"/>
        <w:gridCol w:w="1170"/>
      </w:tblGrid>
      <w:tr w:rsidR="00BF10A3" w:rsidRPr="001270AC" w14:paraId="4ECCA8AF" w14:textId="77777777" w:rsidTr="001F7400">
        <w:trPr>
          <w:cantSplit/>
          <w:trHeight w:val="1070"/>
        </w:trPr>
        <w:tc>
          <w:tcPr>
            <w:tcW w:w="4608" w:type="dxa"/>
            <w:vAlign w:val="center"/>
            <w:hideMark/>
          </w:tcPr>
          <w:p w14:paraId="7BD9FF8F" w14:textId="77777777" w:rsidR="00BF10A3" w:rsidRPr="001270AC" w:rsidRDefault="00BF10A3" w:rsidP="001F7400">
            <w:pPr>
              <w:jc w:val="center"/>
              <w:rPr>
                <w:rFonts w:ascii="Courier New" w:eastAsiaTheme="minorHAnsi" w:hAnsi="Courier New" w:cstheme="minorBidi"/>
                <w:b/>
                <w:bCs/>
                <w:sz w:val="16"/>
              </w:rPr>
            </w:pPr>
            <w:r w:rsidRPr="001270AC">
              <w:rPr>
                <w:rFonts w:ascii="Courier New" w:eastAsiaTheme="minorHAnsi" w:hAnsi="Courier New" w:cstheme="minorBidi"/>
                <w:b/>
                <w:bCs/>
                <w:sz w:val="16"/>
              </w:rPr>
              <w:t>CIP</w:t>
            </w:r>
          </w:p>
        </w:tc>
        <w:tc>
          <w:tcPr>
            <w:tcW w:w="1710" w:type="dxa"/>
            <w:vAlign w:val="center"/>
            <w:hideMark/>
          </w:tcPr>
          <w:p w14:paraId="752E0F0D" w14:textId="77777777" w:rsidR="00BF10A3" w:rsidRPr="001270AC" w:rsidRDefault="00BF10A3" w:rsidP="001F7400">
            <w:pPr>
              <w:jc w:val="center"/>
              <w:rPr>
                <w:rFonts w:ascii="Courier New" w:eastAsiaTheme="minorHAnsi" w:hAnsi="Courier New" w:cstheme="minorBidi"/>
                <w:b/>
                <w:bCs/>
                <w:sz w:val="16"/>
              </w:rPr>
            </w:pPr>
            <w:r w:rsidRPr="001270AC">
              <w:rPr>
                <w:rFonts w:ascii="Courier New" w:eastAsiaTheme="minorHAnsi" w:hAnsi="Courier New" w:cstheme="minorBidi"/>
                <w:b/>
                <w:bCs/>
                <w:sz w:val="16"/>
              </w:rPr>
              <w:t>Credential level</w:t>
            </w:r>
          </w:p>
        </w:tc>
        <w:tc>
          <w:tcPr>
            <w:tcW w:w="1350" w:type="dxa"/>
            <w:textDirection w:val="btLr"/>
            <w:vAlign w:val="center"/>
            <w:hideMark/>
          </w:tcPr>
          <w:p w14:paraId="030465EE" w14:textId="77777777" w:rsidR="00BF10A3" w:rsidRPr="001270AC" w:rsidRDefault="00BF10A3" w:rsidP="001F7400">
            <w:pPr>
              <w:ind w:left="113" w:right="113"/>
              <w:jc w:val="center"/>
              <w:rPr>
                <w:rFonts w:ascii="Courier New" w:eastAsiaTheme="minorHAnsi" w:hAnsi="Courier New" w:cstheme="minorBidi"/>
                <w:b/>
                <w:bCs/>
                <w:sz w:val="16"/>
              </w:rPr>
            </w:pPr>
            <w:r w:rsidRPr="001270AC">
              <w:rPr>
                <w:rFonts w:ascii="Courier New" w:eastAsiaTheme="minorHAnsi" w:hAnsi="Courier New" w:cstheme="minorBidi"/>
                <w:b/>
                <w:bCs/>
                <w:sz w:val="16"/>
              </w:rPr>
              <w:t>Annual loan payment</w:t>
            </w:r>
          </w:p>
        </w:tc>
        <w:tc>
          <w:tcPr>
            <w:tcW w:w="1530" w:type="dxa"/>
            <w:textDirection w:val="btLr"/>
            <w:vAlign w:val="center"/>
            <w:hideMark/>
          </w:tcPr>
          <w:p w14:paraId="5AC706D8" w14:textId="77777777" w:rsidR="00BF10A3" w:rsidRPr="001270AC" w:rsidRDefault="00BF10A3" w:rsidP="001F7400">
            <w:pPr>
              <w:ind w:left="113" w:right="113"/>
              <w:jc w:val="center"/>
              <w:rPr>
                <w:rFonts w:ascii="Courier New" w:eastAsiaTheme="minorHAnsi" w:hAnsi="Courier New" w:cstheme="minorBidi"/>
                <w:b/>
                <w:bCs/>
                <w:sz w:val="16"/>
              </w:rPr>
            </w:pPr>
            <w:r w:rsidRPr="001270AC">
              <w:rPr>
                <w:rFonts w:ascii="Courier New" w:eastAsiaTheme="minorHAnsi" w:hAnsi="Courier New" w:cstheme="minorBidi"/>
                <w:b/>
                <w:bCs/>
                <w:sz w:val="16"/>
              </w:rPr>
              <w:t>Earnings</w:t>
            </w:r>
          </w:p>
        </w:tc>
        <w:tc>
          <w:tcPr>
            <w:tcW w:w="1080" w:type="dxa"/>
            <w:textDirection w:val="btLr"/>
            <w:vAlign w:val="center"/>
            <w:hideMark/>
          </w:tcPr>
          <w:p w14:paraId="205E6CD5" w14:textId="77777777" w:rsidR="00BF10A3" w:rsidRPr="001270AC" w:rsidRDefault="00BF10A3" w:rsidP="001F7400">
            <w:pPr>
              <w:ind w:left="113" w:right="113"/>
              <w:jc w:val="center"/>
              <w:rPr>
                <w:rFonts w:ascii="Courier New" w:eastAsiaTheme="minorHAnsi" w:hAnsi="Courier New" w:cstheme="minorBidi"/>
                <w:b/>
                <w:bCs/>
                <w:sz w:val="16"/>
              </w:rPr>
            </w:pPr>
            <w:r w:rsidRPr="001270AC">
              <w:rPr>
                <w:rFonts w:ascii="Courier New" w:eastAsiaTheme="minorHAnsi" w:hAnsi="Courier New" w:cstheme="minorBidi"/>
                <w:b/>
                <w:bCs/>
                <w:sz w:val="16"/>
              </w:rPr>
              <w:t>Repayment rate</w:t>
            </w:r>
          </w:p>
        </w:tc>
        <w:tc>
          <w:tcPr>
            <w:tcW w:w="1170" w:type="dxa"/>
            <w:textDirection w:val="btLr"/>
            <w:vAlign w:val="center"/>
            <w:hideMark/>
          </w:tcPr>
          <w:p w14:paraId="6181E21F" w14:textId="77777777" w:rsidR="00BF10A3" w:rsidRPr="001270AC" w:rsidRDefault="00BF10A3" w:rsidP="001F7400">
            <w:pPr>
              <w:ind w:left="113" w:right="113"/>
              <w:jc w:val="center"/>
              <w:rPr>
                <w:rFonts w:ascii="Courier New" w:eastAsiaTheme="minorHAnsi" w:hAnsi="Courier New" w:cstheme="minorBidi"/>
                <w:b/>
                <w:bCs/>
                <w:sz w:val="16"/>
              </w:rPr>
            </w:pPr>
            <w:r w:rsidRPr="001270AC">
              <w:rPr>
                <w:rFonts w:ascii="Courier New" w:eastAsiaTheme="minorHAnsi" w:hAnsi="Courier New" w:cstheme="minorBidi"/>
                <w:b/>
                <w:bCs/>
                <w:sz w:val="16"/>
              </w:rPr>
              <w:t>Default rate</w:t>
            </w:r>
          </w:p>
        </w:tc>
      </w:tr>
      <w:tr w:rsidR="00BF10A3" w:rsidRPr="001270AC" w14:paraId="27B4428C" w14:textId="77777777" w:rsidTr="001F7400">
        <w:trPr>
          <w:trHeight w:val="351"/>
        </w:trPr>
        <w:tc>
          <w:tcPr>
            <w:tcW w:w="4608" w:type="dxa"/>
            <w:noWrap/>
            <w:hideMark/>
          </w:tcPr>
          <w:p w14:paraId="1C70313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MEDICAL/CLINICAL ASSISTANT.</w:t>
            </w:r>
          </w:p>
        </w:tc>
        <w:tc>
          <w:tcPr>
            <w:tcW w:w="1710" w:type="dxa"/>
            <w:noWrap/>
            <w:hideMark/>
          </w:tcPr>
          <w:p w14:paraId="171CFD8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4E37B34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$1,074</w:t>
            </w:r>
          </w:p>
        </w:tc>
        <w:tc>
          <w:tcPr>
            <w:tcW w:w="1530" w:type="dxa"/>
            <w:noWrap/>
            <w:hideMark/>
          </w:tcPr>
          <w:p w14:paraId="49E5BFA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$15,309</w:t>
            </w:r>
          </w:p>
        </w:tc>
        <w:tc>
          <w:tcPr>
            <w:tcW w:w="1080" w:type="dxa"/>
            <w:noWrap/>
            <w:hideMark/>
          </w:tcPr>
          <w:p w14:paraId="0DF7269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25.1%</w:t>
            </w:r>
          </w:p>
        </w:tc>
        <w:tc>
          <w:tcPr>
            <w:tcW w:w="1170" w:type="dxa"/>
            <w:noWrap/>
            <w:hideMark/>
          </w:tcPr>
          <w:p w14:paraId="5D913BE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24.8%</w:t>
            </w:r>
          </w:p>
        </w:tc>
      </w:tr>
      <w:tr w:rsidR="00BF10A3" w:rsidRPr="001270AC" w14:paraId="4436C053" w14:textId="77777777" w:rsidTr="001F7400">
        <w:trPr>
          <w:trHeight w:val="351"/>
        </w:trPr>
        <w:tc>
          <w:tcPr>
            <w:tcW w:w="4608" w:type="dxa"/>
            <w:noWrap/>
            <w:hideMark/>
          </w:tcPr>
          <w:p w14:paraId="4969B3B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BUSINESS ADMINISTRATION AND MANAGEMENT, GENERAL.</w:t>
            </w:r>
          </w:p>
        </w:tc>
        <w:tc>
          <w:tcPr>
            <w:tcW w:w="1710" w:type="dxa"/>
            <w:noWrap/>
            <w:hideMark/>
          </w:tcPr>
          <w:p w14:paraId="7720A94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Bachelor's</w:t>
            </w:r>
          </w:p>
        </w:tc>
        <w:tc>
          <w:tcPr>
            <w:tcW w:w="1350" w:type="dxa"/>
            <w:noWrap/>
            <w:hideMark/>
          </w:tcPr>
          <w:p w14:paraId="3B0A15C7"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$2,495</w:t>
            </w:r>
          </w:p>
        </w:tc>
        <w:tc>
          <w:tcPr>
            <w:tcW w:w="1530" w:type="dxa"/>
            <w:noWrap/>
            <w:hideMark/>
          </w:tcPr>
          <w:p w14:paraId="0CF2542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$50,012</w:t>
            </w:r>
          </w:p>
        </w:tc>
        <w:tc>
          <w:tcPr>
            <w:tcW w:w="1080" w:type="dxa"/>
            <w:noWrap/>
            <w:hideMark/>
          </w:tcPr>
          <w:p w14:paraId="479416D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45.0%</w:t>
            </w:r>
          </w:p>
        </w:tc>
        <w:tc>
          <w:tcPr>
            <w:tcW w:w="1170" w:type="dxa"/>
            <w:noWrap/>
            <w:hideMark/>
          </w:tcPr>
          <w:p w14:paraId="173E184B"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19.6%</w:t>
            </w:r>
          </w:p>
        </w:tc>
      </w:tr>
      <w:tr w:rsidR="00BF10A3" w:rsidRPr="001270AC" w14:paraId="2D933290" w14:textId="77777777" w:rsidTr="001F7400">
        <w:trPr>
          <w:trHeight w:val="351"/>
        </w:trPr>
        <w:tc>
          <w:tcPr>
            <w:tcW w:w="4608" w:type="dxa"/>
            <w:noWrap/>
            <w:hideMark/>
          </w:tcPr>
          <w:p w14:paraId="037D0A2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COSMETOLOGY/COSMETOLOGIST, GENERAL.</w:t>
            </w:r>
          </w:p>
        </w:tc>
        <w:tc>
          <w:tcPr>
            <w:tcW w:w="1710" w:type="dxa"/>
            <w:noWrap/>
            <w:hideMark/>
          </w:tcPr>
          <w:p w14:paraId="6EFAE6A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2A70BF16"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$856</w:t>
            </w:r>
          </w:p>
        </w:tc>
        <w:tc>
          <w:tcPr>
            <w:tcW w:w="1530" w:type="dxa"/>
            <w:noWrap/>
            <w:hideMark/>
          </w:tcPr>
          <w:p w14:paraId="425F7E0B"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$12,272</w:t>
            </w:r>
          </w:p>
        </w:tc>
        <w:tc>
          <w:tcPr>
            <w:tcW w:w="1080" w:type="dxa"/>
            <w:noWrap/>
            <w:hideMark/>
          </w:tcPr>
          <w:p w14:paraId="647337A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42.5%</w:t>
            </w:r>
          </w:p>
        </w:tc>
        <w:tc>
          <w:tcPr>
            <w:tcW w:w="1170" w:type="dxa"/>
            <w:noWrap/>
            <w:hideMark/>
          </w:tcPr>
          <w:p w14:paraId="332BACD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17.2%</w:t>
            </w:r>
          </w:p>
        </w:tc>
      </w:tr>
      <w:tr w:rsidR="00BF10A3" w:rsidRPr="001270AC" w14:paraId="2DCEB6A4" w14:textId="77777777" w:rsidTr="001F7400">
        <w:trPr>
          <w:trHeight w:val="351"/>
        </w:trPr>
        <w:tc>
          <w:tcPr>
            <w:tcW w:w="4608" w:type="dxa"/>
            <w:noWrap/>
            <w:hideMark/>
          </w:tcPr>
          <w:p w14:paraId="03079276"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LICENSED PRACTICAL/VOCATIONAL NURSE TRAINING*</w:t>
            </w:r>
          </w:p>
        </w:tc>
        <w:tc>
          <w:tcPr>
            <w:tcW w:w="1710" w:type="dxa"/>
            <w:noWrap/>
            <w:hideMark/>
          </w:tcPr>
          <w:p w14:paraId="548A6BAB"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5D515EC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$983</w:t>
            </w:r>
          </w:p>
        </w:tc>
        <w:tc>
          <w:tcPr>
            <w:tcW w:w="1530" w:type="dxa"/>
            <w:noWrap/>
            <w:hideMark/>
          </w:tcPr>
          <w:p w14:paraId="15AEF3F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$33,852</w:t>
            </w:r>
          </w:p>
        </w:tc>
        <w:tc>
          <w:tcPr>
            <w:tcW w:w="1080" w:type="dxa"/>
            <w:noWrap/>
            <w:hideMark/>
          </w:tcPr>
          <w:p w14:paraId="73D1BFCA"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44.1%</w:t>
            </w:r>
          </w:p>
        </w:tc>
        <w:tc>
          <w:tcPr>
            <w:tcW w:w="1170" w:type="dxa"/>
            <w:noWrap/>
            <w:hideMark/>
          </w:tcPr>
          <w:p w14:paraId="50B794A7"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12.9%</w:t>
            </w:r>
          </w:p>
        </w:tc>
      </w:tr>
      <w:tr w:rsidR="00BF10A3" w:rsidRPr="001270AC" w14:paraId="6F1CF8B3" w14:textId="77777777" w:rsidTr="001F7400">
        <w:trPr>
          <w:trHeight w:val="351"/>
        </w:trPr>
        <w:tc>
          <w:tcPr>
            <w:tcW w:w="4608" w:type="dxa"/>
            <w:noWrap/>
            <w:hideMark/>
          </w:tcPr>
          <w:p w14:paraId="6E41819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BUSINESS ADMINISTRATION AND MANAGEMENT, GENERAL.</w:t>
            </w:r>
          </w:p>
        </w:tc>
        <w:tc>
          <w:tcPr>
            <w:tcW w:w="1710" w:type="dxa"/>
            <w:noWrap/>
            <w:hideMark/>
          </w:tcPr>
          <w:p w14:paraId="6215CA7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Master's</w:t>
            </w:r>
          </w:p>
        </w:tc>
        <w:tc>
          <w:tcPr>
            <w:tcW w:w="1350" w:type="dxa"/>
            <w:noWrap/>
            <w:hideMark/>
          </w:tcPr>
          <w:p w14:paraId="7905D34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$2,182</w:t>
            </w:r>
          </w:p>
        </w:tc>
        <w:tc>
          <w:tcPr>
            <w:tcW w:w="1530" w:type="dxa"/>
            <w:noWrap/>
            <w:hideMark/>
          </w:tcPr>
          <w:p w14:paraId="6F8761F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$63,822</w:t>
            </w:r>
          </w:p>
        </w:tc>
        <w:tc>
          <w:tcPr>
            <w:tcW w:w="1080" w:type="dxa"/>
            <w:noWrap/>
            <w:hideMark/>
          </w:tcPr>
          <w:p w14:paraId="37C7629B"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45.8%</w:t>
            </w:r>
          </w:p>
        </w:tc>
        <w:tc>
          <w:tcPr>
            <w:tcW w:w="1170" w:type="dxa"/>
            <w:noWrap/>
            <w:hideMark/>
          </w:tcPr>
          <w:p w14:paraId="771EAE9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7.0%</w:t>
            </w:r>
          </w:p>
        </w:tc>
      </w:tr>
      <w:tr w:rsidR="00BF10A3" w:rsidRPr="001270AC" w14:paraId="3B100004" w14:textId="77777777" w:rsidTr="001F7400">
        <w:trPr>
          <w:trHeight w:val="351"/>
        </w:trPr>
        <w:tc>
          <w:tcPr>
            <w:tcW w:w="4608" w:type="dxa"/>
            <w:noWrap/>
            <w:hideMark/>
          </w:tcPr>
          <w:p w14:paraId="457DD20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MEDICAL/CLINICAL ASSISTANT.</w:t>
            </w:r>
          </w:p>
        </w:tc>
        <w:tc>
          <w:tcPr>
            <w:tcW w:w="1710" w:type="dxa"/>
            <w:noWrap/>
            <w:hideMark/>
          </w:tcPr>
          <w:p w14:paraId="06F033A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47F9B1C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$1,942</w:t>
            </w:r>
          </w:p>
        </w:tc>
        <w:tc>
          <w:tcPr>
            <w:tcW w:w="1530" w:type="dxa"/>
            <w:noWrap/>
            <w:hideMark/>
          </w:tcPr>
          <w:p w14:paraId="5127118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$19,223</w:t>
            </w:r>
          </w:p>
        </w:tc>
        <w:tc>
          <w:tcPr>
            <w:tcW w:w="1080" w:type="dxa"/>
            <w:noWrap/>
            <w:hideMark/>
          </w:tcPr>
          <w:p w14:paraId="62D7BB16"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23.5%</w:t>
            </w:r>
          </w:p>
        </w:tc>
        <w:tc>
          <w:tcPr>
            <w:tcW w:w="1170" w:type="dxa"/>
            <w:noWrap/>
            <w:hideMark/>
          </w:tcPr>
          <w:p w14:paraId="0931156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22.5%</w:t>
            </w:r>
          </w:p>
        </w:tc>
      </w:tr>
      <w:tr w:rsidR="00BF10A3" w:rsidRPr="001270AC" w14:paraId="6B73A4A2" w14:textId="77777777" w:rsidTr="001F7400">
        <w:trPr>
          <w:trHeight w:val="351"/>
        </w:trPr>
        <w:tc>
          <w:tcPr>
            <w:tcW w:w="4608" w:type="dxa"/>
            <w:noWrap/>
            <w:hideMark/>
          </w:tcPr>
          <w:p w14:paraId="6FDD783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OFFICE MANAGEMENT AND SUPERVISION.</w:t>
            </w:r>
          </w:p>
        </w:tc>
        <w:tc>
          <w:tcPr>
            <w:tcW w:w="1710" w:type="dxa"/>
            <w:noWrap/>
            <w:hideMark/>
          </w:tcPr>
          <w:p w14:paraId="1E5A8D6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12EEBE8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$2,041</w:t>
            </w:r>
          </w:p>
        </w:tc>
        <w:tc>
          <w:tcPr>
            <w:tcW w:w="1530" w:type="dxa"/>
            <w:noWrap/>
            <w:hideMark/>
          </w:tcPr>
          <w:p w14:paraId="6C10C17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$38,570</w:t>
            </w:r>
          </w:p>
        </w:tc>
        <w:tc>
          <w:tcPr>
            <w:tcW w:w="1080" w:type="dxa"/>
            <w:noWrap/>
            <w:hideMark/>
          </w:tcPr>
          <w:p w14:paraId="59DA224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37.5%</w:t>
            </w:r>
          </w:p>
        </w:tc>
        <w:tc>
          <w:tcPr>
            <w:tcW w:w="1170" w:type="dxa"/>
            <w:noWrap/>
            <w:hideMark/>
          </w:tcPr>
          <w:p w14:paraId="20620557"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33.9%</w:t>
            </w:r>
          </w:p>
        </w:tc>
      </w:tr>
      <w:tr w:rsidR="00BF10A3" w:rsidRPr="001270AC" w14:paraId="4497E4E4" w14:textId="77777777" w:rsidTr="001F7400">
        <w:trPr>
          <w:trHeight w:val="351"/>
        </w:trPr>
        <w:tc>
          <w:tcPr>
            <w:tcW w:w="4608" w:type="dxa"/>
            <w:noWrap/>
            <w:hideMark/>
          </w:tcPr>
          <w:p w14:paraId="4E7FC660"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BUSINESS ADMINISTRATION AND MANAGEMENT, GENERAL.</w:t>
            </w:r>
          </w:p>
        </w:tc>
        <w:tc>
          <w:tcPr>
            <w:tcW w:w="1710" w:type="dxa"/>
            <w:noWrap/>
            <w:hideMark/>
          </w:tcPr>
          <w:p w14:paraId="16EA1D8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2E7B96EA"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$1,811</w:t>
            </w:r>
          </w:p>
        </w:tc>
        <w:tc>
          <w:tcPr>
            <w:tcW w:w="1530" w:type="dxa"/>
            <w:noWrap/>
            <w:hideMark/>
          </w:tcPr>
          <w:p w14:paraId="565964C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$27,367</w:t>
            </w:r>
          </w:p>
        </w:tc>
        <w:tc>
          <w:tcPr>
            <w:tcW w:w="1080" w:type="dxa"/>
            <w:noWrap/>
            <w:hideMark/>
          </w:tcPr>
          <w:p w14:paraId="3E7CE57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33.5%</w:t>
            </w:r>
          </w:p>
        </w:tc>
        <w:tc>
          <w:tcPr>
            <w:tcW w:w="1170" w:type="dxa"/>
            <w:noWrap/>
            <w:hideMark/>
          </w:tcPr>
          <w:p w14:paraId="587CBE2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27.9%</w:t>
            </w:r>
          </w:p>
        </w:tc>
      </w:tr>
      <w:tr w:rsidR="00BF10A3" w:rsidRPr="001270AC" w14:paraId="40D88082" w14:textId="77777777" w:rsidTr="001F7400">
        <w:trPr>
          <w:trHeight w:val="351"/>
        </w:trPr>
        <w:tc>
          <w:tcPr>
            <w:tcW w:w="4608" w:type="dxa"/>
            <w:noWrap/>
            <w:hideMark/>
          </w:tcPr>
          <w:p w14:paraId="1234C8E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AUTOMOBILE/AUTOMOTIVE MECHANICS TECHNOLOGY/TECHNICIAN.</w:t>
            </w:r>
          </w:p>
        </w:tc>
        <w:tc>
          <w:tcPr>
            <w:tcW w:w="1710" w:type="dxa"/>
            <w:noWrap/>
            <w:hideMark/>
          </w:tcPr>
          <w:p w14:paraId="0E0D44F4"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2E1B0D1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$1,322</w:t>
            </w:r>
          </w:p>
        </w:tc>
        <w:tc>
          <w:tcPr>
            <w:tcW w:w="1530" w:type="dxa"/>
            <w:noWrap/>
            <w:hideMark/>
          </w:tcPr>
          <w:p w14:paraId="5ED2445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$23,603</w:t>
            </w:r>
          </w:p>
        </w:tc>
        <w:tc>
          <w:tcPr>
            <w:tcW w:w="1080" w:type="dxa"/>
            <w:noWrap/>
            <w:hideMark/>
          </w:tcPr>
          <w:p w14:paraId="439553D0"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52.0%</w:t>
            </w:r>
          </w:p>
        </w:tc>
        <w:tc>
          <w:tcPr>
            <w:tcW w:w="1170" w:type="dxa"/>
            <w:noWrap/>
            <w:hideMark/>
          </w:tcPr>
          <w:p w14:paraId="52BD3CF6"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21.5%</w:t>
            </w:r>
          </w:p>
        </w:tc>
      </w:tr>
      <w:tr w:rsidR="00BF10A3" w:rsidRPr="001270AC" w14:paraId="73C26469" w14:textId="77777777" w:rsidTr="001F7400">
        <w:trPr>
          <w:trHeight w:val="351"/>
        </w:trPr>
        <w:tc>
          <w:tcPr>
            <w:tcW w:w="4608" w:type="dxa"/>
            <w:noWrap/>
            <w:hideMark/>
          </w:tcPr>
          <w:p w14:paraId="4CC6DE9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MASSAGE THERAPY/THERAPEUTIC MASSAGE.</w:t>
            </w:r>
          </w:p>
        </w:tc>
        <w:tc>
          <w:tcPr>
            <w:tcW w:w="1710" w:type="dxa"/>
            <w:noWrap/>
            <w:hideMark/>
          </w:tcPr>
          <w:p w14:paraId="0455CE6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6ADCEC5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$1,002</w:t>
            </w:r>
          </w:p>
        </w:tc>
        <w:tc>
          <w:tcPr>
            <w:tcW w:w="1530" w:type="dxa"/>
            <w:noWrap/>
            <w:hideMark/>
          </w:tcPr>
          <w:p w14:paraId="386376A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$16,118</w:t>
            </w:r>
          </w:p>
        </w:tc>
        <w:tc>
          <w:tcPr>
            <w:tcW w:w="1080" w:type="dxa"/>
            <w:noWrap/>
            <w:hideMark/>
          </w:tcPr>
          <w:p w14:paraId="5ACCF08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41.2%</w:t>
            </w:r>
          </w:p>
        </w:tc>
        <w:tc>
          <w:tcPr>
            <w:tcW w:w="1170" w:type="dxa"/>
            <w:noWrap/>
            <w:hideMark/>
          </w:tcPr>
          <w:p w14:paraId="0333C2B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21.7%</w:t>
            </w:r>
          </w:p>
        </w:tc>
      </w:tr>
      <w:tr w:rsidR="00BF10A3" w:rsidRPr="001270AC" w14:paraId="1883891A" w14:textId="77777777" w:rsidTr="001F7400">
        <w:trPr>
          <w:trHeight w:val="351"/>
        </w:trPr>
        <w:tc>
          <w:tcPr>
            <w:tcW w:w="4608" w:type="dxa"/>
            <w:noWrap/>
            <w:hideMark/>
          </w:tcPr>
          <w:p w14:paraId="0393003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MEDICAL OFFICE ASSISTANT/SPECIALIST.</w:t>
            </w:r>
          </w:p>
        </w:tc>
        <w:tc>
          <w:tcPr>
            <w:tcW w:w="1710" w:type="dxa"/>
            <w:noWrap/>
            <w:hideMark/>
          </w:tcPr>
          <w:p w14:paraId="397D0AB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0D11C1B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$2,086</w:t>
            </w:r>
          </w:p>
        </w:tc>
        <w:tc>
          <w:tcPr>
            <w:tcW w:w="1530" w:type="dxa"/>
            <w:noWrap/>
            <w:hideMark/>
          </w:tcPr>
          <w:p w14:paraId="7D404C4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$22,343</w:t>
            </w:r>
          </w:p>
        </w:tc>
        <w:tc>
          <w:tcPr>
            <w:tcW w:w="1080" w:type="dxa"/>
            <w:noWrap/>
            <w:hideMark/>
          </w:tcPr>
          <w:p w14:paraId="26BB741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25.7%</w:t>
            </w:r>
          </w:p>
        </w:tc>
        <w:tc>
          <w:tcPr>
            <w:tcW w:w="1170" w:type="dxa"/>
            <w:noWrap/>
            <w:hideMark/>
          </w:tcPr>
          <w:p w14:paraId="0060B16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34.6%</w:t>
            </w:r>
          </w:p>
        </w:tc>
      </w:tr>
      <w:tr w:rsidR="00BF10A3" w:rsidRPr="001270AC" w14:paraId="3D987BC2" w14:textId="77777777" w:rsidTr="001F7400">
        <w:trPr>
          <w:trHeight w:val="351"/>
        </w:trPr>
        <w:tc>
          <w:tcPr>
            <w:tcW w:w="4608" w:type="dxa"/>
            <w:noWrap/>
            <w:hideMark/>
          </w:tcPr>
          <w:p w14:paraId="092F708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CRIMINAL JUSTICE/LAW ENFORCEMENT ADMINISTRATION.</w:t>
            </w:r>
          </w:p>
        </w:tc>
        <w:tc>
          <w:tcPr>
            <w:tcW w:w="1710" w:type="dxa"/>
            <w:noWrap/>
            <w:hideMark/>
          </w:tcPr>
          <w:p w14:paraId="7BFBE6B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Bachelor's</w:t>
            </w:r>
          </w:p>
        </w:tc>
        <w:tc>
          <w:tcPr>
            <w:tcW w:w="1350" w:type="dxa"/>
            <w:noWrap/>
            <w:hideMark/>
          </w:tcPr>
          <w:p w14:paraId="09CE4B4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$3,105</w:t>
            </w:r>
          </w:p>
        </w:tc>
        <w:tc>
          <w:tcPr>
            <w:tcW w:w="1530" w:type="dxa"/>
            <w:noWrap/>
            <w:hideMark/>
          </w:tcPr>
          <w:p w14:paraId="4A29F3F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$38,541</w:t>
            </w:r>
          </w:p>
        </w:tc>
        <w:tc>
          <w:tcPr>
            <w:tcW w:w="1080" w:type="dxa"/>
            <w:noWrap/>
            <w:hideMark/>
          </w:tcPr>
          <w:p w14:paraId="46817EDC"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35.1%</w:t>
            </w:r>
          </w:p>
        </w:tc>
        <w:tc>
          <w:tcPr>
            <w:tcW w:w="1170" w:type="dxa"/>
            <w:noWrap/>
            <w:hideMark/>
          </w:tcPr>
          <w:p w14:paraId="70EC8AD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24.8%</w:t>
            </w:r>
          </w:p>
        </w:tc>
      </w:tr>
      <w:tr w:rsidR="00BF10A3" w:rsidRPr="001270AC" w14:paraId="144358D6" w14:textId="77777777" w:rsidTr="001F7400">
        <w:trPr>
          <w:trHeight w:val="351"/>
        </w:trPr>
        <w:tc>
          <w:tcPr>
            <w:tcW w:w="4608" w:type="dxa"/>
            <w:noWrap/>
            <w:hideMark/>
          </w:tcPr>
          <w:p w14:paraId="1DD086CA"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COMPUTER SYSTEMS NETWORKING AND TELECOMMUNICATIONS.</w:t>
            </w:r>
          </w:p>
        </w:tc>
        <w:tc>
          <w:tcPr>
            <w:tcW w:w="1710" w:type="dxa"/>
            <w:noWrap/>
            <w:hideMark/>
          </w:tcPr>
          <w:p w14:paraId="63CFA78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305AF66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$4,098</w:t>
            </w:r>
          </w:p>
        </w:tc>
        <w:tc>
          <w:tcPr>
            <w:tcW w:w="1530" w:type="dxa"/>
            <w:noWrap/>
            <w:hideMark/>
          </w:tcPr>
          <w:p w14:paraId="2CACB4A0"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$28,872</w:t>
            </w:r>
          </w:p>
        </w:tc>
        <w:tc>
          <w:tcPr>
            <w:tcW w:w="1080" w:type="dxa"/>
            <w:noWrap/>
            <w:hideMark/>
          </w:tcPr>
          <w:p w14:paraId="789A2FB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33.8%</w:t>
            </w:r>
          </w:p>
        </w:tc>
        <w:tc>
          <w:tcPr>
            <w:tcW w:w="1170" w:type="dxa"/>
            <w:noWrap/>
            <w:hideMark/>
          </w:tcPr>
          <w:p w14:paraId="4E259EA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31.4%</w:t>
            </w:r>
          </w:p>
        </w:tc>
      </w:tr>
      <w:tr w:rsidR="00BF10A3" w:rsidRPr="001270AC" w14:paraId="23FE9B8F" w14:textId="77777777" w:rsidTr="001F7400">
        <w:trPr>
          <w:trHeight w:val="351"/>
        </w:trPr>
        <w:tc>
          <w:tcPr>
            <w:tcW w:w="4608" w:type="dxa"/>
            <w:noWrap/>
            <w:hideMark/>
          </w:tcPr>
          <w:p w14:paraId="76B3D51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HEALTH INFORMATION/MEDICAL RECORDS TECHNOLOGY/TECHNICIAN.</w:t>
            </w:r>
          </w:p>
        </w:tc>
        <w:tc>
          <w:tcPr>
            <w:tcW w:w="1710" w:type="dxa"/>
            <w:noWrap/>
            <w:hideMark/>
          </w:tcPr>
          <w:p w14:paraId="6C03D5C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6A2C690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$2,639</w:t>
            </w:r>
          </w:p>
        </w:tc>
        <w:tc>
          <w:tcPr>
            <w:tcW w:w="1530" w:type="dxa"/>
            <w:noWrap/>
            <w:hideMark/>
          </w:tcPr>
          <w:p w14:paraId="44C67E5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$24,392</w:t>
            </w:r>
          </w:p>
        </w:tc>
        <w:tc>
          <w:tcPr>
            <w:tcW w:w="1080" w:type="dxa"/>
            <w:noWrap/>
            <w:hideMark/>
          </w:tcPr>
          <w:p w14:paraId="0DE8F9E4"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31.0%</w:t>
            </w:r>
          </w:p>
        </w:tc>
        <w:tc>
          <w:tcPr>
            <w:tcW w:w="1170" w:type="dxa"/>
            <w:noWrap/>
            <w:hideMark/>
          </w:tcPr>
          <w:p w14:paraId="3DC75B1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35.8%</w:t>
            </w:r>
          </w:p>
        </w:tc>
      </w:tr>
      <w:tr w:rsidR="00BF10A3" w:rsidRPr="001270AC" w14:paraId="47D7A3A8" w14:textId="77777777" w:rsidTr="001F7400">
        <w:trPr>
          <w:trHeight w:val="351"/>
        </w:trPr>
        <w:tc>
          <w:tcPr>
            <w:tcW w:w="4608" w:type="dxa"/>
            <w:noWrap/>
            <w:hideMark/>
          </w:tcPr>
          <w:p w14:paraId="79A28FB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CORRECTIONS AND CRIMINAL JUSTICE, OTHER.</w:t>
            </w:r>
          </w:p>
        </w:tc>
        <w:tc>
          <w:tcPr>
            <w:tcW w:w="1710" w:type="dxa"/>
            <w:noWrap/>
            <w:hideMark/>
          </w:tcPr>
          <w:p w14:paraId="6C71613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54AB31C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$2,211</w:t>
            </w:r>
          </w:p>
        </w:tc>
        <w:tc>
          <w:tcPr>
            <w:tcW w:w="1530" w:type="dxa"/>
            <w:noWrap/>
            <w:hideMark/>
          </w:tcPr>
          <w:p w14:paraId="46A08A8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$30,857</w:t>
            </w:r>
          </w:p>
        </w:tc>
        <w:tc>
          <w:tcPr>
            <w:tcW w:w="1080" w:type="dxa"/>
            <w:noWrap/>
            <w:hideMark/>
          </w:tcPr>
          <w:p w14:paraId="17F07AC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25.9%</w:t>
            </w:r>
          </w:p>
        </w:tc>
        <w:tc>
          <w:tcPr>
            <w:tcW w:w="1170" w:type="dxa"/>
            <w:noWrap/>
            <w:hideMark/>
          </w:tcPr>
          <w:p w14:paraId="7FA3BEB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43.9%</w:t>
            </w:r>
          </w:p>
        </w:tc>
      </w:tr>
      <w:tr w:rsidR="00BF10A3" w:rsidRPr="001270AC" w14:paraId="46663C3A" w14:textId="77777777" w:rsidTr="001F7400">
        <w:trPr>
          <w:trHeight w:val="351"/>
        </w:trPr>
        <w:tc>
          <w:tcPr>
            <w:tcW w:w="4608" w:type="dxa"/>
            <w:noWrap/>
            <w:hideMark/>
          </w:tcPr>
          <w:p w14:paraId="36AE3A93"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BEHAVIORAL SCIENCES.</w:t>
            </w:r>
          </w:p>
        </w:tc>
        <w:tc>
          <w:tcPr>
            <w:tcW w:w="1710" w:type="dxa"/>
            <w:noWrap/>
            <w:hideMark/>
          </w:tcPr>
          <w:p w14:paraId="5509EB5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789790C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$2,485</w:t>
            </w:r>
          </w:p>
        </w:tc>
        <w:tc>
          <w:tcPr>
            <w:tcW w:w="1530" w:type="dxa"/>
            <w:noWrap/>
            <w:hideMark/>
          </w:tcPr>
          <w:p w14:paraId="6999E00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$18,781</w:t>
            </w:r>
          </w:p>
        </w:tc>
        <w:tc>
          <w:tcPr>
            <w:tcW w:w="1080" w:type="dxa"/>
            <w:noWrap/>
            <w:hideMark/>
          </w:tcPr>
          <w:p w14:paraId="4F34868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23.3%</w:t>
            </w:r>
          </w:p>
        </w:tc>
        <w:tc>
          <w:tcPr>
            <w:tcW w:w="1170" w:type="dxa"/>
            <w:noWrap/>
            <w:hideMark/>
          </w:tcPr>
          <w:p w14:paraId="2D19809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38.0%</w:t>
            </w:r>
          </w:p>
        </w:tc>
      </w:tr>
      <w:tr w:rsidR="00BF10A3" w:rsidRPr="001270AC" w14:paraId="6D18997A" w14:textId="77777777" w:rsidTr="001F7400">
        <w:trPr>
          <w:trHeight w:val="351"/>
        </w:trPr>
        <w:tc>
          <w:tcPr>
            <w:tcW w:w="4608" w:type="dxa"/>
            <w:noWrap/>
            <w:hideMark/>
          </w:tcPr>
          <w:p w14:paraId="5B21591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BUSINESS ADMINISTRATION, MANAGEMENT AND OPERATIONS, OTHER.</w:t>
            </w:r>
          </w:p>
        </w:tc>
        <w:tc>
          <w:tcPr>
            <w:tcW w:w="1710" w:type="dxa"/>
            <w:noWrap/>
            <w:hideMark/>
          </w:tcPr>
          <w:p w14:paraId="2963569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Bachelor's</w:t>
            </w:r>
          </w:p>
        </w:tc>
        <w:tc>
          <w:tcPr>
            <w:tcW w:w="1350" w:type="dxa"/>
            <w:noWrap/>
            <w:hideMark/>
          </w:tcPr>
          <w:p w14:paraId="62FCCDA5"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$1,989</w:t>
            </w:r>
          </w:p>
        </w:tc>
        <w:tc>
          <w:tcPr>
            <w:tcW w:w="1530" w:type="dxa"/>
            <w:noWrap/>
            <w:hideMark/>
          </w:tcPr>
          <w:p w14:paraId="176A0C09"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$49,629</w:t>
            </w:r>
          </w:p>
        </w:tc>
        <w:tc>
          <w:tcPr>
            <w:tcW w:w="1080" w:type="dxa"/>
            <w:noWrap/>
            <w:hideMark/>
          </w:tcPr>
          <w:p w14:paraId="5A5C679F"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46.1%</w:t>
            </w:r>
          </w:p>
        </w:tc>
        <w:tc>
          <w:tcPr>
            <w:tcW w:w="1170" w:type="dxa"/>
            <w:noWrap/>
            <w:hideMark/>
          </w:tcPr>
          <w:p w14:paraId="26001B00"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12.7%</w:t>
            </w:r>
          </w:p>
        </w:tc>
      </w:tr>
      <w:tr w:rsidR="00BF10A3" w:rsidRPr="001270AC" w14:paraId="706929B6" w14:textId="77777777" w:rsidTr="001F7400">
        <w:trPr>
          <w:trHeight w:val="351"/>
        </w:trPr>
        <w:tc>
          <w:tcPr>
            <w:tcW w:w="4608" w:type="dxa"/>
            <w:noWrap/>
            <w:hideMark/>
          </w:tcPr>
          <w:p w14:paraId="63C4CC4A"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CULINARY ARTS/CHEF TRAINING.</w:t>
            </w:r>
          </w:p>
        </w:tc>
        <w:tc>
          <w:tcPr>
            <w:tcW w:w="1710" w:type="dxa"/>
            <w:noWrap/>
            <w:hideMark/>
          </w:tcPr>
          <w:p w14:paraId="0FDE0D2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Associate's</w:t>
            </w:r>
          </w:p>
        </w:tc>
        <w:tc>
          <w:tcPr>
            <w:tcW w:w="1350" w:type="dxa"/>
            <w:noWrap/>
            <w:hideMark/>
          </w:tcPr>
          <w:p w14:paraId="54AC261A"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$4,387</w:t>
            </w:r>
          </w:p>
        </w:tc>
        <w:tc>
          <w:tcPr>
            <w:tcW w:w="1530" w:type="dxa"/>
            <w:noWrap/>
            <w:hideMark/>
          </w:tcPr>
          <w:p w14:paraId="6B3E9A78"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$22,378</w:t>
            </w:r>
          </w:p>
        </w:tc>
        <w:tc>
          <w:tcPr>
            <w:tcW w:w="1080" w:type="dxa"/>
            <w:noWrap/>
            <w:hideMark/>
          </w:tcPr>
          <w:p w14:paraId="5BB8E46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38.6%</w:t>
            </w:r>
          </w:p>
        </w:tc>
        <w:tc>
          <w:tcPr>
            <w:tcW w:w="1170" w:type="dxa"/>
            <w:noWrap/>
            <w:hideMark/>
          </w:tcPr>
          <w:p w14:paraId="5F202CF2"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26.1%</w:t>
            </w:r>
          </w:p>
        </w:tc>
      </w:tr>
      <w:tr w:rsidR="00BF10A3" w:rsidRPr="001270AC" w14:paraId="0772FCC5" w14:textId="77777777" w:rsidTr="001F7400">
        <w:trPr>
          <w:trHeight w:val="351"/>
        </w:trPr>
        <w:tc>
          <w:tcPr>
            <w:tcW w:w="4608" w:type="dxa"/>
            <w:noWrap/>
            <w:hideMark/>
          </w:tcPr>
          <w:p w14:paraId="0D72173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PHARMACY TECHNICIAN/ASSISTANT.</w:t>
            </w:r>
          </w:p>
        </w:tc>
        <w:tc>
          <w:tcPr>
            <w:tcW w:w="1710" w:type="dxa"/>
            <w:noWrap/>
            <w:hideMark/>
          </w:tcPr>
          <w:p w14:paraId="6CF25D31"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Certificate</w:t>
            </w:r>
          </w:p>
        </w:tc>
        <w:tc>
          <w:tcPr>
            <w:tcW w:w="1350" w:type="dxa"/>
            <w:noWrap/>
            <w:hideMark/>
          </w:tcPr>
          <w:p w14:paraId="28EE1F6E"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$983</w:t>
            </w:r>
          </w:p>
        </w:tc>
        <w:tc>
          <w:tcPr>
            <w:tcW w:w="1530" w:type="dxa"/>
            <w:noWrap/>
            <w:hideMark/>
          </w:tcPr>
          <w:p w14:paraId="523897C0"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$16,994</w:t>
            </w:r>
          </w:p>
        </w:tc>
        <w:tc>
          <w:tcPr>
            <w:tcW w:w="1080" w:type="dxa"/>
            <w:noWrap/>
            <w:hideMark/>
          </w:tcPr>
          <w:p w14:paraId="602283F4"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29.9%</w:t>
            </w:r>
          </w:p>
        </w:tc>
        <w:tc>
          <w:tcPr>
            <w:tcW w:w="1170" w:type="dxa"/>
            <w:noWrap/>
            <w:hideMark/>
          </w:tcPr>
          <w:p w14:paraId="272D145D" w14:textId="77777777" w:rsidR="00BF10A3" w:rsidRPr="001270AC" w:rsidRDefault="00BF10A3" w:rsidP="001F7400">
            <w:pPr>
              <w:rPr>
                <w:rFonts w:ascii="Courier New" w:eastAsiaTheme="minorHAnsi" w:hAnsi="Courier New" w:cstheme="minorBidi"/>
                <w:sz w:val="16"/>
              </w:rPr>
            </w:pPr>
            <w:r w:rsidRPr="001270AC">
              <w:rPr>
                <w:rFonts w:ascii="Courier New" w:eastAsiaTheme="minorHAnsi" w:hAnsi="Courier New" w:cstheme="minorBidi"/>
                <w:sz w:val="16"/>
              </w:rPr>
              <w:t>21.4%</w:t>
            </w:r>
          </w:p>
        </w:tc>
      </w:tr>
      <w:tr w:rsidR="00BF10A3" w:rsidRPr="001270AC" w14:paraId="721A0009" w14:textId="77777777" w:rsidTr="001F7400">
        <w:trPr>
          <w:trHeight w:val="351"/>
        </w:trPr>
        <w:tc>
          <w:tcPr>
            <w:tcW w:w="4608" w:type="dxa"/>
            <w:noWrap/>
            <w:hideMark/>
          </w:tcPr>
          <w:p w14:paraId="6157C1E5"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ALL OTHER</w:t>
            </w:r>
          </w:p>
        </w:tc>
        <w:tc>
          <w:tcPr>
            <w:tcW w:w="1710" w:type="dxa"/>
            <w:noWrap/>
            <w:hideMark/>
          </w:tcPr>
          <w:p w14:paraId="7EB64E19"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ALL OTHER</w:t>
            </w:r>
          </w:p>
        </w:tc>
        <w:tc>
          <w:tcPr>
            <w:tcW w:w="1350" w:type="dxa"/>
            <w:noWrap/>
            <w:hideMark/>
          </w:tcPr>
          <w:p w14:paraId="32DF021B"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$1,651</w:t>
            </w:r>
          </w:p>
        </w:tc>
        <w:tc>
          <w:tcPr>
            <w:tcW w:w="1530" w:type="dxa"/>
            <w:noWrap/>
            <w:hideMark/>
          </w:tcPr>
          <w:p w14:paraId="30608460"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$29,219</w:t>
            </w:r>
          </w:p>
        </w:tc>
        <w:tc>
          <w:tcPr>
            <w:tcW w:w="1080" w:type="dxa"/>
            <w:noWrap/>
            <w:hideMark/>
          </w:tcPr>
          <w:p w14:paraId="01C3240E"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42.9%</w:t>
            </w:r>
          </w:p>
        </w:tc>
        <w:tc>
          <w:tcPr>
            <w:tcW w:w="1170" w:type="dxa"/>
            <w:noWrap/>
            <w:hideMark/>
          </w:tcPr>
          <w:p w14:paraId="364AE402" w14:textId="77777777" w:rsidR="00BF10A3" w:rsidRPr="001270AC" w:rsidRDefault="00BF10A3" w:rsidP="001F7400">
            <w:pPr>
              <w:rPr>
                <w:rFonts w:ascii="Courier New" w:eastAsiaTheme="minorHAnsi" w:hAnsi="Courier New" w:cstheme="minorBidi"/>
                <w:b/>
                <w:sz w:val="16"/>
              </w:rPr>
            </w:pPr>
            <w:r w:rsidRPr="001270AC">
              <w:rPr>
                <w:rFonts w:ascii="Courier New" w:eastAsiaTheme="minorHAnsi" w:hAnsi="Courier New" w:cstheme="minorBidi"/>
                <w:b/>
                <w:sz w:val="16"/>
              </w:rPr>
              <w:t>20.9%</w:t>
            </w:r>
          </w:p>
        </w:tc>
      </w:tr>
    </w:tbl>
    <w:p w14:paraId="6A804BE8" w14:textId="77777777" w:rsidR="00BF10A3" w:rsidRPr="001270AC" w:rsidRDefault="00BF10A3" w:rsidP="00BF10A3">
      <w:pPr>
        <w:rPr>
          <w:rFonts w:ascii="Courier New" w:eastAsiaTheme="minorHAnsi" w:hAnsi="Courier New" w:cstheme="minorBidi"/>
          <w:sz w:val="24"/>
          <w:szCs w:val="24"/>
        </w:rPr>
        <w:sectPr w:rsidR="00BF10A3" w:rsidRPr="001270AC" w:rsidSect="00EF2884">
          <w:pgSz w:w="15840" w:h="12240" w:orient="landscape"/>
          <w:pgMar w:top="1440" w:right="1440" w:bottom="1440" w:left="1440" w:header="720" w:footer="720" w:gutter="0"/>
          <w:cols w:space="720"/>
          <w:docGrid w:linePitch="360"/>
        </w:sectPr>
      </w:pPr>
    </w:p>
    <w:p w14:paraId="56ED000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2.27 provides the average program annual loan payment (weighted by the number of students completing a program), the average program earnings (weighted by the number of students completing a program), the average default rate (weighted by the number of applicable borrowers), and the average repayment rate (weighted by the number of applicable borrowers). </w:t>
      </w:r>
    </w:p>
    <w:p w14:paraId="5D2743AB" w14:textId="77777777" w:rsidR="00BF10A3" w:rsidRPr="0098352A" w:rsidRDefault="00BF10A3" w:rsidP="00BF10A3">
      <w:pPr>
        <w:spacing w:after="0" w:line="240" w:lineRule="auto"/>
        <w:rPr>
          <w:rFonts w:ascii="Courier New" w:hAnsi="Courier New" w:cs="Courier New"/>
          <w:b/>
          <w:sz w:val="24"/>
          <w:szCs w:val="24"/>
        </w:rPr>
      </w:pPr>
      <w:r w:rsidRPr="0098352A">
        <w:rPr>
          <w:rFonts w:ascii="Courier New" w:hAnsi="Courier New" w:cs="Courier New"/>
          <w:b/>
          <w:sz w:val="24"/>
          <w:szCs w:val="24"/>
        </w:rPr>
        <w:t>Table 2.28: Most Frequent Types of Zone or Failing Programs in the 2012 GE Informational D/E Rates Sample (by Enrollment Count)</w:t>
      </w:r>
    </w:p>
    <w:p w14:paraId="465BCE43" w14:textId="77777777" w:rsidR="00BF10A3" w:rsidRPr="0098352A" w:rsidRDefault="00BF10A3" w:rsidP="00BF10A3">
      <w:pPr>
        <w:spacing w:after="0" w:line="240" w:lineRule="auto"/>
        <w:rPr>
          <w:rFonts w:ascii="Courier New" w:eastAsiaTheme="minorHAnsi" w:hAnsi="Courier New" w:cstheme="minorBidi"/>
          <w:sz w:val="24"/>
          <w:szCs w:val="24"/>
        </w:rPr>
      </w:pPr>
    </w:p>
    <w:tbl>
      <w:tblPr>
        <w:tblStyle w:val="TableGrid11"/>
        <w:tblW w:w="9771" w:type="dxa"/>
        <w:tblLook w:val="04A0" w:firstRow="1" w:lastRow="0" w:firstColumn="1" w:lastColumn="0" w:noHBand="0" w:noVBand="1"/>
      </w:tblPr>
      <w:tblGrid>
        <w:gridCol w:w="5820"/>
        <w:gridCol w:w="1273"/>
        <w:gridCol w:w="505"/>
        <w:gridCol w:w="793"/>
        <w:gridCol w:w="889"/>
        <w:gridCol w:w="793"/>
      </w:tblGrid>
      <w:tr w:rsidR="00BF10A3" w:rsidRPr="0098352A" w14:paraId="288E6E6A" w14:textId="77777777" w:rsidTr="001F7400">
        <w:trPr>
          <w:trHeight w:val="2213"/>
        </w:trPr>
        <w:tc>
          <w:tcPr>
            <w:tcW w:w="5820" w:type="dxa"/>
            <w:vAlign w:val="center"/>
            <w:hideMark/>
          </w:tcPr>
          <w:p w14:paraId="4B04C3B2" w14:textId="77777777" w:rsidR="00BF10A3" w:rsidRPr="0098352A" w:rsidRDefault="00BF10A3" w:rsidP="001F7400">
            <w:pPr>
              <w:jc w:val="center"/>
              <w:rPr>
                <w:rFonts w:ascii="Courier New" w:eastAsiaTheme="minorHAnsi" w:hAnsi="Courier New" w:cstheme="minorBidi"/>
                <w:b/>
                <w:bCs/>
                <w:sz w:val="16"/>
              </w:rPr>
            </w:pPr>
            <w:r w:rsidRPr="0098352A">
              <w:rPr>
                <w:rFonts w:ascii="Courier New" w:eastAsiaTheme="minorHAnsi" w:hAnsi="Courier New" w:cstheme="minorBidi"/>
                <w:b/>
                <w:bCs/>
                <w:sz w:val="16"/>
              </w:rPr>
              <w:t>CIP</w:t>
            </w:r>
          </w:p>
        </w:tc>
        <w:tc>
          <w:tcPr>
            <w:tcW w:w="1169" w:type="dxa"/>
            <w:vAlign w:val="center"/>
            <w:hideMark/>
          </w:tcPr>
          <w:p w14:paraId="10D457F6" w14:textId="77777777" w:rsidR="00BF10A3" w:rsidRPr="0098352A" w:rsidRDefault="00BF10A3" w:rsidP="001F7400">
            <w:pPr>
              <w:jc w:val="center"/>
              <w:rPr>
                <w:rFonts w:ascii="Courier New" w:eastAsiaTheme="minorHAnsi" w:hAnsi="Courier New" w:cstheme="minorBidi"/>
                <w:b/>
                <w:bCs/>
                <w:sz w:val="16"/>
              </w:rPr>
            </w:pPr>
            <w:r w:rsidRPr="0098352A">
              <w:rPr>
                <w:rFonts w:ascii="Courier New" w:eastAsiaTheme="minorHAnsi" w:hAnsi="Courier New" w:cstheme="minorBidi"/>
                <w:b/>
                <w:bCs/>
                <w:sz w:val="16"/>
              </w:rPr>
              <w:t>Credential level</w:t>
            </w:r>
          </w:p>
        </w:tc>
        <w:tc>
          <w:tcPr>
            <w:tcW w:w="480" w:type="dxa"/>
            <w:textDirection w:val="btLr"/>
            <w:vAlign w:val="center"/>
            <w:hideMark/>
          </w:tcPr>
          <w:p w14:paraId="3D3F391B" w14:textId="77777777" w:rsidR="00BF10A3" w:rsidRPr="0098352A" w:rsidRDefault="00BF10A3" w:rsidP="001F7400">
            <w:pPr>
              <w:jc w:val="center"/>
              <w:rPr>
                <w:rFonts w:ascii="Courier New" w:eastAsiaTheme="minorHAnsi" w:hAnsi="Courier New" w:cstheme="minorBidi"/>
                <w:b/>
                <w:sz w:val="16"/>
              </w:rPr>
            </w:pPr>
            <w:r w:rsidRPr="0098352A">
              <w:rPr>
                <w:rFonts w:ascii="Courier New" w:eastAsiaTheme="minorHAnsi" w:hAnsi="Courier New" w:cstheme="minorBidi"/>
                <w:b/>
                <w:sz w:val="16"/>
              </w:rPr>
              <w:t>Zone/Fail Programs</w:t>
            </w:r>
          </w:p>
        </w:tc>
        <w:tc>
          <w:tcPr>
            <w:tcW w:w="739" w:type="dxa"/>
            <w:textDirection w:val="btLr"/>
            <w:vAlign w:val="center"/>
            <w:hideMark/>
          </w:tcPr>
          <w:p w14:paraId="3D7E9840" w14:textId="77777777" w:rsidR="00BF10A3" w:rsidRDefault="00BF10A3" w:rsidP="001F7400">
            <w:pPr>
              <w:jc w:val="center"/>
              <w:rPr>
                <w:rFonts w:ascii="Courier New" w:eastAsiaTheme="minorHAnsi" w:hAnsi="Courier New" w:cstheme="minorBidi"/>
                <w:b/>
                <w:sz w:val="16"/>
              </w:rPr>
            </w:pPr>
            <w:r w:rsidRPr="0098352A">
              <w:rPr>
                <w:rFonts w:ascii="Courier New" w:eastAsiaTheme="minorHAnsi" w:hAnsi="Courier New" w:cstheme="minorBidi"/>
                <w:b/>
                <w:sz w:val="16"/>
              </w:rPr>
              <w:t>% Zone/Fail programs</w:t>
            </w:r>
            <w:r>
              <w:rPr>
                <w:rFonts w:ascii="Courier New" w:eastAsiaTheme="minorHAnsi" w:hAnsi="Courier New" w:cstheme="minorBidi"/>
                <w:b/>
                <w:sz w:val="16"/>
              </w:rPr>
              <w:t xml:space="preserve"> </w:t>
            </w:r>
          </w:p>
          <w:p w14:paraId="3CA3A81E" w14:textId="77777777" w:rsidR="00BF10A3" w:rsidRPr="0098352A" w:rsidRDefault="00BF10A3" w:rsidP="001F7400">
            <w:pPr>
              <w:jc w:val="center"/>
              <w:rPr>
                <w:rFonts w:ascii="Courier New" w:eastAsiaTheme="minorHAnsi" w:hAnsi="Courier New" w:cstheme="minorBidi"/>
                <w:b/>
                <w:sz w:val="16"/>
              </w:rPr>
            </w:pPr>
            <w:r w:rsidRPr="0098352A">
              <w:rPr>
                <w:rFonts w:ascii="Courier New" w:eastAsiaTheme="minorHAnsi" w:hAnsi="Courier New" w:cstheme="minorBidi"/>
                <w:b/>
                <w:sz w:val="16"/>
              </w:rPr>
              <w:t>in CIP-cred</w:t>
            </w:r>
          </w:p>
        </w:tc>
        <w:tc>
          <w:tcPr>
            <w:tcW w:w="824" w:type="dxa"/>
            <w:textDirection w:val="btLr"/>
            <w:vAlign w:val="center"/>
            <w:hideMark/>
          </w:tcPr>
          <w:p w14:paraId="6D754AB5" w14:textId="77777777" w:rsidR="00BF10A3" w:rsidRPr="0098352A" w:rsidRDefault="00BF10A3" w:rsidP="001F7400">
            <w:pPr>
              <w:jc w:val="center"/>
              <w:rPr>
                <w:rFonts w:ascii="Courier New" w:eastAsiaTheme="minorHAnsi" w:hAnsi="Courier New" w:cstheme="minorBidi"/>
                <w:b/>
                <w:sz w:val="16"/>
              </w:rPr>
            </w:pPr>
            <w:r w:rsidRPr="0098352A">
              <w:rPr>
                <w:rFonts w:ascii="Courier New" w:eastAsiaTheme="minorHAnsi" w:hAnsi="Courier New" w:cstheme="minorBidi"/>
                <w:b/>
                <w:sz w:val="16"/>
              </w:rPr>
              <w:t>Zone/Fail t4 students</w:t>
            </w:r>
          </w:p>
        </w:tc>
        <w:tc>
          <w:tcPr>
            <w:tcW w:w="739" w:type="dxa"/>
            <w:textDirection w:val="btLr"/>
            <w:vAlign w:val="center"/>
            <w:hideMark/>
          </w:tcPr>
          <w:p w14:paraId="47BFEA5B" w14:textId="77777777" w:rsidR="00BF10A3" w:rsidRPr="0098352A" w:rsidRDefault="00BF10A3" w:rsidP="001F7400">
            <w:pPr>
              <w:jc w:val="center"/>
              <w:rPr>
                <w:rFonts w:ascii="Courier New" w:eastAsiaTheme="minorHAnsi" w:hAnsi="Courier New" w:cstheme="minorBidi"/>
                <w:b/>
                <w:sz w:val="16"/>
              </w:rPr>
            </w:pPr>
            <w:r w:rsidRPr="0098352A">
              <w:rPr>
                <w:rFonts w:ascii="Courier New" w:eastAsiaTheme="minorHAnsi" w:hAnsi="Courier New" w:cstheme="minorBidi"/>
                <w:b/>
                <w:sz w:val="16"/>
              </w:rPr>
              <w:t>% Zone/Fail t4 students in CIP-cred</w:t>
            </w:r>
          </w:p>
        </w:tc>
      </w:tr>
      <w:tr w:rsidR="00BF10A3" w:rsidRPr="0098352A" w14:paraId="74F1CC8E" w14:textId="77777777" w:rsidTr="001F7400">
        <w:trPr>
          <w:trHeight w:val="305"/>
        </w:trPr>
        <w:tc>
          <w:tcPr>
            <w:tcW w:w="5820" w:type="dxa"/>
            <w:noWrap/>
            <w:hideMark/>
          </w:tcPr>
          <w:p w14:paraId="7B2EABAD"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MEDICAL/CLINICAL ASSISTANT.</w:t>
            </w:r>
          </w:p>
        </w:tc>
        <w:tc>
          <w:tcPr>
            <w:tcW w:w="1169" w:type="dxa"/>
            <w:noWrap/>
            <w:hideMark/>
          </w:tcPr>
          <w:p w14:paraId="487CFD8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Certificate</w:t>
            </w:r>
          </w:p>
        </w:tc>
        <w:tc>
          <w:tcPr>
            <w:tcW w:w="480" w:type="dxa"/>
            <w:noWrap/>
            <w:hideMark/>
          </w:tcPr>
          <w:p w14:paraId="7E16798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92</w:t>
            </w:r>
          </w:p>
        </w:tc>
        <w:tc>
          <w:tcPr>
            <w:tcW w:w="739" w:type="dxa"/>
            <w:noWrap/>
            <w:hideMark/>
          </w:tcPr>
          <w:p w14:paraId="3F423D2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26.5%</w:t>
            </w:r>
          </w:p>
        </w:tc>
        <w:tc>
          <w:tcPr>
            <w:tcW w:w="824" w:type="dxa"/>
            <w:noWrap/>
            <w:hideMark/>
          </w:tcPr>
          <w:p w14:paraId="6B31426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59,955</w:t>
            </w:r>
          </w:p>
        </w:tc>
        <w:tc>
          <w:tcPr>
            <w:tcW w:w="739" w:type="dxa"/>
            <w:noWrap/>
            <w:hideMark/>
          </w:tcPr>
          <w:p w14:paraId="5BCD7AED"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34.0%</w:t>
            </w:r>
          </w:p>
        </w:tc>
      </w:tr>
      <w:tr w:rsidR="00BF10A3" w:rsidRPr="0098352A" w14:paraId="77138C16" w14:textId="77777777" w:rsidTr="001F7400">
        <w:trPr>
          <w:trHeight w:val="305"/>
        </w:trPr>
        <w:tc>
          <w:tcPr>
            <w:tcW w:w="5820" w:type="dxa"/>
            <w:noWrap/>
            <w:hideMark/>
          </w:tcPr>
          <w:p w14:paraId="7B416A7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COSMETOLOGY/COSMETOLOGIST, GENERAL.</w:t>
            </w:r>
          </w:p>
        </w:tc>
        <w:tc>
          <w:tcPr>
            <w:tcW w:w="1169" w:type="dxa"/>
            <w:noWrap/>
            <w:hideMark/>
          </w:tcPr>
          <w:p w14:paraId="179DE28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Certificate</w:t>
            </w:r>
          </w:p>
        </w:tc>
        <w:tc>
          <w:tcPr>
            <w:tcW w:w="480" w:type="dxa"/>
            <w:noWrap/>
            <w:hideMark/>
          </w:tcPr>
          <w:p w14:paraId="1F08D8D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182</w:t>
            </w:r>
          </w:p>
        </w:tc>
        <w:tc>
          <w:tcPr>
            <w:tcW w:w="739" w:type="dxa"/>
            <w:noWrap/>
            <w:hideMark/>
          </w:tcPr>
          <w:p w14:paraId="3172C07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30.8%</w:t>
            </w:r>
          </w:p>
        </w:tc>
        <w:tc>
          <w:tcPr>
            <w:tcW w:w="824" w:type="dxa"/>
            <w:noWrap/>
            <w:hideMark/>
          </w:tcPr>
          <w:p w14:paraId="1A4E565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56,771</w:t>
            </w:r>
          </w:p>
        </w:tc>
        <w:tc>
          <w:tcPr>
            <w:tcW w:w="739" w:type="dxa"/>
            <w:noWrap/>
            <w:hideMark/>
          </w:tcPr>
          <w:p w14:paraId="4A5341E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49.1%</w:t>
            </w:r>
          </w:p>
        </w:tc>
      </w:tr>
      <w:tr w:rsidR="00BF10A3" w:rsidRPr="0098352A" w14:paraId="744DAB94" w14:textId="77777777" w:rsidTr="001F7400">
        <w:trPr>
          <w:trHeight w:val="305"/>
        </w:trPr>
        <w:tc>
          <w:tcPr>
            <w:tcW w:w="5820" w:type="dxa"/>
            <w:noWrap/>
            <w:hideMark/>
          </w:tcPr>
          <w:p w14:paraId="43F2140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MEDICAL/CLINICAL ASSISTANT.</w:t>
            </w:r>
          </w:p>
        </w:tc>
        <w:tc>
          <w:tcPr>
            <w:tcW w:w="1169" w:type="dxa"/>
            <w:noWrap/>
            <w:hideMark/>
          </w:tcPr>
          <w:p w14:paraId="38F79AA0"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0DF3C18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69</w:t>
            </w:r>
          </w:p>
        </w:tc>
        <w:tc>
          <w:tcPr>
            <w:tcW w:w="739" w:type="dxa"/>
            <w:noWrap/>
            <w:hideMark/>
          </w:tcPr>
          <w:p w14:paraId="5B54CE0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71.9%</w:t>
            </w:r>
          </w:p>
        </w:tc>
        <w:tc>
          <w:tcPr>
            <w:tcW w:w="824" w:type="dxa"/>
            <w:noWrap/>
            <w:hideMark/>
          </w:tcPr>
          <w:p w14:paraId="5F70EF4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56,262</w:t>
            </w:r>
          </w:p>
        </w:tc>
        <w:tc>
          <w:tcPr>
            <w:tcW w:w="739" w:type="dxa"/>
            <w:noWrap/>
            <w:hideMark/>
          </w:tcPr>
          <w:p w14:paraId="0A97957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87.9%</w:t>
            </w:r>
          </w:p>
        </w:tc>
      </w:tr>
      <w:tr w:rsidR="00BF10A3" w:rsidRPr="0098352A" w14:paraId="3E656413" w14:textId="77777777" w:rsidTr="001F7400">
        <w:trPr>
          <w:trHeight w:val="305"/>
        </w:trPr>
        <w:tc>
          <w:tcPr>
            <w:tcW w:w="5820" w:type="dxa"/>
            <w:noWrap/>
            <w:hideMark/>
          </w:tcPr>
          <w:p w14:paraId="62BC333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MEDICAL OFFICE ASSISTANT/SPECIALIST.</w:t>
            </w:r>
          </w:p>
        </w:tc>
        <w:tc>
          <w:tcPr>
            <w:tcW w:w="1169" w:type="dxa"/>
            <w:noWrap/>
            <w:hideMark/>
          </w:tcPr>
          <w:p w14:paraId="6904C45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76ECA91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w:t>
            </w:r>
          </w:p>
        </w:tc>
        <w:tc>
          <w:tcPr>
            <w:tcW w:w="739" w:type="dxa"/>
            <w:noWrap/>
            <w:hideMark/>
          </w:tcPr>
          <w:p w14:paraId="701F2095"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50.0%</w:t>
            </w:r>
          </w:p>
        </w:tc>
        <w:tc>
          <w:tcPr>
            <w:tcW w:w="824" w:type="dxa"/>
            <w:noWrap/>
            <w:hideMark/>
          </w:tcPr>
          <w:p w14:paraId="7531D68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32,129</w:t>
            </w:r>
          </w:p>
        </w:tc>
        <w:tc>
          <w:tcPr>
            <w:tcW w:w="739" w:type="dxa"/>
            <w:noWrap/>
            <w:hideMark/>
          </w:tcPr>
          <w:p w14:paraId="13FF261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97.5%</w:t>
            </w:r>
          </w:p>
        </w:tc>
      </w:tr>
      <w:tr w:rsidR="00BF10A3" w:rsidRPr="0098352A" w14:paraId="60B0C7B0" w14:textId="77777777" w:rsidTr="001F7400">
        <w:trPr>
          <w:trHeight w:val="305"/>
        </w:trPr>
        <w:tc>
          <w:tcPr>
            <w:tcW w:w="5820" w:type="dxa"/>
            <w:noWrap/>
            <w:hideMark/>
          </w:tcPr>
          <w:p w14:paraId="52BD025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HEALTH INFORMATION/MEDICAL RECORDS TECHNOLOGY/TECHNICIAN.</w:t>
            </w:r>
          </w:p>
        </w:tc>
        <w:tc>
          <w:tcPr>
            <w:tcW w:w="1169" w:type="dxa"/>
            <w:noWrap/>
            <w:hideMark/>
          </w:tcPr>
          <w:p w14:paraId="380EE05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2DC0B68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w:t>
            </w:r>
          </w:p>
        </w:tc>
        <w:tc>
          <w:tcPr>
            <w:tcW w:w="739" w:type="dxa"/>
            <w:noWrap/>
            <w:hideMark/>
          </w:tcPr>
          <w:p w14:paraId="5526515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83.3%</w:t>
            </w:r>
          </w:p>
        </w:tc>
        <w:tc>
          <w:tcPr>
            <w:tcW w:w="824" w:type="dxa"/>
            <w:noWrap/>
            <w:hideMark/>
          </w:tcPr>
          <w:p w14:paraId="3A0B9F0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28,615</w:t>
            </w:r>
          </w:p>
        </w:tc>
        <w:tc>
          <w:tcPr>
            <w:tcW w:w="739" w:type="dxa"/>
            <w:noWrap/>
            <w:hideMark/>
          </w:tcPr>
          <w:p w14:paraId="6AE14F6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97.4%</w:t>
            </w:r>
          </w:p>
        </w:tc>
      </w:tr>
      <w:tr w:rsidR="00BF10A3" w:rsidRPr="0098352A" w14:paraId="59772B0B" w14:textId="77777777" w:rsidTr="001F7400">
        <w:trPr>
          <w:trHeight w:val="305"/>
        </w:trPr>
        <w:tc>
          <w:tcPr>
            <w:tcW w:w="5820" w:type="dxa"/>
            <w:noWrap/>
            <w:hideMark/>
          </w:tcPr>
          <w:p w14:paraId="78E9828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BEHAVIORAL SCIENCES.</w:t>
            </w:r>
          </w:p>
        </w:tc>
        <w:tc>
          <w:tcPr>
            <w:tcW w:w="1169" w:type="dxa"/>
            <w:noWrap/>
            <w:hideMark/>
          </w:tcPr>
          <w:p w14:paraId="31415BD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336D4F6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w:t>
            </w:r>
          </w:p>
        </w:tc>
        <w:tc>
          <w:tcPr>
            <w:tcW w:w="739" w:type="dxa"/>
            <w:noWrap/>
            <w:hideMark/>
          </w:tcPr>
          <w:p w14:paraId="038BE56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c>
          <w:tcPr>
            <w:tcW w:w="824" w:type="dxa"/>
            <w:noWrap/>
            <w:hideMark/>
          </w:tcPr>
          <w:p w14:paraId="28EC891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27,090</w:t>
            </w:r>
          </w:p>
        </w:tc>
        <w:tc>
          <w:tcPr>
            <w:tcW w:w="739" w:type="dxa"/>
            <w:noWrap/>
            <w:hideMark/>
          </w:tcPr>
          <w:p w14:paraId="15542E0B"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r>
      <w:tr w:rsidR="00BF10A3" w:rsidRPr="0098352A" w14:paraId="72835D1B" w14:textId="77777777" w:rsidTr="001F7400">
        <w:trPr>
          <w:trHeight w:val="305"/>
        </w:trPr>
        <w:tc>
          <w:tcPr>
            <w:tcW w:w="5820" w:type="dxa"/>
            <w:noWrap/>
            <w:hideMark/>
          </w:tcPr>
          <w:p w14:paraId="4BBB370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COMPUTER SYSTEMS NETWORKING AND TELECOMMUNICATIONS.</w:t>
            </w:r>
          </w:p>
        </w:tc>
        <w:tc>
          <w:tcPr>
            <w:tcW w:w="1169" w:type="dxa"/>
            <w:noWrap/>
            <w:hideMark/>
          </w:tcPr>
          <w:p w14:paraId="683B3FA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44055B95"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6</w:t>
            </w:r>
          </w:p>
        </w:tc>
        <w:tc>
          <w:tcPr>
            <w:tcW w:w="739" w:type="dxa"/>
            <w:noWrap/>
            <w:hideMark/>
          </w:tcPr>
          <w:p w14:paraId="1C97374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37.5%</w:t>
            </w:r>
          </w:p>
        </w:tc>
        <w:tc>
          <w:tcPr>
            <w:tcW w:w="824" w:type="dxa"/>
            <w:noWrap/>
            <w:hideMark/>
          </w:tcPr>
          <w:p w14:paraId="7030519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26,248</w:t>
            </w:r>
          </w:p>
        </w:tc>
        <w:tc>
          <w:tcPr>
            <w:tcW w:w="739" w:type="dxa"/>
            <w:noWrap/>
            <w:hideMark/>
          </w:tcPr>
          <w:p w14:paraId="08B713E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81.3%</w:t>
            </w:r>
          </w:p>
        </w:tc>
      </w:tr>
      <w:tr w:rsidR="00BF10A3" w:rsidRPr="0098352A" w14:paraId="489BF503" w14:textId="77777777" w:rsidTr="001F7400">
        <w:trPr>
          <w:trHeight w:val="305"/>
        </w:trPr>
        <w:tc>
          <w:tcPr>
            <w:tcW w:w="5820" w:type="dxa"/>
            <w:noWrap/>
            <w:hideMark/>
          </w:tcPr>
          <w:p w14:paraId="3497CCF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CULINARY ARTS/CHEF TRAINING.</w:t>
            </w:r>
          </w:p>
        </w:tc>
        <w:tc>
          <w:tcPr>
            <w:tcW w:w="1169" w:type="dxa"/>
            <w:noWrap/>
            <w:hideMark/>
          </w:tcPr>
          <w:p w14:paraId="3EA0139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1E1CC0E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31</w:t>
            </w:r>
          </w:p>
        </w:tc>
        <w:tc>
          <w:tcPr>
            <w:tcW w:w="739" w:type="dxa"/>
            <w:noWrap/>
            <w:hideMark/>
          </w:tcPr>
          <w:p w14:paraId="502236F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93.9%</w:t>
            </w:r>
          </w:p>
        </w:tc>
        <w:tc>
          <w:tcPr>
            <w:tcW w:w="824" w:type="dxa"/>
            <w:noWrap/>
            <w:hideMark/>
          </w:tcPr>
          <w:p w14:paraId="4BA366A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24,446</w:t>
            </w:r>
          </w:p>
        </w:tc>
        <w:tc>
          <w:tcPr>
            <w:tcW w:w="739" w:type="dxa"/>
            <w:noWrap/>
            <w:hideMark/>
          </w:tcPr>
          <w:p w14:paraId="56A665CB"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97.8%</w:t>
            </w:r>
          </w:p>
        </w:tc>
      </w:tr>
      <w:tr w:rsidR="00BF10A3" w:rsidRPr="0098352A" w14:paraId="188A8254" w14:textId="77777777" w:rsidTr="001F7400">
        <w:trPr>
          <w:trHeight w:val="305"/>
        </w:trPr>
        <w:tc>
          <w:tcPr>
            <w:tcW w:w="5820" w:type="dxa"/>
            <w:noWrap/>
            <w:hideMark/>
          </w:tcPr>
          <w:p w14:paraId="22134CE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CRIMINAL JUSTICE/LAW ENFORCEMENT ADMINISTRATION.</w:t>
            </w:r>
          </w:p>
        </w:tc>
        <w:tc>
          <w:tcPr>
            <w:tcW w:w="1169" w:type="dxa"/>
            <w:noWrap/>
            <w:hideMark/>
          </w:tcPr>
          <w:p w14:paraId="597936F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1A3DA84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w:t>
            </w:r>
          </w:p>
        </w:tc>
        <w:tc>
          <w:tcPr>
            <w:tcW w:w="739" w:type="dxa"/>
            <w:noWrap/>
            <w:hideMark/>
          </w:tcPr>
          <w:p w14:paraId="4A6D4E6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83.3%</w:t>
            </w:r>
          </w:p>
        </w:tc>
        <w:tc>
          <w:tcPr>
            <w:tcW w:w="824" w:type="dxa"/>
            <w:noWrap/>
            <w:hideMark/>
          </w:tcPr>
          <w:p w14:paraId="5E65E8D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24,033</w:t>
            </w:r>
          </w:p>
        </w:tc>
        <w:tc>
          <w:tcPr>
            <w:tcW w:w="739" w:type="dxa"/>
            <w:noWrap/>
            <w:hideMark/>
          </w:tcPr>
          <w:p w14:paraId="06A239A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98.0%</w:t>
            </w:r>
          </w:p>
        </w:tc>
      </w:tr>
      <w:tr w:rsidR="00BF10A3" w:rsidRPr="0098352A" w14:paraId="24C4A2C2" w14:textId="77777777" w:rsidTr="001F7400">
        <w:trPr>
          <w:trHeight w:val="305"/>
        </w:trPr>
        <w:tc>
          <w:tcPr>
            <w:tcW w:w="5820" w:type="dxa"/>
            <w:noWrap/>
            <w:hideMark/>
          </w:tcPr>
          <w:p w14:paraId="14B68F0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ELECTRICAL, ELECTRONIC AND COMMUNICATIONS ENGINEERING TECHNOLOGY/TECHNICIAN.</w:t>
            </w:r>
          </w:p>
        </w:tc>
        <w:tc>
          <w:tcPr>
            <w:tcW w:w="1169" w:type="dxa"/>
            <w:noWrap/>
            <w:hideMark/>
          </w:tcPr>
          <w:p w14:paraId="3A9905E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1B85833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4</w:t>
            </w:r>
          </w:p>
        </w:tc>
        <w:tc>
          <w:tcPr>
            <w:tcW w:w="739" w:type="dxa"/>
            <w:noWrap/>
            <w:hideMark/>
          </w:tcPr>
          <w:p w14:paraId="6C084D5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44.4%</w:t>
            </w:r>
          </w:p>
        </w:tc>
        <w:tc>
          <w:tcPr>
            <w:tcW w:w="824" w:type="dxa"/>
            <w:noWrap/>
            <w:hideMark/>
          </w:tcPr>
          <w:p w14:paraId="158CEE4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23,509</w:t>
            </w:r>
          </w:p>
        </w:tc>
        <w:tc>
          <w:tcPr>
            <w:tcW w:w="739" w:type="dxa"/>
            <w:noWrap/>
            <w:hideMark/>
          </w:tcPr>
          <w:p w14:paraId="5A9F1A6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96.6%</w:t>
            </w:r>
          </w:p>
        </w:tc>
      </w:tr>
      <w:tr w:rsidR="00BF10A3" w:rsidRPr="0098352A" w14:paraId="65D705F7" w14:textId="77777777" w:rsidTr="001F7400">
        <w:trPr>
          <w:trHeight w:val="305"/>
        </w:trPr>
        <w:tc>
          <w:tcPr>
            <w:tcW w:w="5820" w:type="dxa"/>
            <w:noWrap/>
            <w:hideMark/>
          </w:tcPr>
          <w:p w14:paraId="26A4AEF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BEHAVIORAL SCIENCES.</w:t>
            </w:r>
          </w:p>
        </w:tc>
        <w:tc>
          <w:tcPr>
            <w:tcW w:w="1169" w:type="dxa"/>
            <w:noWrap/>
            <w:hideMark/>
          </w:tcPr>
          <w:p w14:paraId="16D80B7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Bachelor's</w:t>
            </w:r>
          </w:p>
        </w:tc>
        <w:tc>
          <w:tcPr>
            <w:tcW w:w="480" w:type="dxa"/>
            <w:noWrap/>
            <w:hideMark/>
          </w:tcPr>
          <w:p w14:paraId="793C0195"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w:t>
            </w:r>
          </w:p>
        </w:tc>
        <w:tc>
          <w:tcPr>
            <w:tcW w:w="739" w:type="dxa"/>
            <w:noWrap/>
            <w:hideMark/>
          </w:tcPr>
          <w:p w14:paraId="0E15A3E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50.0%</w:t>
            </w:r>
          </w:p>
        </w:tc>
        <w:tc>
          <w:tcPr>
            <w:tcW w:w="824" w:type="dxa"/>
            <w:noWrap/>
            <w:hideMark/>
          </w:tcPr>
          <w:p w14:paraId="6F3E52B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18,853</w:t>
            </w:r>
          </w:p>
        </w:tc>
        <w:tc>
          <w:tcPr>
            <w:tcW w:w="739" w:type="dxa"/>
            <w:noWrap/>
            <w:hideMark/>
          </w:tcPr>
          <w:p w14:paraId="44F77F2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97.5%</w:t>
            </w:r>
          </w:p>
        </w:tc>
      </w:tr>
      <w:tr w:rsidR="00BF10A3" w:rsidRPr="0098352A" w14:paraId="4DB6C370" w14:textId="77777777" w:rsidTr="001F7400">
        <w:trPr>
          <w:trHeight w:val="305"/>
        </w:trPr>
        <w:tc>
          <w:tcPr>
            <w:tcW w:w="5820" w:type="dxa"/>
            <w:noWrap/>
            <w:hideMark/>
          </w:tcPr>
          <w:p w14:paraId="050CB10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TEACHER ASSISTANT/AIDE.</w:t>
            </w:r>
          </w:p>
        </w:tc>
        <w:tc>
          <w:tcPr>
            <w:tcW w:w="1169" w:type="dxa"/>
            <w:noWrap/>
            <w:hideMark/>
          </w:tcPr>
          <w:p w14:paraId="52F0C47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79AD0DE5"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w:t>
            </w:r>
          </w:p>
        </w:tc>
        <w:tc>
          <w:tcPr>
            <w:tcW w:w="739" w:type="dxa"/>
            <w:noWrap/>
            <w:hideMark/>
          </w:tcPr>
          <w:p w14:paraId="7EFB0B2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c>
          <w:tcPr>
            <w:tcW w:w="824" w:type="dxa"/>
            <w:noWrap/>
            <w:hideMark/>
          </w:tcPr>
          <w:p w14:paraId="7FE7552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16,025</w:t>
            </w:r>
          </w:p>
        </w:tc>
        <w:tc>
          <w:tcPr>
            <w:tcW w:w="739" w:type="dxa"/>
            <w:noWrap/>
            <w:hideMark/>
          </w:tcPr>
          <w:p w14:paraId="68BA4A0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r>
      <w:tr w:rsidR="00BF10A3" w:rsidRPr="0098352A" w14:paraId="315B1DE4" w14:textId="77777777" w:rsidTr="001F7400">
        <w:trPr>
          <w:trHeight w:val="305"/>
        </w:trPr>
        <w:tc>
          <w:tcPr>
            <w:tcW w:w="5820" w:type="dxa"/>
            <w:noWrap/>
            <w:hideMark/>
          </w:tcPr>
          <w:p w14:paraId="777471C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HUMAN SERVICES, GENERAL.</w:t>
            </w:r>
          </w:p>
        </w:tc>
        <w:tc>
          <w:tcPr>
            <w:tcW w:w="1169" w:type="dxa"/>
            <w:noWrap/>
            <w:hideMark/>
          </w:tcPr>
          <w:p w14:paraId="493EEF0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0E65083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w:t>
            </w:r>
          </w:p>
        </w:tc>
        <w:tc>
          <w:tcPr>
            <w:tcW w:w="739" w:type="dxa"/>
            <w:noWrap/>
            <w:hideMark/>
          </w:tcPr>
          <w:p w14:paraId="54F8AE3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c>
          <w:tcPr>
            <w:tcW w:w="824" w:type="dxa"/>
            <w:noWrap/>
            <w:hideMark/>
          </w:tcPr>
          <w:p w14:paraId="634099C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15,064</w:t>
            </w:r>
          </w:p>
        </w:tc>
        <w:tc>
          <w:tcPr>
            <w:tcW w:w="739" w:type="dxa"/>
            <w:noWrap/>
            <w:hideMark/>
          </w:tcPr>
          <w:p w14:paraId="4058FFD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r>
      <w:tr w:rsidR="00BF10A3" w:rsidRPr="0098352A" w14:paraId="4121582C" w14:textId="77777777" w:rsidTr="001F7400">
        <w:trPr>
          <w:trHeight w:val="305"/>
        </w:trPr>
        <w:tc>
          <w:tcPr>
            <w:tcW w:w="5820" w:type="dxa"/>
            <w:noWrap/>
            <w:hideMark/>
          </w:tcPr>
          <w:p w14:paraId="0F967E4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CRIMINAL JUSTICE/SAFETY STUDIES.</w:t>
            </w:r>
          </w:p>
        </w:tc>
        <w:tc>
          <w:tcPr>
            <w:tcW w:w="1169" w:type="dxa"/>
            <w:noWrap/>
            <w:hideMark/>
          </w:tcPr>
          <w:p w14:paraId="1B78654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74D33B8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18</w:t>
            </w:r>
          </w:p>
        </w:tc>
        <w:tc>
          <w:tcPr>
            <w:tcW w:w="739" w:type="dxa"/>
            <w:noWrap/>
            <w:hideMark/>
          </w:tcPr>
          <w:p w14:paraId="66A05E5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69.2%</w:t>
            </w:r>
          </w:p>
        </w:tc>
        <w:tc>
          <w:tcPr>
            <w:tcW w:w="824" w:type="dxa"/>
            <w:noWrap/>
            <w:hideMark/>
          </w:tcPr>
          <w:p w14:paraId="31514DB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14,616</w:t>
            </w:r>
          </w:p>
        </w:tc>
        <w:tc>
          <w:tcPr>
            <w:tcW w:w="739" w:type="dxa"/>
            <w:noWrap/>
            <w:hideMark/>
          </w:tcPr>
          <w:p w14:paraId="171FFC5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68.9%</w:t>
            </w:r>
          </w:p>
        </w:tc>
      </w:tr>
      <w:tr w:rsidR="00BF10A3" w:rsidRPr="0098352A" w14:paraId="632D8AEA" w14:textId="77777777" w:rsidTr="001F7400">
        <w:trPr>
          <w:trHeight w:val="305"/>
        </w:trPr>
        <w:tc>
          <w:tcPr>
            <w:tcW w:w="5820" w:type="dxa"/>
            <w:noWrap/>
            <w:hideMark/>
          </w:tcPr>
          <w:p w14:paraId="3740686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CAD/CADD DRAFTING AND/OR DESIGN TECHNOLOGY/TECHNICIAN.</w:t>
            </w:r>
          </w:p>
        </w:tc>
        <w:tc>
          <w:tcPr>
            <w:tcW w:w="1169" w:type="dxa"/>
            <w:noWrap/>
            <w:hideMark/>
          </w:tcPr>
          <w:p w14:paraId="3CF1F7C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29BB8E9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5</w:t>
            </w:r>
          </w:p>
        </w:tc>
        <w:tc>
          <w:tcPr>
            <w:tcW w:w="739" w:type="dxa"/>
            <w:noWrap/>
            <w:hideMark/>
          </w:tcPr>
          <w:p w14:paraId="1B5B30D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c>
          <w:tcPr>
            <w:tcW w:w="824" w:type="dxa"/>
            <w:noWrap/>
            <w:hideMark/>
          </w:tcPr>
          <w:p w14:paraId="146E9CF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14,321</w:t>
            </w:r>
          </w:p>
        </w:tc>
        <w:tc>
          <w:tcPr>
            <w:tcW w:w="739" w:type="dxa"/>
            <w:noWrap/>
            <w:hideMark/>
          </w:tcPr>
          <w:p w14:paraId="7287EA1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r>
      <w:tr w:rsidR="00BF10A3" w:rsidRPr="0098352A" w14:paraId="278B276A" w14:textId="77777777" w:rsidTr="001F7400">
        <w:trPr>
          <w:trHeight w:val="305"/>
        </w:trPr>
        <w:tc>
          <w:tcPr>
            <w:tcW w:w="5820" w:type="dxa"/>
            <w:noWrap/>
            <w:hideMark/>
          </w:tcPr>
          <w:p w14:paraId="6537232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SECURITIES SERVICES ADMINISTRATION/MANAGEMENT.</w:t>
            </w:r>
          </w:p>
        </w:tc>
        <w:tc>
          <w:tcPr>
            <w:tcW w:w="1169" w:type="dxa"/>
            <w:noWrap/>
            <w:hideMark/>
          </w:tcPr>
          <w:p w14:paraId="0F4D4BF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23681BAC"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13</w:t>
            </w:r>
          </w:p>
        </w:tc>
        <w:tc>
          <w:tcPr>
            <w:tcW w:w="739" w:type="dxa"/>
            <w:noWrap/>
            <w:hideMark/>
          </w:tcPr>
          <w:p w14:paraId="6BFA604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c>
          <w:tcPr>
            <w:tcW w:w="824" w:type="dxa"/>
            <w:noWrap/>
            <w:hideMark/>
          </w:tcPr>
          <w:p w14:paraId="7F4BCED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13,473</w:t>
            </w:r>
          </w:p>
        </w:tc>
        <w:tc>
          <w:tcPr>
            <w:tcW w:w="739" w:type="dxa"/>
            <w:noWrap/>
            <w:hideMark/>
          </w:tcPr>
          <w:p w14:paraId="1A4A181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100.0%</w:t>
            </w:r>
          </w:p>
        </w:tc>
      </w:tr>
      <w:tr w:rsidR="00BF10A3" w:rsidRPr="0098352A" w14:paraId="686A6D5D" w14:textId="77777777" w:rsidTr="001F7400">
        <w:trPr>
          <w:trHeight w:val="305"/>
        </w:trPr>
        <w:tc>
          <w:tcPr>
            <w:tcW w:w="5820" w:type="dxa"/>
            <w:noWrap/>
            <w:hideMark/>
          </w:tcPr>
          <w:p w14:paraId="2073C70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MEDICAL INSURANCE CODING SPECIALIST/CODER.</w:t>
            </w:r>
          </w:p>
        </w:tc>
        <w:tc>
          <w:tcPr>
            <w:tcW w:w="1169" w:type="dxa"/>
            <w:noWrap/>
            <w:hideMark/>
          </w:tcPr>
          <w:p w14:paraId="14A82ABF"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127C9FE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w:t>
            </w:r>
          </w:p>
        </w:tc>
        <w:tc>
          <w:tcPr>
            <w:tcW w:w="739" w:type="dxa"/>
            <w:noWrap/>
            <w:hideMark/>
          </w:tcPr>
          <w:p w14:paraId="520E40F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81.8%</w:t>
            </w:r>
          </w:p>
        </w:tc>
        <w:tc>
          <w:tcPr>
            <w:tcW w:w="824" w:type="dxa"/>
            <w:noWrap/>
            <w:hideMark/>
          </w:tcPr>
          <w:p w14:paraId="07DE655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13,290</w:t>
            </w:r>
          </w:p>
        </w:tc>
        <w:tc>
          <w:tcPr>
            <w:tcW w:w="739" w:type="dxa"/>
            <w:noWrap/>
            <w:hideMark/>
          </w:tcPr>
          <w:p w14:paraId="79E1D9B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97.7%</w:t>
            </w:r>
          </w:p>
        </w:tc>
      </w:tr>
      <w:tr w:rsidR="00BF10A3" w:rsidRPr="0098352A" w14:paraId="041F5FEF" w14:textId="77777777" w:rsidTr="001F7400">
        <w:trPr>
          <w:trHeight w:val="305"/>
        </w:trPr>
        <w:tc>
          <w:tcPr>
            <w:tcW w:w="5820" w:type="dxa"/>
            <w:noWrap/>
            <w:hideMark/>
          </w:tcPr>
          <w:p w14:paraId="55F27CD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BUSINESS/COMMERCE, GENERAL.</w:t>
            </w:r>
          </w:p>
        </w:tc>
        <w:tc>
          <w:tcPr>
            <w:tcW w:w="1169" w:type="dxa"/>
            <w:noWrap/>
            <w:hideMark/>
          </w:tcPr>
          <w:p w14:paraId="52AC788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Associate's</w:t>
            </w:r>
          </w:p>
        </w:tc>
        <w:tc>
          <w:tcPr>
            <w:tcW w:w="480" w:type="dxa"/>
            <w:noWrap/>
            <w:hideMark/>
          </w:tcPr>
          <w:p w14:paraId="3D98E23B"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w:t>
            </w:r>
          </w:p>
        </w:tc>
        <w:tc>
          <w:tcPr>
            <w:tcW w:w="739" w:type="dxa"/>
            <w:noWrap/>
            <w:hideMark/>
          </w:tcPr>
          <w:p w14:paraId="2D2BCFB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75.0%</w:t>
            </w:r>
          </w:p>
        </w:tc>
        <w:tc>
          <w:tcPr>
            <w:tcW w:w="824" w:type="dxa"/>
            <w:noWrap/>
            <w:hideMark/>
          </w:tcPr>
          <w:p w14:paraId="04CBA67A"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12,550</w:t>
            </w:r>
          </w:p>
        </w:tc>
        <w:tc>
          <w:tcPr>
            <w:tcW w:w="739" w:type="dxa"/>
            <w:noWrap/>
            <w:hideMark/>
          </w:tcPr>
          <w:p w14:paraId="13BE3C63"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75.2%</w:t>
            </w:r>
          </w:p>
        </w:tc>
      </w:tr>
      <w:tr w:rsidR="00BF10A3" w:rsidRPr="0098352A" w14:paraId="283909CD" w14:textId="77777777" w:rsidTr="001F7400">
        <w:trPr>
          <w:trHeight w:val="305"/>
        </w:trPr>
        <w:tc>
          <w:tcPr>
            <w:tcW w:w="5820" w:type="dxa"/>
            <w:noWrap/>
            <w:hideMark/>
          </w:tcPr>
          <w:p w14:paraId="42B00F9E"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GRAPHIC DESIGN.</w:t>
            </w:r>
          </w:p>
        </w:tc>
        <w:tc>
          <w:tcPr>
            <w:tcW w:w="1169" w:type="dxa"/>
            <w:noWrap/>
            <w:hideMark/>
          </w:tcPr>
          <w:p w14:paraId="7753F84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Bachelor's</w:t>
            </w:r>
          </w:p>
        </w:tc>
        <w:tc>
          <w:tcPr>
            <w:tcW w:w="480" w:type="dxa"/>
            <w:noWrap/>
            <w:hideMark/>
          </w:tcPr>
          <w:p w14:paraId="6B690B31"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19</w:t>
            </w:r>
          </w:p>
        </w:tc>
        <w:tc>
          <w:tcPr>
            <w:tcW w:w="739" w:type="dxa"/>
            <w:noWrap/>
            <w:hideMark/>
          </w:tcPr>
          <w:p w14:paraId="37DF4E9D"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82.6%</w:t>
            </w:r>
          </w:p>
        </w:tc>
        <w:tc>
          <w:tcPr>
            <w:tcW w:w="824" w:type="dxa"/>
            <w:noWrap/>
            <w:hideMark/>
          </w:tcPr>
          <w:p w14:paraId="0CD7A199"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11,983</w:t>
            </w:r>
          </w:p>
        </w:tc>
        <w:tc>
          <w:tcPr>
            <w:tcW w:w="739" w:type="dxa"/>
            <w:noWrap/>
            <w:hideMark/>
          </w:tcPr>
          <w:p w14:paraId="475F25C6"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91.0%</w:t>
            </w:r>
          </w:p>
        </w:tc>
      </w:tr>
      <w:tr w:rsidR="00BF10A3" w:rsidRPr="0098352A" w14:paraId="23D0C909" w14:textId="77777777" w:rsidTr="001F7400">
        <w:trPr>
          <w:trHeight w:val="305"/>
        </w:trPr>
        <w:tc>
          <w:tcPr>
            <w:tcW w:w="5820" w:type="dxa"/>
            <w:noWrap/>
            <w:hideMark/>
          </w:tcPr>
          <w:p w14:paraId="2F39D46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ALL OTHER</w:t>
            </w:r>
          </w:p>
        </w:tc>
        <w:tc>
          <w:tcPr>
            <w:tcW w:w="1169" w:type="dxa"/>
            <w:noWrap/>
            <w:hideMark/>
          </w:tcPr>
          <w:p w14:paraId="5895CEC7"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ALL OTHER</w:t>
            </w:r>
          </w:p>
        </w:tc>
        <w:tc>
          <w:tcPr>
            <w:tcW w:w="480" w:type="dxa"/>
            <w:noWrap/>
            <w:hideMark/>
          </w:tcPr>
          <w:p w14:paraId="062A88F4"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970</w:t>
            </w:r>
          </w:p>
        </w:tc>
        <w:tc>
          <w:tcPr>
            <w:tcW w:w="739" w:type="dxa"/>
            <w:noWrap/>
            <w:hideMark/>
          </w:tcPr>
          <w:p w14:paraId="28D4B842"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22.4%</w:t>
            </w:r>
          </w:p>
        </w:tc>
        <w:tc>
          <w:tcPr>
            <w:tcW w:w="824" w:type="dxa"/>
            <w:noWrap/>
            <w:hideMark/>
          </w:tcPr>
          <w:p w14:paraId="03AD77A0"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352,434</w:t>
            </w:r>
          </w:p>
        </w:tc>
        <w:tc>
          <w:tcPr>
            <w:tcW w:w="739" w:type="dxa"/>
            <w:noWrap/>
            <w:hideMark/>
          </w:tcPr>
          <w:p w14:paraId="30D2D8B8" w14:textId="77777777" w:rsidR="00BF10A3" w:rsidRPr="0098352A" w:rsidRDefault="00BF10A3" w:rsidP="001F7400">
            <w:pPr>
              <w:rPr>
                <w:rFonts w:ascii="Courier New" w:eastAsiaTheme="minorHAnsi" w:hAnsi="Courier New" w:cstheme="minorBidi"/>
                <w:sz w:val="16"/>
              </w:rPr>
            </w:pPr>
            <w:r w:rsidRPr="0098352A">
              <w:rPr>
                <w:rFonts w:ascii="Courier New" w:eastAsiaTheme="minorHAnsi" w:hAnsi="Courier New" w:cstheme="minorBidi"/>
                <w:sz w:val="16"/>
              </w:rPr>
              <w:t>19.3%</w:t>
            </w:r>
          </w:p>
        </w:tc>
      </w:tr>
    </w:tbl>
    <w:p w14:paraId="1BBD2EF8" w14:textId="77777777" w:rsidR="00BF10A3" w:rsidRPr="00AA6DFD" w:rsidRDefault="00BF10A3" w:rsidP="00BF10A3">
      <w:pPr>
        <w:spacing w:after="0" w:line="480" w:lineRule="auto"/>
        <w:rPr>
          <w:rFonts w:ascii="Courier New" w:hAnsi="Courier New" w:cs="Courier New"/>
          <w:sz w:val="24"/>
          <w:szCs w:val="24"/>
        </w:rPr>
      </w:pPr>
    </w:p>
    <w:p w14:paraId="43BFAB9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2.28 shows that the most frequent types of zone and failing programs in the 2012 GE informational D/E rates sample (by enrollment count) were medical/clinical assistant certificate programs, cosmetology certificate programs, and medical/clinical assistant associate degree programs. </w:t>
      </w:r>
    </w:p>
    <w:p w14:paraId="2B27D033" w14:textId="77777777" w:rsidR="00BF10A3" w:rsidRDefault="00BF10A3" w:rsidP="00BF10A3">
      <w:pPr>
        <w:rPr>
          <w:rFonts w:ascii="Courier New" w:hAnsi="Courier New" w:cs="Courier New"/>
          <w:b/>
          <w:sz w:val="24"/>
          <w:szCs w:val="24"/>
        </w:rPr>
      </w:pPr>
      <w:r>
        <w:rPr>
          <w:rFonts w:ascii="Courier New" w:hAnsi="Courier New" w:cs="Courier New"/>
          <w:b/>
          <w:sz w:val="24"/>
          <w:szCs w:val="24"/>
        </w:rPr>
        <w:br w:type="page"/>
      </w:r>
    </w:p>
    <w:p w14:paraId="316AFB69" w14:textId="77777777" w:rsidR="00BF10A3" w:rsidRDefault="00BF10A3" w:rsidP="00BF10A3">
      <w:pPr>
        <w:spacing w:after="0" w:line="240" w:lineRule="auto"/>
        <w:rPr>
          <w:rFonts w:ascii="Courier New" w:hAnsi="Courier New" w:cs="Courier New"/>
          <w:b/>
          <w:sz w:val="24"/>
          <w:szCs w:val="24"/>
        </w:rPr>
        <w:sectPr w:rsidR="00BF10A3" w:rsidSect="007F58F4">
          <w:pgSz w:w="12240" w:h="15840"/>
          <w:pgMar w:top="1440" w:right="1440" w:bottom="1440" w:left="1440" w:header="720" w:footer="720" w:gutter="0"/>
          <w:cols w:space="720"/>
          <w:docGrid w:linePitch="360"/>
        </w:sectPr>
      </w:pPr>
    </w:p>
    <w:p w14:paraId="703BBE89" w14:textId="77777777" w:rsidR="00BF10A3" w:rsidRPr="00755196" w:rsidRDefault="00BF10A3" w:rsidP="00BF10A3">
      <w:pPr>
        <w:spacing w:after="0" w:line="240" w:lineRule="auto"/>
        <w:rPr>
          <w:rFonts w:ascii="Courier New" w:hAnsi="Courier New" w:cs="Courier New"/>
          <w:b/>
          <w:sz w:val="24"/>
          <w:szCs w:val="24"/>
        </w:rPr>
      </w:pPr>
      <w:r w:rsidRPr="00755196">
        <w:rPr>
          <w:rFonts w:ascii="Courier New" w:hAnsi="Courier New" w:cs="Courier New"/>
          <w:b/>
          <w:sz w:val="24"/>
          <w:szCs w:val="24"/>
        </w:rPr>
        <w:t>Table 2.29: Most Frequent Types of Programs That Are Failing or in the Zone in 2012 Informational Rates (by Enrollment Count)</w:t>
      </w:r>
    </w:p>
    <w:p w14:paraId="3F099457" w14:textId="77777777" w:rsidR="00BF10A3" w:rsidRPr="00755196" w:rsidRDefault="00BF10A3" w:rsidP="00BF10A3">
      <w:pPr>
        <w:spacing w:after="0" w:line="240" w:lineRule="auto"/>
        <w:rPr>
          <w:rFonts w:ascii="Courier New" w:eastAsiaTheme="minorHAnsi" w:hAnsi="Courier New" w:cstheme="minorBidi"/>
          <w:sz w:val="24"/>
          <w:szCs w:val="24"/>
        </w:rPr>
      </w:pPr>
    </w:p>
    <w:tbl>
      <w:tblPr>
        <w:tblStyle w:val="TableGrid12"/>
        <w:tblW w:w="13551" w:type="dxa"/>
        <w:tblLook w:val="04A0" w:firstRow="1" w:lastRow="0" w:firstColumn="1" w:lastColumn="0" w:noHBand="0" w:noVBand="1"/>
      </w:tblPr>
      <w:tblGrid>
        <w:gridCol w:w="3677"/>
        <w:gridCol w:w="1527"/>
        <w:gridCol w:w="823"/>
        <w:gridCol w:w="711"/>
        <w:gridCol w:w="711"/>
        <w:gridCol w:w="808"/>
        <w:gridCol w:w="808"/>
        <w:gridCol w:w="808"/>
        <w:gridCol w:w="613"/>
        <w:gridCol w:w="613"/>
        <w:gridCol w:w="613"/>
        <w:gridCol w:w="613"/>
        <w:gridCol w:w="613"/>
        <w:gridCol w:w="613"/>
      </w:tblGrid>
      <w:tr w:rsidR="00BF10A3" w:rsidRPr="00755196" w14:paraId="423D144C" w14:textId="77777777" w:rsidTr="001F7400">
        <w:trPr>
          <w:cantSplit/>
          <w:trHeight w:val="1134"/>
        </w:trPr>
        <w:tc>
          <w:tcPr>
            <w:tcW w:w="3677" w:type="dxa"/>
            <w:vAlign w:val="center"/>
            <w:hideMark/>
          </w:tcPr>
          <w:p w14:paraId="6D8CB022" w14:textId="77777777" w:rsidR="00BF10A3" w:rsidRPr="00755196" w:rsidRDefault="00BF10A3" w:rsidP="001F7400">
            <w:pPr>
              <w:jc w:val="center"/>
              <w:rPr>
                <w:rFonts w:ascii="Courier New" w:eastAsiaTheme="minorHAnsi" w:hAnsi="Courier New" w:cstheme="minorBidi"/>
                <w:b/>
                <w:bCs/>
                <w:sz w:val="16"/>
              </w:rPr>
            </w:pPr>
            <w:r>
              <w:rPr>
                <w:rFonts w:ascii="Courier New" w:eastAsiaTheme="minorHAnsi" w:hAnsi="Courier New" w:cstheme="minorBidi"/>
                <w:b/>
                <w:bCs/>
                <w:sz w:val="16"/>
              </w:rPr>
              <w:t>CIP</w:t>
            </w:r>
          </w:p>
        </w:tc>
        <w:tc>
          <w:tcPr>
            <w:tcW w:w="1527" w:type="dxa"/>
            <w:vAlign w:val="center"/>
            <w:hideMark/>
          </w:tcPr>
          <w:p w14:paraId="494E0315" w14:textId="77777777" w:rsidR="00BF10A3" w:rsidRPr="00755196" w:rsidRDefault="00BF10A3" w:rsidP="001F7400">
            <w:pPr>
              <w:jc w:val="center"/>
              <w:rPr>
                <w:rFonts w:ascii="Courier New" w:eastAsiaTheme="minorHAnsi" w:hAnsi="Courier New" w:cstheme="minorBidi"/>
                <w:b/>
                <w:bCs/>
                <w:sz w:val="16"/>
              </w:rPr>
            </w:pPr>
            <w:r>
              <w:rPr>
                <w:rFonts w:ascii="Courier New" w:eastAsiaTheme="minorHAnsi" w:hAnsi="Courier New" w:cstheme="minorBidi"/>
                <w:b/>
                <w:bCs/>
                <w:sz w:val="16"/>
              </w:rPr>
              <w:t>Credential Level</w:t>
            </w:r>
          </w:p>
        </w:tc>
        <w:tc>
          <w:tcPr>
            <w:tcW w:w="2244" w:type="dxa"/>
            <w:gridSpan w:val="3"/>
            <w:vAlign w:val="center"/>
            <w:hideMark/>
          </w:tcPr>
          <w:p w14:paraId="50D92AB3" w14:textId="77777777" w:rsidR="00BF10A3" w:rsidRPr="00755196" w:rsidRDefault="00BF10A3" w:rsidP="001F7400">
            <w:pPr>
              <w:jc w:val="center"/>
              <w:rPr>
                <w:rFonts w:ascii="Courier New" w:eastAsiaTheme="minorHAnsi" w:hAnsi="Courier New" w:cstheme="minorBidi"/>
                <w:b/>
                <w:bCs/>
                <w:sz w:val="16"/>
              </w:rPr>
            </w:pPr>
            <w:r w:rsidRPr="00755196">
              <w:rPr>
                <w:rFonts w:ascii="Courier New" w:eastAsiaTheme="minorHAnsi" w:hAnsi="Courier New" w:cstheme="minorBidi"/>
                <w:b/>
                <w:bCs/>
                <w:sz w:val="16"/>
              </w:rPr>
              <w:t>Annual loan payment</w:t>
            </w:r>
          </w:p>
        </w:tc>
        <w:tc>
          <w:tcPr>
            <w:tcW w:w="2425" w:type="dxa"/>
            <w:gridSpan w:val="3"/>
            <w:vAlign w:val="center"/>
            <w:hideMark/>
          </w:tcPr>
          <w:p w14:paraId="3647E859" w14:textId="77777777" w:rsidR="00BF10A3" w:rsidRPr="00755196" w:rsidRDefault="00BF10A3" w:rsidP="001F7400">
            <w:pPr>
              <w:jc w:val="center"/>
              <w:rPr>
                <w:rFonts w:ascii="Courier New" w:eastAsiaTheme="minorHAnsi" w:hAnsi="Courier New" w:cstheme="minorBidi"/>
                <w:b/>
                <w:bCs/>
                <w:sz w:val="16"/>
              </w:rPr>
            </w:pPr>
            <w:r w:rsidRPr="00755196">
              <w:rPr>
                <w:rFonts w:ascii="Courier New" w:eastAsiaTheme="minorHAnsi" w:hAnsi="Courier New" w:cstheme="minorBidi"/>
                <w:b/>
                <w:bCs/>
                <w:sz w:val="16"/>
              </w:rPr>
              <w:t>Earnings</w:t>
            </w:r>
          </w:p>
        </w:tc>
        <w:tc>
          <w:tcPr>
            <w:tcW w:w="1839" w:type="dxa"/>
            <w:gridSpan w:val="3"/>
            <w:vAlign w:val="center"/>
            <w:hideMark/>
          </w:tcPr>
          <w:p w14:paraId="7FA97791" w14:textId="77777777" w:rsidR="00BF10A3" w:rsidRPr="00755196" w:rsidRDefault="00BF10A3" w:rsidP="001F7400">
            <w:pPr>
              <w:jc w:val="center"/>
              <w:rPr>
                <w:rFonts w:ascii="Courier New" w:eastAsiaTheme="minorHAnsi" w:hAnsi="Courier New" w:cstheme="minorBidi"/>
                <w:b/>
                <w:bCs/>
                <w:sz w:val="16"/>
              </w:rPr>
            </w:pPr>
            <w:r w:rsidRPr="00755196">
              <w:rPr>
                <w:rFonts w:ascii="Courier New" w:eastAsiaTheme="minorHAnsi" w:hAnsi="Courier New" w:cstheme="minorBidi"/>
                <w:b/>
                <w:bCs/>
                <w:sz w:val="16"/>
              </w:rPr>
              <w:t>Repayment rate</w:t>
            </w:r>
          </w:p>
        </w:tc>
        <w:tc>
          <w:tcPr>
            <w:tcW w:w="1839" w:type="dxa"/>
            <w:gridSpan w:val="3"/>
            <w:vAlign w:val="center"/>
            <w:hideMark/>
          </w:tcPr>
          <w:p w14:paraId="235D02B1" w14:textId="77777777" w:rsidR="00BF10A3" w:rsidRPr="00755196" w:rsidRDefault="00BF10A3" w:rsidP="001F7400">
            <w:pPr>
              <w:jc w:val="center"/>
              <w:rPr>
                <w:rFonts w:ascii="Courier New" w:eastAsiaTheme="minorHAnsi" w:hAnsi="Courier New" w:cstheme="minorBidi"/>
                <w:b/>
                <w:bCs/>
                <w:sz w:val="16"/>
              </w:rPr>
            </w:pPr>
            <w:r w:rsidRPr="00755196">
              <w:rPr>
                <w:rFonts w:ascii="Courier New" w:eastAsiaTheme="minorHAnsi" w:hAnsi="Courier New" w:cstheme="minorBidi"/>
                <w:b/>
                <w:bCs/>
                <w:sz w:val="16"/>
              </w:rPr>
              <w:t>Default rate</w:t>
            </w:r>
          </w:p>
        </w:tc>
      </w:tr>
      <w:tr w:rsidR="00BF10A3" w:rsidRPr="00755196" w14:paraId="5DA20044" w14:textId="77777777" w:rsidTr="001F7400">
        <w:trPr>
          <w:trHeight w:val="229"/>
        </w:trPr>
        <w:tc>
          <w:tcPr>
            <w:tcW w:w="3677" w:type="dxa"/>
            <w:hideMark/>
          </w:tcPr>
          <w:p w14:paraId="3C4072D7"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 </w:t>
            </w:r>
          </w:p>
        </w:tc>
        <w:tc>
          <w:tcPr>
            <w:tcW w:w="1527" w:type="dxa"/>
            <w:hideMark/>
          </w:tcPr>
          <w:p w14:paraId="0F8263AC"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 </w:t>
            </w:r>
          </w:p>
        </w:tc>
        <w:tc>
          <w:tcPr>
            <w:tcW w:w="823" w:type="dxa"/>
            <w:hideMark/>
          </w:tcPr>
          <w:p w14:paraId="18366E7E"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Pass</w:t>
            </w:r>
          </w:p>
        </w:tc>
        <w:tc>
          <w:tcPr>
            <w:tcW w:w="711" w:type="dxa"/>
            <w:hideMark/>
          </w:tcPr>
          <w:p w14:paraId="7B39834E"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Zone</w:t>
            </w:r>
          </w:p>
        </w:tc>
        <w:tc>
          <w:tcPr>
            <w:tcW w:w="711" w:type="dxa"/>
            <w:hideMark/>
          </w:tcPr>
          <w:p w14:paraId="686F35A1"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Fail</w:t>
            </w:r>
          </w:p>
        </w:tc>
        <w:tc>
          <w:tcPr>
            <w:tcW w:w="808" w:type="dxa"/>
            <w:hideMark/>
          </w:tcPr>
          <w:p w14:paraId="0D6949B8"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Pass</w:t>
            </w:r>
          </w:p>
        </w:tc>
        <w:tc>
          <w:tcPr>
            <w:tcW w:w="808" w:type="dxa"/>
            <w:hideMark/>
          </w:tcPr>
          <w:p w14:paraId="1B3DBE5C"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Zone</w:t>
            </w:r>
          </w:p>
        </w:tc>
        <w:tc>
          <w:tcPr>
            <w:tcW w:w="808" w:type="dxa"/>
            <w:hideMark/>
          </w:tcPr>
          <w:p w14:paraId="2ABC90D6"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Fail</w:t>
            </w:r>
          </w:p>
        </w:tc>
        <w:tc>
          <w:tcPr>
            <w:tcW w:w="613" w:type="dxa"/>
            <w:hideMark/>
          </w:tcPr>
          <w:p w14:paraId="1F0D2B2D"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Pass</w:t>
            </w:r>
          </w:p>
        </w:tc>
        <w:tc>
          <w:tcPr>
            <w:tcW w:w="613" w:type="dxa"/>
            <w:hideMark/>
          </w:tcPr>
          <w:p w14:paraId="573E111F"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Zone</w:t>
            </w:r>
          </w:p>
        </w:tc>
        <w:tc>
          <w:tcPr>
            <w:tcW w:w="613" w:type="dxa"/>
            <w:hideMark/>
          </w:tcPr>
          <w:p w14:paraId="0323BFD0"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Fail</w:t>
            </w:r>
          </w:p>
        </w:tc>
        <w:tc>
          <w:tcPr>
            <w:tcW w:w="613" w:type="dxa"/>
            <w:hideMark/>
          </w:tcPr>
          <w:p w14:paraId="0D82311C"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Pass</w:t>
            </w:r>
          </w:p>
        </w:tc>
        <w:tc>
          <w:tcPr>
            <w:tcW w:w="613" w:type="dxa"/>
            <w:hideMark/>
          </w:tcPr>
          <w:p w14:paraId="56A2A889"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Zone</w:t>
            </w:r>
          </w:p>
        </w:tc>
        <w:tc>
          <w:tcPr>
            <w:tcW w:w="613" w:type="dxa"/>
            <w:hideMark/>
          </w:tcPr>
          <w:p w14:paraId="39286470" w14:textId="77777777" w:rsidR="00BF10A3" w:rsidRPr="00755196" w:rsidRDefault="00BF10A3" w:rsidP="001F7400">
            <w:pPr>
              <w:rPr>
                <w:rFonts w:ascii="Courier New" w:eastAsiaTheme="minorHAnsi" w:hAnsi="Courier New" w:cstheme="minorBidi"/>
                <w:b/>
                <w:bCs/>
                <w:sz w:val="16"/>
              </w:rPr>
            </w:pPr>
            <w:r w:rsidRPr="00755196">
              <w:rPr>
                <w:rFonts w:ascii="Courier New" w:eastAsiaTheme="minorHAnsi" w:hAnsi="Courier New" w:cstheme="minorBidi"/>
                <w:b/>
                <w:bCs/>
                <w:sz w:val="16"/>
              </w:rPr>
              <w:t>Fail</w:t>
            </w:r>
          </w:p>
        </w:tc>
      </w:tr>
      <w:tr w:rsidR="00BF10A3" w:rsidRPr="00755196" w14:paraId="4AB8DD1A" w14:textId="77777777" w:rsidTr="001F7400">
        <w:trPr>
          <w:trHeight w:val="229"/>
        </w:trPr>
        <w:tc>
          <w:tcPr>
            <w:tcW w:w="3677" w:type="dxa"/>
            <w:noWrap/>
            <w:hideMark/>
          </w:tcPr>
          <w:p w14:paraId="2AF119E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COSMETOLOGY/COSMETOLOGIST, GENERAL.</w:t>
            </w:r>
          </w:p>
        </w:tc>
        <w:tc>
          <w:tcPr>
            <w:tcW w:w="1527" w:type="dxa"/>
            <w:noWrap/>
            <w:hideMark/>
          </w:tcPr>
          <w:p w14:paraId="7E7B8DA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64F63E9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975</w:t>
            </w:r>
          </w:p>
        </w:tc>
        <w:tc>
          <w:tcPr>
            <w:tcW w:w="711" w:type="dxa"/>
            <w:noWrap/>
            <w:hideMark/>
          </w:tcPr>
          <w:p w14:paraId="55CC41E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1,247</w:t>
            </w:r>
          </w:p>
        </w:tc>
        <w:tc>
          <w:tcPr>
            <w:tcW w:w="711" w:type="dxa"/>
            <w:noWrap/>
            <w:hideMark/>
          </w:tcPr>
          <w:p w14:paraId="18084DD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1,697</w:t>
            </w:r>
          </w:p>
        </w:tc>
        <w:tc>
          <w:tcPr>
            <w:tcW w:w="808" w:type="dxa"/>
            <w:noWrap/>
            <w:hideMark/>
          </w:tcPr>
          <w:p w14:paraId="119E5F8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16,189</w:t>
            </w:r>
          </w:p>
        </w:tc>
        <w:tc>
          <w:tcPr>
            <w:tcW w:w="808" w:type="dxa"/>
            <w:noWrap/>
            <w:hideMark/>
          </w:tcPr>
          <w:p w14:paraId="03C2DF7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13,467</w:t>
            </w:r>
          </w:p>
        </w:tc>
        <w:tc>
          <w:tcPr>
            <w:tcW w:w="808" w:type="dxa"/>
            <w:noWrap/>
            <w:hideMark/>
          </w:tcPr>
          <w:p w14:paraId="6604690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12,900</w:t>
            </w:r>
          </w:p>
        </w:tc>
        <w:tc>
          <w:tcPr>
            <w:tcW w:w="613" w:type="dxa"/>
            <w:noWrap/>
            <w:hideMark/>
          </w:tcPr>
          <w:p w14:paraId="523EB26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c>
          <w:tcPr>
            <w:tcW w:w="613" w:type="dxa"/>
            <w:noWrap/>
            <w:hideMark/>
          </w:tcPr>
          <w:p w14:paraId="4A4EC00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w:t>
            </w:r>
          </w:p>
        </w:tc>
        <w:tc>
          <w:tcPr>
            <w:tcW w:w="613" w:type="dxa"/>
            <w:noWrap/>
            <w:hideMark/>
          </w:tcPr>
          <w:p w14:paraId="4A28D51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w:t>
            </w:r>
          </w:p>
        </w:tc>
        <w:tc>
          <w:tcPr>
            <w:tcW w:w="613" w:type="dxa"/>
            <w:noWrap/>
            <w:hideMark/>
          </w:tcPr>
          <w:p w14:paraId="1B84587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w:t>
            </w:r>
          </w:p>
        </w:tc>
        <w:tc>
          <w:tcPr>
            <w:tcW w:w="613" w:type="dxa"/>
            <w:noWrap/>
            <w:hideMark/>
          </w:tcPr>
          <w:p w14:paraId="3F43413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c>
          <w:tcPr>
            <w:tcW w:w="613" w:type="dxa"/>
            <w:noWrap/>
            <w:hideMark/>
          </w:tcPr>
          <w:p w14:paraId="1229053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24</w:t>
            </w:r>
          </w:p>
        </w:tc>
      </w:tr>
      <w:tr w:rsidR="00BF10A3" w:rsidRPr="00755196" w14:paraId="2D1E233B" w14:textId="77777777" w:rsidTr="001F7400">
        <w:trPr>
          <w:trHeight w:val="229"/>
        </w:trPr>
        <w:tc>
          <w:tcPr>
            <w:tcW w:w="3677" w:type="dxa"/>
            <w:noWrap/>
            <w:hideMark/>
          </w:tcPr>
          <w:p w14:paraId="3107000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MEDICAL/CLINICAL ASSISTANT.</w:t>
            </w:r>
          </w:p>
        </w:tc>
        <w:tc>
          <w:tcPr>
            <w:tcW w:w="1527" w:type="dxa"/>
            <w:noWrap/>
            <w:hideMark/>
          </w:tcPr>
          <w:p w14:paraId="7499786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3EAD733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557</w:t>
            </w:r>
          </w:p>
        </w:tc>
        <w:tc>
          <w:tcPr>
            <w:tcW w:w="711" w:type="dxa"/>
            <w:noWrap/>
            <w:hideMark/>
          </w:tcPr>
          <w:p w14:paraId="1F29F6C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1,220</w:t>
            </w:r>
          </w:p>
        </w:tc>
        <w:tc>
          <w:tcPr>
            <w:tcW w:w="711" w:type="dxa"/>
            <w:noWrap/>
            <w:hideMark/>
          </w:tcPr>
          <w:p w14:paraId="27EDC69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1,501</w:t>
            </w:r>
          </w:p>
        </w:tc>
        <w:tc>
          <w:tcPr>
            <w:tcW w:w="808" w:type="dxa"/>
            <w:noWrap/>
            <w:hideMark/>
          </w:tcPr>
          <w:p w14:paraId="67E7E6C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12,306</w:t>
            </w:r>
          </w:p>
        </w:tc>
        <w:tc>
          <w:tcPr>
            <w:tcW w:w="808" w:type="dxa"/>
            <w:noWrap/>
            <w:hideMark/>
          </w:tcPr>
          <w:p w14:paraId="468CE69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12,663</w:t>
            </w:r>
          </w:p>
        </w:tc>
        <w:tc>
          <w:tcPr>
            <w:tcW w:w="808" w:type="dxa"/>
            <w:noWrap/>
            <w:hideMark/>
          </w:tcPr>
          <w:p w14:paraId="2676EC3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10,970</w:t>
            </w:r>
          </w:p>
        </w:tc>
        <w:tc>
          <w:tcPr>
            <w:tcW w:w="613" w:type="dxa"/>
            <w:noWrap/>
            <w:hideMark/>
          </w:tcPr>
          <w:p w14:paraId="3B51177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50</w:t>
            </w:r>
          </w:p>
        </w:tc>
        <w:tc>
          <w:tcPr>
            <w:tcW w:w="613" w:type="dxa"/>
            <w:noWrap/>
            <w:hideMark/>
          </w:tcPr>
          <w:p w14:paraId="30FE9C2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40</w:t>
            </w:r>
          </w:p>
        </w:tc>
        <w:tc>
          <w:tcPr>
            <w:tcW w:w="613" w:type="dxa"/>
            <w:noWrap/>
            <w:hideMark/>
          </w:tcPr>
          <w:p w14:paraId="32BA6A0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w:t>
            </w:r>
          </w:p>
        </w:tc>
        <w:tc>
          <w:tcPr>
            <w:tcW w:w="613" w:type="dxa"/>
            <w:noWrap/>
            <w:hideMark/>
          </w:tcPr>
          <w:p w14:paraId="348255C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w:t>
            </w:r>
          </w:p>
        </w:tc>
        <w:tc>
          <w:tcPr>
            <w:tcW w:w="613" w:type="dxa"/>
            <w:noWrap/>
            <w:hideMark/>
          </w:tcPr>
          <w:p w14:paraId="0722695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17</w:t>
            </w:r>
          </w:p>
        </w:tc>
        <w:tc>
          <w:tcPr>
            <w:tcW w:w="613" w:type="dxa"/>
            <w:noWrap/>
            <w:hideMark/>
          </w:tcPr>
          <w:p w14:paraId="4E3046E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r>
      <w:tr w:rsidR="00BF10A3" w:rsidRPr="00755196" w14:paraId="623E471E" w14:textId="77777777" w:rsidTr="001F7400">
        <w:trPr>
          <w:trHeight w:val="229"/>
        </w:trPr>
        <w:tc>
          <w:tcPr>
            <w:tcW w:w="3677" w:type="dxa"/>
            <w:noWrap/>
            <w:hideMark/>
          </w:tcPr>
          <w:p w14:paraId="783A513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MEDICAL/CLINICAL ASSISTANT.</w:t>
            </w:r>
          </w:p>
        </w:tc>
        <w:tc>
          <w:tcPr>
            <w:tcW w:w="1527" w:type="dxa"/>
            <w:noWrap/>
            <w:hideMark/>
          </w:tcPr>
          <w:p w14:paraId="7049BEE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582EB38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1,193</w:t>
            </w:r>
          </w:p>
        </w:tc>
        <w:tc>
          <w:tcPr>
            <w:tcW w:w="711" w:type="dxa"/>
            <w:noWrap/>
            <w:hideMark/>
          </w:tcPr>
          <w:p w14:paraId="12A9769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1,925</w:t>
            </w:r>
          </w:p>
        </w:tc>
        <w:tc>
          <w:tcPr>
            <w:tcW w:w="711" w:type="dxa"/>
            <w:noWrap/>
            <w:hideMark/>
          </w:tcPr>
          <w:p w14:paraId="0A375C1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2,603</w:t>
            </w:r>
          </w:p>
        </w:tc>
        <w:tc>
          <w:tcPr>
            <w:tcW w:w="808" w:type="dxa"/>
            <w:noWrap/>
            <w:hideMark/>
          </w:tcPr>
          <w:p w14:paraId="08D3D08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20,805</w:t>
            </w:r>
          </w:p>
        </w:tc>
        <w:tc>
          <w:tcPr>
            <w:tcW w:w="808" w:type="dxa"/>
            <w:noWrap/>
            <w:hideMark/>
          </w:tcPr>
          <w:p w14:paraId="40F337B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19,689</w:t>
            </w:r>
          </w:p>
        </w:tc>
        <w:tc>
          <w:tcPr>
            <w:tcW w:w="808" w:type="dxa"/>
            <w:noWrap/>
            <w:hideMark/>
          </w:tcPr>
          <w:p w14:paraId="4DAD203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16,961</w:t>
            </w:r>
          </w:p>
        </w:tc>
        <w:tc>
          <w:tcPr>
            <w:tcW w:w="613" w:type="dxa"/>
            <w:noWrap/>
            <w:hideMark/>
          </w:tcPr>
          <w:p w14:paraId="05B931A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w:t>
            </w:r>
          </w:p>
        </w:tc>
        <w:tc>
          <w:tcPr>
            <w:tcW w:w="613" w:type="dxa"/>
            <w:noWrap/>
            <w:hideMark/>
          </w:tcPr>
          <w:p w14:paraId="2CB18C9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w:t>
            </w:r>
          </w:p>
        </w:tc>
        <w:tc>
          <w:tcPr>
            <w:tcW w:w="613" w:type="dxa"/>
            <w:noWrap/>
            <w:hideMark/>
          </w:tcPr>
          <w:p w14:paraId="326B189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18</w:t>
            </w:r>
          </w:p>
        </w:tc>
        <w:tc>
          <w:tcPr>
            <w:tcW w:w="613" w:type="dxa"/>
            <w:noWrap/>
            <w:hideMark/>
          </w:tcPr>
          <w:p w14:paraId="519AC78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w:t>
            </w:r>
          </w:p>
        </w:tc>
        <w:tc>
          <w:tcPr>
            <w:tcW w:w="613" w:type="dxa"/>
            <w:noWrap/>
            <w:hideMark/>
          </w:tcPr>
          <w:p w14:paraId="39E6214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w:t>
            </w:r>
          </w:p>
        </w:tc>
        <w:tc>
          <w:tcPr>
            <w:tcW w:w="613" w:type="dxa"/>
            <w:noWrap/>
            <w:hideMark/>
          </w:tcPr>
          <w:p w14:paraId="4C9744F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r>
      <w:tr w:rsidR="00BF10A3" w:rsidRPr="00755196" w14:paraId="10D4FA80" w14:textId="77777777" w:rsidTr="001F7400">
        <w:trPr>
          <w:trHeight w:val="229"/>
        </w:trPr>
        <w:tc>
          <w:tcPr>
            <w:tcW w:w="3677" w:type="dxa"/>
            <w:noWrap/>
            <w:hideMark/>
          </w:tcPr>
          <w:p w14:paraId="0A3B465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MASSAGE THERAPY/THERAPEUTIC MASSAGE.</w:t>
            </w:r>
          </w:p>
        </w:tc>
        <w:tc>
          <w:tcPr>
            <w:tcW w:w="1527" w:type="dxa"/>
            <w:noWrap/>
            <w:hideMark/>
          </w:tcPr>
          <w:p w14:paraId="1F06DF9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65BC3EC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1,351</w:t>
            </w:r>
          </w:p>
        </w:tc>
        <w:tc>
          <w:tcPr>
            <w:tcW w:w="711" w:type="dxa"/>
            <w:noWrap/>
            <w:hideMark/>
          </w:tcPr>
          <w:p w14:paraId="01C053F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2,233</w:t>
            </w:r>
          </w:p>
        </w:tc>
        <w:tc>
          <w:tcPr>
            <w:tcW w:w="711" w:type="dxa"/>
            <w:noWrap/>
            <w:hideMark/>
          </w:tcPr>
          <w:p w14:paraId="4A62337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2,823</w:t>
            </w:r>
          </w:p>
        </w:tc>
        <w:tc>
          <w:tcPr>
            <w:tcW w:w="808" w:type="dxa"/>
            <w:noWrap/>
            <w:hideMark/>
          </w:tcPr>
          <w:p w14:paraId="345D95C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20,105</w:t>
            </w:r>
          </w:p>
        </w:tc>
        <w:tc>
          <w:tcPr>
            <w:tcW w:w="808" w:type="dxa"/>
            <w:noWrap/>
            <w:hideMark/>
          </w:tcPr>
          <w:p w14:paraId="0546F41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22,943</w:t>
            </w:r>
          </w:p>
        </w:tc>
        <w:tc>
          <w:tcPr>
            <w:tcW w:w="808" w:type="dxa"/>
            <w:noWrap/>
            <w:hideMark/>
          </w:tcPr>
          <w:p w14:paraId="0E0DF9A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17,357</w:t>
            </w:r>
          </w:p>
        </w:tc>
        <w:tc>
          <w:tcPr>
            <w:tcW w:w="613" w:type="dxa"/>
            <w:noWrap/>
            <w:hideMark/>
          </w:tcPr>
          <w:p w14:paraId="4930695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31</w:t>
            </w:r>
          </w:p>
        </w:tc>
        <w:tc>
          <w:tcPr>
            <w:tcW w:w="613" w:type="dxa"/>
            <w:noWrap/>
            <w:hideMark/>
          </w:tcPr>
          <w:p w14:paraId="614531D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w:t>
            </w:r>
          </w:p>
        </w:tc>
        <w:tc>
          <w:tcPr>
            <w:tcW w:w="613" w:type="dxa"/>
            <w:noWrap/>
            <w:hideMark/>
          </w:tcPr>
          <w:p w14:paraId="3696417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c>
          <w:tcPr>
            <w:tcW w:w="613" w:type="dxa"/>
            <w:noWrap/>
            <w:hideMark/>
          </w:tcPr>
          <w:p w14:paraId="3D5AB18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13</w:t>
            </w:r>
          </w:p>
        </w:tc>
        <w:tc>
          <w:tcPr>
            <w:tcW w:w="613" w:type="dxa"/>
            <w:noWrap/>
            <w:hideMark/>
          </w:tcPr>
          <w:p w14:paraId="5B59311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36</w:t>
            </w:r>
          </w:p>
        </w:tc>
        <w:tc>
          <w:tcPr>
            <w:tcW w:w="613" w:type="dxa"/>
            <w:noWrap/>
            <w:hideMark/>
          </w:tcPr>
          <w:p w14:paraId="07BDA0F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17</w:t>
            </w:r>
          </w:p>
        </w:tc>
      </w:tr>
      <w:tr w:rsidR="00BF10A3" w:rsidRPr="00755196" w14:paraId="3168BC48" w14:textId="77777777" w:rsidTr="001F7400">
        <w:trPr>
          <w:trHeight w:val="229"/>
        </w:trPr>
        <w:tc>
          <w:tcPr>
            <w:tcW w:w="3677" w:type="dxa"/>
            <w:noWrap/>
            <w:hideMark/>
          </w:tcPr>
          <w:p w14:paraId="559AC10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BUSINESS ADMINISTRATION AND MANAGEMENT, GENERAL.</w:t>
            </w:r>
          </w:p>
        </w:tc>
        <w:tc>
          <w:tcPr>
            <w:tcW w:w="1527" w:type="dxa"/>
            <w:noWrap/>
            <w:hideMark/>
          </w:tcPr>
          <w:p w14:paraId="2CEB78F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608D672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1,187</w:t>
            </w:r>
          </w:p>
        </w:tc>
        <w:tc>
          <w:tcPr>
            <w:tcW w:w="711" w:type="dxa"/>
            <w:noWrap/>
            <w:hideMark/>
          </w:tcPr>
          <w:p w14:paraId="2BBA92C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2,366</w:t>
            </w:r>
          </w:p>
        </w:tc>
        <w:tc>
          <w:tcPr>
            <w:tcW w:w="711" w:type="dxa"/>
            <w:noWrap/>
            <w:hideMark/>
          </w:tcPr>
          <w:p w14:paraId="2F9D360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3,531</w:t>
            </w:r>
          </w:p>
        </w:tc>
        <w:tc>
          <w:tcPr>
            <w:tcW w:w="808" w:type="dxa"/>
            <w:noWrap/>
            <w:hideMark/>
          </w:tcPr>
          <w:p w14:paraId="3D2DA52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16,845</w:t>
            </w:r>
          </w:p>
        </w:tc>
        <w:tc>
          <w:tcPr>
            <w:tcW w:w="808" w:type="dxa"/>
            <w:noWrap/>
            <w:hideMark/>
          </w:tcPr>
          <w:p w14:paraId="1B26568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25,703</w:t>
            </w:r>
          </w:p>
        </w:tc>
        <w:tc>
          <w:tcPr>
            <w:tcW w:w="808" w:type="dxa"/>
            <w:noWrap/>
            <w:hideMark/>
          </w:tcPr>
          <w:p w14:paraId="28D29F8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26,664</w:t>
            </w:r>
          </w:p>
        </w:tc>
        <w:tc>
          <w:tcPr>
            <w:tcW w:w="613" w:type="dxa"/>
            <w:noWrap/>
            <w:hideMark/>
          </w:tcPr>
          <w:p w14:paraId="333F157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24</w:t>
            </w:r>
          </w:p>
        </w:tc>
        <w:tc>
          <w:tcPr>
            <w:tcW w:w="613" w:type="dxa"/>
            <w:noWrap/>
            <w:hideMark/>
          </w:tcPr>
          <w:p w14:paraId="1627A07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37</w:t>
            </w:r>
          </w:p>
        </w:tc>
        <w:tc>
          <w:tcPr>
            <w:tcW w:w="613" w:type="dxa"/>
            <w:noWrap/>
            <w:hideMark/>
          </w:tcPr>
          <w:p w14:paraId="0943E97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29</w:t>
            </w:r>
          </w:p>
        </w:tc>
        <w:tc>
          <w:tcPr>
            <w:tcW w:w="613" w:type="dxa"/>
            <w:noWrap/>
            <w:hideMark/>
          </w:tcPr>
          <w:p w14:paraId="0D5F89B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29</w:t>
            </w:r>
          </w:p>
        </w:tc>
        <w:tc>
          <w:tcPr>
            <w:tcW w:w="613" w:type="dxa"/>
            <w:noWrap/>
            <w:hideMark/>
          </w:tcPr>
          <w:p w14:paraId="2532058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41</w:t>
            </w:r>
          </w:p>
        </w:tc>
        <w:tc>
          <w:tcPr>
            <w:tcW w:w="613" w:type="dxa"/>
            <w:noWrap/>
            <w:hideMark/>
          </w:tcPr>
          <w:p w14:paraId="0B0A9E5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r>
      <w:tr w:rsidR="00BF10A3" w:rsidRPr="00755196" w14:paraId="687857D1" w14:textId="77777777" w:rsidTr="001F7400">
        <w:trPr>
          <w:trHeight w:val="229"/>
        </w:trPr>
        <w:tc>
          <w:tcPr>
            <w:tcW w:w="3677" w:type="dxa"/>
            <w:noWrap/>
            <w:hideMark/>
          </w:tcPr>
          <w:p w14:paraId="1A0BDFB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PHARMACY TECHNICIAN/ASSISTANT.</w:t>
            </w:r>
          </w:p>
        </w:tc>
        <w:tc>
          <w:tcPr>
            <w:tcW w:w="1527" w:type="dxa"/>
            <w:noWrap/>
            <w:hideMark/>
          </w:tcPr>
          <w:p w14:paraId="5493175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29F47CD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2365279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7AAC47C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2,485</w:t>
            </w:r>
          </w:p>
        </w:tc>
        <w:tc>
          <w:tcPr>
            <w:tcW w:w="808" w:type="dxa"/>
            <w:noWrap/>
            <w:hideMark/>
          </w:tcPr>
          <w:p w14:paraId="3E4BB16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78E0C6B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6233D9E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18,781</w:t>
            </w:r>
          </w:p>
        </w:tc>
        <w:tc>
          <w:tcPr>
            <w:tcW w:w="613" w:type="dxa"/>
            <w:noWrap/>
            <w:hideMark/>
          </w:tcPr>
          <w:p w14:paraId="7A3A7B8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30A2E93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74DA2C7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w:t>
            </w:r>
          </w:p>
        </w:tc>
        <w:tc>
          <w:tcPr>
            <w:tcW w:w="613" w:type="dxa"/>
            <w:noWrap/>
            <w:hideMark/>
          </w:tcPr>
          <w:p w14:paraId="70E8954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25B328D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6532C9E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38</w:t>
            </w:r>
          </w:p>
        </w:tc>
      </w:tr>
      <w:tr w:rsidR="00BF10A3" w:rsidRPr="00755196" w14:paraId="51D1A87D" w14:textId="77777777" w:rsidTr="001F7400">
        <w:trPr>
          <w:trHeight w:val="229"/>
        </w:trPr>
        <w:tc>
          <w:tcPr>
            <w:tcW w:w="3677" w:type="dxa"/>
            <w:noWrap/>
            <w:hideMark/>
          </w:tcPr>
          <w:p w14:paraId="6BCDCFE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CULINARY ARTS/CHEF TRAINING.</w:t>
            </w:r>
          </w:p>
        </w:tc>
        <w:tc>
          <w:tcPr>
            <w:tcW w:w="1527" w:type="dxa"/>
            <w:noWrap/>
            <w:hideMark/>
          </w:tcPr>
          <w:p w14:paraId="51ADCF1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13EEC76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2,531</w:t>
            </w:r>
          </w:p>
        </w:tc>
        <w:tc>
          <w:tcPr>
            <w:tcW w:w="711" w:type="dxa"/>
            <w:noWrap/>
            <w:hideMark/>
          </w:tcPr>
          <w:p w14:paraId="4A65762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2,876</w:t>
            </w:r>
          </w:p>
        </w:tc>
        <w:tc>
          <w:tcPr>
            <w:tcW w:w="711" w:type="dxa"/>
            <w:noWrap/>
            <w:hideMark/>
          </w:tcPr>
          <w:p w14:paraId="317313B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4,435</w:t>
            </w:r>
          </w:p>
        </w:tc>
        <w:tc>
          <w:tcPr>
            <w:tcW w:w="808" w:type="dxa"/>
            <w:noWrap/>
            <w:hideMark/>
          </w:tcPr>
          <w:p w14:paraId="26C8CB0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34,103</w:t>
            </w:r>
          </w:p>
        </w:tc>
        <w:tc>
          <w:tcPr>
            <w:tcW w:w="808" w:type="dxa"/>
            <w:noWrap/>
            <w:hideMark/>
          </w:tcPr>
          <w:p w14:paraId="0022443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28,680</w:t>
            </w:r>
          </w:p>
        </w:tc>
        <w:tc>
          <w:tcPr>
            <w:tcW w:w="808" w:type="dxa"/>
            <w:noWrap/>
            <w:hideMark/>
          </w:tcPr>
          <w:p w14:paraId="3DA0601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27,969</w:t>
            </w:r>
          </w:p>
        </w:tc>
        <w:tc>
          <w:tcPr>
            <w:tcW w:w="613" w:type="dxa"/>
            <w:noWrap/>
            <w:hideMark/>
          </w:tcPr>
          <w:p w14:paraId="4C93A90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37</w:t>
            </w:r>
          </w:p>
        </w:tc>
        <w:tc>
          <w:tcPr>
            <w:tcW w:w="613" w:type="dxa"/>
            <w:noWrap/>
            <w:hideMark/>
          </w:tcPr>
          <w:p w14:paraId="57C842C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40</w:t>
            </w:r>
          </w:p>
        </w:tc>
        <w:tc>
          <w:tcPr>
            <w:tcW w:w="613" w:type="dxa"/>
            <w:noWrap/>
            <w:hideMark/>
          </w:tcPr>
          <w:p w14:paraId="38B62F2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33</w:t>
            </w:r>
          </w:p>
        </w:tc>
        <w:tc>
          <w:tcPr>
            <w:tcW w:w="613" w:type="dxa"/>
            <w:noWrap/>
            <w:hideMark/>
          </w:tcPr>
          <w:p w14:paraId="403B856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w:t>
            </w:r>
          </w:p>
        </w:tc>
        <w:tc>
          <w:tcPr>
            <w:tcW w:w="613" w:type="dxa"/>
            <w:noWrap/>
            <w:hideMark/>
          </w:tcPr>
          <w:p w14:paraId="46793D3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w:t>
            </w:r>
          </w:p>
        </w:tc>
        <w:tc>
          <w:tcPr>
            <w:tcW w:w="613" w:type="dxa"/>
            <w:noWrap/>
            <w:hideMark/>
          </w:tcPr>
          <w:p w14:paraId="342D884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33</w:t>
            </w:r>
          </w:p>
        </w:tc>
      </w:tr>
      <w:tr w:rsidR="00BF10A3" w:rsidRPr="00755196" w14:paraId="46CA25DD" w14:textId="77777777" w:rsidTr="001F7400">
        <w:trPr>
          <w:trHeight w:val="229"/>
        </w:trPr>
        <w:tc>
          <w:tcPr>
            <w:tcW w:w="3677" w:type="dxa"/>
            <w:noWrap/>
            <w:hideMark/>
          </w:tcPr>
          <w:p w14:paraId="7339B30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GRAPHIC DESIGN.</w:t>
            </w:r>
          </w:p>
        </w:tc>
        <w:tc>
          <w:tcPr>
            <w:tcW w:w="1527" w:type="dxa"/>
            <w:noWrap/>
            <w:hideMark/>
          </w:tcPr>
          <w:p w14:paraId="0796EC4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43F3A26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1,716</w:t>
            </w:r>
          </w:p>
        </w:tc>
        <w:tc>
          <w:tcPr>
            <w:tcW w:w="711" w:type="dxa"/>
            <w:noWrap/>
            <w:hideMark/>
          </w:tcPr>
          <w:p w14:paraId="74A958B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2,338</w:t>
            </w:r>
          </w:p>
        </w:tc>
        <w:tc>
          <w:tcPr>
            <w:tcW w:w="711" w:type="dxa"/>
            <w:noWrap/>
            <w:hideMark/>
          </w:tcPr>
          <w:p w14:paraId="1FBDAA3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4,655</w:t>
            </w:r>
          </w:p>
        </w:tc>
        <w:tc>
          <w:tcPr>
            <w:tcW w:w="808" w:type="dxa"/>
            <w:noWrap/>
            <w:hideMark/>
          </w:tcPr>
          <w:p w14:paraId="4A37E74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25,156</w:t>
            </w:r>
          </w:p>
        </w:tc>
        <w:tc>
          <w:tcPr>
            <w:tcW w:w="808" w:type="dxa"/>
            <w:noWrap/>
            <w:hideMark/>
          </w:tcPr>
          <w:p w14:paraId="5DB187A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22,980</w:t>
            </w:r>
          </w:p>
        </w:tc>
        <w:tc>
          <w:tcPr>
            <w:tcW w:w="808" w:type="dxa"/>
            <w:noWrap/>
            <w:hideMark/>
          </w:tcPr>
          <w:p w14:paraId="7EAF111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22,275</w:t>
            </w:r>
          </w:p>
        </w:tc>
        <w:tc>
          <w:tcPr>
            <w:tcW w:w="613" w:type="dxa"/>
            <w:noWrap/>
            <w:hideMark/>
          </w:tcPr>
          <w:p w14:paraId="1D2EF13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w:t>
            </w:r>
          </w:p>
        </w:tc>
        <w:tc>
          <w:tcPr>
            <w:tcW w:w="613" w:type="dxa"/>
            <w:noWrap/>
            <w:hideMark/>
          </w:tcPr>
          <w:p w14:paraId="2CE80F9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41</w:t>
            </w:r>
          </w:p>
        </w:tc>
        <w:tc>
          <w:tcPr>
            <w:tcW w:w="613" w:type="dxa"/>
            <w:noWrap/>
            <w:hideMark/>
          </w:tcPr>
          <w:p w14:paraId="5DA9DF9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39</w:t>
            </w:r>
          </w:p>
        </w:tc>
        <w:tc>
          <w:tcPr>
            <w:tcW w:w="613" w:type="dxa"/>
            <w:noWrap/>
            <w:hideMark/>
          </w:tcPr>
          <w:p w14:paraId="58F3098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11</w:t>
            </w:r>
          </w:p>
        </w:tc>
        <w:tc>
          <w:tcPr>
            <w:tcW w:w="613" w:type="dxa"/>
            <w:noWrap/>
            <w:hideMark/>
          </w:tcPr>
          <w:p w14:paraId="7EC26FC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w:t>
            </w:r>
          </w:p>
        </w:tc>
        <w:tc>
          <w:tcPr>
            <w:tcW w:w="613" w:type="dxa"/>
            <w:noWrap/>
            <w:hideMark/>
          </w:tcPr>
          <w:p w14:paraId="0447851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r>
      <w:tr w:rsidR="00BF10A3" w:rsidRPr="00755196" w14:paraId="16B7E8B8" w14:textId="77777777" w:rsidTr="001F7400">
        <w:trPr>
          <w:trHeight w:val="229"/>
        </w:trPr>
        <w:tc>
          <w:tcPr>
            <w:tcW w:w="3677" w:type="dxa"/>
            <w:noWrap/>
            <w:hideMark/>
          </w:tcPr>
          <w:p w14:paraId="541B6CF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CRIMINAL JUSTICE/SAFETY STUDIES.</w:t>
            </w:r>
          </w:p>
        </w:tc>
        <w:tc>
          <w:tcPr>
            <w:tcW w:w="1527" w:type="dxa"/>
            <w:noWrap/>
            <w:hideMark/>
          </w:tcPr>
          <w:p w14:paraId="3B2F5BB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22DDCF6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1,293</w:t>
            </w:r>
          </w:p>
        </w:tc>
        <w:tc>
          <w:tcPr>
            <w:tcW w:w="711" w:type="dxa"/>
            <w:noWrap/>
            <w:hideMark/>
          </w:tcPr>
          <w:p w14:paraId="326B439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2,031</w:t>
            </w:r>
          </w:p>
        </w:tc>
        <w:tc>
          <w:tcPr>
            <w:tcW w:w="711" w:type="dxa"/>
            <w:noWrap/>
            <w:hideMark/>
          </w:tcPr>
          <w:p w14:paraId="580BE9A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3,581</w:t>
            </w:r>
          </w:p>
        </w:tc>
        <w:tc>
          <w:tcPr>
            <w:tcW w:w="808" w:type="dxa"/>
            <w:noWrap/>
            <w:hideMark/>
          </w:tcPr>
          <w:p w14:paraId="5C0F1BD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23,735</w:t>
            </w:r>
          </w:p>
        </w:tc>
        <w:tc>
          <w:tcPr>
            <w:tcW w:w="808" w:type="dxa"/>
            <w:noWrap/>
            <w:hideMark/>
          </w:tcPr>
          <w:p w14:paraId="4AAC943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21,227</w:t>
            </w:r>
          </w:p>
        </w:tc>
        <w:tc>
          <w:tcPr>
            <w:tcW w:w="808" w:type="dxa"/>
            <w:noWrap/>
            <w:hideMark/>
          </w:tcPr>
          <w:p w14:paraId="59C0201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19,939</w:t>
            </w:r>
          </w:p>
        </w:tc>
        <w:tc>
          <w:tcPr>
            <w:tcW w:w="613" w:type="dxa"/>
            <w:noWrap/>
            <w:hideMark/>
          </w:tcPr>
          <w:p w14:paraId="3A9CA93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c>
          <w:tcPr>
            <w:tcW w:w="613" w:type="dxa"/>
            <w:noWrap/>
            <w:hideMark/>
          </w:tcPr>
          <w:p w14:paraId="2715658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c>
          <w:tcPr>
            <w:tcW w:w="613" w:type="dxa"/>
            <w:noWrap/>
            <w:hideMark/>
          </w:tcPr>
          <w:p w14:paraId="7AE5844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w:t>
            </w:r>
          </w:p>
        </w:tc>
        <w:tc>
          <w:tcPr>
            <w:tcW w:w="613" w:type="dxa"/>
            <w:noWrap/>
            <w:hideMark/>
          </w:tcPr>
          <w:p w14:paraId="5210582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31</w:t>
            </w:r>
          </w:p>
        </w:tc>
        <w:tc>
          <w:tcPr>
            <w:tcW w:w="613" w:type="dxa"/>
            <w:noWrap/>
            <w:hideMark/>
          </w:tcPr>
          <w:p w14:paraId="5812D19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c>
          <w:tcPr>
            <w:tcW w:w="613" w:type="dxa"/>
            <w:noWrap/>
            <w:hideMark/>
          </w:tcPr>
          <w:p w14:paraId="64FE9C1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35</w:t>
            </w:r>
          </w:p>
        </w:tc>
      </w:tr>
      <w:tr w:rsidR="00BF10A3" w:rsidRPr="00755196" w14:paraId="5BBB0385" w14:textId="77777777" w:rsidTr="001F7400">
        <w:trPr>
          <w:trHeight w:val="229"/>
        </w:trPr>
        <w:tc>
          <w:tcPr>
            <w:tcW w:w="3677" w:type="dxa"/>
            <w:noWrap/>
            <w:hideMark/>
          </w:tcPr>
          <w:p w14:paraId="286788B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LEGAL ASSISTANT/PARALEGAL.</w:t>
            </w:r>
          </w:p>
        </w:tc>
        <w:tc>
          <w:tcPr>
            <w:tcW w:w="1527" w:type="dxa"/>
            <w:noWrap/>
            <w:hideMark/>
          </w:tcPr>
          <w:p w14:paraId="26F41B2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Associate's</w:t>
            </w:r>
          </w:p>
        </w:tc>
        <w:tc>
          <w:tcPr>
            <w:tcW w:w="823" w:type="dxa"/>
            <w:noWrap/>
            <w:hideMark/>
          </w:tcPr>
          <w:p w14:paraId="7DC2CF7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1,652</w:t>
            </w:r>
          </w:p>
        </w:tc>
        <w:tc>
          <w:tcPr>
            <w:tcW w:w="711" w:type="dxa"/>
            <w:noWrap/>
            <w:hideMark/>
          </w:tcPr>
          <w:p w14:paraId="359D93F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3,810</w:t>
            </w:r>
          </w:p>
        </w:tc>
        <w:tc>
          <w:tcPr>
            <w:tcW w:w="711" w:type="dxa"/>
            <w:noWrap/>
            <w:hideMark/>
          </w:tcPr>
          <w:p w14:paraId="7943650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4,496</w:t>
            </w:r>
          </w:p>
        </w:tc>
        <w:tc>
          <w:tcPr>
            <w:tcW w:w="808" w:type="dxa"/>
            <w:noWrap/>
            <w:hideMark/>
          </w:tcPr>
          <w:p w14:paraId="298834C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32,229</w:t>
            </w:r>
          </w:p>
        </w:tc>
        <w:tc>
          <w:tcPr>
            <w:tcW w:w="808" w:type="dxa"/>
            <w:noWrap/>
            <w:hideMark/>
          </w:tcPr>
          <w:p w14:paraId="695EAC8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33,746</w:t>
            </w:r>
          </w:p>
        </w:tc>
        <w:tc>
          <w:tcPr>
            <w:tcW w:w="808" w:type="dxa"/>
            <w:noWrap/>
            <w:hideMark/>
          </w:tcPr>
          <w:p w14:paraId="700ECF1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30,320</w:t>
            </w:r>
          </w:p>
        </w:tc>
        <w:tc>
          <w:tcPr>
            <w:tcW w:w="613" w:type="dxa"/>
            <w:noWrap/>
            <w:hideMark/>
          </w:tcPr>
          <w:p w14:paraId="032BFA8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52</w:t>
            </w:r>
          </w:p>
        </w:tc>
        <w:tc>
          <w:tcPr>
            <w:tcW w:w="613" w:type="dxa"/>
            <w:noWrap/>
            <w:hideMark/>
          </w:tcPr>
          <w:p w14:paraId="4936DE0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35</w:t>
            </w:r>
          </w:p>
        </w:tc>
        <w:tc>
          <w:tcPr>
            <w:tcW w:w="613" w:type="dxa"/>
            <w:noWrap/>
            <w:hideMark/>
          </w:tcPr>
          <w:p w14:paraId="58F10D0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w:t>
            </w:r>
          </w:p>
        </w:tc>
        <w:tc>
          <w:tcPr>
            <w:tcW w:w="613" w:type="dxa"/>
            <w:noWrap/>
            <w:hideMark/>
          </w:tcPr>
          <w:p w14:paraId="328DF63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18</w:t>
            </w:r>
          </w:p>
        </w:tc>
        <w:tc>
          <w:tcPr>
            <w:tcW w:w="613" w:type="dxa"/>
            <w:noWrap/>
            <w:hideMark/>
          </w:tcPr>
          <w:p w14:paraId="0B2BCE6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31</w:t>
            </w:r>
          </w:p>
        </w:tc>
        <w:tc>
          <w:tcPr>
            <w:tcW w:w="613" w:type="dxa"/>
            <w:noWrap/>
            <w:hideMark/>
          </w:tcPr>
          <w:p w14:paraId="2A99721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40</w:t>
            </w:r>
          </w:p>
        </w:tc>
      </w:tr>
      <w:tr w:rsidR="00BF10A3" w:rsidRPr="00755196" w14:paraId="2592A37B" w14:textId="77777777" w:rsidTr="001F7400">
        <w:trPr>
          <w:trHeight w:val="229"/>
        </w:trPr>
        <w:tc>
          <w:tcPr>
            <w:tcW w:w="3677" w:type="dxa"/>
            <w:noWrap/>
            <w:hideMark/>
          </w:tcPr>
          <w:p w14:paraId="3082E85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INTERIOR DESIGN.</w:t>
            </w:r>
          </w:p>
        </w:tc>
        <w:tc>
          <w:tcPr>
            <w:tcW w:w="1527" w:type="dxa"/>
            <w:noWrap/>
            <w:hideMark/>
          </w:tcPr>
          <w:p w14:paraId="2919634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Bachelor's</w:t>
            </w:r>
          </w:p>
        </w:tc>
        <w:tc>
          <w:tcPr>
            <w:tcW w:w="823" w:type="dxa"/>
            <w:noWrap/>
            <w:hideMark/>
          </w:tcPr>
          <w:p w14:paraId="4E032BD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2,128</w:t>
            </w:r>
          </w:p>
        </w:tc>
        <w:tc>
          <w:tcPr>
            <w:tcW w:w="711" w:type="dxa"/>
            <w:noWrap/>
            <w:hideMark/>
          </w:tcPr>
          <w:p w14:paraId="6AB5605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2,657</w:t>
            </w:r>
          </w:p>
        </w:tc>
        <w:tc>
          <w:tcPr>
            <w:tcW w:w="711" w:type="dxa"/>
            <w:noWrap/>
            <w:hideMark/>
          </w:tcPr>
          <w:p w14:paraId="4B3D10B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00B8128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43,331</w:t>
            </w:r>
          </w:p>
        </w:tc>
        <w:tc>
          <w:tcPr>
            <w:tcW w:w="808" w:type="dxa"/>
            <w:noWrap/>
            <w:hideMark/>
          </w:tcPr>
          <w:p w14:paraId="30ABA62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29,449</w:t>
            </w:r>
          </w:p>
        </w:tc>
        <w:tc>
          <w:tcPr>
            <w:tcW w:w="808" w:type="dxa"/>
            <w:noWrap/>
            <w:hideMark/>
          </w:tcPr>
          <w:p w14:paraId="4411E93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7E2D513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38</w:t>
            </w:r>
          </w:p>
        </w:tc>
        <w:tc>
          <w:tcPr>
            <w:tcW w:w="613" w:type="dxa"/>
            <w:noWrap/>
            <w:hideMark/>
          </w:tcPr>
          <w:p w14:paraId="2B9185D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w:t>
            </w:r>
          </w:p>
        </w:tc>
        <w:tc>
          <w:tcPr>
            <w:tcW w:w="613" w:type="dxa"/>
            <w:noWrap/>
            <w:hideMark/>
          </w:tcPr>
          <w:p w14:paraId="08C97C3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34AF8A1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7</w:t>
            </w:r>
          </w:p>
        </w:tc>
        <w:tc>
          <w:tcPr>
            <w:tcW w:w="613" w:type="dxa"/>
            <w:noWrap/>
            <w:hideMark/>
          </w:tcPr>
          <w:p w14:paraId="4D51B06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w:t>
            </w:r>
          </w:p>
        </w:tc>
        <w:tc>
          <w:tcPr>
            <w:tcW w:w="613" w:type="dxa"/>
            <w:noWrap/>
            <w:hideMark/>
          </w:tcPr>
          <w:p w14:paraId="51EA538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r>
      <w:tr w:rsidR="00BF10A3" w:rsidRPr="00755196" w14:paraId="0B6E9101" w14:textId="77777777" w:rsidTr="001F7400">
        <w:trPr>
          <w:trHeight w:val="229"/>
        </w:trPr>
        <w:tc>
          <w:tcPr>
            <w:tcW w:w="3677" w:type="dxa"/>
            <w:noWrap/>
            <w:hideMark/>
          </w:tcPr>
          <w:p w14:paraId="059665D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MEDICAL ADMINISTRATIVE/EXECUTIVE ASSISTANT AND MEDICAL SECRETARY.</w:t>
            </w:r>
          </w:p>
        </w:tc>
        <w:tc>
          <w:tcPr>
            <w:tcW w:w="1527" w:type="dxa"/>
            <w:noWrap/>
            <w:hideMark/>
          </w:tcPr>
          <w:p w14:paraId="75CD15B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57C6BA9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7DF0F3A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1FC0C58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2,310</w:t>
            </w:r>
          </w:p>
        </w:tc>
        <w:tc>
          <w:tcPr>
            <w:tcW w:w="808" w:type="dxa"/>
            <w:noWrap/>
            <w:hideMark/>
          </w:tcPr>
          <w:p w14:paraId="4166C72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1EF2E75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67A24CC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14,637</w:t>
            </w:r>
          </w:p>
        </w:tc>
        <w:tc>
          <w:tcPr>
            <w:tcW w:w="613" w:type="dxa"/>
            <w:noWrap/>
            <w:hideMark/>
          </w:tcPr>
          <w:p w14:paraId="5868230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2E15320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7E2D89B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w:t>
            </w:r>
          </w:p>
        </w:tc>
        <w:tc>
          <w:tcPr>
            <w:tcW w:w="613" w:type="dxa"/>
            <w:noWrap/>
            <w:hideMark/>
          </w:tcPr>
          <w:p w14:paraId="34081FE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36BC70E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764335A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40</w:t>
            </w:r>
          </w:p>
        </w:tc>
      </w:tr>
      <w:tr w:rsidR="00BF10A3" w:rsidRPr="00755196" w14:paraId="53FD00DC" w14:textId="77777777" w:rsidTr="001F7400">
        <w:trPr>
          <w:trHeight w:val="229"/>
        </w:trPr>
        <w:tc>
          <w:tcPr>
            <w:tcW w:w="3677" w:type="dxa"/>
            <w:noWrap/>
            <w:hideMark/>
          </w:tcPr>
          <w:p w14:paraId="2BBD898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BARBERING/BARBER.</w:t>
            </w:r>
          </w:p>
        </w:tc>
        <w:tc>
          <w:tcPr>
            <w:tcW w:w="1527" w:type="dxa"/>
            <w:noWrap/>
            <w:hideMark/>
          </w:tcPr>
          <w:p w14:paraId="2152332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69800AB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70291D1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2,393</w:t>
            </w:r>
          </w:p>
        </w:tc>
        <w:tc>
          <w:tcPr>
            <w:tcW w:w="711" w:type="dxa"/>
            <w:noWrap/>
            <w:hideMark/>
          </w:tcPr>
          <w:p w14:paraId="744E2E8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765B16C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1F84C8C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22,588</w:t>
            </w:r>
          </w:p>
        </w:tc>
        <w:tc>
          <w:tcPr>
            <w:tcW w:w="808" w:type="dxa"/>
            <w:noWrap/>
            <w:hideMark/>
          </w:tcPr>
          <w:p w14:paraId="4416311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2266E45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6052263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w:t>
            </w:r>
          </w:p>
        </w:tc>
        <w:tc>
          <w:tcPr>
            <w:tcW w:w="613" w:type="dxa"/>
            <w:noWrap/>
            <w:hideMark/>
          </w:tcPr>
          <w:p w14:paraId="4A919CB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4F361F4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6A5AB7D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42</w:t>
            </w:r>
          </w:p>
        </w:tc>
        <w:tc>
          <w:tcPr>
            <w:tcW w:w="613" w:type="dxa"/>
            <w:noWrap/>
            <w:hideMark/>
          </w:tcPr>
          <w:p w14:paraId="354C87A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r>
      <w:tr w:rsidR="00BF10A3" w:rsidRPr="00755196" w14:paraId="7C46D27F" w14:textId="77777777" w:rsidTr="001F7400">
        <w:trPr>
          <w:trHeight w:val="229"/>
        </w:trPr>
        <w:tc>
          <w:tcPr>
            <w:tcW w:w="3677" w:type="dxa"/>
            <w:noWrap/>
            <w:hideMark/>
          </w:tcPr>
          <w:p w14:paraId="2C16E70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AUTOMOBILE/AUTOMOTIVE MECHANICS TECHNOLOGY/TECHNICIAN.</w:t>
            </w:r>
          </w:p>
        </w:tc>
        <w:tc>
          <w:tcPr>
            <w:tcW w:w="1527" w:type="dxa"/>
            <w:noWrap/>
            <w:hideMark/>
          </w:tcPr>
          <w:p w14:paraId="05AA52C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7236AEE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1,543</w:t>
            </w:r>
          </w:p>
        </w:tc>
        <w:tc>
          <w:tcPr>
            <w:tcW w:w="711" w:type="dxa"/>
            <w:noWrap/>
            <w:hideMark/>
          </w:tcPr>
          <w:p w14:paraId="36E1A5F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2,174</w:t>
            </w:r>
          </w:p>
        </w:tc>
        <w:tc>
          <w:tcPr>
            <w:tcW w:w="711" w:type="dxa"/>
            <w:noWrap/>
            <w:hideMark/>
          </w:tcPr>
          <w:p w14:paraId="09A9F0B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2,341</w:t>
            </w:r>
          </w:p>
        </w:tc>
        <w:tc>
          <w:tcPr>
            <w:tcW w:w="808" w:type="dxa"/>
            <w:noWrap/>
            <w:hideMark/>
          </w:tcPr>
          <w:p w14:paraId="578393F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25,756</w:t>
            </w:r>
          </w:p>
        </w:tc>
        <w:tc>
          <w:tcPr>
            <w:tcW w:w="808" w:type="dxa"/>
            <w:noWrap/>
            <w:hideMark/>
          </w:tcPr>
          <w:p w14:paraId="6DD0202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22,888</w:t>
            </w:r>
          </w:p>
        </w:tc>
        <w:tc>
          <w:tcPr>
            <w:tcW w:w="808" w:type="dxa"/>
            <w:noWrap/>
            <w:hideMark/>
          </w:tcPr>
          <w:p w14:paraId="646E659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17,299</w:t>
            </w:r>
          </w:p>
        </w:tc>
        <w:tc>
          <w:tcPr>
            <w:tcW w:w="613" w:type="dxa"/>
            <w:noWrap/>
            <w:hideMark/>
          </w:tcPr>
          <w:p w14:paraId="7A3B26A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c>
          <w:tcPr>
            <w:tcW w:w="613" w:type="dxa"/>
            <w:noWrap/>
            <w:hideMark/>
          </w:tcPr>
          <w:p w14:paraId="4A465FE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29</w:t>
            </w:r>
          </w:p>
        </w:tc>
        <w:tc>
          <w:tcPr>
            <w:tcW w:w="613" w:type="dxa"/>
            <w:noWrap/>
            <w:hideMark/>
          </w:tcPr>
          <w:p w14:paraId="08DA2A9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15</w:t>
            </w:r>
          </w:p>
        </w:tc>
        <w:tc>
          <w:tcPr>
            <w:tcW w:w="613" w:type="dxa"/>
            <w:noWrap/>
            <w:hideMark/>
          </w:tcPr>
          <w:p w14:paraId="349FA3A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33</w:t>
            </w:r>
          </w:p>
        </w:tc>
        <w:tc>
          <w:tcPr>
            <w:tcW w:w="613" w:type="dxa"/>
            <w:noWrap/>
            <w:hideMark/>
          </w:tcPr>
          <w:p w14:paraId="6B558F6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c>
          <w:tcPr>
            <w:tcW w:w="613" w:type="dxa"/>
            <w:noWrap/>
            <w:hideMark/>
          </w:tcPr>
          <w:p w14:paraId="4C6C92C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33</w:t>
            </w:r>
          </w:p>
        </w:tc>
      </w:tr>
      <w:tr w:rsidR="00BF10A3" w:rsidRPr="00755196" w14:paraId="77D280B4" w14:textId="77777777" w:rsidTr="001F7400">
        <w:trPr>
          <w:trHeight w:val="229"/>
        </w:trPr>
        <w:tc>
          <w:tcPr>
            <w:tcW w:w="3677" w:type="dxa"/>
            <w:noWrap/>
            <w:hideMark/>
          </w:tcPr>
          <w:p w14:paraId="440650E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MEDICAL OFFICE ASSISTANT/SPECIALIST.</w:t>
            </w:r>
          </w:p>
        </w:tc>
        <w:tc>
          <w:tcPr>
            <w:tcW w:w="1527" w:type="dxa"/>
            <w:noWrap/>
            <w:hideMark/>
          </w:tcPr>
          <w:p w14:paraId="415B07B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5C44924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4DABDB72"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3,269</w:t>
            </w:r>
          </w:p>
        </w:tc>
        <w:tc>
          <w:tcPr>
            <w:tcW w:w="711" w:type="dxa"/>
            <w:noWrap/>
            <w:hideMark/>
          </w:tcPr>
          <w:p w14:paraId="550E8CB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4,546</w:t>
            </w:r>
          </w:p>
        </w:tc>
        <w:tc>
          <w:tcPr>
            <w:tcW w:w="808" w:type="dxa"/>
            <w:noWrap/>
            <w:hideMark/>
          </w:tcPr>
          <w:p w14:paraId="2A391C5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6C007FC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26,175</w:t>
            </w:r>
          </w:p>
        </w:tc>
        <w:tc>
          <w:tcPr>
            <w:tcW w:w="808" w:type="dxa"/>
            <w:noWrap/>
            <w:hideMark/>
          </w:tcPr>
          <w:p w14:paraId="6A33F20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28,290</w:t>
            </w:r>
          </w:p>
        </w:tc>
        <w:tc>
          <w:tcPr>
            <w:tcW w:w="613" w:type="dxa"/>
            <w:noWrap/>
            <w:hideMark/>
          </w:tcPr>
          <w:p w14:paraId="65D7E70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26C7E3F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39</w:t>
            </w:r>
          </w:p>
        </w:tc>
        <w:tc>
          <w:tcPr>
            <w:tcW w:w="613" w:type="dxa"/>
            <w:noWrap/>
            <w:hideMark/>
          </w:tcPr>
          <w:p w14:paraId="5D82744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w:t>
            </w:r>
          </w:p>
        </w:tc>
        <w:tc>
          <w:tcPr>
            <w:tcW w:w="613" w:type="dxa"/>
            <w:noWrap/>
            <w:hideMark/>
          </w:tcPr>
          <w:p w14:paraId="70B4461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4EF219A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c>
          <w:tcPr>
            <w:tcW w:w="613" w:type="dxa"/>
            <w:noWrap/>
            <w:hideMark/>
          </w:tcPr>
          <w:p w14:paraId="38CEFD2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38</w:t>
            </w:r>
          </w:p>
        </w:tc>
      </w:tr>
      <w:tr w:rsidR="00BF10A3" w:rsidRPr="00755196" w14:paraId="0B15C896" w14:textId="77777777" w:rsidTr="001F7400">
        <w:trPr>
          <w:trHeight w:val="229"/>
        </w:trPr>
        <w:tc>
          <w:tcPr>
            <w:tcW w:w="3677" w:type="dxa"/>
            <w:noWrap/>
            <w:hideMark/>
          </w:tcPr>
          <w:p w14:paraId="61A07AC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DENTAL ASSISTING/ASSISTANT.</w:t>
            </w:r>
          </w:p>
        </w:tc>
        <w:tc>
          <w:tcPr>
            <w:tcW w:w="1527" w:type="dxa"/>
            <w:noWrap/>
            <w:hideMark/>
          </w:tcPr>
          <w:p w14:paraId="64938BE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0B6ABB5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711" w:type="dxa"/>
            <w:noWrap/>
            <w:hideMark/>
          </w:tcPr>
          <w:p w14:paraId="18A1C8B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2,623</w:t>
            </w:r>
          </w:p>
        </w:tc>
        <w:tc>
          <w:tcPr>
            <w:tcW w:w="711" w:type="dxa"/>
            <w:noWrap/>
            <w:hideMark/>
          </w:tcPr>
          <w:p w14:paraId="119D81E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3,027</w:t>
            </w:r>
          </w:p>
        </w:tc>
        <w:tc>
          <w:tcPr>
            <w:tcW w:w="808" w:type="dxa"/>
            <w:noWrap/>
            <w:hideMark/>
          </w:tcPr>
          <w:p w14:paraId="628D2C9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5CF4AD7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22,517</w:t>
            </w:r>
          </w:p>
        </w:tc>
        <w:tc>
          <w:tcPr>
            <w:tcW w:w="808" w:type="dxa"/>
            <w:noWrap/>
            <w:hideMark/>
          </w:tcPr>
          <w:p w14:paraId="31AF9DC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20,743</w:t>
            </w:r>
          </w:p>
        </w:tc>
        <w:tc>
          <w:tcPr>
            <w:tcW w:w="613" w:type="dxa"/>
            <w:noWrap/>
            <w:hideMark/>
          </w:tcPr>
          <w:p w14:paraId="394586B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3B4DA14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c>
          <w:tcPr>
            <w:tcW w:w="613" w:type="dxa"/>
            <w:noWrap/>
            <w:hideMark/>
          </w:tcPr>
          <w:p w14:paraId="2C31CEC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15</w:t>
            </w:r>
          </w:p>
        </w:tc>
        <w:tc>
          <w:tcPr>
            <w:tcW w:w="613" w:type="dxa"/>
            <w:noWrap/>
            <w:hideMark/>
          </w:tcPr>
          <w:p w14:paraId="0DD59C6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56DDF089"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w:t>
            </w:r>
          </w:p>
        </w:tc>
        <w:tc>
          <w:tcPr>
            <w:tcW w:w="613" w:type="dxa"/>
            <w:noWrap/>
            <w:hideMark/>
          </w:tcPr>
          <w:p w14:paraId="1B619EC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32</w:t>
            </w:r>
          </w:p>
        </w:tc>
      </w:tr>
      <w:tr w:rsidR="00BF10A3" w:rsidRPr="00755196" w14:paraId="2FCBD0E0" w14:textId="77777777" w:rsidTr="001F7400">
        <w:trPr>
          <w:trHeight w:val="229"/>
        </w:trPr>
        <w:tc>
          <w:tcPr>
            <w:tcW w:w="3677" w:type="dxa"/>
            <w:noWrap/>
            <w:hideMark/>
          </w:tcPr>
          <w:p w14:paraId="5DBCD91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GRAPHIC DESIGN.</w:t>
            </w:r>
          </w:p>
        </w:tc>
        <w:tc>
          <w:tcPr>
            <w:tcW w:w="1527" w:type="dxa"/>
            <w:noWrap/>
            <w:hideMark/>
          </w:tcPr>
          <w:p w14:paraId="30E2175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Bachelor's</w:t>
            </w:r>
          </w:p>
        </w:tc>
        <w:tc>
          <w:tcPr>
            <w:tcW w:w="823" w:type="dxa"/>
            <w:noWrap/>
            <w:hideMark/>
          </w:tcPr>
          <w:p w14:paraId="6CA603F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1,114</w:t>
            </w:r>
          </w:p>
        </w:tc>
        <w:tc>
          <w:tcPr>
            <w:tcW w:w="711" w:type="dxa"/>
            <w:noWrap/>
            <w:hideMark/>
          </w:tcPr>
          <w:p w14:paraId="37F451F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2,035</w:t>
            </w:r>
          </w:p>
        </w:tc>
        <w:tc>
          <w:tcPr>
            <w:tcW w:w="711" w:type="dxa"/>
            <w:noWrap/>
            <w:hideMark/>
          </w:tcPr>
          <w:p w14:paraId="32F91BA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3,086</w:t>
            </w:r>
          </w:p>
        </w:tc>
        <w:tc>
          <w:tcPr>
            <w:tcW w:w="808" w:type="dxa"/>
            <w:noWrap/>
            <w:hideMark/>
          </w:tcPr>
          <w:p w14:paraId="19A725A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21,325</w:t>
            </w:r>
          </w:p>
        </w:tc>
        <w:tc>
          <w:tcPr>
            <w:tcW w:w="808" w:type="dxa"/>
            <w:noWrap/>
            <w:hideMark/>
          </w:tcPr>
          <w:p w14:paraId="3C5CF3F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23,722</w:t>
            </w:r>
          </w:p>
        </w:tc>
        <w:tc>
          <w:tcPr>
            <w:tcW w:w="808" w:type="dxa"/>
            <w:noWrap/>
            <w:hideMark/>
          </w:tcPr>
          <w:p w14:paraId="5507A18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19,191</w:t>
            </w:r>
          </w:p>
        </w:tc>
        <w:tc>
          <w:tcPr>
            <w:tcW w:w="613" w:type="dxa"/>
            <w:noWrap/>
            <w:hideMark/>
          </w:tcPr>
          <w:p w14:paraId="20CC48E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16</w:t>
            </w:r>
          </w:p>
        </w:tc>
        <w:tc>
          <w:tcPr>
            <w:tcW w:w="613" w:type="dxa"/>
            <w:noWrap/>
            <w:hideMark/>
          </w:tcPr>
          <w:p w14:paraId="58159AB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c>
          <w:tcPr>
            <w:tcW w:w="613" w:type="dxa"/>
            <w:noWrap/>
            <w:hideMark/>
          </w:tcPr>
          <w:p w14:paraId="4FDE0FD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15</w:t>
            </w:r>
          </w:p>
        </w:tc>
        <w:tc>
          <w:tcPr>
            <w:tcW w:w="613" w:type="dxa"/>
            <w:noWrap/>
            <w:hideMark/>
          </w:tcPr>
          <w:p w14:paraId="15117F8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12</w:t>
            </w:r>
          </w:p>
        </w:tc>
        <w:tc>
          <w:tcPr>
            <w:tcW w:w="613" w:type="dxa"/>
            <w:noWrap/>
            <w:hideMark/>
          </w:tcPr>
          <w:p w14:paraId="5B55ECC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w:t>
            </w:r>
          </w:p>
        </w:tc>
        <w:tc>
          <w:tcPr>
            <w:tcW w:w="613" w:type="dxa"/>
            <w:noWrap/>
            <w:hideMark/>
          </w:tcPr>
          <w:p w14:paraId="0A6A6C5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w:t>
            </w:r>
          </w:p>
        </w:tc>
      </w:tr>
      <w:tr w:rsidR="00BF10A3" w:rsidRPr="00755196" w14:paraId="7D5CACA7" w14:textId="77777777" w:rsidTr="001F7400">
        <w:trPr>
          <w:trHeight w:val="229"/>
        </w:trPr>
        <w:tc>
          <w:tcPr>
            <w:tcW w:w="3677" w:type="dxa"/>
            <w:noWrap/>
            <w:hideMark/>
          </w:tcPr>
          <w:p w14:paraId="3918F7D8"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HEATING, AIR CONDITIONING, VENTILATION AND REFRIGERATION MAINTENANCE TECHNOLOGY/TECHNICIAN (HAC, HACR, HVAC, HVACR).</w:t>
            </w:r>
          </w:p>
        </w:tc>
        <w:tc>
          <w:tcPr>
            <w:tcW w:w="1527" w:type="dxa"/>
            <w:noWrap/>
            <w:hideMark/>
          </w:tcPr>
          <w:p w14:paraId="0DE8E47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3A91C8F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2,154</w:t>
            </w:r>
          </w:p>
        </w:tc>
        <w:tc>
          <w:tcPr>
            <w:tcW w:w="711" w:type="dxa"/>
            <w:noWrap/>
            <w:hideMark/>
          </w:tcPr>
          <w:p w14:paraId="05D8028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2,478</w:t>
            </w:r>
          </w:p>
        </w:tc>
        <w:tc>
          <w:tcPr>
            <w:tcW w:w="711" w:type="dxa"/>
            <w:noWrap/>
            <w:hideMark/>
          </w:tcPr>
          <w:p w14:paraId="4AE6ABF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808" w:type="dxa"/>
            <w:noWrap/>
            <w:hideMark/>
          </w:tcPr>
          <w:p w14:paraId="0E612823"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41,023</w:t>
            </w:r>
          </w:p>
        </w:tc>
        <w:tc>
          <w:tcPr>
            <w:tcW w:w="808" w:type="dxa"/>
            <w:noWrap/>
            <w:hideMark/>
          </w:tcPr>
          <w:p w14:paraId="404D79AB"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25,676</w:t>
            </w:r>
          </w:p>
        </w:tc>
        <w:tc>
          <w:tcPr>
            <w:tcW w:w="808" w:type="dxa"/>
            <w:noWrap/>
            <w:hideMark/>
          </w:tcPr>
          <w:p w14:paraId="77415C6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2181C51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w:t>
            </w:r>
          </w:p>
        </w:tc>
        <w:tc>
          <w:tcPr>
            <w:tcW w:w="613" w:type="dxa"/>
            <w:noWrap/>
            <w:hideMark/>
          </w:tcPr>
          <w:p w14:paraId="0A73B52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c>
          <w:tcPr>
            <w:tcW w:w="613" w:type="dxa"/>
            <w:noWrap/>
            <w:hideMark/>
          </w:tcPr>
          <w:p w14:paraId="13F8E41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c>
          <w:tcPr>
            <w:tcW w:w="613" w:type="dxa"/>
            <w:noWrap/>
            <w:hideMark/>
          </w:tcPr>
          <w:p w14:paraId="4E543C0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20</w:t>
            </w:r>
          </w:p>
        </w:tc>
        <w:tc>
          <w:tcPr>
            <w:tcW w:w="613" w:type="dxa"/>
            <w:noWrap/>
            <w:hideMark/>
          </w:tcPr>
          <w:p w14:paraId="108F85F4"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28</w:t>
            </w:r>
          </w:p>
        </w:tc>
        <w:tc>
          <w:tcPr>
            <w:tcW w:w="613" w:type="dxa"/>
            <w:noWrap/>
            <w:hideMark/>
          </w:tcPr>
          <w:p w14:paraId="6D1297F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 </w:t>
            </w:r>
          </w:p>
        </w:tc>
      </w:tr>
      <w:tr w:rsidR="00BF10A3" w:rsidRPr="00755196" w14:paraId="158BEF5E" w14:textId="77777777" w:rsidTr="001F7400">
        <w:trPr>
          <w:trHeight w:val="229"/>
        </w:trPr>
        <w:tc>
          <w:tcPr>
            <w:tcW w:w="3677" w:type="dxa"/>
            <w:noWrap/>
            <w:hideMark/>
          </w:tcPr>
          <w:p w14:paraId="67587F4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MEDICAL INSURANCE CODING SPECIALIST/CODER.</w:t>
            </w:r>
          </w:p>
        </w:tc>
        <w:tc>
          <w:tcPr>
            <w:tcW w:w="1527" w:type="dxa"/>
            <w:noWrap/>
            <w:hideMark/>
          </w:tcPr>
          <w:p w14:paraId="49177CF7"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Certificate</w:t>
            </w:r>
          </w:p>
        </w:tc>
        <w:tc>
          <w:tcPr>
            <w:tcW w:w="823" w:type="dxa"/>
            <w:noWrap/>
            <w:hideMark/>
          </w:tcPr>
          <w:p w14:paraId="2521F616"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2,659</w:t>
            </w:r>
          </w:p>
        </w:tc>
        <w:tc>
          <w:tcPr>
            <w:tcW w:w="711" w:type="dxa"/>
            <w:noWrap/>
            <w:hideMark/>
          </w:tcPr>
          <w:p w14:paraId="22EA621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3,033</w:t>
            </w:r>
          </w:p>
        </w:tc>
        <w:tc>
          <w:tcPr>
            <w:tcW w:w="711" w:type="dxa"/>
            <w:noWrap/>
            <w:hideMark/>
          </w:tcPr>
          <w:p w14:paraId="14C2CE40"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3,898</w:t>
            </w:r>
          </w:p>
        </w:tc>
        <w:tc>
          <w:tcPr>
            <w:tcW w:w="808" w:type="dxa"/>
            <w:noWrap/>
            <w:hideMark/>
          </w:tcPr>
          <w:p w14:paraId="106F2D51"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34,788</w:t>
            </w:r>
          </w:p>
        </w:tc>
        <w:tc>
          <w:tcPr>
            <w:tcW w:w="808" w:type="dxa"/>
            <w:noWrap/>
            <w:hideMark/>
          </w:tcPr>
          <w:p w14:paraId="142A3B85"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27,684</w:t>
            </w:r>
          </w:p>
        </w:tc>
        <w:tc>
          <w:tcPr>
            <w:tcW w:w="808" w:type="dxa"/>
            <w:noWrap/>
            <w:hideMark/>
          </w:tcPr>
          <w:p w14:paraId="333A0E8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26,297</w:t>
            </w:r>
          </w:p>
        </w:tc>
        <w:tc>
          <w:tcPr>
            <w:tcW w:w="613" w:type="dxa"/>
            <w:noWrap/>
            <w:hideMark/>
          </w:tcPr>
          <w:p w14:paraId="554CD14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56</w:t>
            </w:r>
          </w:p>
        </w:tc>
        <w:tc>
          <w:tcPr>
            <w:tcW w:w="613" w:type="dxa"/>
            <w:noWrap/>
            <w:hideMark/>
          </w:tcPr>
          <w:p w14:paraId="7F06328A"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45</w:t>
            </w:r>
          </w:p>
        </w:tc>
        <w:tc>
          <w:tcPr>
            <w:tcW w:w="613" w:type="dxa"/>
            <w:noWrap/>
            <w:hideMark/>
          </w:tcPr>
          <w:p w14:paraId="2BCDC17C"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42</w:t>
            </w:r>
          </w:p>
        </w:tc>
        <w:tc>
          <w:tcPr>
            <w:tcW w:w="613" w:type="dxa"/>
            <w:noWrap/>
            <w:hideMark/>
          </w:tcPr>
          <w:p w14:paraId="0F84745D"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8</w:t>
            </w:r>
          </w:p>
        </w:tc>
        <w:tc>
          <w:tcPr>
            <w:tcW w:w="613" w:type="dxa"/>
            <w:noWrap/>
            <w:hideMark/>
          </w:tcPr>
          <w:p w14:paraId="6770BDBE"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19</w:t>
            </w:r>
          </w:p>
        </w:tc>
        <w:tc>
          <w:tcPr>
            <w:tcW w:w="613" w:type="dxa"/>
            <w:noWrap/>
            <w:hideMark/>
          </w:tcPr>
          <w:p w14:paraId="6B2C176F" w14:textId="77777777" w:rsidR="00BF10A3" w:rsidRPr="00755196" w:rsidRDefault="00BF10A3" w:rsidP="001F7400">
            <w:pPr>
              <w:rPr>
                <w:rFonts w:ascii="Courier New" w:eastAsiaTheme="minorHAnsi" w:hAnsi="Courier New" w:cstheme="minorBidi"/>
                <w:sz w:val="16"/>
              </w:rPr>
            </w:pPr>
            <w:r w:rsidRPr="00755196">
              <w:rPr>
                <w:rFonts w:ascii="Courier New" w:eastAsiaTheme="minorHAnsi" w:hAnsi="Courier New" w:cstheme="minorBidi"/>
                <w:sz w:val="16"/>
              </w:rPr>
              <w:t>21</w:t>
            </w:r>
          </w:p>
        </w:tc>
      </w:tr>
      <w:tr w:rsidR="00BF10A3" w:rsidRPr="00755196" w14:paraId="3916DE76" w14:textId="77777777" w:rsidTr="001F7400">
        <w:trPr>
          <w:trHeight w:val="229"/>
        </w:trPr>
        <w:tc>
          <w:tcPr>
            <w:tcW w:w="3677" w:type="dxa"/>
            <w:noWrap/>
            <w:hideMark/>
          </w:tcPr>
          <w:p w14:paraId="346AAE29"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All others</w:t>
            </w:r>
          </w:p>
        </w:tc>
        <w:tc>
          <w:tcPr>
            <w:tcW w:w="1527" w:type="dxa"/>
            <w:noWrap/>
            <w:hideMark/>
          </w:tcPr>
          <w:p w14:paraId="7BA81988"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 </w:t>
            </w:r>
          </w:p>
        </w:tc>
        <w:tc>
          <w:tcPr>
            <w:tcW w:w="823" w:type="dxa"/>
            <w:noWrap/>
            <w:hideMark/>
          </w:tcPr>
          <w:p w14:paraId="7AE870E9"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1,373</w:t>
            </w:r>
          </w:p>
        </w:tc>
        <w:tc>
          <w:tcPr>
            <w:tcW w:w="711" w:type="dxa"/>
            <w:noWrap/>
            <w:hideMark/>
          </w:tcPr>
          <w:p w14:paraId="42409A3F"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1,911</w:t>
            </w:r>
          </w:p>
        </w:tc>
        <w:tc>
          <w:tcPr>
            <w:tcW w:w="711" w:type="dxa"/>
            <w:noWrap/>
            <w:hideMark/>
          </w:tcPr>
          <w:p w14:paraId="436A499D"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3,742</w:t>
            </w:r>
          </w:p>
        </w:tc>
        <w:tc>
          <w:tcPr>
            <w:tcW w:w="808" w:type="dxa"/>
            <w:noWrap/>
            <w:hideMark/>
          </w:tcPr>
          <w:p w14:paraId="5F96E6FF"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34,034</w:t>
            </w:r>
          </w:p>
        </w:tc>
        <w:tc>
          <w:tcPr>
            <w:tcW w:w="808" w:type="dxa"/>
            <w:noWrap/>
            <w:hideMark/>
          </w:tcPr>
          <w:p w14:paraId="3B28B21C"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19,083</w:t>
            </w:r>
          </w:p>
        </w:tc>
        <w:tc>
          <w:tcPr>
            <w:tcW w:w="808" w:type="dxa"/>
            <w:noWrap/>
            <w:hideMark/>
          </w:tcPr>
          <w:p w14:paraId="23459E1C"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20,926</w:t>
            </w:r>
          </w:p>
        </w:tc>
        <w:tc>
          <w:tcPr>
            <w:tcW w:w="613" w:type="dxa"/>
            <w:noWrap/>
            <w:hideMark/>
          </w:tcPr>
          <w:p w14:paraId="40CF6C04"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46</w:t>
            </w:r>
          </w:p>
        </w:tc>
        <w:tc>
          <w:tcPr>
            <w:tcW w:w="613" w:type="dxa"/>
            <w:noWrap/>
            <w:hideMark/>
          </w:tcPr>
          <w:p w14:paraId="706FB91B"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36</w:t>
            </w:r>
          </w:p>
        </w:tc>
        <w:tc>
          <w:tcPr>
            <w:tcW w:w="613" w:type="dxa"/>
            <w:noWrap/>
            <w:hideMark/>
          </w:tcPr>
          <w:p w14:paraId="091D30FB"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34</w:t>
            </w:r>
          </w:p>
        </w:tc>
        <w:tc>
          <w:tcPr>
            <w:tcW w:w="613" w:type="dxa"/>
            <w:noWrap/>
            <w:hideMark/>
          </w:tcPr>
          <w:p w14:paraId="3FECBD83"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19</w:t>
            </w:r>
          </w:p>
        </w:tc>
        <w:tc>
          <w:tcPr>
            <w:tcW w:w="613" w:type="dxa"/>
            <w:noWrap/>
            <w:hideMark/>
          </w:tcPr>
          <w:p w14:paraId="782F2A7F"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24</w:t>
            </w:r>
          </w:p>
        </w:tc>
        <w:tc>
          <w:tcPr>
            <w:tcW w:w="613" w:type="dxa"/>
            <w:noWrap/>
            <w:hideMark/>
          </w:tcPr>
          <w:p w14:paraId="447E3728" w14:textId="77777777" w:rsidR="00BF10A3" w:rsidRPr="00755196" w:rsidRDefault="00BF10A3" w:rsidP="001F7400">
            <w:pPr>
              <w:rPr>
                <w:rFonts w:ascii="Courier New" w:eastAsiaTheme="minorHAnsi" w:hAnsi="Courier New" w:cstheme="minorBidi"/>
                <w:b/>
                <w:sz w:val="16"/>
              </w:rPr>
            </w:pPr>
            <w:r w:rsidRPr="00755196">
              <w:rPr>
                <w:rFonts w:ascii="Courier New" w:eastAsiaTheme="minorHAnsi" w:hAnsi="Courier New" w:cstheme="minorBidi"/>
                <w:b/>
                <w:sz w:val="16"/>
              </w:rPr>
              <w:t>24</w:t>
            </w:r>
          </w:p>
        </w:tc>
      </w:tr>
    </w:tbl>
    <w:p w14:paraId="3D61220B" w14:textId="77777777" w:rsidR="00BF10A3" w:rsidRPr="00EB56C0" w:rsidRDefault="00BF10A3" w:rsidP="00BF10A3">
      <w:pPr>
        <w:rPr>
          <w:rFonts w:ascii="Courier New" w:eastAsiaTheme="minorHAnsi" w:hAnsi="Courier New" w:cstheme="minorBidi"/>
          <w:sz w:val="16"/>
        </w:rPr>
        <w:sectPr w:rsidR="00BF10A3" w:rsidRPr="00EB56C0" w:rsidSect="00F43A22">
          <w:pgSz w:w="15840" w:h="12240" w:orient="landscape"/>
          <w:pgMar w:top="1440" w:right="1440" w:bottom="1440" w:left="1440" w:header="720" w:footer="720" w:gutter="0"/>
          <w:cols w:space="720"/>
          <w:docGrid w:linePitch="360"/>
        </w:sectPr>
      </w:pPr>
      <w:r>
        <w:rPr>
          <w:rFonts w:ascii="Courier New" w:hAnsi="Courier New" w:cs="Courier New"/>
          <w:sz w:val="24"/>
          <w:szCs w:val="24"/>
        </w:rPr>
        <w:br w:type="page"/>
      </w:r>
    </w:p>
    <w:p w14:paraId="5263DD4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2.29 provides the average program annual loan payment (weighted by the number of students completing a program), the average program earnings (weighted by the number of students completing a program), the average default rate (weighted by the number of applicable borrowers), and the average repayment rate (weighted by the number of applicable borrowers) for the most frequent types of programs that were failing or in the zone (by enrollment count). </w:t>
      </w:r>
    </w:p>
    <w:p w14:paraId="5C2CF277"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2.30: Program Results by Institution</w:t>
      </w:r>
      <w:r w:rsidRPr="00AA6DFD">
        <w:rPr>
          <w:rStyle w:val="FootnoteReference"/>
          <w:rFonts w:ascii="Courier New" w:hAnsi="Courier New" w:cs="Courier New"/>
          <w:b/>
          <w:sz w:val="24"/>
          <w:szCs w:val="24"/>
        </w:rPr>
        <w:footnoteReference w:id="329"/>
      </w:r>
      <w:r w:rsidRPr="00AA6DFD">
        <w:rPr>
          <w:rFonts w:ascii="Courier New" w:hAnsi="Courier New" w:cs="Courier New"/>
          <w:b/>
          <w:sz w:val="24"/>
          <w:szCs w:val="24"/>
        </w:rPr>
        <w:t xml:space="preserve"> in the 2012 GE Informational Rates Sample</w:t>
      </w:r>
    </w:p>
    <w:p w14:paraId="435E9ADE" w14:textId="77777777" w:rsidR="00BF10A3" w:rsidRPr="00AA6DFD" w:rsidRDefault="00BF10A3" w:rsidP="00BF10A3">
      <w:pPr>
        <w:spacing w:after="0" w:line="240" w:lineRule="auto"/>
        <w:rPr>
          <w:rFonts w:ascii="Courier New" w:hAnsi="Courier New" w:cs="Courier New"/>
          <w:sz w:val="24"/>
          <w:szCs w:val="24"/>
        </w:rPr>
      </w:pPr>
    </w:p>
    <w:p w14:paraId="1F68161C" w14:textId="77777777" w:rsidR="00BF10A3" w:rsidRPr="00AA6DFD" w:rsidRDefault="00BF10A3" w:rsidP="00BF10A3">
      <w:pPr>
        <w:spacing w:after="0" w:line="480" w:lineRule="auto"/>
        <w:rPr>
          <w:rFonts w:ascii="Courier New" w:hAnsi="Courier New" w:cs="Courier New"/>
          <w:sz w:val="24"/>
          <w:szCs w:val="24"/>
        </w:rPr>
      </w:pPr>
      <w:r>
        <w:rPr>
          <w:noProof/>
        </w:rPr>
        <w:drawing>
          <wp:inline distT="0" distB="0" distL="0" distR="0" wp14:anchorId="465BA33E" wp14:editId="44925B83">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724F361"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Table 2.30 illus</w:t>
      </w:r>
      <w:r>
        <w:rPr>
          <w:rFonts w:ascii="Courier New" w:hAnsi="Courier New" w:cs="Courier New"/>
          <w:sz w:val="24"/>
          <w:szCs w:val="24"/>
        </w:rPr>
        <w:t xml:space="preserve">trates that a large majority of </w:t>
      </w:r>
      <w:r w:rsidRPr="00AA6DFD">
        <w:rPr>
          <w:rFonts w:ascii="Courier New" w:hAnsi="Courier New" w:cs="Courier New"/>
          <w:sz w:val="24"/>
          <w:szCs w:val="24"/>
        </w:rPr>
        <w:t>institutions in the 2012 GE informational D/E rates sample have all passing programs.</w:t>
      </w:r>
    </w:p>
    <w:p w14:paraId="5F99CDD1"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2.31: Concentration of Zone and Failing Programs by Institution</w:t>
      </w:r>
      <w:r w:rsidRPr="00AA6DFD">
        <w:rPr>
          <w:rStyle w:val="FootnoteReference"/>
          <w:rFonts w:ascii="Courier New" w:hAnsi="Courier New" w:cs="Courier New"/>
          <w:b/>
          <w:sz w:val="24"/>
          <w:szCs w:val="24"/>
        </w:rPr>
        <w:footnoteReference w:id="330"/>
      </w:r>
      <w:r w:rsidRPr="00AA6DFD">
        <w:rPr>
          <w:rFonts w:ascii="Courier New" w:hAnsi="Courier New" w:cs="Courier New"/>
          <w:b/>
          <w:sz w:val="24"/>
          <w:szCs w:val="24"/>
        </w:rPr>
        <w:t xml:space="preserve"> in 2012 GE Informational D/E Rates Sample</w:t>
      </w:r>
    </w:p>
    <w:p w14:paraId="2A79B540" w14:textId="77777777" w:rsidR="00BF10A3" w:rsidRPr="00AA6DFD" w:rsidRDefault="00BF10A3" w:rsidP="00BF10A3">
      <w:pPr>
        <w:spacing w:after="0" w:line="240" w:lineRule="auto"/>
        <w:rPr>
          <w:rFonts w:ascii="Courier New" w:hAnsi="Courier New" w:cs="Courier New"/>
          <w:b/>
          <w:sz w:val="24"/>
          <w:szCs w:val="24"/>
        </w:rPr>
      </w:pPr>
    </w:p>
    <w:p w14:paraId="1A2B286D" w14:textId="77777777" w:rsidR="00BF10A3" w:rsidRPr="00AA6DFD" w:rsidRDefault="00BF10A3" w:rsidP="00BF10A3">
      <w:pPr>
        <w:spacing w:after="0" w:line="480" w:lineRule="auto"/>
        <w:rPr>
          <w:rFonts w:ascii="Courier New" w:hAnsi="Courier New" w:cs="Courier New"/>
          <w:sz w:val="24"/>
          <w:szCs w:val="24"/>
        </w:rPr>
      </w:pPr>
      <w:r>
        <w:rPr>
          <w:noProof/>
        </w:rPr>
        <w:drawing>
          <wp:inline distT="0" distB="0" distL="0" distR="0" wp14:anchorId="3DCD9033" wp14:editId="1221C5AE">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04BA9EB7"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Table 2.31 illustrates that most of the zone and failing programs in the 2012 GE informational D/E rates sample are concentrated in a small number of institutions.</w:t>
      </w:r>
    </w:p>
    <w:p w14:paraId="0667800A" w14:textId="77777777" w:rsidR="00BF10A3" w:rsidRPr="00AA6DFD" w:rsidRDefault="00BF10A3" w:rsidP="00BF10A3">
      <w:pPr>
        <w:keepNext/>
        <w:spacing w:after="0" w:line="240" w:lineRule="auto"/>
        <w:rPr>
          <w:rFonts w:ascii="Courier New" w:hAnsi="Courier New" w:cs="Courier New"/>
          <w:b/>
          <w:sz w:val="24"/>
          <w:szCs w:val="24"/>
        </w:rPr>
      </w:pPr>
      <w:r w:rsidRPr="00AA6DFD">
        <w:rPr>
          <w:rFonts w:ascii="Courier New" w:hAnsi="Courier New" w:cs="Courier New"/>
          <w:b/>
          <w:sz w:val="24"/>
          <w:szCs w:val="24"/>
        </w:rPr>
        <w:t>Table 2.32: Concentration of Enrollment in Zone and Failing Programs by Institution</w:t>
      </w:r>
      <w:r w:rsidRPr="00AA6DFD">
        <w:rPr>
          <w:rStyle w:val="FootnoteReference"/>
          <w:rFonts w:ascii="Courier New" w:hAnsi="Courier New" w:cs="Courier New"/>
          <w:b/>
          <w:sz w:val="24"/>
          <w:szCs w:val="24"/>
        </w:rPr>
        <w:footnoteReference w:id="331"/>
      </w:r>
      <w:r w:rsidRPr="00AA6DFD">
        <w:rPr>
          <w:rFonts w:ascii="Courier New" w:hAnsi="Courier New" w:cs="Courier New"/>
          <w:b/>
          <w:sz w:val="24"/>
          <w:szCs w:val="24"/>
        </w:rPr>
        <w:t xml:space="preserve"> in 2012 GE Informational D/E Rates Sample</w:t>
      </w:r>
    </w:p>
    <w:p w14:paraId="4BA7C3E4" w14:textId="77777777" w:rsidR="00BF10A3" w:rsidRPr="00AA6DFD" w:rsidRDefault="00BF10A3" w:rsidP="00BF10A3">
      <w:pPr>
        <w:keepNext/>
        <w:spacing w:after="0" w:line="240" w:lineRule="auto"/>
        <w:rPr>
          <w:rFonts w:ascii="Courier New" w:hAnsi="Courier New" w:cs="Courier New"/>
          <w:b/>
          <w:sz w:val="24"/>
          <w:szCs w:val="24"/>
        </w:rPr>
      </w:pPr>
    </w:p>
    <w:p w14:paraId="7E12EDDF" w14:textId="77777777" w:rsidR="00BF10A3" w:rsidRPr="00AA6DFD" w:rsidRDefault="00BF10A3" w:rsidP="00BF10A3">
      <w:pPr>
        <w:keepNext/>
        <w:spacing w:after="0" w:line="480" w:lineRule="auto"/>
        <w:rPr>
          <w:rFonts w:ascii="Courier New" w:hAnsi="Courier New" w:cs="Courier New"/>
          <w:sz w:val="24"/>
          <w:szCs w:val="24"/>
        </w:rPr>
      </w:pPr>
      <w:r>
        <w:rPr>
          <w:noProof/>
        </w:rPr>
        <w:drawing>
          <wp:inline distT="0" distB="0" distL="0" distR="0" wp14:anchorId="34A94CD3" wp14:editId="5DF4FF5C">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373C815E"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Table 2.32 illustrates that most of the enrollment in zone and failing programs in the 2012 GE informational D/E rates sample are concentrated in a small number of institutions.</w:t>
      </w:r>
    </w:p>
    <w:p w14:paraId="273BC8A5" w14:textId="77777777" w:rsidR="00BF10A3" w:rsidRPr="00F43746"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response to the NPRM, analysis submitted by a commenter used data from the 2012 IPEDS files to construct a data set of 13,426 certificate programs, 9,993 associate </w:t>
      </w:r>
      <w:r>
        <w:rPr>
          <w:rFonts w:ascii="Courier New" w:hAnsi="Courier New" w:cs="Courier New"/>
          <w:sz w:val="24"/>
          <w:szCs w:val="24"/>
        </w:rPr>
        <w:t xml:space="preserve">degree </w:t>
      </w:r>
      <w:r w:rsidRPr="00AA6DFD">
        <w:rPr>
          <w:rFonts w:ascii="Courier New" w:hAnsi="Courier New" w:cs="Courier New"/>
          <w:sz w:val="24"/>
          <w:szCs w:val="24"/>
        </w:rPr>
        <w:t xml:space="preserve">programs, and 5,402 bachelor’s </w:t>
      </w:r>
      <w:r>
        <w:rPr>
          <w:rFonts w:ascii="Courier New" w:hAnsi="Courier New" w:cs="Courier New"/>
          <w:sz w:val="24"/>
          <w:szCs w:val="24"/>
        </w:rPr>
        <w:t xml:space="preserve">degree </w:t>
      </w:r>
      <w:r w:rsidRPr="00AA6DFD">
        <w:rPr>
          <w:rFonts w:ascii="Courier New" w:hAnsi="Courier New" w:cs="Courier New"/>
          <w:sz w:val="24"/>
          <w:szCs w:val="24"/>
        </w:rPr>
        <w:t>programs at for-profit institutions and identified physical locations with alternatives within the same credential level and similar CIP codes.</w:t>
      </w:r>
      <w:r>
        <w:rPr>
          <w:rStyle w:val="FootnoteReference"/>
          <w:rFonts w:ascii="Courier New" w:hAnsi="Courier New"/>
          <w:sz w:val="24"/>
          <w:szCs w:val="24"/>
        </w:rPr>
        <w:footnoteReference w:id="332"/>
      </w:r>
      <w:r w:rsidRPr="00AA6DFD">
        <w:rPr>
          <w:rFonts w:ascii="Courier New" w:hAnsi="Courier New" w:cs="Courier New"/>
          <w:sz w:val="24"/>
          <w:szCs w:val="24"/>
        </w:rPr>
        <w:t xml:space="preserve">  Programs were defined by six-digit CIP code and program length and the IPEDS unit identifier to represent a campus location.  Programs that were online only were excluded from the analysis.  Substitute programs were defined in a variety of ways: (1) programs at the same for-profit institution within the same credential level and a similar CIP code (four-digit and two-digit CIP codes analyzed); (2) programs at for-profit institutions within the same credential level, similar CIP code, and same five-digit</w:t>
      </w:r>
      <w:r>
        <w:rPr>
          <w:rFonts w:ascii="Courier New" w:hAnsi="Courier New" w:cs="Courier New"/>
          <w:sz w:val="24"/>
          <w:szCs w:val="24"/>
        </w:rPr>
        <w:t xml:space="preserve"> z</w:t>
      </w:r>
      <w:r w:rsidRPr="00AA6DFD">
        <w:rPr>
          <w:rFonts w:ascii="Courier New" w:hAnsi="Courier New" w:cs="Courier New"/>
          <w:sz w:val="24"/>
          <w:szCs w:val="24"/>
        </w:rPr>
        <w:t xml:space="preserve">ip code or three-digit </w:t>
      </w:r>
      <w:r>
        <w:rPr>
          <w:rFonts w:ascii="Courier New" w:hAnsi="Courier New" w:cs="Courier New"/>
          <w:sz w:val="24"/>
          <w:szCs w:val="24"/>
        </w:rPr>
        <w:t>z</w:t>
      </w:r>
      <w:r w:rsidRPr="00AA6DFD">
        <w:rPr>
          <w:rFonts w:ascii="Courier New" w:hAnsi="Courier New" w:cs="Courier New"/>
          <w:sz w:val="24"/>
          <w:szCs w:val="24"/>
        </w:rPr>
        <w:t xml:space="preserve">ip code prefix; and (3) nearby programs in a similar CIP code at public or private not-for-profit institutions.  This analysis found that 26.26 percent of students enrolled in for-profit institutions have an alternative within the same 6-digit CIP code and 5-digit </w:t>
      </w:r>
      <w:r>
        <w:rPr>
          <w:rFonts w:ascii="Courier New" w:hAnsi="Courier New" w:cs="Courier New"/>
          <w:sz w:val="24"/>
          <w:szCs w:val="24"/>
        </w:rPr>
        <w:t>z</w:t>
      </w:r>
      <w:r w:rsidRPr="00AA6DFD">
        <w:rPr>
          <w:rFonts w:ascii="Courier New" w:hAnsi="Courier New" w:cs="Courier New"/>
          <w:sz w:val="24"/>
          <w:szCs w:val="24"/>
        </w:rPr>
        <w:t xml:space="preserve">ip </w:t>
      </w:r>
      <w:r w:rsidRPr="00F43746">
        <w:rPr>
          <w:rFonts w:ascii="Courier New" w:hAnsi="Courier New" w:cs="Courier New"/>
          <w:sz w:val="24"/>
          <w:szCs w:val="24"/>
        </w:rPr>
        <w:t>code and, under</w:t>
      </w:r>
      <w:r w:rsidRPr="00AA6DFD">
        <w:rPr>
          <w:rFonts w:ascii="Courier New" w:hAnsi="Courier New" w:cs="Courier New"/>
          <w:sz w:val="24"/>
          <w:szCs w:val="24"/>
        </w:rPr>
        <w:t xml:space="preserve"> the most expansive para</w:t>
      </w:r>
      <w:r>
        <w:rPr>
          <w:rFonts w:ascii="Courier New" w:hAnsi="Courier New" w:cs="Courier New"/>
          <w:sz w:val="24"/>
          <w:szCs w:val="24"/>
        </w:rPr>
        <w:t>meters of</w:t>
      </w:r>
      <w:r w:rsidRPr="00AA6DFD">
        <w:rPr>
          <w:rFonts w:ascii="Courier New" w:hAnsi="Courier New" w:cs="Courier New"/>
          <w:sz w:val="24"/>
          <w:szCs w:val="24"/>
        </w:rPr>
        <w:t xml:space="preserve"> the analysis</w:t>
      </w:r>
      <w:r>
        <w:rPr>
          <w:rFonts w:ascii="Courier New" w:hAnsi="Courier New" w:cs="Courier New"/>
          <w:sz w:val="24"/>
          <w:szCs w:val="24"/>
        </w:rPr>
        <w:t>,</w:t>
      </w:r>
      <w:r w:rsidRPr="00AA6DFD">
        <w:rPr>
          <w:rFonts w:ascii="Courier New" w:hAnsi="Courier New" w:cs="Courier New"/>
          <w:sz w:val="24"/>
          <w:szCs w:val="24"/>
        </w:rPr>
        <w:t xml:space="preserve"> that 95.78 percent of students attending for-profit institutions have at least one alternative within the same 2-digit CIP code and three-digit </w:t>
      </w:r>
      <w:r>
        <w:rPr>
          <w:rFonts w:ascii="Courier New" w:hAnsi="Courier New" w:cs="Courier New"/>
          <w:sz w:val="24"/>
          <w:szCs w:val="24"/>
        </w:rPr>
        <w:t>z</w:t>
      </w:r>
      <w:r w:rsidRPr="00AA6DFD">
        <w:rPr>
          <w:rFonts w:ascii="Courier New" w:hAnsi="Courier New" w:cs="Courier New"/>
          <w:sz w:val="24"/>
          <w:szCs w:val="24"/>
        </w:rPr>
        <w:t xml:space="preserve">ip code prefix.  The report </w:t>
      </w:r>
      <w:r>
        <w:rPr>
          <w:rFonts w:ascii="Courier New" w:hAnsi="Courier New" w:cs="Courier New"/>
          <w:sz w:val="24"/>
          <w:szCs w:val="24"/>
        </w:rPr>
        <w:t xml:space="preserve">provided </w:t>
      </w:r>
      <w:r w:rsidRPr="00AA6DFD">
        <w:rPr>
          <w:rFonts w:ascii="Courier New" w:hAnsi="Courier New" w:cs="Courier New"/>
          <w:sz w:val="24"/>
          <w:szCs w:val="24"/>
        </w:rPr>
        <w:t xml:space="preserve">that these results did not account for factors that might inhibit students from pursuing alternative programs including unwillingness to make even minor changes in locations or areas of study, a lack of qualifications or prerequisites to enter an alternative program, a lack of capacity in potential alternative programs, a lack of new programs to absorb students, and the possibility that accepting students with high debt amounts and high default potential would cause the receiving programs to fail the </w:t>
      </w:r>
      <w:r w:rsidRPr="00F43746">
        <w:rPr>
          <w:rFonts w:ascii="Courier New" w:hAnsi="Courier New" w:cs="Courier New"/>
          <w:sz w:val="24"/>
          <w:szCs w:val="24"/>
        </w:rPr>
        <w:t xml:space="preserve">accountability metrics of the regulations.  The report concluded that the Department’s estimates of students affected by the regulations who would be able to find alternative programs is overstated and, as a result, the Department underestimated the number of students who will lose access to postsecondary education as a result of the regulations. </w:t>
      </w:r>
    </w:p>
    <w:p w14:paraId="3B8D1F15" w14:textId="77777777" w:rsidR="00BF10A3" w:rsidRPr="00F43746"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We believe that the commenter’s analysis does not provide a useful assessment of transfer options because it evaluates transfer options for students in all programs rather than for those in zone and failing programs who will be most likely to seek alternatives as a result of their program’s performance under the regulations.  Further, the commenter’s analysis did not consider as transfer options programs offered via distance education, which includes many online programs.</w:t>
      </w:r>
    </w:p>
    <w:p w14:paraId="2FEE4ADC" w14:textId="77777777" w:rsidR="00BF10A3" w:rsidRPr="00AA6DFD" w:rsidRDefault="00BF10A3" w:rsidP="00BF10A3">
      <w:pPr>
        <w:spacing w:after="0" w:line="480" w:lineRule="auto"/>
        <w:ind w:firstLine="720"/>
        <w:rPr>
          <w:rFonts w:ascii="Courier New" w:hAnsi="Courier New" w:cs="Courier New"/>
          <w:sz w:val="24"/>
          <w:szCs w:val="24"/>
        </w:rPr>
      </w:pPr>
      <w:r w:rsidRPr="00F43746">
        <w:rPr>
          <w:rFonts w:ascii="Courier New" w:hAnsi="Courier New" w:cs="Courier New"/>
          <w:sz w:val="24"/>
          <w:szCs w:val="24"/>
        </w:rPr>
        <w:t>The Department conducted its own analysis to estimate the short-term transfer options that may be ava</w:t>
      </w:r>
      <w:r w:rsidRPr="00AA6DFD">
        <w:rPr>
          <w:rFonts w:ascii="Courier New" w:hAnsi="Courier New" w:cs="Courier New"/>
          <w:sz w:val="24"/>
          <w:szCs w:val="24"/>
        </w:rPr>
        <w:t xml:space="preserve">ilable to students in zone and failing programs (the Department assumes that in the long term, education markets will adjust and transfer options will change as student and employer demand </w:t>
      </w:r>
      <w:r w:rsidRPr="00B53B21">
        <w:rPr>
          <w:rFonts w:ascii="Courier New" w:hAnsi="Courier New" w:cs="Courier New"/>
          <w:sz w:val="24"/>
          <w:szCs w:val="24"/>
        </w:rPr>
        <w:t>will increase supply</w:t>
      </w:r>
      <w:r w:rsidRPr="00AA6DFD">
        <w:rPr>
          <w:rFonts w:ascii="Courier New" w:hAnsi="Courier New" w:cs="Courier New"/>
          <w:sz w:val="24"/>
          <w:szCs w:val="24"/>
        </w:rPr>
        <w:t xml:space="preserve">).  Since 2012 GE informational D/E rates data are aggregated to each unique combination of the six-digit OPEID, six-digit CIP code, and credential level we do not have precise data on geographic location.  For example, a GE program can have multiple branch locations in different cities and States.  At some of these locations, the program could be offered as an online program.  And at other locations, the program could be offered as an in-person program.  But each of these locations would present as a single program in our data set without detail regarding precise location or format.  To address this, the Department matched the 2012 GE informational </w:t>
      </w:r>
      <w:r>
        <w:rPr>
          <w:rFonts w:ascii="Courier New" w:hAnsi="Courier New" w:cs="Courier New"/>
          <w:sz w:val="24"/>
          <w:szCs w:val="24"/>
        </w:rPr>
        <w:t xml:space="preserve">D/E </w:t>
      </w:r>
      <w:r w:rsidRPr="00AA6DFD">
        <w:rPr>
          <w:rFonts w:ascii="Courier New" w:hAnsi="Courier New" w:cs="Courier New"/>
          <w:sz w:val="24"/>
          <w:szCs w:val="24"/>
        </w:rPr>
        <w:t>rate</w:t>
      </w:r>
      <w:r>
        <w:rPr>
          <w:rFonts w:ascii="Courier New" w:hAnsi="Courier New" w:cs="Courier New"/>
          <w:sz w:val="24"/>
          <w:szCs w:val="24"/>
        </w:rPr>
        <w:t>s</w:t>
      </w:r>
      <w:r w:rsidRPr="00AA6DFD">
        <w:rPr>
          <w:rFonts w:ascii="Courier New" w:hAnsi="Courier New" w:cs="Courier New"/>
          <w:sz w:val="24"/>
          <w:szCs w:val="24"/>
        </w:rPr>
        <w:t xml:space="preserve"> data with IPEDS data, which has more precise information regarding program location.  As noted </w:t>
      </w:r>
      <w:r w:rsidRPr="00F43746">
        <w:rPr>
          <w:rFonts w:ascii="Courier New" w:hAnsi="Courier New" w:cs="Courier New"/>
          <w:sz w:val="24"/>
          <w:szCs w:val="24"/>
        </w:rPr>
        <w:t>above, NSLDS and IPEDS have different reporting mechanisms and as a result, matching data from the two systems provides at best an approximation of the location of programs.</w:t>
      </w:r>
      <w:r w:rsidRPr="00AA6DFD">
        <w:rPr>
          <w:rFonts w:ascii="Courier New" w:hAnsi="Courier New" w:cs="Courier New"/>
          <w:sz w:val="24"/>
          <w:szCs w:val="24"/>
        </w:rPr>
        <w:t xml:space="preserve"> </w:t>
      </w:r>
    </w:p>
    <w:p w14:paraId="63BAB8C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order to identify geographical regions where potential transfer options may exist, we used the Core Based Statistical Area (CBSA) (or five-digit ZIP code instead if </w:t>
      </w:r>
      <w:r>
        <w:rPr>
          <w:rFonts w:ascii="Courier New" w:hAnsi="Courier New" w:cs="Courier New"/>
          <w:sz w:val="24"/>
          <w:szCs w:val="24"/>
        </w:rPr>
        <w:t xml:space="preserve">the </w:t>
      </w:r>
      <w:r w:rsidRPr="00AA6DFD">
        <w:rPr>
          <w:rFonts w:ascii="Courier New" w:hAnsi="Courier New" w:cs="Courier New"/>
          <w:sz w:val="24"/>
          <w:szCs w:val="24"/>
        </w:rPr>
        <w:t>CBSA is not applicable).  For each combination of CBSA, CIP code, and credential level, we determined the number of programs available and the number o</w:t>
      </w:r>
      <w:r>
        <w:rPr>
          <w:rFonts w:ascii="Courier New" w:hAnsi="Courier New" w:cs="Courier New"/>
          <w:sz w:val="24"/>
          <w:szCs w:val="24"/>
        </w:rPr>
        <w:t>f programs that would pass, fail</w:t>
      </w:r>
      <w:r w:rsidRPr="00AA6DFD">
        <w:rPr>
          <w:rFonts w:ascii="Courier New" w:hAnsi="Courier New" w:cs="Courier New"/>
          <w:sz w:val="24"/>
          <w:szCs w:val="24"/>
        </w:rPr>
        <w:t xml:space="preserve">, or </w:t>
      </w:r>
      <w:r>
        <w:rPr>
          <w:rFonts w:ascii="Courier New" w:hAnsi="Courier New" w:cs="Courier New"/>
          <w:sz w:val="24"/>
          <w:szCs w:val="24"/>
        </w:rPr>
        <w:t>fall</w:t>
      </w:r>
      <w:r w:rsidRPr="00AA6DFD">
        <w:rPr>
          <w:rFonts w:ascii="Courier New" w:hAnsi="Courier New" w:cs="Courier New"/>
          <w:sz w:val="24"/>
          <w:szCs w:val="24"/>
        </w:rPr>
        <w:t xml:space="preserve"> in the </w:t>
      </w:r>
      <w:r w:rsidRPr="00F43746">
        <w:rPr>
          <w:rFonts w:ascii="Courier New" w:hAnsi="Courier New" w:cs="Courier New"/>
          <w:sz w:val="24"/>
          <w:szCs w:val="24"/>
        </w:rPr>
        <w:t>zone under the D/E rates measure.  For the programs not offered by distance education identified in IPEDS corresponding to the programs in the 2012 GE informational D/E rates that would not pass the D/E rates measure, we determined whether</w:t>
      </w:r>
      <w:r w:rsidRPr="00AA6DFD">
        <w:rPr>
          <w:rFonts w:ascii="Courier New" w:hAnsi="Courier New" w:cs="Courier New"/>
          <w:sz w:val="24"/>
          <w:szCs w:val="24"/>
        </w:rPr>
        <w:t xml:space="preserve"> there were other programs in the same CBSA that had the same CIP and credential level and that </w:t>
      </w:r>
      <w:r>
        <w:rPr>
          <w:rFonts w:ascii="Courier New" w:hAnsi="Courier New" w:cs="Courier New"/>
          <w:sz w:val="24"/>
          <w:szCs w:val="24"/>
        </w:rPr>
        <w:t xml:space="preserve">would </w:t>
      </w:r>
      <w:r w:rsidRPr="00AA6DFD">
        <w:rPr>
          <w:rFonts w:ascii="Courier New" w:hAnsi="Courier New" w:cs="Courier New"/>
          <w:sz w:val="24"/>
          <w:szCs w:val="24"/>
        </w:rPr>
        <w:t xml:space="preserve">pass the D/E rates measure, </w:t>
      </w:r>
      <w:r>
        <w:rPr>
          <w:rFonts w:ascii="Courier New" w:hAnsi="Courier New" w:cs="Courier New"/>
          <w:sz w:val="24"/>
          <w:szCs w:val="24"/>
        </w:rPr>
        <w:t xml:space="preserve">would </w:t>
      </w:r>
      <w:r w:rsidRPr="00AA6DFD">
        <w:rPr>
          <w:rFonts w:ascii="Courier New" w:hAnsi="Courier New" w:cs="Courier New"/>
          <w:sz w:val="24"/>
          <w:szCs w:val="24"/>
        </w:rPr>
        <w:t xml:space="preserve">not </w:t>
      </w:r>
      <w:r>
        <w:rPr>
          <w:rFonts w:ascii="Courier New" w:hAnsi="Courier New" w:cs="Courier New"/>
          <w:sz w:val="24"/>
          <w:szCs w:val="24"/>
        </w:rPr>
        <w:t xml:space="preserve">be </w:t>
      </w:r>
      <w:r w:rsidRPr="00AA6DFD">
        <w:rPr>
          <w:rFonts w:ascii="Courier New" w:hAnsi="Courier New" w:cs="Courier New"/>
          <w:sz w:val="24"/>
          <w:szCs w:val="24"/>
        </w:rPr>
        <w:t xml:space="preserve">evaluated under the D/E rates measure (do not meet the n-size requirement), or </w:t>
      </w:r>
      <w:r>
        <w:rPr>
          <w:rFonts w:ascii="Courier New" w:hAnsi="Courier New" w:cs="Courier New"/>
          <w:sz w:val="24"/>
          <w:szCs w:val="24"/>
        </w:rPr>
        <w:t>is a non-GE program</w:t>
      </w:r>
      <w:r w:rsidRPr="00AA6DFD">
        <w:rPr>
          <w:rFonts w:ascii="Courier New" w:hAnsi="Courier New" w:cs="Courier New"/>
          <w:sz w:val="24"/>
          <w:szCs w:val="24"/>
        </w:rPr>
        <w:t xml:space="preserve"> with </w:t>
      </w:r>
      <w:r>
        <w:rPr>
          <w:rFonts w:ascii="Courier New" w:hAnsi="Courier New" w:cs="Courier New"/>
          <w:sz w:val="24"/>
          <w:szCs w:val="24"/>
        </w:rPr>
        <w:t xml:space="preserve">an </w:t>
      </w:r>
      <w:r w:rsidRPr="00AA6DFD">
        <w:rPr>
          <w:rFonts w:ascii="Courier New" w:hAnsi="Courier New" w:cs="Courier New"/>
          <w:sz w:val="24"/>
          <w:szCs w:val="24"/>
        </w:rPr>
        <w:t xml:space="preserve">open admissions policies.  </w:t>
      </w:r>
      <w:r>
        <w:rPr>
          <w:rFonts w:ascii="Courier New" w:hAnsi="Courier New" w:cs="Courier New"/>
          <w:sz w:val="24"/>
          <w:szCs w:val="24"/>
        </w:rPr>
        <w:t xml:space="preserve">We separately considered the availability of distance education </w:t>
      </w:r>
      <w:r w:rsidRPr="00AA6DFD">
        <w:rPr>
          <w:rFonts w:ascii="Courier New" w:hAnsi="Courier New" w:cs="Courier New"/>
          <w:sz w:val="24"/>
          <w:szCs w:val="24"/>
        </w:rPr>
        <w:t xml:space="preserve">programs </w:t>
      </w:r>
      <w:r>
        <w:rPr>
          <w:rFonts w:ascii="Courier New" w:hAnsi="Courier New" w:cs="Courier New"/>
          <w:sz w:val="24"/>
          <w:szCs w:val="24"/>
        </w:rPr>
        <w:t xml:space="preserve">as transfer options for students in in-person failing and zone programs in addition to in-person options.  Finally, we also analyzed whether students in distance education programs that would fail or fall in the zone under the D/E rates measure would have available other distance education programs as transfer options.    </w:t>
      </w:r>
      <w:r w:rsidRPr="00AA6DFD">
        <w:rPr>
          <w:rFonts w:ascii="Courier New" w:hAnsi="Courier New" w:cs="Courier New"/>
          <w:sz w:val="24"/>
          <w:szCs w:val="24"/>
        </w:rPr>
        <w:t xml:space="preserve">  </w:t>
      </w:r>
    </w:p>
    <w:p w14:paraId="0D4FA8DA" w14:textId="77777777" w:rsidR="00BF10A3" w:rsidRPr="0077401F" w:rsidRDefault="00BF10A3" w:rsidP="00BF10A3">
      <w:pPr>
        <w:spacing w:after="0" w:line="240" w:lineRule="auto"/>
        <w:rPr>
          <w:rFonts w:ascii="Courier New" w:hAnsi="Courier New" w:cs="Courier New"/>
          <w:b/>
          <w:sz w:val="24"/>
          <w:szCs w:val="24"/>
        </w:rPr>
      </w:pPr>
      <w:r w:rsidRPr="0077401F">
        <w:rPr>
          <w:rFonts w:ascii="Courier New" w:hAnsi="Courier New" w:cs="Courier New"/>
          <w:b/>
          <w:sz w:val="24"/>
          <w:szCs w:val="24"/>
        </w:rPr>
        <w:t>Table 2.33: Transfer options for students in zone and failing programs</w:t>
      </w:r>
    </w:p>
    <w:p w14:paraId="440D5EA7" w14:textId="77777777" w:rsidR="00BF10A3" w:rsidRPr="00385AB1" w:rsidRDefault="00BF10A3" w:rsidP="00BF10A3">
      <w:pPr>
        <w:spacing w:after="0" w:line="240" w:lineRule="auto"/>
        <w:rPr>
          <w:rFonts w:ascii="Courier New" w:eastAsiaTheme="minorHAnsi" w:hAnsi="Courier New" w:cstheme="minorBidi"/>
          <w:sz w:val="24"/>
          <w:szCs w:val="24"/>
        </w:rPr>
      </w:pPr>
    </w:p>
    <w:tbl>
      <w:tblPr>
        <w:tblStyle w:val="TableGrid13"/>
        <w:tblW w:w="0" w:type="auto"/>
        <w:tblLook w:val="04A0" w:firstRow="1" w:lastRow="0" w:firstColumn="1" w:lastColumn="0" w:noHBand="0" w:noVBand="1"/>
      </w:tblPr>
      <w:tblGrid>
        <w:gridCol w:w="2538"/>
        <w:gridCol w:w="2160"/>
        <w:gridCol w:w="2160"/>
        <w:gridCol w:w="1890"/>
      </w:tblGrid>
      <w:tr w:rsidR="00BF10A3" w:rsidRPr="00385AB1" w14:paraId="67545B3F" w14:textId="77777777" w:rsidTr="001F7400">
        <w:trPr>
          <w:trHeight w:val="2015"/>
        </w:trPr>
        <w:tc>
          <w:tcPr>
            <w:tcW w:w="2538" w:type="dxa"/>
            <w:noWrap/>
            <w:vAlign w:val="center"/>
            <w:hideMark/>
          </w:tcPr>
          <w:p w14:paraId="4FF513FE" w14:textId="77777777" w:rsidR="00BF10A3" w:rsidRPr="00385AB1" w:rsidRDefault="00BF10A3" w:rsidP="001F7400">
            <w:pPr>
              <w:jc w:val="center"/>
              <w:rPr>
                <w:rFonts w:ascii="Courier New" w:eastAsiaTheme="minorHAnsi" w:hAnsi="Courier New" w:cstheme="minorBidi"/>
                <w:b/>
                <w:sz w:val="16"/>
              </w:rPr>
            </w:pPr>
            <w:r w:rsidRPr="00385AB1">
              <w:rPr>
                <w:rFonts w:ascii="Courier New" w:eastAsiaTheme="minorHAnsi" w:hAnsi="Courier New" w:cstheme="minorBidi"/>
                <w:b/>
                <w:sz w:val="16"/>
              </w:rPr>
              <w:t>CIP code</w:t>
            </w:r>
          </w:p>
        </w:tc>
        <w:tc>
          <w:tcPr>
            <w:tcW w:w="2160" w:type="dxa"/>
            <w:vAlign w:val="center"/>
            <w:hideMark/>
          </w:tcPr>
          <w:p w14:paraId="080CE3A0" w14:textId="77777777" w:rsidR="00BF10A3" w:rsidRPr="00385AB1" w:rsidRDefault="00BF10A3" w:rsidP="001F7400">
            <w:pPr>
              <w:jc w:val="center"/>
              <w:rPr>
                <w:rFonts w:ascii="Courier New" w:eastAsiaTheme="minorHAnsi" w:hAnsi="Courier New" w:cstheme="minorBidi"/>
                <w:b/>
                <w:sz w:val="16"/>
              </w:rPr>
            </w:pPr>
            <w:r w:rsidRPr="00385AB1">
              <w:rPr>
                <w:rFonts w:ascii="Courier New" w:eastAsiaTheme="minorHAnsi" w:hAnsi="Courier New" w:cstheme="minorBidi"/>
                <w:b/>
                <w:sz w:val="16"/>
              </w:rPr>
              <w:t>Percent of enrollees in zone and failing programs not offered via distance education without transfer options (options include distance education options)</w:t>
            </w:r>
          </w:p>
        </w:tc>
        <w:tc>
          <w:tcPr>
            <w:tcW w:w="2160" w:type="dxa"/>
            <w:vAlign w:val="center"/>
            <w:hideMark/>
          </w:tcPr>
          <w:p w14:paraId="71851743" w14:textId="77777777" w:rsidR="00BF10A3" w:rsidRPr="00385AB1" w:rsidRDefault="00BF10A3" w:rsidP="001F7400">
            <w:pPr>
              <w:jc w:val="center"/>
              <w:rPr>
                <w:rFonts w:ascii="Courier New" w:eastAsiaTheme="minorHAnsi" w:hAnsi="Courier New" w:cstheme="minorBidi"/>
                <w:b/>
                <w:sz w:val="16"/>
              </w:rPr>
            </w:pPr>
            <w:r w:rsidRPr="00385AB1">
              <w:rPr>
                <w:rFonts w:ascii="Courier New" w:eastAsiaTheme="minorHAnsi" w:hAnsi="Courier New" w:cstheme="minorBidi"/>
                <w:b/>
                <w:sz w:val="16"/>
              </w:rPr>
              <w:t>Percent of enrollees in zone and failing programs not offered via distance education without transfer options (options exclude distance education options)</w:t>
            </w:r>
          </w:p>
        </w:tc>
        <w:tc>
          <w:tcPr>
            <w:tcW w:w="1890" w:type="dxa"/>
            <w:vAlign w:val="center"/>
            <w:hideMark/>
          </w:tcPr>
          <w:p w14:paraId="19DA50A4" w14:textId="77777777" w:rsidR="00BF10A3" w:rsidRPr="00385AB1" w:rsidRDefault="00BF10A3" w:rsidP="001F7400">
            <w:pPr>
              <w:jc w:val="center"/>
              <w:rPr>
                <w:rFonts w:ascii="Courier New" w:eastAsiaTheme="minorHAnsi" w:hAnsi="Courier New" w:cstheme="minorBidi"/>
                <w:b/>
                <w:sz w:val="16"/>
              </w:rPr>
            </w:pPr>
            <w:r w:rsidRPr="00385AB1">
              <w:rPr>
                <w:rFonts w:ascii="Courier New" w:eastAsiaTheme="minorHAnsi" w:hAnsi="Courier New" w:cstheme="minorBidi"/>
                <w:b/>
                <w:sz w:val="16"/>
              </w:rPr>
              <w:t>Percent of enrollees in zone and failing programs offered via distance education without transfer options (options include ONLY distance education options)</w:t>
            </w:r>
          </w:p>
        </w:tc>
      </w:tr>
      <w:tr w:rsidR="00BF10A3" w:rsidRPr="00385AB1" w14:paraId="064177BB" w14:textId="77777777" w:rsidTr="001F7400">
        <w:trPr>
          <w:trHeight w:val="620"/>
        </w:trPr>
        <w:tc>
          <w:tcPr>
            <w:tcW w:w="2538" w:type="dxa"/>
            <w:noWrap/>
            <w:vAlign w:val="center"/>
            <w:hideMark/>
          </w:tcPr>
          <w:p w14:paraId="2A3D7E84" w14:textId="77777777" w:rsidR="00BF10A3" w:rsidRPr="00385AB1" w:rsidRDefault="00BF10A3" w:rsidP="001F7400">
            <w:pPr>
              <w:rPr>
                <w:rFonts w:ascii="Courier New" w:eastAsiaTheme="minorHAnsi" w:hAnsi="Courier New" w:cstheme="minorBidi"/>
                <w:b/>
                <w:sz w:val="16"/>
              </w:rPr>
            </w:pPr>
            <w:r w:rsidRPr="00385AB1">
              <w:rPr>
                <w:rFonts w:ascii="Courier New" w:eastAsiaTheme="minorHAnsi" w:hAnsi="Courier New" w:cstheme="minorBidi"/>
                <w:b/>
                <w:sz w:val="16"/>
              </w:rPr>
              <w:t>Transfer options to the same 6-digit CIP</w:t>
            </w:r>
          </w:p>
        </w:tc>
        <w:tc>
          <w:tcPr>
            <w:tcW w:w="2160" w:type="dxa"/>
            <w:noWrap/>
            <w:vAlign w:val="center"/>
            <w:hideMark/>
          </w:tcPr>
          <w:p w14:paraId="142B66BF"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6.2%</w:t>
            </w:r>
          </w:p>
        </w:tc>
        <w:tc>
          <w:tcPr>
            <w:tcW w:w="2160" w:type="dxa"/>
            <w:noWrap/>
            <w:vAlign w:val="center"/>
            <w:hideMark/>
          </w:tcPr>
          <w:p w14:paraId="60116A3A"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32.3%</w:t>
            </w:r>
          </w:p>
        </w:tc>
        <w:tc>
          <w:tcPr>
            <w:tcW w:w="1890" w:type="dxa"/>
            <w:noWrap/>
            <w:vAlign w:val="center"/>
            <w:hideMark/>
          </w:tcPr>
          <w:p w14:paraId="17251FCB"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5.9%</w:t>
            </w:r>
          </w:p>
        </w:tc>
      </w:tr>
      <w:tr w:rsidR="00BF10A3" w:rsidRPr="00385AB1" w14:paraId="1268C1ED" w14:textId="77777777" w:rsidTr="001F7400">
        <w:trPr>
          <w:trHeight w:val="530"/>
        </w:trPr>
        <w:tc>
          <w:tcPr>
            <w:tcW w:w="2538" w:type="dxa"/>
            <w:noWrap/>
            <w:vAlign w:val="center"/>
            <w:hideMark/>
          </w:tcPr>
          <w:p w14:paraId="189AF144" w14:textId="77777777" w:rsidR="00BF10A3" w:rsidRPr="00385AB1" w:rsidRDefault="00BF10A3" w:rsidP="001F7400">
            <w:pPr>
              <w:rPr>
                <w:rFonts w:ascii="Courier New" w:eastAsiaTheme="minorHAnsi" w:hAnsi="Courier New" w:cstheme="minorBidi"/>
                <w:b/>
                <w:sz w:val="16"/>
              </w:rPr>
            </w:pPr>
            <w:r w:rsidRPr="00385AB1">
              <w:rPr>
                <w:rFonts w:ascii="Courier New" w:eastAsiaTheme="minorHAnsi" w:hAnsi="Courier New" w:cstheme="minorBidi"/>
                <w:b/>
                <w:sz w:val="16"/>
              </w:rPr>
              <w:t>Transfer options to the same 4-digit CIP</w:t>
            </w:r>
          </w:p>
        </w:tc>
        <w:tc>
          <w:tcPr>
            <w:tcW w:w="2160" w:type="dxa"/>
            <w:noWrap/>
            <w:vAlign w:val="center"/>
            <w:hideMark/>
          </w:tcPr>
          <w:p w14:paraId="0B267740"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1.0%</w:t>
            </w:r>
          </w:p>
        </w:tc>
        <w:tc>
          <w:tcPr>
            <w:tcW w:w="2160" w:type="dxa"/>
            <w:noWrap/>
            <w:vAlign w:val="center"/>
            <w:hideMark/>
          </w:tcPr>
          <w:p w14:paraId="5DB998E8"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9.8%</w:t>
            </w:r>
          </w:p>
        </w:tc>
        <w:tc>
          <w:tcPr>
            <w:tcW w:w="1890" w:type="dxa"/>
            <w:noWrap/>
            <w:vAlign w:val="center"/>
            <w:hideMark/>
          </w:tcPr>
          <w:p w14:paraId="342BE123"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1.4%</w:t>
            </w:r>
          </w:p>
        </w:tc>
      </w:tr>
      <w:tr w:rsidR="00BF10A3" w:rsidRPr="00385AB1" w14:paraId="011977FB" w14:textId="77777777" w:rsidTr="001F7400">
        <w:trPr>
          <w:trHeight w:val="530"/>
        </w:trPr>
        <w:tc>
          <w:tcPr>
            <w:tcW w:w="2538" w:type="dxa"/>
            <w:noWrap/>
            <w:vAlign w:val="center"/>
            <w:hideMark/>
          </w:tcPr>
          <w:p w14:paraId="57E45C24" w14:textId="77777777" w:rsidR="00BF10A3" w:rsidRPr="00385AB1" w:rsidRDefault="00BF10A3" w:rsidP="001F7400">
            <w:pPr>
              <w:rPr>
                <w:rFonts w:ascii="Courier New" w:eastAsiaTheme="minorHAnsi" w:hAnsi="Courier New" w:cstheme="minorBidi"/>
                <w:b/>
                <w:sz w:val="16"/>
              </w:rPr>
            </w:pPr>
            <w:r w:rsidRPr="00385AB1">
              <w:rPr>
                <w:rFonts w:ascii="Courier New" w:eastAsiaTheme="minorHAnsi" w:hAnsi="Courier New" w:cstheme="minorBidi"/>
                <w:b/>
                <w:sz w:val="16"/>
              </w:rPr>
              <w:t>Transfer options to the same 2-digit CIP</w:t>
            </w:r>
          </w:p>
        </w:tc>
        <w:tc>
          <w:tcPr>
            <w:tcW w:w="2160" w:type="dxa"/>
            <w:noWrap/>
            <w:vAlign w:val="center"/>
            <w:hideMark/>
          </w:tcPr>
          <w:p w14:paraId="6EAFB002"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0.0%</w:t>
            </w:r>
          </w:p>
        </w:tc>
        <w:tc>
          <w:tcPr>
            <w:tcW w:w="2160" w:type="dxa"/>
            <w:noWrap/>
            <w:vAlign w:val="center"/>
            <w:hideMark/>
          </w:tcPr>
          <w:p w14:paraId="6500423F"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2.1%</w:t>
            </w:r>
          </w:p>
        </w:tc>
        <w:tc>
          <w:tcPr>
            <w:tcW w:w="1890" w:type="dxa"/>
            <w:noWrap/>
            <w:vAlign w:val="center"/>
            <w:hideMark/>
          </w:tcPr>
          <w:p w14:paraId="55FA5EF3" w14:textId="77777777" w:rsidR="00BF10A3" w:rsidRPr="00385AB1" w:rsidRDefault="00BF10A3" w:rsidP="001F7400">
            <w:pPr>
              <w:jc w:val="right"/>
              <w:rPr>
                <w:rFonts w:ascii="Courier New" w:eastAsiaTheme="minorHAnsi" w:hAnsi="Courier New" w:cstheme="minorBidi"/>
                <w:sz w:val="16"/>
              </w:rPr>
            </w:pPr>
            <w:r w:rsidRPr="00385AB1">
              <w:rPr>
                <w:rFonts w:ascii="Courier New" w:eastAsiaTheme="minorHAnsi" w:hAnsi="Courier New" w:cstheme="minorBidi"/>
                <w:sz w:val="16"/>
              </w:rPr>
              <w:t>0.0%</w:t>
            </w:r>
          </w:p>
        </w:tc>
      </w:tr>
    </w:tbl>
    <w:p w14:paraId="491C9AA5" w14:textId="77777777" w:rsidR="00BF10A3" w:rsidRDefault="00BF10A3" w:rsidP="00BF10A3">
      <w:pPr>
        <w:spacing w:after="0" w:line="240" w:lineRule="auto"/>
        <w:ind w:firstLine="720"/>
        <w:rPr>
          <w:rFonts w:ascii="Courier New" w:hAnsi="Courier New" w:cs="Courier New"/>
          <w:sz w:val="24"/>
          <w:szCs w:val="24"/>
        </w:rPr>
      </w:pPr>
    </w:p>
    <w:p w14:paraId="69658A3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Our analysis indicates that, under a static scenario assuming no reaction to the regulations, about 32 percent of students in in-person zone and failing programs will not have nearby transfer options to an in-person program with the same six-digit CIP code and credential level.  This decreases to about 10 percent when in-person programs in the same four-digit CIP code are included.  When online options in the same six-digit CIP code and credential level are considered, the percentage decreases from 32 percent to about 6 percent.</w:t>
      </w:r>
      <w:r>
        <w:rPr>
          <w:rFonts w:ascii="Courier New" w:hAnsi="Courier New" w:cs="Courier New"/>
          <w:sz w:val="24"/>
          <w:szCs w:val="24"/>
        </w:rPr>
        <w:t xml:space="preserve">   </w:t>
      </w:r>
      <w:r w:rsidRPr="00AA6DFD">
        <w:rPr>
          <w:rFonts w:ascii="Courier New" w:hAnsi="Courier New" w:cs="Courier New"/>
          <w:sz w:val="24"/>
          <w:szCs w:val="24"/>
        </w:rPr>
        <w:t xml:space="preserve">      </w:t>
      </w:r>
    </w:p>
    <w:p w14:paraId="7773BF29" w14:textId="77777777" w:rsidR="00BF10A3" w:rsidRPr="00B53B21" w:rsidRDefault="00BF10A3" w:rsidP="00BF10A3">
      <w:pPr>
        <w:spacing w:after="0" w:line="480" w:lineRule="auto"/>
      </w:pPr>
      <w:r w:rsidRPr="00B53B21">
        <w:rPr>
          <w:rFonts w:ascii="Courier New" w:hAnsi="Courier New" w:cs="Courier New"/>
          <w:sz w:val="24"/>
          <w:szCs w:val="24"/>
        </w:rPr>
        <w:tab/>
        <w:t>We recognize that there are some communities, particularly in rural areas, in which alternative programs in the same field may not be available.  We also agree that students served by GE programs may have ties to a particular location that could limit their ability to pursue opportunities at physical campuses far from their home.  However, we continue to believe that the substantial majority of students will find alternatives.  The increased availability of online or distance programs, the chance that students will change their field or level of study in light of the data available under the regulations, and the possibility of new entrants and expanded capacity remained options for absorbing students affected by the regulations.</w:t>
      </w:r>
    </w:p>
    <w:p w14:paraId="2E7972AB" w14:textId="77777777" w:rsidR="00BF10A3" w:rsidRPr="00AA6DFD" w:rsidRDefault="00BF10A3" w:rsidP="00BF10A3">
      <w:pPr>
        <w:pStyle w:val="riaheader1"/>
      </w:pPr>
      <w:r w:rsidRPr="00AA6DFD">
        <w:t>3.  Costs, Benefits, and Transfers</w:t>
      </w:r>
    </w:p>
    <w:p w14:paraId="0430DDD2" w14:textId="77777777" w:rsidR="00BF10A3" w:rsidRPr="00AA6DFD" w:rsidRDefault="00BF10A3" w:rsidP="00BF10A3">
      <w:pPr>
        <w:pStyle w:val="riaheader2"/>
      </w:pPr>
      <w:r w:rsidRPr="00AA6DFD">
        <w:t xml:space="preserve">Assumptions and Methodology  </w:t>
      </w:r>
    </w:p>
    <w:p w14:paraId="61BA70A4" w14:textId="77777777" w:rsidR="00BF10A3" w:rsidRPr="00B53B21" w:rsidRDefault="00BF10A3" w:rsidP="00BF10A3">
      <w:pPr>
        <w:pStyle w:val="riaheader3"/>
      </w:pPr>
      <w:r w:rsidRPr="00B53B21">
        <w:t>The budget model</w:t>
      </w:r>
    </w:p>
    <w:p w14:paraId="48803BFD" w14:textId="77777777" w:rsidR="00BF10A3" w:rsidRPr="00AA6DFD" w:rsidRDefault="00BF10A3" w:rsidP="00BF10A3">
      <w:pPr>
        <w:pStyle w:val="PlainText"/>
        <w:ind w:firstLine="720"/>
        <w:rPr>
          <w:rFonts w:ascii="Courier New" w:hAnsi="Courier New" w:cs="Courier New"/>
          <w:sz w:val="24"/>
          <w:szCs w:val="24"/>
        </w:rPr>
      </w:pPr>
    </w:p>
    <w:p w14:paraId="7A8A2EC6" w14:textId="77777777" w:rsidR="00BF10A3" w:rsidRPr="00AA6DFD" w:rsidRDefault="00BF10A3" w:rsidP="00BF10A3">
      <w:pPr>
        <w:pStyle w:val="PlainText"/>
        <w:spacing w:line="480" w:lineRule="auto"/>
        <w:ind w:firstLine="720"/>
        <w:rPr>
          <w:rFonts w:ascii="Courier New" w:hAnsi="Courier New" w:cs="Courier New"/>
          <w:sz w:val="24"/>
          <w:szCs w:val="24"/>
        </w:rPr>
      </w:pPr>
      <w:r w:rsidRPr="00AA6DFD">
        <w:rPr>
          <w:rFonts w:ascii="Courier New" w:hAnsi="Courier New" w:cs="Courier New"/>
          <w:sz w:val="24"/>
          <w:szCs w:val="24"/>
        </w:rPr>
        <w:t xml:space="preserve">To calculate the net budget impacts estimate, as in the NPRM, the Department developed a model based on assumptions regarding enrollment, program performance, student response to program performance, and average amount of title IV, HEA program funds per student to estimate the budget impact of these regulations.  As discussed in more detail below, as a result of comments and, additionally, internal reconsideration, we revised the model used to create the budget estimate for the NPRM.  The revised model:  (1) takes into account a program’s past results under the D/E rates measure to predict future results, and (2) tracks a program’s cumulative results across multiple cycles of results under the D/E rates measure.  </w:t>
      </w:r>
    </w:p>
    <w:p w14:paraId="22316847" w14:textId="77777777" w:rsidR="00BF10A3" w:rsidRPr="00B53B21" w:rsidRDefault="00BF10A3" w:rsidP="00BF10A3">
      <w:pPr>
        <w:pStyle w:val="riaheader3"/>
      </w:pPr>
      <w:r w:rsidRPr="00B53B21">
        <w:t xml:space="preserve">Budget model assumptions </w:t>
      </w:r>
    </w:p>
    <w:p w14:paraId="5C7A397E" w14:textId="77777777" w:rsidR="00BF10A3" w:rsidRPr="00AA6DFD" w:rsidRDefault="00BF10A3" w:rsidP="00BF10A3">
      <w:pPr>
        <w:spacing w:after="0" w:line="240" w:lineRule="auto"/>
        <w:ind w:firstLine="720"/>
        <w:rPr>
          <w:rFonts w:ascii="Courier New" w:hAnsi="Courier New" w:cs="Courier New"/>
          <w:sz w:val="24"/>
          <w:szCs w:val="24"/>
        </w:rPr>
      </w:pPr>
    </w:p>
    <w:p w14:paraId="57FC7E7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made assumptions in three areas in order to estimate the budget impact of the final regulations: </w:t>
      </w:r>
    </w:p>
    <w:p w14:paraId="0C8CD0C9" w14:textId="77777777" w:rsidR="00BF10A3" w:rsidRPr="00AA6DFD" w:rsidRDefault="00BF10A3" w:rsidP="00BF10A3">
      <w:pPr>
        <w:pStyle w:val="ListParagraph"/>
        <w:spacing w:after="0" w:line="480" w:lineRule="auto"/>
        <w:rPr>
          <w:rFonts w:ascii="Courier New" w:hAnsi="Courier New" w:cs="Courier New"/>
          <w:sz w:val="24"/>
          <w:szCs w:val="24"/>
        </w:rPr>
      </w:pPr>
      <w:r w:rsidRPr="00AA6DFD">
        <w:rPr>
          <w:rFonts w:ascii="Courier New" w:hAnsi="Courier New" w:cs="Courier New"/>
          <w:sz w:val="24"/>
          <w:szCs w:val="24"/>
        </w:rPr>
        <w:t>1.   Program performance under the regulations;</w:t>
      </w:r>
    </w:p>
    <w:p w14:paraId="113266EB" w14:textId="77777777" w:rsidR="00BF10A3" w:rsidRPr="00AA6DFD" w:rsidRDefault="00BF10A3" w:rsidP="00BF10A3">
      <w:pPr>
        <w:pStyle w:val="ListParagraph"/>
        <w:spacing w:after="0" w:line="480" w:lineRule="auto"/>
        <w:rPr>
          <w:rFonts w:ascii="Courier New" w:hAnsi="Courier New" w:cs="Courier New"/>
          <w:sz w:val="24"/>
          <w:szCs w:val="24"/>
        </w:rPr>
      </w:pPr>
      <w:r w:rsidRPr="00AA6DFD">
        <w:rPr>
          <w:rFonts w:ascii="Courier New" w:hAnsi="Courier New" w:cs="Courier New"/>
          <w:sz w:val="24"/>
          <w:szCs w:val="24"/>
        </w:rPr>
        <w:t>2.</w:t>
      </w:r>
      <w:r w:rsidRPr="00AA6DFD">
        <w:rPr>
          <w:rFonts w:ascii="Courier New" w:hAnsi="Courier New" w:cs="Courier New"/>
          <w:sz w:val="24"/>
          <w:szCs w:val="24"/>
        </w:rPr>
        <w:tab/>
        <w:t xml:space="preserve">Student behavior in response to program performance; and, </w:t>
      </w:r>
    </w:p>
    <w:p w14:paraId="55A30C2D" w14:textId="77777777" w:rsidR="00BF10A3" w:rsidRPr="00AA6DFD" w:rsidRDefault="00BF10A3" w:rsidP="00BF10A3">
      <w:pPr>
        <w:spacing w:after="0" w:line="480" w:lineRule="auto"/>
        <w:ind w:left="720"/>
        <w:contextualSpacing/>
        <w:rPr>
          <w:rFonts w:ascii="Courier New" w:hAnsi="Courier New" w:cs="Courier New"/>
          <w:sz w:val="24"/>
          <w:szCs w:val="24"/>
        </w:rPr>
      </w:pPr>
      <w:r w:rsidRPr="00AA6DFD">
        <w:rPr>
          <w:rFonts w:ascii="Courier New" w:hAnsi="Courier New" w:cs="Courier New"/>
          <w:sz w:val="24"/>
          <w:szCs w:val="24"/>
        </w:rPr>
        <w:t>3.</w:t>
      </w:r>
      <w:r w:rsidRPr="00AA6DFD">
        <w:rPr>
          <w:rFonts w:ascii="Courier New" w:hAnsi="Courier New" w:cs="Courier New"/>
          <w:sz w:val="24"/>
          <w:szCs w:val="24"/>
        </w:rPr>
        <w:tab/>
        <w:t>Enrollment of students in GE programs.</w:t>
      </w:r>
    </w:p>
    <w:p w14:paraId="6B170D23" w14:textId="77777777" w:rsidR="00BF10A3" w:rsidRPr="00AA6DFD" w:rsidRDefault="00BF10A3" w:rsidP="00BF10A3">
      <w:pPr>
        <w:pStyle w:val="riaheader3"/>
      </w:pPr>
      <w:r w:rsidRPr="00AA6DFD">
        <w:t>Program transition assumptions</w:t>
      </w:r>
    </w:p>
    <w:p w14:paraId="6E5FDC0B" w14:textId="77777777" w:rsidR="00BF10A3" w:rsidRPr="00AA6DFD" w:rsidRDefault="00BF10A3" w:rsidP="00BF10A3">
      <w:pPr>
        <w:spacing w:after="0" w:line="240" w:lineRule="auto"/>
        <w:ind w:firstLine="720"/>
        <w:rPr>
          <w:rFonts w:ascii="Courier New" w:hAnsi="Courier New" w:cs="Courier New"/>
          <w:sz w:val="24"/>
          <w:szCs w:val="24"/>
        </w:rPr>
      </w:pPr>
    </w:p>
    <w:p w14:paraId="6E89743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Some commenters were critical of the model used by the Department to estimate the budget impact for the NPRM because it made no assumption regarding the probability that a program would transition from passing or in the zone to a second failure or ineligibility.  As stated previously and described in detail below, the Department’s revised budget model accounts for this by tracking a program’s results across multiple cycles.  With this capability, the revised model uses cumulative past results to predict future results.    </w:t>
      </w:r>
    </w:p>
    <w:p w14:paraId="2A3CB40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Some commenters criticized the NPRM’s budget model on the basis that the assumptions for the probability that a program is failing did not distinguish whether the program fails due to its D/E rates or because of its pCDR.  We do not address this comment here as the revised budget model for the final regulations makes no assumptions regarding pCDR results because the measure is not included as an accountability metric in the final regulations.  </w:t>
      </w:r>
    </w:p>
    <w:p w14:paraId="75D2699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As in the NPRM, given a program’s status under the D/E rates measure in any year--passing, in the zone, failing, ineligible, or not evaluated because the program did not meet the minimum n-size requirements--we developed assumptions for the likelihood that the program’s performance would place it in each of the same five categories in the subsequent year:</w:t>
      </w:r>
    </w:p>
    <w:p w14:paraId="2429E741" w14:textId="77777777" w:rsidR="00BF10A3" w:rsidRPr="00AA6DFD" w:rsidRDefault="00BF10A3" w:rsidP="00BF10A3">
      <w:pPr>
        <w:spacing w:after="0" w:line="480" w:lineRule="auto"/>
        <w:ind w:left="720"/>
        <w:contextualSpacing/>
        <w:rPr>
          <w:rFonts w:ascii="Courier New" w:hAnsi="Courier New" w:cs="Courier New"/>
          <w:sz w:val="24"/>
          <w:szCs w:val="24"/>
        </w:rPr>
      </w:pPr>
      <w:r w:rsidRPr="00AA6DFD">
        <w:rPr>
          <w:rFonts w:ascii="Courier New" w:hAnsi="Courier New" w:cs="Courier New"/>
          <w:sz w:val="24"/>
          <w:szCs w:val="24"/>
        </w:rPr>
        <w:t>1.</w:t>
      </w:r>
      <w:r w:rsidRPr="00AA6DFD">
        <w:rPr>
          <w:rFonts w:ascii="Courier New" w:hAnsi="Courier New" w:cs="Courier New"/>
          <w:sz w:val="24"/>
          <w:szCs w:val="24"/>
        </w:rPr>
        <w:tab/>
        <w:t xml:space="preserve">Passing; </w:t>
      </w:r>
    </w:p>
    <w:p w14:paraId="769965D4" w14:textId="77777777" w:rsidR="00BF10A3" w:rsidRPr="00AA6DFD" w:rsidRDefault="00BF10A3" w:rsidP="00BF10A3">
      <w:pPr>
        <w:spacing w:after="0" w:line="480" w:lineRule="auto"/>
        <w:ind w:left="720"/>
        <w:contextualSpacing/>
        <w:rPr>
          <w:rFonts w:ascii="Courier New" w:hAnsi="Courier New" w:cs="Courier New"/>
          <w:sz w:val="24"/>
          <w:szCs w:val="24"/>
        </w:rPr>
      </w:pPr>
      <w:r w:rsidRPr="00AA6DFD">
        <w:rPr>
          <w:rFonts w:ascii="Courier New" w:hAnsi="Courier New" w:cs="Courier New"/>
          <w:sz w:val="24"/>
          <w:szCs w:val="24"/>
        </w:rPr>
        <w:t>2.</w:t>
      </w:r>
      <w:r w:rsidRPr="00AA6DFD">
        <w:rPr>
          <w:rFonts w:ascii="Courier New" w:hAnsi="Courier New" w:cs="Courier New"/>
          <w:sz w:val="24"/>
          <w:szCs w:val="24"/>
        </w:rPr>
        <w:tab/>
        <w:t xml:space="preserve">In the zone; </w:t>
      </w:r>
    </w:p>
    <w:p w14:paraId="75E45F36" w14:textId="77777777" w:rsidR="00BF10A3" w:rsidRPr="00AA6DFD" w:rsidRDefault="00BF10A3" w:rsidP="00BF10A3">
      <w:pPr>
        <w:spacing w:after="0" w:line="480" w:lineRule="auto"/>
        <w:ind w:left="720"/>
        <w:contextualSpacing/>
        <w:rPr>
          <w:rFonts w:ascii="Courier New" w:hAnsi="Courier New" w:cs="Courier New"/>
          <w:sz w:val="24"/>
          <w:szCs w:val="24"/>
        </w:rPr>
      </w:pPr>
      <w:r w:rsidRPr="00AA6DFD">
        <w:rPr>
          <w:rFonts w:ascii="Courier New" w:hAnsi="Courier New" w:cs="Courier New"/>
          <w:sz w:val="24"/>
          <w:szCs w:val="24"/>
        </w:rPr>
        <w:t>3.</w:t>
      </w:r>
      <w:r w:rsidRPr="00AA6DFD">
        <w:rPr>
          <w:rFonts w:ascii="Courier New" w:hAnsi="Courier New" w:cs="Courier New"/>
          <w:sz w:val="24"/>
          <w:szCs w:val="24"/>
        </w:rPr>
        <w:tab/>
        <w:t xml:space="preserve">Failing; </w:t>
      </w:r>
    </w:p>
    <w:p w14:paraId="55259BB8" w14:textId="77777777" w:rsidR="00BF10A3" w:rsidRPr="00AA6DFD" w:rsidRDefault="00BF10A3" w:rsidP="00BF10A3">
      <w:pPr>
        <w:spacing w:after="0" w:line="480" w:lineRule="auto"/>
        <w:ind w:left="1440" w:hanging="720"/>
        <w:contextualSpacing/>
        <w:rPr>
          <w:rFonts w:ascii="Courier New" w:hAnsi="Courier New" w:cs="Courier New"/>
          <w:sz w:val="24"/>
          <w:szCs w:val="24"/>
        </w:rPr>
      </w:pPr>
      <w:r w:rsidRPr="00AA6DFD">
        <w:rPr>
          <w:rFonts w:ascii="Courier New" w:hAnsi="Courier New" w:cs="Courier New"/>
          <w:sz w:val="24"/>
          <w:szCs w:val="24"/>
        </w:rPr>
        <w:t>4.</w:t>
      </w:r>
      <w:r w:rsidRPr="00AA6DFD">
        <w:rPr>
          <w:rFonts w:ascii="Courier New" w:hAnsi="Courier New" w:cs="Courier New"/>
          <w:sz w:val="24"/>
          <w:szCs w:val="24"/>
        </w:rPr>
        <w:tab/>
        <w:t>Ineligible (a program could become ineligible in one of two ways:  (1) by failing the D/E rates measure for two out of three consecutive years, or (2) by not achieving a passing status in four consecutive years); or,</w:t>
      </w:r>
    </w:p>
    <w:p w14:paraId="1ED3BA7C" w14:textId="77777777" w:rsidR="00BF10A3" w:rsidRPr="00AA6DFD" w:rsidRDefault="00BF10A3" w:rsidP="00BF10A3">
      <w:pPr>
        <w:spacing w:after="0" w:line="480" w:lineRule="auto"/>
        <w:ind w:left="1440" w:hanging="720"/>
        <w:contextualSpacing/>
        <w:rPr>
          <w:rFonts w:ascii="Courier New" w:hAnsi="Courier New" w:cs="Courier New"/>
          <w:sz w:val="24"/>
          <w:szCs w:val="24"/>
        </w:rPr>
      </w:pPr>
      <w:r w:rsidRPr="00AA6DFD">
        <w:rPr>
          <w:rFonts w:ascii="Courier New" w:hAnsi="Courier New" w:cs="Courier New"/>
          <w:sz w:val="24"/>
          <w:szCs w:val="24"/>
        </w:rPr>
        <w:t>5.</w:t>
      </w:r>
      <w:r w:rsidRPr="00AA6DFD">
        <w:rPr>
          <w:rFonts w:ascii="Courier New" w:hAnsi="Courier New" w:cs="Courier New"/>
          <w:sz w:val="24"/>
          <w:szCs w:val="24"/>
        </w:rPr>
        <w:tab/>
        <w:t xml:space="preserve">Not evaluated because the program failed to meet the minimum n-size requirements for the D/E rates measure.  </w:t>
      </w:r>
    </w:p>
    <w:p w14:paraId="3BA5FC5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budget model applies assumptions for three transitions between program results (year 0 to 1 to 2 to 3).  It assumes that after year 3, which marks the beginning of the fourth transition in results, the rates of program transition will reach a steady state.    </w:t>
      </w:r>
    </w:p>
    <w:p w14:paraId="69CD7E0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program assumptions track results through each cycle of the model.  Stated differently, results do not reset after each cycle.  Rather, past results impact future results.  For example, a program that falls in the zone in year 0 and passes in year 1 would not simply be considered a passing program.  Its zone result in year 0 would continue to influence the probabilities of its year 2 results.  If a program’s performance reaches ineligible status (2 fails in 3 years or no passes in 4 years), the program becomes, and remains, ineligible for all future years.  The model assigns probabilities for all potential combinations of results for each transition.</w:t>
      </w:r>
    </w:p>
    <w:p w14:paraId="0B689AC7" w14:textId="77777777" w:rsidR="00BF10A3" w:rsidRPr="00B53B21" w:rsidRDefault="00BF10A3" w:rsidP="00BF10A3">
      <w:pPr>
        <w:pStyle w:val="riaheader3"/>
      </w:pPr>
      <w:r w:rsidRPr="00B53B21">
        <w:t>Year 0 to year 1 program transition assumptions</w:t>
      </w:r>
    </w:p>
    <w:p w14:paraId="47067BAA" w14:textId="77777777" w:rsidR="00BF10A3" w:rsidRPr="00AA6DFD" w:rsidRDefault="00BF10A3" w:rsidP="00BF10A3">
      <w:pPr>
        <w:spacing w:after="0" w:line="240" w:lineRule="auto"/>
        <w:ind w:firstLine="720"/>
        <w:rPr>
          <w:rFonts w:ascii="Courier New" w:hAnsi="Courier New" w:cs="Courier New"/>
          <w:sz w:val="24"/>
          <w:szCs w:val="24"/>
        </w:rPr>
      </w:pPr>
    </w:p>
    <w:p w14:paraId="5EC30B8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assumptions for the year 0 to year 1 transition in program results (ex: the probability that a program is in the zone in year 0 and passing in year 1) is the observed comparison of actual D/E informational rates results for two consecutive cohorts of students in the GE Data.  As in the NPRM, the initial assignment of performance categories in year 0 is based on the 2012 GE informational D/E rates data for students who completed GE programs in fiscal years 2008 and 2009.  The program transition assumption for year 0 to year 1 are based on the</w:t>
      </w:r>
      <w:r w:rsidRPr="00B53B21">
        <w:rPr>
          <w:rFonts w:ascii="Courier New" w:hAnsi="Courier New" w:cs="Courier New"/>
          <w:sz w:val="24"/>
          <w:szCs w:val="24"/>
        </w:rPr>
        <w:t xml:space="preserve"> </w:t>
      </w:r>
      <w:r w:rsidRPr="00AA6DFD">
        <w:rPr>
          <w:rFonts w:ascii="Courier New" w:hAnsi="Courier New" w:cs="Courier New"/>
          <w:sz w:val="24"/>
          <w:szCs w:val="24"/>
        </w:rPr>
        <w:t xml:space="preserve"> outcomes of students who completed GE programs in fiscal years 2007 and 2008, and the outcomes of students who completed GE programs in fiscal years 2008 and 2009.  For the observed results that are the basis for the year 0 to year 1 program transition assumption, we applied a minimum n-size of 10, instead of 30 as is required under the final regulations and used in the “Analysis of the Regulations” section of this RIA, for the D/E rates calculations to maximize the number of observations in the two-year comparative analysis used to create the program transition assumptions.   Program results under the D/E rates measure for the 2007/2008 cohort of students who completed the program were calculated using the same methodology used to calculate the 2012 GE informational D/E rates except that, as with the 2008/2009 cohort, a minimum n-size of 10 was applied.  It is important to note that the results in the “</w:t>
      </w:r>
      <w:r w:rsidRPr="00B53B21">
        <w:rPr>
          <w:rFonts w:ascii="Courier New" w:hAnsi="Courier New" w:cs="Courier New"/>
          <w:sz w:val="24"/>
          <w:szCs w:val="24"/>
        </w:rPr>
        <w:t>Analysis of the Regulations</w:t>
      </w:r>
      <w:r w:rsidRPr="00AA6DFD">
        <w:rPr>
          <w:rFonts w:ascii="Courier New" w:hAnsi="Courier New" w:cs="Courier New"/>
          <w:sz w:val="24"/>
          <w:szCs w:val="24"/>
        </w:rPr>
        <w:t xml:space="preserve">” section in this RIA are based on a minimum n-size of 30 for the D/E rates measure as is required under the regulations but </w:t>
      </w:r>
      <w:r w:rsidRPr="00B53B21">
        <w:rPr>
          <w:rFonts w:ascii="Courier New" w:hAnsi="Courier New" w:cs="Courier New"/>
          <w:sz w:val="24"/>
          <w:szCs w:val="24"/>
        </w:rPr>
        <w:t xml:space="preserve">the </w:t>
      </w:r>
      <w:r w:rsidRPr="00AA6DFD">
        <w:rPr>
          <w:rFonts w:ascii="Courier New" w:hAnsi="Courier New" w:cs="Courier New"/>
          <w:sz w:val="24"/>
          <w:szCs w:val="24"/>
        </w:rPr>
        <w:t>budget</w:t>
      </w:r>
      <w:r w:rsidRPr="00AA6DFD">
        <w:rPr>
          <w:rFonts w:ascii="Courier New" w:hAnsi="Courier New"/>
          <w:sz w:val="24"/>
        </w:rPr>
        <w:t xml:space="preserve"> </w:t>
      </w:r>
      <w:r w:rsidRPr="00B53B21">
        <w:rPr>
          <w:rFonts w:ascii="Courier New" w:hAnsi="Courier New" w:cs="Courier New"/>
          <w:sz w:val="24"/>
          <w:szCs w:val="24"/>
        </w:rPr>
        <w:t xml:space="preserve">model for the </w:t>
      </w:r>
      <w:r w:rsidRPr="00AA6DFD">
        <w:rPr>
          <w:rFonts w:ascii="Courier New" w:hAnsi="Courier New" w:cs="Courier New"/>
          <w:sz w:val="24"/>
          <w:szCs w:val="24"/>
        </w:rPr>
        <w:t>“</w:t>
      </w:r>
      <w:r w:rsidRPr="00B53B21">
        <w:rPr>
          <w:rFonts w:ascii="Courier New" w:hAnsi="Courier New" w:cs="Courier New"/>
          <w:sz w:val="24"/>
          <w:szCs w:val="24"/>
        </w:rPr>
        <w:t>Discussion of Costs, Benefits and Transfers</w:t>
      </w:r>
      <w:r w:rsidRPr="00AA6DFD">
        <w:rPr>
          <w:rFonts w:ascii="Courier New" w:hAnsi="Courier New" w:cs="Courier New"/>
          <w:sz w:val="24"/>
          <w:szCs w:val="24"/>
          <w:u w:val="single"/>
        </w:rPr>
        <w:t>”</w:t>
      </w:r>
      <w:r w:rsidRPr="00B53B21">
        <w:rPr>
          <w:rFonts w:ascii="Courier New" w:hAnsi="Courier New" w:cs="Courier New"/>
          <w:sz w:val="24"/>
          <w:szCs w:val="24"/>
        </w:rPr>
        <w:t xml:space="preserve"> and the </w:t>
      </w:r>
      <w:r w:rsidRPr="00AA6DFD">
        <w:rPr>
          <w:rFonts w:ascii="Courier New" w:hAnsi="Courier New" w:cs="Courier New"/>
          <w:sz w:val="24"/>
          <w:szCs w:val="24"/>
        </w:rPr>
        <w:t>“</w:t>
      </w:r>
      <w:r w:rsidRPr="00B53B21">
        <w:rPr>
          <w:rFonts w:ascii="Courier New" w:hAnsi="Courier New" w:cs="Courier New"/>
          <w:sz w:val="24"/>
          <w:szCs w:val="24"/>
        </w:rPr>
        <w:t>Net Budget Impact</w:t>
      </w:r>
      <w:r w:rsidRPr="00AA6DFD">
        <w:rPr>
          <w:rFonts w:ascii="Courier New" w:hAnsi="Courier New" w:cs="Courier New"/>
          <w:sz w:val="24"/>
          <w:szCs w:val="24"/>
          <w:u w:val="single"/>
        </w:rPr>
        <w:t>”</w:t>
      </w:r>
      <w:r w:rsidRPr="00B53B21">
        <w:rPr>
          <w:rFonts w:ascii="Courier New" w:hAnsi="Courier New" w:cs="Courier New"/>
          <w:sz w:val="24"/>
          <w:szCs w:val="24"/>
        </w:rPr>
        <w:t xml:space="preserve"> </w:t>
      </w:r>
      <w:r w:rsidRPr="00AA6DFD">
        <w:rPr>
          <w:rFonts w:ascii="Courier New" w:hAnsi="Courier New" w:cs="Courier New"/>
          <w:sz w:val="24"/>
          <w:szCs w:val="24"/>
        </w:rPr>
        <w:t xml:space="preserve">sections </w:t>
      </w:r>
      <w:r w:rsidRPr="00B53B21">
        <w:rPr>
          <w:rFonts w:ascii="Courier New" w:hAnsi="Courier New" w:cs="Courier New"/>
          <w:sz w:val="24"/>
          <w:szCs w:val="24"/>
        </w:rPr>
        <w:t>used a minimum n-size of 15 for the D/E rates measure</w:t>
      </w:r>
      <w:r w:rsidRPr="00AA6DFD">
        <w:rPr>
          <w:rFonts w:ascii="Courier New" w:hAnsi="Courier New" w:cs="Courier New"/>
          <w:sz w:val="24"/>
          <w:szCs w:val="24"/>
        </w:rPr>
        <w:t>.  This was done</w:t>
      </w:r>
      <w:r w:rsidRPr="00B53B21">
        <w:rPr>
          <w:rFonts w:ascii="Courier New" w:hAnsi="Courier New" w:cs="Courier New"/>
          <w:sz w:val="24"/>
          <w:szCs w:val="24"/>
        </w:rPr>
        <w:t xml:space="preserve"> to </w:t>
      </w:r>
      <w:r w:rsidRPr="00AA6DFD">
        <w:rPr>
          <w:rFonts w:ascii="Courier New" w:hAnsi="Courier New" w:cs="Courier New"/>
          <w:sz w:val="24"/>
          <w:szCs w:val="24"/>
        </w:rPr>
        <w:t>simulate</w:t>
      </w:r>
      <w:r w:rsidRPr="00B53B21">
        <w:rPr>
          <w:rFonts w:ascii="Courier New" w:hAnsi="Courier New" w:cs="Courier New"/>
          <w:sz w:val="24"/>
          <w:szCs w:val="24"/>
        </w:rPr>
        <w:t xml:space="preserve"> the effect of the four-year </w:t>
      </w:r>
      <w:r w:rsidRPr="00AA6DFD">
        <w:rPr>
          <w:rFonts w:ascii="Courier New" w:hAnsi="Courier New" w:cs="Courier New"/>
          <w:sz w:val="24"/>
          <w:szCs w:val="24"/>
        </w:rPr>
        <w:t xml:space="preserve">cohort </w:t>
      </w:r>
      <w:r w:rsidRPr="00B53B21">
        <w:rPr>
          <w:rFonts w:ascii="Courier New" w:hAnsi="Courier New" w:cs="Courier New"/>
          <w:sz w:val="24"/>
          <w:szCs w:val="24"/>
        </w:rPr>
        <w:t xml:space="preserve">period </w:t>
      </w:r>
      <w:r w:rsidRPr="00AA6DFD">
        <w:rPr>
          <w:rFonts w:ascii="Courier New" w:hAnsi="Courier New" w:cs="Courier New"/>
          <w:sz w:val="24"/>
          <w:szCs w:val="24"/>
        </w:rPr>
        <w:t xml:space="preserve">“look back” provisions of the regulations </w:t>
      </w:r>
      <w:r w:rsidRPr="00B53B21">
        <w:rPr>
          <w:rFonts w:ascii="Courier New" w:hAnsi="Courier New" w:cs="Courier New"/>
          <w:sz w:val="24"/>
          <w:szCs w:val="24"/>
        </w:rPr>
        <w:t xml:space="preserve">so </w:t>
      </w:r>
      <w:r w:rsidRPr="00AA6DFD">
        <w:rPr>
          <w:rFonts w:ascii="Courier New" w:hAnsi="Courier New" w:cs="Courier New"/>
          <w:sz w:val="24"/>
          <w:szCs w:val="24"/>
        </w:rPr>
        <w:t xml:space="preserve">that </w:t>
      </w:r>
      <w:r w:rsidRPr="00B53B21">
        <w:rPr>
          <w:rFonts w:ascii="Courier New" w:hAnsi="Courier New" w:cs="Courier New"/>
          <w:sz w:val="24"/>
          <w:szCs w:val="24"/>
        </w:rPr>
        <w:t xml:space="preserve">the </w:t>
      </w:r>
      <w:r w:rsidRPr="00AA6DFD">
        <w:rPr>
          <w:rFonts w:ascii="Courier New" w:hAnsi="Courier New" w:cs="Courier New"/>
          <w:sz w:val="24"/>
          <w:szCs w:val="24"/>
        </w:rPr>
        <w:t>net budget</w:t>
      </w:r>
      <w:r w:rsidRPr="00B53B21">
        <w:rPr>
          <w:rFonts w:ascii="Courier New" w:hAnsi="Courier New" w:cs="Courier New"/>
          <w:sz w:val="24"/>
          <w:szCs w:val="24"/>
        </w:rPr>
        <w:t xml:space="preserve"> impact would not be underestimated </w:t>
      </w:r>
      <w:r w:rsidRPr="00AA6DFD">
        <w:rPr>
          <w:rFonts w:ascii="Courier New" w:hAnsi="Courier New" w:cs="Courier New"/>
          <w:sz w:val="24"/>
          <w:szCs w:val="24"/>
        </w:rPr>
        <w:t>as a result of</w:t>
      </w:r>
      <w:r w:rsidRPr="00B53B21">
        <w:rPr>
          <w:rFonts w:ascii="Courier New" w:hAnsi="Courier New" w:cs="Courier New"/>
          <w:sz w:val="24"/>
          <w:szCs w:val="24"/>
        </w:rPr>
        <w:t xml:space="preserve"> treating programs that will </w:t>
      </w:r>
      <w:r w:rsidRPr="00AA6DFD">
        <w:rPr>
          <w:rFonts w:ascii="Courier New" w:hAnsi="Courier New" w:cs="Courier New"/>
          <w:sz w:val="24"/>
          <w:szCs w:val="24"/>
        </w:rPr>
        <w:t xml:space="preserve">likely </w:t>
      </w:r>
      <w:r w:rsidRPr="00B53B21">
        <w:rPr>
          <w:rFonts w:ascii="Courier New" w:hAnsi="Courier New" w:cs="Courier New"/>
          <w:sz w:val="24"/>
          <w:szCs w:val="24"/>
        </w:rPr>
        <w:t>be evaluated under the regulation</w:t>
      </w:r>
      <w:r w:rsidRPr="00AA6DFD">
        <w:rPr>
          <w:rFonts w:ascii="Courier New" w:hAnsi="Courier New" w:cs="Courier New"/>
          <w:sz w:val="24"/>
          <w:szCs w:val="24"/>
        </w:rPr>
        <w:t>s</w:t>
      </w:r>
      <w:r w:rsidRPr="00B53B21">
        <w:rPr>
          <w:rFonts w:ascii="Courier New" w:hAnsi="Courier New" w:cs="Courier New"/>
          <w:sz w:val="24"/>
          <w:szCs w:val="24"/>
        </w:rPr>
        <w:t xml:space="preserve"> as not having a </w:t>
      </w:r>
      <w:r w:rsidRPr="00AA6DFD">
        <w:rPr>
          <w:rFonts w:ascii="Courier New" w:hAnsi="Courier New" w:cs="Courier New"/>
          <w:sz w:val="24"/>
          <w:szCs w:val="24"/>
        </w:rPr>
        <w:t>result in the budget model</w:t>
      </w:r>
      <w:r w:rsidRPr="00B53B21">
        <w:rPr>
          <w:rFonts w:ascii="Courier New" w:hAnsi="Courier New" w:cs="Courier New"/>
          <w:sz w:val="24"/>
          <w:szCs w:val="24"/>
        </w:rPr>
        <w:t>.</w:t>
      </w:r>
      <w:r w:rsidRPr="00AA6DFD">
        <w:rPr>
          <w:rFonts w:ascii="Courier New" w:hAnsi="Courier New" w:cs="Courier New"/>
          <w:sz w:val="24"/>
          <w:szCs w:val="24"/>
        </w:rPr>
        <w:t xml:space="preserve">  Only the results of programs with students who completed the programs in FY 2008 were compared because these programs would have results for both cohorts.     </w:t>
      </w:r>
    </w:p>
    <w:p w14:paraId="7B9D89D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observed year 0 to year 1 results also serve as the baseline for each subsequent transition of results (year 1 to year 2, etc.).  As described below, the model applies additional assumptions from that baseline for each transition beginning with year 1 to year 2.      </w:t>
      </w:r>
    </w:p>
    <w:p w14:paraId="65BEC4FD" w14:textId="77777777" w:rsidR="00BF10A3" w:rsidRPr="00AA6DFD" w:rsidRDefault="00BF10A3" w:rsidP="00BF10A3">
      <w:pPr>
        <w:spacing w:after="0" w:line="480" w:lineRule="auto"/>
        <w:rPr>
          <w:rFonts w:ascii="Courier New" w:hAnsi="Courier New" w:cs="Courier New"/>
          <w:sz w:val="24"/>
          <w:szCs w:val="24"/>
        </w:rPr>
      </w:pPr>
    </w:p>
    <w:p w14:paraId="629818B7"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3.1: Year 0 to Year 1 (Observed) Program Transition Assumptions</w:t>
      </w:r>
    </w:p>
    <w:p w14:paraId="7FF91984" w14:textId="77777777" w:rsidR="00BF10A3" w:rsidRPr="00AA6DFD" w:rsidRDefault="00BF10A3" w:rsidP="00BF10A3">
      <w:pPr>
        <w:spacing w:after="0" w:line="480" w:lineRule="auto"/>
        <w:rPr>
          <w:rFonts w:ascii="Courier New" w:hAnsi="Courier New" w:cs="Courier New"/>
          <w:sz w:val="24"/>
          <w:szCs w:val="24"/>
        </w:rPr>
      </w:pPr>
    </w:p>
    <w:tbl>
      <w:tblPr>
        <w:tblStyle w:val="TableGrid9"/>
        <w:tblW w:w="0" w:type="auto"/>
        <w:tblLook w:val="04A0" w:firstRow="1" w:lastRow="0" w:firstColumn="1" w:lastColumn="0" w:noHBand="0" w:noVBand="1"/>
      </w:tblPr>
      <w:tblGrid>
        <w:gridCol w:w="1620"/>
        <w:gridCol w:w="1480"/>
        <w:gridCol w:w="1960"/>
      </w:tblGrid>
      <w:tr w:rsidR="00BF10A3" w:rsidRPr="00410A3E" w14:paraId="4086BA7B" w14:textId="77777777" w:rsidTr="001F7400">
        <w:trPr>
          <w:trHeight w:val="300"/>
        </w:trPr>
        <w:tc>
          <w:tcPr>
            <w:tcW w:w="1620" w:type="dxa"/>
            <w:noWrap/>
            <w:hideMark/>
          </w:tcPr>
          <w:p w14:paraId="1254D285"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Year 1 Result</w:t>
            </w:r>
          </w:p>
        </w:tc>
        <w:tc>
          <w:tcPr>
            <w:tcW w:w="1480" w:type="dxa"/>
            <w:noWrap/>
            <w:hideMark/>
          </w:tcPr>
          <w:p w14:paraId="5B1CEBA4"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Year 2 Result</w:t>
            </w:r>
          </w:p>
        </w:tc>
        <w:tc>
          <w:tcPr>
            <w:tcW w:w="1960" w:type="dxa"/>
            <w:noWrap/>
            <w:hideMark/>
          </w:tcPr>
          <w:p w14:paraId="7F88DCAC"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 w/ Year 2 Result</w:t>
            </w:r>
          </w:p>
        </w:tc>
      </w:tr>
      <w:tr w:rsidR="00BF10A3" w:rsidRPr="00410A3E" w14:paraId="62D4CF09" w14:textId="77777777" w:rsidTr="001F7400">
        <w:trPr>
          <w:trHeight w:val="300"/>
        </w:trPr>
        <w:tc>
          <w:tcPr>
            <w:tcW w:w="1620" w:type="dxa"/>
            <w:noWrap/>
            <w:hideMark/>
          </w:tcPr>
          <w:p w14:paraId="0BACCE3D"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w:t>
            </w:r>
          </w:p>
        </w:tc>
        <w:tc>
          <w:tcPr>
            <w:tcW w:w="1480" w:type="dxa"/>
            <w:noWrap/>
            <w:hideMark/>
          </w:tcPr>
          <w:p w14:paraId="7F70AD8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w:t>
            </w:r>
          </w:p>
        </w:tc>
        <w:tc>
          <w:tcPr>
            <w:tcW w:w="1960" w:type="dxa"/>
            <w:noWrap/>
            <w:hideMark/>
          </w:tcPr>
          <w:p w14:paraId="20BF380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81.7%</w:t>
            </w:r>
          </w:p>
        </w:tc>
      </w:tr>
      <w:tr w:rsidR="00BF10A3" w:rsidRPr="00410A3E" w14:paraId="50238461" w14:textId="77777777" w:rsidTr="001F7400">
        <w:trPr>
          <w:trHeight w:val="300"/>
        </w:trPr>
        <w:tc>
          <w:tcPr>
            <w:tcW w:w="1620" w:type="dxa"/>
            <w:noWrap/>
            <w:hideMark/>
          </w:tcPr>
          <w:p w14:paraId="19178774"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36B4384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960" w:type="dxa"/>
            <w:noWrap/>
            <w:hideMark/>
          </w:tcPr>
          <w:p w14:paraId="3AE07634"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4.0%</w:t>
            </w:r>
          </w:p>
        </w:tc>
      </w:tr>
      <w:tr w:rsidR="00BF10A3" w:rsidRPr="00410A3E" w14:paraId="25A0A85B" w14:textId="77777777" w:rsidTr="001F7400">
        <w:trPr>
          <w:trHeight w:val="300"/>
        </w:trPr>
        <w:tc>
          <w:tcPr>
            <w:tcW w:w="1620" w:type="dxa"/>
            <w:noWrap/>
            <w:hideMark/>
          </w:tcPr>
          <w:p w14:paraId="7D9A4EC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23CC5A4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Fail</w:t>
            </w:r>
          </w:p>
        </w:tc>
        <w:tc>
          <w:tcPr>
            <w:tcW w:w="1960" w:type="dxa"/>
            <w:noWrap/>
            <w:hideMark/>
          </w:tcPr>
          <w:p w14:paraId="71B0C5C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0.6%</w:t>
            </w:r>
          </w:p>
        </w:tc>
      </w:tr>
      <w:tr w:rsidR="00BF10A3" w:rsidRPr="00410A3E" w14:paraId="4312C67D" w14:textId="77777777" w:rsidTr="001F7400">
        <w:trPr>
          <w:trHeight w:val="300"/>
        </w:trPr>
        <w:tc>
          <w:tcPr>
            <w:tcW w:w="1620" w:type="dxa"/>
            <w:noWrap/>
            <w:hideMark/>
          </w:tcPr>
          <w:p w14:paraId="1F6779F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5FBE901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960" w:type="dxa"/>
            <w:noWrap/>
            <w:hideMark/>
          </w:tcPr>
          <w:p w14:paraId="2CAB4F6D"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13.7%</w:t>
            </w:r>
          </w:p>
        </w:tc>
      </w:tr>
      <w:tr w:rsidR="00BF10A3" w:rsidRPr="00410A3E" w14:paraId="59806F80" w14:textId="77777777" w:rsidTr="001F7400">
        <w:trPr>
          <w:trHeight w:val="300"/>
        </w:trPr>
        <w:tc>
          <w:tcPr>
            <w:tcW w:w="1620" w:type="dxa"/>
            <w:noWrap/>
            <w:hideMark/>
          </w:tcPr>
          <w:p w14:paraId="4255849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480" w:type="dxa"/>
            <w:noWrap/>
            <w:hideMark/>
          </w:tcPr>
          <w:p w14:paraId="65CCBD9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w:t>
            </w:r>
          </w:p>
        </w:tc>
        <w:tc>
          <w:tcPr>
            <w:tcW w:w="1960" w:type="dxa"/>
            <w:noWrap/>
            <w:hideMark/>
          </w:tcPr>
          <w:p w14:paraId="7A924C2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22.0%</w:t>
            </w:r>
          </w:p>
        </w:tc>
      </w:tr>
      <w:tr w:rsidR="00BF10A3" w:rsidRPr="00410A3E" w14:paraId="558EDA45" w14:textId="77777777" w:rsidTr="001F7400">
        <w:trPr>
          <w:trHeight w:val="300"/>
        </w:trPr>
        <w:tc>
          <w:tcPr>
            <w:tcW w:w="1620" w:type="dxa"/>
            <w:noWrap/>
            <w:hideMark/>
          </w:tcPr>
          <w:p w14:paraId="2F425A9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1F9A2B93"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960" w:type="dxa"/>
            <w:noWrap/>
            <w:hideMark/>
          </w:tcPr>
          <w:p w14:paraId="78865C4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39.8%</w:t>
            </w:r>
          </w:p>
        </w:tc>
      </w:tr>
      <w:tr w:rsidR="00BF10A3" w:rsidRPr="00410A3E" w14:paraId="6074C34F" w14:textId="77777777" w:rsidTr="001F7400">
        <w:trPr>
          <w:trHeight w:val="300"/>
        </w:trPr>
        <w:tc>
          <w:tcPr>
            <w:tcW w:w="1620" w:type="dxa"/>
            <w:noWrap/>
            <w:hideMark/>
          </w:tcPr>
          <w:p w14:paraId="6458780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3101CB7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Fail</w:t>
            </w:r>
          </w:p>
        </w:tc>
        <w:tc>
          <w:tcPr>
            <w:tcW w:w="1960" w:type="dxa"/>
            <w:noWrap/>
            <w:hideMark/>
          </w:tcPr>
          <w:p w14:paraId="2CE82233"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24.9%</w:t>
            </w:r>
          </w:p>
        </w:tc>
      </w:tr>
      <w:tr w:rsidR="00BF10A3" w:rsidRPr="00410A3E" w14:paraId="26FA5EC1" w14:textId="77777777" w:rsidTr="001F7400">
        <w:trPr>
          <w:trHeight w:val="300"/>
        </w:trPr>
        <w:tc>
          <w:tcPr>
            <w:tcW w:w="1620" w:type="dxa"/>
            <w:noWrap/>
            <w:hideMark/>
          </w:tcPr>
          <w:p w14:paraId="7A75A42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0E27996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960" w:type="dxa"/>
            <w:noWrap/>
            <w:hideMark/>
          </w:tcPr>
          <w:p w14:paraId="2034DC7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13.4%</w:t>
            </w:r>
          </w:p>
        </w:tc>
      </w:tr>
      <w:tr w:rsidR="00BF10A3" w:rsidRPr="00410A3E" w14:paraId="0ACBEA5B" w14:textId="77777777" w:rsidTr="001F7400">
        <w:trPr>
          <w:trHeight w:val="300"/>
        </w:trPr>
        <w:tc>
          <w:tcPr>
            <w:tcW w:w="1620" w:type="dxa"/>
            <w:noWrap/>
            <w:hideMark/>
          </w:tcPr>
          <w:p w14:paraId="6E11DB51"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Fail</w:t>
            </w:r>
          </w:p>
        </w:tc>
        <w:tc>
          <w:tcPr>
            <w:tcW w:w="1480" w:type="dxa"/>
            <w:noWrap/>
            <w:hideMark/>
          </w:tcPr>
          <w:p w14:paraId="3E179E0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w:t>
            </w:r>
          </w:p>
        </w:tc>
        <w:tc>
          <w:tcPr>
            <w:tcW w:w="1960" w:type="dxa"/>
            <w:noWrap/>
            <w:hideMark/>
          </w:tcPr>
          <w:p w14:paraId="2B161FB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3.9%</w:t>
            </w:r>
          </w:p>
        </w:tc>
      </w:tr>
      <w:tr w:rsidR="00BF10A3" w:rsidRPr="00410A3E" w14:paraId="5FA0DF91" w14:textId="77777777" w:rsidTr="001F7400">
        <w:trPr>
          <w:trHeight w:val="300"/>
        </w:trPr>
        <w:tc>
          <w:tcPr>
            <w:tcW w:w="1620" w:type="dxa"/>
            <w:noWrap/>
            <w:hideMark/>
          </w:tcPr>
          <w:p w14:paraId="4BEA58F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786490A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960" w:type="dxa"/>
            <w:noWrap/>
            <w:hideMark/>
          </w:tcPr>
          <w:p w14:paraId="450EB0C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20.3%</w:t>
            </w:r>
          </w:p>
        </w:tc>
      </w:tr>
      <w:tr w:rsidR="00BF10A3" w:rsidRPr="00410A3E" w14:paraId="63FA9C8D" w14:textId="77777777" w:rsidTr="001F7400">
        <w:trPr>
          <w:trHeight w:val="300"/>
        </w:trPr>
        <w:tc>
          <w:tcPr>
            <w:tcW w:w="1620" w:type="dxa"/>
            <w:noWrap/>
            <w:hideMark/>
          </w:tcPr>
          <w:p w14:paraId="39ADA1A1"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551E832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Fail</w:t>
            </w:r>
          </w:p>
        </w:tc>
        <w:tc>
          <w:tcPr>
            <w:tcW w:w="1960" w:type="dxa"/>
            <w:noWrap/>
            <w:hideMark/>
          </w:tcPr>
          <w:p w14:paraId="0E9ACEC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64.7%</w:t>
            </w:r>
          </w:p>
        </w:tc>
      </w:tr>
      <w:tr w:rsidR="00BF10A3" w:rsidRPr="00410A3E" w14:paraId="223387DB" w14:textId="77777777" w:rsidTr="001F7400">
        <w:trPr>
          <w:trHeight w:val="300"/>
        </w:trPr>
        <w:tc>
          <w:tcPr>
            <w:tcW w:w="1620" w:type="dxa"/>
            <w:noWrap/>
            <w:hideMark/>
          </w:tcPr>
          <w:p w14:paraId="2054B04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6BFB7293"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960" w:type="dxa"/>
            <w:noWrap/>
            <w:hideMark/>
          </w:tcPr>
          <w:p w14:paraId="286768FD"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11.2%</w:t>
            </w:r>
          </w:p>
        </w:tc>
      </w:tr>
      <w:tr w:rsidR="00BF10A3" w:rsidRPr="00410A3E" w14:paraId="48F7E743" w14:textId="77777777" w:rsidTr="001F7400">
        <w:trPr>
          <w:trHeight w:val="300"/>
        </w:trPr>
        <w:tc>
          <w:tcPr>
            <w:tcW w:w="1620" w:type="dxa"/>
            <w:noWrap/>
            <w:hideMark/>
          </w:tcPr>
          <w:p w14:paraId="2DEF9D2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480" w:type="dxa"/>
            <w:noWrap/>
            <w:hideMark/>
          </w:tcPr>
          <w:p w14:paraId="5C6C844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w:t>
            </w:r>
          </w:p>
        </w:tc>
        <w:tc>
          <w:tcPr>
            <w:tcW w:w="1960" w:type="dxa"/>
            <w:noWrap/>
            <w:hideMark/>
          </w:tcPr>
          <w:p w14:paraId="4A1CABC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6.3%</w:t>
            </w:r>
          </w:p>
        </w:tc>
      </w:tr>
      <w:tr w:rsidR="00BF10A3" w:rsidRPr="00410A3E" w14:paraId="5140FAB0" w14:textId="77777777" w:rsidTr="001F7400">
        <w:trPr>
          <w:trHeight w:val="300"/>
        </w:trPr>
        <w:tc>
          <w:tcPr>
            <w:tcW w:w="1620" w:type="dxa"/>
            <w:noWrap/>
            <w:hideMark/>
          </w:tcPr>
          <w:p w14:paraId="696FBE9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7EF0A5F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960" w:type="dxa"/>
            <w:noWrap/>
            <w:hideMark/>
          </w:tcPr>
          <w:p w14:paraId="711BC42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0.8%</w:t>
            </w:r>
          </w:p>
        </w:tc>
      </w:tr>
      <w:tr w:rsidR="00BF10A3" w:rsidRPr="00410A3E" w14:paraId="2CCF6661" w14:textId="77777777" w:rsidTr="001F7400">
        <w:trPr>
          <w:trHeight w:val="300"/>
        </w:trPr>
        <w:tc>
          <w:tcPr>
            <w:tcW w:w="1620" w:type="dxa"/>
            <w:noWrap/>
            <w:hideMark/>
          </w:tcPr>
          <w:p w14:paraId="44DE08C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1503A824"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Fail</w:t>
            </w:r>
          </w:p>
        </w:tc>
        <w:tc>
          <w:tcPr>
            <w:tcW w:w="1960" w:type="dxa"/>
            <w:noWrap/>
            <w:hideMark/>
          </w:tcPr>
          <w:p w14:paraId="48562B7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0.6%</w:t>
            </w:r>
          </w:p>
        </w:tc>
      </w:tr>
      <w:tr w:rsidR="00BF10A3" w:rsidRPr="00410A3E" w14:paraId="0DD688CF" w14:textId="77777777" w:rsidTr="001F7400">
        <w:trPr>
          <w:trHeight w:val="300"/>
        </w:trPr>
        <w:tc>
          <w:tcPr>
            <w:tcW w:w="1620" w:type="dxa"/>
            <w:noWrap/>
            <w:hideMark/>
          </w:tcPr>
          <w:p w14:paraId="2B97566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w:t>
            </w:r>
          </w:p>
        </w:tc>
        <w:tc>
          <w:tcPr>
            <w:tcW w:w="1480" w:type="dxa"/>
            <w:noWrap/>
            <w:hideMark/>
          </w:tcPr>
          <w:p w14:paraId="67DA8BF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960" w:type="dxa"/>
            <w:noWrap/>
            <w:hideMark/>
          </w:tcPr>
          <w:p w14:paraId="4638D880"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92.3%</w:t>
            </w:r>
          </w:p>
        </w:tc>
      </w:tr>
    </w:tbl>
    <w:p w14:paraId="7A4B2CA9" w14:textId="77777777" w:rsidR="00BF10A3" w:rsidRPr="00AA6DFD" w:rsidRDefault="00BF10A3" w:rsidP="00BF10A3">
      <w:pPr>
        <w:spacing w:after="0" w:line="480" w:lineRule="auto"/>
        <w:rPr>
          <w:rFonts w:ascii="Courier New" w:hAnsi="Courier New" w:cs="Courier New"/>
          <w:sz w:val="24"/>
          <w:szCs w:val="24"/>
        </w:rPr>
      </w:pPr>
    </w:p>
    <w:p w14:paraId="30FD49D4" w14:textId="77777777" w:rsidR="00BF10A3" w:rsidRPr="00AA6DFD" w:rsidRDefault="00BF10A3" w:rsidP="00BF10A3">
      <w:pPr>
        <w:spacing w:after="0" w:line="480" w:lineRule="auto"/>
        <w:ind w:firstLine="720"/>
        <w:rPr>
          <w:rFonts w:ascii="Courier New" w:hAnsi="Courier New" w:cs="Courier New"/>
          <w:sz w:val="24"/>
          <w:szCs w:val="24"/>
        </w:rPr>
      </w:pPr>
    </w:p>
    <w:p w14:paraId="00061C3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Because the year 0 and year 1 assumptions are the actual observed results of programs based on a cohort of students that completed programs prior to the Department’s GE rulemaking efforts, the year 0 and year 1 assumptions do not account for changes that institutions have made to their programs in response to the Department’s regulatory actions or will make after the final regulations are published.  </w:t>
      </w:r>
    </w:p>
    <w:p w14:paraId="0575276D" w14:textId="77777777" w:rsidR="00BF10A3" w:rsidRPr="00AA6DFD" w:rsidRDefault="00BF10A3" w:rsidP="00BF10A3">
      <w:pPr>
        <w:pStyle w:val="riaheader3"/>
      </w:pPr>
      <w:r w:rsidRPr="00AA6DFD">
        <w:t>Year 1 to year 2 program transition assumptions</w:t>
      </w:r>
    </w:p>
    <w:p w14:paraId="7A7631F9" w14:textId="77777777" w:rsidR="00BF10A3" w:rsidRPr="00AA6DFD" w:rsidRDefault="00BF10A3" w:rsidP="00BF10A3">
      <w:pPr>
        <w:spacing w:after="0" w:line="240" w:lineRule="auto"/>
        <w:ind w:firstLine="720"/>
        <w:rPr>
          <w:rFonts w:ascii="Courier New" w:hAnsi="Courier New" w:cs="Courier New"/>
          <w:sz w:val="24"/>
          <w:szCs w:val="24"/>
        </w:rPr>
      </w:pPr>
    </w:p>
    <w:p w14:paraId="23681FD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After the year 0 to year 1 transition, the model assumes that institutions will take at least some steps to improve program performance during the transition period by, beginning with the year 1 to year 2 transition, increasing the baseline observed probability for all combinations with a passing result in year 2 by five percentage points.  Because the total probabilities for each subsequent year result for any single prior year result cannot exceed 100 percent, the 5 percentage point year 2 “improvement increase” in the probability of passing is offset by a three percentage point zone probability decrease and two percentage point fail probability decrease.   </w:t>
      </w:r>
    </w:p>
    <w:p w14:paraId="6C9AC25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also assumed that programs with recent passing results would have a greater chance of future passing results, and programs with recent failing results would likewise be more likely to fail in the future.  A zone result in year 0 or 1 was considered to have a neutral effect on future results.  For each passing result a program had in years 0 and 1, we increased the proportion of passing programs in year 2 for all combinations of year 0-year 1 results by five percentage points.  Each 5 percentage point year 2 “momentum increase” in the probability of passing is offset by a three percentage point zone probability decrease and two percentage point fail probability decrease.  Similarly, for each failing result a program had in years 0 and 1, we decreased the proportion of passing programs in year 2 for all combinations of year 0-year 1 results by five percentage points.  Each 5 percentage point year 2 “momentum decrease” in the probability of passing is offset by a two percentage point zone probability increase and three percentage point fail probability increase.   </w:t>
      </w:r>
    </w:p>
    <w:p w14:paraId="081E5CC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demonstrate the effect of the year 1 to year 2 transition assumptions, we provide as an example the probability of each of a program’s possible results in year 2 if it was in the zone in year 0 and passing in year 1.  For the year 1 to year 2 pass-pass transition probability, a 5 percent improvement increase and a 5 percent momentum increase due to the year 1 pass result are added to the baseline observed 81.5 percent pass-pass probability, resulting in an assumed probability of 91.5 percent that a program is passing in year 2 after it was in the zone in year 0 and passing in year 1.  In most cases, the 10 percentage point year 2 pass probability increase would be offset in the model by a 6 percentage point year 2 zone probability decrease (3 percentage points for each 5 percentage point increase) and a 4 percentage point year 2 fail probability decrease (2 percentage points for each 5 percentage point increase) from the baseline observed pass-zone and pass-fail probabilities respectively.  In this case, the baseline observed probabilities are decreased from 4 percent to 0 percent for pass-zone and 1 percent to 0 percent for pass-fail.  Because the baseline observed pass-ineligible probability is already 0 percent, the remaining 5 percent offset amount is taken from the baseline observed pass-not evaluated probability, reducing it from 13.5 percent to 8.5 percent.  To summarize, for a program that is in the zone in year 0 and passing in year 1, the probabilities of the program’s year 2 results are as follows: pass, 91.5 percent (81.5 + 5 + 5); zone, 0 percent (4 – 4); fail 0 percent (1 – 1); not evaluated, 8.5 percent (13.5 – 5); ineligible, 0 percent.        </w:t>
      </w:r>
    </w:p>
    <w:p w14:paraId="0FD9D14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  </w:t>
      </w:r>
    </w:p>
    <w:p w14:paraId="323D5C5E"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b/>
          <w:sz w:val="24"/>
          <w:szCs w:val="24"/>
        </w:rPr>
        <w:t>Table 3.2: Year 1 to Year 2 Program Transition Assumptions</w:t>
      </w:r>
    </w:p>
    <w:p w14:paraId="770D4D00" w14:textId="77777777" w:rsidR="00BF10A3" w:rsidRDefault="00BF10A3" w:rsidP="00BF10A3">
      <w:pPr>
        <w:pStyle w:val="NoSpacing"/>
        <w:rPr>
          <w:rFonts w:ascii="Courier New" w:hAnsi="Courier New" w:cs="Courier New"/>
          <w:sz w:val="24"/>
          <w:szCs w:val="24"/>
        </w:rPr>
      </w:pPr>
      <w:r w:rsidRPr="00AA6DFD">
        <w:rPr>
          <w:rFonts w:ascii="Courier New" w:hAnsi="Courier New" w:cs="Courier New"/>
          <w:sz w:val="24"/>
          <w:szCs w:val="24"/>
        </w:rPr>
        <w:t xml:space="preserve">  </w:t>
      </w:r>
    </w:p>
    <w:tbl>
      <w:tblPr>
        <w:tblW w:w="8360" w:type="dxa"/>
        <w:tblInd w:w="93" w:type="dxa"/>
        <w:tblLook w:val="04A0" w:firstRow="1" w:lastRow="0" w:firstColumn="1" w:lastColumn="0" w:noHBand="0" w:noVBand="1"/>
      </w:tblPr>
      <w:tblGrid>
        <w:gridCol w:w="465"/>
        <w:gridCol w:w="90"/>
        <w:gridCol w:w="90"/>
        <w:gridCol w:w="2275"/>
        <w:gridCol w:w="960"/>
        <w:gridCol w:w="960"/>
        <w:gridCol w:w="940"/>
        <w:gridCol w:w="1040"/>
        <w:gridCol w:w="1540"/>
      </w:tblGrid>
      <w:tr w:rsidR="00BF10A3" w:rsidRPr="00410A3E" w14:paraId="1CACB38B" w14:textId="77777777" w:rsidTr="001F7400">
        <w:trPr>
          <w:trHeight w:val="300"/>
        </w:trPr>
        <w:tc>
          <w:tcPr>
            <w:tcW w:w="2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4FE47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Prior Years Results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7FBD563" w14:textId="77777777" w:rsidR="00BF10A3" w:rsidRPr="00410A3E" w:rsidRDefault="00BF10A3" w:rsidP="001F7400">
            <w:pPr>
              <w:spacing w:after="0" w:line="240" w:lineRule="auto"/>
              <w:jc w:val="right"/>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Pass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33606FD" w14:textId="77777777" w:rsidR="00BF10A3" w:rsidRPr="00410A3E" w:rsidRDefault="00BF10A3" w:rsidP="001F7400">
            <w:pPr>
              <w:spacing w:after="0" w:line="240" w:lineRule="auto"/>
              <w:jc w:val="right"/>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Zone</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3AB6F173" w14:textId="77777777" w:rsidR="00BF10A3" w:rsidRPr="00410A3E" w:rsidRDefault="00BF10A3" w:rsidP="001F7400">
            <w:pPr>
              <w:spacing w:after="0" w:line="240" w:lineRule="auto"/>
              <w:jc w:val="right"/>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Fail</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1759A4F1" w14:textId="77777777" w:rsidR="00BF10A3" w:rsidRPr="00410A3E" w:rsidRDefault="00BF10A3" w:rsidP="001F7400">
            <w:pPr>
              <w:spacing w:after="0" w:line="240" w:lineRule="auto"/>
              <w:jc w:val="right"/>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NE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6519750F" w14:textId="77777777" w:rsidR="00BF10A3" w:rsidRPr="00410A3E" w:rsidRDefault="00BF10A3" w:rsidP="001F7400">
            <w:pPr>
              <w:spacing w:after="0" w:line="240" w:lineRule="auto"/>
              <w:jc w:val="right"/>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Ineligible</w:t>
            </w:r>
          </w:p>
        </w:tc>
      </w:tr>
      <w:tr w:rsidR="00BF10A3" w:rsidRPr="00410A3E" w14:paraId="3D66ADDB" w14:textId="77777777" w:rsidTr="001F7400">
        <w:trPr>
          <w:trHeight w:val="300"/>
        </w:trPr>
        <w:tc>
          <w:tcPr>
            <w:tcW w:w="29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708EF9"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YR0 Pass</w:t>
            </w:r>
          </w:p>
          <w:p w14:paraId="0129B82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889A361"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34D8E78"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215F427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5E84F9BC"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6D97D6"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704826D8" w14:textId="77777777" w:rsidTr="001F7400">
        <w:trPr>
          <w:trHeight w:val="300"/>
        </w:trPr>
        <w:tc>
          <w:tcPr>
            <w:tcW w:w="465" w:type="dxa"/>
            <w:tcBorders>
              <w:top w:val="nil"/>
              <w:left w:val="single" w:sz="4" w:space="0" w:color="auto"/>
              <w:bottom w:val="single" w:sz="4" w:space="0" w:color="auto"/>
              <w:right w:val="nil"/>
            </w:tcBorders>
            <w:shd w:val="clear" w:color="auto" w:fill="auto"/>
            <w:noWrap/>
            <w:vAlign w:val="bottom"/>
            <w:hideMark/>
          </w:tcPr>
          <w:p w14:paraId="27287E7B"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nil"/>
              <w:left w:val="nil"/>
              <w:bottom w:val="single" w:sz="4" w:space="0" w:color="auto"/>
              <w:right w:val="single" w:sz="4" w:space="0" w:color="auto"/>
            </w:tcBorders>
            <w:shd w:val="clear" w:color="auto" w:fill="auto"/>
            <w:noWrap/>
            <w:vAlign w:val="bottom"/>
            <w:hideMark/>
          </w:tcPr>
          <w:p w14:paraId="5788F8F1"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C3219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96.5</w:t>
            </w:r>
          </w:p>
        </w:tc>
        <w:tc>
          <w:tcPr>
            <w:tcW w:w="960" w:type="dxa"/>
            <w:tcBorders>
              <w:top w:val="nil"/>
              <w:left w:val="nil"/>
              <w:bottom w:val="single" w:sz="4" w:space="0" w:color="auto"/>
              <w:right w:val="single" w:sz="4" w:space="0" w:color="auto"/>
            </w:tcBorders>
            <w:shd w:val="clear" w:color="auto" w:fill="auto"/>
            <w:noWrap/>
            <w:vAlign w:val="bottom"/>
            <w:hideMark/>
          </w:tcPr>
          <w:p w14:paraId="24ECC19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29CAF9D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6ADEC9D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3.5</w:t>
            </w:r>
          </w:p>
        </w:tc>
        <w:tc>
          <w:tcPr>
            <w:tcW w:w="1540" w:type="dxa"/>
            <w:tcBorders>
              <w:top w:val="nil"/>
              <w:left w:val="nil"/>
              <w:bottom w:val="single" w:sz="4" w:space="0" w:color="auto"/>
              <w:right w:val="single" w:sz="4" w:space="0" w:color="auto"/>
            </w:tcBorders>
            <w:shd w:val="clear" w:color="auto" w:fill="auto"/>
            <w:noWrap/>
            <w:vAlign w:val="bottom"/>
            <w:hideMark/>
          </w:tcPr>
          <w:p w14:paraId="7FF18A00"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44FC3BAC" w14:textId="77777777" w:rsidTr="001F7400">
        <w:trPr>
          <w:trHeight w:val="300"/>
        </w:trPr>
        <w:tc>
          <w:tcPr>
            <w:tcW w:w="465" w:type="dxa"/>
            <w:tcBorders>
              <w:top w:val="single" w:sz="4" w:space="0" w:color="auto"/>
              <w:left w:val="single" w:sz="4" w:space="0" w:color="auto"/>
              <w:bottom w:val="single" w:sz="4" w:space="0" w:color="auto"/>
              <w:right w:val="nil"/>
            </w:tcBorders>
            <w:shd w:val="clear" w:color="auto" w:fill="auto"/>
            <w:noWrap/>
            <w:vAlign w:val="bottom"/>
            <w:hideMark/>
          </w:tcPr>
          <w:p w14:paraId="1B072E9F"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9450DE"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Y1 Zone</w:t>
            </w:r>
          </w:p>
        </w:tc>
        <w:tc>
          <w:tcPr>
            <w:tcW w:w="960" w:type="dxa"/>
            <w:tcBorders>
              <w:top w:val="nil"/>
              <w:left w:val="nil"/>
              <w:bottom w:val="single" w:sz="4" w:space="0" w:color="auto"/>
              <w:right w:val="single" w:sz="4" w:space="0" w:color="auto"/>
            </w:tcBorders>
            <w:shd w:val="clear" w:color="auto" w:fill="auto"/>
            <w:noWrap/>
            <w:vAlign w:val="bottom"/>
            <w:hideMark/>
          </w:tcPr>
          <w:p w14:paraId="3DEF3CF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32</w:t>
            </w:r>
          </w:p>
        </w:tc>
        <w:tc>
          <w:tcPr>
            <w:tcW w:w="960" w:type="dxa"/>
            <w:tcBorders>
              <w:top w:val="nil"/>
              <w:left w:val="nil"/>
              <w:bottom w:val="single" w:sz="4" w:space="0" w:color="auto"/>
              <w:right w:val="single" w:sz="4" w:space="0" w:color="auto"/>
            </w:tcBorders>
            <w:shd w:val="clear" w:color="auto" w:fill="auto"/>
            <w:noWrap/>
            <w:vAlign w:val="bottom"/>
            <w:hideMark/>
          </w:tcPr>
          <w:p w14:paraId="1E020A20"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34</w:t>
            </w:r>
          </w:p>
        </w:tc>
        <w:tc>
          <w:tcPr>
            <w:tcW w:w="940" w:type="dxa"/>
            <w:tcBorders>
              <w:top w:val="nil"/>
              <w:left w:val="nil"/>
              <w:bottom w:val="single" w:sz="4" w:space="0" w:color="auto"/>
              <w:right w:val="single" w:sz="4" w:space="0" w:color="auto"/>
            </w:tcBorders>
            <w:shd w:val="clear" w:color="auto" w:fill="auto"/>
            <w:noWrap/>
            <w:vAlign w:val="bottom"/>
            <w:hideMark/>
          </w:tcPr>
          <w:p w14:paraId="4F4B2AEA"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21</w:t>
            </w:r>
          </w:p>
        </w:tc>
        <w:tc>
          <w:tcPr>
            <w:tcW w:w="1040" w:type="dxa"/>
            <w:tcBorders>
              <w:top w:val="nil"/>
              <w:left w:val="nil"/>
              <w:bottom w:val="single" w:sz="4" w:space="0" w:color="auto"/>
              <w:right w:val="single" w:sz="4" w:space="0" w:color="auto"/>
            </w:tcBorders>
            <w:shd w:val="clear" w:color="auto" w:fill="auto"/>
            <w:noWrap/>
            <w:vAlign w:val="bottom"/>
            <w:hideMark/>
          </w:tcPr>
          <w:p w14:paraId="11BA432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31AFEBF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3C2F46AC" w14:textId="77777777" w:rsidTr="001F7400">
        <w:trPr>
          <w:trHeight w:val="300"/>
        </w:trPr>
        <w:tc>
          <w:tcPr>
            <w:tcW w:w="465" w:type="dxa"/>
            <w:tcBorders>
              <w:top w:val="nil"/>
              <w:left w:val="single" w:sz="4" w:space="0" w:color="auto"/>
              <w:bottom w:val="single" w:sz="4" w:space="0" w:color="auto"/>
              <w:right w:val="nil"/>
            </w:tcBorders>
            <w:shd w:val="clear" w:color="auto" w:fill="auto"/>
            <w:noWrap/>
            <w:vAlign w:val="bottom"/>
            <w:hideMark/>
          </w:tcPr>
          <w:p w14:paraId="1B8A0044"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nil"/>
              <w:left w:val="nil"/>
              <w:bottom w:val="single" w:sz="4" w:space="0" w:color="auto"/>
              <w:right w:val="single" w:sz="4" w:space="0" w:color="auto"/>
            </w:tcBorders>
            <w:shd w:val="clear" w:color="auto" w:fill="auto"/>
            <w:noWrap/>
            <w:vAlign w:val="bottom"/>
            <w:hideMark/>
          </w:tcPr>
          <w:p w14:paraId="1838EED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Fail</w:t>
            </w:r>
          </w:p>
        </w:tc>
        <w:tc>
          <w:tcPr>
            <w:tcW w:w="960" w:type="dxa"/>
            <w:tcBorders>
              <w:top w:val="nil"/>
              <w:left w:val="nil"/>
              <w:bottom w:val="single" w:sz="4" w:space="0" w:color="auto"/>
              <w:right w:val="single" w:sz="4" w:space="0" w:color="auto"/>
            </w:tcBorders>
            <w:shd w:val="clear" w:color="auto" w:fill="auto"/>
            <w:noWrap/>
            <w:vAlign w:val="bottom"/>
            <w:hideMark/>
          </w:tcPr>
          <w:p w14:paraId="5B2EB804"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9</w:t>
            </w:r>
          </w:p>
        </w:tc>
        <w:tc>
          <w:tcPr>
            <w:tcW w:w="960" w:type="dxa"/>
            <w:tcBorders>
              <w:top w:val="nil"/>
              <w:left w:val="nil"/>
              <w:bottom w:val="single" w:sz="4" w:space="0" w:color="auto"/>
              <w:right w:val="single" w:sz="4" w:space="0" w:color="auto"/>
            </w:tcBorders>
            <w:shd w:val="clear" w:color="auto" w:fill="auto"/>
            <w:noWrap/>
            <w:vAlign w:val="bottom"/>
            <w:hideMark/>
          </w:tcPr>
          <w:p w14:paraId="2A566778"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17</w:t>
            </w:r>
          </w:p>
        </w:tc>
        <w:tc>
          <w:tcPr>
            <w:tcW w:w="940" w:type="dxa"/>
            <w:tcBorders>
              <w:top w:val="nil"/>
              <w:left w:val="nil"/>
              <w:bottom w:val="single" w:sz="4" w:space="0" w:color="auto"/>
              <w:right w:val="single" w:sz="4" w:space="0" w:color="auto"/>
            </w:tcBorders>
            <w:shd w:val="clear" w:color="auto" w:fill="auto"/>
            <w:noWrap/>
            <w:vAlign w:val="bottom"/>
            <w:hideMark/>
          </w:tcPr>
          <w:p w14:paraId="4FCC1D4A"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648C90A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7F96184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63</w:t>
            </w:r>
          </w:p>
        </w:tc>
      </w:tr>
      <w:tr w:rsidR="00BF10A3" w:rsidRPr="00410A3E" w14:paraId="0B5A4D69" w14:textId="77777777" w:rsidTr="001F7400">
        <w:trPr>
          <w:trHeight w:val="300"/>
        </w:trPr>
        <w:tc>
          <w:tcPr>
            <w:tcW w:w="465" w:type="dxa"/>
            <w:tcBorders>
              <w:top w:val="nil"/>
              <w:left w:val="single" w:sz="4" w:space="0" w:color="auto"/>
              <w:bottom w:val="single" w:sz="4" w:space="0" w:color="auto"/>
              <w:right w:val="nil"/>
            </w:tcBorders>
            <w:shd w:val="clear" w:color="auto" w:fill="auto"/>
            <w:noWrap/>
            <w:vAlign w:val="bottom"/>
            <w:hideMark/>
          </w:tcPr>
          <w:p w14:paraId="7CB7025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nil"/>
              <w:left w:val="nil"/>
              <w:bottom w:val="single" w:sz="4" w:space="0" w:color="auto"/>
              <w:right w:val="single" w:sz="4" w:space="0" w:color="auto"/>
            </w:tcBorders>
            <w:shd w:val="clear" w:color="auto" w:fill="auto"/>
            <w:noWrap/>
            <w:vAlign w:val="bottom"/>
            <w:hideMark/>
          </w:tcPr>
          <w:p w14:paraId="13E16C8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4A0CE48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16</w:t>
            </w:r>
          </w:p>
        </w:tc>
        <w:tc>
          <w:tcPr>
            <w:tcW w:w="960" w:type="dxa"/>
            <w:tcBorders>
              <w:top w:val="nil"/>
              <w:left w:val="nil"/>
              <w:bottom w:val="single" w:sz="4" w:space="0" w:color="auto"/>
              <w:right w:val="single" w:sz="4" w:space="0" w:color="auto"/>
            </w:tcBorders>
            <w:shd w:val="clear" w:color="auto" w:fill="auto"/>
            <w:noWrap/>
            <w:vAlign w:val="bottom"/>
            <w:hideMark/>
          </w:tcPr>
          <w:p w14:paraId="6BA83AC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2FE3CA6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50D95AE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84</w:t>
            </w:r>
          </w:p>
        </w:tc>
        <w:tc>
          <w:tcPr>
            <w:tcW w:w="1540" w:type="dxa"/>
            <w:tcBorders>
              <w:top w:val="nil"/>
              <w:left w:val="nil"/>
              <w:bottom w:val="single" w:sz="4" w:space="0" w:color="auto"/>
              <w:right w:val="single" w:sz="4" w:space="0" w:color="auto"/>
            </w:tcBorders>
            <w:shd w:val="clear" w:color="auto" w:fill="auto"/>
            <w:noWrap/>
            <w:vAlign w:val="bottom"/>
            <w:hideMark/>
          </w:tcPr>
          <w:p w14:paraId="3D80A582"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7B68254D" w14:textId="77777777" w:rsidTr="001F7400">
        <w:trPr>
          <w:trHeight w:val="300"/>
        </w:trPr>
        <w:tc>
          <w:tcPr>
            <w:tcW w:w="465" w:type="dxa"/>
            <w:tcBorders>
              <w:top w:val="nil"/>
              <w:left w:val="single" w:sz="4" w:space="0" w:color="auto"/>
              <w:bottom w:val="single" w:sz="4" w:space="0" w:color="auto"/>
              <w:right w:val="nil"/>
            </w:tcBorders>
            <w:shd w:val="clear" w:color="auto" w:fill="auto"/>
            <w:noWrap/>
            <w:vAlign w:val="bottom"/>
            <w:hideMark/>
          </w:tcPr>
          <w:p w14:paraId="22587F2D"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nil"/>
              <w:left w:val="nil"/>
              <w:bottom w:val="single" w:sz="4" w:space="0" w:color="auto"/>
              <w:right w:val="single" w:sz="4" w:space="0" w:color="auto"/>
            </w:tcBorders>
            <w:shd w:val="clear" w:color="auto" w:fill="auto"/>
            <w:noWrap/>
            <w:vAlign w:val="bottom"/>
            <w:hideMark/>
          </w:tcPr>
          <w:p w14:paraId="3813A68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E795C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36ACBB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5316EB9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31583F0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21775E44"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100</w:t>
            </w:r>
          </w:p>
        </w:tc>
      </w:tr>
      <w:tr w:rsidR="00BF10A3" w:rsidRPr="00410A3E" w14:paraId="626DCE09" w14:textId="77777777" w:rsidTr="001F7400">
        <w:trPr>
          <w:trHeight w:val="300"/>
        </w:trPr>
        <w:tc>
          <w:tcPr>
            <w:tcW w:w="465" w:type="dxa"/>
            <w:tcBorders>
              <w:top w:val="nil"/>
              <w:left w:val="single" w:sz="4" w:space="0" w:color="auto"/>
              <w:bottom w:val="nil"/>
              <w:right w:val="nil"/>
            </w:tcBorders>
            <w:shd w:val="clear" w:color="auto" w:fill="auto"/>
            <w:noWrap/>
            <w:vAlign w:val="bottom"/>
            <w:hideMark/>
          </w:tcPr>
          <w:p w14:paraId="656BE991"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455" w:type="dxa"/>
            <w:gridSpan w:val="3"/>
            <w:tcBorders>
              <w:top w:val="nil"/>
              <w:left w:val="nil"/>
              <w:bottom w:val="single" w:sz="4" w:space="0" w:color="auto"/>
              <w:right w:val="single" w:sz="4" w:space="0" w:color="auto"/>
            </w:tcBorders>
            <w:shd w:val="clear" w:color="auto" w:fill="auto"/>
            <w:noWrap/>
            <w:vAlign w:val="bottom"/>
            <w:hideMark/>
          </w:tcPr>
          <w:p w14:paraId="77EC3D68"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FCC7E7"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88DABD4"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7E05C5B8"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3E7F1EA7"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2DC7BB6B"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468B3BDE" w14:textId="77777777" w:rsidTr="001F7400">
        <w:trPr>
          <w:trHeight w:val="300"/>
        </w:trPr>
        <w:tc>
          <w:tcPr>
            <w:tcW w:w="29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62B21"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YR0 Zone</w:t>
            </w:r>
          </w:p>
          <w:p w14:paraId="1B314E2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D8F2A38"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8538535"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729F416"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859B7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A9721A"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0B459A8E"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66848731"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054350F3"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852E35"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91.5</w:t>
            </w:r>
          </w:p>
        </w:tc>
        <w:tc>
          <w:tcPr>
            <w:tcW w:w="960" w:type="dxa"/>
            <w:tcBorders>
              <w:top w:val="nil"/>
              <w:left w:val="nil"/>
              <w:bottom w:val="single" w:sz="4" w:space="0" w:color="auto"/>
              <w:right w:val="single" w:sz="4" w:space="0" w:color="auto"/>
            </w:tcBorders>
            <w:shd w:val="clear" w:color="auto" w:fill="auto"/>
            <w:noWrap/>
            <w:vAlign w:val="bottom"/>
            <w:hideMark/>
          </w:tcPr>
          <w:p w14:paraId="4A4A5602"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20D271C2"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4462E09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8.5</w:t>
            </w:r>
          </w:p>
        </w:tc>
        <w:tc>
          <w:tcPr>
            <w:tcW w:w="1540" w:type="dxa"/>
            <w:tcBorders>
              <w:top w:val="nil"/>
              <w:left w:val="nil"/>
              <w:bottom w:val="single" w:sz="4" w:space="0" w:color="auto"/>
              <w:right w:val="single" w:sz="4" w:space="0" w:color="auto"/>
            </w:tcBorders>
            <w:shd w:val="clear" w:color="auto" w:fill="auto"/>
            <w:noWrap/>
            <w:vAlign w:val="bottom"/>
            <w:hideMark/>
          </w:tcPr>
          <w:p w14:paraId="204ED4C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42CAB408" w14:textId="77777777" w:rsidTr="001F7400">
        <w:trPr>
          <w:trHeight w:val="300"/>
        </w:trPr>
        <w:tc>
          <w:tcPr>
            <w:tcW w:w="5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846FF46"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BBD10F"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Y1 Zone</w:t>
            </w:r>
          </w:p>
        </w:tc>
        <w:tc>
          <w:tcPr>
            <w:tcW w:w="960" w:type="dxa"/>
            <w:tcBorders>
              <w:top w:val="nil"/>
              <w:left w:val="nil"/>
              <w:bottom w:val="single" w:sz="4" w:space="0" w:color="auto"/>
              <w:right w:val="single" w:sz="4" w:space="0" w:color="auto"/>
            </w:tcBorders>
            <w:shd w:val="clear" w:color="auto" w:fill="auto"/>
            <w:noWrap/>
            <w:vAlign w:val="bottom"/>
            <w:hideMark/>
          </w:tcPr>
          <w:p w14:paraId="0E5001D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27</w:t>
            </w:r>
          </w:p>
        </w:tc>
        <w:tc>
          <w:tcPr>
            <w:tcW w:w="960" w:type="dxa"/>
            <w:tcBorders>
              <w:top w:val="nil"/>
              <w:left w:val="nil"/>
              <w:bottom w:val="single" w:sz="4" w:space="0" w:color="auto"/>
              <w:right w:val="single" w:sz="4" w:space="0" w:color="auto"/>
            </w:tcBorders>
            <w:shd w:val="clear" w:color="auto" w:fill="auto"/>
            <w:noWrap/>
            <w:vAlign w:val="bottom"/>
            <w:hideMark/>
          </w:tcPr>
          <w:p w14:paraId="2E647E30"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37</w:t>
            </w:r>
          </w:p>
        </w:tc>
        <w:tc>
          <w:tcPr>
            <w:tcW w:w="940" w:type="dxa"/>
            <w:tcBorders>
              <w:top w:val="nil"/>
              <w:left w:val="nil"/>
              <w:bottom w:val="single" w:sz="4" w:space="0" w:color="auto"/>
              <w:right w:val="single" w:sz="4" w:space="0" w:color="auto"/>
            </w:tcBorders>
            <w:shd w:val="clear" w:color="auto" w:fill="auto"/>
            <w:noWrap/>
            <w:vAlign w:val="bottom"/>
            <w:hideMark/>
          </w:tcPr>
          <w:p w14:paraId="6049B76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23</w:t>
            </w:r>
          </w:p>
        </w:tc>
        <w:tc>
          <w:tcPr>
            <w:tcW w:w="1040" w:type="dxa"/>
            <w:tcBorders>
              <w:top w:val="nil"/>
              <w:left w:val="nil"/>
              <w:bottom w:val="single" w:sz="4" w:space="0" w:color="auto"/>
              <w:right w:val="single" w:sz="4" w:space="0" w:color="auto"/>
            </w:tcBorders>
            <w:shd w:val="clear" w:color="auto" w:fill="auto"/>
            <w:noWrap/>
            <w:vAlign w:val="bottom"/>
            <w:hideMark/>
          </w:tcPr>
          <w:p w14:paraId="070EAF1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595F945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40B27BA2"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75697C5B"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6AD4AD03"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Fail</w:t>
            </w:r>
          </w:p>
        </w:tc>
        <w:tc>
          <w:tcPr>
            <w:tcW w:w="960" w:type="dxa"/>
            <w:tcBorders>
              <w:top w:val="nil"/>
              <w:left w:val="nil"/>
              <w:bottom w:val="single" w:sz="4" w:space="0" w:color="auto"/>
              <w:right w:val="single" w:sz="4" w:space="0" w:color="auto"/>
            </w:tcBorders>
            <w:shd w:val="clear" w:color="auto" w:fill="auto"/>
            <w:noWrap/>
            <w:vAlign w:val="bottom"/>
            <w:hideMark/>
          </w:tcPr>
          <w:p w14:paraId="7BFE32F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61F616B4"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20</w:t>
            </w:r>
          </w:p>
        </w:tc>
        <w:tc>
          <w:tcPr>
            <w:tcW w:w="940" w:type="dxa"/>
            <w:tcBorders>
              <w:top w:val="nil"/>
              <w:left w:val="nil"/>
              <w:bottom w:val="single" w:sz="4" w:space="0" w:color="auto"/>
              <w:right w:val="single" w:sz="4" w:space="0" w:color="auto"/>
            </w:tcBorders>
            <w:shd w:val="clear" w:color="auto" w:fill="auto"/>
            <w:noWrap/>
            <w:vAlign w:val="bottom"/>
            <w:hideMark/>
          </w:tcPr>
          <w:p w14:paraId="38D1E3AA"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6717B64A"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13B9244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65</w:t>
            </w:r>
          </w:p>
        </w:tc>
      </w:tr>
      <w:tr w:rsidR="00BF10A3" w:rsidRPr="00410A3E" w14:paraId="537AAFB0"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1A3DD1A4"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50A0479C"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2FE80D0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11</w:t>
            </w:r>
          </w:p>
        </w:tc>
        <w:tc>
          <w:tcPr>
            <w:tcW w:w="960" w:type="dxa"/>
            <w:tcBorders>
              <w:top w:val="nil"/>
              <w:left w:val="nil"/>
              <w:bottom w:val="single" w:sz="4" w:space="0" w:color="auto"/>
              <w:right w:val="single" w:sz="4" w:space="0" w:color="auto"/>
            </w:tcBorders>
            <w:shd w:val="clear" w:color="auto" w:fill="auto"/>
            <w:noWrap/>
            <w:vAlign w:val="bottom"/>
            <w:hideMark/>
          </w:tcPr>
          <w:p w14:paraId="7447B754"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7E50F4C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02CC0384"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89</w:t>
            </w:r>
          </w:p>
        </w:tc>
        <w:tc>
          <w:tcPr>
            <w:tcW w:w="1540" w:type="dxa"/>
            <w:tcBorders>
              <w:top w:val="nil"/>
              <w:left w:val="nil"/>
              <w:bottom w:val="single" w:sz="4" w:space="0" w:color="auto"/>
              <w:right w:val="single" w:sz="4" w:space="0" w:color="auto"/>
            </w:tcBorders>
            <w:shd w:val="clear" w:color="auto" w:fill="auto"/>
            <w:noWrap/>
            <w:vAlign w:val="bottom"/>
            <w:hideMark/>
          </w:tcPr>
          <w:p w14:paraId="67AF847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1F1DF35B"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24B2E29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7DAB3A54"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E99E4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96ADE7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33E65E8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7C5BB0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67A424A0"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100</w:t>
            </w:r>
          </w:p>
        </w:tc>
      </w:tr>
      <w:tr w:rsidR="00BF10A3" w:rsidRPr="00410A3E" w14:paraId="409C5FFB" w14:textId="77777777" w:rsidTr="001F7400">
        <w:trPr>
          <w:trHeight w:val="300"/>
        </w:trPr>
        <w:tc>
          <w:tcPr>
            <w:tcW w:w="555" w:type="dxa"/>
            <w:gridSpan w:val="2"/>
            <w:tcBorders>
              <w:top w:val="nil"/>
              <w:left w:val="single" w:sz="4" w:space="0" w:color="auto"/>
              <w:bottom w:val="nil"/>
              <w:right w:val="nil"/>
            </w:tcBorders>
            <w:shd w:val="clear" w:color="auto" w:fill="auto"/>
            <w:noWrap/>
            <w:vAlign w:val="bottom"/>
            <w:hideMark/>
          </w:tcPr>
          <w:p w14:paraId="5B0DACBE"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nil"/>
              <w:right w:val="single" w:sz="4" w:space="0" w:color="auto"/>
            </w:tcBorders>
            <w:shd w:val="clear" w:color="auto" w:fill="auto"/>
            <w:noWrap/>
            <w:vAlign w:val="bottom"/>
            <w:hideMark/>
          </w:tcPr>
          <w:p w14:paraId="36A8E830"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05A40"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F2F071"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7FFED27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DC76D7"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3DC81A0E"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7B5F02EB" w14:textId="77777777" w:rsidTr="001F7400">
        <w:trPr>
          <w:trHeight w:val="300"/>
        </w:trPr>
        <w:tc>
          <w:tcPr>
            <w:tcW w:w="2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1AF24E"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YR0 Fail</w:t>
            </w:r>
          </w:p>
        </w:tc>
        <w:tc>
          <w:tcPr>
            <w:tcW w:w="960" w:type="dxa"/>
            <w:tcBorders>
              <w:top w:val="nil"/>
              <w:left w:val="nil"/>
              <w:bottom w:val="single" w:sz="4" w:space="0" w:color="auto"/>
              <w:right w:val="single" w:sz="4" w:space="0" w:color="auto"/>
            </w:tcBorders>
            <w:shd w:val="clear" w:color="auto" w:fill="auto"/>
            <w:noWrap/>
            <w:vAlign w:val="bottom"/>
            <w:hideMark/>
          </w:tcPr>
          <w:p w14:paraId="06CE772D"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9BEAED9"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634688D5"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FC3097"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1CE0E93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3E59643D"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06FFF6D2"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24AC9D19"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13948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86.5</w:t>
            </w:r>
          </w:p>
        </w:tc>
        <w:tc>
          <w:tcPr>
            <w:tcW w:w="960" w:type="dxa"/>
            <w:tcBorders>
              <w:top w:val="nil"/>
              <w:left w:val="nil"/>
              <w:bottom w:val="single" w:sz="4" w:space="0" w:color="auto"/>
              <w:right w:val="single" w:sz="4" w:space="0" w:color="auto"/>
            </w:tcBorders>
            <w:shd w:val="clear" w:color="auto" w:fill="auto"/>
            <w:noWrap/>
            <w:vAlign w:val="bottom"/>
            <w:hideMark/>
          </w:tcPr>
          <w:p w14:paraId="4335238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w:t>
            </w:r>
          </w:p>
        </w:tc>
        <w:tc>
          <w:tcPr>
            <w:tcW w:w="940" w:type="dxa"/>
            <w:tcBorders>
              <w:top w:val="nil"/>
              <w:left w:val="nil"/>
              <w:bottom w:val="single" w:sz="4" w:space="0" w:color="auto"/>
              <w:right w:val="single" w:sz="4" w:space="0" w:color="auto"/>
            </w:tcBorders>
            <w:shd w:val="clear" w:color="auto" w:fill="auto"/>
            <w:noWrap/>
            <w:vAlign w:val="bottom"/>
            <w:hideMark/>
          </w:tcPr>
          <w:p w14:paraId="68A1E0B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537B0E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12.5</w:t>
            </w:r>
          </w:p>
        </w:tc>
        <w:tc>
          <w:tcPr>
            <w:tcW w:w="1540" w:type="dxa"/>
            <w:tcBorders>
              <w:top w:val="nil"/>
              <w:left w:val="nil"/>
              <w:bottom w:val="single" w:sz="4" w:space="0" w:color="auto"/>
              <w:right w:val="single" w:sz="4" w:space="0" w:color="auto"/>
            </w:tcBorders>
            <w:shd w:val="clear" w:color="auto" w:fill="auto"/>
            <w:noWrap/>
            <w:vAlign w:val="bottom"/>
            <w:hideMark/>
          </w:tcPr>
          <w:p w14:paraId="648ADD5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32446453" w14:textId="77777777" w:rsidTr="001F7400">
        <w:trPr>
          <w:trHeight w:val="300"/>
        </w:trPr>
        <w:tc>
          <w:tcPr>
            <w:tcW w:w="5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673CA6"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8E6088"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Y1 Zone</w:t>
            </w:r>
          </w:p>
        </w:tc>
        <w:tc>
          <w:tcPr>
            <w:tcW w:w="960" w:type="dxa"/>
            <w:tcBorders>
              <w:top w:val="nil"/>
              <w:left w:val="nil"/>
              <w:bottom w:val="single" w:sz="4" w:space="0" w:color="auto"/>
              <w:right w:val="single" w:sz="4" w:space="0" w:color="auto"/>
            </w:tcBorders>
            <w:shd w:val="clear" w:color="auto" w:fill="auto"/>
            <w:noWrap/>
            <w:vAlign w:val="bottom"/>
            <w:hideMark/>
          </w:tcPr>
          <w:p w14:paraId="0E1A0C0A"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14:paraId="184C8BD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40</w:t>
            </w:r>
          </w:p>
        </w:tc>
        <w:tc>
          <w:tcPr>
            <w:tcW w:w="940" w:type="dxa"/>
            <w:tcBorders>
              <w:top w:val="nil"/>
              <w:left w:val="nil"/>
              <w:bottom w:val="single" w:sz="4" w:space="0" w:color="auto"/>
              <w:right w:val="single" w:sz="4" w:space="0" w:color="auto"/>
            </w:tcBorders>
            <w:shd w:val="clear" w:color="auto" w:fill="auto"/>
            <w:noWrap/>
            <w:vAlign w:val="bottom"/>
            <w:hideMark/>
          </w:tcPr>
          <w:p w14:paraId="4B9C7C8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w:t>
            </w:r>
          </w:p>
        </w:tc>
        <w:tc>
          <w:tcPr>
            <w:tcW w:w="1040" w:type="dxa"/>
            <w:tcBorders>
              <w:top w:val="nil"/>
              <w:left w:val="nil"/>
              <w:bottom w:val="single" w:sz="4" w:space="0" w:color="auto"/>
              <w:right w:val="single" w:sz="4" w:space="0" w:color="auto"/>
            </w:tcBorders>
            <w:shd w:val="clear" w:color="auto" w:fill="auto"/>
            <w:noWrap/>
            <w:vAlign w:val="bottom"/>
            <w:hideMark/>
          </w:tcPr>
          <w:p w14:paraId="4D6262A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52701E3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22</w:t>
            </w:r>
          </w:p>
        </w:tc>
      </w:tr>
      <w:tr w:rsidR="00BF10A3" w:rsidRPr="00410A3E" w14:paraId="456490ED"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04C9820C"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418EBB2F"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Fail</w:t>
            </w:r>
          </w:p>
        </w:tc>
        <w:tc>
          <w:tcPr>
            <w:tcW w:w="960" w:type="dxa"/>
            <w:tcBorders>
              <w:top w:val="nil"/>
              <w:left w:val="nil"/>
              <w:bottom w:val="single" w:sz="4" w:space="0" w:color="auto"/>
              <w:right w:val="single" w:sz="4" w:space="0" w:color="auto"/>
            </w:tcBorders>
            <w:shd w:val="clear" w:color="auto" w:fill="auto"/>
            <w:noWrap/>
            <w:vAlign w:val="bottom"/>
            <w:hideMark/>
          </w:tcPr>
          <w:p w14:paraId="1BAFD61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3B4E5E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DE5B06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3FAE450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1B9BDC7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100</w:t>
            </w:r>
          </w:p>
        </w:tc>
      </w:tr>
      <w:tr w:rsidR="00BF10A3" w:rsidRPr="00410A3E" w14:paraId="5F62590F"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3E189E94"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51885C5F"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774C82B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14:paraId="4D3FE7B8"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w:t>
            </w:r>
          </w:p>
        </w:tc>
        <w:tc>
          <w:tcPr>
            <w:tcW w:w="940" w:type="dxa"/>
            <w:tcBorders>
              <w:top w:val="nil"/>
              <w:left w:val="nil"/>
              <w:bottom w:val="single" w:sz="4" w:space="0" w:color="auto"/>
              <w:right w:val="single" w:sz="4" w:space="0" w:color="auto"/>
            </w:tcBorders>
            <w:shd w:val="clear" w:color="auto" w:fill="auto"/>
            <w:noWrap/>
            <w:vAlign w:val="bottom"/>
            <w:hideMark/>
          </w:tcPr>
          <w:p w14:paraId="27A9691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930883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92</w:t>
            </w:r>
          </w:p>
        </w:tc>
        <w:tc>
          <w:tcPr>
            <w:tcW w:w="1540" w:type="dxa"/>
            <w:tcBorders>
              <w:top w:val="nil"/>
              <w:left w:val="nil"/>
              <w:bottom w:val="single" w:sz="4" w:space="0" w:color="auto"/>
              <w:right w:val="single" w:sz="4" w:space="0" w:color="auto"/>
            </w:tcBorders>
            <w:shd w:val="clear" w:color="auto" w:fill="auto"/>
            <w:noWrap/>
            <w:vAlign w:val="bottom"/>
            <w:hideMark/>
          </w:tcPr>
          <w:p w14:paraId="45E78EE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w:t>
            </w:r>
          </w:p>
        </w:tc>
      </w:tr>
      <w:tr w:rsidR="00BF10A3" w:rsidRPr="00410A3E" w14:paraId="11755542" w14:textId="77777777" w:rsidTr="001F7400">
        <w:trPr>
          <w:trHeight w:val="300"/>
        </w:trPr>
        <w:tc>
          <w:tcPr>
            <w:tcW w:w="555" w:type="dxa"/>
            <w:gridSpan w:val="2"/>
            <w:tcBorders>
              <w:top w:val="nil"/>
              <w:left w:val="single" w:sz="4" w:space="0" w:color="auto"/>
              <w:bottom w:val="single" w:sz="4" w:space="0" w:color="auto"/>
              <w:right w:val="nil"/>
            </w:tcBorders>
            <w:shd w:val="clear" w:color="auto" w:fill="auto"/>
            <w:noWrap/>
            <w:vAlign w:val="bottom"/>
            <w:hideMark/>
          </w:tcPr>
          <w:p w14:paraId="5AFF7B2D"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single" w:sz="4" w:space="0" w:color="auto"/>
              <w:right w:val="single" w:sz="4" w:space="0" w:color="auto"/>
            </w:tcBorders>
            <w:shd w:val="clear" w:color="auto" w:fill="auto"/>
            <w:noWrap/>
            <w:vAlign w:val="bottom"/>
            <w:hideMark/>
          </w:tcPr>
          <w:p w14:paraId="16254850"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53EC2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19815E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28DD295"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15D45B6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0EC4080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100</w:t>
            </w:r>
          </w:p>
        </w:tc>
      </w:tr>
      <w:tr w:rsidR="00BF10A3" w:rsidRPr="00410A3E" w14:paraId="61E50426" w14:textId="77777777" w:rsidTr="001F7400">
        <w:trPr>
          <w:trHeight w:val="300"/>
        </w:trPr>
        <w:tc>
          <w:tcPr>
            <w:tcW w:w="555" w:type="dxa"/>
            <w:gridSpan w:val="2"/>
            <w:tcBorders>
              <w:top w:val="nil"/>
              <w:left w:val="single" w:sz="4" w:space="0" w:color="auto"/>
              <w:bottom w:val="nil"/>
              <w:right w:val="nil"/>
            </w:tcBorders>
            <w:shd w:val="clear" w:color="auto" w:fill="auto"/>
            <w:noWrap/>
            <w:vAlign w:val="bottom"/>
            <w:hideMark/>
          </w:tcPr>
          <w:p w14:paraId="5D546E7C"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365" w:type="dxa"/>
            <w:gridSpan w:val="2"/>
            <w:tcBorders>
              <w:top w:val="nil"/>
              <w:left w:val="nil"/>
              <w:bottom w:val="nil"/>
              <w:right w:val="single" w:sz="4" w:space="0" w:color="auto"/>
            </w:tcBorders>
            <w:shd w:val="clear" w:color="auto" w:fill="auto"/>
            <w:noWrap/>
            <w:vAlign w:val="bottom"/>
            <w:hideMark/>
          </w:tcPr>
          <w:p w14:paraId="0B1F7D04"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0BC07E"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7E48AE6"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5B16D54"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02BBE5D8"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7D6D3707"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0C8FC430" w14:textId="77777777" w:rsidTr="001F7400">
        <w:trPr>
          <w:trHeight w:val="300"/>
        </w:trPr>
        <w:tc>
          <w:tcPr>
            <w:tcW w:w="2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DD194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YR0 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221F426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4428D09"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2829472C"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529C1F9A"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A752EC3" w14:textId="77777777" w:rsidR="00BF10A3" w:rsidRPr="00410A3E" w:rsidRDefault="00BF10A3" w:rsidP="001F7400">
            <w:pPr>
              <w:spacing w:after="0" w:line="240" w:lineRule="auto"/>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 </w:t>
            </w:r>
          </w:p>
        </w:tc>
      </w:tr>
      <w:tr w:rsidR="00BF10A3" w:rsidRPr="00410A3E" w14:paraId="39653444" w14:textId="77777777" w:rsidTr="001F7400">
        <w:trPr>
          <w:trHeight w:val="300"/>
        </w:trPr>
        <w:tc>
          <w:tcPr>
            <w:tcW w:w="645" w:type="dxa"/>
            <w:gridSpan w:val="3"/>
            <w:tcBorders>
              <w:top w:val="nil"/>
              <w:left w:val="single" w:sz="4" w:space="0" w:color="auto"/>
              <w:bottom w:val="single" w:sz="4" w:space="0" w:color="auto"/>
              <w:right w:val="nil"/>
            </w:tcBorders>
            <w:shd w:val="clear" w:color="auto" w:fill="auto"/>
            <w:noWrap/>
            <w:vAlign w:val="bottom"/>
            <w:hideMark/>
          </w:tcPr>
          <w:p w14:paraId="026614A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275" w:type="dxa"/>
            <w:tcBorders>
              <w:top w:val="nil"/>
              <w:left w:val="nil"/>
              <w:bottom w:val="single" w:sz="4" w:space="0" w:color="auto"/>
              <w:right w:val="single" w:sz="4" w:space="0" w:color="auto"/>
            </w:tcBorders>
            <w:shd w:val="clear" w:color="auto" w:fill="auto"/>
            <w:noWrap/>
            <w:vAlign w:val="bottom"/>
            <w:hideMark/>
          </w:tcPr>
          <w:p w14:paraId="2132C20E"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4B4AD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91.5</w:t>
            </w:r>
          </w:p>
        </w:tc>
        <w:tc>
          <w:tcPr>
            <w:tcW w:w="960" w:type="dxa"/>
            <w:tcBorders>
              <w:top w:val="nil"/>
              <w:left w:val="nil"/>
              <w:bottom w:val="single" w:sz="4" w:space="0" w:color="auto"/>
              <w:right w:val="single" w:sz="4" w:space="0" w:color="auto"/>
            </w:tcBorders>
            <w:shd w:val="clear" w:color="auto" w:fill="auto"/>
            <w:noWrap/>
            <w:vAlign w:val="bottom"/>
            <w:hideMark/>
          </w:tcPr>
          <w:p w14:paraId="6A82C39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35975001"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08E4F468"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8.5</w:t>
            </w:r>
          </w:p>
        </w:tc>
        <w:tc>
          <w:tcPr>
            <w:tcW w:w="1540" w:type="dxa"/>
            <w:tcBorders>
              <w:top w:val="nil"/>
              <w:left w:val="nil"/>
              <w:bottom w:val="single" w:sz="4" w:space="0" w:color="auto"/>
              <w:right w:val="single" w:sz="4" w:space="0" w:color="auto"/>
            </w:tcBorders>
            <w:shd w:val="clear" w:color="auto" w:fill="auto"/>
            <w:noWrap/>
            <w:vAlign w:val="bottom"/>
            <w:hideMark/>
          </w:tcPr>
          <w:p w14:paraId="5280FC8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7312061F" w14:textId="77777777" w:rsidTr="001F7400">
        <w:trPr>
          <w:trHeight w:val="300"/>
        </w:trPr>
        <w:tc>
          <w:tcPr>
            <w:tcW w:w="64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A92F163"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275" w:type="dxa"/>
            <w:tcBorders>
              <w:top w:val="single" w:sz="4" w:space="0" w:color="auto"/>
              <w:left w:val="nil"/>
              <w:bottom w:val="single" w:sz="4" w:space="0" w:color="auto"/>
              <w:right w:val="single" w:sz="4" w:space="0" w:color="auto"/>
            </w:tcBorders>
            <w:shd w:val="clear" w:color="auto" w:fill="auto"/>
            <w:noWrap/>
            <w:vAlign w:val="bottom"/>
            <w:hideMark/>
          </w:tcPr>
          <w:p w14:paraId="72435740"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Y1 Zone</w:t>
            </w:r>
          </w:p>
        </w:tc>
        <w:tc>
          <w:tcPr>
            <w:tcW w:w="960" w:type="dxa"/>
            <w:tcBorders>
              <w:top w:val="nil"/>
              <w:left w:val="nil"/>
              <w:bottom w:val="single" w:sz="4" w:space="0" w:color="auto"/>
              <w:right w:val="single" w:sz="4" w:space="0" w:color="auto"/>
            </w:tcBorders>
            <w:shd w:val="clear" w:color="auto" w:fill="auto"/>
            <w:noWrap/>
            <w:vAlign w:val="bottom"/>
            <w:hideMark/>
          </w:tcPr>
          <w:p w14:paraId="1C772ED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27</w:t>
            </w:r>
          </w:p>
        </w:tc>
        <w:tc>
          <w:tcPr>
            <w:tcW w:w="960" w:type="dxa"/>
            <w:tcBorders>
              <w:top w:val="nil"/>
              <w:left w:val="nil"/>
              <w:bottom w:val="single" w:sz="4" w:space="0" w:color="auto"/>
              <w:right w:val="single" w:sz="4" w:space="0" w:color="auto"/>
            </w:tcBorders>
            <w:shd w:val="clear" w:color="auto" w:fill="auto"/>
            <w:noWrap/>
            <w:vAlign w:val="bottom"/>
            <w:hideMark/>
          </w:tcPr>
          <w:p w14:paraId="234D641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37</w:t>
            </w:r>
          </w:p>
        </w:tc>
        <w:tc>
          <w:tcPr>
            <w:tcW w:w="940" w:type="dxa"/>
            <w:tcBorders>
              <w:top w:val="nil"/>
              <w:left w:val="nil"/>
              <w:bottom w:val="single" w:sz="4" w:space="0" w:color="auto"/>
              <w:right w:val="single" w:sz="4" w:space="0" w:color="auto"/>
            </w:tcBorders>
            <w:shd w:val="clear" w:color="auto" w:fill="auto"/>
            <w:noWrap/>
            <w:vAlign w:val="bottom"/>
            <w:hideMark/>
          </w:tcPr>
          <w:p w14:paraId="6B05D312"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23</w:t>
            </w:r>
          </w:p>
        </w:tc>
        <w:tc>
          <w:tcPr>
            <w:tcW w:w="1040" w:type="dxa"/>
            <w:tcBorders>
              <w:top w:val="nil"/>
              <w:left w:val="nil"/>
              <w:bottom w:val="single" w:sz="4" w:space="0" w:color="auto"/>
              <w:right w:val="single" w:sz="4" w:space="0" w:color="auto"/>
            </w:tcBorders>
            <w:shd w:val="clear" w:color="auto" w:fill="auto"/>
            <w:noWrap/>
            <w:vAlign w:val="bottom"/>
            <w:hideMark/>
          </w:tcPr>
          <w:p w14:paraId="597F380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009519F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59DEA31C" w14:textId="77777777" w:rsidTr="001F7400">
        <w:trPr>
          <w:trHeight w:val="300"/>
        </w:trPr>
        <w:tc>
          <w:tcPr>
            <w:tcW w:w="645" w:type="dxa"/>
            <w:gridSpan w:val="3"/>
            <w:tcBorders>
              <w:top w:val="nil"/>
              <w:left w:val="single" w:sz="4" w:space="0" w:color="auto"/>
              <w:bottom w:val="single" w:sz="4" w:space="0" w:color="auto"/>
              <w:right w:val="nil"/>
            </w:tcBorders>
            <w:shd w:val="clear" w:color="auto" w:fill="auto"/>
            <w:noWrap/>
            <w:vAlign w:val="bottom"/>
            <w:hideMark/>
          </w:tcPr>
          <w:p w14:paraId="1581DAF6"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275" w:type="dxa"/>
            <w:tcBorders>
              <w:top w:val="nil"/>
              <w:left w:val="nil"/>
              <w:bottom w:val="single" w:sz="4" w:space="0" w:color="auto"/>
              <w:right w:val="single" w:sz="4" w:space="0" w:color="auto"/>
            </w:tcBorders>
            <w:shd w:val="clear" w:color="auto" w:fill="auto"/>
            <w:noWrap/>
            <w:vAlign w:val="bottom"/>
            <w:hideMark/>
          </w:tcPr>
          <w:p w14:paraId="31B9CC6F"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Fail</w:t>
            </w:r>
          </w:p>
        </w:tc>
        <w:tc>
          <w:tcPr>
            <w:tcW w:w="960" w:type="dxa"/>
            <w:tcBorders>
              <w:top w:val="nil"/>
              <w:left w:val="nil"/>
              <w:bottom w:val="single" w:sz="4" w:space="0" w:color="auto"/>
              <w:right w:val="single" w:sz="4" w:space="0" w:color="auto"/>
            </w:tcBorders>
            <w:shd w:val="clear" w:color="auto" w:fill="auto"/>
            <w:noWrap/>
            <w:vAlign w:val="bottom"/>
            <w:hideMark/>
          </w:tcPr>
          <w:p w14:paraId="3FE4999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14:paraId="3FE4F279"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20</w:t>
            </w:r>
          </w:p>
        </w:tc>
        <w:tc>
          <w:tcPr>
            <w:tcW w:w="940" w:type="dxa"/>
            <w:tcBorders>
              <w:top w:val="nil"/>
              <w:left w:val="nil"/>
              <w:bottom w:val="single" w:sz="4" w:space="0" w:color="auto"/>
              <w:right w:val="single" w:sz="4" w:space="0" w:color="auto"/>
            </w:tcBorders>
            <w:shd w:val="clear" w:color="auto" w:fill="auto"/>
            <w:noWrap/>
            <w:vAlign w:val="bottom"/>
            <w:hideMark/>
          </w:tcPr>
          <w:p w14:paraId="4D36E3C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4DCCF846"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4B5D6AF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65</w:t>
            </w:r>
          </w:p>
        </w:tc>
      </w:tr>
      <w:tr w:rsidR="00BF10A3" w:rsidRPr="00410A3E" w14:paraId="11951A46" w14:textId="77777777" w:rsidTr="001F7400">
        <w:trPr>
          <w:trHeight w:val="300"/>
        </w:trPr>
        <w:tc>
          <w:tcPr>
            <w:tcW w:w="645" w:type="dxa"/>
            <w:gridSpan w:val="3"/>
            <w:tcBorders>
              <w:top w:val="nil"/>
              <w:left w:val="single" w:sz="4" w:space="0" w:color="auto"/>
              <w:bottom w:val="single" w:sz="4" w:space="0" w:color="auto"/>
              <w:right w:val="nil"/>
            </w:tcBorders>
            <w:shd w:val="clear" w:color="auto" w:fill="auto"/>
            <w:noWrap/>
            <w:vAlign w:val="bottom"/>
            <w:hideMark/>
          </w:tcPr>
          <w:p w14:paraId="4D244748"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275" w:type="dxa"/>
            <w:tcBorders>
              <w:top w:val="nil"/>
              <w:left w:val="nil"/>
              <w:bottom w:val="single" w:sz="4" w:space="0" w:color="auto"/>
              <w:right w:val="single" w:sz="4" w:space="0" w:color="auto"/>
            </w:tcBorders>
            <w:shd w:val="clear" w:color="auto" w:fill="auto"/>
            <w:noWrap/>
            <w:vAlign w:val="bottom"/>
            <w:hideMark/>
          </w:tcPr>
          <w:p w14:paraId="03CF7465"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48B0F4F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B3BE37"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55952D2E"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56F31873"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89</w:t>
            </w:r>
          </w:p>
        </w:tc>
        <w:tc>
          <w:tcPr>
            <w:tcW w:w="1540" w:type="dxa"/>
            <w:tcBorders>
              <w:top w:val="nil"/>
              <w:left w:val="nil"/>
              <w:bottom w:val="single" w:sz="4" w:space="0" w:color="auto"/>
              <w:right w:val="single" w:sz="4" w:space="0" w:color="auto"/>
            </w:tcBorders>
            <w:shd w:val="clear" w:color="auto" w:fill="auto"/>
            <w:noWrap/>
            <w:vAlign w:val="bottom"/>
            <w:hideMark/>
          </w:tcPr>
          <w:p w14:paraId="46FDCC58"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r>
      <w:tr w:rsidR="00BF10A3" w:rsidRPr="00410A3E" w14:paraId="62D2F6BE" w14:textId="77777777" w:rsidTr="001F7400">
        <w:trPr>
          <w:trHeight w:val="300"/>
        </w:trPr>
        <w:tc>
          <w:tcPr>
            <w:tcW w:w="645" w:type="dxa"/>
            <w:gridSpan w:val="3"/>
            <w:tcBorders>
              <w:top w:val="nil"/>
              <w:left w:val="single" w:sz="4" w:space="0" w:color="auto"/>
              <w:bottom w:val="single" w:sz="4" w:space="0" w:color="auto"/>
              <w:right w:val="nil"/>
            </w:tcBorders>
            <w:shd w:val="clear" w:color="auto" w:fill="auto"/>
            <w:noWrap/>
            <w:vAlign w:val="bottom"/>
            <w:hideMark/>
          </w:tcPr>
          <w:p w14:paraId="201D9BCA"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 </w:t>
            </w:r>
          </w:p>
        </w:tc>
        <w:tc>
          <w:tcPr>
            <w:tcW w:w="2275" w:type="dxa"/>
            <w:tcBorders>
              <w:top w:val="nil"/>
              <w:left w:val="nil"/>
              <w:bottom w:val="single" w:sz="4" w:space="0" w:color="auto"/>
              <w:right w:val="single" w:sz="4" w:space="0" w:color="auto"/>
            </w:tcBorders>
            <w:shd w:val="clear" w:color="auto" w:fill="auto"/>
            <w:noWrap/>
            <w:vAlign w:val="bottom"/>
            <w:hideMark/>
          </w:tcPr>
          <w:p w14:paraId="2AEE5C3E" w14:textId="77777777" w:rsidR="00BF10A3" w:rsidRPr="00410A3E" w:rsidRDefault="00BF10A3" w:rsidP="001F7400">
            <w:pPr>
              <w:spacing w:after="0" w:line="240" w:lineRule="auto"/>
              <w:rPr>
                <w:rFonts w:ascii="Courier New" w:eastAsia="Times New Roman" w:hAnsi="Courier New" w:cs="Courier New"/>
                <w:b/>
                <w:bCs/>
                <w:color w:val="000000"/>
                <w:sz w:val="16"/>
                <w:szCs w:val="16"/>
              </w:rPr>
            </w:pPr>
            <w:r w:rsidRPr="00410A3E">
              <w:rPr>
                <w:rFonts w:ascii="Courier New" w:eastAsia="Times New Roman" w:hAnsi="Courier New" w:cs="Courier New"/>
                <w:b/>
                <w:bCs/>
                <w:color w:val="000000"/>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55716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9ECE6DF"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6061BA0C"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02B51AD"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38E9223B" w14:textId="77777777" w:rsidR="00BF10A3" w:rsidRPr="00410A3E" w:rsidRDefault="00BF10A3" w:rsidP="001F7400">
            <w:pPr>
              <w:spacing w:after="0" w:line="240" w:lineRule="auto"/>
              <w:jc w:val="right"/>
              <w:rPr>
                <w:rFonts w:ascii="Courier New" w:eastAsia="Times New Roman" w:hAnsi="Courier New" w:cs="Courier New"/>
                <w:color w:val="000000"/>
                <w:sz w:val="16"/>
                <w:szCs w:val="16"/>
              </w:rPr>
            </w:pPr>
            <w:r w:rsidRPr="00410A3E">
              <w:rPr>
                <w:rFonts w:ascii="Courier New" w:eastAsia="Times New Roman" w:hAnsi="Courier New" w:cs="Courier New"/>
                <w:color w:val="000000"/>
                <w:sz w:val="16"/>
                <w:szCs w:val="16"/>
              </w:rPr>
              <w:t>100</w:t>
            </w:r>
          </w:p>
        </w:tc>
      </w:tr>
    </w:tbl>
    <w:p w14:paraId="5250B189" w14:textId="77777777" w:rsidR="00BF10A3" w:rsidRPr="00AA6DFD" w:rsidRDefault="00BF10A3" w:rsidP="00BF10A3">
      <w:pPr>
        <w:pStyle w:val="NoSpacing"/>
        <w:rPr>
          <w:rFonts w:ascii="Courier New" w:hAnsi="Courier New" w:cs="Courier New"/>
          <w:i/>
          <w:sz w:val="24"/>
          <w:szCs w:val="24"/>
        </w:rPr>
      </w:pPr>
    </w:p>
    <w:p w14:paraId="7CB7BECA" w14:textId="77777777" w:rsidR="00BF10A3" w:rsidRPr="00AA6DFD" w:rsidRDefault="00BF10A3" w:rsidP="00BF10A3">
      <w:pPr>
        <w:spacing w:after="0" w:line="480" w:lineRule="auto"/>
        <w:ind w:firstLine="720"/>
        <w:rPr>
          <w:rFonts w:ascii="Courier New" w:hAnsi="Courier New" w:cs="Courier New"/>
          <w:sz w:val="24"/>
          <w:szCs w:val="24"/>
        </w:rPr>
      </w:pPr>
    </w:p>
    <w:p w14:paraId="301F4C69" w14:textId="77777777" w:rsidR="00BF10A3" w:rsidRPr="00B53B21" w:rsidRDefault="00BF10A3" w:rsidP="00BF10A3">
      <w:pPr>
        <w:pStyle w:val="riaheader3"/>
      </w:pPr>
      <w:r w:rsidRPr="00B53B21">
        <w:t xml:space="preserve">Program transition assumptions for year 3 and after </w:t>
      </w:r>
    </w:p>
    <w:p w14:paraId="3BC329BE" w14:textId="77777777" w:rsidR="00BF10A3" w:rsidRPr="00AA6DFD" w:rsidRDefault="00BF10A3" w:rsidP="00BF10A3">
      <w:pPr>
        <w:spacing w:after="0" w:line="240" w:lineRule="auto"/>
        <w:ind w:firstLine="720"/>
        <w:rPr>
          <w:rFonts w:ascii="Courier New" w:hAnsi="Courier New" w:cs="Courier New"/>
          <w:sz w:val="24"/>
          <w:szCs w:val="24"/>
        </w:rPr>
      </w:pPr>
    </w:p>
    <w:p w14:paraId="4925307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Beginning with year 3, the budget model assumes a program falls into one of six categories based upon the program’s past performance and then, for each of these categories, assumes a probability for each possible result the program could have in the subsequent year (pass, zone, fail, not evaluated, or ineligible).  The six performance categories are as follows:</w:t>
      </w:r>
    </w:p>
    <w:p w14:paraId="32C057C3"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High Performing</w:t>
      </w:r>
      <w:r w:rsidRPr="00AA6DFD">
        <w:rPr>
          <w:rFonts w:ascii="Courier New" w:hAnsi="Courier New" w:cs="Courier New"/>
          <w:sz w:val="24"/>
          <w:szCs w:val="24"/>
        </w:rPr>
        <w:t xml:space="preserve">:  Programs that have zero probability of failure in the following year.  These programs have no recent zone or failing results.    </w:t>
      </w:r>
    </w:p>
    <w:p w14:paraId="17F39F38"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Improving</w:t>
      </w:r>
      <w:r w:rsidRPr="00AA6DFD">
        <w:rPr>
          <w:rFonts w:ascii="Courier New" w:hAnsi="Courier New" w:cs="Courier New"/>
          <w:sz w:val="24"/>
          <w:szCs w:val="24"/>
        </w:rPr>
        <w:t>:  Programs with a most recent result that is better than the prior year’s result.</w:t>
      </w:r>
    </w:p>
    <w:p w14:paraId="782FF6D7"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Declining</w:t>
      </w:r>
      <w:r w:rsidRPr="00AA6DFD">
        <w:rPr>
          <w:rFonts w:ascii="Courier New" w:hAnsi="Courier New" w:cs="Courier New"/>
          <w:sz w:val="24"/>
          <w:szCs w:val="24"/>
        </w:rPr>
        <w:t xml:space="preserve">:  Programs with multiple zone results in previous years or programs with a most recent result that is worse than the prior year’s result. </w:t>
      </w:r>
    </w:p>
    <w:p w14:paraId="631D8B97"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Facing Ineligibility</w:t>
      </w:r>
      <w:r w:rsidRPr="00AA6DFD">
        <w:rPr>
          <w:rFonts w:ascii="Courier New" w:hAnsi="Courier New" w:cs="Courier New"/>
          <w:sz w:val="24"/>
          <w:szCs w:val="24"/>
        </w:rPr>
        <w:t>:  Programs that could become ineligible the following year.  Any program with a failing result in the most recent year is in this category, along with any program that has only zone or failing results in the previous three years.</w:t>
      </w:r>
    </w:p>
    <w:p w14:paraId="7F8118DC"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Ineligible</w:t>
      </w:r>
      <w:r w:rsidRPr="00AA6DFD">
        <w:rPr>
          <w:rFonts w:ascii="Courier New" w:hAnsi="Courier New" w:cs="Courier New"/>
          <w:sz w:val="24"/>
          <w:szCs w:val="24"/>
        </w:rPr>
        <w:t xml:space="preserve">:  Programs that have already become ineligible. </w:t>
      </w:r>
    </w:p>
    <w:p w14:paraId="16A3BD8A" w14:textId="77777777" w:rsidR="00BF10A3" w:rsidRPr="00AA6DFD" w:rsidRDefault="00BF10A3" w:rsidP="00BF10A3">
      <w:pPr>
        <w:pStyle w:val="ListParagraph"/>
        <w:numPr>
          <w:ilvl w:val="0"/>
          <w:numId w:val="45"/>
        </w:numPr>
        <w:spacing w:after="0" w:line="480" w:lineRule="auto"/>
        <w:ind w:left="990" w:hanging="270"/>
        <w:rPr>
          <w:rFonts w:ascii="Courier New" w:hAnsi="Courier New" w:cs="Courier New"/>
          <w:sz w:val="24"/>
          <w:szCs w:val="24"/>
        </w:rPr>
      </w:pPr>
      <w:r w:rsidRPr="00AA6DFD">
        <w:rPr>
          <w:rFonts w:ascii="Courier New" w:hAnsi="Courier New" w:cs="Courier New"/>
          <w:sz w:val="24"/>
          <w:szCs w:val="24"/>
          <w:u w:val="single"/>
        </w:rPr>
        <w:t>Not Evaluated</w:t>
      </w:r>
      <w:r w:rsidRPr="00AA6DFD">
        <w:rPr>
          <w:rFonts w:ascii="Courier New" w:hAnsi="Courier New" w:cs="Courier New"/>
          <w:sz w:val="24"/>
          <w:szCs w:val="24"/>
        </w:rPr>
        <w:t xml:space="preserve">:  Programs with an n-size under 15.    </w:t>
      </w:r>
    </w:p>
    <w:p w14:paraId="22AB162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with the year 0 to year 2 assumptions, for each performance category, the probability of a program’s result in the following year is based on the baseline observed results provided in Table 3.1.  Also like the year 0 to year 2 assumptions, the model assumes ongoing improvement by increasing the baseline observed probability for all combinations with a passing result in the following year by five percentage points.  </w:t>
      </w:r>
    </w:p>
    <w:p w14:paraId="187D806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probability that a high performing program will pass the following year is the baseline observed probability of pass-pass increased by 10 percentage points and additionally by the 5 percentage point improvement increase.  The probability that an improving program will pass the following year is the baseline observed probability of zone-pass increased by 10 percentage points and additionally by the 5 percentage point improvement increase.  The probability that a declining program will pass the following year is the baseline observed probability of zone-pass decreased by 10 percentage points and offset by the 5 percentage point improvement increase.  The probability that a program facing ineligibility will pass the following year is the baseline observed probability of fail-pass decreased by 10 percentage points and offset by the 5 percentage point improvement increase.  The probability that an ineligible program will pass in the following year is of course zero.  The probability that a not evaluated program will pass the following year was only adjusted for the 5 percentage point improvement increase.  Where a program’s subsequent year’s pass probability was increased or decreased, the model offsets the adjustment by increasing or decreasing the corresponding zone and fail probabilities from the baseline observed probabilities in the same amounts applied to the year 1 to year 2 transition probabilities.  </w:t>
      </w:r>
    </w:p>
    <w:p w14:paraId="21B4C08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To demonstrate the effect of the year 3 and after transition assumptions, we provide as an example the probability of each of a high performing program’s possible results for the following year.  For the probability that a high performing program will pass the following year, a 5 percent improvement increase and a 10 percent momentum increase are added to the baseline observed 81.5 percent pass-pass probability, resulting in an assumed probability of 96.5 percent.  The probability that this program would fall in the zone, fail, not be evaluated, or become ineligible the following year is determined by apportioning the 15 percentage point pass offset to the baseline observed probabilities that the program would fall in the zone, fail, or not be evaluated after passing the previous year.  The zone probability is reduced from 4 percent to 0 percent, the fail probability from 1 percent to 0 percent, and the not evaluated probability from 13.5 percent to 3.5 percent.</w:t>
      </w:r>
    </w:p>
    <w:p w14:paraId="2E4A8FE0" w14:textId="77777777" w:rsidR="00BF10A3" w:rsidRPr="00AA6DFD" w:rsidRDefault="00BF10A3" w:rsidP="00BF10A3">
      <w:pPr>
        <w:spacing w:after="0" w:line="480" w:lineRule="auto"/>
        <w:ind w:firstLine="720"/>
        <w:rPr>
          <w:rFonts w:ascii="Courier New" w:hAnsi="Courier New" w:cs="Courier New"/>
          <w:sz w:val="24"/>
          <w:szCs w:val="24"/>
        </w:rPr>
      </w:pPr>
    </w:p>
    <w:p w14:paraId="7D7E4AE1"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b/>
          <w:sz w:val="24"/>
          <w:szCs w:val="24"/>
        </w:rPr>
        <w:t xml:space="preserve">Table 3.3: Post Year 3 Program Transition Assumptions </w:t>
      </w:r>
    </w:p>
    <w:p w14:paraId="710B9704" w14:textId="77777777" w:rsidR="00BF10A3" w:rsidRPr="00410A3E" w:rsidRDefault="00BF10A3" w:rsidP="00BF10A3">
      <w:pPr>
        <w:pStyle w:val="NoSpacing"/>
        <w:rPr>
          <w:rFonts w:ascii="Courier New" w:eastAsiaTheme="minorHAnsi" w:hAnsi="Courier New" w:cstheme="minorBidi"/>
          <w:sz w:val="16"/>
        </w:rPr>
      </w:pPr>
      <w:r w:rsidRPr="00AA6DFD">
        <w:rPr>
          <w:rFonts w:ascii="Courier New" w:hAnsi="Courier New" w:cs="Courier New"/>
          <w:sz w:val="24"/>
          <w:szCs w:val="24"/>
        </w:rPr>
        <w:tab/>
      </w:r>
    </w:p>
    <w:tbl>
      <w:tblPr>
        <w:tblStyle w:val="TableGrid11"/>
        <w:tblW w:w="0" w:type="auto"/>
        <w:tblLook w:val="04A0" w:firstRow="1" w:lastRow="0" w:firstColumn="1" w:lastColumn="0" w:noHBand="0" w:noVBand="1"/>
      </w:tblPr>
      <w:tblGrid>
        <w:gridCol w:w="1879"/>
        <w:gridCol w:w="960"/>
        <w:gridCol w:w="960"/>
        <w:gridCol w:w="960"/>
        <w:gridCol w:w="820"/>
        <w:gridCol w:w="1351"/>
      </w:tblGrid>
      <w:tr w:rsidR="00BF10A3" w:rsidRPr="00410A3E" w14:paraId="1EE81815" w14:textId="77777777" w:rsidTr="001F7400">
        <w:trPr>
          <w:trHeight w:val="315"/>
        </w:trPr>
        <w:tc>
          <w:tcPr>
            <w:tcW w:w="1879" w:type="dxa"/>
            <w:noWrap/>
            <w:hideMark/>
          </w:tcPr>
          <w:p w14:paraId="64AD6944" w14:textId="77777777" w:rsidR="00BF10A3" w:rsidRPr="00410A3E" w:rsidRDefault="00BF10A3" w:rsidP="001F7400">
            <w:pPr>
              <w:rPr>
                <w:rFonts w:ascii="Courier New" w:eastAsiaTheme="minorHAnsi" w:hAnsi="Courier New" w:cstheme="minorBidi"/>
                <w:sz w:val="16"/>
              </w:rPr>
            </w:pPr>
          </w:p>
        </w:tc>
        <w:tc>
          <w:tcPr>
            <w:tcW w:w="960" w:type="dxa"/>
            <w:noWrap/>
            <w:hideMark/>
          </w:tcPr>
          <w:p w14:paraId="6BAC366F"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Pass</w:t>
            </w:r>
          </w:p>
        </w:tc>
        <w:tc>
          <w:tcPr>
            <w:tcW w:w="960" w:type="dxa"/>
            <w:noWrap/>
            <w:hideMark/>
          </w:tcPr>
          <w:p w14:paraId="48B12D45"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zone</w:t>
            </w:r>
          </w:p>
        </w:tc>
        <w:tc>
          <w:tcPr>
            <w:tcW w:w="960" w:type="dxa"/>
            <w:noWrap/>
            <w:hideMark/>
          </w:tcPr>
          <w:p w14:paraId="50228DF3"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Fail</w:t>
            </w:r>
          </w:p>
        </w:tc>
        <w:tc>
          <w:tcPr>
            <w:tcW w:w="820" w:type="dxa"/>
            <w:noWrap/>
            <w:hideMark/>
          </w:tcPr>
          <w:p w14:paraId="58AC93F8"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Ne</w:t>
            </w:r>
          </w:p>
        </w:tc>
        <w:tc>
          <w:tcPr>
            <w:tcW w:w="1351" w:type="dxa"/>
            <w:noWrap/>
            <w:hideMark/>
          </w:tcPr>
          <w:p w14:paraId="6FB57220"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Ineligible</w:t>
            </w:r>
          </w:p>
        </w:tc>
      </w:tr>
      <w:tr w:rsidR="00BF10A3" w:rsidRPr="00410A3E" w14:paraId="64328CA1" w14:textId="77777777" w:rsidTr="001F7400">
        <w:trPr>
          <w:trHeight w:val="315"/>
        </w:trPr>
        <w:tc>
          <w:tcPr>
            <w:tcW w:w="2839" w:type="dxa"/>
            <w:gridSpan w:val="2"/>
            <w:noWrap/>
            <w:hideMark/>
          </w:tcPr>
          <w:p w14:paraId="48F0AB08"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Prior Year Group:</w:t>
            </w:r>
          </w:p>
        </w:tc>
        <w:tc>
          <w:tcPr>
            <w:tcW w:w="960" w:type="dxa"/>
            <w:noWrap/>
            <w:hideMark/>
          </w:tcPr>
          <w:p w14:paraId="53DE1DBC" w14:textId="77777777" w:rsidR="00BF10A3" w:rsidRPr="00410A3E" w:rsidRDefault="00BF10A3" w:rsidP="001F7400">
            <w:pPr>
              <w:rPr>
                <w:rFonts w:ascii="Courier New" w:eastAsiaTheme="minorHAnsi" w:hAnsi="Courier New" w:cstheme="minorBidi"/>
                <w:sz w:val="16"/>
              </w:rPr>
            </w:pPr>
          </w:p>
        </w:tc>
        <w:tc>
          <w:tcPr>
            <w:tcW w:w="960" w:type="dxa"/>
            <w:noWrap/>
            <w:hideMark/>
          </w:tcPr>
          <w:p w14:paraId="0B27883F" w14:textId="77777777" w:rsidR="00BF10A3" w:rsidRPr="00410A3E" w:rsidRDefault="00BF10A3" w:rsidP="001F7400">
            <w:pPr>
              <w:rPr>
                <w:rFonts w:ascii="Courier New" w:eastAsiaTheme="minorHAnsi" w:hAnsi="Courier New" w:cstheme="minorBidi"/>
                <w:sz w:val="16"/>
              </w:rPr>
            </w:pPr>
          </w:p>
        </w:tc>
        <w:tc>
          <w:tcPr>
            <w:tcW w:w="820" w:type="dxa"/>
            <w:noWrap/>
            <w:hideMark/>
          </w:tcPr>
          <w:p w14:paraId="06A28F4A" w14:textId="77777777" w:rsidR="00BF10A3" w:rsidRPr="00410A3E" w:rsidRDefault="00BF10A3" w:rsidP="001F7400">
            <w:pPr>
              <w:rPr>
                <w:rFonts w:ascii="Courier New" w:eastAsiaTheme="minorHAnsi" w:hAnsi="Courier New" w:cstheme="minorBidi"/>
                <w:sz w:val="16"/>
              </w:rPr>
            </w:pPr>
          </w:p>
        </w:tc>
        <w:tc>
          <w:tcPr>
            <w:tcW w:w="1351" w:type="dxa"/>
            <w:noWrap/>
            <w:hideMark/>
          </w:tcPr>
          <w:p w14:paraId="255FB86A" w14:textId="77777777" w:rsidR="00BF10A3" w:rsidRPr="00410A3E" w:rsidRDefault="00BF10A3" w:rsidP="001F7400">
            <w:pPr>
              <w:rPr>
                <w:rFonts w:ascii="Courier New" w:eastAsiaTheme="minorHAnsi" w:hAnsi="Courier New" w:cstheme="minorBidi"/>
                <w:sz w:val="16"/>
              </w:rPr>
            </w:pPr>
          </w:p>
        </w:tc>
      </w:tr>
      <w:tr w:rsidR="00BF10A3" w:rsidRPr="00410A3E" w14:paraId="4AD9D4C4" w14:textId="77777777" w:rsidTr="001F7400">
        <w:trPr>
          <w:trHeight w:val="315"/>
        </w:trPr>
        <w:tc>
          <w:tcPr>
            <w:tcW w:w="1879" w:type="dxa"/>
            <w:noWrap/>
            <w:hideMark/>
          </w:tcPr>
          <w:p w14:paraId="0249D954"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 xml:space="preserve">Good </w:t>
            </w:r>
          </w:p>
        </w:tc>
        <w:tc>
          <w:tcPr>
            <w:tcW w:w="960" w:type="dxa"/>
            <w:noWrap/>
            <w:hideMark/>
          </w:tcPr>
          <w:p w14:paraId="66232103"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96.5</w:t>
            </w:r>
          </w:p>
        </w:tc>
        <w:tc>
          <w:tcPr>
            <w:tcW w:w="960" w:type="dxa"/>
            <w:noWrap/>
            <w:hideMark/>
          </w:tcPr>
          <w:p w14:paraId="6CB66474"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960" w:type="dxa"/>
            <w:noWrap/>
            <w:hideMark/>
          </w:tcPr>
          <w:p w14:paraId="2C38AA5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820" w:type="dxa"/>
            <w:noWrap/>
            <w:hideMark/>
          </w:tcPr>
          <w:p w14:paraId="14EC346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3.5</w:t>
            </w:r>
          </w:p>
        </w:tc>
        <w:tc>
          <w:tcPr>
            <w:tcW w:w="1351" w:type="dxa"/>
            <w:noWrap/>
            <w:hideMark/>
          </w:tcPr>
          <w:p w14:paraId="44A3615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r>
      <w:tr w:rsidR="00BF10A3" w:rsidRPr="00410A3E" w14:paraId="6370C4DB" w14:textId="77777777" w:rsidTr="001F7400">
        <w:trPr>
          <w:trHeight w:val="315"/>
        </w:trPr>
        <w:tc>
          <w:tcPr>
            <w:tcW w:w="1879" w:type="dxa"/>
            <w:noWrap/>
            <w:hideMark/>
          </w:tcPr>
          <w:p w14:paraId="21C449B5"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Improving</w:t>
            </w:r>
          </w:p>
        </w:tc>
        <w:tc>
          <w:tcPr>
            <w:tcW w:w="960" w:type="dxa"/>
            <w:noWrap/>
            <w:hideMark/>
          </w:tcPr>
          <w:p w14:paraId="024C6AD1"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37</w:t>
            </w:r>
          </w:p>
        </w:tc>
        <w:tc>
          <w:tcPr>
            <w:tcW w:w="960" w:type="dxa"/>
            <w:noWrap/>
            <w:hideMark/>
          </w:tcPr>
          <w:p w14:paraId="48AA810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31</w:t>
            </w:r>
          </w:p>
        </w:tc>
        <w:tc>
          <w:tcPr>
            <w:tcW w:w="960" w:type="dxa"/>
            <w:noWrap/>
            <w:hideMark/>
          </w:tcPr>
          <w:p w14:paraId="5024F71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19</w:t>
            </w:r>
          </w:p>
        </w:tc>
        <w:tc>
          <w:tcPr>
            <w:tcW w:w="820" w:type="dxa"/>
            <w:noWrap/>
            <w:hideMark/>
          </w:tcPr>
          <w:p w14:paraId="3527D60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13</w:t>
            </w:r>
          </w:p>
        </w:tc>
        <w:tc>
          <w:tcPr>
            <w:tcW w:w="1351" w:type="dxa"/>
            <w:noWrap/>
            <w:hideMark/>
          </w:tcPr>
          <w:p w14:paraId="544B2FA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r>
      <w:tr w:rsidR="00BF10A3" w:rsidRPr="00410A3E" w14:paraId="60FA6797" w14:textId="77777777" w:rsidTr="001F7400">
        <w:trPr>
          <w:trHeight w:val="315"/>
        </w:trPr>
        <w:tc>
          <w:tcPr>
            <w:tcW w:w="1879" w:type="dxa"/>
            <w:noWrap/>
            <w:hideMark/>
          </w:tcPr>
          <w:p w14:paraId="783CEA8F"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Poor/Declining</w:t>
            </w:r>
          </w:p>
        </w:tc>
        <w:tc>
          <w:tcPr>
            <w:tcW w:w="960" w:type="dxa"/>
            <w:noWrap/>
            <w:hideMark/>
          </w:tcPr>
          <w:p w14:paraId="53FF6A7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17</w:t>
            </w:r>
          </w:p>
        </w:tc>
        <w:tc>
          <w:tcPr>
            <w:tcW w:w="960" w:type="dxa"/>
            <w:noWrap/>
            <w:hideMark/>
          </w:tcPr>
          <w:p w14:paraId="08A3E3B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42</w:t>
            </w:r>
          </w:p>
        </w:tc>
        <w:tc>
          <w:tcPr>
            <w:tcW w:w="960" w:type="dxa"/>
            <w:noWrap/>
            <w:hideMark/>
          </w:tcPr>
          <w:p w14:paraId="1264D6A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28</w:t>
            </w:r>
          </w:p>
        </w:tc>
        <w:tc>
          <w:tcPr>
            <w:tcW w:w="820" w:type="dxa"/>
            <w:noWrap/>
            <w:hideMark/>
          </w:tcPr>
          <w:p w14:paraId="418C7ED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13</w:t>
            </w:r>
          </w:p>
        </w:tc>
        <w:tc>
          <w:tcPr>
            <w:tcW w:w="1351" w:type="dxa"/>
            <w:noWrap/>
            <w:hideMark/>
          </w:tcPr>
          <w:p w14:paraId="45EAEFB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r>
      <w:tr w:rsidR="00BF10A3" w:rsidRPr="00410A3E" w14:paraId="535ED897" w14:textId="77777777" w:rsidTr="001F7400">
        <w:trPr>
          <w:trHeight w:val="315"/>
        </w:trPr>
        <w:tc>
          <w:tcPr>
            <w:tcW w:w="1879" w:type="dxa"/>
            <w:noWrap/>
            <w:hideMark/>
          </w:tcPr>
          <w:p w14:paraId="0164E33A"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Fail Next</w:t>
            </w:r>
          </w:p>
        </w:tc>
        <w:tc>
          <w:tcPr>
            <w:tcW w:w="960" w:type="dxa"/>
            <w:noWrap/>
            <w:hideMark/>
          </w:tcPr>
          <w:p w14:paraId="166DD39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960" w:type="dxa"/>
            <w:noWrap/>
            <w:hideMark/>
          </w:tcPr>
          <w:p w14:paraId="0E5BA93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21</w:t>
            </w:r>
          </w:p>
        </w:tc>
        <w:tc>
          <w:tcPr>
            <w:tcW w:w="960" w:type="dxa"/>
            <w:noWrap/>
            <w:hideMark/>
          </w:tcPr>
          <w:p w14:paraId="6D787CE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820" w:type="dxa"/>
            <w:noWrap/>
            <w:hideMark/>
          </w:tcPr>
          <w:p w14:paraId="425BEBFD"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11</w:t>
            </w:r>
          </w:p>
        </w:tc>
        <w:tc>
          <w:tcPr>
            <w:tcW w:w="1351" w:type="dxa"/>
            <w:noWrap/>
            <w:hideMark/>
          </w:tcPr>
          <w:p w14:paraId="5B79312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68</w:t>
            </w:r>
          </w:p>
        </w:tc>
      </w:tr>
      <w:tr w:rsidR="00BF10A3" w:rsidRPr="00410A3E" w14:paraId="44F7F85B" w14:textId="77777777" w:rsidTr="001F7400">
        <w:trPr>
          <w:trHeight w:val="315"/>
        </w:trPr>
        <w:tc>
          <w:tcPr>
            <w:tcW w:w="1879" w:type="dxa"/>
            <w:noWrap/>
            <w:hideMark/>
          </w:tcPr>
          <w:p w14:paraId="78A800A1"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Ineligible</w:t>
            </w:r>
          </w:p>
        </w:tc>
        <w:tc>
          <w:tcPr>
            <w:tcW w:w="960" w:type="dxa"/>
            <w:noWrap/>
            <w:hideMark/>
          </w:tcPr>
          <w:p w14:paraId="602D1048"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960" w:type="dxa"/>
            <w:noWrap/>
            <w:hideMark/>
          </w:tcPr>
          <w:p w14:paraId="3BD6744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960" w:type="dxa"/>
            <w:noWrap/>
            <w:hideMark/>
          </w:tcPr>
          <w:p w14:paraId="2D384ECB"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820" w:type="dxa"/>
            <w:noWrap/>
            <w:hideMark/>
          </w:tcPr>
          <w:p w14:paraId="64338AA6"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1351" w:type="dxa"/>
            <w:noWrap/>
            <w:hideMark/>
          </w:tcPr>
          <w:p w14:paraId="285AF86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100</w:t>
            </w:r>
          </w:p>
        </w:tc>
      </w:tr>
      <w:tr w:rsidR="00BF10A3" w:rsidRPr="00410A3E" w14:paraId="643AB0D8" w14:textId="77777777" w:rsidTr="001F7400">
        <w:trPr>
          <w:trHeight w:val="315"/>
        </w:trPr>
        <w:tc>
          <w:tcPr>
            <w:tcW w:w="1879" w:type="dxa"/>
            <w:noWrap/>
            <w:hideMark/>
          </w:tcPr>
          <w:p w14:paraId="77FFA7B4"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NE</w:t>
            </w:r>
          </w:p>
        </w:tc>
        <w:tc>
          <w:tcPr>
            <w:tcW w:w="960" w:type="dxa"/>
            <w:noWrap/>
            <w:hideMark/>
          </w:tcPr>
          <w:p w14:paraId="25D18CC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11</w:t>
            </w:r>
          </w:p>
        </w:tc>
        <w:tc>
          <w:tcPr>
            <w:tcW w:w="960" w:type="dxa"/>
            <w:noWrap/>
            <w:hideMark/>
          </w:tcPr>
          <w:p w14:paraId="7312161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960" w:type="dxa"/>
            <w:noWrap/>
            <w:hideMark/>
          </w:tcPr>
          <w:p w14:paraId="17E656D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c>
          <w:tcPr>
            <w:tcW w:w="820" w:type="dxa"/>
            <w:noWrap/>
            <w:hideMark/>
          </w:tcPr>
          <w:p w14:paraId="7A9EFBF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89</w:t>
            </w:r>
          </w:p>
        </w:tc>
        <w:tc>
          <w:tcPr>
            <w:tcW w:w="1351" w:type="dxa"/>
            <w:noWrap/>
            <w:hideMark/>
          </w:tcPr>
          <w:p w14:paraId="40359FA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0</w:t>
            </w:r>
          </w:p>
        </w:tc>
      </w:tr>
    </w:tbl>
    <w:p w14:paraId="3A9F2CE1" w14:textId="77777777" w:rsidR="00BF10A3" w:rsidRPr="00410A3E" w:rsidRDefault="00BF10A3" w:rsidP="00BF10A3">
      <w:pPr>
        <w:spacing w:after="0" w:line="240" w:lineRule="auto"/>
        <w:rPr>
          <w:rFonts w:ascii="Courier New" w:eastAsiaTheme="minorHAnsi" w:hAnsi="Courier New" w:cstheme="minorBidi"/>
          <w:sz w:val="16"/>
        </w:rPr>
      </w:pPr>
    </w:p>
    <w:p w14:paraId="0789887C" w14:textId="77777777" w:rsidR="00BF10A3" w:rsidRPr="00AA6DFD" w:rsidRDefault="00BF10A3" w:rsidP="00BF10A3">
      <w:pPr>
        <w:spacing w:after="0" w:line="480" w:lineRule="auto"/>
        <w:ind w:firstLine="720"/>
        <w:rPr>
          <w:rFonts w:ascii="Courier New" w:hAnsi="Courier New" w:cs="Courier New"/>
          <w:i/>
          <w:sz w:val="24"/>
          <w:szCs w:val="24"/>
        </w:rPr>
      </w:pPr>
    </w:p>
    <w:p w14:paraId="4245C13B" w14:textId="77777777" w:rsidR="00BF10A3" w:rsidRPr="00AA6DFD" w:rsidRDefault="00BF10A3" w:rsidP="00BF10A3">
      <w:pPr>
        <w:pStyle w:val="riaheader3"/>
      </w:pPr>
      <w:r w:rsidRPr="00AA6DFD">
        <w:t>Student response assumptions</w:t>
      </w:r>
    </w:p>
    <w:p w14:paraId="0912D984" w14:textId="77777777" w:rsidR="00BF10A3" w:rsidRPr="00AA6DFD" w:rsidRDefault="00BF10A3" w:rsidP="00BF10A3">
      <w:pPr>
        <w:pStyle w:val="NormalWeb"/>
        <w:spacing w:before="0" w:beforeAutospacing="0" w:after="0" w:afterAutospacing="0"/>
        <w:ind w:firstLine="720"/>
        <w:rPr>
          <w:rFonts w:ascii="Courier New" w:hAnsi="Courier New" w:cs="Courier New"/>
        </w:rPr>
      </w:pPr>
    </w:p>
    <w:p w14:paraId="332F51B4" w14:textId="77777777" w:rsidR="00BF10A3" w:rsidRPr="00AA6DFD" w:rsidRDefault="00BF10A3" w:rsidP="00BF10A3">
      <w:pPr>
        <w:pStyle w:val="NormalWeb"/>
        <w:spacing w:before="0" w:beforeAutospacing="0" w:after="0" w:afterAutospacing="0" w:line="480" w:lineRule="auto"/>
        <w:ind w:firstLine="720"/>
        <w:rPr>
          <w:rFonts w:ascii="Courier New" w:hAnsi="Courier New" w:cs="Courier New"/>
        </w:rPr>
      </w:pPr>
      <w:r w:rsidRPr="00AA6DFD">
        <w:rPr>
          <w:rFonts w:ascii="Courier New" w:hAnsi="Courier New" w:cs="Courier New"/>
        </w:rPr>
        <w:t xml:space="preserve">In the NPRM, the Department provided two primary budget impact estimates, one based on a “low” student response to program performance and the other based on a “high” student response to program performance.  For clarity, we provide for the final regulations a single primary budget impact estimate based on a single set of student response assumptions and have reserved all alternate impact scenarios for the “Sensitivity Analysis” section of this RIA.  </w:t>
      </w:r>
    </w:p>
    <w:p w14:paraId="395E3B6F" w14:textId="77777777" w:rsidR="00BF10A3" w:rsidRPr="00AA6DFD" w:rsidRDefault="00BF10A3" w:rsidP="00BF10A3">
      <w:pPr>
        <w:pStyle w:val="NormalWeb"/>
        <w:spacing w:before="0" w:beforeAutospacing="0" w:after="0" w:afterAutospacing="0" w:line="480" w:lineRule="auto"/>
        <w:ind w:firstLine="720"/>
        <w:rPr>
          <w:rFonts w:ascii="Courier New" w:hAnsi="Courier New" w:cs="Courier New"/>
        </w:rPr>
      </w:pPr>
      <w:r w:rsidRPr="00AA6DFD">
        <w:rPr>
          <w:rFonts w:ascii="Courier New" w:hAnsi="Courier New" w:cs="Courier New"/>
        </w:rPr>
        <w:t xml:space="preserve">As in the NPRM, the budget model applies assumptions for the probability that a student will transfer, remain in a program, or drop out of a program in reaction to the program’s performance--passing, in the zone, failing, ineligible, or not evaluated.  The model assumes that student response will increase as a program gets closer to ineligibility.  The budget model assumptions regarding student responses to program results are provided in Table 3.4.  These assumptions are based on our best judgment and consideration of comments.  Coupled with the scenarios presented in the “Sensitivity Analysis,” these assumptions are intended to provide a reasonable estimation of the range of impact that the regulations could have on the budget.  </w:t>
      </w:r>
    </w:p>
    <w:p w14:paraId="6F1AF161" w14:textId="77777777" w:rsidR="00BF10A3" w:rsidRPr="00AA6DFD" w:rsidRDefault="00BF10A3" w:rsidP="00BF10A3">
      <w:pPr>
        <w:pStyle w:val="NormalWeb"/>
        <w:spacing w:before="0" w:beforeAutospacing="0" w:after="0" w:afterAutospacing="0" w:line="480" w:lineRule="auto"/>
        <w:ind w:firstLine="720"/>
        <w:rPr>
          <w:rFonts w:ascii="Courier New" w:hAnsi="Courier New" w:cs="Courier New"/>
        </w:rPr>
      </w:pPr>
    </w:p>
    <w:p w14:paraId="77AB1131"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3.4: Student response assumptions</w:t>
      </w:r>
    </w:p>
    <w:p w14:paraId="78BF87D9" w14:textId="77777777" w:rsidR="00BF10A3" w:rsidRPr="00AA6DFD" w:rsidRDefault="00BF10A3" w:rsidP="00BF10A3">
      <w:pPr>
        <w:spacing w:after="0" w:line="240" w:lineRule="auto"/>
        <w:rPr>
          <w:rFonts w:ascii="Courier New" w:hAnsi="Courier New" w:cs="Courier New"/>
          <w:sz w:val="24"/>
          <w:szCs w:val="24"/>
        </w:rPr>
      </w:pPr>
    </w:p>
    <w:tbl>
      <w:tblPr>
        <w:tblStyle w:val="TableGrid12"/>
        <w:tblpPr w:leftFromText="180" w:rightFromText="180" w:vertAnchor="text" w:tblpY="1"/>
        <w:tblOverlap w:val="never"/>
        <w:tblW w:w="0" w:type="auto"/>
        <w:tblLook w:val="04A0" w:firstRow="1" w:lastRow="0" w:firstColumn="1" w:lastColumn="0" w:noHBand="0" w:noVBand="1"/>
      </w:tblPr>
      <w:tblGrid>
        <w:gridCol w:w="2727"/>
        <w:gridCol w:w="858"/>
        <w:gridCol w:w="1482"/>
        <w:gridCol w:w="887"/>
      </w:tblGrid>
      <w:tr w:rsidR="00BF10A3" w:rsidRPr="00410A3E" w14:paraId="6943CE15" w14:textId="77777777" w:rsidTr="001F7400">
        <w:trPr>
          <w:trHeight w:val="342"/>
        </w:trPr>
        <w:tc>
          <w:tcPr>
            <w:tcW w:w="2727" w:type="dxa"/>
            <w:noWrap/>
            <w:hideMark/>
          </w:tcPr>
          <w:p w14:paraId="66CB8432" w14:textId="77777777" w:rsidR="00BF10A3" w:rsidRPr="00410A3E" w:rsidRDefault="00BF10A3" w:rsidP="001F7400">
            <w:pPr>
              <w:pStyle w:val="NoSpacing"/>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 </w:t>
            </w:r>
          </w:p>
        </w:tc>
        <w:tc>
          <w:tcPr>
            <w:tcW w:w="3227" w:type="dxa"/>
            <w:gridSpan w:val="3"/>
            <w:noWrap/>
            <w:hideMark/>
          </w:tcPr>
          <w:p w14:paraId="289B4F74" w14:textId="77777777" w:rsidR="00BF10A3" w:rsidRPr="00410A3E" w:rsidRDefault="00BF10A3" w:rsidP="001F7400">
            <w:pPr>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Student Response</w:t>
            </w:r>
          </w:p>
        </w:tc>
      </w:tr>
      <w:tr w:rsidR="00BF10A3" w:rsidRPr="00410A3E" w14:paraId="36FDCB73" w14:textId="77777777" w:rsidTr="001F7400">
        <w:trPr>
          <w:trHeight w:val="342"/>
        </w:trPr>
        <w:tc>
          <w:tcPr>
            <w:tcW w:w="2727" w:type="dxa"/>
            <w:noWrap/>
            <w:hideMark/>
          </w:tcPr>
          <w:p w14:paraId="6945FDA1" w14:textId="77777777" w:rsidR="00BF10A3" w:rsidRPr="00410A3E" w:rsidRDefault="00BF10A3" w:rsidP="001F7400">
            <w:pPr>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Program Result</w:t>
            </w:r>
          </w:p>
        </w:tc>
        <w:tc>
          <w:tcPr>
            <w:tcW w:w="858" w:type="dxa"/>
            <w:noWrap/>
            <w:hideMark/>
          </w:tcPr>
          <w:p w14:paraId="3D1FE8F3" w14:textId="77777777" w:rsidR="00BF10A3" w:rsidRPr="00410A3E" w:rsidRDefault="00BF10A3" w:rsidP="001F7400">
            <w:pPr>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Stay</w:t>
            </w:r>
          </w:p>
        </w:tc>
        <w:tc>
          <w:tcPr>
            <w:tcW w:w="1482" w:type="dxa"/>
            <w:noWrap/>
            <w:hideMark/>
          </w:tcPr>
          <w:p w14:paraId="0C38757E" w14:textId="77777777" w:rsidR="00BF10A3" w:rsidRPr="00410A3E" w:rsidRDefault="00BF10A3" w:rsidP="001F7400">
            <w:pPr>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Transfer</w:t>
            </w:r>
          </w:p>
        </w:tc>
        <w:tc>
          <w:tcPr>
            <w:tcW w:w="887" w:type="dxa"/>
            <w:noWrap/>
            <w:hideMark/>
          </w:tcPr>
          <w:p w14:paraId="6D0013A0" w14:textId="77777777" w:rsidR="00BF10A3" w:rsidRPr="00410A3E" w:rsidRDefault="00BF10A3" w:rsidP="001F7400">
            <w:pPr>
              <w:rPr>
                <w:rFonts w:ascii="Courier New" w:eastAsiaTheme="minorHAnsi" w:hAnsi="Courier New" w:cstheme="minorBidi"/>
                <w:b/>
                <w:bCs/>
                <w:sz w:val="24"/>
                <w:szCs w:val="24"/>
              </w:rPr>
            </w:pPr>
            <w:r w:rsidRPr="00410A3E">
              <w:rPr>
                <w:rFonts w:ascii="Courier New" w:eastAsiaTheme="minorHAnsi" w:hAnsi="Courier New" w:cstheme="minorBidi"/>
                <w:b/>
                <w:bCs/>
                <w:sz w:val="24"/>
                <w:szCs w:val="24"/>
              </w:rPr>
              <w:t>Drop</w:t>
            </w:r>
          </w:p>
        </w:tc>
      </w:tr>
      <w:tr w:rsidR="00BF10A3" w:rsidRPr="00410A3E" w14:paraId="24F6A655" w14:textId="77777777" w:rsidTr="001F7400">
        <w:trPr>
          <w:trHeight w:val="342"/>
        </w:trPr>
        <w:tc>
          <w:tcPr>
            <w:tcW w:w="2727" w:type="dxa"/>
            <w:noWrap/>
            <w:hideMark/>
          </w:tcPr>
          <w:p w14:paraId="4172CB07"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First Zone</w:t>
            </w:r>
          </w:p>
        </w:tc>
        <w:tc>
          <w:tcPr>
            <w:tcW w:w="858" w:type="dxa"/>
            <w:noWrap/>
            <w:hideMark/>
          </w:tcPr>
          <w:p w14:paraId="6BE3939F"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0.80</w:t>
            </w:r>
          </w:p>
        </w:tc>
        <w:tc>
          <w:tcPr>
            <w:tcW w:w="1482" w:type="dxa"/>
            <w:noWrap/>
            <w:hideMark/>
          </w:tcPr>
          <w:p w14:paraId="14A330ED"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0.15</w:t>
            </w:r>
          </w:p>
        </w:tc>
        <w:tc>
          <w:tcPr>
            <w:tcW w:w="887" w:type="dxa"/>
            <w:noWrap/>
            <w:hideMark/>
          </w:tcPr>
          <w:p w14:paraId="5398B8CE"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0.05</w:t>
            </w:r>
          </w:p>
        </w:tc>
      </w:tr>
      <w:tr w:rsidR="00BF10A3" w:rsidRPr="00410A3E" w14:paraId="25E67921" w14:textId="77777777" w:rsidTr="001F7400">
        <w:trPr>
          <w:trHeight w:val="342"/>
        </w:trPr>
        <w:tc>
          <w:tcPr>
            <w:tcW w:w="2727" w:type="dxa"/>
            <w:noWrap/>
            <w:hideMark/>
          </w:tcPr>
          <w:p w14:paraId="2557C925"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Second Zone</w:t>
            </w:r>
          </w:p>
        </w:tc>
        <w:tc>
          <w:tcPr>
            <w:tcW w:w="858" w:type="dxa"/>
            <w:noWrap/>
            <w:hideMark/>
          </w:tcPr>
          <w:p w14:paraId="33CC681C"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0.60</w:t>
            </w:r>
          </w:p>
        </w:tc>
        <w:tc>
          <w:tcPr>
            <w:tcW w:w="1482" w:type="dxa"/>
            <w:noWrap/>
            <w:hideMark/>
          </w:tcPr>
          <w:p w14:paraId="43C2C194"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0.30</w:t>
            </w:r>
          </w:p>
        </w:tc>
        <w:tc>
          <w:tcPr>
            <w:tcW w:w="887" w:type="dxa"/>
            <w:noWrap/>
            <w:hideMark/>
          </w:tcPr>
          <w:p w14:paraId="21892894"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0.10</w:t>
            </w:r>
          </w:p>
        </w:tc>
      </w:tr>
      <w:tr w:rsidR="00BF10A3" w:rsidRPr="00410A3E" w14:paraId="63C853A4" w14:textId="77777777" w:rsidTr="001F7400">
        <w:trPr>
          <w:trHeight w:val="342"/>
        </w:trPr>
        <w:tc>
          <w:tcPr>
            <w:tcW w:w="2727" w:type="dxa"/>
            <w:noWrap/>
            <w:hideMark/>
          </w:tcPr>
          <w:p w14:paraId="15C1A5C8"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Third Zone</w:t>
            </w:r>
          </w:p>
        </w:tc>
        <w:tc>
          <w:tcPr>
            <w:tcW w:w="858" w:type="dxa"/>
            <w:noWrap/>
            <w:hideMark/>
          </w:tcPr>
          <w:p w14:paraId="4101A560"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0.40</w:t>
            </w:r>
          </w:p>
        </w:tc>
        <w:tc>
          <w:tcPr>
            <w:tcW w:w="1482" w:type="dxa"/>
            <w:noWrap/>
            <w:hideMark/>
          </w:tcPr>
          <w:p w14:paraId="773224CB"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0.45</w:t>
            </w:r>
          </w:p>
        </w:tc>
        <w:tc>
          <w:tcPr>
            <w:tcW w:w="887" w:type="dxa"/>
            <w:noWrap/>
            <w:hideMark/>
          </w:tcPr>
          <w:p w14:paraId="59BA868A"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0.15</w:t>
            </w:r>
          </w:p>
        </w:tc>
      </w:tr>
      <w:tr w:rsidR="00BF10A3" w:rsidRPr="00410A3E" w14:paraId="2BC6478D" w14:textId="77777777" w:rsidTr="001F7400">
        <w:trPr>
          <w:trHeight w:val="342"/>
        </w:trPr>
        <w:tc>
          <w:tcPr>
            <w:tcW w:w="2727" w:type="dxa"/>
            <w:noWrap/>
            <w:hideMark/>
          </w:tcPr>
          <w:p w14:paraId="173DAFEB"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Fourth Zone</w:t>
            </w:r>
          </w:p>
        </w:tc>
        <w:tc>
          <w:tcPr>
            <w:tcW w:w="858" w:type="dxa"/>
            <w:noWrap/>
            <w:hideMark/>
          </w:tcPr>
          <w:p w14:paraId="34928F15"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c>
          <w:tcPr>
            <w:tcW w:w="1482" w:type="dxa"/>
            <w:noWrap/>
            <w:hideMark/>
          </w:tcPr>
          <w:p w14:paraId="7587E1C2"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0.60</w:t>
            </w:r>
          </w:p>
        </w:tc>
        <w:tc>
          <w:tcPr>
            <w:tcW w:w="887" w:type="dxa"/>
            <w:noWrap/>
            <w:hideMark/>
          </w:tcPr>
          <w:p w14:paraId="78ECB41A"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r>
      <w:tr w:rsidR="00BF10A3" w:rsidRPr="00410A3E" w14:paraId="524991AC" w14:textId="77777777" w:rsidTr="001F7400">
        <w:trPr>
          <w:trHeight w:val="342"/>
        </w:trPr>
        <w:tc>
          <w:tcPr>
            <w:tcW w:w="2727" w:type="dxa"/>
            <w:noWrap/>
            <w:hideMark/>
          </w:tcPr>
          <w:p w14:paraId="70B3BAAC"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First Failure</w:t>
            </w:r>
          </w:p>
        </w:tc>
        <w:tc>
          <w:tcPr>
            <w:tcW w:w="858" w:type="dxa"/>
            <w:noWrap/>
            <w:hideMark/>
          </w:tcPr>
          <w:p w14:paraId="3A0D3924"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0.40</w:t>
            </w:r>
          </w:p>
        </w:tc>
        <w:tc>
          <w:tcPr>
            <w:tcW w:w="1482" w:type="dxa"/>
            <w:noWrap/>
            <w:hideMark/>
          </w:tcPr>
          <w:p w14:paraId="2856000F"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0.45</w:t>
            </w:r>
          </w:p>
        </w:tc>
        <w:tc>
          <w:tcPr>
            <w:tcW w:w="887" w:type="dxa"/>
            <w:noWrap/>
            <w:hideMark/>
          </w:tcPr>
          <w:p w14:paraId="064CFB19"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0.15</w:t>
            </w:r>
          </w:p>
        </w:tc>
      </w:tr>
      <w:tr w:rsidR="00BF10A3" w:rsidRPr="00410A3E" w14:paraId="35F48C1E" w14:textId="77777777" w:rsidTr="001F7400">
        <w:trPr>
          <w:trHeight w:val="342"/>
        </w:trPr>
        <w:tc>
          <w:tcPr>
            <w:tcW w:w="2727" w:type="dxa"/>
            <w:noWrap/>
            <w:hideMark/>
          </w:tcPr>
          <w:p w14:paraId="6B665809"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Second Failure</w:t>
            </w:r>
          </w:p>
        </w:tc>
        <w:tc>
          <w:tcPr>
            <w:tcW w:w="858" w:type="dxa"/>
            <w:noWrap/>
            <w:hideMark/>
          </w:tcPr>
          <w:p w14:paraId="504C4854"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c>
          <w:tcPr>
            <w:tcW w:w="1482" w:type="dxa"/>
            <w:noWrap/>
            <w:hideMark/>
          </w:tcPr>
          <w:p w14:paraId="197FB07C"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0.60</w:t>
            </w:r>
          </w:p>
        </w:tc>
        <w:tc>
          <w:tcPr>
            <w:tcW w:w="887" w:type="dxa"/>
            <w:noWrap/>
            <w:hideMark/>
          </w:tcPr>
          <w:p w14:paraId="52A24316"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r>
      <w:tr w:rsidR="00BF10A3" w:rsidRPr="00410A3E" w14:paraId="7F15BB67" w14:textId="77777777" w:rsidTr="001F7400">
        <w:trPr>
          <w:trHeight w:val="342"/>
        </w:trPr>
        <w:tc>
          <w:tcPr>
            <w:tcW w:w="2727" w:type="dxa"/>
            <w:noWrap/>
            <w:hideMark/>
          </w:tcPr>
          <w:p w14:paraId="01B02EAC"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Ineligibility</w:t>
            </w:r>
          </w:p>
        </w:tc>
        <w:tc>
          <w:tcPr>
            <w:tcW w:w="858" w:type="dxa"/>
            <w:noWrap/>
            <w:hideMark/>
          </w:tcPr>
          <w:p w14:paraId="5EFB32CE"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c>
          <w:tcPr>
            <w:tcW w:w="1482" w:type="dxa"/>
            <w:noWrap/>
            <w:hideMark/>
          </w:tcPr>
          <w:p w14:paraId="65D8FD20"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0.60</w:t>
            </w:r>
          </w:p>
        </w:tc>
        <w:tc>
          <w:tcPr>
            <w:tcW w:w="887" w:type="dxa"/>
            <w:noWrap/>
            <w:hideMark/>
          </w:tcPr>
          <w:p w14:paraId="5073A1DF"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0.20</w:t>
            </w:r>
          </w:p>
        </w:tc>
      </w:tr>
      <w:tr w:rsidR="00BF10A3" w:rsidRPr="00410A3E" w14:paraId="36F473C3" w14:textId="77777777" w:rsidTr="001F7400">
        <w:trPr>
          <w:trHeight w:val="342"/>
        </w:trPr>
        <w:tc>
          <w:tcPr>
            <w:tcW w:w="2727" w:type="dxa"/>
            <w:noWrap/>
            <w:hideMark/>
          </w:tcPr>
          <w:p w14:paraId="7FC364FC"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Passing or Not Evaluated</w:t>
            </w:r>
          </w:p>
        </w:tc>
        <w:tc>
          <w:tcPr>
            <w:tcW w:w="858" w:type="dxa"/>
            <w:noWrap/>
            <w:hideMark/>
          </w:tcPr>
          <w:p w14:paraId="06062072"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1.00</w:t>
            </w:r>
          </w:p>
        </w:tc>
        <w:tc>
          <w:tcPr>
            <w:tcW w:w="1482" w:type="dxa"/>
            <w:noWrap/>
            <w:hideMark/>
          </w:tcPr>
          <w:p w14:paraId="3417637F" w14:textId="77777777" w:rsidR="00BF10A3" w:rsidRPr="00410A3E" w:rsidRDefault="00BF10A3" w:rsidP="001F7400">
            <w:pPr>
              <w:jc w:val="center"/>
              <w:rPr>
                <w:rFonts w:ascii="Courier New" w:eastAsiaTheme="minorHAnsi" w:hAnsi="Courier New" w:cstheme="minorBidi"/>
                <w:sz w:val="24"/>
                <w:szCs w:val="24"/>
              </w:rPr>
            </w:pPr>
            <w:r w:rsidRPr="00410A3E">
              <w:rPr>
                <w:rFonts w:ascii="Courier New" w:eastAsiaTheme="minorHAnsi" w:hAnsi="Courier New" w:cstheme="minorBidi"/>
                <w:sz w:val="24"/>
                <w:szCs w:val="24"/>
              </w:rPr>
              <w:t>0.00</w:t>
            </w:r>
          </w:p>
        </w:tc>
        <w:tc>
          <w:tcPr>
            <w:tcW w:w="887" w:type="dxa"/>
            <w:noWrap/>
            <w:hideMark/>
          </w:tcPr>
          <w:p w14:paraId="0050CDD1" w14:textId="77777777" w:rsidR="00BF10A3" w:rsidRPr="00410A3E" w:rsidRDefault="00BF10A3" w:rsidP="001F7400">
            <w:pPr>
              <w:rPr>
                <w:rFonts w:ascii="Courier New" w:eastAsiaTheme="minorHAnsi" w:hAnsi="Courier New" w:cstheme="minorBidi"/>
                <w:sz w:val="24"/>
                <w:szCs w:val="24"/>
              </w:rPr>
            </w:pPr>
            <w:r w:rsidRPr="00410A3E">
              <w:rPr>
                <w:rFonts w:ascii="Courier New" w:eastAsiaTheme="minorHAnsi" w:hAnsi="Courier New" w:cstheme="minorBidi"/>
                <w:sz w:val="24"/>
                <w:szCs w:val="24"/>
              </w:rPr>
              <w:t>0.00</w:t>
            </w:r>
          </w:p>
        </w:tc>
      </w:tr>
    </w:tbl>
    <w:p w14:paraId="5B09D974" w14:textId="77777777" w:rsidR="00BF10A3" w:rsidRDefault="00BF10A3" w:rsidP="00BF10A3">
      <w:pPr>
        <w:spacing w:after="0" w:line="240" w:lineRule="auto"/>
        <w:rPr>
          <w:rFonts w:ascii="Courier New" w:hAnsi="Courier New"/>
          <w:sz w:val="24"/>
        </w:rPr>
      </w:pPr>
      <w:r w:rsidRPr="00AA6DFD">
        <w:rPr>
          <w:rFonts w:ascii="Courier New" w:hAnsi="Courier New" w:cs="Courier New"/>
          <w:sz w:val="24"/>
          <w:szCs w:val="24"/>
        </w:rPr>
        <w:tab/>
      </w:r>
    </w:p>
    <w:p w14:paraId="23E828A9" w14:textId="77777777" w:rsidR="00BF10A3" w:rsidRPr="00AA6DFD" w:rsidRDefault="00BF10A3" w:rsidP="00BF10A3">
      <w:pPr>
        <w:spacing w:after="0" w:line="240" w:lineRule="auto"/>
        <w:rPr>
          <w:rFonts w:ascii="Courier New" w:hAnsi="Courier New" w:cs="Courier New"/>
          <w:i/>
          <w:sz w:val="24"/>
          <w:szCs w:val="24"/>
        </w:rPr>
      </w:pPr>
    </w:p>
    <w:p w14:paraId="1C6C95FE" w14:textId="77777777" w:rsidR="00BF10A3" w:rsidRPr="00AA6DFD" w:rsidRDefault="00BF10A3" w:rsidP="00BF10A3">
      <w:pPr>
        <w:pStyle w:val="NormalWeb"/>
        <w:spacing w:before="0" w:beforeAutospacing="0" w:after="0" w:afterAutospacing="0" w:line="480" w:lineRule="auto"/>
        <w:rPr>
          <w:rFonts w:ascii="Courier New" w:hAnsi="Courier New" w:cs="Courier New"/>
        </w:rPr>
      </w:pPr>
      <w:r w:rsidRPr="00AA6DFD">
        <w:rPr>
          <w:rFonts w:ascii="Courier New" w:hAnsi="Courier New" w:cs="Courier New"/>
        </w:rPr>
        <w:t xml:space="preserve"> </w:t>
      </w:r>
    </w:p>
    <w:p w14:paraId="0CC2E667" w14:textId="77777777" w:rsidR="00BF10A3" w:rsidRDefault="00BF10A3" w:rsidP="00BF10A3">
      <w:pPr>
        <w:spacing w:after="0" w:line="480" w:lineRule="auto"/>
        <w:ind w:firstLine="720"/>
        <w:rPr>
          <w:rFonts w:ascii="Courier New" w:hAnsi="Courier New"/>
          <w:sz w:val="24"/>
          <w:szCs w:val="24"/>
        </w:rPr>
      </w:pPr>
    </w:p>
    <w:p w14:paraId="2C0DA894" w14:textId="77777777" w:rsidR="00BF10A3" w:rsidRDefault="00BF10A3" w:rsidP="00BF10A3">
      <w:pPr>
        <w:spacing w:after="0" w:line="480" w:lineRule="auto"/>
        <w:ind w:firstLine="720"/>
        <w:rPr>
          <w:rFonts w:ascii="Courier New" w:hAnsi="Courier New"/>
          <w:sz w:val="24"/>
          <w:szCs w:val="24"/>
        </w:rPr>
      </w:pPr>
    </w:p>
    <w:p w14:paraId="23090138" w14:textId="77777777" w:rsidR="00BF10A3" w:rsidRDefault="00BF10A3" w:rsidP="00BF10A3">
      <w:pPr>
        <w:spacing w:after="0" w:line="480" w:lineRule="auto"/>
        <w:ind w:firstLine="720"/>
        <w:rPr>
          <w:rFonts w:ascii="Courier New" w:hAnsi="Courier New"/>
          <w:sz w:val="24"/>
          <w:szCs w:val="24"/>
        </w:rPr>
      </w:pPr>
    </w:p>
    <w:p w14:paraId="2B8097D0" w14:textId="77777777" w:rsidR="00BF10A3" w:rsidRDefault="00BF10A3" w:rsidP="00BF10A3">
      <w:pPr>
        <w:spacing w:after="0" w:line="480" w:lineRule="auto"/>
        <w:ind w:firstLine="720"/>
        <w:rPr>
          <w:rFonts w:ascii="Courier New" w:hAnsi="Courier New"/>
          <w:sz w:val="24"/>
          <w:szCs w:val="24"/>
        </w:rPr>
      </w:pPr>
    </w:p>
    <w:p w14:paraId="7F4CD190" w14:textId="77777777" w:rsidR="00BF10A3" w:rsidRDefault="00BF10A3" w:rsidP="00BF10A3">
      <w:pPr>
        <w:spacing w:after="0" w:line="480" w:lineRule="auto"/>
        <w:ind w:firstLine="720"/>
        <w:rPr>
          <w:rFonts w:ascii="Courier New" w:hAnsi="Courier New"/>
          <w:sz w:val="24"/>
          <w:szCs w:val="24"/>
        </w:rPr>
      </w:pPr>
    </w:p>
    <w:p w14:paraId="41107AB2" w14:textId="77777777" w:rsidR="00BF10A3" w:rsidRDefault="00BF10A3" w:rsidP="00BF10A3">
      <w:pPr>
        <w:spacing w:after="0" w:line="480" w:lineRule="auto"/>
        <w:ind w:firstLine="720"/>
        <w:rPr>
          <w:rFonts w:ascii="Courier New" w:hAnsi="Courier New"/>
          <w:sz w:val="24"/>
          <w:szCs w:val="24"/>
        </w:rPr>
      </w:pPr>
    </w:p>
    <w:p w14:paraId="303FE265" w14:textId="77777777" w:rsidR="00BF10A3" w:rsidRPr="00AA6DFD" w:rsidRDefault="00BF10A3" w:rsidP="00BF10A3">
      <w:pPr>
        <w:spacing w:after="0" w:line="480" w:lineRule="auto"/>
        <w:ind w:firstLine="720"/>
        <w:rPr>
          <w:rFonts w:ascii="Courier New" w:hAnsi="Courier New"/>
        </w:rPr>
      </w:pPr>
      <w:r w:rsidRPr="00AA6DFD">
        <w:rPr>
          <w:rFonts w:ascii="Courier New" w:hAnsi="Courier New"/>
          <w:sz w:val="24"/>
          <w:szCs w:val="24"/>
        </w:rPr>
        <w:t xml:space="preserve">In comparison to the NPRM, the budget model for the final regulations assumes different levels of student response for each number of years that a program is in the zone.  This adjustment is consistent with the modifications to the program performance assumptions to account for cumulative past program results.  We made other adjustments to the student response assumptions for greater simplicity and clarity, such as increasing or decreasing in equal amounts the proportion of students that are assumed to stay, transfer, and drop out for each result that brings a program closer to ineligibility. </w:t>
      </w:r>
      <w:r w:rsidRPr="00B53B21">
        <w:rPr>
          <w:rFonts w:ascii="Courier New" w:hAnsi="Courier New"/>
        </w:rPr>
        <w:t xml:space="preserve"> </w:t>
      </w:r>
      <w:r w:rsidRPr="00AA6DFD">
        <w:rPr>
          <w:rFonts w:ascii="Courier New" w:eastAsia="Times New Roman" w:hAnsi="Courier New"/>
          <w:sz w:val="24"/>
          <w:szCs w:val="24"/>
        </w:rPr>
        <w:t xml:space="preserve">We continue to assume that a high proportion of students in poorly performing programs will transfer as a large majority of programs will meet the standards of the regulations and students will have access to information that will help them identify programs that lead to good outcomes, and, as our analysis shows, most students will have transfer options within geographic proximity or will be able to enroll in online programs.  Further, as stated previously, we believe that institutions with programs that perform well under the regulations will grow existing programs and offer new ones.  </w:t>
      </w:r>
      <w:r w:rsidRPr="00B53B21">
        <w:rPr>
          <w:rFonts w:ascii="Courier New" w:hAnsi="Courier New"/>
        </w:rPr>
        <w:t xml:space="preserve">  </w:t>
      </w:r>
    </w:p>
    <w:p w14:paraId="1DDD0D77" w14:textId="77777777" w:rsidR="00BF10A3" w:rsidRPr="00AA6DFD" w:rsidRDefault="00BF10A3" w:rsidP="00BF10A3">
      <w:pPr>
        <w:spacing w:after="0" w:line="480" w:lineRule="auto"/>
        <w:ind w:firstLine="720"/>
        <w:rPr>
          <w:rFonts w:ascii="Courier New" w:hAnsi="Courier New" w:cs="Courier New"/>
          <w:sz w:val="24"/>
          <w:szCs w:val="24"/>
        </w:rPr>
      </w:pPr>
      <w:r w:rsidRPr="00B53B21">
        <w:rPr>
          <w:rFonts w:ascii="Courier New" w:hAnsi="Courier New" w:cs="Courier New"/>
          <w:sz w:val="24"/>
          <w:szCs w:val="24"/>
        </w:rPr>
        <w:t xml:space="preserve">In the </w:t>
      </w:r>
      <w:r w:rsidRPr="00AA6DFD">
        <w:rPr>
          <w:rFonts w:ascii="Courier New" w:hAnsi="Courier New" w:cs="Courier New"/>
          <w:sz w:val="24"/>
          <w:szCs w:val="24"/>
        </w:rPr>
        <w:t xml:space="preserve">revised model, the assumptions for student responses are always applied to the estimated enrollment in each program determined by the enrollment growth assumptions.  While we expect that the disclosure of poor program performance to students, along with institutional reactions to a program’s performance under the D/E rates measure, could result in reduced enrollment in poor-performing programs, we are applying the student response assumptions to the baseline enrollment to demonstrate the maximum impact of the regulations for the scenario presented.  </w:t>
      </w:r>
    </w:p>
    <w:p w14:paraId="445A60BA" w14:textId="77777777" w:rsidR="00BF10A3" w:rsidRPr="00B53B21" w:rsidRDefault="00BF10A3" w:rsidP="00BF10A3">
      <w:pPr>
        <w:pStyle w:val="riaheader3"/>
      </w:pPr>
      <w:r w:rsidRPr="00B53B21">
        <w:t>Enrollment growth rate assumptions</w:t>
      </w:r>
    </w:p>
    <w:p w14:paraId="5A3D98E2" w14:textId="77777777" w:rsidR="00BF10A3" w:rsidRPr="00AA6DFD" w:rsidRDefault="00BF10A3" w:rsidP="00BF10A3">
      <w:pPr>
        <w:pStyle w:val="NormalWeb"/>
        <w:spacing w:before="0" w:beforeAutospacing="0" w:after="0" w:afterAutospacing="0"/>
        <w:ind w:firstLine="720"/>
        <w:rPr>
          <w:rFonts w:ascii="Courier New" w:hAnsi="Courier New" w:cs="Courier New"/>
        </w:rPr>
      </w:pPr>
    </w:p>
    <w:p w14:paraId="081F03BA" w14:textId="77777777" w:rsidR="00BF10A3" w:rsidRPr="00AA6DFD" w:rsidRDefault="00BF10A3" w:rsidP="00BF10A3">
      <w:pPr>
        <w:pStyle w:val="NormalWeb"/>
        <w:spacing w:before="0" w:beforeAutospacing="0" w:after="0" w:afterAutospacing="0" w:line="480" w:lineRule="auto"/>
        <w:ind w:firstLine="720"/>
        <w:rPr>
          <w:rFonts w:ascii="Courier New" w:eastAsiaTheme="minorHAnsi" w:hAnsi="Courier New" w:cs="Courier New"/>
        </w:rPr>
      </w:pPr>
      <w:r w:rsidRPr="00AA6DFD">
        <w:rPr>
          <w:rFonts w:ascii="Courier New" w:hAnsi="Courier New" w:cs="Courier New"/>
        </w:rPr>
        <w:t>F</w:t>
      </w:r>
      <w:r w:rsidRPr="00AA6DFD">
        <w:rPr>
          <w:rFonts w:ascii="Courier New" w:eastAsiaTheme="minorHAnsi" w:hAnsi="Courier New" w:cs="Courier New"/>
        </w:rPr>
        <w:t>or FYs 2016 to 2024, the budget model assumes a yearly rate of growth or decline in enrollment of students receiving title IV, HEA program funds in GE programs.  T</w:t>
      </w:r>
      <w:r w:rsidRPr="00AA6DFD">
        <w:rPr>
          <w:rFonts w:ascii="Courier New" w:hAnsi="Courier New" w:cs="Courier New"/>
        </w:rPr>
        <w:t xml:space="preserve">he loan volume projections in the Department’s FY 2015 President’s Budget (PB) are used </w:t>
      </w:r>
      <w:r w:rsidRPr="00AA6DFD">
        <w:rPr>
          <w:rFonts w:ascii="Courier New" w:eastAsiaTheme="minorHAnsi" w:hAnsi="Courier New" w:cs="Courier New"/>
        </w:rPr>
        <w:t xml:space="preserve">as a proxy for the rate of change in enrollment.    </w:t>
      </w:r>
    </w:p>
    <w:p w14:paraId="28DEA015" w14:textId="77777777" w:rsidR="00BF10A3" w:rsidRPr="00AA6DFD" w:rsidRDefault="00BF10A3" w:rsidP="00BF10A3">
      <w:pPr>
        <w:pStyle w:val="NormalWeb"/>
        <w:spacing w:before="0" w:beforeAutospacing="0" w:after="0" w:afterAutospacing="0" w:line="480" w:lineRule="auto"/>
        <w:ind w:firstLine="720"/>
        <w:rPr>
          <w:rFonts w:ascii="Courier New" w:hAnsi="Courier New"/>
        </w:rPr>
      </w:pPr>
      <w:r w:rsidRPr="00AA6DFD">
        <w:rPr>
          <w:rFonts w:ascii="Courier New" w:eastAsiaTheme="minorHAnsi" w:hAnsi="Courier New" w:cs="Courier New"/>
        </w:rPr>
        <w:t xml:space="preserve">To estimate the rate of change in enrollment for </w:t>
      </w:r>
      <w:r w:rsidRPr="00AA6DFD">
        <w:rPr>
          <w:rFonts w:ascii="Courier New" w:hAnsi="Courier New"/>
        </w:rPr>
        <w:t xml:space="preserve">programs at public and private non-profit institutions, we used the projected growth rates in loan volumes for 2-year or less than 2-year public and non-profit institutions because almost all GE programs in these sectors are offered by such institutions.  With respect to programs at for-profit institutions, we applied the projected loan volume growth rates for 2-year or less than 2-year for-profit institutions and 4-year private for-profit institutions, depending on the credential level of the program.  </w:t>
      </w:r>
    </w:p>
    <w:p w14:paraId="7FB0113A" w14:textId="77777777" w:rsidR="00BF10A3" w:rsidRPr="00AA6DFD" w:rsidRDefault="00BF10A3" w:rsidP="00BF10A3">
      <w:pPr>
        <w:pStyle w:val="NormalWeb"/>
        <w:spacing w:before="0" w:beforeAutospacing="0" w:after="0" w:afterAutospacing="0" w:line="480" w:lineRule="auto"/>
        <w:ind w:firstLine="720"/>
        <w:rPr>
          <w:rFonts w:ascii="Courier New" w:hAnsi="Courier New"/>
        </w:rPr>
      </w:pPr>
      <w:r w:rsidRPr="00AA6DFD">
        <w:rPr>
          <w:rFonts w:ascii="Courier New" w:hAnsi="Courier New"/>
        </w:rPr>
        <w:t xml:space="preserve">The Department used actual loan volume data through September 2013 for the growth rate estimates for FYs 2011 through 2013.  The growth rate estimates for FY 2014 and subsequent years are the projected loan volume growth rates from the FY 2015 PB.  For subsequent years, we assumed a reversion to long-run historical trends in loan growth for our enrollment assumption. </w:t>
      </w:r>
    </w:p>
    <w:p w14:paraId="2091E8D7" w14:textId="77777777" w:rsidR="00BF10A3" w:rsidRPr="00AA6DFD" w:rsidRDefault="00BF10A3" w:rsidP="00BF10A3">
      <w:pPr>
        <w:spacing w:after="0" w:line="480" w:lineRule="auto"/>
        <w:ind w:firstLine="720"/>
        <w:rPr>
          <w:rFonts w:ascii="Courier New" w:hAnsi="Courier New" w:cs="Courier New"/>
          <w:sz w:val="24"/>
          <w:szCs w:val="24"/>
        </w:rPr>
      </w:pPr>
    </w:p>
    <w:p w14:paraId="189E42DF" w14:textId="77777777" w:rsidR="00BF10A3" w:rsidRPr="00AA6DFD" w:rsidRDefault="00BF10A3" w:rsidP="00BF10A3">
      <w:pPr>
        <w:pStyle w:val="CommentText"/>
        <w:spacing w:after="0" w:line="480" w:lineRule="auto"/>
        <w:rPr>
          <w:rFonts w:ascii="Courier New" w:hAnsi="Courier New" w:cs="Courier New"/>
          <w:b/>
          <w:sz w:val="24"/>
          <w:szCs w:val="24"/>
        </w:rPr>
      </w:pPr>
      <w:r w:rsidRPr="00AA6DFD">
        <w:rPr>
          <w:rFonts w:ascii="Courier New" w:hAnsi="Courier New" w:cs="Courier New"/>
          <w:b/>
          <w:sz w:val="24"/>
          <w:szCs w:val="24"/>
        </w:rPr>
        <w:t>Table 3.5: Enrollment Growth Rate Assumptions</w:t>
      </w:r>
    </w:p>
    <w:p w14:paraId="0A78126C" w14:textId="77777777" w:rsidR="00BF10A3" w:rsidRPr="00410A3E" w:rsidRDefault="00BF10A3" w:rsidP="00BF10A3">
      <w:pPr>
        <w:spacing w:after="0" w:line="240" w:lineRule="auto"/>
        <w:rPr>
          <w:rFonts w:ascii="Courier New" w:eastAsiaTheme="minorHAnsi" w:hAnsi="Courier New" w:cstheme="minorBidi"/>
          <w:sz w:val="16"/>
        </w:rPr>
      </w:pPr>
    </w:p>
    <w:tbl>
      <w:tblPr>
        <w:tblW w:w="9390" w:type="dxa"/>
        <w:tblInd w:w="93" w:type="dxa"/>
        <w:tblLook w:val="04A0" w:firstRow="1" w:lastRow="0" w:firstColumn="1" w:lastColumn="0" w:noHBand="0" w:noVBand="1"/>
      </w:tblPr>
      <w:tblGrid>
        <w:gridCol w:w="3093"/>
        <w:gridCol w:w="937"/>
        <w:gridCol w:w="779"/>
        <w:gridCol w:w="779"/>
        <w:gridCol w:w="779"/>
        <w:gridCol w:w="779"/>
        <w:gridCol w:w="779"/>
        <w:gridCol w:w="779"/>
        <w:gridCol w:w="779"/>
      </w:tblGrid>
      <w:tr w:rsidR="00BF10A3" w:rsidRPr="00410A3E" w14:paraId="2BBDAAFB" w14:textId="77777777" w:rsidTr="001F7400">
        <w:trPr>
          <w:trHeight w:val="345"/>
        </w:trPr>
        <w:tc>
          <w:tcPr>
            <w:tcW w:w="31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676F8F" w14:textId="77777777" w:rsidR="00BF10A3" w:rsidRPr="00410A3E" w:rsidRDefault="00BF10A3" w:rsidP="001F7400">
            <w:pPr>
              <w:spacing w:after="0" w:line="240" w:lineRule="auto"/>
              <w:jc w:val="center"/>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Sector</w:t>
            </w:r>
          </w:p>
        </w:tc>
        <w:tc>
          <w:tcPr>
            <w:tcW w:w="955" w:type="dxa"/>
            <w:tcBorders>
              <w:top w:val="single" w:sz="8" w:space="0" w:color="auto"/>
              <w:left w:val="nil"/>
              <w:bottom w:val="single" w:sz="8" w:space="0" w:color="auto"/>
              <w:right w:val="single" w:sz="8" w:space="0" w:color="auto"/>
            </w:tcBorders>
            <w:shd w:val="clear" w:color="auto" w:fill="auto"/>
            <w:noWrap/>
            <w:vAlign w:val="center"/>
            <w:hideMark/>
          </w:tcPr>
          <w:p w14:paraId="0A2F8EE1"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2010-16</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5D88FD9E"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2017</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6B7672DC"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2018</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3A21414E"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2019</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28D33005"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2020</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48E5EBC2"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2021</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3792574E"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2022</w:t>
            </w:r>
          </w:p>
        </w:tc>
        <w:tc>
          <w:tcPr>
            <w:tcW w:w="753" w:type="dxa"/>
            <w:tcBorders>
              <w:top w:val="single" w:sz="8" w:space="0" w:color="auto"/>
              <w:left w:val="nil"/>
              <w:bottom w:val="single" w:sz="8" w:space="0" w:color="auto"/>
              <w:right w:val="single" w:sz="8" w:space="0" w:color="auto"/>
            </w:tcBorders>
            <w:shd w:val="clear" w:color="auto" w:fill="auto"/>
            <w:noWrap/>
            <w:vAlign w:val="center"/>
            <w:hideMark/>
          </w:tcPr>
          <w:p w14:paraId="042C1F69" w14:textId="77777777" w:rsidR="00BF10A3" w:rsidRPr="00410A3E" w:rsidRDefault="00BF10A3" w:rsidP="001F7400">
            <w:pPr>
              <w:spacing w:after="0" w:line="240" w:lineRule="auto"/>
              <w:jc w:val="right"/>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2023</w:t>
            </w:r>
          </w:p>
        </w:tc>
      </w:tr>
      <w:tr w:rsidR="00BF10A3" w:rsidRPr="00410A3E" w14:paraId="76F1046C" w14:textId="77777777" w:rsidTr="001F7400">
        <w:trPr>
          <w:trHeight w:val="345"/>
        </w:trPr>
        <w:tc>
          <w:tcPr>
            <w:tcW w:w="3164" w:type="dxa"/>
            <w:tcBorders>
              <w:top w:val="nil"/>
              <w:left w:val="single" w:sz="8" w:space="0" w:color="auto"/>
              <w:bottom w:val="single" w:sz="8" w:space="0" w:color="auto"/>
              <w:right w:val="single" w:sz="8" w:space="0" w:color="auto"/>
            </w:tcBorders>
            <w:shd w:val="clear" w:color="auto" w:fill="auto"/>
            <w:noWrap/>
            <w:vAlign w:val="center"/>
            <w:hideMark/>
          </w:tcPr>
          <w:p w14:paraId="26551CA0" w14:textId="77777777" w:rsidR="00BF10A3" w:rsidRPr="00410A3E" w:rsidRDefault="00BF10A3" w:rsidP="001F7400">
            <w:pPr>
              <w:spacing w:after="0" w:line="240" w:lineRule="auto"/>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Public and Private Nonprofit</w:t>
            </w:r>
          </w:p>
        </w:tc>
        <w:tc>
          <w:tcPr>
            <w:tcW w:w="955" w:type="dxa"/>
            <w:tcBorders>
              <w:top w:val="nil"/>
              <w:left w:val="nil"/>
              <w:bottom w:val="single" w:sz="8" w:space="0" w:color="auto"/>
              <w:right w:val="single" w:sz="8" w:space="0" w:color="auto"/>
            </w:tcBorders>
            <w:shd w:val="clear" w:color="auto" w:fill="auto"/>
            <w:noWrap/>
            <w:vAlign w:val="center"/>
            <w:hideMark/>
          </w:tcPr>
          <w:p w14:paraId="2A37FDDE"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-6.00%</w:t>
            </w:r>
          </w:p>
        </w:tc>
        <w:tc>
          <w:tcPr>
            <w:tcW w:w="753" w:type="dxa"/>
            <w:tcBorders>
              <w:top w:val="nil"/>
              <w:left w:val="nil"/>
              <w:bottom w:val="single" w:sz="8" w:space="0" w:color="auto"/>
              <w:right w:val="single" w:sz="8" w:space="0" w:color="auto"/>
            </w:tcBorders>
            <w:shd w:val="clear" w:color="auto" w:fill="auto"/>
            <w:noWrap/>
            <w:vAlign w:val="center"/>
            <w:hideMark/>
          </w:tcPr>
          <w:p w14:paraId="4112FC06"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105B4BDF"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197A6DC0"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08D11A06"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58DFFF4B"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2451B30B"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6D4E7BD1"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r>
      <w:tr w:rsidR="00BF10A3" w:rsidRPr="00410A3E" w14:paraId="5BE29FA8" w14:textId="77777777" w:rsidTr="001F7400">
        <w:trPr>
          <w:trHeight w:val="345"/>
        </w:trPr>
        <w:tc>
          <w:tcPr>
            <w:tcW w:w="3164" w:type="dxa"/>
            <w:tcBorders>
              <w:top w:val="nil"/>
              <w:left w:val="single" w:sz="8" w:space="0" w:color="auto"/>
              <w:bottom w:val="single" w:sz="8" w:space="0" w:color="auto"/>
              <w:right w:val="single" w:sz="8" w:space="0" w:color="auto"/>
            </w:tcBorders>
            <w:shd w:val="clear" w:color="auto" w:fill="auto"/>
            <w:noWrap/>
            <w:vAlign w:val="center"/>
            <w:hideMark/>
          </w:tcPr>
          <w:p w14:paraId="17439B0C" w14:textId="77777777" w:rsidR="00BF10A3" w:rsidRPr="00410A3E" w:rsidRDefault="00BF10A3" w:rsidP="001F7400">
            <w:pPr>
              <w:spacing w:after="0" w:line="240" w:lineRule="auto"/>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For-Profit 4-year</w:t>
            </w:r>
          </w:p>
        </w:tc>
        <w:tc>
          <w:tcPr>
            <w:tcW w:w="955" w:type="dxa"/>
            <w:tcBorders>
              <w:top w:val="nil"/>
              <w:left w:val="nil"/>
              <w:bottom w:val="single" w:sz="8" w:space="0" w:color="auto"/>
              <w:right w:val="single" w:sz="8" w:space="0" w:color="auto"/>
            </w:tcBorders>
            <w:shd w:val="clear" w:color="auto" w:fill="auto"/>
            <w:noWrap/>
            <w:vAlign w:val="center"/>
            <w:hideMark/>
          </w:tcPr>
          <w:p w14:paraId="179FDFEC"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-33%</w:t>
            </w:r>
          </w:p>
        </w:tc>
        <w:tc>
          <w:tcPr>
            <w:tcW w:w="753" w:type="dxa"/>
            <w:tcBorders>
              <w:top w:val="nil"/>
              <w:left w:val="nil"/>
              <w:bottom w:val="single" w:sz="8" w:space="0" w:color="auto"/>
              <w:right w:val="single" w:sz="8" w:space="0" w:color="auto"/>
            </w:tcBorders>
            <w:shd w:val="clear" w:color="auto" w:fill="auto"/>
            <w:noWrap/>
            <w:vAlign w:val="center"/>
            <w:hideMark/>
          </w:tcPr>
          <w:p w14:paraId="6B5E1BED"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14623FF9"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183CE417"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7306F568"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6D0199AE"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71718EA3"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c>
          <w:tcPr>
            <w:tcW w:w="753" w:type="dxa"/>
            <w:tcBorders>
              <w:top w:val="nil"/>
              <w:left w:val="nil"/>
              <w:bottom w:val="single" w:sz="8" w:space="0" w:color="auto"/>
              <w:right w:val="single" w:sz="8" w:space="0" w:color="auto"/>
            </w:tcBorders>
            <w:shd w:val="clear" w:color="auto" w:fill="auto"/>
            <w:noWrap/>
            <w:vAlign w:val="center"/>
            <w:hideMark/>
          </w:tcPr>
          <w:p w14:paraId="2C79E8BF"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2%</w:t>
            </w:r>
          </w:p>
        </w:tc>
      </w:tr>
      <w:tr w:rsidR="00BF10A3" w:rsidRPr="00410A3E" w14:paraId="2FA9F127" w14:textId="77777777" w:rsidTr="001F7400">
        <w:trPr>
          <w:trHeight w:val="345"/>
        </w:trPr>
        <w:tc>
          <w:tcPr>
            <w:tcW w:w="3164" w:type="dxa"/>
            <w:tcBorders>
              <w:top w:val="nil"/>
              <w:left w:val="single" w:sz="8" w:space="0" w:color="auto"/>
              <w:bottom w:val="single" w:sz="8" w:space="0" w:color="auto"/>
              <w:right w:val="single" w:sz="8" w:space="0" w:color="auto"/>
            </w:tcBorders>
            <w:shd w:val="clear" w:color="auto" w:fill="auto"/>
            <w:noWrap/>
            <w:vAlign w:val="center"/>
            <w:hideMark/>
          </w:tcPr>
          <w:p w14:paraId="2013D9AF" w14:textId="77777777" w:rsidR="00BF10A3" w:rsidRPr="00410A3E" w:rsidRDefault="00BF10A3" w:rsidP="001F7400">
            <w:pPr>
              <w:spacing w:after="0" w:line="240" w:lineRule="auto"/>
              <w:rPr>
                <w:rFonts w:ascii="Courier New" w:eastAsia="Times New Roman" w:hAnsi="Courier New" w:cs="Courier New"/>
                <w:b/>
                <w:bCs/>
                <w:color w:val="000000"/>
                <w:sz w:val="24"/>
                <w:szCs w:val="24"/>
              </w:rPr>
            </w:pPr>
            <w:r w:rsidRPr="00410A3E">
              <w:rPr>
                <w:rFonts w:ascii="Courier New" w:eastAsia="Times New Roman" w:hAnsi="Courier New" w:cs="Courier New"/>
                <w:b/>
                <w:bCs/>
                <w:color w:val="000000"/>
                <w:sz w:val="24"/>
                <w:szCs w:val="24"/>
              </w:rPr>
              <w:t>For-Profit 2-year or less</w:t>
            </w:r>
          </w:p>
        </w:tc>
        <w:tc>
          <w:tcPr>
            <w:tcW w:w="955" w:type="dxa"/>
            <w:tcBorders>
              <w:top w:val="nil"/>
              <w:left w:val="nil"/>
              <w:bottom w:val="single" w:sz="8" w:space="0" w:color="auto"/>
              <w:right w:val="single" w:sz="8" w:space="0" w:color="auto"/>
            </w:tcBorders>
            <w:shd w:val="clear" w:color="auto" w:fill="auto"/>
            <w:noWrap/>
            <w:vAlign w:val="center"/>
            <w:hideMark/>
          </w:tcPr>
          <w:p w14:paraId="3492C666"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-32%</w:t>
            </w:r>
          </w:p>
        </w:tc>
        <w:tc>
          <w:tcPr>
            <w:tcW w:w="753" w:type="dxa"/>
            <w:tcBorders>
              <w:top w:val="nil"/>
              <w:left w:val="nil"/>
              <w:bottom w:val="single" w:sz="8" w:space="0" w:color="auto"/>
              <w:right w:val="single" w:sz="8" w:space="0" w:color="auto"/>
            </w:tcBorders>
            <w:shd w:val="clear" w:color="auto" w:fill="auto"/>
            <w:noWrap/>
            <w:vAlign w:val="center"/>
            <w:hideMark/>
          </w:tcPr>
          <w:p w14:paraId="7DD1F6E4"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7AF97FBC"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50A659B0"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18CBA1A9"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57059960"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0CD9CE92"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c>
          <w:tcPr>
            <w:tcW w:w="753" w:type="dxa"/>
            <w:tcBorders>
              <w:top w:val="nil"/>
              <w:left w:val="nil"/>
              <w:bottom w:val="single" w:sz="8" w:space="0" w:color="auto"/>
              <w:right w:val="single" w:sz="8" w:space="0" w:color="auto"/>
            </w:tcBorders>
            <w:shd w:val="clear" w:color="auto" w:fill="auto"/>
            <w:noWrap/>
            <w:vAlign w:val="center"/>
            <w:hideMark/>
          </w:tcPr>
          <w:p w14:paraId="1AD67096" w14:textId="77777777" w:rsidR="00BF10A3" w:rsidRPr="00410A3E" w:rsidRDefault="00BF10A3" w:rsidP="001F7400">
            <w:pPr>
              <w:spacing w:after="0" w:line="240" w:lineRule="auto"/>
              <w:jc w:val="right"/>
              <w:rPr>
                <w:rFonts w:ascii="Courier New" w:eastAsia="Times New Roman" w:hAnsi="Courier New" w:cs="Courier New"/>
                <w:color w:val="000000"/>
                <w:sz w:val="24"/>
                <w:szCs w:val="24"/>
              </w:rPr>
            </w:pPr>
            <w:r w:rsidRPr="00410A3E">
              <w:rPr>
                <w:rFonts w:ascii="Courier New" w:eastAsia="Times New Roman" w:hAnsi="Courier New" w:cs="Courier New"/>
                <w:color w:val="000000"/>
                <w:sz w:val="24"/>
                <w:szCs w:val="24"/>
              </w:rPr>
              <w:t>3%</w:t>
            </w:r>
          </w:p>
        </w:tc>
      </w:tr>
    </w:tbl>
    <w:p w14:paraId="259523A9" w14:textId="77777777" w:rsidR="00BF10A3" w:rsidRPr="00410A3E" w:rsidRDefault="00BF10A3" w:rsidP="00BF10A3">
      <w:pPr>
        <w:spacing w:after="0" w:line="240" w:lineRule="auto"/>
        <w:rPr>
          <w:rFonts w:ascii="Courier New" w:eastAsiaTheme="minorHAnsi" w:hAnsi="Courier New" w:cstheme="minorBidi"/>
          <w:sz w:val="16"/>
        </w:rPr>
      </w:pPr>
    </w:p>
    <w:p w14:paraId="6585D09A" w14:textId="77777777" w:rsidR="00BF10A3" w:rsidRPr="00AA6DFD" w:rsidRDefault="00BF10A3" w:rsidP="00BF10A3">
      <w:pPr>
        <w:spacing w:after="0" w:line="480" w:lineRule="auto"/>
        <w:ind w:firstLine="720"/>
        <w:rPr>
          <w:rFonts w:ascii="Courier New" w:hAnsi="Courier New" w:cs="Courier New"/>
          <w:sz w:val="24"/>
          <w:szCs w:val="24"/>
        </w:rPr>
      </w:pPr>
    </w:p>
    <w:p w14:paraId="59A0855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Some commenters argued that the budget model in the NPRM underestimated the enrollment growth rate for the for-profit sector.  In their analysis, these commenters used the average annual growth rate of enrollment at for-profit institutions over the past twenty years to estimate future enrollment</w:t>
      </w:r>
      <w:r w:rsidRPr="00AA6DFD">
        <w:rPr>
          <w:rFonts w:ascii="Courier New" w:eastAsiaTheme="minorHAnsi" w:hAnsi="Courier New" w:cs="Courier New"/>
          <w:sz w:val="24"/>
          <w:szCs w:val="24"/>
        </w:rPr>
        <w:t>.  One commenter presented three student response scenarios using this enrollment growth rate assumption.</w:t>
      </w:r>
      <w:r w:rsidRPr="00AA6DFD">
        <w:rPr>
          <w:rStyle w:val="FootnoteReference"/>
          <w:rFonts w:ascii="Courier New" w:hAnsi="Courier New" w:cs="Courier New"/>
          <w:sz w:val="24"/>
          <w:szCs w:val="24"/>
        </w:rPr>
        <w:footnoteReference w:id="333"/>
      </w:r>
      <w:r w:rsidRPr="00AA6DFD">
        <w:rPr>
          <w:rFonts w:ascii="Courier New" w:hAnsi="Courier New" w:cs="Courier New"/>
          <w:sz w:val="24"/>
          <w:szCs w:val="24"/>
        </w:rPr>
        <w:t xml:space="preserve">  In the first scenario, the commenter assumed that 100 percent of students in a program that is made ineligible would not continue their education at an eligible program; in the second, 50 percent of students would continue; and, in the third, 25 percent of students would continue.  In the 50 percent scenario, the analysis estimated between one and two million fewer students would access postsecondary education by 2020 and four million over a decade.  The commenters’ analysis of the 50 percent scenario estimated that by 2020, 736,000 to 1.25 million fewer female students, 268,000 to 430,000 fewer African-American students, and 199,000 to 360,000 fewer Hispanic students would continue their postsecondary education.  In the 25 percent and 100 percent scenarios, the analysis estimated that three million to 5.7 million and 3.9 million to 7.5 million fewer students, respectively, would access postsecondary education by 2024.  </w:t>
      </w:r>
    </w:p>
    <w:p w14:paraId="7E28ACA0" w14:textId="77777777" w:rsidR="00BF10A3" w:rsidRPr="00AA6DFD" w:rsidRDefault="00BF10A3" w:rsidP="00BF10A3">
      <w:pPr>
        <w:spacing w:after="0" w:line="480" w:lineRule="auto"/>
        <w:ind w:firstLine="720"/>
        <w:rPr>
          <w:rFonts w:ascii="Courier New" w:hAnsi="Courier New" w:cs="Courier New"/>
          <w:sz w:val="24"/>
          <w:szCs w:val="24"/>
        </w:rPr>
      </w:pPr>
      <w:r w:rsidRPr="00B53B21">
        <w:rPr>
          <w:rFonts w:ascii="Courier New" w:eastAsiaTheme="minorHAnsi" w:hAnsi="Courier New" w:cs="Courier New"/>
          <w:bCs/>
          <w:kern w:val="36"/>
          <w:sz w:val="24"/>
          <w:szCs w:val="24"/>
        </w:rPr>
        <w:t xml:space="preserve">We do not agree with the assertion that future enrollment patterns at for-profit institutions will be similar to enrollment over the past twenty years.  Total </w:t>
      </w:r>
      <w:r w:rsidRPr="00AA6DFD">
        <w:rPr>
          <w:rFonts w:ascii="Courier New" w:eastAsiaTheme="minorHAnsi" w:hAnsi="Courier New" w:cs="Courier New"/>
          <w:bCs/>
          <w:kern w:val="36"/>
          <w:sz w:val="24"/>
          <w:szCs w:val="24"/>
        </w:rPr>
        <w:t>fall enrollment in for-profit institutions participating in the title IV, HEA programs increased from 546,053 students in 1995 to 2,175,031 students in 2012, down from a peak of approximately 2.43 million in 2010.</w:t>
      </w:r>
      <w:r w:rsidRPr="00AA6DFD">
        <w:rPr>
          <w:rStyle w:val="FootnoteReference"/>
          <w:rFonts w:ascii="Courier New" w:eastAsiaTheme="minorHAnsi" w:hAnsi="Courier New" w:cs="Courier New"/>
          <w:bCs/>
          <w:kern w:val="36"/>
          <w:sz w:val="24"/>
          <w:szCs w:val="24"/>
        </w:rPr>
        <w:footnoteReference w:id="334"/>
      </w:r>
      <w:r w:rsidRPr="00AA6DFD">
        <w:rPr>
          <w:rFonts w:ascii="Courier New" w:eastAsiaTheme="minorHAnsi" w:hAnsi="Courier New" w:cs="Courier New"/>
          <w:bCs/>
          <w:kern w:val="36"/>
          <w:sz w:val="24"/>
          <w:szCs w:val="24"/>
        </w:rPr>
        <w:t xml:space="preserve">  Between 1995 and 2012, the average </w:t>
      </w:r>
      <w:r w:rsidRPr="00B53B21">
        <w:rPr>
          <w:rFonts w:ascii="Courier New" w:eastAsiaTheme="minorHAnsi" w:hAnsi="Courier New" w:cs="Courier New"/>
          <w:bCs/>
          <w:kern w:val="36"/>
          <w:sz w:val="24"/>
          <w:szCs w:val="24"/>
        </w:rPr>
        <w:t>rate of enrollment growth at for-profit institutions that participate in the title IV, HEA programs was approximately 8.84 percent.</w:t>
      </w:r>
      <w:r w:rsidRPr="00B53B21">
        <w:rPr>
          <w:rStyle w:val="FootnoteReference"/>
          <w:rFonts w:ascii="Courier New" w:eastAsiaTheme="minorHAnsi" w:hAnsi="Courier New" w:cs="Courier New"/>
          <w:bCs/>
          <w:kern w:val="36"/>
          <w:sz w:val="24"/>
          <w:szCs w:val="24"/>
        </w:rPr>
        <w:footnoteReference w:id="335"/>
      </w:r>
      <w:r w:rsidRPr="00B53B21">
        <w:rPr>
          <w:rFonts w:ascii="Courier New" w:eastAsiaTheme="minorHAnsi" w:hAnsi="Courier New" w:cs="Courier New"/>
          <w:bCs/>
          <w:kern w:val="36"/>
          <w:sz w:val="24"/>
          <w:szCs w:val="24"/>
        </w:rPr>
        <w:t xml:space="preserve">  There is no evidence to suggest that enrollment at for</w:t>
      </w:r>
      <w:r w:rsidRPr="00AA6DFD">
        <w:rPr>
          <w:rFonts w:ascii="Courier New" w:eastAsiaTheme="minorHAnsi" w:hAnsi="Courier New" w:cs="Courier New"/>
          <w:bCs/>
          <w:kern w:val="36"/>
          <w:sz w:val="24"/>
          <w:szCs w:val="24"/>
        </w:rPr>
        <w:t>-</w:t>
      </w:r>
      <w:r w:rsidRPr="00B53B21">
        <w:rPr>
          <w:rFonts w:ascii="Courier New" w:eastAsiaTheme="minorHAnsi" w:hAnsi="Courier New" w:cs="Courier New"/>
          <w:bCs/>
          <w:kern w:val="36"/>
          <w:sz w:val="24"/>
          <w:szCs w:val="24"/>
        </w:rPr>
        <w:t xml:space="preserve">profit institutions will continue to grow at this rate, particularly in light of the recent decline in enrollment.  The Department’s estimate takes this more recent data into account and predicts a significant decline in loan volume, and accordingly enrollment, between FYs 2010 and 2016.  After FY 2016, the Department predicts a 3 percent growth in loan volume, and enrollment, for all types of institutions in all sectors except four-year for-profit institutions, which we estimate to grow at a rate of 2 percent annually.  We continue to believe that the PB loan volume projections used in the NPRM are reasonable and we </w:t>
      </w:r>
      <w:r w:rsidRPr="00B53B21">
        <w:rPr>
          <w:rFonts w:ascii="Courier New" w:hAnsi="Courier New"/>
          <w:sz w:val="24"/>
        </w:rPr>
        <w:t>have</w:t>
      </w:r>
      <w:r w:rsidRPr="00B53B21">
        <w:t xml:space="preserve"> </w:t>
      </w:r>
      <w:r w:rsidRPr="00AA6DFD">
        <w:rPr>
          <w:rFonts w:ascii="Courier New" w:eastAsiaTheme="minorHAnsi" w:hAnsi="Courier New" w:cs="Courier New"/>
          <w:bCs/>
          <w:kern w:val="36"/>
          <w:sz w:val="24"/>
          <w:szCs w:val="24"/>
        </w:rPr>
        <w:t>again adopted them for the purpose of estimating enrollment in this analysis.</w:t>
      </w:r>
      <w:r w:rsidRPr="00B53B21">
        <w:t xml:space="preserve">  </w:t>
      </w:r>
    </w:p>
    <w:p w14:paraId="79737BA5" w14:textId="77777777" w:rsidR="00BF10A3" w:rsidRPr="00AA6DFD" w:rsidRDefault="00BF10A3" w:rsidP="00BF10A3">
      <w:pPr>
        <w:pStyle w:val="riaheader3"/>
      </w:pPr>
      <w:r w:rsidRPr="00AA6DFD">
        <w:t>Methodology for net budget impact</w:t>
      </w:r>
    </w:p>
    <w:p w14:paraId="5E5B5D01" w14:textId="77777777" w:rsidR="00BF10A3" w:rsidRPr="00AA6DFD" w:rsidRDefault="00BF10A3" w:rsidP="00BF10A3">
      <w:pPr>
        <w:spacing w:after="0" w:line="240" w:lineRule="auto"/>
        <w:ind w:firstLine="720"/>
        <w:rPr>
          <w:rFonts w:ascii="Courier New" w:eastAsiaTheme="minorHAnsi" w:hAnsi="Courier New" w:cs="Courier New"/>
          <w:sz w:val="24"/>
          <w:szCs w:val="24"/>
        </w:rPr>
      </w:pPr>
    </w:p>
    <w:p w14:paraId="720BD723" w14:textId="77777777" w:rsidR="00BF10A3" w:rsidRPr="00AA6DFD" w:rsidRDefault="00BF10A3" w:rsidP="00BF10A3">
      <w:pPr>
        <w:spacing w:after="0" w:line="480" w:lineRule="auto"/>
        <w:ind w:firstLine="720"/>
        <w:rPr>
          <w:rFonts w:ascii="Courier New" w:eastAsiaTheme="minorHAnsi" w:hAnsi="Courier New" w:cs="Courier New"/>
          <w:sz w:val="24"/>
          <w:szCs w:val="24"/>
        </w:rPr>
      </w:pPr>
      <w:r w:rsidRPr="00AA6DFD">
        <w:rPr>
          <w:rFonts w:ascii="Courier New" w:eastAsiaTheme="minorHAnsi" w:hAnsi="Courier New" w:cs="Courier New"/>
          <w:sz w:val="24"/>
          <w:szCs w:val="24"/>
        </w:rPr>
        <w:t xml:space="preserve">The budget model estimates a yearly enrollment of students in GE programs for FYs 2016 to 2024 and the distribution of those students in programs by result (pass, zone, fail, not evaluated, ineligible).  The net budget impact for each year is calculated by applying assumptions regarding the average amount of title IV, HEA program funds received to this distribution of students and programs.    </w:t>
      </w:r>
    </w:p>
    <w:p w14:paraId="4B49498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establish initial program performance results (passing, zone, failing, ineligible, and not evaluated) for FY 2016, we calculated program results under the D/E rates measure using the same methodology used to calculate the 2012 GE informational D/E rates except that a minimum n-size of 15 was applied to simulate  the impact of the applicable four-year cohort period “look back” provisions of the regulations.  Because the final regulations apply a four-year applicable cohort period for programs that do not have 30 or more students who completed the program over a two-year cohort period, the budget estimate is based on a minimum n-size of 15 because we assume programs with 15 students who completed the program over two years would have 30 students who completed the program over four years, making them subject to the regulations.  </w:t>
      </w:r>
    </w:p>
    <w:p w14:paraId="5595DA5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eastAsiaTheme="minorHAnsi" w:hAnsi="Courier New" w:cs="Courier New"/>
          <w:sz w:val="24"/>
          <w:szCs w:val="24"/>
        </w:rPr>
        <w:t>The yearly enrollment for each GE program is determined by using the actual enrollment of students in GE programs in FY 2010, as reported by institutions in the GE Data, as a starting point.  Each subsequent year’s enrollment in these programs, including for FYs 2016 to 2024, is estimated by applying the yearly enrollment growth rate assumptions provided in Table 3.5 to each program’s FY 2010 enrollment.</w:t>
      </w:r>
    </w:p>
    <w:p w14:paraId="70E70F5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3.6 provides the estimated initial 2016 distribution of programs and enrollment by program result prior to any program transition or student response. </w:t>
      </w:r>
    </w:p>
    <w:p w14:paraId="6B43F8C8" w14:textId="77777777" w:rsidR="00BF10A3" w:rsidRPr="00AA6DFD" w:rsidRDefault="00BF10A3" w:rsidP="00BF10A3">
      <w:pPr>
        <w:pStyle w:val="CommentText"/>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 </w:t>
      </w:r>
    </w:p>
    <w:p w14:paraId="29AC06D2" w14:textId="77777777" w:rsidR="00BF10A3" w:rsidRPr="00AA6DFD" w:rsidRDefault="00BF10A3" w:rsidP="00BF10A3">
      <w:pPr>
        <w:pStyle w:val="CommentText"/>
        <w:spacing w:after="0"/>
        <w:rPr>
          <w:rFonts w:ascii="Courier New" w:hAnsi="Courier New" w:cs="Courier New"/>
          <w:b/>
          <w:sz w:val="24"/>
          <w:szCs w:val="24"/>
        </w:rPr>
      </w:pPr>
      <w:r w:rsidRPr="00AA6DFD">
        <w:rPr>
          <w:rFonts w:ascii="Courier New" w:hAnsi="Courier New" w:cs="Courier New"/>
          <w:b/>
          <w:sz w:val="24"/>
          <w:szCs w:val="24"/>
        </w:rPr>
        <w:t>Table 3.6: Estimated Initial 2016 Distribution of Programs and Enrollment by Program Result</w:t>
      </w:r>
    </w:p>
    <w:p w14:paraId="478E6B00" w14:textId="77777777" w:rsidR="00BF10A3" w:rsidRPr="00410A3E" w:rsidRDefault="00BF10A3" w:rsidP="00BF10A3">
      <w:pPr>
        <w:spacing w:after="0" w:line="240" w:lineRule="auto"/>
        <w:rPr>
          <w:rFonts w:ascii="Courier New" w:eastAsiaTheme="minorHAnsi" w:hAnsi="Courier New"/>
          <w:sz w:val="16"/>
        </w:rPr>
      </w:pPr>
    </w:p>
    <w:tbl>
      <w:tblPr>
        <w:tblStyle w:val="TableGrid13"/>
        <w:tblW w:w="0" w:type="auto"/>
        <w:tblLook w:val="04A0" w:firstRow="1" w:lastRow="0" w:firstColumn="1" w:lastColumn="0" w:noHBand="0" w:noVBand="1"/>
      </w:tblPr>
      <w:tblGrid>
        <w:gridCol w:w="2541"/>
        <w:gridCol w:w="1117"/>
        <w:gridCol w:w="1429"/>
      </w:tblGrid>
      <w:tr w:rsidR="00BF10A3" w:rsidRPr="00410A3E" w14:paraId="40AAF295" w14:textId="77777777" w:rsidTr="001F7400">
        <w:trPr>
          <w:trHeight w:val="362"/>
        </w:trPr>
        <w:tc>
          <w:tcPr>
            <w:tcW w:w="2541" w:type="dxa"/>
            <w:noWrap/>
            <w:hideMark/>
          </w:tcPr>
          <w:p w14:paraId="3DABA821"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Performance Category</w:t>
            </w:r>
          </w:p>
        </w:tc>
        <w:tc>
          <w:tcPr>
            <w:tcW w:w="1117" w:type="dxa"/>
            <w:noWrap/>
            <w:hideMark/>
          </w:tcPr>
          <w:p w14:paraId="7D5DDE9D"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Programs</w:t>
            </w:r>
          </w:p>
        </w:tc>
        <w:tc>
          <w:tcPr>
            <w:tcW w:w="1429" w:type="dxa"/>
            <w:noWrap/>
            <w:hideMark/>
          </w:tcPr>
          <w:p w14:paraId="15322B11"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Enrollment</w:t>
            </w:r>
          </w:p>
        </w:tc>
      </w:tr>
      <w:tr w:rsidR="00BF10A3" w:rsidRPr="00410A3E" w14:paraId="5EEBEE0F" w14:textId="77777777" w:rsidTr="001F7400">
        <w:trPr>
          <w:trHeight w:val="362"/>
        </w:trPr>
        <w:tc>
          <w:tcPr>
            <w:tcW w:w="2541" w:type="dxa"/>
            <w:noWrap/>
            <w:hideMark/>
          </w:tcPr>
          <w:p w14:paraId="79291BF0"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Passing</w:t>
            </w:r>
          </w:p>
        </w:tc>
        <w:tc>
          <w:tcPr>
            <w:tcW w:w="1117" w:type="dxa"/>
            <w:noWrap/>
            <w:hideMark/>
          </w:tcPr>
          <w:p w14:paraId="3921AFE9"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6,710 </w:t>
            </w:r>
          </w:p>
        </w:tc>
        <w:tc>
          <w:tcPr>
            <w:tcW w:w="1429" w:type="dxa"/>
            <w:noWrap/>
            <w:hideMark/>
          </w:tcPr>
          <w:p w14:paraId="5C6662D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1,520,101 </w:t>
            </w:r>
          </w:p>
        </w:tc>
      </w:tr>
      <w:tr w:rsidR="00BF10A3" w:rsidRPr="00410A3E" w14:paraId="7F59BCA7" w14:textId="77777777" w:rsidTr="001F7400">
        <w:trPr>
          <w:trHeight w:val="362"/>
        </w:trPr>
        <w:tc>
          <w:tcPr>
            <w:tcW w:w="2541" w:type="dxa"/>
            <w:noWrap/>
            <w:hideMark/>
          </w:tcPr>
          <w:p w14:paraId="1C18A89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Zone</w:t>
            </w:r>
          </w:p>
        </w:tc>
        <w:tc>
          <w:tcPr>
            <w:tcW w:w="1117" w:type="dxa"/>
            <w:noWrap/>
            <w:hideMark/>
          </w:tcPr>
          <w:p w14:paraId="79096FD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1,205 </w:t>
            </w:r>
          </w:p>
        </w:tc>
        <w:tc>
          <w:tcPr>
            <w:tcW w:w="1429" w:type="dxa"/>
            <w:noWrap/>
            <w:hideMark/>
          </w:tcPr>
          <w:p w14:paraId="7A147F04"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380,946 </w:t>
            </w:r>
          </w:p>
        </w:tc>
      </w:tr>
      <w:tr w:rsidR="00BF10A3" w:rsidRPr="00410A3E" w14:paraId="4E11A5F2" w14:textId="77777777" w:rsidTr="001F7400">
        <w:trPr>
          <w:trHeight w:val="362"/>
        </w:trPr>
        <w:tc>
          <w:tcPr>
            <w:tcW w:w="2541" w:type="dxa"/>
            <w:noWrap/>
            <w:hideMark/>
          </w:tcPr>
          <w:p w14:paraId="30A74AC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Failing </w:t>
            </w:r>
          </w:p>
        </w:tc>
        <w:tc>
          <w:tcPr>
            <w:tcW w:w="1117" w:type="dxa"/>
            <w:noWrap/>
            <w:hideMark/>
          </w:tcPr>
          <w:p w14:paraId="1CEC94BA"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713 </w:t>
            </w:r>
          </w:p>
        </w:tc>
        <w:tc>
          <w:tcPr>
            <w:tcW w:w="1429" w:type="dxa"/>
            <w:noWrap/>
            <w:hideMark/>
          </w:tcPr>
          <w:p w14:paraId="3B1274A5"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321,269 </w:t>
            </w:r>
          </w:p>
        </w:tc>
      </w:tr>
      <w:tr w:rsidR="00BF10A3" w:rsidRPr="00410A3E" w14:paraId="71349728" w14:textId="77777777" w:rsidTr="001F7400">
        <w:trPr>
          <w:trHeight w:val="362"/>
        </w:trPr>
        <w:tc>
          <w:tcPr>
            <w:tcW w:w="2541" w:type="dxa"/>
            <w:noWrap/>
            <w:hideMark/>
          </w:tcPr>
          <w:p w14:paraId="1618241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Ineligible</w:t>
            </w:r>
          </w:p>
        </w:tc>
        <w:tc>
          <w:tcPr>
            <w:tcW w:w="1117" w:type="dxa"/>
            <w:noWrap/>
            <w:hideMark/>
          </w:tcPr>
          <w:p w14:paraId="372E0EEE"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   </w:t>
            </w:r>
          </w:p>
        </w:tc>
        <w:tc>
          <w:tcPr>
            <w:tcW w:w="1429" w:type="dxa"/>
            <w:noWrap/>
            <w:hideMark/>
          </w:tcPr>
          <w:p w14:paraId="7CFF823F"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   </w:t>
            </w:r>
          </w:p>
        </w:tc>
      </w:tr>
      <w:tr w:rsidR="00BF10A3" w:rsidRPr="00410A3E" w14:paraId="61FD2F6A" w14:textId="77777777" w:rsidTr="001F7400">
        <w:trPr>
          <w:trHeight w:val="362"/>
        </w:trPr>
        <w:tc>
          <w:tcPr>
            <w:tcW w:w="2541" w:type="dxa"/>
            <w:noWrap/>
            <w:hideMark/>
          </w:tcPr>
          <w:p w14:paraId="0997C582"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 Evaluated</w:t>
            </w:r>
          </w:p>
        </w:tc>
        <w:tc>
          <w:tcPr>
            <w:tcW w:w="1117" w:type="dxa"/>
            <w:noWrap/>
            <w:hideMark/>
          </w:tcPr>
          <w:p w14:paraId="1E80B5F7"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28,475 </w:t>
            </w:r>
          </w:p>
        </w:tc>
        <w:tc>
          <w:tcPr>
            <w:tcW w:w="1429" w:type="dxa"/>
            <w:noWrap/>
            <w:hideMark/>
          </w:tcPr>
          <w:p w14:paraId="4AD17EE0"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 xml:space="preserve">      1,015,654 </w:t>
            </w:r>
          </w:p>
        </w:tc>
      </w:tr>
      <w:tr w:rsidR="00BF10A3" w:rsidRPr="00410A3E" w14:paraId="4A226CBE" w14:textId="77777777" w:rsidTr="001F7400">
        <w:trPr>
          <w:trHeight w:val="380"/>
        </w:trPr>
        <w:tc>
          <w:tcPr>
            <w:tcW w:w="2541" w:type="dxa"/>
            <w:noWrap/>
            <w:hideMark/>
          </w:tcPr>
          <w:p w14:paraId="4910DFC2"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Total</w:t>
            </w:r>
          </w:p>
        </w:tc>
        <w:tc>
          <w:tcPr>
            <w:tcW w:w="1117" w:type="dxa"/>
            <w:noWrap/>
            <w:hideMark/>
          </w:tcPr>
          <w:p w14:paraId="2764DEAF"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 xml:space="preserve">     37,103 </w:t>
            </w:r>
          </w:p>
        </w:tc>
        <w:tc>
          <w:tcPr>
            <w:tcW w:w="1429" w:type="dxa"/>
            <w:noWrap/>
            <w:hideMark/>
          </w:tcPr>
          <w:p w14:paraId="63BFA4CE" w14:textId="77777777" w:rsidR="00BF10A3" w:rsidRPr="00410A3E" w:rsidRDefault="00BF10A3" w:rsidP="001F7400">
            <w:pPr>
              <w:rPr>
                <w:rFonts w:ascii="Courier New" w:eastAsiaTheme="minorHAnsi" w:hAnsi="Courier New" w:cstheme="minorBidi"/>
                <w:b/>
                <w:bCs/>
                <w:sz w:val="16"/>
              </w:rPr>
            </w:pPr>
            <w:r w:rsidRPr="00410A3E">
              <w:rPr>
                <w:rFonts w:ascii="Courier New" w:eastAsiaTheme="minorHAnsi" w:hAnsi="Courier New" w:cstheme="minorBidi"/>
                <w:b/>
                <w:bCs/>
                <w:sz w:val="16"/>
              </w:rPr>
              <w:t xml:space="preserve">      3,237,970 </w:t>
            </w:r>
          </w:p>
        </w:tc>
      </w:tr>
      <w:tr w:rsidR="00BF10A3" w:rsidRPr="00410A3E" w14:paraId="512A82E9" w14:textId="77777777" w:rsidTr="001F7400">
        <w:trPr>
          <w:trHeight w:val="362"/>
        </w:trPr>
        <w:tc>
          <w:tcPr>
            <w:tcW w:w="5087" w:type="dxa"/>
            <w:gridSpan w:val="3"/>
            <w:noWrap/>
            <w:hideMark/>
          </w:tcPr>
          <w:p w14:paraId="25B2A32C" w14:textId="77777777" w:rsidR="00BF10A3" w:rsidRPr="00410A3E" w:rsidRDefault="00BF10A3" w:rsidP="001F7400">
            <w:pPr>
              <w:rPr>
                <w:rFonts w:ascii="Courier New" w:eastAsiaTheme="minorHAnsi" w:hAnsi="Courier New" w:cstheme="minorBidi"/>
                <w:sz w:val="16"/>
              </w:rPr>
            </w:pPr>
            <w:r w:rsidRPr="00410A3E">
              <w:rPr>
                <w:rFonts w:ascii="Courier New" w:eastAsiaTheme="minorHAnsi" w:hAnsi="Courier New" w:cstheme="minorBidi"/>
                <w:sz w:val="16"/>
              </w:rPr>
              <w:t>Note: Model limited to programs that had enrollment in FY2010 GE reporting</w:t>
            </w:r>
          </w:p>
        </w:tc>
      </w:tr>
    </w:tbl>
    <w:p w14:paraId="66ECF9C3" w14:textId="77777777" w:rsidR="00BF10A3" w:rsidRPr="00410A3E" w:rsidRDefault="00BF10A3" w:rsidP="00BF10A3">
      <w:pPr>
        <w:spacing w:after="0" w:line="240" w:lineRule="auto"/>
        <w:rPr>
          <w:rFonts w:ascii="Courier New" w:eastAsiaTheme="minorHAnsi" w:hAnsi="Courier New" w:cstheme="minorBidi"/>
          <w:sz w:val="16"/>
        </w:rPr>
      </w:pPr>
    </w:p>
    <w:p w14:paraId="2C3694DE" w14:textId="77777777" w:rsidR="00BF10A3" w:rsidRPr="00AA6DFD" w:rsidRDefault="00BF10A3" w:rsidP="00BF10A3">
      <w:pPr>
        <w:pStyle w:val="CommentText"/>
        <w:spacing w:after="0"/>
        <w:ind w:firstLine="720"/>
        <w:rPr>
          <w:rFonts w:ascii="Courier New" w:hAnsi="Courier New" w:cs="Courier New"/>
          <w:i/>
          <w:sz w:val="24"/>
          <w:szCs w:val="24"/>
        </w:rPr>
      </w:pPr>
    </w:p>
    <w:p w14:paraId="44F9D91F" w14:textId="77777777" w:rsidR="00BF10A3" w:rsidRPr="00AA6DFD" w:rsidRDefault="00BF10A3" w:rsidP="00BF10A3">
      <w:pPr>
        <w:pStyle w:val="CommentText"/>
        <w:spacing w:after="0"/>
        <w:ind w:firstLine="720"/>
        <w:rPr>
          <w:rFonts w:ascii="Courier New" w:hAnsi="Courier New" w:cs="Courier New"/>
          <w:i/>
          <w:sz w:val="24"/>
          <w:szCs w:val="24"/>
        </w:rPr>
      </w:pPr>
    </w:p>
    <w:p w14:paraId="400B5740" w14:textId="77777777" w:rsidR="00BF10A3" w:rsidRPr="00AA6DFD" w:rsidRDefault="00BF10A3" w:rsidP="00BF10A3">
      <w:pPr>
        <w:pStyle w:val="CommentText"/>
        <w:spacing w:after="0"/>
        <w:ind w:firstLine="720"/>
        <w:rPr>
          <w:rFonts w:ascii="Courier New" w:hAnsi="Courier New" w:cs="Courier New"/>
          <w:i/>
          <w:sz w:val="24"/>
          <w:szCs w:val="24"/>
        </w:rPr>
      </w:pPr>
    </w:p>
    <w:p w14:paraId="0E1EF5B0" w14:textId="77777777" w:rsidR="00BF10A3" w:rsidRPr="00AA6DFD" w:rsidRDefault="00BF10A3" w:rsidP="00BF10A3">
      <w:pPr>
        <w:pStyle w:val="CommentText"/>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this initial distribution of programs and students, the budget model applies the student response assumptions in Table 3.4 to estimate the number of students who will transfer to another program, drop-out, or remain in their program in reaction to the initial program results.  The model then applies the program transition assumptions to the initial program results to create a new distribution of programs by result.  The model repeats this process for each fiscal year through 2024. </w:t>
      </w:r>
    </w:p>
    <w:p w14:paraId="54C426B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This process produces a yearly estimate for the number of students receiving title IV, HEA program funds who will choose to (1) enroll in a better-performing program; (2) remain in a zone, failing, or ineligible program; or (3) drop out of postsecondary education altogether after their program receives a zone or failing result or becomes ineligible.  An estimated net savings for the title IV, HEA programs results from students who drop out of postsecondary education in the year after their program receives D/E rates that are in the zone or failing or who remain at a program that becomes ineligible for title IV, HEA program funds.  We assume no budget impact on the title IV, HEA programs from students who transfer from programs that are failing or in the zone to better-performing programs as </w:t>
      </w:r>
      <w:r w:rsidRPr="00AA6DFD">
        <w:rPr>
          <w:rFonts w:ascii="Courier New" w:hAnsi="Courier New" w:cs="Courier New"/>
          <w:color w:val="000000"/>
          <w:sz w:val="24"/>
          <w:szCs w:val="24"/>
        </w:rPr>
        <w:t>the students’ eligibility for title IV, HEA program funds carries with them across programs</w:t>
      </w:r>
      <w:r w:rsidRPr="00AA6DFD">
        <w:rPr>
          <w:rFonts w:ascii="Courier New" w:hAnsi="Courier New" w:cs="Courier New"/>
          <w:sz w:val="24"/>
          <w:szCs w:val="24"/>
        </w:rPr>
        <w:t xml:space="preserve">.  </w:t>
      </w:r>
    </w:p>
    <w:p w14:paraId="040D58A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estimate the yearly Pell Grant and loan volume that would be removed from the system based on the primary budget assumptions, we multiply the number of students who leave postsecondary education or who remain in ineligible programs by the average Pell grant amount and average loan amount for each type of title IV, HEA program loan per student by sector and credential level as reported in NPSAS:2012.  </w:t>
      </w:r>
      <w:r w:rsidRPr="00AA6DFD">
        <w:rPr>
          <w:rFonts w:ascii="Courier New" w:hAnsi="Courier New" w:cs="Courier New"/>
          <w:snapToGrid w:val="0"/>
          <w:sz w:val="24"/>
          <w:szCs w:val="24"/>
        </w:rPr>
        <w:t xml:space="preserve">Consistent with the requirements of the Credit Reform Act of 1990, budget cost estimates for the title IV, HEA programs also reflect the estimated net present value of all future non-administrative Federal costs associated with a cohort of loans.  </w:t>
      </w:r>
      <w:r w:rsidRPr="00AA6DFD">
        <w:rPr>
          <w:rFonts w:ascii="Courier New" w:hAnsi="Courier New" w:cs="Courier New"/>
          <w:sz w:val="24"/>
          <w:szCs w:val="24"/>
        </w:rPr>
        <w:t>To determine the estimated impact from reduced loan volume, the yearly loan volumes are multiplied by the PB 2015 subsidy rates for the relevant loan type.</w:t>
      </w:r>
    </w:p>
    <w:p w14:paraId="0F0DC36D" w14:textId="77777777" w:rsidR="00BF10A3" w:rsidRPr="00AA6DFD" w:rsidRDefault="00BF10A3" w:rsidP="00BF10A3">
      <w:pPr>
        <w:pStyle w:val="riaheader3"/>
      </w:pPr>
      <w:r w:rsidRPr="00AA6DFD">
        <w:t xml:space="preserve">Methodology for costs, benefits, and transfers </w:t>
      </w:r>
    </w:p>
    <w:p w14:paraId="1E0EE326" w14:textId="77777777" w:rsidR="00BF10A3" w:rsidRPr="00AA6DFD" w:rsidRDefault="00BF10A3" w:rsidP="00BF10A3">
      <w:pPr>
        <w:spacing w:after="0" w:line="240" w:lineRule="auto"/>
        <w:ind w:firstLine="720"/>
        <w:rPr>
          <w:rFonts w:ascii="Courier New" w:hAnsi="Courier New" w:cs="Courier New"/>
          <w:sz w:val="24"/>
          <w:szCs w:val="24"/>
        </w:rPr>
      </w:pPr>
    </w:p>
    <w:p w14:paraId="3C2CE54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estimated number of students who transfer, dropout, or stay in ineligible programs based on the student response assumption is used to quantify the costs and transfers resulting from the final regulations for each year from 2017 to 2024.  We quantify a transfer of title IV, HEA program funds from programs that lose students to programs that gain students.  We also quantify the transfer of instructional expenses as students shift programs as well as the cost associated with additional instructional expenses to educate students who transfer.</w:t>
      </w:r>
    </w:p>
    <w:p w14:paraId="2164785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this analysis, student transfers could result from students who enrolled in one set of programs and switch to other programs or prospective students who choose to enroll in a program other than the one they would have chosen in the absence of the regulations.    </w:t>
      </w:r>
    </w:p>
    <w:p w14:paraId="26684C4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To calculate the amounts of student aid that could transfer with students each year, we multiply the estimated number of students receiving title IV, HEA program funds transferring from ineligible, failing, or zone programs each year by the average Pell Grant, Stafford subsidized loan, unsubsidized loan, PLUS loan, and GRAD PLUS loan per student as reported in NPSAS:2012.  To annualize the amount of title IV, HEA program fund transfers from 2016 to 2024, we calculate the net present value (NPV) of the yearly transfers using a discount rate of 3 percent and a discount rate of 7 percent.</w:t>
      </w:r>
      <w:r w:rsidRPr="00AA6DFD">
        <w:rPr>
          <w:rStyle w:val="FootnoteReference"/>
          <w:rFonts w:ascii="Courier New" w:hAnsi="Courier New" w:cs="Courier New"/>
          <w:sz w:val="24"/>
          <w:szCs w:val="24"/>
        </w:rPr>
        <w:footnoteReference w:id="336"/>
      </w:r>
      <w:r w:rsidRPr="00AA6DFD">
        <w:rPr>
          <w:rFonts w:ascii="Courier New" w:hAnsi="Courier New" w:cs="Courier New"/>
          <w:sz w:val="24"/>
          <w:szCs w:val="24"/>
        </w:rPr>
        <w:t xml:space="preserve">  </w:t>
      </w:r>
    </w:p>
    <w:p w14:paraId="0A43615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To calculate the transfer of instructional expenses, we apply the $4,529 average 2-year for-profit instructional expense per enrollee for award year 2010-2011 from IPEDS to the estimated number of annual student transfers for 2017 to 2024.  To determine the additional cost of educating transferring students, we used the instructional expense per enrollee data from IPEDS to calculate the average instructional expense per enrollee of passing, zone, and failing programs in the 2012 GE informational D/E rates.  As determined by this calculation, we apply a difference of $1,405 for students who transfer from failing to passing programs and $1,287 for those who transfer from zone to passing programs to the estimated number of students who will transfer between FYs 2017 and 2024.  </w:t>
      </w:r>
    </w:p>
    <w:p w14:paraId="55FA11C2" w14:textId="77777777" w:rsidR="00BF10A3" w:rsidRPr="00B53B21" w:rsidRDefault="00BF10A3" w:rsidP="00BF10A3">
      <w:pPr>
        <w:pStyle w:val="riaheader2"/>
      </w:pPr>
      <w:r w:rsidRPr="00B53B21">
        <w:t>Discussion of Costs, Benefits, and Transfers</w:t>
      </w:r>
    </w:p>
    <w:p w14:paraId="7588206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We have considered the primary costs, benefits, and transfers of the transparency framework and accountability framework for the following groups or entities that will be affected by the final regulations:</w:t>
      </w:r>
    </w:p>
    <w:p w14:paraId="02511DD1" w14:textId="77777777" w:rsidR="00BF10A3" w:rsidRPr="00AA6DFD" w:rsidRDefault="00BF10A3" w:rsidP="00BF10A3">
      <w:pPr>
        <w:pStyle w:val="ListParagraph"/>
        <w:numPr>
          <w:ilvl w:val="0"/>
          <w:numId w:val="45"/>
        </w:numPr>
        <w:spacing w:after="0" w:line="480" w:lineRule="auto"/>
        <w:rPr>
          <w:rFonts w:ascii="Courier New" w:hAnsi="Courier New" w:cs="Courier New"/>
          <w:sz w:val="24"/>
          <w:szCs w:val="24"/>
        </w:rPr>
      </w:pPr>
      <w:r w:rsidRPr="00AA6DFD">
        <w:rPr>
          <w:rFonts w:ascii="Courier New" w:hAnsi="Courier New" w:cs="Courier New"/>
          <w:sz w:val="24"/>
          <w:szCs w:val="24"/>
        </w:rPr>
        <w:t>Students</w:t>
      </w:r>
    </w:p>
    <w:p w14:paraId="7CF18628" w14:textId="77777777" w:rsidR="00BF10A3" w:rsidRPr="00AA6DFD" w:rsidRDefault="00BF10A3" w:rsidP="00BF10A3">
      <w:pPr>
        <w:pStyle w:val="ListParagraph"/>
        <w:numPr>
          <w:ilvl w:val="0"/>
          <w:numId w:val="45"/>
        </w:numPr>
        <w:spacing w:after="0" w:line="480" w:lineRule="auto"/>
        <w:rPr>
          <w:rFonts w:ascii="Courier New" w:hAnsi="Courier New" w:cs="Courier New"/>
          <w:sz w:val="24"/>
          <w:szCs w:val="24"/>
        </w:rPr>
      </w:pPr>
      <w:r w:rsidRPr="00AA6DFD">
        <w:rPr>
          <w:rFonts w:ascii="Courier New" w:hAnsi="Courier New" w:cs="Courier New"/>
          <w:sz w:val="24"/>
          <w:szCs w:val="24"/>
        </w:rPr>
        <w:t>Institutions and State and local government</w:t>
      </w:r>
    </w:p>
    <w:p w14:paraId="58B4A551" w14:textId="77777777" w:rsidR="00BF10A3" w:rsidRPr="00AA6DFD" w:rsidRDefault="00BF10A3" w:rsidP="00BF10A3">
      <w:pPr>
        <w:pStyle w:val="ListParagraph"/>
        <w:numPr>
          <w:ilvl w:val="0"/>
          <w:numId w:val="45"/>
        </w:numPr>
        <w:spacing w:after="0" w:line="480" w:lineRule="auto"/>
        <w:rPr>
          <w:rFonts w:ascii="Courier New" w:hAnsi="Courier New" w:cs="Courier New"/>
          <w:sz w:val="24"/>
          <w:szCs w:val="24"/>
        </w:rPr>
      </w:pPr>
      <w:r w:rsidRPr="00AA6DFD">
        <w:rPr>
          <w:rFonts w:ascii="Courier New" w:hAnsi="Courier New" w:cs="Courier New"/>
          <w:sz w:val="24"/>
          <w:szCs w:val="24"/>
        </w:rPr>
        <w:t>Federal government</w:t>
      </w:r>
    </w:p>
    <w:p w14:paraId="2536FDB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discuss first the anticipated benefits of the regulations, including improved market information.  We then assess the expected costs and transfers for students, institutions, the Federal government, and State and local governments.  </w:t>
      </w:r>
    </w:p>
    <w:p w14:paraId="49AF9DBC" w14:textId="77777777" w:rsidR="00BF10A3" w:rsidRPr="00AA6DFD" w:rsidRDefault="00BF10A3" w:rsidP="00BF10A3">
      <w:pPr>
        <w:pStyle w:val="riaheader2"/>
      </w:pPr>
      <w:r w:rsidRPr="00AA6DFD">
        <w:t>Benefits</w:t>
      </w:r>
    </w:p>
    <w:p w14:paraId="714309B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We expect the potential primary benefits of the regulations to be: (1) improved and standardized market information about GE programs that will increase the transparency of student outcomes for better decision making by students, prospective students, and their families, the public, taxpayers, and the Government, and institutions, leading to a more competitive marketplace that encourages improvement; (2) improvement in the quality of programs, reduction in costs and student debt, and increased earnings; (3) elimination of poor performing programs; (4) better return on educational investment for students, prospective students, and their families, as well as for taxpayers and the Federal Government; (5) greater availability of programs that provide training in occupational fields with many well-paying jobs; and (6) for institutions with high-performing programs, potential growth in enrollments and revenues resulting from the additional market information that will permit those institutions to demonstrate to consumers the value of their GE programs.</w:t>
      </w:r>
    </w:p>
    <w:p w14:paraId="33D98CB3" w14:textId="77777777" w:rsidR="00BF10A3" w:rsidRPr="00AA6DFD" w:rsidRDefault="00BF10A3" w:rsidP="00BF10A3">
      <w:pPr>
        <w:pStyle w:val="riaheader3"/>
      </w:pPr>
      <w:r w:rsidRPr="00AA6DFD">
        <w:t>Improved Market Information</w:t>
      </w:r>
      <w:r w:rsidRPr="00AA6DFD">
        <w:tab/>
      </w:r>
    </w:p>
    <w:p w14:paraId="3BF77E3A" w14:textId="77777777" w:rsidR="00BF10A3" w:rsidRPr="00AA6DFD" w:rsidRDefault="00BF10A3" w:rsidP="00BF10A3">
      <w:pPr>
        <w:spacing w:after="0" w:line="240" w:lineRule="auto"/>
        <w:ind w:firstLine="720"/>
        <w:rPr>
          <w:rFonts w:ascii="Courier New" w:hAnsi="Courier New" w:cs="Courier New"/>
          <w:sz w:val="24"/>
          <w:szCs w:val="24"/>
        </w:rPr>
      </w:pPr>
    </w:p>
    <w:p w14:paraId="20B250B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regulations will provide a standardized process and format for students, prospective students, and their families to obtain information about the outcomes of students who enroll in GE programs such as cost, debt, earnings, completion, and repayment outcomes.  This information will result in more educated decisions based on reliable information about a program’s outcomes.  Students, prospective students, and their families will have extensive, comparable, and reliable information to assist them in choosing programs where they believe they are most likely to complete their education and achieve the earnings they desire, while having debt that is manageable.       </w:t>
      </w:r>
    </w:p>
    <w:p w14:paraId="73CE2CB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improved information that will be available as a result of the regulations will also benefit institutions.  Information about student outcomes will provide a clear indication to institutions about whether their students are achieving positive results.  This information will help institutions determine whether it would be prudent to expand programs or whether certain programs should be improved, by increasing quality and reducing costs, or eliminated.  Institutions may also use this information to offer new programs in fields where students are experiencing positive outcomes, including higher earnings and steady employment.  Additionally, institutions will be able to identify and learn from programs that produce exceptional results for students.   </w:t>
      </w:r>
    </w:p>
    <w:p w14:paraId="4795DB2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taxpayers and the Government will also benefit from improved information about GE programs.  As the funders and stewards of the title IV, HEA programs, these parties have an interest in knowing whether title IV, HEA program funds are benefiting students.  The information provided in the disclosures will allow for more effective monitoring of the Federal investment in GE programs.</w:t>
      </w:r>
    </w:p>
    <w:p w14:paraId="5B04E78B" w14:textId="77777777" w:rsidR="00BF10A3" w:rsidRPr="00AA6DFD" w:rsidRDefault="00BF10A3" w:rsidP="00BF10A3">
      <w:pPr>
        <w:pStyle w:val="CommentText"/>
        <w:spacing w:after="0" w:line="480" w:lineRule="auto"/>
        <w:ind w:firstLine="720"/>
        <w:rPr>
          <w:rFonts w:ascii="Courier New" w:hAnsi="Courier New" w:cs="Courier New"/>
          <w:sz w:val="24"/>
          <w:szCs w:val="24"/>
        </w:rPr>
      </w:pPr>
      <w:r w:rsidRPr="00AA6DFD">
        <w:rPr>
          <w:rFonts w:ascii="Courier New" w:hAnsi="Courier New" w:cs="Courier New"/>
          <w:sz w:val="24"/>
          <w:szCs w:val="24"/>
        </w:rPr>
        <w:t>The Department received many comments about the utility and scope of the disclosures, as well as about the burden associated with the disclosure and related reporting obligations.  These comments are addressed in §§ 668.411 and 668.412 of the preamble and in the PRA.</w:t>
      </w:r>
    </w:p>
    <w:p w14:paraId="663395D0" w14:textId="77777777" w:rsidR="00BF10A3" w:rsidRPr="00AA6DFD" w:rsidRDefault="00BF10A3" w:rsidP="00BF10A3">
      <w:pPr>
        <w:pStyle w:val="riaheader3"/>
      </w:pPr>
      <w:r w:rsidRPr="00AA6DFD">
        <w:t>Benefits to Students</w:t>
      </w:r>
    </w:p>
    <w:p w14:paraId="64072FFE" w14:textId="77777777" w:rsidR="00BF10A3" w:rsidRPr="00AA6DFD" w:rsidRDefault="00BF10A3" w:rsidP="00BF10A3">
      <w:pPr>
        <w:shd w:val="clear" w:color="auto" w:fill="FFFFFF"/>
        <w:spacing w:after="0" w:line="240" w:lineRule="auto"/>
        <w:ind w:firstLine="720"/>
        <w:rPr>
          <w:rFonts w:ascii="Courier New" w:hAnsi="Courier New" w:cs="Courier New"/>
          <w:sz w:val="24"/>
          <w:szCs w:val="24"/>
        </w:rPr>
      </w:pPr>
    </w:p>
    <w:p w14:paraId="02C8FE8A"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Students will benefit from lower costs, and as a result, lower debt, and better program quality as institutions improve programs that fail or fall in the zone under the D/E rates measure.  Efforts to improve programs by offering better student services, working with employers to ensure graduates have needed skills, increasing academic quality, and helping students with career planning will lead to better outcomes and higher earnings over time.  Students will also benefit by transferring to passing programs, increasing the availability of successful programs providing high-quality training at lower costs, and from the availability of new programs in fields where there are more jobs and greater earnings.  Students who graduate with manageable debts and adequate earnings will be more likely to pay back their loans, marry, form families, purchase a car, buy a home, start or invest in a business, and save for retirement. </w:t>
      </w:r>
    </w:p>
    <w:p w14:paraId="73D9B0BF" w14:textId="77777777" w:rsidR="00BF10A3" w:rsidRPr="00AA6DFD" w:rsidRDefault="00BF10A3" w:rsidP="00BF10A3">
      <w:pPr>
        <w:pStyle w:val="riaheader3"/>
      </w:pPr>
      <w:r w:rsidRPr="00AA6DFD">
        <w:t>Benefits to Institutions and State and local governments</w:t>
      </w:r>
    </w:p>
    <w:p w14:paraId="015E8D93" w14:textId="77777777" w:rsidR="00BF10A3" w:rsidRPr="00AA6DFD" w:rsidRDefault="00BF10A3" w:rsidP="00BF10A3">
      <w:pPr>
        <w:shd w:val="clear" w:color="auto" w:fill="FFFFFF"/>
        <w:spacing w:after="0" w:line="240" w:lineRule="auto"/>
        <w:ind w:firstLine="720"/>
        <w:rPr>
          <w:rFonts w:ascii="Courier New" w:hAnsi="Courier New" w:cs="Courier New"/>
          <w:sz w:val="24"/>
          <w:szCs w:val="24"/>
        </w:rPr>
      </w:pPr>
    </w:p>
    <w:p w14:paraId="2369DFF3"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For institutions, the impact of the regulations will likely be mixed.  Institutions with programs that do not pass the D/E rates measure, including programs that lose eligibility, are likely to see lower revenues and possibly reduced profit margins.  On the other hand, institutions with high-performing programs are likely to see growing enrollment and revenue and to benefit from additional market information that permits institutions to demonstrate the value of their programs.</w:t>
      </w:r>
    </w:p>
    <w:p w14:paraId="2FC132D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Although low-performing programs may experience a drop in enrollment and revenues, we believe disclosures will increase enrollment and revenues in well-performing programs.  Improved information from disclosures will increase market demand for programs performing well in areas such as completion, debt, earnings after completion, and repayment rates.  We also believe these increases in revenue will offset any additional costs incurred and revenues lost by institutions as they improve the quality of their programs and lower their tuition prices in response to the regulations in order to ensure the long-term viability of their programs. While the increases or decreases in revenues for institutions are costs or benefits from the institutional perspective, they are transfers from a social perspective.  The additional demand for education due to program quality improvement may be considered a social benefit.</w:t>
      </w:r>
    </w:p>
    <w:p w14:paraId="21C72A1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State and local governments will benefit from improved oversight of their investments in postsecondary education.  Additionally, State and local postsecondary education funding will be allocated more efficiently to higher-performing programs </w:t>
      </w:r>
    </w:p>
    <w:p w14:paraId="70A7AD34" w14:textId="77777777" w:rsidR="00BF10A3" w:rsidRPr="00AA6DFD" w:rsidRDefault="00BF10A3" w:rsidP="00BF10A3">
      <w:pPr>
        <w:pStyle w:val="riaheader3"/>
      </w:pPr>
      <w:r w:rsidRPr="00AA6DFD">
        <w:t xml:space="preserve">Benefits to the Federal Government </w:t>
      </w:r>
    </w:p>
    <w:p w14:paraId="6BACA673" w14:textId="77777777" w:rsidR="00BF10A3" w:rsidRPr="00AA6DFD" w:rsidRDefault="00BF10A3" w:rsidP="00BF10A3">
      <w:pPr>
        <w:shd w:val="clear" w:color="auto" w:fill="FFFFFF"/>
        <w:spacing w:after="0" w:line="240" w:lineRule="auto"/>
        <w:ind w:firstLine="720"/>
        <w:rPr>
          <w:rFonts w:ascii="Courier New" w:hAnsi="Courier New" w:cs="Courier New"/>
          <w:sz w:val="24"/>
          <w:szCs w:val="24"/>
        </w:rPr>
      </w:pPr>
    </w:p>
    <w:p w14:paraId="597A8A47"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A primary benefit of the regulations will be improved oversight and administration of the title IV, HEA programs.  Additionally, Federal taxpayer funds will be allocated more efficiently to higher-performing programs, where students are more likely to graduate with manageable amounts of debt and gain stable employment in a well-paying field, increasing the positive benefits of Federal investment in title IV, HEA programs.  Students will also be more likely to repay their loans, which will lower the cost of loans subsidized by the Federal Government.</w:t>
      </w:r>
    </w:p>
    <w:p w14:paraId="4D17B36A" w14:textId="77777777" w:rsidR="00BF10A3" w:rsidRPr="00B53B21" w:rsidRDefault="00BF10A3" w:rsidP="00BF10A3">
      <w:pPr>
        <w:pStyle w:val="riaheader2"/>
      </w:pPr>
      <w:r w:rsidRPr="00B53B21">
        <w:t>Costs</w:t>
      </w:r>
    </w:p>
    <w:p w14:paraId="214AB962" w14:textId="77777777" w:rsidR="00BF10A3" w:rsidRPr="00AA6DFD" w:rsidRDefault="00BF10A3" w:rsidP="00BF10A3">
      <w:pPr>
        <w:pStyle w:val="riaheader3"/>
      </w:pPr>
      <w:r w:rsidRPr="00AA6DFD">
        <w:t>Costs to students</w:t>
      </w:r>
    </w:p>
    <w:p w14:paraId="4AB6B034" w14:textId="77777777" w:rsidR="00BF10A3" w:rsidRPr="00AA6DFD" w:rsidRDefault="00BF10A3" w:rsidP="00BF10A3">
      <w:pPr>
        <w:shd w:val="clear" w:color="auto" w:fill="FFFFFF"/>
        <w:spacing w:after="0" w:line="240" w:lineRule="auto"/>
        <w:ind w:firstLine="720"/>
        <w:rPr>
          <w:rFonts w:ascii="Courier New" w:hAnsi="Courier New" w:cs="Courier New"/>
          <w:sz w:val="24"/>
          <w:szCs w:val="24"/>
        </w:rPr>
      </w:pPr>
    </w:p>
    <w:p w14:paraId="5D929F4B"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Students may incur some costs as a result of the regulations.  We expect that over the long term, all students will have increased access to programs that lead to successful outcomes.  In the short term, although we believe that many students in failing and zone programs will be able to transfer to passing programs, new programs, or non-GE programs that provide equivalent training, at least some students may be temporarily left without transfer options.  We expect that many of these students will re-enter postsecondary education later, but understand that some students may not continue. </w:t>
      </w:r>
    </w:p>
    <w:p w14:paraId="5CF5E95E" w14:textId="77777777" w:rsidR="00BF10A3" w:rsidRPr="00AA6DFD" w:rsidRDefault="00BF10A3" w:rsidP="00BF10A3">
      <w:pPr>
        <w:pStyle w:val="riaheader3"/>
      </w:pPr>
      <w:r w:rsidRPr="00AA6DFD">
        <w:t xml:space="preserve">Costs to Institutions and State and local governments   </w:t>
      </w:r>
    </w:p>
    <w:p w14:paraId="6106B548" w14:textId="77777777" w:rsidR="00BF10A3" w:rsidRPr="00AA6DFD" w:rsidRDefault="00BF10A3" w:rsidP="00BF10A3">
      <w:pPr>
        <w:spacing w:after="0" w:line="240" w:lineRule="auto"/>
        <w:ind w:firstLine="720"/>
        <w:rPr>
          <w:rFonts w:ascii="Courier New" w:hAnsi="Courier New" w:cs="Courier New"/>
          <w:sz w:val="24"/>
          <w:szCs w:val="24"/>
        </w:rPr>
      </w:pPr>
    </w:p>
    <w:p w14:paraId="596567D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the regulations are implemented, institutions will incur costs as they make changes needed to comply with the regulations, including costs associated with the reporting and disclosure requirements.  These costs could include:  (1) training of staff for additional duties, (2) potential hiring of new employees, (3) purchase of new software or equipment, and (4) procurement of external services.  This additional burden is discussed in more detail under </w:t>
      </w:r>
      <w:r w:rsidRPr="00AA6DFD">
        <w:rPr>
          <w:rFonts w:ascii="Courier New" w:hAnsi="Courier New" w:cs="Courier New"/>
          <w:sz w:val="24"/>
          <w:szCs w:val="24"/>
          <w:u w:val="single"/>
        </w:rPr>
        <w:t>Paperwork Reduction Act of 1995</w:t>
      </w:r>
      <w:r w:rsidRPr="00AA6DFD">
        <w:rPr>
          <w:rFonts w:ascii="Courier New" w:hAnsi="Courier New" w:cs="Courier New"/>
          <w:sz w:val="24"/>
          <w:szCs w:val="24"/>
        </w:rPr>
        <w:t xml:space="preserve">.               </w:t>
      </w:r>
    </w:p>
    <w:p w14:paraId="224D976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Institutions that make efforts to improve the outcomes of failing and zone programs will face additional costs.  For example, institutions that reduce the tuition and fees of programs will see decreased revenue.  An institution could also choose to spend more on curriculum development to for example, link a program’s content to the needs of in-demand and well-paying jobs in the workforce, or allocate more funds toward other functions, such as hiring better faculty; providing training to existing faculty; offering tutoring or other support services to assist struggling students; providing career counseling to help students find jobs; or other areas where increased investment could yield improved performance on the D/E rates measure. </w:t>
      </w:r>
    </w:p>
    <w:p w14:paraId="15B5D3F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costs of program changes in response to the regulations are difficult to quantify generally as they would vary significantly by institution and ultimately depend on institutional behavior.  For example, institutions with all passing programs could elect to commit only minimal resources toward improving outcomes.  On the other hand, they could instead make substantial investments to expand passing programs and meet increased demand from prospective students, which could result in an attendant increase in enrollment costs.  Institutions with failing or zone programs could decide to devote significant resources towards improving performance, depending on their capacity, or could instead elect to discontinue one or more of the programs.  </w:t>
      </w:r>
    </w:p>
    <w:p w14:paraId="7B90544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Many commenters argued that the types of investments and activities described by the Department here and in the NPRM that would improve program outcomes are not likely to affect program performance in the near term, so institutions would have to incur such costs in the expectation that program improvement would be reflected in future D/E rates.  These comments are addressed in “§668.404 Calculating D/E rates” of the preamble.  </w:t>
      </w:r>
    </w:p>
    <w:p w14:paraId="6AFE53E7" w14:textId="77777777" w:rsidR="00BF10A3" w:rsidRPr="00AA6DFD" w:rsidRDefault="00BF10A3" w:rsidP="00BF10A3">
      <w:pPr>
        <w:autoSpaceDE w:val="0"/>
        <w:autoSpaceDN w:val="0"/>
        <w:adjustRightInd w:val="0"/>
        <w:spacing w:after="0" w:line="480" w:lineRule="auto"/>
        <w:ind w:firstLine="720"/>
        <w:rPr>
          <w:rFonts w:ascii="Courier New" w:eastAsia="Times New Roman" w:hAnsi="Courier New" w:cs="Courier New"/>
          <w:kern w:val="1"/>
          <w:sz w:val="24"/>
          <w:szCs w:val="24"/>
          <w:lang w:eastAsia="zh-CN" w:bidi="hi-IN"/>
        </w:rPr>
      </w:pPr>
      <w:r w:rsidRPr="00AA6DFD">
        <w:rPr>
          <w:rFonts w:ascii="Courier New" w:hAnsi="Courier New" w:cs="Courier New"/>
          <w:sz w:val="24"/>
          <w:szCs w:val="24"/>
        </w:rPr>
        <w:t xml:space="preserve">State and local governments may experience increased costs as enrollment in public institutions increases as a result of some students transferring from programs at for-profit institutions.  </w:t>
      </w:r>
      <w:r w:rsidRPr="00AA6DFD">
        <w:rPr>
          <w:rFonts w:ascii="Courier New" w:eastAsia="Times New Roman" w:hAnsi="Courier New" w:cs="Courier New"/>
          <w:kern w:val="1"/>
          <w:sz w:val="24"/>
          <w:szCs w:val="24"/>
          <w:lang w:eastAsia="zh-CN" w:bidi="hi-IN"/>
        </w:rPr>
        <w:t>Several commenters argued that it costs taxpayers more to educate students at public institutions.  These commenters relied on analysis</w:t>
      </w:r>
      <w:r w:rsidRPr="00AA6DFD">
        <w:rPr>
          <w:rStyle w:val="FootnoteReference"/>
          <w:rFonts w:ascii="Courier New" w:eastAsia="Times New Roman" w:hAnsi="Courier New" w:cs="Courier New"/>
          <w:kern w:val="1"/>
          <w:sz w:val="24"/>
          <w:szCs w:val="24"/>
          <w:lang w:eastAsia="zh-CN" w:bidi="hi-IN"/>
        </w:rPr>
        <w:footnoteReference w:id="337"/>
      </w:r>
      <w:r w:rsidRPr="00AA6DFD">
        <w:rPr>
          <w:rFonts w:ascii="Courier New" w:eastAsia="Times New Roman" w:hAnsi="Courier New" w:cs="Courier New"/>
          <w:kern w:val="1"/>
          <w:sz w:val="24"/>
          <w:szCs w:val="24"/>
          <w:lang w:eastAsia="zh-CN" w:bidi="hi-IN"/>
        </w:rPr>
        <w:t xml:space="preserve"> that examined direct costs and calculated that at for-profit 2-year institutions produce graduates at a cost to taxpayers that is $25,546 lower on a per-student basis than the public 2-year institutions.</w:t>
      </w:r>
      <w:r w:rsidRPr="00AA6DFD">
        <w:rPr>
          <w:rStyle w:val="FootnoteReference"/>
          <w:rFonts w:ascii="Courier New" w:eastAsia="Times New Roman" w:hAnsi="Courier New" w:cs="Courier New"/>
          <w:kern w:val="1"/>
          <w:sz w:val="24"/>
          <w:szCs w:val="24"/>
          <w:lang w:eastAsia="zh-CN" w:bidi="hi-IN"/>
        </w:rPr>
        <w:t xml:space="preserve"> </w:t>
      </w:r>
      <w:r w:rsidRPr="00AA6DFD">
        <w:rPr>
          <w:rStyle w:val="FootnoteReference"/>
          <w:rFonts w:ascii="Courier New" w:eastAsia="Times New Roman" w:hAnsi="Courier New" w:cs="Courier New"/>
          <w:kern w:val="1"/>
          <w:sz w:val="24"/>
          <w:szCs w:val="24"/>
          <w:lang w:eastAsia="zh-CN" w:bidi="hi-IN"/>
        </w:rPr>
        <w:footnoteReference w:id="338"/>
      </w:r>
      <w:r w:rsidRPr="00AA6DFD">
        <w:rPr>
          <w:rFonts w:ascii="Courier New" w:eastAsia="Times New Roman" w:hAnsi="Courier New" w:cs="Courier New"/>
          <w:kern w:val="1"/>
          <w:sz w:val="24"/>
          <w:szCs w:val="24"/>
          <w:lang w:eastAsia="zh-CN" w:bidi="hi-IN"/>
        </w:rPr>
        <w:t xml:space="preserve">  </w:t>
      </w:r>
      <w:r w:rsidRPr="00B53B21">
        <w:rPr>
          <w:rFonts w:ascii="Courier New" w:hAnsi="Courier New" w:cs="Courier New"/>
          <w:sz w:val="24"/>
        </w:rPr>
        <w:t>Another study estimated that public institutions receive $19.38 per student in direct tax support and private non-profit institutions receive $8.69 per student for every $1 dollar received by for-profit institutions,</w:t>
      </w:r>
      <w:r>
        <w:rPr>
          <w:rStyle w:val="FootnoteReference"/>
          <w:rFonts w:ascii="Courier New" w:hAnsi="Courier New"/>
          <w:sz w:val="24"/>
        </w:rPr>
        <w:footnoteReference w:id="339"/>
      </w:r>
      <w:r w:rsidRPr="00B53B21">
        <w:rPr>
          <w:rFonts w:ascii="Courier New" w:hAnsi="Courier New" w:cs="Courier New"/>
          <w:sz w:val="24"/>
        </w:rPr>
        <w:t xml:space="preserve"> while another found that taxpayer costs of 4-year public institutions averaged $9,709 per student compared to $99 per student at for-profit institutions.</w:t>
      </w:r>
      <w:r>
        <w:rPr>
          <w:rStyle w:val="FootnoteReference"/>
          <w:rFonts w:ascii="Courier New" w:hAnsi="Courier New"/>
          <w:sz w:val="24"/>
        </w:rPr>
        <w:footnoteReference w:id="340"/>
      </w:r>
      <w:r w:rsidRPr="00AA6DFD">
        <w:rPr>
          <w:rFonts w:ascii="Courier New" w:eastAsia="Times New Roman" w:hAnsi="Courier New" w:cs="Courier New"/>
          <w:kern w:val="1"/>
          <w:sz w:val="24"/>
          <w:szCs w:val="24"/>
          <w:lang w:eastAsia="zh-CN" w:bidi="hi-IN"/>
        </w:rPr>
        <w:t xml:space="preserve"> Focusing on State and local support only, updated data from the Digest of Education Statistics indicates that State and local government grants, contracts, and appropriations per full-time equivalent student in 2011-12 to 2-year public institutions (constant 2012-13 dollars) totaled $6,280 compared to $91 to 2-year for-profit institutions.</w:t>
      </w:r>
      <w:r w:rsidRPr="00AA6DFD">
        <w:rPr>
          <w:rStyle w:val="FootnoteReference"/>
          <w:rFonts w:ascii="Courier New" w:eastAsia="Times New Roman" w:hAnsi="Courier New" w:cs="Courier New"/>
          <w:kern w:val="1"/>
          <w:sz w:val="24"/>
          <w:szCs w:val="24"/>
          <w:lang w:eastAsia="zh-CN" w:bidi="hi-IN"/>
        </w:rPr>
        <w:footnoteReference w:id="341"/>
      </w:r>
      <w:r w:rsidRPr="00AA6DFD">
        <w:rPr>
          <w:rFonts w:ascii="Courier New" w:eastAsia="Times New Roman" w:hAnsi="Courier New" w:cs="Courier New"/>
          <w:kern w:val="1"/>
          <w:sz w:val="24"/>
          <w:szCs w:val="24"/>
          <w:lang w:eastAsia="zh-CN" w:bidi="hi-IN"/>
        </w:rPr>
        <w:t xml:space="preserve">    </w:t>
      </w:r>
    </w:p>
    <w:p w14:paraId="39E5A799" w14:textId="77777777" w:rsidR="00BF10A3" w:rsidRPr="00AA6DFD" w:rsidRDefault="00BF10A3" w:rsidP="00BF10A3">
      <w:pPr>
        <w:autoSpaceDE w:val="0"/>
        <w:autoSpaceDN w:val="0"/>
        <w:adjustRightInd w:val="0"/>
        <w:spacing w:after="0" w:line="480" w:lineRule="auto"/>
        <w:ind w:firstLine="720"/>
        <w:rPr>
          <w:rFonts w:ascii="Courier New" w:eastAsia="Times New Roman" w:hAnsi="Courier New" w:cs="Courier New"/>
          <w:kern w:val="1"/>
          <w:sz w:val="24"/>
          <w:szCs w:val="24"/>
          <w:lang w:eastAsia="zh-CN" w:bidi="hi-IN"/>
        </w:rPr>
      </w:pPr>
      <w:r w:rsidRPr="00AA6DFD">
        <w:rPr>
          <w:rFonts w:ascii="Courier New" w:eastAsia="Times New Roman" w:hAnsi="Courier New" w:cs="Courier New"/>
          <w:kern w:val="1"/>
          <w:sz w:val="24"/>
          <w:szCs w:val="24"/>
          <w:lang w:eastAsia="zh-CN" w:bidi="hi-IN"/>
        </w:rPr>
        <w:t>Another study cited by commenters found that if the number of graduates from nine for-profit institutions in four states, California, New York, Ohio, and Texas, in the five-year period from AYs 2007-08 to 2011-12 transferred to public 2-year or 4-year institutions, it would have cost those States an additional $6.4 billion for bachelor’s graduates and $4.6 billion for associate graduates (constant 2013 dollars).</w:t>
      </w:r>
      <w:r w:rsidRPr="00AA6DFD">
        <w:rPr>
          <w:rStyle w:val="FootnoteReference"/>
          <w:rFonts w:ascii="Courier New" w:eastAsia="Times New Roman" w:hAnsi="Courier New" w:cs="Courier New"/>
          <w:kern w:val="1"/>
          <w:sz w:val="24"/>
          <w:szCs w:val="24"/>
          <w:lang w:eastAsia="zh-CN" w:bidi="hi-IN"/>
        </w:rPr>
        <w:footnoteReference w:id="342"/>
      </w:r>
      <w:r w:rsidRPr="00AA6DFD">
        <w:rPr>
          <w:rFonts w:ascii="Courier New" w:eastAsia="Times New Roman" w:hAnsi="Courier New" w:cs="Courier New"/>
          <w:kern w:val="1"/>
          <w:sz w:val="24"/>
          <w:szCs w:val="24"/>
          <w:lang w:eastAsia="zh-CN" w:bidi="hi-IN"/>
        </w:rPr>
        <w:t xml:space="preserve">  The analysis submitted by commenters does not reflect the expected effect of the regulations as the majority of programs, even at for-profit institutions, are expected to pass the D/E rates measure and many students who switch programs are expected to do so within the for-profit sector, substantially reducing the impact on State and Local governments estimated in the studies cited by commenters.  The Department recognizes that a shift in students to public institutions could result in higher State and Local government costs, but the extent of this is dependent on student transfer patterns and State and local government choices.   </w:t>
      </w:r>
    </w:p>
    <w:p w14:paraId="3A5B7AF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eastAsia="Times New Roman" w:hAnsi="Courier New" w:cs="Courier New"/>
          <w:kern w:val="1"/>
          <w:sz w:val="24"/>
          <w:szCs w:val="24"/>
          <w:lang w:eastAsia="zh-CN" w:bidi="hi-IN"/>
        </w:rPr>
        <w:t>Further, if</w:t>
      </w:r>
      <w:r w:rsidRPr="00AA6DFD">
        <w:rPr>
          <w:rFonts w:ascii="Courier New" w:hAnsi="Courier New" w:cs="Courier New"/>
          <w:sz w:val="24"/>
          <w:szCs w:val="24"/>
        </w:rPr>
        <w:t xml:space="preserve"> States choose to expand the enrollment capacity of passing programs at public institutions, it is not necessarily the case that they will face marginal costs that are similar to their average cost or that they will only choose to expand through traditional brick-and-mortar institutions.  The Department continues to find that many States across the country are experimenting with innovative models that use different methods of instruction and content delivery, including online offerings, that allow students to complete courses faster and at lower cost.  Forecasting the extent to which future growth would occur in traditional settings versus online education or some other model is outside the scope of this analysis.</w:t>
      </w:r>
    </w:p>
    <w:p w14:paraId="62891C29" w14:textId="77777777" w:rsidR="00BF10A3" w:rsidRPr="00AA6DFD" w:rsidRDefault="00BF10A3" w:rsidP="00BF10A3">
      <w:pPr>
        <w:pStyle w:val="riaheader3"/>
      </w:pPr>
      <w:r w:rsidRPr="00AA6DFD">
        <w:t>Transfers</w:t>
      </w:r>
    </w:p>
    <w:p w14:paraId="410A4735" w14:textId="77777777" w:rsidR="00BF10A3" w:rsidRPr="00AA6DFD" w:rsidRDefault="00BF10A3" w:rsidP="00BF10A3">
      <w:pPr>
        <w:shd w:val="clear" w:color="auto" w:fill="FFFFFF"/>
        <w:spacing w:after="0" w:line="240" w:lineRule="auto"/>
        <w:ind w:firstLine="720"/>
        <w:rPr>
          <w:rFonts w:ascii="Courier New" w:hAnsi="Courier New" w:cs="Courier New"/>
          <w:sz w:val="24"/>
          <w:szCs w:val="24"/>
        </w:rPr>
      </w:pPr>
    </w:p>
    <w:p w14:paraId="425A8ED3"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students drop out of postsecondary education or remain in programs that lose eligibility for title IV, HEA Federal student aid, there will be a transfer of Federal student aid from those students to the Federal Government.  Under the primary budget scenario, the annualized amount of this transfer of title IV, HEA programs funds over the FY 2014 to FY 2024 budget window is $423 million. </w:t>
      </w:r>
    </w:p>
    <w:p w14:paraId="272614F0" w14:textId="77777777" w:rsidR="00BF10A3" w:rsidRPr="00AA6DFD" w:rsidRDefault="00BF10A3" w:rsidP="00BF10A3">
      <w:pPr>
        <w:shd w:val="clear" w:color="auto" w:fill="FFFFFF"/>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Additionally, as students change programs based on program performance and disclosures, revenues and expenses associated with students will transfer between postsecondary institutions.  We estimate that approximately $2.55 billion (7 percent discount rate) or $2.52 billion (3 percent discount rate) in title IV, HEA Pell Grant and loan volume will transfer from zone, failing, and ineligible programs to passing programs on an annualized basis.  These amounts reflect the anticipated high level of initial transfers as institutions adapt to the proposed regulations and failing and zone programs eventually lose eligibility for title IV, HEA program funds.  We expect the title IV, HEA program funds associated with student transfers related to the final regulations to decline in future years.  Additionally, we estimate that $1.24 billion (7 percent discount rate) or $1.22 billion (3 percent discount rate) in instructional expenses will transfer among postsecondary institutions. </w:t>
      </w:r>
    </w:p>
    <w:p w14:paraId="7AFDFE52" w14:textId="77777777" w:rsidR="00BF10A3" w:rsidRPr="00B53B21" w:rsidRDefault="00BF10A3" w:rsidP="00BF10A3">
      <w:pPr>
        <w:pStyle w:val="riaheader2"/>
      </w:pPr>
      <w:r w:rsidRPr="00B53B21">
        <w:t xml:space="preserve">Net Budget Impacts </w:t>
      </w:r>
    </w:p>
    <w:p w14:paraId="7D128666"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previously discussed, the Department made several assumptions about program transition, student response to program performance and enrollment growth in order to estimate the net budget impact of the regulations.  The vast majority of students are assumed to resume their education at the same or another program in the event the program they are attending voluntarily closes, fails or falls in the zone under the D/E rates measure, or loses eligibility to participate in the title IV, HEA programs and the Department estimates no significant net budget impact from those students who continue their education.  The student response scenarios presented in this RIA also assume that some students will not pursue, or continue to pursue, postsecondary education if warned about poor program performance or if their program loses eligibility, while other students will remain in an ineligible program that remains operational even though they will be unable to receive title IV, HEA program funds.  The estimated potential net impact on the Federal budget results from Federal loans and Pell Grants not taken by these students.  </w:t>
      </w:r>
    </w:p>
    <w:p w14:paraId="4ABAE593"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provide in Table 3.7, </w:t>
      </w:r>
      <w:r w:rsidRPr="00AA6DFD">
        <w:rPr>
          <w:rFonts w:ascii="Courier New" w:hAnsi="Courier New" w:cs="Courier New"/>
          <w:snapToGrid w:val="0"/>
          <w:sz w:val="24"/>
          <w:szCs w:val="24"/>
        </w:rPr>
        <w:t>w</w:t>
      </w:r>
      <w:r w:rsidRPr="00AA6DFD">
        <w:rPr>
          <w:rFonts w:ascii="Courier New" w:hAnsi="Courier New" w:cs="Courier New"/>
          <w:sz w:val="24"/>
          <w:szCs w:val="24"/>
        </w:rPr>
        <w:t xml:space="preserve">e estimate, under the primary student and program response scenario, that the regulations will result in reduced costs of $4.3 billion due to Pell Grants not taken between fiscal years 2014 and 2024.  The estimated reductions in Pell Grant costs will be slightly offset by approximately $695 million in reduced net returns associated with lower Federal Direct Unsubsidized and PLUS loan volume.  Accordingly, we estimate the net budget impact of the regulations will be $4.2 billion over the FY 2014 to FY 2024 budget window.  </w:t>
      </w:r>
    </w:p>
    <w:p w14:paraId="7F060F3E" w14:textId="77777777" w:rsidR="00BF10A3" w:rsidRPr="00AA6DFD" w:rsidRDefault="00BF10A3" w:rsidP="00BF10A3">
      <w:pPr>
        <w:rPr>
          <w:rFonts w:ascii="Courier New" w:hAnsi="Courier New" w:cs="Courier New"/>
          <w:b/>
          <w:sz w:val="24"/>
          <w:szCs w:val="24"/>
        </w:rPr>
      </w:pPr>
      <w:r>
        <w:rPr>
          <w:rFonts w:ascii="Courier New" w:hAnsi="Courier New" w:cs="Courier New"/>
          <w:b/>
          <w:sz w:val="24"/>
          <w:szCs w:val="24"/>
        </w:rPr>
        <w:br w:type="page"/>
      </w:r>
    </w:p>
    <w:p w14:paraId="2683AB5F" w14:textId="77777777" w:rsidR="00BF10A3" w:rsidRDefault="00BF10A3" w:rsidP="00BF10A3">
      <w:pPr>
        <w:spacing w:after="0" w:line="240" w:lineRule="auto"/>
        <w:rPr>
          <w:rFonts w:ascii="Courier New" w:hAnsi="Courier New" w:cs="Courier New"/>
          <w:b/>
          <w:sz w:val="24"/>
          <w:szCs w:val="24"/>
        </w:rPr>
        <w:sectPr w:rsidR="00BF10A3" w:rsidSect="00822152">
          <w:pgSz w:w="12240" w:h="15840"/>
          <w:pgMar w:top="1440" w:right="1440" w:bottom="1440" w:left="1440" w:header="720" w:footer="720" w:gutter="0"/>
          <w:cols w:space="720"/>
          <w:docGrid w:linePitch="360"/>
        </w:sectPr>
      </w:pPr>
    </w:p>
    <w:p w14:paraId="245219EE"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3.7: Primary Budget Estimate</w:t>
      </w:r>
    </w:p>
    <w:p w14:paraId="7CB97EB2" w14:textId="77777777" w:rsidR="00BF10A3" w:rsidRDefault="00BF10A3" w:rsidP="00BF10A3">
      <w:pPr>
        <w:pStyle w:val="NoSpacing"/>
      </w:pPr>
    </w:p>
    <w:tbl>
      <w:tblPr>
        <w:tblStyle w:val="TableGrid"/>
        <w:tblW w:w="13604" w:type="dxa"/>
        <w:tblLook w:val="04A0" w:firstRow="1" w:lastRow="0" w:firstColumn="1" w:lastColumn="0" w:noHBand="0" w:noVBand="1"/>
      </w:tblPr>
      <w:tblGrid>
        <w:gridCol w:w="425"/>
        <w:gridCol w:w="1434"/>
        <w:gridCol w:w="72"/>
        <w:gridCol w:w="1049"/>
        <w:gridCol w:w="1328"/>
        <w:gridCol w:w="1328"/>
        <w:gridCol w:w="1328"/>
        <w:gridCol w:w="1328"/>
        <w:gridCol w:w="1328"/>
        <w:gridCol w:w="1328"/>
        <w:gridCol w:w="1328"/>
        <w:gridCol w:w="1328"/>
      </w:tblGrid>
      <w:tr w:rsidR="00BF10A3" w:rsidRPr="002144C4" w14:paraId="1749BA6A" w14:textId="77777777" w:rsidTr="001F7400">
        <w:trPr>
          <w:trHeight w:val="339"/>
        </w:trPr>
        <w:tc>
          <w:tcPr>
            <w:tcW w:w="425" w:type="dxa"/>
            <w:noWrap/>
            <w:hideMark/>
          </w:tcPr>
          <w:p w14:paraId="733E7E8D" w14:textId="77777777" w:rsidR="00BF10A3" w:rsidRPr="002144C4" w:rsidRDefault="00BF10A3" w:rsidP="001F7400">
            <w:pPr>
              <w:pStyle w:val="NoSpacing"/>
              <w:rPr>
                <w:b/>
                <w:bCs/>
              </w:rPr>
            </w:pPr>
          </w:p>
        </w:tc>
        <w:tc>
          <w:tcPr>
            <w:tcW w:w="1506" w:type="dxa"/>
            <w:gridSpan w:val="2"/>
            <w:noWrap/>
            <w:hideMark/>
          </w:tcPr>
          <w:p w14:paraId="3F89EC39" w14:textId="77777777" w:rsidR="00BF10A3" w:rsidRPr="002144C4" w:rsidRDefault="00BF10A3" w:rsidP="001F7400">
            <w:pPr>
              <w:pStyle w:val="NoSpacing"/>
              <w:rPr>
                <w:b/>
                <w:bCs/>
              </w:rPr>
            </w:pPr>
          </w:p>
        </w:tc>
        <w:tc>
          <w:tcPr>
            <w:tcW w:w="1049" w:type="dxa"/>
            <w:noWrap/>
            <w:hideMark/>
          </w:tcPr>
          <w:p w14:paraId="29380A12" w14:textId="77777777" w:rsidR="00BF10A3" w:rsidRPr="002144C4" w:rsidRDefault="00BF10A3" w:rsidP="001F7400">
            <w:pPr>
              <w:pStyle w:val="NoSpacing"/>
              <w:rPr>
                <w:b/>
                <w:bCs/>
              </w:rPr>
            </w:pPr>
            <w:r w:rsidRPr="002144C4">
              <w:rPr>
                <w:b/>
                <w:bCs/>
              </w:rPr>
              <w:t>2016</w:t>
            </w:r>
          </w:p>
        </w:tc>
        <w:tc>
          <w:tcPr>
            <w:tcW w:w="1328" w:type="dxa"/>
            <w:noWrap/>
            <w:hideMark/>
          </w:tcPr>
          <w:p w14:paraId="65E71354" w14:textId="77777777" w:rsidR="00BF10A3" w:rsidRPr="002144C4" w:rsidRDefault="00BF10A3" w:rsidP="001F7400">
            <w:pPr>
              <w:pStyle w:val="NoSpacing"/>
              <w:rPr>
                <w:b/>
                <w:bCs/>
              </w:rPr>
            </w:pPr>
            <w:r w:rsidRPr="002144C4">
              <w:rPr>
                <w:b/>
                <w:bCs/>
              </w:rPr>
              <w:t>2017</w:t>
            </w:r>
          </w:p>
        </w:tc>
        <w:tc>
          <w:tcPr>
            <w:tcW w:w="1328" w:type="dxa"/>
            <w:noWrap/>
            <w:hideMark/>
          </w:tcPr>
          <w:p w14:paraId="6CDD5F98" w14:textId="77777777" w:rsidR="00BF10A3" w:rsidRPr="002144C4" w:rsidRDefault="00BF10A3" w:rsidP="001F7400">
            <w:pPr>
              <w:pStyle w:val="NoSpacing"/>
              <w:rPr>
                <w:b/>
                <w:bCs/>
              </w:rPr>
            </w:pPr>
            <w:r w:rsidRPr="002144C4">
              <w:rPr>
                <w:b/>
                <w:bCs/>
              </w:rPr>
              <w:t>2018</w:t>
            </w:r>
          </w:p>
        </w:tc>
        <w:tc>
          <w:tcPr>
            <w:tcW w:w="1328" w:type="dxa"/>
            <w:noWrap/>
            <w:hideMark/>
          </w:tcPr>
          <w:p w14:paraId="03A94182" w14:textId="77777777" w:rsidR="00BF10A3" w:rsidRPr="002144C4" w:rsidRDefault="00BF10A3" w:rsidP="001F7400">
            <w:pPr>
              <w:pStyle w:val="NoSpacing"/>
              <w:rPr>
                <w:b/>
                <w:bCs/>
              </w:rPr>
            </w:pPr>
            <w:r w:rsidRPr="002144C4">
              <w:rPr>
                <w:b/>
                <w:bCs/>
              </w:rPr>
              <w:t>2019</w:t>
            </w:r>
          </w:p>
        </w:tc>
        <w:tc>
          <w:tcPr>
            <w:tcW w:w="1328" w:type="dxa"/>
            <w:noWrap/>
            <w:hideMark/>
          </w:tcPr>
          <w:p w14:paraId="0F42D24D" w14:textId="77777777" w:rsidR="00BF10A3" w:rsidRPr="002144C4" w:rsidRDefault="00BF10A3" w:rsidP="001F7400">
            <w:pPr>
              <w:pStyle w:val="NoSpacing"/>
              <w:rPr>
                <w:b/>
                <w:bCs/>
              </w:rPr>
            </w:pPr>
            <w:r w:rsidRPr="002144C4">
              <w:rPr>
                <w:b/>
                <w:bCs/>
              </w:rPr>
              <w:t>2020</w:t>
            </w:r>
          </w:p>
        </w:tc>
        <w:tc>
          <w:tcPr>
            <w:tcW w:w="1328" w:type="dxa"/>
            <w:noWrap/>
            <w:hideMark/>
          </w:tcPr>
          <w:p w14:paraId="118A7EAF" w14:textId="77777777" w:rsidR="00BF10A3" w:rsidRPr="002144C4" w:rsidRDefault="00BF10A3" w:rsidP="001F7400">
            <w:pPr>
              <w:pStyle w:val="NoSpacing"/>
              <w:rPr>
                <w:b/>
                <w:bCs/>
              </w:rPr>
            </w:pPr>
            <w:r w:rsidRPr="002144C4">
              <w:rPr>
                <w:b/>
                <w:bCs/>
              </w:rPr>
              <w:t>2021</w:t>
            </w:r>
          </w:p>
        </w:tc>
        <w:tc>
          <w:tcPr>
            <w:tcW w:w="1328" w:type="dxa"/>
            <w:noWrap/>
            <w:hideMark/>
          </w:tcPr>
          <w:p w14:paraId="092AC795" w14:textId="77777777" w:rsidR="00BF10A3" w:rsidRPr="002144C4" w:rsidRDefault="00BF10A3" w:rsidP="001F7400">
            <w:pPr>
              <w:pStyle w:val="NoSpacing"/>
              <w:rPr>
                <w:b/>
                <w:bCs/>
              </w:rPr>
            </w:pPr>
            <w:r w:rsidRPr="002144C4">
              <w:rPr>
                <w:b/>
                <w:bCs/>
              </w:rPr>
              <w:t>2022</w:t>
            </w:r>
          </w:p>
        </w:tc>
        <w:tc>
          <w:tcPr>
            <w:tcW w:w="1328" w:type="dxa"/>
            <w:noWrap/>
            <w:hideMark/>
          </w:tcPr>
          <w:p w14:paraId="493767F5" w14:textId="77777777" w:rsidR="00BF10A3" w:rsidRPr="002144C4" w:rsidRDefault="00BF10A3" w:rsidP="001F7400">
            <w:pPr>
              <w:pStyle w:val="NoSpacing"/>
              <w:rPr>
                <w:b/>
                <w:bCs/>
              </w:rPr>
            </w:pPr>
            <w:r w:rsidRPr="002144C4">
              <w:rPr>
                <w:b/>
                <w:bCs/>
              </w:rPr>
              <w:t>2023</w:t>
            </w:r>
          </w:p>
        </w:tc>
        <w:tc>
          <w:tcPr>
            <w:tcW w:w="1328" w:type="dxa"/>
            <w:noWrap/>
            <w:hideMark/>
          </w:tcPr>
          <w:p w14:paraId="6D9C111F" w14:textId="77777777" w:rsidR="00BF10A3" w:rsidRPr="002144C4" w:rsidRDefault="00BF10A3" w:rsidP="001F7400">
            <w:pPr>
              <w:pStyle w:val="NoSpacing"/>
              <w:rPr>
                <w:b/>
                <w:bCs/>
              </w:rPr>
            </w:pPr>
            <w:r w:rsidRPr="002144C4">
              <w:rPr>
                <w:b/>
                <w:bCs/>
              </w:rPr>
              <w:t>2024</w:t>
            </w:r>
          </w:p>
        </w:tc>
      </w:tr>
      <w:tr w:rsidR="00BF10A3" w:rsidRPr="002144C4" w14:paraId="4BC5C888" w14:textId="77777777" w:rsidTr="001F7400">
        <w:trPr>
          <w:trHeight w:val="219"/>
        </w:trPr>
        <w:tc>
          <w:tcPr>
            <w:tcW w:w="1931" w:type="dxa"/>
            <w:gridSpan w:val="3"/>
            <w:noWrap/>
            <w:hideMark/>
          </w:tcPr>
          <w:p w14:paraId="02813A6C" w14:textId="77777777" w:rsidR="00BF10A3" w:rsidRPr="002144C4" w:rsidRDefault="00BF10A3" w:rsidP="001F7400">
            <w:pPr>
              <w:pStyle w:val="NoSpacing"/>
              <w:rPr>
                <w:b/>
                <w:bCs/>
              </w:rPr>
            </w:pPr>
            <w:r w:rsidRPr="002144C4">
              <w:rPr>
                <w:b/>
                <w:bCs/>
              </w:rPr>
              <w:t>Enrollment</w:t>
            </w:r>
          </w:p>
        </w:tc>
        <w:tc>
          <w:tcPr>
            <w:tcW w:w="1049" w:type="dxa"/>
            <w:noWrap/>
            <w:hideMark/>
          </w:tcPr>
          <w:p w14:paraId="32AAE068" w14:textId="77777777" w:rsidR="00BF10A3" w:rsidRPr="002144C4" w:rsidRDefault="00BF10A3" w:rsidP="001F7400">
            <w:pPr>
              <w:pStyle w:val="NoSpacing"/>
            </w:pPr>
            <w:r w:rsidRPr="002144C4">
              <w:t xml:space="preserve">        3,237,970 </w:t>
            </w:r>
          </w:p>
        </w:tc>
        <w:tc>
          <w:tcPr>
            <w:tcW w:w="1328" w:type="dxa"/>
            <w:noWrap/>
            <w:hideMark/>
          </w:tcPr>
          <w:p w14:paraId="606FBED6" w14:textId="77777777" w:rsidR="00BF10A3" w:rsidRPr="002144C4" w:rsidRDefault="00BF10A3" w:rsidP="001F7400">
            <w:pPr>
              <w:pStyle w:val="NoSpacing"/>
            </w:pPr>
            <w:r w:rsidRPr="002144C4">
              <w:t xml:space="preserve">             3,318,628 </w:t>
            </w:r>
          </w:p>
        </w:tc>
        <w:tc>
          <w:tcPr>
            <w:tcW w:w="1328" w:type="dxa"/>
            <w:noWrap/>
            <w:hideMark/>
          </w:tcPr>
          <w:p w14:paraId="39F90C68" w14:textId="77777777" w:rsidR="00BF10A3" w:rsidRPr="002144C4" w:rsidRDefault="00BF10A3" w:rsidP="001F7400">
            <w:pPr>
              <w:pStyle w:val="NoSpacing"/>
            </w:pPr>
            <w:r w:rsidRPr="002144C4">
              <w:t xml:space="preserve">             3,401,376 </w:t>
            </w:r>
          </w:p>
        </w:tc>
        <w:tc>
          <w:tcPr>
            <w:tcW w:w="1328" w:type="dxa"/>
            <w:noWrap/>
            <w:hideMark/>
          </w:tcPr>
          <w:p w14:paraId="225DC481" w14:textId="77777777" w:rsidR="00BF10A3" w:rsidRPr="002144C4" w:rsidRDefault="00BF10A3" w:rsidP="001F7400">
            <w:pPr>
              <w:pStyle w:val="NoSpacing"/>
            </w:pPr>
            <w:r w:rsidRPr="002144C4">
              <w:t xml:space="preserve">                  3,486,270 </w:t>
            </w:r>
          </w:p>
        </w:tc>
        <w:tc>
          <w:tcPr>
            <w:tcW w:w="1328" w:type="dxa"/>
            <w:noWrap/>
            <w:hideMark/>
          </w:tcPr>
          <w:p w14:paraId="024850B9" w14:textId="77777777" w:rsidR="00BF10A3" w:rsidRPr="002144C4" w:rsidRDefault="00BF10A3" w:rsidP="001F7400">
            <w:pPr>
              <w:pStyle w:val="NoSpacing"/>
            </w:pPr>
            <w:r w:rsidRPr="002144C4">
              <w:t xml:space="preserve">                        3,573,367 </w:t>
            </w:r>
          </w:p>
        </w:tc>
        <w:tc>
          <w:tcPr>
            <w:tcW w:w="1328" w:type="dxa"/>
            <w:noWrap/>
            <w:hideMark/>
          </w:tcPr>
          <w:p w14:paraId="2B4D841A" w14:textId="77777777" w:rsidR="00BF10A3" w:rsidRPr="002144C4" w:rsidRDefault="00BF10A3" w:rsidP="001F7400">
            <w:pPr>
              <w:pStyle w:val="NoSpacing"/>
            </w:pPr>
            <w:r w:rsidRPr="002144C4">
              <w:t xml:space="preserve">             3,662,728 </w:t>
            </w:r>
          </w:p>
        </w:tc>
        <w:tc>
          <w:tcPr>
            <w:tcW w:w="1328" w:type="dxa"/>
            <w:noWrap/>
            <w:hideMark/>
          </w:tcPr>
          <w:p w14:paraId="57D1AA72" w14:textId="77777777" w:rsidR="00BF10A3" w:rsidRPr="002144C4" w:rsidRDefault="00BF10A3" w:rsidP="001F7400">
            <w:pPr>
              <w:pStyle w:val="NoSpacing"/>
            </w:pPr>
            <w:r w:rsidRPr="002144C4">
              <w:t xml:space="preserve">              3,754,413 </w:t>
            </w:r>
          </w:p>
        </w:tc>
        <w:tc>
          <w:tcPr>
            <w:tcW w:w="1328" w:type="dxa"/>
            <w:noWrap/>
            <w:hideMark/>
          </w:tcPr>
          <w:p w14:paraId="2184AF75" w14:textId="77777777" w:rsidR="00BF10A3" w:rsidRPr="002144C4" w:rsidRDefault="00BF10A3" w:rsidP="001F7400">
            <w:pPr>
              <w:pStyle w:val="NoSpacing"/>
            </w:pPr>
            <w:r w:rsidRPr="002144C4">
              <w:t xml:space="preserve">              3,848,485 </w:t>
            </w:r>
          </w:p>
        </w:tc>
        <w:tc>
          <w:tcPr>
            <w:tcW w:w="1328" w:type="dxa"/>
            <w:noWrap/>
            <w:hideMark/>
          </w:tcPr>
          <w:p w14:paraId="7A4BDF63" w14:textId="77777777" w:rsidR="00BF10A3" w:rsidRPr="002144C4" w:rsidRDefault="00BF10A3" w:rsidP="001F7400">
            <w:pPr>
              <w:pStyle w:val="NoSpacing"/>
            </w:pPr>
            <w:r w:rsidRPr="002144C4">
              <w:t xml:space="preserve">              3,945,008 </w:t>
            </w:r>
          </w:p>
        </w:tc>
      </w:tr>
      <w:tr w:rsidR="00BF10A3" w:rsidRPr="002144C4" w14:paraId="258FA98B" w14:textId="77777777" w:rsidTr="001F7400">
        <w:trPr>
          <w:trHeight w:val="219"/>
        </w:trPr>
        <w:tc>
          <w:tcPr>
            <w:tcW w:w="425" w:type="dxa"/>
            <w:noWrap/>
            <w:hideMark/>
          </w:tcPr>
          <w:p w14:paraId="7DAAF513" w14:textId="77777777" w:rsidR="00BF10A3" w:rsidRPr="002144C4" w:rsidRDefault="00BF10A3" w:rsidP="001F7400">
            <w:pPr>
              <w:pStyle w:val="NoSpacing"/>
              <w:rPr>
                <w:b/>
                <w:bCs/>
              </w:rPr>
            </w:pPr>
          </w:p>
        </w:tc>
        <w:tc>
          <w:tcPr>
            <w:tcW w:w="1506" w:type="dxa"/>
            <w:gridSpan w:val="2"/>
            <w:noWrap/>
            <w:hideMark/>
          </w:tcPr>
          <w:p w14:paraId="2288DAC8" w14:textId="77777777" w:rsidR="00BF10A3" w:rsidRPr="002144C4" w:rsidRDefault="00BF10A3" w:rsidP="001F7400">
            <w:pPr>
              <w:pStyle w:val="NoSpacing"/>
            </w:pPr>
            <w:r w:rsidRPr="002144C4">
              <w:t>Passing</w:t>
            </w:r>
          </w:p>
        </w:tc>
        <w:tc>
          <w:tcPr>
            <w:tcW w:w="1049" w:type="dxa"/>
            <w:noWrap/>
            <w:hideMark/>
          </w:tcPr>
          <w:p w14:paraId="773DEE50" w14:textId="77777777" w:rsidR="00BF10A3" w:rsidRPr="002144C4" w:rsidRDefault="00BF10A3" w:rsidP="001F7400">
            <w:pPr>
              <w:pStyle w:val="NoSpacing"/>
            </w:pPr>
            <w:r w:rsidRPr="002144C4">
              <w:t xml:space="preserve">        1,520,101 </w:t>
            </w:r>
          </w:p>
        </w:tc>
        <w:tc>
          <w:tcPr>
            <w:tcW w:w="1328" w:type="dxa"/>
            <w:noWrap/>
            <w:hideMark/>
          </w:tcPr>
          <w:p w14:paraId="1DEC7417" w14:textId="77777777" w:rsidR="00BF10A3" w:rsidRPr="002144C4" w:rsidRDefault="00BF10A3" w:rsidP="001F7400">
            <w:pPr>
              <w:pStyle w:val="NoSpacing"/>
            </w:pPr>
            <w:r w:rsidRPr="002144C4">
              <w:t xml:space="preserve">             1,557,072 </w:t>
            </w:r>
          </w:p>
        </w:tc>
        <w:tc>
          <w:tcPr>
            <w:tcW w:w="1328" w:type="dxa"/>
            <w:noWrap/>
            <w:hideMark/>
          </w:tcPr>
          <w:p w14:paraId="132E67F5" w14:textId="77777777" w:rsidR="00BF10A3" w:rsidRPr="002144C4" w:rsidRDefault="00BF10A3" w:rsidP="001F7400">
            <w:pPr>
              <w:pStyle w:val="NoSpacing"/>
            </w:pPr>
            <w:r w:rsidRPr="002144C4">
              <w:t xml:space="preserve">             1,465,515 </w:t>
            </w:r>
          </w:p>
        </w:tc>
        <w:tc>
          <w:tcPr>
            <w:tcW w:w="1328" w:type="dxa"/>
            <w:noWrap/>
            <w:hideMark/>
          </w:tcPr>
          <w:p w14:paraId="7656CE0F" w14:textId="77777777" w:rsidR="00BF10A3" w:rsidRPr="002144C4" w:rsidRDefault="00BF10A3" w:rsidP="001F7400">
            <w:pPr>
              <w:pStyle w:val="NoSpacing"/>
            </w:pPr>
            <w:r w:rsidRPr="002144C4">
              <w:t xml:space="preserve">                  1,683,584 </w:t>
            </w:r>
          </w:p>
        </w:tc>
        <w:tc>
          <w:tcPr>
            <w:tcW w:w="1328" w:type="dxa"/>
            <w:noWrap/>
            <w:hideMark/>
          </w:tcPr>
          <w:p w14:paraId="7B2C0E28" w14:textId="77777777" w:rsidR="00BF10A3" w:rsidRPr="002144C4" w:rsidRDefault="00BF10A3" w:rsidP="001F7400">
            <w:pPr>
              <w:pStyle w:val="NoSpacing"/>
            </w:pPr>
            <w:r w:rsidRPr="002144C4">
              <w:t xml:space="preserve">                        1,697,608 </w:t>
            </w:r>
          </w:p>
        </w:tc>
        <w:tc>
          <w:tcPr>
            <w:tcW w:w="1328" w:type="dxa"/>
            <w:noWrap/>
            <w:hideMark/>
          </w:tcPr>
          <w:p w14:paraId="64280658" w14:textId="77777777" w:rsidR="00BF10A3" w:rsidRPr="002144C4" w:rsidRDefault="00BF10A3" w:rsidP="001F7400">
            <w:pPr>
              <w:pStyle w:val="NoSpacing"/>
            </w:pPr>
            <w:r w:rsidRPr="002144C4">
              <w:t xml:space="preserve">             1,749,853 </w:t>
            </w:r>
          </w:p>
        </w:tc>
        <w:tc>
          <w:tcPr>
            <w:tcW w:w="1328" w:type="dxa"/>
            <w:noWrap/>
            <w:hideMark/>
          </w:tcPr>
          <w:p w14:paraId="6E885ADF" w14:textId="77777777" w:rsidR="00BF10A3" w:rsidRPr="002144C4" w:rsidRDefault="00BF10A3" w:rsidP="001F7400">
            <w:pPr>
              <w:pStyle w:val="NoSpacing"/>
            </w:pPr>
            <w:r w:rsidRPr="002144C4">
              <w:t xml:space="preserve">              1,814,372 </w:t>
            </w:r>
          </w:p>
        </w:tc>
        <w:tc>
          <w:tcPr>
            <w:tcW w:w="1328" w:type="dxa"/>
            <w:noWrap/>
            <w:hideMark/>
          </w:tcPr>
          <w:p w14:paraId="0013155A" w14:textId="77777777" w:rsidR="00BF10A3" w:rsidRPr="002144C4" w:rsidRDefault="00BF10A3" w:rsidP="001F7400">
            <w:pPr>
              <w:pStyle w:val="NoSpacing"/>
            </w:pPr>
            <w:r w:rsidRPr="002144C4">
              <w:t xml:space="preserve">              1,879,106 </w:t>
            </w:r>
          </w:p>
        </w:tc>
        <w:tc>
          <w:tcPr>
            <w:tcW w:w="1328" w:type="dxa"/>
            <w:noWrap/>
            <w:hideMark/>
          </w:tcPr>
          <w:p w14:paraId="7726C63A" w14:textId="77777777" w:rsidR="00BF10A3" w:rsidRPr="002144C4" w:rsidRDefault="00BF10A3" w:rsidP="001F7400">
            <w:pPr>
              <w:pStyle w:val="NoSpacing"/>
            </w:pPr>
            <w:r w:rsidRPr="002144C4">
              <w:t xml:space="preserve">              1,945,703 </w:t>
            </w:r>
          </w:p>
        </w:tc>
      </w:tr>
      <w:tr w:rsidR="00BF10A3" w:rsidRPr="002144C4" w14:paraId="02CD5AAD" w14:textId="77777777" w:rsidTr="001F7400">
        <w:trPr>
          <w:trHeight w:val="219"/>
        </w:trPr>
        <w:tc>
          <w:tcPr>
            <w:tcW w:w="425" w:type="dxa"/>
            <w:noWrap/>
            <w:hideMark/>
          </w:tcPr>
          <w:p w14:paraId="1367EE06" w14:textId="77777777" w:rsidR="00BF10A3" w:rsidRPr="002144C4" w:rsidRDefault="00BF10A3" w:rsidP="001F7400">
            <w:pPr>
              <w:pStyle w:val="NoSpacing"/>
              <w:rPr>
                <w:b/>
                <w:bCs/>
              </w:rPr>
            </w:pPr>
          </w:p>
        </w:tc>
        <w:tc>
          <w:tcPr>
            <w:tcW w:w="1506" w:type="dxa"/>
            <w:gridSpan w:val="2"/>
            <w:noWrap/>
            <w:hideMark/>
          </w:tcPr>
          <w:p w14:paraId="15231C52" w14:textId="77777777" w:rsidR="00BF10A3" w:rsidRPr="002144C4" w:rsidRDefault="00BF10A3" w:rsidP="001F7400">
            <w:pPr>
              <w:pStyle w:val="NoSpacing"/>
            </w:pPr>
            <w:r w:rsidRPr="002144C4">
              <w:t>Zone</w:t>
            </w:r>
          </w:p>
        </w:tc>
        <w:tc>
          <w:tcPr>
            <w:tcW w:w="1049" w:type="dxa"/>
            <w:noWrap/>
            <w:hideMark/>
          </w:tcPr>
          <w:p w14:paraId="7F023BD8" w14:textId="77777777" w:rsidR="00BF10A3" w:rsidRPr="002144C4" w:rsidRDefault="00BF10A3" w:rsidP="001F7400">
            <w:pPr>
              <w:pStyle w:val="NoSpacing"/>
            </w:pPr>
            <w:r w:rsidRPr="002144C4">
              <w:t xml:space="preserve">            380,946 </w:t>
            </w:r>
          </w:p>
        </w:tc>
        <w:tc>
          <w:tcPr>
            <w:tcW w:w="1328" w:type="dxa"/>
            <w:noWrap/>
            <w:hideMark/>
          </w:tcPr>
          <w:p w14:paraId="13BEC74E" w14:textId="77777777" w:rsidR="00BF10A3" w:rsidRPr="002144C4" w:rsidRDefault="00BF10A3" w:rsidP="001F7400">
            <w:pPr>
              <w:pStyle w:val="NoSpacing"/>
            </w:pPr>
            <w:r w:rsidRPr="002144C4">
              <w:t xml:space="preserve">                390,131 </w:t>
            </w:r>
          </w:p>
        </w:tc>
        <w:tc>
          <w:tcPr>
            <w:tcW w:w="1328" w:type="dxa"/>
            <w:noWrap/>
            <w:hideMark/>
          </w:tcPr>
          <w:p w14:paraId="18F0BC27" w14:textId="77777777" w:rsidR="00BF10A3" w:rsidRPr="002144C4" w:rsidRDefault="00BF10A3" w:rsidP="001F7400">
            <w:pPr>
              <w:pStyle w:val="NoSpacing"/>
            </w:pPr>
            <w:r w:rsidRPr="002144C4">
              <w:t xml:space="preserve">                 301,382 </w:t>
            </w:r>
          </w:p>
        </w:tc>
        <w:tc>
          <w:tcPr>
            <w:tcW w:w="1328" w:type="dxa"/>
            <w:noWrap/>
            <w:hideMark/>
          </w:tcPr>
          <w:p w14:paraId="666EDC36" w14:textId="77777777" w:rsidR="00BF10A3" w:rsidRPr="002144C4" w:rsidRDefault="00BF10A3" w:rsidP="001F7400">
            <w:pPr>
              <w:pStyle w:val="NoSpacing"/>
            </w:pPr>
            <w:r w:rsidRPr="002144C4">
              <w:t xml:space="preserve">                     140,204 </w:t>
            </w:r>
          </w:p>
        </w:tc>
        <w:tc>
          <w:tcPr>
            <w:tcW w:w="1328" w:type="dxa"/>
            <w:noWrap/>
            <w:hideMark/>
          </w:tcPr>
          <w:p w14:paraId="4602FEB9" w14:textId="77777777" w:rsidR="00BF10A3" w:rsidRPr="002144C4" w:rsidRDefault="00BF10A3" w:rsidP="001F7400">
            <w:pPr>
              <w:pStyle w:val="NoSpacing"/>
            </w:pPr>
            <w:r w:rsidRPr="002144C4">
              <w:t xml:space="preserve">                            108,548 </w:t>
            </w:r>
          </w:p>
        </w:tc>
        <w:tc>
          <w:tcPr>
            <w:tcW w:w="1328" w:type="dxa"/>
            <w:noWrap/>
            <w:hideMark/>
          </w:tcPr>
          <w:p w14:paraId="7BF2E9C0" w14:textId="77777777" w:rsidR="00BF10A3" w:rsidRPr="002144C4" w:rsidRDefault="00BF10A3" w:rsidP="001F7400">
            <w:pPr>
              <w:pStyle w:val="NoSpacing"/>
            </w:pPr>
            <w:r w:rsidRPr="002144C4">
              <w:t xml:space="preserve">                   61,283 </w:t>
            </w:r>
          </w:p>
        </w:tc>
        <w:tc>
          <w:tcPr>
            <w:tcW w:w="1328" w:type="dxa"/>
            <w:noWrap/>
            <w:hideMark/>
          </w:tcPr>
          <w:p w14:paraId="30FE7631" w14:textId="77777777" w:rsidR="00BF10A3" w:rsidRPr="002144C4" w:rsidRDefault="00BF10A3" w:rsidP="001F7400">
            <w:pPr>
              <w:pStyle w:val="NoSpacing"/>
            </w:pPr>
            <w:r w:rsidRPr="002144C4">
              <w:t xml:space="preserve">                    34,637 </w:t>
            </w:r>
          </w:p>
        </w:tc>
        <w:tc>
          <w:tcPr>
            <w:tcW w:w="1328" w:type="dxa"/>
            <w:noWrap/>
            <w:hideMark/>
          </w:tcPr>
          <w:p w14:paraId="2D0910FD" w14:textId="77777777" w:rsidR="00BF10A3" w:rsidRPr="002144C4" w:rsidRDefault="00BF10A3" w:rsidP="001F7400">
            <w:pPr>
              <w:pStyle w:val="NoSpacing"/>
            </w:pPr>
            <w:r w:rsidRPr="002144C4">
              <w:t xml:space="preserve">                    19,013 </w:t>
            </w:r>
          </w:p>
        </w:tc>
        <w:tc>
          <w:tcPr>
            <w:tcW w:w="1328" w:type="dxa"/>
            <w:noWrap/>
            <w:hideMark/>
          </w:tcPr>
          <w:p w14:paraId="4FDD95EC" w14:textId="77777777" w:rsidR="00BF10A3" w:rsidRPr="002144C4" w:rsidRDefault="00BF10A3" w:rsidP="001F7400">
            <w:pPr>
              <w:pStyle w:val="NoSpacing"/>
            </w:pPr>
            <w:r w:rsidRPr="002144C4">
              <w:t xml:space="preserve">                      9,187 </w:t>
            </w:r>
          </w:p>
        </w:tc>
      </w:tr>
      <w:tr w:rsidR="00BF10A3" w:rsidRPr="002144C4" w14:paraId="7B9402AC" w14:textId="77777777" w:rsidTr="001F7400">
        <w:trPr>
          <w:trHeight w:val="219"/>
        </w:trPr>
        <w:tc>
          <w:tcPr>
            <w:tcW w:w="425" w:type="dxa"/>
            <w:noWrap/>
            <w:hideMark/>
          </w:tcPr>
          <w:p w14:paraId="1B1C4D75" w14:textId="77777777" w:rsidR="00BF10A3" w:rsidRPr="002144C4" w:rsidRDefault="00BF10A3" w:rsidP="001F7400">
            <w:pPr>
              <w:pStyle w:val="NoSpacing"/>
              <w:rPr>
                <w:b/>
                <w:bCs/>
              </w:rPr>
            </w:pPr>
          </w:p>
        </w:tc>
        <w:tc>
          <w:tcPr>
            <w:tcW w:w="1506" w:type="dxa"/>
            <w:gridSpan w:val="2"/>
            <w:noWrap/>
            <w:hideMark/>
          </w:tcPr>
          <w:p w14:paraId="27D4343C" w14:textId="77777777" w:rsidR="00BF10A3" w:rsidRPr="002144C4" w:rsidRDefault="00BF10A3" w:rsidP="001F7400">
            <w:pPr>
              <w:pStyle w:val="NoSpacing"/>
            </w:pPr>
            <w:r w:rsidRPr="002144C4">
              <w:t xml:space="preserve">Failing </w:t>
            </w:r>
          </w:p>
        </w:tc>
        <w:tc>
          <w:tcPr>
            <w:tcW w:w="1049" w:type="dxa"/>
            <w:noWrap/>
            <w:hideMark/>
          </w:tcPr>
          <w:p w14:paraId="12E4AB28" w14:textId="77777777" w:rsidR="00BF10A3" w:rsidRPr="002144C4" w:rsidRDefault="00BF10A3" w:rsidP="001F7400">
            <w:pPr>
              <w:pStyle w:val="NoSpacing"/>
            </w:pPr>
            <w:r w:rsidRPr="002144C4">
              <w:t xml:space="preserve">            321,269 </w:t>
            </w:r>
          </w:p>
        </w:tc>
        <w:tc>
          <w:tcPr>
            <w:tcW w:w="1328" w:type="dxa"/>
            <w:noWrap/>
            <w:hideMark/>
          </w:tcPr>
          <w:p w14:paraId="6986CA56" w14:textId="77777777" w:rsidR="00BF10A3" w:rsidRPr="002144C4" w:rsidRDefault="00BF10A3" w:rsidP="001F7400">
            <w:pPr>
              <w:pStyle w:val="NoSpacing"/>
            </w:pPr>
            <w:r w:rsidRPr="002144C4">
              <w:t xml:space="preserve">                328,179 </w:t>
            </w:r>
          </w:p>
        </w:tc>
        <w:tc>
          <w:tcPr>
            <w:tcW w:w="1328" w:type="dxa"/>
            <w:noWrap/>
            <w:hideMark/>
          </w:tcPr>
          <w:p w14:paraId="730D36E8" w14:textId="77777777" w:rsidR="00BF10A3" w:rsidRPr="002144C4" w:rsidRDefault="00BF10A3" w:rsidP="001F7400">
            <w:pPr>
              <w:pStyle w:val="NoSpacing"/>
            </w:pPr>
            <w:r w:rsidRPr="002144C4">
              <w:t xml:space="preserve">                 126,553 </w:t>
            </w:r>
          </w:p>
        </w:tc>
        <w:tc>
          <w:tcPr>
            <w:tcW w:w="1328" w:type="dxa"/>
            <w:noWrap/>
            <w:hideMark/>
          </w:tcPr>
          <w:p w14:paraId="5D00512C" w14:textId="77777777" w:rsidR="00BF10A3" w:rsidRPr="002144C4" w:rsidRDefault="00BF10A3" w:rsidP="001F7400">
            <w:pPr>
              <w:pStyle w:val="NoSpacing"/>
            </w:pPr>
            <w:r w:rsidRPr="002144C4">
              <w:t xml:space="preserve">                        55,957 </w:t>
            </w:r>
          </w:p>
        </w:tc>
        <w:tc>
          <w:tcPr>
            <w:tcW w:w="1328" w:type="dxa"/>
            <w:noWrap/>
            <w:hideMark/>
          </w:tcPr>
          <w:p w14:paraId="7036FE97" w14:textId="77777777" w:rsidR="00BF10A3" w:rsidRPr="002144C4" w:rsidRDefault="00BF10A3" w:rsidP="001F7400">
            <w:pPr>
              <w:pStyle w:val="NoSpacing"/>
            </w:pPr>
            <w:r w:rsidRPr="002144C4">
              <w:t xml:space="preserve">                              47,978 </w:t>
            </w:r>
          </w:p>
        </w:tc>
        <w:tc>
          <w:tcPr>
            <w:tcW w:w="1328" w:type="dxa"/>
            <w:noWrap/>
            <w:hideMark/>
          </w:tcPr>
          <w:p w14:paraId="08D1DF7E" w14:textId="77777777" w:rsidR="00BF10A3" w:rsidRPr="002144C4" w:rsidRDefault="00BF10A3" w:rsidP="001F7400">
            <w:pPr>
              <w:pStyle w:val="NoSpacing"/>
            </w:pPr>
            <w:r w:rsidRPr="002144C4">
              <w:t xml:space="preserve">                   25,867 </w:t>
            </w:r>
          </w:p>
        </w:tc>
        <w:tc>
          <w:tcPr>
            <w:tcW w:w="1328" w:type="dxa"/>
            <w:noWrap/>
            <w:hideMark/>
          </w:tcPr>
          <w:p w14:paraId="7677A92E" w14:textId="77777777" w:rsidR="00BF10A3" w:rsidRPr="002144C4" w:rsidRDefault="00BF10A3" w:rsidP="001F7400">
            <w:pPr>
              <w:pStyle w:val="NoSpacing"/>
            </w:pPr>
            <w:r w:rsidRPr="002144C4">
              <w:t xml:space="preserve">                    15,457 </w:t>
            </w:r>
          </w:p>
        </w:tc>
        <w:tc>
          <w:tcPr>
            <w:tcW w:w="1328" w:type="dxa"/>
            <w:noWrap/>
            <w:hideMark/>
          </w:tcPr>
          <w:p w14:paraId="67A243B1" w14:textId="77777777" w:rsidR="00BF10A3" w:rsidRPr="002144C4" w:rsidRDefault="00BF10A3" w:rsidP="001F7400">
            <w:pPr>
              <w:pStyle w:val="NoSpacing"/>
            </w:pPr>
            <w:r w:rsidRPr="002144C4">
              <w:t xml:space="preserve">                      6,574 </w:t>
            </w:r>
          </w:p>
        </w:tc>
        <w:tc>
          <w:tcPr>
            <w:tcW w:w="1328" w:type="dxa"/>
            <w:noWrap/>
            <w:hideMark/>
          </w:tcPr>
          <w:p w14:paraId="570BD26A" w14:textId="77777777" w:rsidR="00BF10A3" w:rsidRPr="002144C4" w:rsidRDefault="00BF10A3" w:rsidP="001F7400">
            <w:pPr>
              <w:pStyle w:val="NoSpacing"/>
            </w:pPr>
            <w:r w:rsidRPr="002144C4">
              <w:t xml:space="preserve">                      3,294 </w:t>
            </w:r>
          </w:p>
        </w:tc>
      </w:tr>
      <w:tr w:rsidR="00BF10A3" w:rsidRPr="002144C4" w14:paraId="613EB5DE" w14:textId="77777777" w:rsidTr="001F7400">
        <w:trPr>
          <w:trHeight w:val="219"/>
        </w:trPr>
        <w:tc>
          <w:tcPr>
            <w:tcW w:w="425" w:type="dxa"/>
            <w:noWrap/>
            <w:hideMark/>
          </w:tcPr>
          <w:p w14:paraId="78377C56" w14:textId="77777777" w:rsidR="00BF10A3" w:rsidRPr="002144C4" w:rsidRDefault="00BF10A3" w:rsidP="001F7400">
            <w:pPr>
              <w:pStyle w:val="NoSpacing"/>
              <w:rPr>
                <w:b/>
                <w:bCs/>
              </w:rPr>
            </w:pPr>
          </w:p>
        </w:tc>
        <w:tc>
          <w:tcPr>
            <w:tcW w:w="1506" w:type="dxa"/>
            <w:gridSpan w:val="2"/>
            <w:noWrap/>
            <w:hideMark/>
          </w:tcPr>
          <w:p w14:paraId="03A9F930" w14:textId="77777777" w:rsidR="00BF10A3" w:rsidRPr="002144C4" w:rsidRDefault="00BF10A3" w:rsidP="001F7400">
            <w:pPr>
              <w:pStyle w:val="NoSpacing"/>
            </w:pPr>
            <w:r w:rsidRPr="002144C4">
              <w:t>Ineligible</w:t>
            </w:r>
          </w:p>
        </w:tc>
        <w:tc>
          <w:tcPr>
            <w:tcW w:w="1049" w:type="dxa"/>
            <w:noWrap/>
            <w:hideMark/>
          </w:tcPr>
          <w:p w14:paraId="2AC9695A" w14:textId="77777777" w:rsidR="00BF10A3" w:rsidRPr="002144C4" w:rsidRDefault="00BF10A3" w:rsidP="001F7400">
            <w:pPr>
              <w:pStyle w:val="NoSpacing"/>
            </w:pPr>
            <w:r w:rsidRPr="002144C4">
              <w:t xml:space="preserve">                       -   </w:t>
            </w:r>
          </w:p>
        </w:tc>
        <w:tc>
          <w:tcPr>
            <w:tcW w:w="1328" w:type="dxa"/>
            <w:noWrap/>
            <w:hideMark/>
          </w:tcPr>
          <w:p w14:paraId="0BDB5D0B" w14:textId="77777777" w:rsidR="00BF10A3" w:rsidRPr="002144C4" w:rsidRDefault="00BF10A3" w:rsidP="001F7400">
            <w:pPr>
              <w:pStyle w:val="NoSpacing"/>
            </w:pPr>
            <w:r w:rsidRPr="002144C4">
              <w:t xml:space="preserve">                            -   </w:t>
            </w:r>
          </w:p>
        </w:tc>
        <w:tc>
          <w:tcPr>
            <w:tcW w:w="1328" w:type="dxa"/>
            <w:noWrap/>
            <w:hideMark/>
          </w:tcPr>
          <w:p w14:paraId="798D1D13" w14:textId="77777777" w:rsidR="00BF10A3" w:rsidRPr="002144C4" w:rsidRDefault="00BF10A3" w:rsidP="001F7400">
            <w:pPr>
              <w:pStyle w:val="NoSpacing"/>
            </w:pPr>
            <w:r w:rsidRPr="002144C4">
              <w:t xml:space="preserve">                 217,907 </w:t>
            </w:r>
          </w:p>
        </w:tc>
        <w:tc>
          <w:tcPr>
            <w:tcW w:w="1328" w:type="dxa"/>
            <w:noWrap/>
            <w:hideMark/>
          </w:tcPr>
          <w:p w14:paraId="35A156F1" w14:textId="77777777" w:rsidR="00BF10A3" w:rsidRPr="002144C4" w:rsidRDefault="00BF10A3" w:rsidP="001F7400">
            <w:pPr>
              <w:pStyle w:val="NoSpacing"/>
            </w:pPr>
            <w:r w:rsidRPr="002144C4">
              <w:t xml:space="preserve">                     321,986 </w:t>
            </w:r>
          </w:p>
        </w:tc>
        <w:tc>
          <w:tcPr>
            <w:tcW w:w="1328" w:type="dxa"/>
            <w:noWrap/>
            <w:hideMark/>
          </w:tcPr>
          <w:p w14:paraId="09912AC1" w14:textId="77777777" w:rsidR="00BF10A3" w:rsidRPr="002144C4" w:rsidRDefault="00BF10A3" w:rsidP="001F7400">
            <w:pPr>
              <w:pStyle w:val="NoSpacing"/>
            </w:pPr>
            <w:r w:rsidRPr="002144C4">
              <w:t xml:space="preserve">                            444,273 </w:t>
            </w:r>
          </w:p>
        </w:tc>
        <w:tc>
          <w:tcPr>
            <w:tcW w:w="1328" w:type="dxa"/>
            <w:noWrap/>
            <w:hideMark/>
          </w:tcPr>
          <w:p w14:paraId="2121E15E" w14:textId="77777777" w:rsidR="00BF10A3" w:rsidRPr="002144C4" w:rsidRDefault="00BF10A3" w:rsidP="001F7400">
            <w:pPr>
              <w:pStyle w:val="NoSpacing"/>
            </w:pPr>
            <w:r w:rsidRPr="002144C4">
              <w:t xml:space="preserve">                 538,048 </w:t>
            </w:r>
          </w:p>
        </w:tc>
        <w:tc>
          <w:tcPr>
            <w:tcW w:w="1328" w:type="dxa"/>
            <w:noWrap/>
            <w:hideMark/>
          </w:tcPr>
          <w:p w14:paraId="2BCF8FEB" w14:textId="77777777" w:rsidR="00BF10A3" w:rsidRPr="002144C4" w:rsidRDefault="00BF10A3" w:rsidP="001F7400">
            <w:pPr>
              <w:pStyle w:val="NoSpacing"/>
            </w:pPr>
            <w:r w:rsidRPr="002144C4">
              <w:t xml:space="preserve">                 590,099 </w:t>
            </w:r>
          </w:p>
        </w:tc>
        <w:tc>
          <w:tcPr>
            <w:tcW w:w="1328" w:type="dxa"/>
            <w:noWrap/>
            <w:hideMark/>
          </w:tcPr>
          <w:p w14:paraId="54D0E9C2" w14:textId="77777777" w:rsidR="00BF10A3" w:rsidRPr="002144C4" w:rsidRDefault="00BF10A3" w:rsidP="001F7400">
            <w:pPr>
              <w:pStyle w:val="NoSpacing"/>
            </w:pPr>
            <w:r w:rsidRPr="002144C4">
              <w:t xml:space="preserve">                 632,859 </w:t>
            </w:r>
          </w:p>
        </w:tc>
        <w:tc>
          <w:tcPr>
            <w:tcW w:w="1328" w:type="dxa"/>
            <w:noWrap/>
            <w:hideMark/>
          </w:tcPr>
          <w:p w14:paraId="6DA4AAF0" w14:textId="77777777" w:rsidR="00BF10A3" w:rsidRPr="002144C4" w:rsidRDefault="00BF10A3" w:rsidP="001F7400">
            <w:pPr>
              <w:pStyle w:val="NoSpacing"/>
            </w:pPr>
            <w:r w:rsidRPr="002144C4">
              <w:t xml:space="preserve">                 663,475 </w:t>
            </w:r>
          </w:p>
        </w:tc>
      </w:tr>
      <w:tr w:rsidR="00BF10A3" w:rsidRPr="002144C4" w14:paraId="0C6B4008" w14:textId="77777777" w:rsidTr="001F7400">
        <w:trPr>
          <w:trHeight w:val="219"/>
        </w:trPr>
        <w:tc>
          <w:tcPr>
            <w:tcW w:w="425" w:type="dxa"/>
            <w:noWrap/>
            <w:hideMark/>
          </w:tcPr>
          <w:p w14:paraId="3DD3E914" w14:textId="77777777" w:rsidR="00BF10A3" w:rsidRPr="002144C4" w:rsidRDefault="00BF10A3" w:rsidP="001F7400">
            <w:pPr>
              <w:pStyle w:val="NoSpacing"/>
              <w:rPr>
                <w:b/>
                <w:bCs/>
              </w:rPr>
            </w:pPr>
          </w:p>
        </w:tc>
        <w:tc>
          <w:tcPr>
            <w:tcW w:w="1506" w:type="dxa"/>
            <w:gridSpan w:val="2"/>
            <w:noWrap/>
            <w:hideMark/>
          </w:tcPr>
          <w:p w14:paraId="05A17F88" w14:textId="77777777" w:rsidR="00BF10A3" w:rsidRPr="002144C4" w:rsidRDefault="00BF10A3" w:rsidP="001F7400">
            <w:pPr>
              <w:pStyle w:val="NoSpacing"/>
            </w:pPr>
            <w:r w:rsidRPr="002144C4">
              <w:t>Not Evaluated</w:t>
            </w:r>
          </w:p>
        </w:tc>
        <w:tc>
          <w:tcPr>
            <w:tcW w:w="1049" w:type="dxa"/>
            <w:noWrap/>
            <w:hideMark/>
          </w:tcPr>
          <w:p w14:paraId="1FA64107" w14:textId="77777777" w:rsidR="00BF10A3" w:rsidRPr="002144C4" w:rsidRDefault="00BF10A3" w:rsidP="001F7400">
            <w:pPr>
              <w:pStyle w:val="NoSpacing"/>
            </w:pPr>
            <w:r w:rsidRPr="002144C4">
              <w:t xml:space="preserve">        1,015,654 </w:t>
            </w:r>
          </w:p>
        </w:tc>
        <w:tc>
          <w:tcPr>
            <w:tcW w:w="1328" w:type="dxa"/>
            <w:noWrap/>
            <w:hideMark/>
          </w:tcPr>
          <w:p w14:paraId="48195AFF" w14:textId="77777777" w:rsidR="00BF10A3" w:rsidRPr="002144C4" w:rsidRDefault="00BF10A3" w:rsidP="001F7400">
            <w:pPr>
              <w:pStyle w:val="NoSpacing"/>
            </w:pPr>
            <w:r w:rsidRPr="002144C4">
              <w:t xml:space="preserve">             1,043,246 </w:t>
            </w:r>
          </w:p>
        </w:tc>
        <w:tc>
          <w:tcPr>
            <w:tcW w:w="1328" w:type="dxa"/>
            <w:noWrap/>
            <w:hideMark/>
          </w:tcPr>
          <w:p w14:paraId="0FC4BDFC" w14:textId="77777777" w:rsidR="00BF10A3" w:rsidRPr="002144C4" w:rsidRDefault="00BF10A3" w:rsidP="001F7400">
            <w:pPr>
              <w:pStyle w:val="NoSpacing"/>
            </w:pPr>
            <w:r w:rsidRPr="002144C4">
              <w:t xml:space="preserve">             1,290,019 </w:t>
            </w:r>
          </w:p>
        </w:tc>
        <w:tc>
          <w:tcPr>
            <w:tcW w:w="1328" w:type="dxa"/>
            <w:noWrap/>
            <w:hideMark/>
          </w:tcPr>
          <w:p w14:paraId="09B91BC1" w14:textId="77777777" w:rsidR="00BF10A3" w:rsidRPr="002144C4" w:rsidRDefault="00BF10A3" w:rsidP="001F7400">
            <w:pPr>
              <w:pStyle w:val="NoSpacing"/>
            </w:pPr>
            <w:r w:rsidRPr="002144C4">
              <w:t xml:space="preserve">                  1,284,538 </w:t>
            </w:r>
          </w:p>
        </w:tc>
        <w:tc>
          <w:tcPr>
            <w:tcW w:w="1328" w:type="dxa"/>
            <w:noWrap/>
            <w:hideMark/>
          </w:tcPr>
          <w:p w14:paraId="1D6A7F3A" w14:textId="77777777" w:rsidR="00BF10A3" w:rsidRPr="002144C4" w:rsidRDefault="00BF10A3" w:rsidP="001F7400">
            <w:pPr>
              <w:pStyle w:val="NoSpacing"/>
            </w:pPr>
            <w:r w:rsidRPr="002144C4">
              <w:t xml:space="preserve">                        1,274,960 </w:t>
            </w:r>
          </w:p>
        </w:tc>
        <w:tc>
          <w:tcPr>
            <w:tcW w:w="1328" w:type="dxa"/>
            <w:noWrap/>
            <w:hideMark/>
          </w:tcPr>
          <w:p w14:paraId="199F8BD2" w14:textId="77777777" w:rsidR="00BF10A3" w:rsidRPr="002144C4" w:rsidRDefault="00BF10A3" w:rsidP="001F7400">
            <w:pPr>
              <w:pStyle w:val="NoSpacing"/>
            </w:pPr>
            <w:r w:rsidRPr="002144C4">
              <w:t xml:space="preserve">             1,287,677 </w:t>
            </w:r>
          </w:p>
        </w:tc>
        <w:tc>
          <w:tcPr>
            <w:tcW w:w="1328" w:type="dxa"/>
            <w:noWrap/>
            <w:hideMark/>
          </w:tcPr>
          <w:p w14:paraId="18C3B02A" w14:textId="77777777" w:rsidR="00BF10A3" w:rsidRPr="002144C4" w:rsidRDefault="00BF10A3" w:rsidP="001F7400">
            <w:pPr>
              <w:pStyle w:val="NoSpacing"/>
            </w:pPr>
            <w:r w:rsidRPr="002144C4">
              <w:t xml:space="preserve">              1,299,848 </w:t>
            </w:r>
          </w:p>
        </w:tc>
        <w:tc>
          <w:tcPr>
            <w:tcW w:w="1328" w:type="dxa"/>
            <w:noWrap/>
            <w:hideMark/>
          </w:tcPr>
          <w:p w14:paraId="2649E991" w14:textId="77777777" w:rsidR="00BF10A3" w:rsidRPr="002144C4" w:rsidRDefault="00BF10A3" w:rsidP="001F7400">
            <w:pPr>
              <w:pStyle w:val="NoSpacing"/>
            </w:pPr>
            <w:r w:rsidRPr="002144C4">
              <w:t xml:space="preserve">              1,310,933 </w:t>
            </w:r>
          </w:p>
        </w:tc>
        <w:tc>
          <w:tcPr>
            <w:tcW w:w="1328" w:type="dxa"/>
            <w:noWrap/>
            <w:hideMark/>
          </w:tcPr>
          <w:p w14:paraId="7C921CE4" w14:textId="77777777" w:rsidR="00BF10A3" w:rsidRPr="002144C4" w:rsidRDefault="00BF10A3" w:rsidP="001F7400">
            <w:pPr>
              <w:pStyle w:val="NoSpacing"/>
            </w:pPr>
            <w:r w:rsidRPr="002144C4">
              <w:t xml:space="preserve">              1,323,349 </w:t>
            </w:r>
          </w:p>
        </w:tc>
      </w:tr>
      <w:tr w:rsidR="00BF10A3" w:rsidRPr="002144C4" w14:paraId="2DE3CDB9" w14:textId="77777777" w:rsidTr="001F7400">
        <w:trPr>
          <w:trHeight w:val="219"/>
        </w:trPr>
        <w:tc>
          <w:tcPr>
            <w:tcW w:w="13602" w:type="dxa"/>
            <w:gridSpan w:val="12"/>
            <w:noWrap/>
            <w:hideMark/>
          </w:tcPr>
          <w:p w14:paraId="09842749" w14:textId="77777777" w:rsidR="00BF10A3" w:rsidRPr="002144C4" w:rsidRDefault="00BF10A3" w:rsidP="001F7400">
            <w:pPr>
              <w:pStyle w:val="NoSpacing"/>
            </w:pPr>
          </w:p>
        </w:tc>
      </w:tr>
      <w:tr w:rsidR="00BF10A3" w:rsidRPr="002144C4" w14:paraId="26184DF3" w14:textId="77777777" w:rsidTr="001F7400">
        <w:trPr>
          <w:trHeight w:val="339"/>
        </w:trPr>
        <w:tc>
          <w:tcPr>
            <w:tcW w:w="13602" w:type="dxa"/>
            <w:gridSpan w:val="12"/>
            <w:noWrap/>
            <w:hideMark/>
          </w:tcPr>
          <w:p w14:paraId="17580083" w14:textId="77777777" w:rsidR="00BF10A3" w:rsidRPr="002144C4" w:rsidRDefault="00BF10A3" w:rsidP="001F7400">
            <w:pPr>
              <w:pStyle w:val="NoSpacing"/>
            </w:pPr>
            <w:r w:rsidRPr="002144C4">
              <w:rPr>
                <w:b/>
                <w:bCs/>
              </w:rPr>
              <w:t>Transfers or Dropouts from Zone, Failing, or Ineligible Programs</w:t>
            </w:r>
          </w:p>
        </w:tc>
      </w:tr>
      <w:tr w:rsidR="00BF10A3" w:rsidRPr="002144C4" w14:paraId="31703ED7" w14:textId="77777777" w:rsidTr="001F7400">
        <w:trPr>
          <w:trHeight w:val="219"/>
        </w:trPr>
        <w:tc>
          <w:tcPr>
            <w:tcW w:w="425" w:type="dxa"/>
            <w:noWrap/>
            <w:hideMark/>
          </w:tcPr>
          <w:p w14:paraId="0D732B23" w14:textId="77777777" w:rsidR="00BF10A3" w:rsidRPr="002144C4" w:rsidRDefault="00BF10A3" w:rsidP="001F7400">
            <w:pPr>
              <w:pStyle w:val="NoSpacing"/>
              <w:rPr>
                <w:b/>
                <w:bCs/>
              </w:rPr>
            </w:pPr>
          </w:p>
        </w:tc>
        <w:tc>
          <w:tcPr>
            <w:tcW w:w="1506" w:type="dxa"/>
            <w:gridSpan w:val="2"/>
            <w:noWrap/>
            <w:hideMark/>
          </w:tcPr>
          <w:p w14:paraId="164A989D" w14:textId="77777777" w:rsidR="00BF10A3" w:rsidRPr="002144C4" w:rsidRDefault="00BF10A3" w:rsidP="001F7400">
            <w:pPr>
              <w:pStyle w:val="NoSpacing"/>
            </w:pPr>
            <w:r w:rsidRPr="002144C4">
              <w:t>Transfers</w:t>
            </w:r>
          </w:p>
        </w:tc>
        <w:tc>
          <w:tcPr>
            <w:tcW w:w="1049" w:type="dxa"/>
            <w:noWrap/>
            <w:hideMark/>
          </w:tcPr>
          <w:p w14:paraId="46CD69AB" w14:textId="77777777" w:rsidR="00BF10A3" w:rsidRPr="002144C4" w:rsidRDefault="00BF10A3" w:rsidP="001F7400">
            <w:pPr>
              <w:pStyle w:val="NoSpacing"/>
            </w:pPr>
          </w:p>
        </w:tc>
        <w:tc>
          <w:tcPr>
            <w:tcW w:w="1328" w:type="dxa"/>
            <w:noWrap/>
            <w:hideMark/>
          </w:tcPr>
          <w:p w14:paraId="515BAC85" w14:textId="77777777" w:rsidR="00BF10A3" w:rsidRPr="002144C4" w:rsidRDefault="00BF10A3" w:rsidP="001F7400">
            <w:pPr>
              <w:pStyle w:val="NoSpacing"/>
            </w:pPr>
            <w:r w:rsidRPr="002144C4">
              <w:t xml:space="preserve">                206,200 </w:t>
            </w:r>
          </w:p>
        </w:tc>
        <w:tc>
          <w:tcPr>
            <w:tcW w:w="1328" w:type="dxa"/>
            <w:noWrap/>
            <w:hideMark/>
          </w:tcPr>
          <w:p w14:paraId="44F65DA2" w14:textId="77777777" w:rsidR="00BF10A3" w:rsidRPr="002144C4" w:rsidRDefault="00BF10A3" w:rsidP="001F7400">
            <w:pPr>
              <w:pStyle w:val="NoSpacing"/>
            </w:pPr>
            <w:r w:rsidRPr="002144C4">
              <w:t xml:space="preserve">                 276,987 </w:t>
            </w:r>
          </w:p>
        </w:tc>
        <w:tc>
          <w:tcPr>
            <w:tcW w:w="1328" w:type="dxa"/>
            <w:noWrap/>
            <w:hideMark/>
          </w:tcPr>
          <w:p w14:paraId="3A72D83C" w14:textId="77777777" w:rsidR="00BF10A3" w:rsidRPr="002144C4" w:rsidRDefault="00BF10A3" w:rsidP="001F7400">
            <w:pPr>
              <w:pStyle w:val="NoSpacing"/>
            </w:pPr>
            <w:r w:rsidRPr="002144C4">
              <w:t xml:space="preserve">                     277,829 </w:t>
            </w:r>
          </w:p>
        </w:tc>
        <w:tc>
          <w:tcPr>
            <w:tcW w:w="1328" w:type="dxa"/>
            <w:noWrap/>
            <w:hideMark/>
          </w:tcPr>
          <w:p w14:paraId="62DE3B1B" w14:textId="77777777" w:rsidR="00BF10A3" w:rsidRPr="002144C4" w:rsidRDefault="00BF10A3" w:rsidP="001F7400">
            <w:pPr>
              <w:pStyle w:val="NoSpacing"/>
            </w:pPr>
            <w:r w:rsidRPr="002144C4">
              <w:t xml:space="preserve">                            339,454 </w:t>
            </w:r>
          </w:p>
        </w:tc>
        <w:tc>
          <w:tcPr>
            <w:tcW w:w="1328" w:type="dxa"/>
            <w:noWrap/>
            <w:hideMark/>
          </w:tcPr>
          <w:p w14:paraId="028E5553" w14:textId="77777777" w:rsidR="00BF10A3" w:rsidRPr="002144C4" w:rsidRDefault="00BF10A3" w:rsidP="001F7400">
            <w:pPr>
              <w:pStyle w:val="NoSpacing"/>
            </w:pPr>
            <w:r w:rsidRPr="002144C4">
              <w:t xml:space="preserve">                 365,875 </w:t>
            </w:r>
          </w:p>
        </w:tc>
        <w:tc>
          <w:tcPr>
            <w:tcW w:w="1328" w:type="dxa"/>
            <w:noWrap/>
            <w:hideMark/>
          </w:tcPr>
          <w:p w14:paraId="296C14D0" w14:textId="77777777" w:rsidR="00BF10A3" w:rsidRPr="002144C4" w:rsidRDefault="00BF10A3" w:rsidP="001F7400">
            <w:pPr>
              <w:pStyle w:val="NoSpacing"/>
            </w:pPr>
            <w:r w:rsidRPr="002144C4">
              <w:t xml:space="preserve">                 379,837 </w:t>
            </w:r>
          </w:p>
        </w:tc>
        <w:tc>
          <w:tcPr>
            <w:tcW w:w="1328" w:type="dxa"/>
            <w:noWrap/>
            <w:hideMark/>
          </w:tcPr>
          <w:p w14:paraId="32674A3B" w14:textId="77777777" w:rsidR="00BF10A3" w:rsidRPr="002144C4" w:rsidRDefault="00BF10A3" w:rsidP="001F7400">
            <w:pPr>
              <w:pStyle w:val="NoSpacing"/>
            </w:pPr>
            <w:r w:rsidRPr="002144C4">
              <w:t xml:space="preserve">                 393,080 </w:t>
            </w:r>
          </w:p>
        </w:tc>
        <w:tc>
          <w:tcPr>
            <w:tcW w:w="1328" w:type="dxa"/>
            <w:noWrap/>
            <w:hideMark/>
          </w:tcPr>
          <w:p w14:paraId="3F977BAC" w14:textId="77777777" w:rsidR="00BF10A3" w:rsidRPr="002144C4" w:rsidRDefault="00BF10A3" w:rsidP="001F7400">
            <w:pPr>
              <w:pStyle w:val="NoSpacing"/>
            </w:pPr>
            <w:r w:rsidRPr="002144C4">
              <w:t xml:space="preserve">                 404,614 </w:t>
            </w:r>
          </w:p>
        </w:tc>
      </w:tr>
      <w:tr w:rsidR="00BF10A3" w:rsidRPr="002144C4" w14:paraId="608E30E7" w14:textId="77777777" w:rsidTr="001F7400">
        <w:trPr>
          <w:trHeight w:val="219"/>
        </w:trPr>
        <w:tc>
          <w:tcPr>
            <w:tcW w:w="425" w:type="dxa"/>
            <w:noWrap/>
            <w:hideMark/>
          </w:tcPr>
          <w:p w14:paraId="3A279147" w14:textId="77777777" w:rsidR="00BF10A3" w:rsidRPr="002144C4" w:rsidRDefault="00BF10A3" w:rsidP="001F7400">
            <w:pPr>
              <w:pStyle w:val="NoSpacing"/>
              <w:rPr>
                <w:b/>
                <w:bCs/>
              </w:rPr>
            </w:pPr>
          </w:p>
        </w:tc>
        <w:tc>
          <w:tcPr>
            <w:tcW w:w="1506" w:type="dxa"/>
            <w:gridSpan w:val="2"/>
            <w:noWrap/>
            <w:hideMark/>
          </w:tcPr>
          <w:p w14:paraId="1AFD1C19" w14:textId="77777777" w:rsidR="00BF10A3" w:rsidRPr="002144C4" w:rsidRDefault="00BF10A3" w:rsidP="001F7400">
            <w:pPr>
              <w:pStyle w:val="NoSpacing"/>
            </w:pPr>
            <w:r w:rsidRPr="002144C4">
              <w:t>Dropouts</w:t>
            </w:r>
          </w:p>
        </w:tc>
        <w:tc>
          <w:tcPr>
            <w:tcW w:w="1049" w:type="dxa"/>
            <w:noWrap/>
            <w:hideMark/>
          </w:tcPr>
          <w:p w14:paraId="7B2BB39C" w14:textId="77777777" w:rsidR="00BF10A3" w:rsidRPr="002144C4" w:rsidRDefault="00BF10A3" w:rsidP="001F7400">
            <w:pPr>
              <w:pStyle w:val="NoSpacing"/>
            </w:pPr>
          </w:p>
        </w:tc>
        <w:tc>
          <w:tcPr>
            <w:tcW w:w="1328" w:type="dxa"/>
            <w:noWrap/>
            <w:hideMark/>
          </w:tcPr>
          <w:p w14:paraId="56966148" w14:textId="77777777" w:rsidR="00BF10A3" w:rsidRPr="002144C4" w:rsidRDefault="00BF10A3" w:rsidP="001F7400">
            <w:pPr>
              <w:pStyle w:val="NoSpacing"/>
            </w:pPr>
            <w:r w:rsidRPr="002144C4">
              <w:t xml:space="preserve">                   68,733 </w:t>
            </w:r>
          </w:p>
        </w:tc>
        <w:tc>
          <w:tcPr>
            <w:tcW w:w="1328" w:type="dxa"/>
            <w:noWrap/>
            <w:hideMark/>
          </w:tcPr>
          <w:p w14:paraId="621ED980" w14:textId="77777777" w:rsidR="00BF10A3" w:rsidRPr="002144C4" w:rsidRDefault="00BF10A3" w:rsidP="001F7400">
            <w:pPr>
              <w:pStyle w:val="NoSpacing"/>
            </w:pPr>
            <w:r w:rsidRPr="002144C4">
              <w:t xml:space="preserve">                   92,329 </w:t>
            </w:r>
          </w:p>
        </w:tc>
        <w:tc>
          <w:tcPr>
            <w:tcW w:w="1328" w:type="dxa"/>
            <w:noWrap/>
            <w:hideMark/>
          </w:tcPr>
          <w:p w14:paraId="548AF53D" w14:textId="77777777" w:rsidR="00BF10A3" w:rsidRPr="002144C4" w:rsidRDefault="00BF10A3" w:rsidP="001F7400">
            <w:pPr>
              <w:pStyle w:val="NoSpacing"/>
            </w:pPr>
            <w:r w:rsidRPr="002144C4">
              <w:t xml:space="preserve">                        92,610 </w:t>
            </w:r>
          </w:p>
        </w:tc>
        <w:tc>
          <w:tcPr>
            <w:tcW w:w="1328" w:type="dxa"/>
            <w:noWrap/>
            <w:hideMark/>
          </w:tcPr>
          <w:p w14:paraId="71EF1B05" w14:textId="77777777" w:rsidR="00BF10A3" w:rsidRPr="002144C4" w:rsidRDefault="00BF10A3" w:rsidP="001F7400">
            <w:pPr>
              <w:pStyle w:val="NoSpacing"/>
            </w:pPr>
            <w:r w:rsidRPr="002144C4">
              <w:t xml:space="preserve">                            113,151 </w:t>
            </w:r>
          </w:p>
        </w:tc>
        <w:tc>
          <w:tcPr>
            <w:tcW w:w="1328" w:type="dxa"/>
            <w:noWrap/>
            <w:hideMark/>
          </w:tcPr>
          <w:p w14:paraId="7CEC844D" w14:textId="77777777" w:rsidR="00BF10A3" w:rsidRPr="002144C4" w:rsidRDefault="00BF10A3" w:rsidP="001F7400">
            <w:pPr>
              <w:pStyle w:val="NoSpacing"/>
            </w:pPr>
            <w:r w:rsidRPr="002144C4">
              <w:t xml:space="preserve">                 121,958 </w:t>
            </w:r>
          </w:p>
        </w:tc>
        <w:tc>
          <w:tcPr>
            <w:tcW w:w="1328" w:type="dxa"/>
            <w:noWrap/>
            <w:hideMark/>
          </w:tcPr>
          <w:p w14:paraId="189C76FC" w14:textId="77777777" w:rsidR="00BF10A3" w:rsidRPr="002144C4" w:rsidRDefault="00BF10A3" w:rsidP="001F7400">
            <w:pPr>
              <w:pStyle w:val="NoSpacing"/>
            </w:pPr>
            <w:r w:rsidRPr="002144C4">
              <w:t xml:space="preserve">                 126,612 </w:t>
            </w:r>
          </w:p>
        </w:tc>
        <w:tc>
          <w:tcPr>
            <w:tcW w:w="1328" w:type="dxa"/>
            <w:noWrap/>
            <w:hideMark/>
          </w:tcPr>
          <w:p w14:paraId="458D6282" w14:textId="77777777" w:rsidR="00BF10A3" w:rsidRPr="002144C4" w:rsidRDefault="00BF10A3" w:rsidP="001F7400">
            <w:pPr>
              <w:pStyle w:val="NoSpacing"/>
            </w:pPr>
            <w:r w:rsidRPr="002144C4">
              <w:t xml:space="preserve">                 131,027 </w:t>
            </w:r>
          </w:p>
        </w:tc>
        <w:tc>
          <w:tcPr>
            <w:tcW w:w="1328" w:type="dxa"/>
            <w:noWrap/>
            <w:hideMark/>
          </w:tcPr>
          <w:p w14:paraId="5C090192" w14:textId="77777777" w:rsidR="00BF10A3" w:rsidRPr="002144C4" w:rsidRDefault="00BF10A3" w:rsidP="001F7400">
            <w:pPr>
              <w:pStyle w:val="NoSpacing"/>
            </w:pPr>
            <w:r w:rsidRPr="002144C4">
              <w:t xml:space="preserve">                 134,871 </w:t>
            </w:r>
          </w:p>
        </w:tc>
      </w:tr>
      <w:tr w:rsidR="00BF10A3" w:rsidRPr="002144C4" w14:paraId="53D51E38" w14:textId="77777777" w:rsidTr="001F7400">
        <w:trPr>
          <w:trHeight w:val="219"/>
        </w:trPr>
        <w:tc>
          <w:tcPr>
            <w:tcW w:w="425" w:type="dxa"/>
            <w:noWrap/>
            <w:hideMark/>
          </w:tcPr>
          <w:p w14:paraId="49F6F937" w14:textId="77777777" w:rsidR="00BF10A3" w:rsidRPr="002144C4" w:rsidRDefault="00BF10A3" w:rsidP="001F7400">
            <w:pPr>
              <w:pStyle w:val="NoSpacing"/>
              <w:rPr>
                <w:b/>
                <w:bCs/>
              </w:rPr>
            </w:pPr>
          </w:p>
        </w:tc>
        <w:tc>
          <w:tcPr>
            <w:tcW w:w="1506" w:type="dxa"/>
            <w:gridSpan w:val="2"/>
            <w:noWrap/>
            <w:hideMark/>
          </w:tcPr>
          <w:p w14:paraId="22C39105" w14:textId="77777777" w:rsidR="00BF10A3" w:rsidRPr="002144C4" w:rsidRDefault="00BF10A3" w:rsidP="001F7400">
            <w:pPr>
              <w:pStyle w:val="NoSpacing"/>
            </w:pPr>
            <w:r w:rsidRPr="002144C4">
              <w:t>Remaining</w:t>
            </w:r>
          </w:p>
        </w:tc>
        <w:tc>
          <w:tcPr>
            <w:tcW w:w="1049" w:type="dxa"/>
          </w:tcPr>
          <w:p w14:paraId="439F1EB8" w14:textId="77777777" w:rsidR="00BF10A3" w:rsidRPr="002144C4" w:rsidRDefault="00BF10A3" w:rsidP="001F7400">
            <w:pPr>
              <w:pStyle w:val="NoSpacing"/>
            </w:pPr>
          </w:p>
        </w:tc>
        <w:tc>
          <w:tcPr>
            <w:tcW w:w="1328" w:type="dxa"/>
            <w:noWrap/>
            <w:hideMark/>
          </w:tcPr>
          <w:p w14:paraId="4A6A51A2" w14:textId="77777777" w:rsidR="00BF10A3" w:rsidRPr="002144C4" w:rsidRDefault="00BF10A3" w:rsidP="001F7400">
            <w:pPr>
              <w:pStyle w:val="NoSpacing"/>
            </w:pPr>
            <w:r w:rsidRPr="002144C4">
              <w:t xml:space="preserve">                443,376 </w:t>
            </w:r>
          </w:p>
        </w:tc>
        <w:tc>
          <w:tcPr>
            <w:tcW w:w="1328" w:type="dxa"/>
            <w:noWrap/>
            <w:hideMark/>
          </w:tcPr>
          <w:p w14:paraId="6BCA970E" w14:textId="77777777" w:rsidR="00BF10A3" w:rsidRPr="002144C4" w:rsidRDefault="00BF10A3" w:rsidP="001F7400">
            <w:pPr>
              <w:pStyle w:val="NoSpacing"/>
            </w:pPr>
            <w:r w:rsidRPr="002144C4">
              <w:t xml:space="preserve">                 276,525 </w:t>
            </w:r>
          </w:p>
        </w:tc>
        <w:tc>
          <w:tcPr>
            <w:tcW w:w="1328" w:type="dxa"/>
            <w:noWrap/>
            <w:hideMark/>
          </w:tcPr>
          <w:p w14:paraId="5611E0CE" w14:textId="77777777" w:rsidR="00BF10A3" w:rsidRPr="002144C4" w:rsidRDefault="00BF10A3" w:rsidP="001F7400">
            <w:pPr>
              <w:pStyle w:val="NoSpacing"/>
            </w:pPr>
            <w:r w:rsidRPr="002144C4">
              <w:t xml:space="preserve">                     147,709 </w:t>
            </w:r>
          </w:p>
        </w:tc>
        <w:tc>
          <w:tcPr>
            <w:tcW w:w="1328" w:type="dxa"/>
            <w:noWrap/>
            <w:hideMark/>
          </w:tcPr>
          <w:p w14:paraId="06EA2E42" w14:textId="77777777" w:rsidR="00BF10A3" w:rsidRPr="002144C4" w:rsidRDefault="00BF10A3" w:rsidP="001F7400">
            <w:pPr>
              <w:pStyle w:val="NoSpacing"/>
            </w:pPr>
            <w:r w:rsidRPr="002144C4">
              <w:t xml:space="preserve">                            148,195 </w:t>
            </w:r>
          </w:p>
        </w:tc>
        <w:tc>
          <w:tcPr>
            <w:tcW w:w="1328" w:type="dxa"/>
            <w:noWrap/>
            <w:hideMark/>
          </w:tcPr>
          <w:p w14:paraId="60FD5146" w14:textId="77777777" w:rsidR="00BF10A3" w:rsidRPr="002144C4" w:rsidRDefault="00BF10A3" w:rsidP="001F7400">
            <w:pPr>
              <w:pStyle w:val="NoSpacing"/>
            </w:pPr>
            <w:r w:rsidRPr="002144C4">
              <w:t xml:space="preserve">                 137,365 </w:t>
            </w:r>
          </w:p>
        </w:tc>
        <w:tc>
          <w:tcPr>
            <w:tcW w:w="1328" w:type="dxa"/>
            <w:noWrap/>
            <w:hideMark/>
          </w:tcPr>
          <w:p w14:paraId="7123C637" w14:textId="77777777" w:rsidR="00BF10A3" w:rsidRPr="002144C4" w:rsidRDefault="00BF10A3" w:rsidP="001F7400">
            <w:pPr>
              <w:pStyle w:val="NoSpacing"/>
            </w:pPr>
            <w:r w:rsidRPr="002144C4">
              <w:t xml:space="preserve">                 133,743 </w:t>
            </w:r>
          </w:p>
        </w:tc>
        <w:tc>
          <w:tcPr>
            <w:tcW w:w="1328" w:type="dxa"/>
            <w:noWrap/>
            <w:hideMark/>
          </w:tcPr>
          <w:p w14:paraId="04781961" w14:textId="77777777" w:rsidR="00BF10A3" w:rsidRPr="002144C4" w:rsidRDefault="00BF10A3" w:rsidP="001F7400">
            <w:pPr>
              <w:pStyle w:val="NoSpacing"/>
            </w:pPr>
            <w:r w:rsidRPr="002144C4">
              <w:t xml:space="preserve">                 134,340 </w:t>
            </w:r>
          </w:p>
        </w:tc>
        <w:tc>
          <w:tcPr>
            <w:tcW w:w="1328" w:type="dxa"/>
            <w:noWrap/>
            <w:hideMark/>
          </w:tcPr>
          <w:p w14:paraId="0E725936" w14:textId="77777777" w:rsidR="00BF10A3" w:rsidRPr="002144C4" w:rsidRDefault="00BF10A3" w:rsidP="001F7400">
            <w:pPr>
              <w:pStyle w:val="NoSpacing"/>
            </w:pPr>
            <w:r w:rsidRPr="002144C4">
              <w:t xml:space="preserve">                 136,470 </w:t>
            </w:r>
          </w:p>
        </w:tc>
      </w:tr>
      <w:tr w:rsidR="00BF10A3" w:rsidRPr="002144C4" w14:paraId="25E42074" w14:textId="77777777" w:rsidTr="001F7400">
        <w:trPr>
          <w:trHeight w:val="219"/>
        </w:trPr>
        <w:tc>
          <w:tcPr>
            <w:tcW w:w="13602" w:type="dxa"/>
            <w:gridSpan w:val="12"/>
            <w:noWrap/>
            <w:hideMark/>
          </w:tcPr>
          <w:p w14:paraId="31F52DA0" w14:textId="77777777" w:rsidR="00BF10A3" w:rsidRPr="002144C4" w:rsidRDefault="00BF10A3" w:rsidP="001F7400">
            <w:pPr>
              <w:pStyle w:val="NoSpacing"/>
            </w:pPr>
          </w:p>
        </w:tc>
      </w:tr>
      <w:tr w:rsidR="00BF10A3" w:rsidRPr="002144C4" w14:paraId="7A882210" w14:textId="77777777" w:rsidTr="001F7400">
        <w:trPr>
          <w:trHeight w:val="366"/>
        </w:trPr>
        <w:tc>
          <w:tcPr>
            <w:tcW w:w="13602" w:type="dxa"/>
            <w:gridSpan w:val="12"/>
            <w:noWrap/>
            <w:hideMark/>
          </w:tcPr>
          <w:p w14:paraId="3BBDC700" w14:textId="77777777" w:rsidR="00BF10A3" w:rsidRPr="002144C4" w:rsidRDefault="00BF10A3" w:rsidP="001F7400">
            <w:pPr>
              <w:pStyle w:val="NoSpacing"/>
            </w:pPr>
            <w:r w:rsidRPr="002144C4">
              <w:rPr>
                <w:b/>
                <w:bCs/>
              </w:rPr>
              <w:t>Title IV Aid Associated with Students who Drop or Remain in Ineligible Programs</w:t>
            </w:r>
          </w:p>
        </w:tc>
      </w:tr>
      <w:tr w:rsidR="00BF10A3" w:rsidRPr="002144C4" w14:paraId="28F43FDF" w14:textId="77777777" w:rsidTr="001F7400">
        <w:trPr>
          <w:trHeight w:val="219"/>
        </w:trPr>
        <w:tc>
          <w:tcPr>
            <w:tcW w:w="425" w:type="dxa"/>
            <w:noWrap/>
            <w:hideMark/>
          </w:tcPr>
          <w:p w14:paraId="538FC290" w14:textId="77777777" w:rsidR="00BF10A3" w:rsidRPr="002144C4" w:rsidRDefault="00BF10A3" w:rsidP="001F7400">
            <w:pPr>
              <w:pStyle w:val="NoSpacing"/>
              <w:rPr>
                <w:b/>
                <w:bCs/>
              </w:rPr>
            </w:pPr>
          </w:p>
        </w:tc>
        <w:tc>
          <w:tcPr>
            <w:tcW w:w="1434" w:type="dxa"/>
            <w:noWrap/>
            <w:hideMark/>
          </w:tcPr>
          <w:p w14:paraId="4D27E6CD" w14:textId="77777777" w:rsidR="00BF10A3" w:rsidRPr="002144C4" w:rsidRDefault="00BF10A3" w:rsidP="001F7400">
            <w:pPr>
              <w:pStyle w:val="NoSpacing"/>
            </w:pPr>
            <w:r w:rsidRPr="002144C4">
              <w:t>Pell Grants</w:t>
            </w:r>
          </w:p>
        </w:tc>
        <w:tc>
          <w:tcPr>
            <w:tcW w:w="1121" w:type="dxa"/>
            <w:gridSpan w:val="2"/>
          </w:tcPr>
          <w:p w14:paraId="0ECE342C" w14:textId="77777777" w:rsidR="00BF10A3" w:rsidRPr="002144C4" w:rsidRDefault="00BF10A3" w:rsidP="001F7400">
            <w:pPr>
              <w:pStyle w:val="NoSpacing"/>
            </w:pPr>
          </w:p>
        </w:tc>
        <w:tc>
          <w:tcPr>
            <w:tcW w:w="1328" w:type="dxa"/>
            <w:noWrap/>
            <w:hideMark/>
          </w:tcPr>
          <w:p w14:paraId="17B42C77" w14:textId="77777777" w:rsidR="00BF10A3" w:rsidRPr="002144C4" w:rsidRDefault="00BF10A3" w:rsidP="001F7400">
            <w:pPr>
              <w:pStyle w:val="NoSpacing"/>
            </w:pPr>
            <w:r w:rsidRPr="002144C4">
              <w:t xml:space="preserve">        192,242,071 </w:t>
            </w:r>
          </w:p>
        </w:tc>
        <w:tc>
          <w:tcPr>
            <w:tcW w:w="1328" w:type="dxa"/>
            <w:noWrap/>
            <w:hideMark/>
          </w:tcPr>
          <w:p w14:paraId="761A98B6" w14:textId="77777777" w:rsidR="00BF10A3" w:rsidRPr="002144C4" w:rsidRDefault="00BF10A3" w:rsidP="001F7400">
            <w:pPr>
              <w:pStyle w:val="NoSpacing"/>
            </w:pPr>
            <w:r w:rsidRPr="002144C4">
              <w:t xml:space="preserve">        376,559,358 </w:t>
            </w:r>
          </w:p>
        </w:tc>
        <w:tc>
          <w:tcPr>
            <w:tcW w:w="1328" w:type="dxa"/>
            <w:noWrap/>
            <w:hideMark/>
          </w:tcPr>
          <w:p w14:paraId="756162E5" w14:textId="77777777" w:rsidR="00BF10A3" w:rsidRPr="002144C4" w:rsidRDefault="00BF10A3" w:rsidP="001F7400">
            <w:pPr>
              <w:pStyle w:val="NoSpacing"/>
            </w:pPr>
            <w:r w:rsidRPr="002144C4">
              <w:t xml:space="preserve">             434,059,521 </w:t>
            </w:r>
          </w:p>
        </w:tc>
        <w:tc>
          <w:tcPr>
            <w:tcW w:w="1328" w:type="dxa"/>
            <w:noWrap/>
            <w:hideMark/>
          </w:tcPr>
          <w:p w14:paraId="341BD0DF" w14:textId="77777777" w:rsidR="00BF10A3" w:rsidRPr="002144C4" w:rsidRDefault="00BF10A3" w:rsidP="001F7400">
            <w:pPr>
              <w:pStyle w:val="NoSpacing"/>
            </w:pPr>
            <w:r w:rsidRPr="002144C4">
              <w:t xml:space="preserve">                   558,900,388 </w:t>
            </w:r>
          </w:p>
        </w:tc>
        <w:tc>
          <w:tcPr>
            <w:tcW w:w="1328" w:type="dxa"/>
            <w:noWrap/>
            <w:hideMark/>
          </w:tcPr>
          <w:p w14:paraId="2A28C139" w14:textId="77777777" w:rsidR="00BF10A3" w:rsidRPr="002144C4" w:rsidRDefault="00BF10A3" w:rsidP="001F7400">
            <w:pPr>
              <w:pStyle w:val="NoSpacing"/>
            </w:pPr>
            <w:r w:rsidRPr="002144C4">
              <w:t xml:space="preserve">        633,566,568 </w:t>
            </w:r>
          </w:p>
        </w:tc>
        <w:tc>
          <w:tcPr>
            <w:tcW w:w="1328" w:type="dxa"/>
            <w:noWrap/>
            <w:hideMark/>
          </w:tcPr>
          <w:p w14:paraId="788962BF" w14:textId="77777777" w:rsidR="00BF10A3" w:rsidRPr="002144C4" w:rsidRDefault="00BF10A3" w:rsidP="001F7400">
            <w:pPr>
              <w:pStyle w:val="NoSpacing"/>
            </w:pPr>
            <w:r w:rsidRPr="002144C4">
              <w:t xml:space="preserve">         674,304,716 </w:t>
            </w:r>
          </w:p>
        </w:tc>
        <w:tc>
          <w:tcPr>
            <w:tcW w:w="1328" w:type="dxa"/>
            <w:noWrap/>
            <w:hideMark/>
          </w:tcPr>
          <w:p w14:paraId="499E3EAF" w14:textId="77777777" w:rsidR="00BF10A3" w:rsidRPr="002144C4" w:rsidRDefault="00BF10A3" w:rsidP="001F7400">
            <w:pPr>
              <w:pStyle w:val="NoSpacing"/>
            </w:pPr>
            <w:r w:rsidRPr="002144C4">
              <w:t xml:space="preserve">         709,840,137 </w:t>
            </w:r>
          </w:p>
        </w:tc>
        <w:tc>
          <w:tcPr>
            <w:tcW w:w="1328" w:type="dxa"/>
            <w:noWrap/>
            <w:hideMark/>
          </w:tcPr>
          <w:p w14:paraId="56D79ECF" w14:textId="77777777" w:rsidR="00BF10A3" w:rsidRPr="002144C4" w:rsidRDefault="00BF10A3" w:rsidP="001F7400">
            <w:pPr>
              <w:pStyle w:val="NoSpacing"/>
            </w:pPr>
            <w:r w:rsidRPr="002144C4">
              <w:t xml:space="preserve">         737,247,652 </w:t>
            </w:r>
          </w:p>
        </w:tc>
      </w:tr>
      <w:tr w:rsidR="00BF10A3" w:rsidRPr="002144C4" w14:paraId="10E2B68E" w14:textId="77777777" w:rsidTr="001F7400">
        <w:trPr>
          <w:trHeight w:val="219"/>
        </w:trPr>
        <w:tc>
          <w:tcPr>
            <w:tcW w:w="425" w:type="dxa"/>
            <w:noWrap/>
            <w:hideMark/>
          </w:tcPr>
          <w:p w14:paraId="3D430B3B" w14:textId="77777777" w:rsidR="00BF10A3" w:rsidRPr="002144C4" w:rsidRDefault="00BF10A3" w:rsidP="001F7400">
            <w:pPr>
              <w:pStyle w:val="NoSpacing"/>
              <w:rPr>
                <w:b/>
                <w:bCs/>
              </w:rPr>
            </w:pPr>
          </w:p>
        </w:tc>
        <w:tc>
          <w:tcPr>
            <w:tcW w:w="1434" w:type="dxa"/>
            <w:noWrap/>
            <w:hideMark/>
          </w:tcPr>
          <w:p w14:paraId="50129945" w14:textId="77777777" w:rsidR="00BF10A3" w:rsidRPr="002144C4" w:rsidRDefault="00BF10A3" w:rsidP="001F7400">
            <w:pPr>
              <w:pStyle w:val="NoSpacing"/>
            </w:pPr>
            <w:r w:rsidRPr="002144C4">
              <w:t>Subsidized Loans</w:t>
            </w:r>
          </w:p>
        </w:tc>
        <w:tc>
          <w:tcPr>
            <w:tcW w:w="1121" w:type="dxa"/>
            <w:gridSpan w:val="2"/>
          </w:tcPr>
          <w:p w14:paraId="748EC6CD" w14:textId="77777777" w:rsidR="00BF10A3" w:rsidRPr="002144C4" w:rsidRDefault="00BF10A3" w:rsidP="001F7400">
            <w:pPr>
              <w:pStyle w:val="NoSpacing"/>
            </w:pPr>
          </w:p>
        </w:tc>
        <w:tc>
          <w:tcPr>
            <w:tcW w:w="1328" w:type="dxa"/>
            <w:noWrap/>
            <w:hideMark/>
          </w:tcPr>
          <w:p w14:paraId="246DA567" w14:textId="77777777" w:rsidR="00BF10A3" w:rsidRPr="002144C4" w:rsidRDefault="00BF10A3" w:rsidP="001F7400">
            <w:pPr>
              <w:pStyle w:val="NoSpacing"/>
            </w:pPr>
            <w:r w:rsidRPr="002144C4">
              <w:t xml:space="preserve">        186,263,125 </w:t>
            </w:r>
          </w:p>
        </w:tc>
        <w:tc>
          <w:tcPr>
            <w:tcW w:w="1328" w:type="dxa"/>
            <w:noWrap/>
            <w:hideMark/>
          </w:tcPr>
          <w:p w14:paraId="1D6F2EB8" w14:textId="77777777" w:rsidR="00BF10A3" w:rsidRPr="002144C4" w:rsidRDefault="00BF10A3" w:rsidP="001F7400">
            <w:pPr>
              <w:pStyle w:val="NoSpacing"/>
            </w:pPr>
            <w:r w:rsidRPr="002144C4">
              <w:t xml:space="preserve">        368,492,350 </w:t>
            </w:r>
          </w:p>
        </w:tc>
        <w:tc>
          <w:tcPr>
            <w:tcW w:w="1328" w:type="dxa"/>
            <w:noWrap/>
            <w:hideMark/>
          </w:tcPr>
          <w:p w14:paraId="4D601B90" w14:textId="77777777" w:rsidR="00BF10A3" w:rsidRPr="002144C4" w:rsidRDefault="00BF10A3" w:rsidP="001F7400">
            <w:pPr>
              <w:pStyle w:val="NoSpacing"/>
            </w:pPr>
            <w:r w:rsidRPr="002144C4">
              <w:t xml:space="preserve">             423,861,995 </w:t>
            </w:r>
          </w:p>
        </w:tc>
        <w:tc>
          <w:tcPr>
            <w:tcW w:w="1328" w:type="dxa"/>
            <w:noWrap/>
            <w:hideMark/>
          </w:tcPr>
          <w:p w14:paraId="7B0E5187" w14:textId="77777777" w:rsidR="00BF10A3" w:rsidRPr="002144C4" w:rsidRDefault="00BF10A3" w:rsidP="001F7400">
            <w:pPr>
              <w:pStyle w:val="NoSpacing"/>
            </w:pPr>
            <w:r w:rsidRPr="002144C4">
              <w:t xml:space="preserve">                   544,426,799 </w:t>
            </w:r>
          </w:p>
        </w:tc>
        <w:tc>
          <w:tcPr>
            <w:tcW w:w="1328" w:type="dxa"/>
            <w:noWrap/>
            <w:hideMark/>
          </w:tcPr>
          <w:p w14:paraId="6F5AAFA9" w14:textId="77777777" w:rsidR="00BF10A3" w:rsidRPr="002144C4" w:rsidRDefault="00BF10A3" w:rsidP="001F7400">
            <w:pPr>
              <w:pStyle w:val="NoSpacing"/>
            </w:pPr>
            <w:r w:rsidRPr="002144C4">
              <w:t xml:space="preserve">        618,459,691 </w:t>
            </w:r>
          </w:p>
        </w:tc>
        <w:tc>
          <w:tcPr>
            <w:tcW w:w="1328" w:type="dxa"/>
            <w:noWrap/>
            <w:hideMark/>
          </w:tcPr>
          <w:p w14:paraId="0511DDC2" w14:textId="77777777" w:rsidR="00BF10A3" w:rsidRPr="002144C4" w:rsidRDefault="00BF10A3" w:rsidP="001F7400">
            <w:pPr>
              <w:pStyle w:val="NoSpacing"/>
            </w:pPr>
            <w:r w:rsidRPr="002144C4">
              <w:t xml:space="preserve">         658,925,156 </w:t>
            </w:r>
          </w:p>
        </w:tc>
        <w:tc>
          <w:tcPr>
            <w:tcW w:w="1328" w:type="dxa"/>
            <w:noWrap/>
            <w:hideMark/>
          </w:tcPr>
          <w:p w14:paraId="19751C98" w14:textId="77777777" w:rsidR="00BF10A3" w:rsidRPr="002144C4" w:rsidRDefault="00BF10A3" w:rsidP="001F7400">
            <w:pPr>
              <w:pStyle w:val="NoSpacing"/>
            </w:pPr>
            <w:r w:rsidRPr="002144C4">
              <w:t xml:space="preserve">         693,594,389 </w:t>
            </w:r>
          </w:p>
        </w:tc>
        <w:tc>
          <w:tcPr>
            <w:tcW w:w="1328" w:type="dxa"/>
            <w:noWrap/>
            <w:hideMark/>
          </w:tcPr>
          <w:p w14:paraId="3CD6A0C7" w14:textId="77777777" w:rsidR="00BF10A3" w:rsidRPr="002144C4" w:rsidRDefault="00BF10A3" w:rsidP="001F7400">
            <w:pPr>
              <w:pStyle w:val="NoSpacing"/>
            </w:pPr>
            <w:r w:rsidRPr="002144C4">
              <w:t xml:space="preserve">         720,125,092 </w:t>
            </w:r>
          </w:p>
        </w:tc>
      </w:tr>
      <w:tr w:rsidR="00BF10A3" w:rsidRPr="002144C4" w14:paraId="0E8F42BF" w14:textId="77777777" w:rsidTr="001F7400">
        <w:trPr>
          <w:trHeight w:val="219"/>
        </w:trPr>
        <w:tc>
          <w:tcPr>
            <w:tcW w:w="425" w:type="dxa"/>
            <w:noWrap/>
            <w:hideMark/>
          </w:tcPr>
          <w:p w14:paraId="64822B44" w14:textId="77777777" w:rsidR="00BF10A3" w:rsidRPr="002144C4" w:rsidRDefault="00BF10A3" w:rsidP="001F7400">
            <w:pPr>
              <w:pStyle w:val="NoSpacing"/>
              <w:rPr>
                <w:b/>
                <w:bCs/>
              </w:rPr>
            </w:pPr>
          </w:p>
        </w:tc>
        <w:tc>
          <w:tcPr>
            <w:tcW w:w="1434" w:type="dxa"/>
            <w:noWrap/>
            <w:hideMark/>
          </w:tcPr>
          <w:p w14:paraId="70C2CD0E" w14:textId="77777777" w:rsidR="00BF10A3" w:rsidRPr="002144C4" w:rsidRDefault="00BF10A3" w:rsidP="001F7400">
            <w:pPr>
              <w:pStyle w:val="NoSpacing"/>
            </w:pPr>
            <w:r w:rsidRPr="002144C4">
              <w:t>Unsubsidized Loans</w:t>
            </w:r>
          </w:p>
        </w:tc>
        <w:tc>
          <w:tcPr>
            <w:tcW w:w="1121" w:type="dxa"/>
            <w:gridSpan w:val="2"/>
          </w:tcPr>
          <w:p w14:paraId="7C418DDD" w14:textId="77777777" w:rsidR="00BF10A3" w:rsidRPr="002144C4" w:rsidRDefault="00BF10A3" w:rsidP="001F7400">
            <w:pPr>
              <w:pStyle w:val="NoSpacing"/>
            </w:pPr>
          </w:p>
        </w:tc>
        <w:tc>
          <w:tcPr>
            <w:tcW w:w="1328" w:type="dxa"/>
            <w:noWrap/>
            <w:hideMark/>
          </w:tcPr>
          <w:p w14:paraId="79EC5A2F" w14:textId="77777777" w:rsidR="00BF10A3" w:rsidRPr="002144C4" w:rsidRDefault="00BF10A3" w:rsidP="001F7400">
            <w:pPr>
              <w:pStyle w:val="NoSpacing"/>
            </w:pPr>
            <w:r w:rsidRPr="002144C4">
              <w:t xml:space="preserve">        236,400,514 </w:t>
            </w:r>
          </w:p>
        </w:tc>
        <w:tc>
          <w:tcPr>
            <w:tcW w:w="1328" w:type="dxa"/>
            <w:noWrap/>
            <w:hideMark/>
          </w:tcPr>
          <w:p w14:paraId="7B4CA37F" w14:textId="77777777" w:rsidR="00BF10A3" w:rsidRPr="002144C4" w:rsidRDefault="00BF10A3" w:rsidP="001F7400">
            <w:pPr>
              <w:pStyle w:val="NoSpacing"/>
            </w:pPr>
            <w:r w:rsidRPr="002144C4">
              <w:t xml:space="preserve">        467,439,419 </w:t>
            </w:r>
          </w:p>
        </w:tc>
        <w:tc>
          <w:tcPr>
            <w:tcW w:w="1328" w:type="dxa"/>
            <w:noWrap/>
            <w:hideMark/>
          </w:tcPr>
          <w:p w14:paraId="46294B07" w14:textId="77777777" w:rsidR="00BF10A3" w:rsidRPr="002144C4" w:rsidRDefault="00BF10A3" w:rsidP="001F7400">
            <w:pPr>
              <w:pStyle w:val="NoSpacing"/>
            </w:pPr>
            <w:r w:rsidRPr="002144C4">
              <w:t xml:space="preserve">             536,448,198 </w:t>
            </w:r>
          </w:p>
        </w:tc>
        <w:tc>
          <w:tcPr>
            <w:tcW w:w="1328" w:type="dxa"/>
            <w:noWrap/>
            <w:hideMark/>
          </w:tcPr>
          <w:p w14:paraId="39302A2E" w14:textId="77777777" w:rsidR="00BF10A3" w:rsidRPr="002144C4" w:rsidRDefault="00BF10A3" w:rsidP="001F7400">
            <w:pPr>
              <w:pStyle w:val="NoSpacing"/>
            </w:pPr>
            <w:r w:rsidRPr="002144C4">
              <w:t xml:space="preserve">                   687,496,110 </w:t>
            </w:r>
          </w:p>
        </w:tc>
        <w:tc>
          <w:tcPr>
            <w:tcW w:w="1328" w:type="dxa"/>
            <w:noWrap/>
            <w:hideMark/>
          </w:tcPr>
          <w:p w14:paraId="07CEEA00" w14:textId="77777777" w:rsidR="00BF10A3" w:rsidRPr="002144C4" w:rsidRDefault="00BF10A3" w:rsidP="001F7400">
            <w:pPr>
              <w:pStyle w:val="NoSpacing"/>
            </w:pPr>
            <w:r w:rsidRPr="002144C4">
              <w:t xml:space="preserve">        780,004,345 </w:t>
            </w:r>
          </w:p>
        </w:tc>
        <w:tc>
          <w:tcPr>
            <w:tcW w:w="1328" w:type="dxa"/>
            <w:noWrap/>
            <w:hideMark/>
          </w:tcPr>
          <w:p w14:paraId="27F3B9D3" w14:textId="77777777" w:rsidR="00BF10A3" w:rsidRPr="002144C4" w:rsidRDefault="00BF10A3" w:rsidP="001F7400">
            <w:pPr>
              <w:pStyle w:val="NoSpacing"/>
            </w:pPr>
            <w:r w:rsidRPr="002144C4">
              <w:t xml:space="preserve">         830,590,192 </w:t>
            </w:r>
          </w:p>
        </w:tc>
        <w:tc>
          <w:tcPr>
            <w:tcW w:w="1328" w:type="dxa"/>
            <w:noWrap/>
            <w:hideMark/>
          </w:tcPr>
          <w:p w14:paraId="4C2C937E" w14:textId="77777777" w:rsidR="00BF10A3" w:rsidRPr="002144C4" w:rsidRDefault="00BF10A3" w:rsidP="001F7400">
            <w:pPr>
              <w:pStyle w:val="NoSpacing"/>
            </w:pPr>
            <w:r w:rsidRPr="002144C4">
              <w:t xml:space="preserve">         873,923,217 </w:t>
            </w:r>
          </w:p>
        </w:tc>
        <w:tc>
          <w:tcPr>
            <w:tcW w:w="1328" w:type="dxa"/>
            <w:noWrap/>
            <w:hideMark/>
          </w:tcPr>
          <w:p w14:paraId="65231952" w14:textId="77777777" w:rsidR="00BF10A3" w:rsidRPr="002144C4" w:rsidRDefault="00BF10A3" w:rsidP="001F7400">
            <w:pPr>
              <w:pStyle w:val="NoSpacing"/>
            </w:pPr>
            <w:r w:rsidRPr="002144C4">
              <w:t xml:space="preserve">         907,054,310 </w:t>
            </w:r>
          </w:p>
        </w:tc>
      </w:tr>
      <w:tr w:rsidR="00BF10A3" w:rsidRPr="002144C4" w14:paraId="2C1F802F" w14:textId="77777777" w:rsidTr="001F7400">
        <w:trPr>
          <w:trHeight w:val="219"/>
        </w:trPr>
        <w:tc>
          <w:tcPr>
            <w:tcW w:w="425" w:type="dxa"/>
            <w:noWrap/>
            <w:hideMark/>
          </w:tcPr>
          <w:p w14:paraId="290058B4" w14:textId="77777777" w:rsidR="00BF10A3" w:rsidRPr="002144C4" w:rsidRDefault="00BF10A3" w:rsidP="001F7400">
            <w:pPr>
              <w:pStyle w:val="NoSpacing"/>
              <w:rPr>
                <w:b/>
                <w:bCs/>
              </w:rPr>
            </w:pPr>
          </w:p>
        </w:tc>
        <w:tc>
          <w:tcPr>
            <w:tcW w:w="1434" w:type="dxa"/>
            <w:noWrap/>
            <w:hideMark/>
          </w:tcPr>
          <w:p w14:paraId="0D57B787" w14:textId="77777777" w:rsidR="00BF10A3" w:rsidRPr="002144C4" w:rsidRDefault="00BF10A3" w:rsidP="001F7400">
            <w:pPr>
              <w:pStyle w:val="NoSpacing"/>
            </w:pPr>
            <w:r w:rsidRPr="002144C4">
              <w:t>PLUS Loans</w:t>
            </w:r>
          </w:p>
        </w:tc>
        <w:tc>
          <w:tcPr>
            <w:tcW w:w="1121" w:type="dxa"/>
            <w:gridSpan w:val="2"/>
          </w:tcPr>
          <w:p w14:paraId="79286A1D" w14:textId="77777777" w:rsidR="00BF10A3" w:rsidRPr="002144C4" w:rsidRDefault="00BF10A3" w:rsidP="001F7400">
            <w:pPr>
              <w:pStyle w:val="NoSpacing"/>
            </w:pPr>
          </w:p>
        </w:tc>
        <w:tc>
          <w:tcPr>
            <w:tcW w:w="1328" w:type="dxa"/>
            <w:noWrap/>
            <w:hideMark/>
          </w:tcPr>
          <w:p w14:paraId="1E7BE3F5" w14:textId="77777777" w:rsidR="00BF10A3" w:rsidRPr="002144C4" w:rsidRDefault="00BF10A3" w:rsidP="001F7400">
            <w:pPr>
              <w:pStyle w:val="NoSpacing"/>
            </w:pPr>
            <w:r w:rsidRPr="002144C4">
              <w:t xml:space="preserve">          34,018,998 </w:t>
            </w:r>
          </w:p>
        </w:tc>
        <w:tc>
          <w:tcPr>
            <w:tcW w:w="1328" w:type="dxa"/>
            <w:noWrap/>
            <w:hideMark/>
          </w:tcPr>
          <w:p w14:paraId="11E4E66E" w14:textId="77777777" w:rsidR="00BF10A3" w:rsidRPr="002144C4" w:rsidRDefault="00BF10A3" w:rsidP="001F7400">
            <w:pPr>
              <w:pStyle w:val="NoSpacing"/>
            </w:pPr>
            <w:r w:rsidRPr="002144C4">
              <w:t xml:space="preserve">           67,706,866 </w:t>
            </w:r>
          </w:p>
        </w:tc>
        <w:tc>
          <w:tcPr>
            <w:tcW w:w="1328" w:type="dxa"/>
            <w:noWrap/>
            <w:hideMark/>
          </w:tcPr>
          <w:p w14:paraId="1568B4D3" w14:textId="77777777" w:rsidR="00BF10A3" w:rsidRPr="002144C4" w:rsidRDefault="00BF10A3" w:rsidP="001F7400">
            <w:pPr>
              <w:pStyle w:val="NoSpacing"/>
            </w:pPr>
            <w:r w:rsidRPr="002144C4">
              <w:t xml:space="preserve">               78,698,969 </w:t>
            </w:r>
          </w:p>
        </w:tc>
        <w:tc>
          <w:tcPr>
            <w:tcW w:w="1328" w:type="dxa"/>
            <w:noWrap/>
            <w:hideMark/>
          </w:tcPr>
          <w:p w14:paraId="6CEDB23B" w14:textId="77777777" w:rsidR="00BF10A3" w:rsidRPr="002144C4" w:rsidRDefault="00BF10A3" w:rsidP="001F7400">
            <w:pPr>
              <w:pStyle w:val="NoSpacing"/>
            </w:pPr>
            <w:r w:rsidRPr="002144C4">
              <w:t xml:space="preserve">                   102,172,579 </w:t>
            </w:r>
          </w:p>
        </w:tc>
        <w:tc>
          <w:tcPr>
            <w:tcW w:w="1328" w:type="dxa"/>
            <w:noWrap/>
            <w:hideMark/>
          </w:tcPr>
          <w:p w14:paraId="75DB6862" w14:textId="77777777" w:rsidR="00BF10A3" w:rsidRPr="002144C4" w:rsidRDefault="00BF10A3" w:rsidP="001F7400">
            <w:pPr>
              <w:pStyle w:val="NoSpacing"/>
            </w:pPr>
            <w:r w:rsidRPr="002144C4">
              <w:t xml:space="preserve">        116,899,155 </w:t>
            </w:r>
          </w:p>
        </w:tc>
        <w:tc>
          <w:tcPr>
            <w:tcW w:w="1328" w:type="dxa"/>
            <w:noWrap/>
            <w:hideMark/>
          </w:tcPr>
          <w:p w14:paraId="7D406777" w14:textId="77777777" w:rsidR="00BF10A3" w:rsidRPr="002144C4" w:rsidRDefault="00BF10A3" w:rsidP="001F7400">
            <w:pPr>
              <w:pStyle w:val="NoSpacing"/>
            </w:pPr>
            <w:r w:rsidRPr="002144C4">
              <w:t xml:space="preserve">         124,958,062 </w:t>
            </w:r>
          </w:p>
        </w:tc>
        <w:tc>
          <w:tcPr>
            <w:tcW w:w="1328" w:type="dxa"/>
            <w:noWrap/>
            <w:hideMark/>
          </w:tcPr>
          <w:p w14:paraId="2ACE47C7" w14:textId="77777777" w:rsidR="00BF10A3" w:rsidRPr="002144C4" w:rsidRDefault="00BF10A3" w:rsidP="001F7400">
            <w:pPr>
              <w:pStyle w:val="NoSpacing"/>
            </w:pPr>
            <w:r w:rsidRPr="002144C4">
              <w:t xml:space="preserve">         131,839,083 </w:t>
            </w:r>
          </w:p>
        </w:tc>
        <w:tc>
          <w:tcPr>
            <w:tcW w:w="1328" w:type="dxa"/>
            <w:noWrap/>
            <w:hideMark/>
          </w:tcPr>
          <w:p w14:paraId="46A46766" w14:textId="77777777" w:rsidR="00BF10A3" w:rsidRPr="002144C4" w:rsidRDefault="00BF10A3" w:rsidP="001F7400">
            <w:pPr>
              <w:pStyle w:val="NoSpacing"/>
            </w:pPr>
            <w:r w:rsidRPr="002144C4">
              <w:t xml:space="preserve">         137,124,154 </w:t>
            </w:r>
          </w:p>
        </w:tc>
      </w:tr>
      <w:tr w:rsidR="00BF10A3" w:rsidRPr="002144C4" w14:paraId="48E254AF" w14:textId="77777777" w:rsidTr="001F7400">
        <w:trPr>
          <w:trHeight w:val="219"/>
        </w:trPr>
        <w:tc>
          <w:tcPr>
            <w:tcW w:w="13602" w:type="dxa"/>
            <w:gridSpan w:val="12"/>
            <w:noWrap/>
            <w:hideMark/>
          </w:tcPr>
          <w:p w14:paraId="4F855387" w14:textId="77777777" w:rsidR="00BF10A3" w:rsidRPr="002144C4" w:rsidRDefault="00BF10A3" w:rsidP="001F7400">
            <w:pPr>
              <w:pStyle w:val="NoSpacing"/>
            </w:pPr>
          </w:p>
        </w:tc>
      </w:tr>
      <w:tr w:rsidR="00BF10A3" w:rsidRPr="002144C4" w14:paraId="42545521" w14:textId="77777777" w:rsidTr="001F7400">
        <w:trPr>
          <w:trHeight w:val="383"/>
        </w:trPr>
        <w:tc>
          <w:tcPr>
            <w:tcW w:w="13602" w:type="dxa"/>
            <w:gridSpan w:val="12"/>
            <w:noWrap/>
            <w:hideMark/>
          </w:tcPr>
          <w:p w14:paraId="2DD793F8" w14:textId="77777777" w:rsidR="00BF10A3" w:rsidRPr="002144C4" w:rsidRDefault="00BF10A3" w:rsidP="001F7400">
            <w:pPr>
              <w:pStyle w:val="NoSpacing"/>
            </w:pPr>
            <w:r w:rsidRPr="002144C4">
              <w:rPr>
                <w:b/>
                <w:bCs/>
              </w:rPr>
              <w:t>Estimated Net Budget Impact using PB 2015 Subsidy Rates</w:t>
            </w:r>
          </w:p>
        </w:tc>
      </w:tr>
      <w:tr w:rsidR="00BF10A3" w:rsidRPr="002144C4" w14:paraId="2ACB7A99" w14:textId="77777777" w:rsidTr="001F7400">
        <w:trPr>
          <w:trHeight w:val="219"/>
        </w:trPr>
        <w:tc>
          <w:tcPr>
            <w:tcW w:w="425" w:type="dxa"/>
            <w:noWrap/>
            <w:hideMark/>
          </w:tcPr>
          <w:p w14:paraId="3852AA21" w14:textId="77777777" w:rsidR="00BF10A3" w:rsidRPr="002144C4" w:rsidRDefault="00BF10A3" w:rsidP="001F7400">
            <w:pPr>
              <w:pStyle w:val="NoSpacing"/>
              <w:rPr>
                <w:b/>
                <w:bCs/>
              </w:rPr>
            </w:pPr>
          </w:p>
        </w:tc>
        <w:tc>
          <w:tcPr>
            <w:tcW w:w="1434" w:type="dxa"/>
            <w:noWrap/>
            <w:hideMark/>
          </w:tcPr>
          <w:p w14:paraId="56559758" w14:textId="77777777" w:rsidR="00BF10A3" w:rsidRPr="002144C4" w:rsidRDefault="00BF10A3" w:rsidP="001F7400">
            <w:pPr>
              <w:pStyle w:val="NoSpacing"/>
            </w:pPr>
            <w:r w:rsidRPr="002144C4">
              <w:t>Pell Grants</w:t>
            </w:r>
          </w:p>
        </w:tc>
        <w:tc>
          <w:tcPr>
            <w:tcW w:w="1121" w:type="dxa"/>
            <w:gridSpan w:val="2"/>
          </w:tcPr>
          <w:p w14:paraId="2C9BDF44" w14:textId="77777777" w:rsidR="00BF10A3" w:rsidRPr="002144C4" w:rsidRDefault="00BF10A3" w:rsidP="001F7400">
            <w:pPr>
              <w:pStyle w:val="NoSpacing"/>
            </w:pPr>
          </w:p>
        </w:tc>
        <w:tc>
          <w:tcPr>
            <w:tcW w:w="1328" w:type="dxa"/>
            <w:noWrap/>
            <w:hideMark/>
          </w:tcPr>
          <w:p w14:paraId="72D0F470" w14:textId="77777777" w:rsidR="00BF10A3" w:rsidRPr="002144C4" w:rsidRDefault="00BF10A3" w:rsidP="001F7400">
            <w:pPr>
              <w:pStyle w:val="NoSpacing"/>
            </w:pPr>
            <w:r w:rsidRPr="002144C4">
              <w:t xml:space="preserve">        192,242,071 </w:t>
            </w:r>
          </w:p>
        </w:tc>
        <w:tc>
          <w:tcPr>
            <w:tcW w:w="1328" w:type="dxa"/>
            <w:noWrap/>
            <w:hideMark/>
          </w:tcPr>
          <w:p w14:paraId="553E6A7E" w14:textId="77777777" w:rsidR="00BF10A3" w:rsidRPr="002144C4" w:rsidRDefault="00BF10A3" w:rsidP="001F7400">
            <w:pPr>
              <w:pStyle w:val="NoSpacing"/>
            </w:pPr>
            <w:r w:rsidRPr="002144C4">
              <w:t xml:space="preserve">        376,559,358 </w:t>
            </w:r>
          </w:p>
        </w:tc>
        <w:tc>
          <w:tcPr>
            <w:tcW w:w="1328" w:type="dxa"/>
            <w:noWrap/>
            <w:hideMark/>
          </w:tcPr>
          <w:p w14:paraId="56883CB6" w14:textId="77777777" w:rsidR="00BF10A3" w:rsidRPr="002144C4" w:rsidRDefault="00BF10A3" w:rsidP="001F7400">
            <w:pPr>
              <w:pStyle w:val="NoSpacing"/>
            </w:pPr>
            <w:r w:rsidRPr="002144C4">
              <w:t xml:space="preserve">             434,059,521 </w:t>
            </w:r>
          </w:p>
        </w:tc>
        <w:tc>
          <w:tcPr>
            <w:tcW w:w="1328" w:type="dxa"/>
            <w:noWrap/>
            <w:hideMark/>
          </w:tcPr>
          <w:p w14:paraId="438E0342" w14:textId="77777777" w:rsidR="00BF10A3" w:rsidRPr="002144C4" w:rsidRDefault="00BF10A3" w:rsidP="001F7400">
            <w:pPr>
              <w:pStyle w:val="NoSpacing"/>
            </w:pPr>
            <w:r w:rsidRPr="002144C4">
              <w:t xml:space="preserve">                   558,900,388 </w:t>
            </w:r>
          </w:p>
        </w:tc>
        <w:tc>
          <w:tcPr>
            <w:tcW w:w="1328" w:type="dxa"/>
            <w:noWrap/>
            <w:hideMark/>
          </w:tcPr>
          <w:p w14:paraId="3A1FDF75" w14:textId="77777777" w:rsidR="00BF10A3" w:rsidRPr="002144C4" w:rsidRDefault="00BF10A3" w:rsidP="001F7400">
            <w:pPr>
              <w:pStyle w:val="NoSpacing"/>
            </w:pPr>
            <w:r w:rsidRPr="002144C4">
              <w:t xml:space="preserve">        633,566,568 </w:t>
            </w:r>
          </w:p>
        </w:tc>
        <w:tc>
          <w:tcPr>
            <w:tcW w:w="1328" w:type="dxa"/>
            <w:noWrap/>
            <w:hideMark/>
          </w:tcPr>
          <w:p w14:paraId="73CC553B" w14:textId="77777777" w:rsidR="00BF10A3" w:rsidRPr="002144C4" w:rsidRDefault="00BF10A3" w:rsidP="001F7400">
            <w:pPr>
              <w:pStyle w:val="NoSpacing"/>
            </w:pPr>
            <w:r w:rsidRPr="002144C4">
              <w:t xml:space="preserve">         674,304,716 </w:t>
            </w:r>
          </w:p>
        </w:tc>
        <w:tc>
          <w:tcPr>
            <w:tcW w:w="1328" w:type="dxa"/>
            <w:noWrap/>
            <w:hideMark/>
          </w:tcPr>
          <w:p w14:paraId="00EEAE73" w14:textId="77777777" w:rsidR="00BF10A3" w:rsidRPr="002144C4" w:rsidRDefault="00BF10A3" w:rsidP="001F7400">
            <w:pPr>
              <w:pStyle w:val="NoSpacing"/>
            </w:pPr>
            <w:r w:rsidRPr="002144C4">
              <w:t xml:space="preserve">         709,840,137 </w:t>
            </w:r>
          </w:p>
        </w:tc>
        <w:tc>
          <w:tcPr>
            <w:tcW w:w="1328" w:type="dxa"/>
            <w:noWrap/>
            <w:hideMark/>
          </w:tcPr>
          <w:p w14:paraId="5FA7288C" w14:textId="77777777" w:rsidR="00BF10A3" w:rsidRPr="002144C4" w:rsidRDefault="00BF10A3" w:rsidP="001F7400">
            <w:pPr>
              <w:pStyle w:val="NoSpacing"/>
            </w:pPr>
            <w:r w:rsidRPr="002144C4">
              <w:t xml:space="preserve">         737,247,652 </w:t>
            </w:r>
          </w:p>
        </w:tc>
      </w:tr>
      <w:tr w:rsidR="00BF10A3" w:rsidRPr="002144C4" w14:paraId="445D0B93" w14:textId="77777777" w:rsidTr="001F7400">
        <w:trPr>
          <w:trHeight w:val="219"/>
        </w:trPr>
        <w:tc>
          <w:tcPr>
            <w:tcW w:w="425" w:type="dxa"/>
            <w:noWrap/>
            <w:hideMark/>
          </w:tcPr>
          <w:p w14:paraId="5B2B0890" w14:textId="77777777" w:rsidR="00BF10A3" w:rsidRPr="002144C4" w:rsidRDefault="00BF10A3" w:rsidP="001F7400">
            <w:pPr>
              <w:pStyle w:val="NoSpacing"/>
              <w:rPr>
                <w:b/>
                <w:bCs/>
              </w:rPr>
            </w:pPr>
          </w:p>
        </w:tc>
        <w:tc>
          <w:tcPr>
            <w:tcW w:w="1434" w:type="dxa"/>
            <w:noWrap/>
            <w:hideMark/>
          </w:tcPr>
          <w:p w14:paraId="1CF45302" w14:textId="77777777" w:rsidR="00BF10A3" w:rsidRPr="002144C4" w:rsidRDefault="00BF10A3" w:rsidP="001F7400">
            <w:pPr>
              <w:pStyle w:val="NoSpacing"/>
            </w:pPr>
            <w:r w:rsidRPr="002144C4">
              <w:t>Subsidized loans</w:t>
            </w:r>
          </w:p>
        </w:tc>
        <w:tc>
          <w:tcPr>
            <w:tcW w:w="1121" w:type="dxa"/>
            <w:gridSpan w:val="2"/>
          </w:tcPr>
          <w:p w14:paraId="64212D45" w14:textId="77777777" w:rsidR="00BF10A3" w:rsidRPr="002144C4" w:rsidRDefault="00BF10A3" w:rsidP="001F7400">
            <w:pPr>
              <w:pStyle w:val="NoSpacing"/>
            </w:pPr>
          </w:p>
        </w:tc>
        <w:tc>
          <w:tcPr>
            <w:tcW w:w="1328" w:type="dxa"/>
            <w:noWrap/>
            <w:hideMark/>
          </w:tcPr>
          <w:p w14:paraId="67D29D16" w14:textId="77777777" w:rsidR="00BF10A3" w:rsidRPr="002144C4" w:rsidRDefault="00BF10A3" w:rsidP="001F7400">
            <w:pPr>
              <w:pStyle w:val="NoSpacing"/>
            </w:pPr>
            <w:r w:rsidRPr="002144C4">
              <w:t xml:space="preserve">          17,974,392 </w:t>
            </w:r>
          </w:p>
        </w:tc>
        <w:tc>
          <w:tcPr>
            <w:tcW w:w="1328" w:type="dxa"/>
            <w:noWrap/>
            <w:hideMark/>
          </w:tcPr>
          <w:p w14:paraId="15E139D9" w14:textId="77777777" w:rsidR="00BF10A3" w:rsidRPr="002144C4" w:rsidRDefault="00BF10A3" w:rsidP="001F7400">
            <w:pPr>
              <w:pStyle w:val="NoSpacing"/>
            </w:pPr>
            <w:r w:rsidRPr="002144C4">
              <w:t xml:space="preserve">           43,076,756 </w:t>
            </w:r>
          </w:p>
        </w:tc>
        <w:tc>
          <w:tcPr>
            <w:tcW w:w="1328" w:type="dxa"/>
            <w:noWrap/>
            <w:hideMark/>
          </w:tcPr>
          <w:p w14:paraId="7C750009" w14:textId="77777777" w:rsidR="00BF10A3" w:rsidRPr="002144C4" w:rsidRDefault="00BF10A3" w:rsidP="001F7400">
            <w:pPr>
              <w:pStyle w:val="NoSpacing"/>
            </w:pPr>
            <w:r w:rsidRPr="002144C4">
              <w:t xml:space="preserve">               53,533,770 </w:t>
            </w:r>
          </w:p>
        </w:tc>
        <w:tc>
          <w:tcPr>
            <w:tcW w:w="1328" w:type="dxa"/>
            <w:noWrap/>
            <w:hideMark/>
          </w:tcPr>
          <w:p w14:paraId="2F8F610A" w14:textId="77777777" w:rsidR="00BF10A3" w:rsidRPr="002144C4" w:rsidRDefault="00BF10A3" w:rsidP="001F7400">
            <w:pPr>
              <w:pStyle w:val="NoSpacing"/>
            </w:pPr>
            <w:r w:rsidRPr="002144C4">
              <w:t xml:space="preserve">                      72,517,650 </w:t>
            </w:r>
          </w:p>
        </w:tc>
        <w:tc>
          <w:tcPr>
            <w:tcW w:w="1328" w:type="dxa"/>
            <w:noWrap/>
            <w:hideMark/>
          </w:tcPr>
          <w:p w14:paraId="2A8A9B92" w14:textId="77777777" w:rsidR="00BF10A3" w:rsidRPr="002144C4" w:rsidRDefault="00BF10A3" w:rsidP="001F7400">
            <w:pPr>
              <w:pStyle w:val="NoSpacing"/>
            </w:pPr>
            <w:r w:rsidRPr="002144C4">
              <w:t xml:space="preserve">           86,646,203 </w:t>
            </w:r>
          </w:p>
        </w:tc>
        <w:tc>
          <w:tcPr>
            <w:tcW w:w="1328" w:type="dxa"/>
            <w:noWrap/>
            <w:hideMark/>
          </w:tcPr>
          <w:p w14:paraId="227EE8D6" w14:textId="77777777" w:rsidR="00BF10A3" w:rsidRPr="002144C4" w:rsidRDefault="00BF10A3" w:rsidP="001F7400">
            <w:pPr>
              <w:pStyle w:val="NoSpacing"/>
            </w:pPr>
            <w:r w:rsidRPr="002144C4">
              <w:t xml:space="preserve">           97,784,493 </w:t>
            </w:r>
          </w:p>
        </w:tc>
        <w:tc>
          <w:tcPr>
            <w:tcW w:w="1328" w:type="dxa"/>
            <w:noWrap/>
            <w:hideMark/>
          </w:tcPr>
          <w:p w14:paraId="79B72771" w14:textId="77777777" w:rsidR="00BF10A3" w:rsidRPr="002144C4" w:rsidRDefault="00BF10A3" w:rsidP="001F7400">
            <w:pPr>
              <w:pStyle w:val="NoSpacing"/>
            </w:pPr>
            <w:r w:rsidRPr="002144C4">
              <w:t xml:space="preserve">         104,316,596 </w:t>
            </w:r>
          </w:p>
        </w:tc>
        <w:tc>
          <w:tcPr>
            <w:tcW w:w="1328" w:type="dxa"/>
            <w:noWrap/>
            <w:hideMark/>
          </w:tcPr>
          <w:p w14:paraId="027101C1" w14:textId="77777777" w:rsidR="00BF10A3" w:rsidRPr="002144C4" w:rsidRDefault="00BF10A3" w:rsidP="001F7400">
            <w:pPr>
              <w:pStyle w:val="NoSpacing"/>
            </w:pPr>
            <w:r w:rsidRPr="002144C4">
              <w:t xml:space="preserve">         108,882,914 </w:t>
            </w:r>
          </w:p>
        </w:tc>
      </w:tr>
      <w:tr w:rsidR="00BF10A3" w:rsidRPr="002144C4" w14:paraId="12F130FE" w14:textId="77777777" w:rsidTr="001F7400">
        <w:trPr>
          <w:trHeight w:val="219"/>
        </w:trPr>
        <w:tc>
          <w:tcPr>
            <w:tcW w:w="425" w:type="dxa"/>
            <w:noWrap/>
            <w:hideMark/>
          </w:tcPr>
          <w:p w14:paraId="4091E4AA" w14:textId="77777777" w:rsidR="00BF10A3" w:rsidRPr="002144C4" w:rsidRDefault="00BF10A3" w:rsidP="001F7400">
            <w:pPr>
              <w:pStyle w:val="NoSpacing"/>
              <w:rPr>
                <w:b/>
                <w:bCs/>
              </w:rPr>
            </w:pPr>
          </w:p>
        </w:tc>
        <w:tc>
          <w:tcPr>
            <w:tcW w:w="1434" w:type="dxa"/>
            <w:noWrap/>
            <w:hideMark/>
          </w:tcPr>
          <w:p w14:paraId="37FE2B92" w14:textId="77777777" w:rsidR="00BF10A3" w:rsidRPr="002144C4" w:rsidRDefault="00BF10A3" w:rsidP="001F7400">
            <w:pPr>
              <w:pStyle w:val="NoSpacing"/>
            </w:pPr>
            <w:r w:rsidRPr="002144C4">
              <w:t>Unsubsidized loans</w:t>
            </w:r>
          </w:p>
        </w:tc>
        <w:tc>
          <w:tcPr>
            <w:tcW w:w="1121" w:type="dxa"/>
            <w:gridSpan w:val="2"/>
          </w:tcPr>
          <w:p w14:paraId="2CDA4367" w14:textId="77777777" w:rsidR="00BF10A3" w:rsidRPr="002144C4" w:rsidRDefault="00BF10A3" w:rsidP="001F7400">
            <w:pPr>
              <w:pStyle w:val="NoSpacing"/>
            </w:pPr>
          </w:p>
        </w:tc>
        <w:tc>
          <w:tcPr>
            <w:tcW w:w="1328" w:type="dxa"/>
            <w:noWrap/>
            <w:hideMark/>
          </w:tcPr>
          <w:p w14:paraId="4C588535" w14:textId="77777777" w:rsidR="00BF10A3" w:rsidRPr="002144C4" w:rsidRDefault="00BF10A3" w:rsidP="001F7400">
            <w:pPr>
              <w:pStyle w:val="NoSpacing"/>
            </w:pPr>
            <w:r w:rsidRPr="002144C4">
              <w:t xml:space="preserve">        (32,055,910)</w:t>
            </w:r>
          </w:p>
        </w:tc>
        <w:tc>
          <w:tcPr>
            <w:tcW w:w="1328" w:type="dxa"/>
            <w:noWrap/>
            <w:hideMark/>
          </w:tcPr>
          <w:p w14:paraId="7AFB2455" w14:textId="77777777" w:rsidR="00BF10A3" w:rsidRPr="002144C4" w:rsidRDefault="00BF10A3" w:rsidP="001F7400">
            <w:pPr>
              <w:pStyle w:val="NoSpacing"/>
            </w:pPr>
            <w:r w:rsidRPr="002144C4">
              <w:t xml:space="preserve">        (54,269,717)</w:t>
            </w:r>
          </w:p>
        </w:tc>
        <w:tc>
          <w:tcPr>
            <w:tcW w:w="1328" w:type="dxa"/>
            <w:noWrap/>
            <w:hideMark/>
          </w:tcPr>
          <w:p w14:paraId="0FADC82B" w14:textId="77777777" w:rsidR="00BF10A3" w:rsidRPr="002144C4" w:rsidRDefault="00BF10A3" w:rsidP="001F7400">
            <w:pPr>
              <w:pStyle w:val="NoSpacing"/>
            </w:pPr>
            <w:r w:rsidRPr="002144C4">
              <w:t xml:space="preserve">             (58,204,629)</w:t>
            </w:r>
          </w:p>
        </w:tc>
        <w:tc>
          <w:tcPr>
            <w:tcW w:w="1328" w:type="dxa"/>
            <w:noWrap/>
            <w:hideMark/>
          </w:tcPr>
          <w:p w14:paraId="18E4D3B1" w14:textId="77777777" w:rsidR="00BF10A3" w:rsidRPr="002144C4" w:rsidRDefault="00BF10A3" w:rsidP="001F7400">
            <w:pPr>
              <w:pStyle w:val="NoSpacing"/>
            </w:pPr>
            <w:r w:rsidRPr="002144C4">
              <w:t xml:space="preserve">                   (69,918,354)</w:t>
            </w:r>
          </w:p>
        </w:tc>
        <w:tc>
          <w:tcPr>
            <w:tcW w:w="1328" w:type="dxa"/>
            <w:noWrap/>
            <w:hideMark/>
          </w:tcPr>
          <w:p w14:paraId="1D99FE60" w14:textId="77777777" w:rsidR="00BF10A3" w:rsidRPr="002144C4" w:rsidRDefault="00BF10A3" w:rsidP="001F7400">
            <w:pPr>
              <w:pStyle w:val="NoSpacing"/>
            </w:pPr>
            <w:r w:rsidRPr="002144C4">
              <w:t xml:space="preserve">        (74,880,417)</w:t>
            </w:r>
          </w:p>
        </w:tc>
        <w:tc>
          <w:tcPr>
            <w:tcW w:w="1328" w:type="dxa"/>
            <w:noWrap/>
            <w:hideMark/>
          </w:tcPr>
          <w:p w14:paraId="37C070E2" w14:textId="77777777" w:rsidR="00BF10A3" w:rsidRPr="002144C4" w:rsidRDefault="00BF10A3" w:rsidP="001F7400">
            <w:pPr>
              <w:pStyle w:val="NoSpacing"/>
            </w:pPr>
            <w:r w:rsidRPr="002144C4">
              <w:t xml:space="preserve">         (72,510,524)</w:t>
            </w:r>
          </w:p>
        </w:tc>
        <w:tc>
          <w:tcPr>
            <w:tcW w:w="1328" w:type="dxa"/>
            <w:noWrap/>
            <w:hideMark/>
          </w:tcPr>
          <w:p w14:paraId="6CB756EE" w14:textId="77777777" w:rsidR="00BF10A3" w:rsidRPr="002144C4" w:rsidRDefault="00BF10A3" w:rsidP="001F7400">
            <w:pPr>
              <w:pStyle w:val="NoSpacing"/>
            </w:pPr>
            <w:r w:rsidRPr="002144C4">
              <w:t xml:space="preserve">         (75,244,789)</w:t>
            </w:r>
          </w:p>
        </w:tc>
        <w:tc>
          <w:tcPr>
            <w:tcW w:w="1328" w:type="dxa"/>
            <w:noWrap/>
            <w:hideMark/>
          </w:tcPr>
          <w:p w14:paraId="508ED794" w14:textId="77777777" w:rsidR="00BF10A3" w:rsidRPr="002144C4" w:rsidRDefault="00BF10A3" w:rsidP="001F7400">
            <w:pPr>
              <w:pStyle w:val="NoSpacing"/>
            </w:pPr>
            <w:r w:rsidRPr="002144C4">
              <w:t xml:space="preserve">         (78,188,082)</w:t>
            </w:r>
          </w:p>
        </w:tc>
      </w:tr>
      <w:tr w:rsidR="00BF10A3" w:rsidRPr="002144C4" w14:paraId="77DCDC86" w14:textId="77777777" w:rsidTr="001F7400">
        <w:trPr>
          <w:trHeight w:val="219"/>
        </w:trPr>
        <w:tc>
          <w:tcPr>
            <w:tcW w:w="425" w:type="dxa"/>
            <w:noWrap/>
            <w:hideMark/>
          </w:tcPr>
          <w:p w14:paraId="49F14D26" w14:textId="77777777" w:rsidR="00BF10A3" w:rsidRPr="002144C4" w:rsidRDefault="00BF10A3" w:rsidP="001F7400">
            <w:pPr>
              <w:pStyle w:val="NoSpacing"/>
              <w:rPr>
                <w:b/>
                <w:bCs/>
              </w:rPr>
            </w:pPr>
          </w:p>
        </w:tc>
        <w:tc>
          <w:tcPr>
            <w:tcW w:w="1434" w:type="dxa"/>
            <w:noWrap/>
            <w:hideMark/>
          </w:tcPr>
          <w:p w14:paraId="49299295" w14:textId="77777777" w:rsidR="00BF10A3" w:rsidRPr="002144C4" w:rsidRDefault="00BF10A3" w:rsidP="001F7400">
            <w:pPr>
              <w:pStyle w:val="NoSpacing"/>
            </w:pPr>
            <w:r w:rsidRPr="002144C4">
              <w:t>PLUS Loans</w:t>
            </w:r>
          </w:p>
        </w:tc>
        <w:tc>
          <w:tcPr>
            <w:tcW w:w="1121" w:type="dxa"/>
            <w:gridSpan w:val="2"/>
          </w:tcPr>
          <w:p w14:paraId="5AE9278F" w14:textId="77777777" w:rsidR="00BF10A3" w:rsidRPr="002144C4" w:rsidRDefault="00BF10A3" w:rsidP="001F7400">
            <w:pPr>
              <w:pStyle w:val="NoSpacing"/>
            </w:pPr>
          </w:p>
        </w:tc>
        <w:tc>
          <w:tcPr>
            <w:tcW w:w="1328" w:type="dxa"/>
            <w:noWrap/>
            <w:hideMark/>
          </w:tcPr>
          <w:p w14:paraId="3D9F7317" w14:textId="77777777" w:rsidR="00BF10A3" w:rsidRPr="002144C4" w:rsidRDefault="00BF10A3" w:rsidP="001F7400">
            <w:pPr>
              <w:pStyle w:val="NoSpacing"/>
            </w:pPr>
            <w:r w:rsidRPr="002144C4">
              <w:t xml:space="preserve">          (9,307,598)</w:t>
            </w:r>
          </w:p>
        </w:tc>
        <w:tc>
          <w:tcPr>
            <w:tcW w:w="1328" w:type="dxa"/>
            <w:noWrap/>
            <w:hideMark/>
          </w:tcPr>
          <w:p w14:paraId="290F008A" w14:textId="77777777" w:rsidR="00BF10A3" w:rsidRPr="002144C4" w:rsidRDefault="00BF10A3" w:rsidP="001F7400">
            <w:pPr>
              <w:pStyle w:val="NoSpacing"/>
            </w:pPr>
            <w:r w:rsidRPr="002144C4">
              <w:t xml:space="preserve">        (16,913,175)</w:t>
            </w:r>
          </w:p>
        </w:tc>
        <w:tc>
          <w:tcPr>
            <w:tcW w:w="1328" w:type="dxa"/>
            <w:noWrap/>
            <w:hideMark/>
          </w:tcPr>
          <w:p w14:paraId="3F94770A" w14:textId="77777777" w:rsidR="00BF10A3" w:rsidRPr="002144C4" w:rsidRDefault="00BF10A3" w:rsidP="001F7400">
            <w:pPr>
              <w:pStyle w:val="NoSpacing"/>
            </w:pPr>
            <w:r w:rsidRPr="002144C4">
              <w:t xml:space="preserve">             (18,462,778)</w:t>
            </w:r>
          </w:p>
        </w:tc>
        <w:tc>
          <w:tcPr>
            <w:tcW w:w="1328" w:type="dxa"/>
            <w:noWrap/>
            <w:hideMark/>
          </w:tcPr>
          <w:p w14:paraId="3DA78A5B" w14:textId="77777777" w:rsidR="00BF10A3" w:rsidRPr="002144C4" w:rsidRDefault="00BF10A3" w:rsidP="001F7400">
            <w:pPr>
              <w:pStyle w:val="NoSpacing"/>
            </w:pPr>
            <w:r w:rsidRPr="002144C4">
              <w:t xml:space="preserve">                   (23,642,735)</w:t>
            </w:r>
          </w:p>
        </w:tc>
        <w:tc>
          <w:tcPr>
            <w:tcW w:w="1328" w:type="dxa"/>
            <w:noWrap/>
            <w:hideMark/>
          </w:tcPr>
          <w:p w14:paraId="5F73A916" w14:textId="77777777" w:rsidR="00BF10A3" w:rsidRPr="002144C4" w:rsidRDefault="00BF10A3" w:rsidP="001F7400">
            <w:pPr>
              <w:pStyle w:val="NoSpacing"/>
            </w:pPr>
            <w:r w:rsidRPr="002144C4">
              <w:t xml:space="preserve">        (26,384,139)</w:t>
            </w:r>
          </w:p>
        </w:tc>
        <w:tc>
          <w:tcPr>
            <w:tcW w:w="1328" w:type="dxa"/>
            <w:noWrap/>
            <w:hideMark/>
          </w:tcPr>
          <w:p w14:paraId="732A9DA3" w14:textId="77777777" w:rsidR="00BF10A3" w:rsidRPr="002144C4" w:rsidRDefault="00BF10A3" w:rsidP="001F7400">
            <w:pPr>
              <w:pStyle w:val="NoSpacing"/>
            </w:pPr>
            <w:r w:rsidRPr="002144C4">
              <w:t xml:space="preserve">         (27,178,378)</w:t>
            </w:r>
          </w:p>
        </w:tc>
        <w:tc>
          <w:tcPr>
            <w:tcW w:w="1328" w:type="dxa"/>
            <w:noWrap/>
            <w:hideMark/>
          </w:tcPr>
          <w:p w14:paraId="44EE5E97" w14:textId="77777777" w:rsidR="00BF10A3" w:rsidRPr="002144C4" w:rsidRDefault="00BF10A3" w:rsidP="001F7400">
            <w:pPr>
              <w:pStyle w:val="NoSpacing"/>
            </w:pPr>
            <w:r w:rsidRPr="002144C4">
              <w:t xml:space="preserve">         (28,622,265)</w:t>
            </w:r>
          </w:p>
        </w:tc>
        <w:tc>
          <w:tcPr>
            <w:tcW w:w="1328" w:type="dxa"/>
            <w:noWrap/>
            <w:hideMark/>
          </w:tcPr>
          <w:p w14:paraId="07AFA1BF" w14:textId="77777777" w:rsidR="00BF10A3" w:rsidRPr="002144C4" w:rsidRDefault="00BF10A3" w:rsidP="001F7400">
            <w:pPr>
              <w:pStyle w:val="NoSpacing"/>
            </w:pPr>
            <w:r w:rsidRPr="002144C4">
              <w:t xml:space="preserve">         (29,125,170)</w:t>
            </w:r>
          </w:p>
        </w:tc>
      </w:tr>
      <w:tr w:rsidR="00BF10A3" w:rsidRPr="002144C4" w14:paraId="085CE02D" w14:textId="77777777" w:rsidTr="001F7400">
        <w:trPr>
          <w:trHeight w:val="219"/>
        </w:trPr>
        <w:tc>
          <w:tcPr>
            <w:tcW w:w="425" w:type="dxa"/>
            <w:noWrap/>
            <w:hideMark/>
          </w:tcPr>
          <w:p w14:paraId="6F04ED19" w14:textId="77777777" w:rsidR="00BF10A3" w:rsidRPr="002144C4" w:rsidRDefault="00BF10A3" w:rsidP="001F7400">
            <w:pPr>
              <w:pStyle w:val="NoSpacing"/>
              <w:rPr>
                <w:b/>
                <w:bCs/>
              </w:rPr>
            </w:pPr>
          </w:p>
        </w:tc>
        <w:tc>
          <w:tcPr>
            <w:tcW w:w="1434" w:type="dxa"/>
            <w:noWrap/>
            <w:hideMark/>
          </w:tcPr>
          <w:p w14:paraId="2B08D1FE" w14:textId="77777777" w:rsidR="00BF10A3" w:rsidRPr="002144C4" w:rsidRDefault="00BF10A3" w:rsidP="001F7400">
            <w:pPr>
              <w:pStyle w:val="NoSpacing"/>
            </w:pPr>
            <w:r w:rsidRPr="002144C4">
              <w:t>Total</w:t>
            </w:r>
          </w:p>
        </w:tc>
        <w:tc>
          <w:tcPr>
            <w:tcW w:w="1121" w:type="dxa"/>
            <w:gridSpan w:val="2"/>
            <w:noWrap/>
            <w:hideMark/>
          </w:tcPr>
          <w:p w14:paraId="0C6CC522" w14:textId="77777777" w:rsidR="00BF10A3" w:rsidRPr="002144C4" w:rsidRDefault="00BF10A3" w:rsidP="001F7400">
            <w:pPr>
              <w:pStyle w:val="NoSpacing"/>
            </w:pPr>
          </w:p>
        </w:tc>
        <w:tc>
          <w:tcPr>
            <w:tcW w:w="1328" w:type="dxa"/>
            <w:noWrap/>
            <w:hideMark/>
          </w:tcPr>
          <w:p w14:paraId="43D3643F" w14:textId="77777777" w:rsidR="00BF10A3" w:rsidRPr="002144C4" w:rsidRDefault="00BF10A3" w:rsidP="001F7400">
            <w:pPr>
              <w:pStyle w:val="NoSpacing"/>
            </w:pPr>
            <w:r w:rsidRPr="002144C4">
              <w:t xml:space="preserve">        168,852,955 </w:t>
            </w:r>
          </w:p>
        </w:tc>
        <w:tc>
          <w:tcPr>
            <w:tcW w:w="1328" w:type="dxa"/>
            <w:noWrap/>
            <w:hideMark/>
          </w:tcPr>
          <w:p w14:paraId="1FB995E3" w14:textId="77777777" w:rsidR="00BF10A3" w:rsidRPr="002144C4" w:rsidRDefault="00BF10A3" w:rsidP="001F7400">
            <w:pPr>
              <w:pStyle w:val="NoSpacing"/>
            </w:pPr>
            <w:r w:rsidRPr="002144C4">
              <w:t xml:space="preserve">        348,453,222 </w:t>
            </w:r>
          </w:p>
        </w:tc>
        <w:tc>
          <w:tcPr>
            <w:tcW w:w="1328" w:type="dxa"/>
            <w:noWrap/>
            <w:hideMark/>
          </w:tcPr>
          <w:p w14:paraId="2DB7E681" w14:textId="77777777" w:rsidR="00BF10A3" w:rsidRPr="002144C4" w:rsidRDefault="00BF10A3" w:rsidP="001F7400">
            <w:pPr>
              <w:pStyle w:val="NoSpacing"/>
            </w:pPr>
            <w:r w:rsidRPr="002144C4">
              <w:t xml:space="preserve">             410,925,883 </w:t>
            </w:r>
          </w:p>
        </w:tc>
        <w:tc>
          <w:tcPr>
            <w:tcW w:w="1328" w:type="dxa"/>
            <w:noWrap/>
            <w:hideMark/>
          </w:tcPr>
          <w:p w14:paraId="0312AFD2" w14:textId="77777777" w:rsidR="00BF10A3" w:rsidRPr="002144C4" w:rsidRDefault="00BF10A3" w:rsidP="001F7400">
            <w:pPr>
              <w:pStyle w:val="NoSpacing"/>
            </w:pPr>
            <w:r w:rsidRPr="002144C4">
              <w:t xml:space="preserve">                   537,856,948 </w:t>
            </w:r>
          </w:p>
        </w:tc>
        <w:tc>
          <w:tcPr>
            <w:tcW w:w="1328" w:type="dxa"/>
            <w:noWrap/>
            <w:hideMark/>
          </w:tcPr>
          <w:p w14:paraId="7EEFAD4E" w14:textId="77777777" w:rsidR="00BF10A3" w:rsidRPr="002144C4" w:rsidRDefault="00BF10A3" w:rsidP="001F7400">
            <w:pPr>
              <w:pStyle w:val="NoSpacing"/>
            </w:pPr>
            <w:r w:rsidRPr="002144C4">
              <w:t xml:space="preserve">        618,948,215 </w:t>
            </w:r>
          </w:p>
        </w:tc>
        <w:tc>
          <w:tcPr>
            <w:tcW w:w="1328" w:type="dxa"/>
            <w:noWrap/>
            <w:hideMark/>
          </w:tcPr>
          <w:p w14:paraId="4BD87503" w14:textId="77777777" w:rsidR="00BF10A3" w:rsidRPr="002144C4" w:rsidRDefault="00BF10A3" w:rsidP="001F7400">
            <w:pPr>
              <w:pStyle w:val="NoSpacing"/>
            </w:pPr>
            <w:r w:rsidRPr="002144C4">
              <w:t xml:space="preserve">         672,400,307 </w:t>
            </w:r>
          </w:p>
        </w:tc>
        <w:tc>
          <w:tcPr>
            <w:tcW w:w="1328" w:type="dxa"/>
            <w:noWrap/>
            <w:hideMark/>
          </w:tcPr>
          <w:p w14:paraId="4A0DBF3E" w14:textId="77777777" w:rsidR="00BF10A3" w:rsidRPr="002144C4" w:rsidRDefault="00BF10A3" w:rsidP="001F7400">
            <w:pPr>
              <w:pStyle w:val="NoSpacing"/>
            </w:pPr>
            <w:r w:rsidRPr="002144C4">
              <w:t xml:space="preserve">         710,289,679 </w:t>
            </w:r>
          </w:p>
        </w:tc>
        <w:tc>
          <w:tcPr>
            <w:tcW w:w="1328" w:type="dxa"/>
            <w:noWrap/>
            <w:hideMark/>
          </w:tcPr>
          <w:p w14:paraId="0C6E8E7C" w14:textId="77777777" w:rsidR="00BF10A3" w:rsidRPr="002144C4" w:rsidRDefault="00BF10A3" w:rsidP="001F7400">
            <w:pPr>
              <w:pStyle w:val="NoSpacing"/>
            </w:pPr>
            <w:r w:rsidRPr="002144C4">
              <w:t xml:space="preserve">         738,817,314 </w:t>
            </w:r>
          </w:p>
        </w:tc>
      </w:tr>
    </w:tbl>
    <w:p w14:paraId="6E10C981" w14:textId="77777777" w:rsidR="00BF10A3" w:rsidRPr="00AA6DFD" w:rsidRDefault="00BF10A3" w:rsidP="00BF10A3">
      <w:pPr>
        <w:spacing w:after="0" w:line="480" w:lineRule="auto"/>
        <w:ind w:firstLine="720"/>
        <w:rPr>
          <w:rFonts w:ascii="Courier New" w:hAnsi="Courier New" w:cs="Courier New"/>
          <w:sz w:val="24"/>
          <w:szCs w:val="24"/>
        </w:rPr>
      </w:pPr>
    </w:p>
    <w:p w14:paraId="150F4BAF" w14:textId="77777777" w:rsidR="00BF10A3" w:rsidRDefault="00BF10A3" w:rsidP="00BF10A3">
      <w:pPr>
        <w:spacing w:after="0" w:line="480" w:lineRule="auto"/>
        <w:ind w:firstLine="720"/>
        <w:rPr>
          <w:rFonts w:ascii="Courier New" w:hAnsi="Courier New" w:cs="Courier New"/>
          <w:sz w:val="24"/>
          <w:szCs w:val="24"/>
        </w:rPr>
      </w:pPr>
    </w:p>
    <w:p w14:paraId="06D728C2" w14:textId="77777777" w:rsidR="00BF10A3" w:rsidRDefault="00BF10A3" w:rsidP="00BF10A3">
      <w:pPr>
        <w:rPr>
          <w:rFonts w:ascii="Courier New" w:hAnsi="Courier New" w:cs="Courier New"/>
          <w:sz w:val="24"/>
          <w:szCs w:val="24"/>
        </w:rPr>
      </w:pPr>
      <w:r>
        <w:rPr>
          <w:rFonts w:ascii="Courier New" w:hAnsi="Courier New" w:cs="Courier New"/>
          <w:sz w:val="24"/>
          <w:szCs w:val="24"/>
        </w:rPr>
        <w:br w:type="page"/>
      </w:r>
    </w:p>
    <w:p w14:paraId="07434617" w14:textId="77777777" w:rsidR="00BF10A3" w:rsidRDefault="00BF10A3" w:rsidP="00BF10A3">
      <w:pPr>
        <w:spacing w:after="0" w:line="480" w:lineRule="auto"/>
        <w:ind w:firstLine="720"/>
        <w:rPr>
          <w:rFonts w:ascii="Courier New" w:hAnsi="Courier New" w:cs="Courier New"/>
          <w:sz w:val="24"/>
          <w:szCs w:val="24"/>
        </w:rPr>
        <w:sectPr w:rsidR="00BF10A3" w:rsidSect="00064D6F">
          <w:pgSz w:w="15840" w:h="12240" w:orient="landscape" w:code="1"/>
          <w:pgMar w:top="1440" w:right="1440" w:bottom="1440" w:left="1440" w:header="720" w:footer="720" w:gutter="0"/>
          <w:cols w:space="720"/>
          <w:docGrid w:linePitch="360"/>
        </w:sectPr>
      </w:pPr>
    </w:p>
    <w:p w14:paraId="3AE488E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In the NPRM, the Department estimated that the net budget impact of the proposed regulations would be $666 million in the “low reaction” scenario or $973 million in the “high reaction” scenario.  The increased estimate in these regulations is due to the modified methodology for the budget model described in “Methodology for net budget impacts” that applies the student response assumption to the baseline estimated enrollment and not the decreased enrollment as a result of student transfers in prior years.   We believe this revised approach captures the title IV, HEA program aid that students would have continued to receive in the absence of the regulations, not only for the first year after they drop out or remain in an eligible program, but also for subsequent years as they continued their educations.  While Table 3.8 presents the approximate effect on the estimated initial 37,103 programs with student enrollment in FY2010 that would first be evaluated under the regulations, it does not take into account new programs that may have been established since that time.</w:t>
      </w:r>
      <w:r w:rsidRPr="00AA6DFD" w:rsidDel="00C703B0">
        <w:rPr>
          <w:rFonts w:ascii="Courier New" w:hAnsi="Courier New" w:cs="Courier New"/>
          <w:snapToGrid w:val="0"/>
          <w:sz w:val="24"/>
          <w:szCs w:val="24"/>
        </w:rPr>
        <w:t xml:space="preserve"> </w:t>
      </w:r>
    </w:p>
    <w:p w14:paraId="6C6476EE" w14:textId="77777777" w:rsidR="00BF10A3" w:rsidRPr="00AA6DFD" w:rsidRDefault="00BF10A3" w:rsidP="00BF10A3">
      <w:pPr>
        <w:spacing w:after="0" w:line="480" w:lineRule="auto"/>
        <w:ind w:firstLine="720"/>
        <w:rPr>
          <w:rFonts w:ascii="Courier New" w:hAnsi="Courier New" w:cs="Courier New"/>
          <w:b/>
          <w:sz w:val="24"/>
          <w:szCs w:val="24"/>
        </w:rPr>
      </w:pPr>
    </w:p>
    <w:p w14:paraId="65337C13"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3.8: Estimated Effect of the Regulations on Gainful Employment Programs</w:t>
      </w:r>
    </w:p>
    <w:p w14:paraId="032BC93C" w14:textId="77777777" w:rsidR="00BF10A3" w:rsidRPr="00AA6DFD" w:rsidRDefault="00BF10A3" w:rsidP="00BF10A3">
      <w:pPr>
        <w:spacing w:after="0" w:line="240" w:lineRule="auto"/>
        <w:ind w:firstLine="720"/>
        <w:rPr>
          <w:rFonts w:ascii="Courier New" w:hAnsi="Courier New" w:cs="Courier New"/>
          <w:i/>
          <w:sz w:val="24"/>
          <w:szCs w:val="24"/>
        </w:rPr>
      </w:pPr>
    </w:p>
    <w:tbl>
      <w:tblPr>
        <w:tblStyle w:val="TableGrid14"/>
        <w:tblW w:w="0" w:type="auto"/>
        <w:tblLook w:val="04A0" w:firstRow="1" w:lastRow="0" w:firstColumn="1" w:lastColumn="0" w:noHBand="0" w:noVBand="1"/>
      </w:tblPr>
      <w:tblGrid>
        <w:gridCol w:w="1423"/>
        <w:gridCol w:w="905"/>
        <w:gridCol w:w="906"/>
        <w:gridCol w:w="906"/>
        <w:gridCol w:w="906"/>
        <w:gridCol w:w="906"/>
        <w:gridCol w:w="906"/>
        <w:gridCol w:w="906"/>
        <w:gridCol w:w="906"/>
        <w:gridCol w:w="906"/>
      </w:tblGrid>
      <w:tr w:rsidR="00BF10A3" w:rsidRPr="00D620C3" w14:paraId="5B435B25" w14:textId="77777777" w:rsidTr="001F7400">
        <w:trPr>
          <w:trHeight w:val="367"/>
        </w:trPr>
        <w:tc>
          <w:tcPr>
            <w:tcW w:w="1756" w:type="dxa"/>
            <w:noWrap/>
            <w:hideMark/>
          </w:tcPr>
          <w:p w14:paraId="41D3BE9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Programs</w:t>
            </w:r>
          </w:p>
        </w:tc>
        <w:tc>
          <w:tcPr>
            <w:tcW w:w="1095" w:type="dxa"/>
            <w:noWrap/>
            <w:hideMark/>
          </w:tcPr>
          <w:p w14:paraId="73437EBF"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2016</w:t>
            </w:r>
          </w:p>
        </w:tc>
        <w:tc>
          <w:tcPr>
            <w:tcW w:w="1095" w:type="dxa"/>
            <w:noWrap/>
            <w:hideMark/>
          </w:tcPr>
          <w:p w14:paraId="7F6258B3"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2017</w:t>
            </w:r>
          </w:p>
        </w:tc>
        <w:tc>
          <w:tcPr>
            <w:tcW w:w="1095" w:type="dxa"/>
            <w:noWrap/>
            <w:hideMark/>
          </w:tcPr>
          <w:p w14:paraId="7AF1B9D8"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2018</w:t>
            </w:r>
          </w:p>
        </w:tc>
        <w:tc>
          <w:tcPr>
            <w:tcW w:w="1095" w:type="dxa"/>
            <w:noWrap/>
            <w:hideMark/>
          </w:tcPr>
          <w:p w14:paraId="26738630"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2019</w:t>
            </w:r>
          </w:p>
        </w:tc>
        <w:tc>
          <w:tcPr>
            <w:tcW w:w="1095" w:type="dxa"/>
            <w:noWrap/>
            <w:hideMark/>
          </w:tcPr>
          <w:p w14:paraId="38EF9683"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2020</w:t>
            </w:r>
          </w:p>
        </w:tc>
        <w:tc>
          <w:tcPr>
            <w:tcW w:w="1095" w:type="dxa"/>
            <w:noWrap/>
            <w:hideMark/>
          </w:tcPr>
          <w:p w14:paraId="5A6DE679"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2021</w:t>
            </w:r>
          </w:p>
        </w:tc>
        <w:tc>
          <w:tcPr>
            <w:tcW w:w="1095" w:type="dxa"/>
            <w:noWrap/>
            <w:hideMark/>
          </w:tcPr>
          <w:p w14:paraId="452F835A"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2022</w:t>
            </w:r>
          </w:p>
        </w:tc>
        <w:tc>
          <w:tcPr>
            <w:tcW w:w="1095" w:type="dxa"/>
            <w:noWrap/>
            <w:hideMark/>
          </w:tcPr>
          <w:p w14:paraId="4ACEF3E7"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2023</w:t>
            </w:r>
          </w:p>
        </w:tc>
        <w:tc>
          <w:tcPr>
            <w:tcW w:w="1095" w:type="dxa"/>
            <w:noWrap/>
            <w:hideMark/>
          </w:tcPr>
          <w:p w14:paraId="006FC774"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2024</w:t>
            </w:r>
          </w:p>
        </w:tc>
      </w:tr>
      <w:tr w:rsidR="00BF10A3" w:rsidRPr="00D620C3" w14:paraId="16055724" w14:textId="77777777" w:rsidTr="001F7400">
        <w:trPr>
          <w:trHeight w:val="367"/>
        </w:trPr>
        <w:tc>
          <w:tcPr>
            <w:tcW w:w="1756" w:type="dxa"/>
            <w:noWrap/>
            <w:hideMark/>
          </w:tcPr>
          <w:p w14:paraId="420C888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Passing</w:t>
            </w:r>
          </w:p>
        </w:tc>
        <w:tc>
          <w:tcPr>
            <w:tcW w:w="1095" w:type="dxa"/>
            <w:noWrap/>
            <w:hideMark/>
          </w:tcPr>
          <w:p w14:paraId="75DDE85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6,710 </w:t>
            </w:r>
          </w:p>
        </w:tc>
        <w:tc>
          <w:tcPr>
            <w:tcW w:w="1095" w:type="dxa"/>
            <w:noWrap/>
            <w:hideMark/>
          </w:tcPr>
          <w:p w14:paraId="5D287C19"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6,710 </w:t>
            </w:r>
          </w:p>
        </w:tc>
        <w:tc>
          <w:tcPr>
            <w:tcW w:w="1095" w:type="dxa"/>
            <w:noWrap/>
            <w:hideMark/>
          </w:tcPr>
          <w:p w14:paraId="752DA10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7,471 </w:t>
            </w:r>
          </w:p>
        </w:tc>
        <w:tc>
          <w:tcPr>
            <w:tcW w:w="1095" w:type="dxa"/>
            <w:noWrap/>
            <w:hideMark/>
          </w:tcPr>
          <w:p w14:paraId="72874A2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10,510 </w:t>
            </w:r>
          </w:p>
        </w:tc>
        <w:tc>
          <w:tcPr>
            <w:tcW w:w="1095" w:type="dxa"/>
            <w:noWrap/>
            <w:hideMark/>
          </w:tcPr>
          <w:p w14:paraId="4B33C3D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10,413 </w:t>
            </w:r>
          </w:p>
        </w:tc>
        <w:tc>
          <w:tcPr>
            <w:tcW w:w="1095" w:type="dxa"/>
            <w:noWrap/>
            <w:hideMark/>
          </w:tcPr>
          <w:p w14:paraId="1BED89B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10,695 </w:t>
            </w:r>
          </w:p>
        </w:tc>
        <w:tc>
          <w:tcPr>
            <w:tcW w:w="1095" w:type="dxa"/>
            <w:noWrap/>
            <w:hideMark/>
          </w:tcPr>
          <w:p w14:paraId="02CA080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11,180 </w:t>
            </w:r>
          </w:p>
        </w:tc>
        <w:tc>
          <w:tcPr>
            <w:tcW w:w="1095" w:type="dxa"/>
            <w:noWrap/>
            <w:hideMark/>
          </w:tcPr>
          <w:p w14:paraId="1BA3C63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11,604 </w:t>
            </w:r>
          </w:p>
        </w:tc>
        <w:tc>
          <w:tcPr>
            <w:tcW w:w="1095" w:type="dxa"/>
            <w:noWrap/>
            <w:hideMark/>
          </w:tcPr>
          <w:p w14:paraId="74F92B7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12,009 </w:t>
            </w:r>
          </w:p>
        </w:tc>
      </w:tr>
      <w:tr w:rsidR="00BF10A3" w:rsidRPr="00D620C3" w14:paraId="10A32847" w14:textId="77777777" w:rsidTr="001F7400">
        <w:trPr>
          <w:trHeight w:val="367"/>
        </w:trPr>
        <w:tc>
          <w:tcPr>
            <w:tcW w:w="1756" w:type="dxa"/>
            <w:noWrap/>
            <w:hideMark/>
          </w:tcPr>
          <w:p w14:paraId="65ECAA8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Zone</w:t>
            </w:r>
          </w:p>
        </w:tc>
        <w:tc>
          <w:tcPr>
            <w:tcW w:w="1095" w:type="dxa"/>
            <w:noWrap/>
            <w:hideMark/>
          </w:tcPr>
          <w:p w14:paraId="43582FC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1,205 </w:t>
            </w:r>
          </w:p>
        </w:tc>
        <w:tc>
          <w:tcPr>
            <w:tcW w:w="1095" w:type="dxa"/>
            <w:noWrap/>
            <w:hideMark/>
          </w:tcPr>
          <w:p w14:paraId="292DBA7D"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1,205 </w:t>
            </w:r>
          </w:p>
        </w:tc>
        <w:tc>
          <w:tcPr>
            <w:tcW w:w="1095" w:type="dxa"/>
            <w:noWrap/>
            <w:hideMark/>
          </w:tcPr>
          <w:p w14:paraId="5A58150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1,178 </w:t>
            </w:r>
          </w:p>
        </w:tc>
        <w:tc>
          <w:tcPr>
            <w:tcW w:w="1095" w:type="dxa"/>
            <w:noWrap/>
            <w:hideMark/>
          </w:tcPr>
          <w:p w14:paraId="002C135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562 </w:t>
            </w:r>
          </w:p>
        </w:tc>
        <w:tc>
          <w:tcPr>
            <w:tcW w:w="1095" w:type="dxa"/>
            <w:noWrap/>
            <w:hideMark/>
          </w:tcPr>
          <w:p w14:paraId="35EF1AB2"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415 </w:t>
            </w:r>
          </w:p>
        </w:tc>
        <w:tc>
          <w:tcPr>
            <w:tcW w:w="1095" w:type="dxa"/>
            <w:noWrap/>
            <w:hideMark/>
          </w:tcPr>
          <w:p w14:paraId="30DFDE95"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231 </w:t>
            </w:r>
          </w:p>
        </w:tc>
        <w:tc>
          <w:tcPr>
            <w:tcW w:w="1095" w:type="dxa"/>
            <w:noWrap/>
            <w:hideMark/>
          </w:tcPr>
          <w:p w14:paraId="176AB9AC"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123 </w:t>
            </w:r>
          </w:p>
        </w:tc>
        <w:tc>
          <w:tcPr>
            <w:tcW w:w="1095" w:type="dxa"/>
            <w:noWrap/>
            <w:hideMark/>
          </w:tcPr>
          <w:p w14:paraId="7461B028"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65 </w:t>
            </w:r>
          </w:p>
        </w:tc>
        <w:tc>
          <w:tcPr>
            <w:tcW w:w="1095" w:type="dxa"/>
            <w:noWrap/>
            <w:hideMark/>
          </w:tcPr>
          <w:p w14:paraId="62AFE2F8"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31 </w:t>
            </w:r>
          </w:p>
        </w:tc>
      </w:tr>
      <w:tr w:rsidR="00BF10A3" w:rsidRPr="00D620C3" w14:paraId="6A065523" w14:textId="77777777" w:rsidTr="001F7400">
        <w:trPr>
          <w:trHeight w:val="367"/>
        </w:trPr>
        <w:tc>
          <w:tcPr>
            <w:tcW w:w="1756" w:type="dxa"/>
            <w:noWrap/>
            <w:hideMark/>
          </w:tcPr>
          <w:p w14:paraId="5E4CD9A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Failing </w:t>
            </w:r>
          </w:p>
        </w:tc>
        <w:tc>
          <w:tcPr>
            <w:tcW w:w="1095" w:type="dxa"/>
            <w:noWrap/>
            <w:hideMark/>
          </w:tcPr>
          <w:p w14:paraId="45469570"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713 </w:t>
            </w:r>
          </w:p>
        </w:tc>
        <w:tc>
          <w:tcPr>
            <w:tcW w:w="1095" w:type="dxa"/>
            <w:noWrap/>
            <w:hideMark/>
          </w:tcPr>
          <w:p w14:paraId="3FDFC540"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713 </w:t>
            </w:r>
          </w:p>
        </w:tc>
        <w:tc>
          <w:tcPr>
            <w:tcW w:w="1095" w:type="dxa"/>
            <w:noWrap/>
            <w:hideMark/>
          </w:tcPr>
          <w:p w14:paraId="069F00B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653 </w:t>
            </w:r>
          </w:p>
        </w:tc>
        <w:tc>
          <w:tcPr>
            <w:tcW w:w="1095" w:type="dxa"/>
            <w:noWrap/>
            <w:hideMark/>
          </w:tcPr>
          <w:p w14:paraId="1CEC405C"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237 </w:t>
            </w:r>
          </w:p>
        </w:tc>
        <w:tc>
          <w:tcPr>
            <w:tcW w:w="1095" w:type="dxa"/>
            <w:noWrap/>
            <w:hideMark/>
          </w:tcPr>
          <w:p w14:paraId="2E6DB9E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197 </w:t>
            </w:r>
          </w:p>
        </w:tc>
        <w:tc>
          <w:tcPr>
            <w:tcW w:w="1095" w:type="dxa"/>
            <w:noWrap/>
            <w:hideMark/>
          </w:tcPr>
          <w:p w14:paraId="42819A6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91 </w:t>
            </w:r>
          </w:p>
        </w:tc>
        <w:tc>
          <w:tcPr>
            <w:tcW w:w="1095" w:type="dxa"/>
            <w:noWrap/>
            <w:hideMark/>
          </w:tcPr>
          <w:p w14:paraId="010D1FD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53 </w:t>
            </w:r>
          </w:p>
        </w:tc>
        <w:tc>
          <w:tcPr>
            <w:tcW w:w="1095" w:type="dxa"/>
            <w:noWrap/>
            <w:hideMark/>
          </w:tcPr>
          <w:p w14:paraId="6F8B13F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 </w:t>
            </w:r>
          </w:p>
        </w:tc>
        <w:tc>
          <w:tcPr>
            <w:tcW w:w="1095" w:type="dxa"/>
            <w:noWrap/>
            <w:hideMark/>
          </w:tcPr>
          <w:p w14:paraId="458A69B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11 </w:t>
            </w:r>
          </w:p>
        </w:tc>
      </w:tr>
      <w:tr w:rsidR="00BF10A3" w:rsidRPr="00D620C3" w14:paraId="507E464A" w14:textId="77777777" w:rsidTr="001F7400">
        <w:trPr>
          <w:trHeight w:val="367"/>
        </w:trPr>
        <w:tc>
          <w:tcPr>
            <w:tcW w:w="1756" w:type="dxa"/>
            <w:noWrap/>
            <w:hideMark/>
          </w:tcPr>
          <w:p w14:paraId="0FFD20B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Ineligible</w:t>
            </w:r>
          </w:p>
        </w:tc>
        <w:tc>
          <w:tcPr>
            <w:tcW w:w="1095" w:type="dxa"/>
            <w:noWrap/>
            <w:hideMark/>
          </w:tcPr>
          <w:p w14:paraId="7CDDEA9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   </w:t>
            </w:r>
          </w:p>
        </w:tc>
        <w:tc>
          <w:tcPr>
            <w:tcW w:w="1095" w:type="dxa"/>
            <w:noWrap/>
            <w:hideMark/>
          </w:tcPr>
          <w:p w14:paraId="687EA82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   </w:t>
            </w:r>
          </w:p>
        </w:tc>
        <w:tc>
          <w:tcPr>
            <w:tcW w:w="1095" w:type="dxa"/>
            <w:noWrap/>
            <w:hideMark/>
          </w:tcPr>
          <w:p w14:paraId="5E06E56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463 </w:t>
            </w:r>
          </w:p>
        </w:tc>
        <w:tc>
          <w:tcPr>
            <w:tcW w:w="1095" w:type="dxa"/>
            <w:noWrap/>
            <w:hideMark/>
          </w:tcPr>
          <w:p w14:paraId="499C2B9D"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919 </w:t>
            </w:r>
          </w:p>
        </w:tc>
        <w:tc>
          <w:tcPr>
            <w:tcW w:w="1095" w:type="dxa"/>
            <w:noWrap/>
            <w:hideMark/>
          </w:tcPr>
          <w:p w14:paraId="0741F58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1,282 </w:t>
            </w:r>
          </w:p>
        </w:tc>
        <w:tc>
          <w:tcPr>
            <w:tcW w:w="1095" w:type="dxa"/>
            <w:noWrap/>
            <w:hideMark/>
          </w:tcPr>
          <w:p w14:paraId="087557E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1,614 </w:t>
            </w:r>
          </w:p>
        </w:tc>
        <w:tc>
          <w:tcPr>
            <w:tcW w:w="1095" w:type="dxa"/>
            <w:noWrap/>
            <w:hideMark/>
          </w:tcPr>
          <w:p w14:paraId="18B9BED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1,769 </w:t>
            </w:r>
          </w:p>
        </w:tc>
        <w:tc>
          <w:tcPr>
            <w:tcW w:w="1095" w:type="dxa"/>
            <w:noWrap/>
            <w:hideMark/>
          </w:tcPr>
          <w:p w14:paraId="28DAFEF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1,868 </w:t>
            </w:r>
          </w:p>
        </w:tc>
        <w:tc>
          <w:tcPr>
            <w:tcW w:w="1095" w:type="dxa"/>
            <w:noWrap/>
            <w:hideMark/>
          </w:tcPr>
          <w:p w14:paraId="74753BA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1,922 </w:t>
            </w:r>
          </w:p>
        </w:tc>
      </w:tr>
      <w:tr w:rsidR="00BF10A3" w:rsidRPr="00D620C3" w14:paraId="042CBF37" w14:textId="77777777" w:rsidTr="001F7400">
        <w:trPr>
          <w:trHeight w:val="367"/>
        </w:trPr>
        <w:tc>
          <w:tcPr>
            <w:tcW w:w="1756" w:type="dxa"/>
            <w:noWrap/>
            <w:hideMark/>
          </w:tcPr>
          <w:p w14:paraId="175B6FC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Not Evaluated</w:t>
            </w:r>
          </w:p>
        </w:tc>
        <w:tc>
          <w:tcPr>
            <w:tcW w:w="1095" w:type="dxa"/>
            <w:noWrap/>
            <w:hideMark/>
          </w:tcPr>
          <w:p w14:paraId="29DD1365"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28,475 </w:t>
            </w:r>
          </w:p>
        </w:tc>
        <w:tc>
          <w:tcPr>
            <w:tcW w:w="1095" w:type="dxa"/>
            <w:noWrap/>
            <w:hideMark/>
          </w:tcPr>
          <w:p w14:paraId="213DD03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28,475 </w:t>
            </w:r>
          </w:p>
        </w:tc>
        <w:tc>
          <w:tcPr>
            <w:tcW w:w="1095" w:type="dxa"/>
            <w:noWrap/>
            <w:hideMark/>
          </w:tcPr>
          <w:p w14:paraId="5B690B7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27,338 </w:t>
            </w:r>
          </w:p>
        </w:tc>
        <w:tc>
          <w:tcPr>
            <w:tcW w:w="1095" w:type="dxa"/>
            <w:noWrap/>
            <w:hideMark/>
          </w:tcPr>
          <w:p w14:paraId="67E8E2DD"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24,875 </w:t>
            </w:r>
          </w:p>
        </w:tc>
        <w:tc>
          <w:tcPr>
            <w:tcW w:w="1095" w:type="dxa"/>
            <w:noWrap/>
            <w:hideMark/>
          </w:tcPr>
          <w:p w14:paraId="6C5418F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24,795 </w:t>
            </w:r>
          </w:p>
        </w:tc>
        <w:tc>
          <w:tcPr>
            <w:tcW w:w="1095" w:type="dxa"/>
            <w:noWrap/>
            <w:hideMark/>
          </w:tcPr>
          <w:p w14:paraId="714DBB8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24,471 </w:t>
            </w:r>
          </w:p>
        </w:tc>
        <w:tc>
          <w:tcPr>
            <w:tcW w:w="1095" w:type="dxa"/>
            <w:noWrap/>
            <w:hideMark/>
          </w:tcPr>
          <w:p w14:paraId="4E200C20"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23,978 </w:t>
            </w:r>
          </w:p>
        </w:tc>
        <w:tc>
          <w:tcPr>
            <w:tcW w:w="1095" w:type="dxa"/>
            <w:noWrap/>
            <w:hideMark/>
          </w:tcPr>
          <w:p w14:paraId="3E7DF89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23,543 </w:t>
            </w:r>
          </w:p>
        </w:tc>
        <w:tc>
          <w:tcPr>
            <w:tcW w:w="1095" w:type="dxa"/>
            <w:noWrap/>
            <w:hideMark/>
          </w:tcPr>
          <w:p w14:paraId="01B7D32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23,130 </w:t>
            </w:r>
          </w:p>
        </w:tc>
      </w:tr>
    </w:tbl>
    <w:p w14:paraId="43B04300" w14:textId="77777777" w:rsidR="00BF10A3" w:rsidRPr="00AA6DFD" w:rsidRDefault="00BF10A3" w:rsidP="00BF10A3">
      <w:pPr>
        <w:spacing w:after="0" w:line="240" w:lineRule="auto"/>
        <w:ind w:firstLine="720"/>
        <w:rPr>
          <w:rFonts w:ascii="Courier New" w:hAnsi="Courier New" w:cs="Courier New"/>
          <w:i/>
          <w:sz w:val="24"/>
          <w:szCs w:val="24"/>
        </w:rPr>
      </w:pPr>
    </w:p>
    <w:p w14:paraId="5C07334E" w14:textId="77777777" w:rsidR="00BF10A3" w:rsidRPr="00AA6DFD" w:rsidRDefault="00BF10A3" w:rsidP="00BF10A3">
      <w:pPr>
        <w:spacing w:after="0" w:line="240" w:lineRule="auto"/>
        <w:ind w:firstLine="720"/>
        <w:rPr>
          <w:rFonts w:ascii="Courier New" w:hAnsi="Courier New" w:cs="Courier New"/>
          <w:i/>
          <w:sz w:val="24"/>
          <w:szCs w:val="24"/>
        </w:rPr>
      </w:pPr>
    </w:p>
    <w:p w14:paraId="1B482782" w14:textId="77777777" w:rsidR="00BF10A3" w:rsidRPr="00AA6DFD" w:rsidRDefault="00BF10A3" w:rsidP="00BF10A3">
      <w:pPr>
        <w:spacing w:after="0" w:line="240" w:lineRule="auto"/>
        <w:ind w:firstLine="720"/>
        <w:rPr>
          <w:rFonts w:ascii="Courier New" w:hAnsi="Courier New" w:cs="Courier New"/>
          <w:i/>
          <w:sz w:val="24"/>
          <w:szCs w:val="24"/>
        </w:rPr>
      </w:pPr>
    </w:p>
    <w:p w14:paraId="3A20567B" w14:textId="77777777" w:rsidR="00BF10A3" w:rsidRPr="00AA6DFD" w:rsidRDefault="00BF10A3" w:rsidP="00BF10A3">
      <w:pPr>
        <w:spacing w:after="0" w:line="480" w:lineRule="auto"/>
        <w:ind w:firstLine="720"/>
        <w:rPr>
          <w:rFonts w:ascii="Courier New" w:hAnsi="Courier New" w:cs="Courier New"/>
          <w:color w:val="000000"/>
          <w:sz w:val="24"/>
          <w:szCs w:val="24"/>
        </w:rPr>
      </w:pPr>
      <w:r w:rsidRPr="00AA6DFD">
        <w:rPr>
          <w:rFonts w:ascii="Courier New" w:hAnsi="Courier New" w:cs="Courier New"/>
          <w:sz w:val="24"/>
          <w:szCs w:val="24"/>
        </w:rPr>
        <w:t xml:space="preserve">The Department’s calculations of the net budget impacts represent our best estimate of the effect of the regulations on the Federal student aid programs.  However, these estimates will be heavily influenced by actual program performance, student response to program performance, and potential increases in enrollment and retention rates as a result of the regulations.  For example, if students, including prospective students, react more strongly to the consumer disclosures or potential ineligibility of programs than anticipated and, if many of these students leave postsecondary education, the impact on Pell Grants and loans could increase substantially.  </w:t>
      </w:r>
      <w:r w:rsidRPr="00AA6DFD">
        <w:rPr>
          <w:rFonts w:ascii="Courier New" w:hAnsi="Courier New" w:cs="Courier New"/>
          <w:color w:val="000000"/>
          <w:sz w:val="24"/>
          <w:szCs w:val="24"/>
        </w:rPr>
        <w:t xml:space="preserve">Similarly, if institutions react to the regulations by modifying their program offerings, enrollment strategies, or pricing, the assumed enrollment and aid amounts could be overstated. </w:t>
      </w:r>
    </w:p>
    <w:p w14:paraId="05A285A1" w14:textId="77777777" w:rsidR="00BF10A3" w:rsidRPr="00AA6DFD" w:rsidRDefault="00BF10A3" w:rsidP="00BF10A3">
      <w:pPr>
        <w:spacing w:after="0" w:line="480" w:lineRule="auto"/>
        <w:ind w:firstLine="720"/>
        <w:rPr>
          <w:rFonts w:ascii="Courier New" w:hAnsi="Courier New" w:cs="Courier New"/>
          <w:color w:val="000000"/>
          <w:sz w:val="24"/>
          <w:szCs w:val="24"/>
        </w:rPr>
      </w:pPr>
      <w:r w:rsidRPr="00AA6DFD">
        <w:rPr>
          <w:rFonts w:ascii="Courier New" w:hAnsi="Courier New" w:cs="Courier New"/>
          <w:color w:val="000000"/>
          <w:sz w:val="24"/>
          <w:szCs w:val="24"/>
        </w:rPr>
        <w:t xml:space="preserve">Over the last several years, we believe that institutions in the for-profit sector have made changes to improve program performance, particularly by reducing cost and eliminating some poorly performing offerings.  Because the data available to analyze the regulations are based on older cohorts of students, the budget estimates may not reflect these changes.  In addition, we are unable to predict the extent to which institutions will take advantage of the transition period provisions of the regulations to reduce costs to students in failing and zone programs.  Although these factors are not explicitly accounted for in the estimates, we expect that they will operate to reduce the number of failing and zone programs and affected students, and in turn, lower the net budget impact estimate.  </w:t>
      </w:r>
    </w:p>
    <w:p w14:paraId="46ED15E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color w:val="000000"/>
          <w:sz w:val="24"/>
          <w:szCs w:val="24"/>
        </w:rPr>
        <w:t xml:space="preserve">As previously stated, we do not estimate any significant budget impact stemming from students who transfer to another institution when a program they are attending or planned to attend </w:t>
      </w:r>
      <w:r w:rsidRPr="00AA6DFD">
        <w:rPr>
          <w:rFonts w:ascii="Courier New" w:hAnsi="Courier New" w:cs="Courier New"/>
          <w:sz w:val="24"/>
          <w:szCs w:val="24"/>
        </w:rPr>
        <w:t>voluntarily closes, fails or falls in the zone under the D/E rates measure, or loses eligibility to participate in the title IV, HEA programs</w:t>
      </w:r>
      <w:r w:rsidRPr="00AA6DFD">
        <w:rPr>
          <w:rFonts w:ascii="Courier New" w:hAnsi="Courier New" w:cs="Courier New"/>
          <w:color w:val="000000"/>
          <w:sz w:val="24"/>
          <w:szCs w:val="24"/>
        </w:rPr>
        <w:t xml:space="preserve">.  Although it is true that programs have varied costs across sector, CIP code, credential level, location, and other factors, the students’ eligibility for title IV, HEA program funds carries with them across programs.  It is possible that passing programs that students choose to transfer to could have lower prices than zone, failing or ineligible programs, and the amount of title IV, HEA program funds to GE programs may be reduced as a result of those transfers.  However, students or counselors may also use the disclosures and earnings information to choose a different field of study or credential level which could result in increased aid volume.  In general, we anticipate that overall aid to students who transfer among GE programs or to non-GE programs will not change significantly, so no net budget impact was estimated for these students.  </w:t>
      </w:r>
    </w:p>
    <w:p w14:paraId="106E2366" w14:textId="77777777" w:rsidR="00BF10A3" w:rsidRPr="00AA6DFD" w:rsidRDefault="00BF10A3" w:rsidP="00BF10A3">
      <w:pPr>
        <w:pStyle w:val="PlainText"/>
        <w:spacing w:line="480" w:lineRule="auto"/>
        <w:ind w:firstLine="720"/>
        <w:rPr>
          <w:rFonts w:ascii="Courier New" w:hAnsi="Courier New" w:cs="Courier New"/>
          <w:sz w:val="24"/>
          <w:szCs w:val="24"/>
        </w:rPr>
      </w:pPr>
      <w:r w:rsidRPr="00AA6DFD">
        <w:rPr>
          <w:rFonts w:ascii="Courier New" w:hAnsi="Courier New" w:cs="Courier New"/>
          <w:sz w:val="24"/>
          <w:szCs w:val="24"/>
        </w:rPr>
        <w:t xml:space="preserve">The effects previously described represent the estimated effects of the regulations during the initial period of time after the regulations take effect.  We expect that the budget effects of the regulations will decline over time as programs that are unable to pass will be eliminated and using data about program outcomes, including D/E rates, institutions will be better able to ensure that their programs consistently meet the standards of the regulations.  </w:t>
      </w:r>
    </w:p>
    <w:p w14:paraId="6C50C9C8" w14:textId="77777777" w:rsidR="00BF10A3" w:rsidRPr="00AA6DFD" w:rsidRDefault="00BF10A3" w:rsidP="00BF10A3">
      <w:pPr>
        <w:pStyle w:val="PlainText"/>
        <w:spacing w:line="480" w:lineRule="auto"/>
        <w:ind w:firstLine="720"/>
        <w:rPr>
          <w:rFonts w:ascii="Courier New" w:hAnsi="Courier New" w:cs="Courier New"/>
          <w:sz w:val="24"/>
          <w:szCs w:val="24"/>
        </w:rPr>
      </w:pPr>
      <w:r w:rsidRPr="00AA6DFD">
        <w:rPr>
          <w:rFonts w:ascii="Courier New" w:hAnsi="Courier New" w:cs="Courier New"/>
          <w:sz w:val="24"/>
          <w:szCs w:val="24"/>
        </w:rPr>
        <w:t xml:space="preserve">This gradual decline in impact of the regulations may be similar to the pattern observed when institutional cohort default rates (CDR) were introduced in 1989 with an initial elimination of the worst-performing institutions followed by an equilibrium where institutions overwhelmingly meet the CDR standards.  We do not expect the impact of the regulations to drop off as sharply as occurred with the introduction of institutional CDR because of the four year zone and due to the transition period provisions which could potentially extend eligibility for programs that might otherwise become ineligible.    </w:t>
      </w:r>
    </w:p>
    <w:p w14:paraId="7259F3AA" w14:textId="77777777" w:rsidR="00BF10A3" w:rsidRPr="00AA6DFD" w:rsidRDefault="00BF10A3" w:rsidP="00BF10A3">
      <w:pPr>
        <w:pStyle w:val="riaheader2"/>
      </w:pPr>
      <w:r w:rsidRPr="00AA6DFD">
        <w:t xml:space="preserve">Accounting Statement </w:t>
      </w:r>
    </w:p>
    <w:p w14:paraId="7FE5C44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required by OMB Circular A-4 (available at http://www.whitehouse.gov/sites/default/files/omb/assets/omb/circulars/a004/a-4.pdf), the accounting statement in Table 3.9 provides the classification of the expenditures associated with the regulations.  The accounting statement represents our best estimate of the impact of the regulations on the Federal student aid programs.  </w:t>
      </w:r>
    </w:p>
    <w:p w14:paraId="2CA6E96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Expenditures are classified as transfers from the Federal Government to students receiving title IV, HEA program funds and from low-performing programs to higher-performing programs.  Transfers are neither costs nor benefits, but rather the reallocation of resources from one party to another.</w:t>
      </w:r>
    </w:p>
    <w:p w14:paraId="1A55BF29"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sz w:val="24"/>
          <w:szCs w:val="24"/>
        </w:rPr>
        <w:tab/>
      </w:r>
    </w:p>
    <w:p w14:paraId="66934316"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b/>
          <w:sz w:val="24"/>
          <w:szCs w:val="24"/>
        </w:rPr>
        <w:t>Table 3.9: Accounting Statement</w:t>
      </w:r>
    </w:p>
    <w:p w14:paraId="3A818FDD" w14:textId="77777777" w:rsidR="00BF10A3" w:rsidRPr="00D620C3" w:rsidRDefault="00BF10A3" w:rsidP="00BF10A3">
      <w:pPr>
        <w:rPr>
          <w:rFonts w:ascii="Courier New" w:eastAsiaTheme="minorHAnsi" w:hAnsi="Courier New" w:cstheme="minorBidi"/>
          <w:sz w:val="16"/>
        </w:rPr>
      </w:pPr>
    </w:p>
    <w:tbl>
      <w:tblPr>
        <w:tblStyle w:val="TableGrid15"/>
        <w:tblW w:w="0" w:type="auto"/>
        <w:tblLook w:val="04A0" w:firstRow="1" w:lastRow="0" w:firstColumn="1" w:lastColumn="0" w:noHBand="0" w:noVBand="1"/>
      </w:tblPr>
      <w:tblGrid>
        <w:gridCol w:w="3980"/>
        <w:gridCol w:w="2420"/>
        <w:gridCol w:w="2420"/>
      </w:tblGrid>
      <w:tr w:rsidR="00BF10A3" w:rsidRPr="00D620C3" w14:paraId="4981A743" w14:textId="77777777" w:rsidTr="001F7400">
        <w:trPr>
          <w:trHeight w:val="315"/>
        </w:trPr>
        <w:tc>
          <w:tcPr>
            <w:tcW w:w="3980" w:type="dxa"/>
            <w:noWrap/>
            <w:hideMark/>
          </w:tcPr>
          <w:p w14:paraId="1778E834"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Category</w:t>
            </w:r>
          </w:p>
        </w:tc>
        <w:tc>
          <w:tcPr>
            <w:tcW w:w="4840" w:type="dxa"/>
            <w:gridSpan w:val="2"/>
            <w:noWrap/>
            <w:hideMark/>
          </w:tcPr>
          <w:p w14:paraId="1470E158"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Benefits</w:t>
            </w:r>
          </w:p>
        </w:tc>
      </w:tr>
      <w:tr w:rsidR="00BF10A3" w:rsidRPr="00D620C3" w14:paraId="4D24F047" w14:textId="77777777" w:rsidTr="001F7400">
        <w:trPr>
          <w:trHeight w:val="872"/>
        </w:trPr>
        <w:tc>
          <w:tcPr>
            <w:tcW w:w="3980" w:type="dxa"/>
            <w:hideMark/>
          </w:tcPr>
          <w:p w14:paraId="0DFA9B52"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Improved market information and development of measures linking programs to labor market outcomes</w:t>
            </w:r>
          </w:p>
        </w:tc>
        <w:tc>
          <w:tcPr>
            <w:tcW w:w="4840" w:type="dxa"/>
            <w:gridSpan w:val="2"/>
            <w:noWrap/>
            <w:hideMark/>
          </w:tcPr>
          <w:p w14:paraId="6225546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Not Quantified</w:t>
            </w:r>
          </w:p>
        </w:tc>
      </w:tr>
      <w:tr w:rsidR="00BF10A3" w:rsidRPr="00D620C3" w14:paraId="1F72A170" w14:textId="77777777" w:rsidTr="001F7400">
        <w:trPr>
          <w:trHeight w:val="645"/>
        </w:trPr>
        <w:tc>
          <w:tcPr>
            <w:tcW w:w="3980" w:type="dxa"/>
            <w:hideMark/>
          </w:tcPr>
          <w:p w14:paraId="1D22B859"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Better return on money spent on education</w:t>
            </w:r>
          </w:p>
        </w:tc>
        <w:tc>
          <w:tcPr>
            <w:tcW w:w="4840" w:type="dxa"/>
            <w:gridSpan w:val="2"/>
            <w:hideMark/>
          </w:tcPr>
          <w:p w14:paraId="5806FF0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Not Quantified </w:t>
            </w:r>
          </w:p>
        </w:tc>
      </w:tr>
      <w:tr w:rsidR="00BF10A3" w:rsidRPr="00D620C3" w14:paraId="65350B9A" w14:textId="77777777" w:rsidTr="001F7400">
        <w:trPr>
          <w:trHeight w:val="330"/>
        </w:trPr>
        <w:tc>
          <w:tcPr>
            <w:tcW w:w="3980" w:type="dxa"/>
            <w:hideMark/>
          </w:tcPr>
          <w:p w14:paraId="0BA7FCC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Category</w:t>
            </w:r>
          </w:p>
        </w:tc>
        <w:tc>
          <w:tcPr>
            <w:tcW w:w="4840" w:type="dxa"/>
            <w:gridSpan w:val="2"/>
            <w:hideMark/>
          </w:tcPr>
          <w:p w14:paraId="46988BB9"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 Costs </w:t>
            </w:r>
          </w:p>
        </w:tc>
      </w:tr>
      <w:tr w:rsidR="00BF10A3" w:rsidRPr="00D620C3" w14:paraId="486284C3" w14:textId="77777777" w:rsidTr="001F7400">
        <w:trPr>
          <w:trHeight w:val="330"/>
        </w:trPr>
        <w:tc>
          <w:tcPr>
            <w:tcW w:w="3980" w:type="dxa"/>
            <w:hideMark/>
          </w:tcPr>
          <w:p w14:paraId="3F0AF32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Discount Rate</w:t>
            </w:r>
          </w:p>
        </w:tc>
        <w:tc>
          <w:tcPr>
            <w:tcW w:w="2420" w:type="dxa"/>
            <w:noWrap/>
            <w:hideMark/>
          </w:tcPr>
          <w:p w14:paraId="221F01B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3%</w:t>
            </w:r>
          </w:p>
        </w:tc>
        <w:tc>
          <w:tcPr>
            <w:tcW w:w="2420" w:type="dxa"/>
            <w:noWrap/>
            <w:hideMark/>
          </w:tcPr>
          <w:p w14:paraId="1A91046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7%</w:t>
            </w:r>
          </w:p>
        </w:tc>
      </w:tr>
      <w:tr w:rsidR="00BF10A3" w:rsidRPr="00D620C3" w14:paraId="669C0B5B" w14:textId="77777777" w:rsidTr="001F7400">
        <w:trPr>
          <w:trHeight w:val="818"/>
        </w:trPr>
        <w:tc>
          <w:tcPr>
            <w:tcW w:w="3980" w:type="dxa"/>
            <w:hideMark/>
          </w:tcPr>
          <w:p w14:paraId="068C002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Additional expense of educating transfer students at passing programs</w:t>
            </w:r>
          </w:p>
        </w:tc>
        <w:tc>
          <w:tcPr>
            <w:tcW w:w="2420" w:type="dxa"/>
            <w:noWrap/>
            <w:hideMark/>
          </w:tcPr>
          <w:p w14:paraId="43EEFE22"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$373</w:t>
            </w:r>
          </w:p>
        </w:tc>
        <w:tc>
          <w:tcPr>
            <w:tcW w:w="2420" w:type="dxa"/>
            <w:noWrap/>
            <w:hideMark/>
          </w:tcPr>
          <w:p w14:paraId="4298450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$379</w:t>
            </w:r>
          </w:p>
        </w:tc>
      </w:tr>
      <w:tr w:rsidR="00BF10A3" w:rsidRPr="00D620C3" w14:paraId="4C28A75E" w14:textId="77777777" w:rsidTr="001F7400">
        <w:trPr>
          <w:trHeight w:val="645"/>
        </w:trPr>
        <w:tc>
          <w:tcPr>
            <w:tcW w:w="3980" w:type="dxa"/>
            <w:hideMark/>
          </w:tcPr>
          <w:p w14:paraId="0B6C93A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Cost of Compliance with Paperwork Burden</w:t>
            </w:r>
          </w:p>
        </w:tc>
        <w:tc>
          <w:tcPr>
            <w:tcW w:w="2420" w:type="dxa"/>
            <w:noWrap/>
            <w:hideMark/>
          </w:tcPr>
          <w:p w14:paraId="5F692F3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$50</w:t>
            </w:r>
          </w:p>
        </w:tc>
        <w:tc>
          <w:tcPr>
            <w:tcW w:w="2420" w:type="dxa"/>
            <w:noWrap/>
            <w:hideMark/>
          </w:tcPr>
          <w:p w14:paraId="6145C1CC"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$54</w:t>
            </w:r>
          </w:p>
        </w:tc>
      </w:tr>
      <w:tr w:rsidR="00BF10A3" w:rsidRPr="00D620C3" w14:paraId="7D45F2AA" w14:textId="77777777" w:rsidTr="001F7400">
        <w:trPr>
          <w:trHeight w:val="330"/>
        </w:trPr>
        <w:tc>
          <w:tcPr>
            <w:tcW w:w="3980" w:type="dxa"/>
            <w:hideMark/>
          </w:tcPr>
          <w:p w14:paraId="4EA9AF7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Category</w:t>
            </w:r>
          </w:p>
        </w:tc>
        <w:tc>
          <w:tcPr>
            <w:tcW w:w="4840" w:type="dxa"/>
            <w:gridSpan w:val="2"/>
            <w:noWrap/>
            <w:hideMark/>
          </w:tcPr>
          <w:p w14:paraId="5EBC6A4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Transfers</w:t>
            </w:r>
          </w:p>
        </w:tc>
      </w:tr>
      <w:tr w:rsidR="00BF10A3" w:rsidRPr="00D620C3" w14:paraId="792BEEE1" w14:textId="77777777" w:rsidTr="001F7400">
        <w:trPr>
          <w:trHeight w:val="300"/>
        </w:trPr>
        <w:tc>
          <w:tcPr>
            <w:tcW w:w="3980" w:type="dxa"/>
            <w:hideMark/>
          </w:tcPr>
          <w:p w14:paraId="7F7B71E5"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Discount Rate</w:t>
            </w:r>
          </w:p>
        </w:tc>
        <w:tc>
          <w:tcPr>
            <w:tcW w:w="2420" w:type="dxa"/>
            <w:noWrap/>
            <w:hideMark/>
          </w:tcPr>
          <w:p w14:paraId="3DCD4E0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3%</w:t>
            </w:r>
          </w:p>
        </w:tc>
        <w:tc>
          <w:tcPr>
            <w:tcW w:w="2420" w:type="dxa"/>
            <w:noWrap/>
            <w:hideMark/>
          </w:tcPr>
          <w:p w14:paraId="083876A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7%</w:t>
            </w:r>
          </w:p>
        </w:tc>
      </w:tr>
      <w:tr w:rsidR="00BF10A3" w:rsidRPr="00D620C3" w14:paraId="7F0D5B3B" w14:textId="77777777" w:rsidTr="001F7400">
        <w:trPr>
          <w:trHeight w:val="1025"/>
        </w:trPr>
        <w:tc>
          <w:tcPr>
            <w:tcW w:w="3980" w:type="dxa"/>
            <w:hideMark/>
          </w:tcPr>
          <w:p w14:paraId="2578194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Transfer of Federal student aid money from failing programs to the Federal government when students drop out of programs</w:t>
            </w:r>
          </w:p>
        </w:tc>
        <w:tc>
          <w:tcPr>
            <w:tcW w:w="2420" w:type="dxa"/>
            <w:noWrap/>
            <w:hideMark/>
          </w:tcPr>
          <w:p w14:paraId="0B6DEBF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$423</w:t>
            </w:r>
          </w:p>
        </w:tc>
        <w:tc>
          <w:tcPr>
            <w:tcW w:w="2420" w:type="dxa"/>
            <w:noWrap/>
            <w:hideMark/>
          </w:tcPr>
          <w:p w14:paraId="1303422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$423</w:t>
            </w:r>
          </w:p>
        </w:tc>
      </w:tr>
      <w:tr w:rsidR="00BF10A3" w:rsidRPr="00D620C3" w14:paraId="22A7A28E" w14:textId="77777777" w:rsidTr="001F7400">
        <w:trPr>
          <w:trHeight w:val="989"/>
        </w:trPr>
        <w:tc>
          <w:tcPr>
            <w:tcW w:w="3980" w:type="dxa"/>
            <w:hideMark/>
          </w:tcPr>
          <w:p w14:paraId="3E71E5D0"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Estimated Transfer  of revenues from non-passing programs to passing or zone programs as students transfer </w:t>
            </w:r>
          </w:p>
        </w:tc>
        <w:tc>
          <w:tcPr>
            <w:tcW w:w="2420" w:type="dxa"/>
            <w:noWrap/>
            <w:hideMark/>
          </w:tcPr>
          <w:p w14:paraId="328A2E4F"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$2,515</w:t>
            </w:r>
          </w:p>
        </w:tc>
        <w:tc>
          <w:tcPr>
            <w:tcW w:w="2420" w:type="dxa"/>
            <w:noWrap/>
            <w:hideMark/>
          </w:tcPr>
          <w:p w14:paraId="7A1F6D0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$2,554</w:t>
            </w:r>
          </w:p>
        </w:tc>
      </w:tr>
      <w:tr w:rsidR="00BF10A3" w:rsidRPr="00D620C3" w14:paraId="559447D3" w14:textId="77777777" w:rsidTr="001F7400">
        <w:trPr>
          <w:trHeight w:val="1151"/>
        </w:trPr>
        <w:tc>
          <w:tcPr>
            <w:tcW w:w="3980" w:type="dxa"/>
            <w:hideMark/>
          </w:tcPr>
          <w:p w14:paraId="1413EDC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Estimated Transfer  of instructional expenses from non-passing programs to passing or zone programs as students transfer </w:t>
            </w:r>
          </w:p>
        </w:tc>
        <w:tc>
          <w:tcPr>
            <w:tcW w:w="2420" w:type="dxa"/>
            <w:noWrap/>
            <w:hideMark/>
          </w:tcPr>
          <w:p w14:paraId="5B962DC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$1,216</w:t>
            </w:r>
          </w:p>
        </w:tc>
        <w:tc>
          <w:tcPr>
            <w:tcW w:w="2420" w:type="dxa"/>
            <w:noWrap/>
            <w:hideMark/>
          </w:tcPr>
          <w:p w14:paraId="2B68265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$1,235</w:t>
            </w:r>
          </w:p>
        </w:tc>
      </w:tr>
    </w:tbl>
    <w:p w14:paraId="34945088" w14:textId="77777777" w:rsidR="00BF10A3" w:rsidRPr="00D620C3" w:rsidRDefault="00BF10A3" w:rsidP="00BF10A3">
      <w:pPr>
        <w:rPr>
          <w:rFonts w:ascii="Courier New" w:eastAsiaTheme="minorHAnsi" w:hAnsi="Courier New" w:cstheme="minorBidi"/>
          <w:sz w:val="16"/>
        </w:rPr>
      </w:pPr>
    </w:p>
    <w:p w14:paraId="38E233F1" w14:textId="77777777" w:rsidR="00BF10A3" w:rsidRPr="00AA6DFD" w:rsidRDefault="00BF10A3" w:rsidP="00BF10A3">
      <w:pPr>
        <w:spacing w:after="0" w:line="480" w:lineRule="auto"/>
        <w:ind w:firstLine="720"/>
        <w:rPr>
          <w:rFonts w:ascii="Courier New" w:hAnsi="Courier New" w:cs="Courier New"/>
          <w:sz w:val="24"/>
          <w:szCs w:val="24"/>
          <w:u w:val="single"/>
        </w:rPr>
      </w:pPr>
    </w:p>
    <w:p w14:paraId="58EF89C7" w14:textId="77777777" w:rsidR="00BF10A3" w:rsidRPr="00AA6DFD" w:rsidRDefault="00BF10A3" w:rsidP="00BF10A3">
      <w:pPr>
        <w:pStyle w:val="riaheader2"/>
      </w:pPr>
      <w:r w:rsidRPr="00AA6DFD">
        <w:t>Costs and Transfers Sensitivity Analysis</w:t>
      </w:r>
    </w:p>
    <w:p w14:paraId="78858057"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also provide alternative accounting statements using varied program transition and student response assumptions to demonstrate the sensitivity of the net budget impacts to these factors.  These scenarios illuminate how different student and program responses could affect the title IV, HEA programs and institutions offering GE programs.  We offer extreme scenarios in order to bound the estimates of effects, although we believe these extreme scenarios are unlikely to occur.  </w:t>
      </w:r>
    </w:p>
    <w:p w14:paraId="34997CC5" w14:textId="77777777" w:rsidR="00BF10A3" w:rsidRPr="00B53B21" w:rsidRDefault="00BF10A3" w:rsidP="00BF10A3">
      <w:pPr>
        <w:pStyle w:val="riaheader3"/>
      </w:pPr>
      <w:r w:rsidRPr="00B53B21">
        <w:t>Alternative program transition assumptions</w:t>
      </w:r>
    </w:p>
    <w:p w14:paraId="7F547272"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ab/>
      </w:r>
    </w:p>
    <w:p w14:paraId="65B77A4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In addition to the primary program transition assumptions provided in Tables 3.1-3.3, we assumed two additional program transition scenarios, zero program transition and positive program transition.  For the zero program transition, an extreme worst case scenario, we assume institutions will have no success in improving programs.  Accordingly, for this scenario, the year 0 program results, calculated based on the outcomes of students who completed GE programs in FYs 2008 and 2009 as described in “Program transition assumptions,” are held constant for each cycle of the budget model. For the positive program transition, we assumed institutions would be highly successful in improving programs.  This scenario simulates the effects of 25 percent greater improvement over the primary program transition scenario described in “Program transition assumptions.”  Tables 3.10 and 3.11 provide the program transition assumptions for these alternative scenarios.</w:t>
      </w:r>
    </w:p>
    <w:p w14:paraId="4ADB8B41" w14:textId="77777777" w:rsidR="00BF10A3" w:rsidRPr="00AA6DFD" w:rsidRDefault="00BF10A3" w:rsidP="00BF10A3">
      <w:pPr>
        <w:spacing w:after="0" w:line="480" w:lineRule="auto"/>
        <w:rPr>
          <w:rFonts w:ascii="Courier New" w:hAnsi="Courier New" w:cs="Courier New"/>
          <w:b/>
          <w:sz w:val="24"/>
          <w:szCs w:val="24"/>
        </w:rPr>
      </w:pPr>
    </w:p>
    <w:p w14:paraId="637A07B1"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b/>
          <w:sz w:val="24"/>
          <w:szCs w:val="24"/>
        </w:rPr>
        <w:t>Table 3.10: Zero Program Transition Assumptions</w:t>
      </w:r>
    </w:p>
    <w:p w14:paraId="5B85EB4A" w14:textId="77777777" w:rsidR="00BF10A3" w:rsidRPr="00D620C3" w:rsidRDefault="00BF10A3" w:rsidP="00BF10A3">
      <w:pPr>
        <w:pStyle w:val="NoSpacing"/>
        <w:rPr>
          <w:rFonts w:ascii="Courier New" w:eastAsiaTheme="minorHAnsi" w:hAnsi="Courier New" w:cstheme="minorBidi"/>
          <w:sz w:val="16"/>
        </w:rPr>
      </w:pPr>
      <w:r w:rsidRPr="00AA6DFD">
        <w:rPr>
          <w:rFonts w:ascii="Courier New" w:hAnsi="Courier New" w:cs="Courier New"/>
          <w:b/>
          <w:sz w:val="24"/>
          <w:szCs w:val="24"/>
        </w:rPr>
        <w:tab/>
      </w:r>
    </w:p>
    <w:tbl>
      <w:tblPr>
        <w:tblStyle w:val="TableGrid16"/>
        <w:tblW w:w="0" w:type="auto"/>
        <w:tblLook w:val="04A0" w:firstRow="1" w:lastRow="0" w:firstColumn="1" w:lastColumn="0" w:noHBand="0" w:noVBand="1"/>
      </w:tblPr>
      <w:tblGrid>
        <w:gridCol w:w="2540"/>
        <w:gridCol w:w="960"/>
        <w:gridCol w:w="960"/>
        <w:gridCol w:w="960"/>
        <w:gridCol w:w="1480"/>
        <w:gridCol w:w="1580"/>
      </w:tblGrid>
      <w:tr w:rsidR="00BF10A3" w:rsidRPr="00D620C3" w14:paraId="44C393B5" w14:textId="77777777" w:rsidTr="001F7400">
        <w:trPr>
          <w:trHeight w:val="315"/>
        </w:trPr>
        <w:tc>
          <w:tcPr>
            <w:tcW w:w="2540" w:type="dxa"/>
            <w:noWrap/>
            <w:hideMark/>
          </w:tcPr>
          <w:p w14:paraId="3BA0557E" w14:textId="77777777" w:rsidR="00BF10A3" w:rsidRPr="00D620C3" w:rsidRDefault="00BF10A3" w:rsidP="001F7400">
            <w:pPr>
              <w:rPr>
                <w:rFonts w:ascii="Courier New" w:eastAsiaTheme="minorHAnsi" w:hAnsi="Courier New" w:cstheme="minorBidi"/>
                <w:sz w:val="16"/>
              </w:rPr>
            </w:pPr>
          </w:p>
        </w:tc>
        <w:tc>
          <w:tcPr>
            <w:tcW w:w="5940" w:type="dxa"/>
            <w:gridSpan w:val="5"/>
            <w:noWrap/>
            <w:hideMark/>
          </w:tcPr>
          <w:p w14:paraId="10FC93ED"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Performance Category in Year 1</w:t>
            </w:r>
          </w:p>
        </w:tc>
      </w:tr>
      <w:tr w:rsidR="00BF10A3" w:rsidRPr="00D620C3" w14:paraId="2FD6EAD2" w14:textId="77777777" w:rsidTr="001F7400">
        <w:trPr>
          <w:trHeight w:val="315"/>
        </w:trPr>
        <w:tc>
          <w:tcPr>
            <w:tcW w:w="2540" w:type="dxa"/>
            <w:noWrap/>
            <w:hideMark/>
          </w:tcPr>
          <w:p w14:paraId="1E0671D4"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Prior Year Result</w:t>
            </w:r>
          </w:p>
        </w:tc>
        <w:tc>
          <w:tcPr>
            <w:tcW w:w="960" w:type="dxa"/>
            <w:hideMark/>
          </w:tcPr>
          <w:p w14:paraId="78499B24"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Pass</w:t>
            </w:r>
          </w:p>
        </w:tc>
        <w:tc>
          <w:tcPr>
            <w:tcW w:w="960" w:type="dxa"/>
            <w:hideMark/>
          </w:tcPr>
          <w:p w14:paraId="3AD1BF12"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Zone</w:t>
            </w:r>
          </w:p>
        </w:tc>
        <w:tc>
          <w:tcPr>
            <w:tcW w:w="960" w:type="dxa"/>
            <w:hideMark/>
          </w:tcPr>
          <w:p w14:paraId="1B9BED48"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Fail</w:t>
            </w:r>
          </w:p>
        </w:tc>
        <w:tc>
          <w:tcPr>
            <w:tcW w:w="1480" w:type="dxa"/>
            <w:hideMark/>
          </w:tcPr>
          <w:p w14:paraId="47EAB188"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NE</w:t>
            </w:r>
          </w:p>
        </w:tc>
        <w:tc>
          <w:tcPr>
            <w:tcW w:w="1580" w:type="dxa"/>
            <w:hideMark/>
          </w:tcPr>
          <w:p w14:paraId="11A98819"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Ineligible</w:t>
            </w:r>
          </w:p>
        </w:tc>
      </w:tr>
      <w:tr w:rsidR="00BF10A3" w:rsidRPr="00D620C3" w14:paraId="62CBD073" w14:textId="77777777" w:rsidTr="001F7400">
        <w:trPr>
          <w:trHeight w:val="315"/>
        </w:trPr>
        <w:tc>
          <w:tcPr>
            <w:tcW w:w="2540" w:type="dxa"/>
            <w:noWrap/>
            <w:hideMark/>
          </w:tcPr>
          <w:p w14:paraId="62FB358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Pass</w:t>
            </w:r>
          </w:p>
        </w:tc>
        <w:tc>
          <w:tcPr>
            <w:tcW w:w="960" w:type="dxa"/>
            <w:noWrap/>
            <w:hideMark/>
          </w:tcPr>
          <w:p w14:paraId="5A427C6C"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w:t>
            </w:r>
          </w:p>
        </w:tc>
        <w:tc>
          <w:tcPr>
            <w:tcW w:w="960" w:type="dxa"/>
            <w:noWrap/>
            <w:hideMark/>
          </w:tcPr>
          <w:p w14:paraId="43AC3465"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4062D584"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480" w:type="dxa"/>
            <w:noWrap/>
            <w:hideMark/>
          </w:tcPr>
          <w:p w14:paraId="2AA60617"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580" w:type="dxa"/>
            <w:noWrap/>
            <w:hideMark/>
          </w:tcPr>
          <w:p w14:paraId="3E4471B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26965EB8" w14:textId="77777777" w:rsidTr="001F7400">
        <w:trPr>
          <w:trHeight w:val="315"/>
        </w:trPr>
        <w:tc>
          <w:tcPr>
            <w:tcW w:w="2540" w:type="dxa"/>
            <w:noWrap/>
            <w:hideMark/>
          </w:tcPr>
          <w:p w14:paraId="4008AA7D"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Zone</w:t>
            </w:r>
          </w:p>
        </w:tc>
        <w:tc>
          <w:tcPr>
            <w:tcW w:w="960" w:type="dxa"/>
            <w:noWrap/>
            <w:hideMark/>
          </w:tcPr>
          <w:p w14:paraId="278147A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25A71ED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w:t>
            </w:r>
          </w:p>
        </w:tc>
        <w:tc>
          <w:tcPr>
            <w:tcW w:w="960" w:type="dxa"/>
            <w:noWrap/>
            <w:hideMark/>
          </w:tcPr>
          <w:p w14:paraId="175644D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480" w:type="dxa"/>
            <w:noWrap/>
            <w:hideMark/>
          </w:tcPr>
          <w:p w14:paraId="639CC5AC"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580" w:type="dxa"/>
            <w:noWrap/>
            <w:hideMark/>
          </w:tcPr>
          <w:p w14:paraId="10584D3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38F8BE6B" w14:textId="77777777" w:rsidTr="001F7400">
        <w:trPr>
          <w:trHeight w:val="315"/>
        </w:trPr>
        <w:tc>
          <w:tcPr>
            <w:tcW w:w="2540" w:type="dxa"/>
            <w:noWrap/>
            <w:hideMark/>
          </w:tcPr>
          <w:p w14:paraId="71BC6D5E"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 xml:space="preserve">Fail </w:t>
            </w:r>
          </w:p>
        </w:tc>
        <w:tc>
          <w:tcPr>
            <w:tcW w:w="960" w:type="dxa"/>
            <w:noWrap/>
            <w:hideMark/>
          </w:tcPr>
          <w:p w14:paraId="64BC95A6"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31C5EDBA"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113DCC0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480" w:type="dxa"/>
            <w:noWrap/>
            <w:hideMark/>
          </w:tcPr>
          <w:p w14:paraId="0AC982D0"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580" w:type="dxa"/>
            <w:noWrap/>
            <w:hideMark/>
          </w:tcPr>
          <w:p w14:paraId="6FAC1D9B"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w:t>
            </w:r>
          </w:p>
        </w:tc>
      </w:tr>
      <w:tr w:rsidR="00BF10A3" w:rsidRPr="00D620C3" w14:paraId="121B5569" w14:textId="77777777" w:rsidTr="001F7400">
        <w:trPr>
          <w:trHeight w:val="315"/>
        </w:trPr>
        <w:tc>
          <w:tcPr>
            <w:tcW w:w="2540" w:type="dxa"/>
            <w:noWrap/>
            <w:hideMark/>
          </w:tcPr>
          <w:p w14:paraId="39ADD322"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Not Evaluated</w:t>
            </w:r>
          </w:p>
        </w:tc>
        <w:tc>
          <w:tcPr>
            <w:tcW w:w="960" w:type="dxa"/>
            <w:noWrap/>
            <w:hideMark/>
          </w:tcPr>
          <w:p w14:paraId="5C898509"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22C1814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noWrap/>
            <w:hideMark/>
          </w:tcPr>
          <w:p w14:paraId="7488BCC1"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c>
          <w:tcPr>
            <w:tcW w:w="1480" w:type="dxa"/>
            <w:noWrap/>
            <w:hideMark/>
          </w:tcPr>
          <w:p w14:paraId="3CBE3B03"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1</w:t>
            </w:r>
          </w:p>
        </w:tc>
        <w:tc>
          <w:tcPr>
            <w:tcW w:w="1580" w:type="dxa"/>
            <w:noWrap/>
            <w:hideMark/>
          </w:tcPr>
          <w:p w14:paraId="68EAC884" w14:textId="77777777" w:rsidR="00BF10A3" w:rsidRPr="00D620C3" w:rsidRDefault="00BF10A3" w:rsidP="001F7400">
            <w:pPr>
              <w:rPr>
                <w:rFonts w:ascii="Courier New" w:eastAsiaTheme="minorHAnsi" w:hAnsi="Courier New" w:cstheme="minorBidi"/>
                <w:sz w:val="16"/>
              </w:rPr>
            </w:pPr>
            <w:r w:rsidRPr="00D620C3">
              <w:rPr>
                <w:rFonts w:ascii="Courier New" w:eastAsiaTheme="minorHAnsi" w:hAnsi="Courier New" w:cstheme="minorBidi"/>
                <w:sz w:val="16"/>
              </w:rPr>
              <w:t>0</w:t>
            </w:r>
          </w:p>
        </w:tc>
      </w:tr>
    </w:tbl>
    <w:p w14:paraId="3DA84E5F" w14:textId="77777777" w:rsidR="00BF10A3" w:rsidRDefault="00BF10A3" w:rsidP="00BF10A3">
      <w:pPr>
        <w:spacing w:after="0" w:line="240" w:lineRule="auto"/>
        <w:rPr>
          <w:rFonts w:ascii="Courier New" w:eastAsiaTheme="minorHAnsi" w:hAnsi="Courier New" w:cstheme="minorBidi"/>
          <w:sz w:val="16"/>
        </w:rPr>
      </w:pPr>
    </w:p>
    <w:p w14:paraId="7CD3794F" w14:textId="77777777" w:rsidR="00BF10A3" w:rsidRPr="00D620C3" w:rsidRDefault="00BF10A3" w:rsidP="00BF10A3">
      <w:pPr>
        <w:spacing w:after="0" w:line="240" w:lineRule="auto"/>
        <w:rPr>
          <w:rFonts w:ascii="Courier New" w:eastAsiaTheme="minorHAnsi" w:hAnsi="Courier New" w:cstheme="minorBidi"/>
          <w:sz w:val="16"/>
        </w:rPr>
      </w:pPr>
    </w:p>
    <w:tbl>
      <w:tblPr>
        <w:tblStyle w:val="TableGrid16"/>
        <w:tblW w:w="0" w:type="auto"/>
        <w:tblInd w:w="108" w:type="dxa"/>
        <w:tblLook w:val="04A0" w:firstRow="1" w:lastRow="0" w:firstColumn="1" w:lastColumn="0" w:noHBand="0" w:noVBand="1"/>
      </w:tblPr>
      <w:tblGrid>
        <w:gridCol w:w="3060"/>
        <w:gridCol w:w="5310"/>
      </w:tblGrid>
      <w:tr w:rsidR="00BF10A3" w:rsidRPr="00D620C3" w14:paraId="33B7BC4F" w14:textId="77777777" w:rsidTr="001F7400">
        <w:trPr>
          <w:trHeight w:val="315"/>
        </w:trPr>
        <w:tc>
          <w:tcPr>
            <w:tcW w:w="3060" w:type="dxa"/>
            <w:noWrap/>
            <w:hideMark/>
          </w:tcPr>
          <w:p w14:paraId="57E1D3FE" w14:textId="77777777" w:rsidR="00BF10A3" w:rsidRPr="00D620C3" w:rsidRDefault="00BF10A3" w:rsidP="001F7400">
            <w:pPr>
              <w:rPr>
                <w:rFonts w:ascii="Courier New" w:eastAsiaTheme="minorHAnsi" w:hAnsi="Courier New" w:cstheme="minorBidi"/>
                <w:sz w:val="16"/>
              </w:rPr>
            </w:pPr>
          </w:p>
        </w:tc>
        <w:tc>
          <w:tcPr>
            <w:tcW w:w="5310" w:type="dxa"/>
            <w:noWrap/>
            <w:hideMark/>
          </w:tcPr>
          <w:p w14:paraId="0D8EA0B3"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 xml:space="preserve">Performance Category in Year </w:t>
            </w:r>
            <w:r>
              <w:rPr>
                <w:rFonts w:ascii="Courier New" w:eastAsiaTheme="minorHAnsi" w:hAnsi="Courier New" w:cstheme="minorBidi"/>
                <w:b/>
                <w:bCs/>
                <w:sz w:val="16"/>
              </w:rPr>
              <w:t>2</w:t>
            </w:r>
          </w:p>
        </w:tc>
      </w:tr>
    </w:tbl>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875"/>
        <w:gridCol w:w="960"/>
        <w:gridCol w:w="960"/>
        <w:gridCol w:w="940"/>
        <w:gridCol w:w="1040"/>
        <w:gridCol w:w="1388"/>
      </w:tblGrid>
      <w:tr w:rsidR="00BF10A3" w:rsidRPr="00D620C3" w14:paraId="00B7157C" w14:textId="77777777" w:rsidTr="001F7400">
        <w:trPr>
          <w:trHeight w:val="315"/>
        </w:trPr>
        <w:tc>
          <w:tcPr>
            <w:tcW w:w="3097" w:type="dxa"/>
            <w:gridSpan w:val="2"/>
            <w:shd w:val="clear" w:color="auto" w:fill="auto"/>
            <w:noWrap/>
            <w:vAlign w:val="bottom"/>
            <w:hideMark/>
          </w:tcPr>
          <w:p w14:paraId="2ABFEEE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Prior Years Results</w:t>
            </w:r>
          </w:p>
        </w:tc>
        <w:tc>
          <w:tcPr>
            <w:tcW w:w="960" w:type="dxa"/>
            <w:shd w:val="clear" w:color="auto" w:fill="auto"/>
            <w:vAlign w:val="bottom"/>
            <w:hideMark/>
          </w:tcPr>
          <w:p w14:paraId="203CE358"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Pass</w:t>
            </w:r>
          </w:p>
        </w:tc>
        <w:tc>
          <w:tcPr>
            <w:tcW w:w="960" w:type="dxa"/>
            <w:shd w:val="clear" w:color="auto" w:fill="auto"/>
            <w:vAlign w:val="bottom"/>
            <w:hideMark/>
          </w:tcPr>
          <w:p w14:paraId="5AEA6F2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Zone</w:t>
            </w:r>
          </w:p>
        </w:tc>
        <w:tc>
          <w:tcPr>
            <w:tcW w:w="940" w:type="dxa"/>
            <w:shd w:val="clear" w:color="auto" w:fill="auto"/>
            <w:vAlign w:val="bottom"/>
            <w:hideMark/>
          </w:tcPr>
          <w:p w14:paraId="6EB5F56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Fail</w:t>
            </w:r>
          </w:p>
        </w:tc>
        <w:tc>
          <w:tcPr>
            <w:tcW w:w="1040" w:type="dxa"/>
            <w:shd w:val="clear" w:color="auto" w:fill="auto"/>
            <w:vAlign w:val="bottom"/>
            <w:hideMark/>
          </w:tcPr>
          <w:p w14:paraId="5593E43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NE</w:t>
            </w:r>
          </w:p>
        </w:tc>
        <w:tc>
          <w:tcPr>
            <w:tcW w:w="1388" w:type="dxa"/>
            <w:shd w:val="clear" w:color="auto" w:fill="auto"/>
            <w:vAlign w:val="bottom"/>
            <w:hideMark/>
          </w:tcPr>
          <w:p w14:paraId="25A687D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Ineligible</w:t>
            </w:r>
          </w:p>
        </w:tc>
      </w:tr>
      <w:tr w:rsidR="00BF10A3" w:rsidRPr="00D620C3" w14:paraId="01946E8E" w14:textId="77777777" w:rsidTr="001F7400">
        <w:trPr>
          <w:trHeight w:val="315"/>
        </w:trPr>
        <w:tc>
          <w:tcPr>
            <w:tcW w:w="3097" w:type="dxa"/>
            <w:gridSpan w:val="2"/>
            <w:tcBorders>
              <w:bottom w:val="single" w:sz="4" w:space="0" w:color="auto"/>
            </w:tcBorders>
            <w:shd w:val="clear" w:color="auto" w:fill="auto"/>
            <w:noWrap/>
            <w:vAlign w:val="bottom"/>
            <w:hideMark/>
          </w:tcPr>
          <w:p w14:paraId="0ABFF49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YR0 Pass</w:t>
            </w:r>
          </w:p>
        </w:tc>
        <w:tc>
          <w:tcPr>
            <w:tcW w:w="960" w:type="dxa"/>
            <w:shd w:val="clear" w:color="auto" w:fill="auto"/>
            <w:noWrap/>
            <w:vAlign w:val="bottom"/>
            <w:hideMark/>
          </w:tcPr>
          <w:p w14:paraId="0117F837"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0F9A1868"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25A71561"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15EBEB6E"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16B38F7D"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7E508CB3" w14:textId="77777777" w:rsidTr="001F7400">
        <w:trPr>
          <w:trHeight w:val="315"/>
        </w:trPr>
        <w:tc>
          <w:tcPr>
            <w:tcW w:w="222" w:type="dxa"/>
            <w:tcBorders>
              <w:top w:val="single" w:sz="4" w:space="0" w:color="auto"/>
              <w:left w:val="single" w:sz="4" w:space="0" w:color="auto"/>
              <w:right w:val="nil"/>
            </w:tcBorders>
            <w:shd w:val="clear" w:color="auto" w:fill="auto"/>
            <w:noWrap/>
            <w:vAlign w:val="bottom"/>
            <w:hideMark/>
          </w:tcPr>
          <w:p w14:paraId="3661DD48"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top w:val="single" w:sz="4" w:space="0" w:color="auto"/>
              <w:left w:val="nil"/>
              <w:right w:val="single" w:sz="4" w:space="0" w:color="auto"/>
            </w:tcBorders>
            <w:shd w:val="clear" w:color="auto" w:fill="auto"/>
            <w:noWrap/>
            <w:vAlign w:val="bottom"/>
            <w:hideMark/>
          </w:tcPr>
          <w:p w14:paraId="6372E6A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Pass</w:t>
            </w:r>
          </w:p>
        </w:tc>
        <w:tc>
          <w:tcPr>
            <w:tcW w:w="960" w:type="dxa"/>
            <w:tcBorders>
              <w:left w:val="single" w:sz="4" w:space="0" w:color="auto"/>
            </w:tcBorders>
            <w:shd w:val="clear" w:color="auto" w:fill="auto"/>
            <w:noWrap/>
            <w:vAlign w:val="bottom"/>
            <w:hideMark/>
          </w:tcPr>
          <w:p w14:paraId="4A067AC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60" w:type="dxa"/>
            <w:shd w:val="clear" w:color="auto" w:fill="auto"/>
            <w:noWrap/>
            <w:vAlign w:val="bottom"/>
            <w:hideMark/>
          </w:tcPr>
          <w:p w14:paraId="75A08798"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2A7EBC9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5B16D08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154B217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36896BE9" w14:textId="77777777" w:rsidTr="001F7400">
        <w:trPr>
          <w:trHeight w:val="315"/>
        </w:trPr>
        <w:tc>
          <w:tcPr>
            <w:tcW w:w="222" w:type="dxa"/>
            <w:tcBorders>
              <w:left w:val="single" w:sz="4" w:space="0" w:color="auto"/>
              <w:right w:val="nil"/>
            </w:tcBorders>
            <w:shd w:val="clear" w:color="auto" w:fill="auto"/>
            <w:noWrap/>
            <w:vAlign w:val="bottom"/>
            <w:hideMark/>
          </w:tcPr>
          <w:p w14:paraId="7332BC7D"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right w:val="single" w:sz="4" w:space="0" w:color="auto"/>
            </w:tcBorders>
            <w:shd w:val="clear" w:color="auto" w:fill="auto"/>
            <w:noWrap/>
            <w:vAlign w:val="bottom"/>
            <w:hideMark/>
          </w:tcPr>
          <w:p w14:paraId="7C76053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Y1 Zone</w:t>
            </w:r>
          </w:p>
        </w:tc>
        <w:tc>
          <w:tcPr>
            <w:tcW w:w="960" w:type="dxa"/>
            <w:tcBorders>
              <w:left w:val="single" w:sz="4" w:space="0" w:color="auto"/>
            </w:tcBorders>
            <w:shd w:val="clear" w:color="auto" w:fill="auto"/>
            <w:noWrap/>
            <w:vAlign w:val="bottom"/>
            <w:hideMark/>
          </w:tcPr>
          <w:p w14:paraId="56B2E7EB"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2878139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40" w:type="dxa"/>
            <w:shd w:val="clear" w:color="auto" w:fill="auto"/>
            <w:noWrap/>
            <w:vAlign w:val="bottom"/>
            <w:hideMark/>
          </w:tcPr>
          <w:p w14:paraId="21944CF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51587F2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4B1317EB"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78641B78" w14:textId="77777777" w:rsidTr="001F7400">
        <w:trPr>
          <w:trHeight w:val="315"/>
        </w:trPr>
        <w:tc>
          <w:tcPr>
            <w:tcW w:w="222" w:type="dxa"/>
            <w:tcBorders>
              <w:left w:val="single" w:sz="4" w:space="0" w:color="auto"/>
              <w:right w:val="nil"/>
            </w:tcBorders>
            <w:shd w:val="clear" w:color="auto" w:fill="auto"/>
            <w:noWrap/>
            <w:vAlign w:val="bottom"/>
            <w:hideMark/>
          </w:tcPr>
          <w:p w14:paraId="50FDA5CE"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right w:val="single" w:sz="4" w:space="0" w:color="auto"/>
            </w:tcBorders>
            <w:shd w:val="clear" w:color="auto" w:fill="auto"/>
            <w:noWrap/>
            <w:vAlign w:val="bottom"/>
            <w:hideMark/>
          </w:tcPr>
          <w:p w14:paraId="2DCEB9B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Fail</w:t>
            </w:r>
          </w:p>
        </w:tc>
        <w:tc>
          <w:tcPr>
            <w:tcW w:w="960" w:type="dxa"/>
            <w:tcBorders>
              <w:left w:val="single" w:sz="4" w:space="0" w:color="auto"/>
            </w:tcBorders>
            <w:shd w:val="clear" w:color="auto" w:fill="auto"/>
            <w:noWrap/>
            <w:vAlign w:val="bottom"/>
            <w:hideMark/>
          </w:tcPr>
          <w:p w14:paraId="6EB747D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084C035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727BF7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7AE858C5"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3EA26E0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046BBFC7" w14:textId="77777777" w:rsidTr="001F7400">
        <w:trPr>
          <w:trHeight w:val="315"/>
        </w:trPr>
        <w:tc>
          <w:tcPr>
            <w:tcW w:w="222" w:type="dxa"/>
            <w:tcBorders>
              <w:left w:val="single" w:sz="4" w:space="0" w:color="auto"/>
              <w:right w:val="nil"/>
            </w:tcBorders>
            <w:shd w:val="clear" w:color="auto" w:fill="auto"/>
            <w:noWrap/>
            <w:vAlign w:val="bottom"/>
            <w:hideMark/>
          </w:tcPr>
          <w:p w14:paraId="337EC062"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right w:val="single" w:sz="4" w:space="0" w:color="auto"/>
            </w:tcBorders>
            <w:shd w:val="clear" w:color="auto" w:fill="auto"/>
            <w:noWrap/>
            <w:vAlign w:val="bottom"/>
            <w:hideMark/>
          </w:tcPr>
          <w:p w14:paraId="20A737C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Not Evaluated</w:t>
            </w:r>
          </w:p>
        </w:tc>
        <w:tc>
          <w:tcPr>
            <w:tcW w:w="960" w:type="dxa"/>
            <w:tcBorders>
              <w:left w:val="single" w:sz="4" w:space="0" w:color="auto"/>
            </w:tcBorders>
            <w:shd w:val="clear" w:color="auto" w:fill="auto"/>
            <w:noWrap/>
            <w:vAlign w:val="bottom"/>
            <w:hideMark/>
          </w:tcPr>
          <w:p w14:paraId="4A12E43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51CB056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749B02F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79CD2FD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1388" w:type="dxa"/>
            <w:shd w:val="clear" w:color="auto" w:fill="auto"/>
            <w:noWrap/>
            <w:vAlign w:val="bottom"/>
            <w:hideMark/>
          </w:tcPr>
          <w:p w14:paraId="4FB240C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24286D71" w14:textId="77777777" w:rsidTr="001F7400">
        <w:trPr>
          <w:trHeight w:val="315"/>
        </w:trPr>
        <w:tc>
          <w:tcPr>
            <w:tcW w:w="222" w:type="dxa"/>
            <w:tcBorders>
              <w:left w:val="single" w:sz="4" w:space="0" w:color="auto"/>
              <w:right w:val="nil"/>
            </w:tcBorders>
            <w:shd w:val="clear" w:color="auto" w:fill="auto"/>
            <w:noWrap/>
            <w:vAlign w:val="bottom"/>
            <w:hideMark/>
          </w:tcPr>
          <w:p w14:paraId="34A8F296"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right w:val="single" w:sz="4" w:space="0" w:color="auto"/>
            </w:tcBorders>
            <w:shd w:val="clear" w:color="auto" w:fill="auto"/>
            <w:noWrap/>
            <w:vAlign w:val="bottom"/>
            <w:hideMark/>
          </w:tcPr>
          <w:p w14:paraId="506F2E4C"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Ineligible</w:t>
            </w:r>
          </w:p>
        </w:tc>
        <w:tc>
          <w:tcPr>
            <w:tcW w:w="960" w:type="dxa"/>
            <w:tcBorders>
              <w:left w:val="single" w:sz="4" w:space="0" w:color="auto"/>
            </w:tcBorders>
            <w:shd w:val="clear" w:color="auto" w:fill="auto"/>
            <w:noWrap/>
            <w:vAlign w:val="bottom"/>
            <w:hideMark/>
          </w:tcPr>
          <w:p w14:paraId="544FF03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19BFBA03"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B4FCFD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6FE65C2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736927C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6B10F38B" w14:textId="77777777" w:rsidTr="001F7400">
        <w:trPr>
          <w:trHeight w:val="315"/>
        </w:trPr>
        <w:tc>
          <w:tcPr>
            <w:tcW w:w="222" w:type="dxa"/>
            <w:tcBorders>
              <w:left w:val="single" w:sz="4" w:space="0" w:color="auto"/>
              <w:bottom w:val="single" w:sz="4" w:space="0" w:color="auto"/>
              <w:right w:val="nil"/>
            </w:tcBorders>
            <w:shd w:val="clear" w:color="auto" w:fill="auto"/>
            <w:noWrap/>
            <w:vAlign w:val="bottom"/>
            <w:hideMark/>
          </w:tcPr>
          <w:p w14:paraId="3DFB41AC"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bottom w:val="single" w:sz="4" w:space="0" w:color="auto"/>
              <w:right w:val="single" w:sz="4" w:space="0" w:color="auto"/>
            </w:tcBorders>
            <w:shd w:val="clear" w:color="auto" w:fill="auto"/>
            <w:noWrap/>
            <w:vAlign w:val="bottom"/>
            <w:hideMark/>
          </w:tcPr>
          <w:p w14:paraId="6B13311C"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tcBorders>
              <w:left w:val="single" w:sz="4" w:space="0" w:color="auto"/>
            </w:tcBorders>
            <w:shd w:val="clear" w:color="auto" w:fill="auto"/>
            <w:noWrap/>
            <w:vAlign w:val="bottom"/>
            <w:hideMark/>
          </w:tcPr>
          <w:p w14:paraId="5A4FDFE7"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454D8DF0"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4B4B150A"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1A730D35"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4ACE654C"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5EDC7272" w14:textId="77777777" w:rsidTr="001F7400">
        <w:trPr>
          <w:trHeight w:val="315"/>
        </w:trPr>
        <w:tc>
          <w:tcPr>
            <w:tcW w:w="3097" w:type="dxa"/>
            <w:gridSpan w:val="2"/>
            <w:tcBorders>
              <w:top w:val="single" w:sz="4" w:space="0" w:color="auto"/>
            </w:tcBorders>
            <w:shd w:val="clear" w:color="auto" w:fill="auto"/>
            <w:noWrap/>
            <w:vAlign w:val="bottom"/>
            <w:hideMark/>
          </w:tcPr>
          <w:p w14:paraId="045BFAA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YR0 Zone</w:t>
            </w:r>
          </w:p>
        </w:tc>
        <w:tc>
          <w:tcPr>
            <w:tcW w:w="960" w:type="dxa"/>
            <w:shd w:val="clear" w:color="auto" w:fill="auto"/>
            <w:noWrap/>
            <w:vAlign w:val="bottom"/>
            <w:hideMark/>
          </w:tcPr>
          <w:p w14:paraId="57ABCCBB"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74DA09A2"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6BB074AD"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6B78EF2E"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197CABED"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4CC22BAA" w14:textId="77777777" w:rsidTr="001F7400">
        <w:trPr>
          <w:trHeight w:val="315"/>
        </w:trPr>
        <w:tc>
          <w:tcPr>
            <w:tcW w:w="222" w:type="dxa"/>
            <w:tcBorders>
              <w:right w:val="nil"/>
            </w:tcBorders>
            <w:shd w:val="clear" w:color="auto" w:fill="auto"/>
            <w:noWrap/>
            <w:vAlign w:val="bottom"/>
            <w:hideMark/>
          </w:tcPr>
          <w:p w14:paraId="4A1F66F7"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31BDEC9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Pass</w:t>
            </w:r>
          </w:p>
        </w:tc>
        <w:tc>
          <w:tcPr>
            <w:tcW w:w="960" w:type="dxa"/>
            <w:shd w:val="clear" w:color="auto" w:fill="auto"/>
            <w:noWrap/>
            <w:vAlign w:val="bottom"/>
            <w:hideMark/>
          </w:tcPr>
          <w:p w14:paraId="5E2B4FE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60" w:type="dxa"/>
            <w:shd w:val="clear" w:color="auto" w:fill="auto"/>
            <w:noWrap/>
            <w:vAlign w:val="bottom"/>
            <w:hideMark/>
          </w:tcPr>
          <w:p w14:paraId="3EA516F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5E6F484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6E35260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0801EBD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7BCC7FEA" w14:textId="77777777" w:rsidTr="001F7400">
        <w:trPr>
          <w:trHeight w:val="315"/>
        </w:trPr>
        <w:tc>
          <w:tcPr>
            <w:tcW w:w="222" w:type="dxa"/>
            <w:tcBorders>
              <w:right w:val="nil"/>
            </w:tcBorders>
            <w:shd w:val="clear" w:color="auto" w:fill="auto"/>
            <w:noWrap/>
            <w:vAlign w:val="bottom"/>
            <w:hideMark/>
          </w:tcPr>
          <w:p w14:paraId="5012034E"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5E15AC6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Y1 Zone</w:t>
            </w:r>
          </w:p>
        </w:tc>
        <w:tc>
          <w:tcPr>
            <w:tcW w:w="960" w:type="dxa"/>
            <w:shd w:val="clear" w:color="auto" w:fill="auto"/>
            <w:noWrap/>
            <w:vAlign w:val="bottom"/>
            <w:hideMark/>
          </w:tcPr>
          <w:p w14:paraId="008439A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6BA35DC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40" w:type="dxa"/>
            <w:shd w:val="clear" w:color="auto" w:fill="auto"/>
            <w:noWrap/>
            <w:vAlign w:val="bottom"/>
            <w:hideMark/>
          </w:tcPr>
          <w:p w14:paraId="755287E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7A343C5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40FB17C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398F35D0" w14:textId="77777777" w:rsidTr="001F7400">
        <w:trPr>
          <w:trHeight w:val="315"/>
        </w:trPr>
        <w:tc>
          <w:tcPr>
            <w:tcW w:w="222" w:type="dxa"/>
            <w:tcBorders>
              <w:right w:val="nil"/>
            </w:tcBorders>
            <w:shd w:val="clear" w:color="auto" w:fill="auto"/>
            <w:noWrap/>
            <w:vAlign w:val="bottom"/>
            <w:hideMark/>
          </w:tcPr>
          <w:p w14:paraId="6F54248C"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0A0B085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Fail</w:t>
            </w:r>
          </w:p>
        </w:tc>
        <w:tc>
          <w:tcPr>
            <w:tcW w:w="960" w:type="dxa"/>
            <w:shd w:val="clear" w:color="auto" w:fill="auto"/>
            <w:noWrap/>
            <w:vAlign w:val="bottom"/>
            <w:hideMark/>
          </w:tcPr>
          <w:p w14:paraId="644AF63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2AD3D62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1BCB3E8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5F2BA3C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2835F89C"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2EFF1B7C" w14:textId="77777777" w:rsidTr="001F7400">
        <w:trPr>
          <w:trHeight w:val="315"/>
        </w:trPr>
        <w:tc>
          <w:tcPr>
            <w:tcW w:w="222" w:type="dxa"/>
            <w:tcBorders>
              <w:right w:val="nil"/>
            </w:tcBorders>
            <w:shd w:val="clear" w:color="auto" w:fill="auto"/>
            <w:noWrap/>
            <w:vAlign w:val="bottom"/>
            <w:hideMark/>
          </w:tcPr>
          <w:p w14:paraId="46104ECB"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7AABA09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Not Evaluated</w:t>
            </w:r>
          </w:p>
        </w:tc>
        <w:tc>
          <w:tcPr>
            <w:tcW w:w="960" w:type="dxa"/>
            <w:shd w:val="clear" w:color="auto" w:fill="auto"/>
            <w:noWrap/>
            <w:vAlign w:val="bottom"/>
            <w:hideMark/>
          </w:tcPr>
          <w:p w14:paraId="253D328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37C72A6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EB252FC"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4A2675C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1388" w:type="dxa"/>
            <w:shd w:val="clear" w:color="auto" w:fill="auto"/>
            <w:noWrap/>
            <w:vAlign w:val="bottom"/>
            <w:hideMark/>
          </w:tcPr>
          <w:p w14:paraId="4080F9E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769A60AA" w14:textId="77777777" w:rsidTr="001F7400">
        <w:trPr>
          <w:trHeight w:val="315"/>
        </w:trPr>
        <w:tc>
          <w:tcPr>
            <w:tcW w:w="222" w:type="dxa"/>
            <w:tcBorders>
              <w:right w:val="nil"/>
            </w:tcBorders>
            <w:shd w:val="clear" w:color="auto" w:fill="auto"/>
            <w:noWrap/>
            <w:vAlign w:val="bottom"/>
            <w:hideMark/>
          </w:tcPr>
          <w:p w14:paraId="0BCE295C"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7F15629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Ineligible</w:t>
            </w:r>
          </w:p>
        </w:tc>
        <w:tc>
          <w:tcPr>
            <w:tcW w:w="960" w:type="dxa"/>
            <w:shd w:val="clear" w:color="auto" w:fill="auto"/>
            <w:noWrap/>
            <w:vAlign w:val="bottom"/>
            <w:hideMark/>
          </w:tcPr>
          <w:p w14:paraId="7273650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4FF8F18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1C5786D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64DDA18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258B933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471558BE" w14:textId="77777777" w:rsidTr="001F7400">
        <w:trPr>
          <w:trHeight w:val="315"/>
        </w:trPr>
        <w:tc>
          <w:tcPr>
            <w:tcW w:w="222" w:type="dxa"/>
            <w:tcBorders>
              <w:right w:val="nil"/>
            </w:tcBorders>
            <w:shd w:val="clear" w:color="auto" w:fill="auto"/>
            <w:noWrap/>
            <w:vAlign w:val="bottom"/>
            <w:hideMark/>
          </w:tcPr>
          <w:p w14:paraId="1B7B5DDC"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66CC7D63"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4DF32F35"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0566E1D8"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56F2C9EC"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3B395440"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2161FC36"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1BE996AF" w14:textId="77777777" w:rsidTr="001F7400">
        <w:trPr>
          <w:trHeight w:val="315"/>
        </w:trPr>
        <w:tc>
          <w:tcPr>
            <w:tcW w:w="3097" w:type="dxa"/>
            <w:gridSpan w:val="2"/>
            <w:shd w:val="clear" w:color="auto" w:fill="auto"/>
            <w:noWrap/>
            <w:vAlign w:val="bottom"/>
            <w:hideMark/>
          </w:tcPr>
          <w:p w14:paraId="18FA428C"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YR0 Fail</w:t>
            </w:r>
          </w:p>
        </w:tc>
        <w:tc>
          <w:tcPr>
            <w:tcW w:w="960" w:type="dxa"/>
            <w:shd w:val="clear" w:color="auto" w:fill="auto"/>
            <w:noWrap/>
            <w:vAlign w:val="bottom"/>
            <w:hideMark/>
          </w:tcPr>
          <w:p w14:paraId="53D7C050"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16F99388"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7F9D9368"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5B2CF62A"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66EC8CFC"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1F0A9B13" w14:textId="77777777" w:rsidTr="001F7400">
        <w:trPr>
          <w:trHeight w:val="315"/>
        </w:trPr>
        <w:tc>
          <w:tcPr>
            <w:tcW w:w="222" w:type="dxa"/>
            <w:tcBorders>
              <w:right w:val="nil"/>
            </w:tcBorders>
            <w:shd w:val="clear" w:color="auto" w:fill="auto"/>
            <w:noWrap/>
            <w:vAlign w:val="bottom"/>
            <w:hideMark/>
          </w:tcPr>
          <w:p w14:paraId="6B468A11"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0C2BADDB"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Pass</w:t>
            </w:r>
          </w:p>
        </w:tc>
        <w:tc>
          <w:tcPr>
            <w:tcW w:w="960" w:type="dxa"/>
            <w:shd w:val="clear" w:color="auto" w:fill="auto"/>
            <w:noWrap/>
            <w:vAlign w:val="bottom"/>
            <w:hideMark/>
          </w:tcPr>
          <w:p w14:paraId="02B971D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60" w:type="dxa"/>
            <w:shd w:val="clear" w:color="auto" w:fill="auto"/>
            <w:noWrap/>
            <w:vAlign w:val="bottom"/>
            <w:hideMark/>
          </w:tcPr>
          <w:p w14:paraId="1F502EC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2203A13"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0960E65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657044C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15265C6D" w14:textId="77777777" w:rsidTr="001F7400">
        <w:trPr>
          <w:trHeight w:val="315"/>
        </w:trPr>
        <w:tc>
          <w:tcPr>
            <w:tcW w:w="222" w:type="dxa"/>
            <w:tcBorders>
              <w:right w:val="nil"/>
            </w:tcBorders>
            <w:shd w:val="clear" w:color="auto" w:fill="auto"/>
            <w:noWrap/>
            <w:vAlign w:val="bottom"/>
            <w:hideMark/>
          </w:tcPr>
          <w:p w14:paraId="74EBDE26"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17B6452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Y1 Zone</w:t>
            </w:r>
          </w:p>
        </w:tc>
        <w:tc>
          <w:tcPr>
            <w:tcW w:w="960" w:type="dxa"/>
            <w:shd w:val="clear" w:color="auto" w:fill="auto"/>
            <w:noWrap/>
            <w:vAlign w:val="bottom"/>
            <w:hideMark/>
          </w:tcPr>
          <w:p w14:paraId="4686B71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3929C3D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40" w:type="dxa"/>
            <w:shd w:val="clear" w:color="auto" w:fill="auto"/>
            <w:noWrap/>
            <w:vAlign w:val="bottom"/>
            <w:hideMark/>
          </w:tcPr>
          <w:p w14:paraId="124BFA7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07D3458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4F1FE1C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785F3C6E" w14:textId="77777777" w:rsidTr="001F7400">
        <w:trPr>
          <w:trHeight w:val="315"/>
        </w:trPr>
        <w:tc>
          <w:tcPr>
            <w:tcW w:w="222" w:type="dxa"/>
            <w:tcBorders>
              <w:right w:val="nil"/>
            </w:tcBorders>
            <w:shd w:val="clear" w:color="auto" w:fill="auto"/>
            <w:noWrap/>
            <w:vAlign w:val="bottom"/>
            <w:hideMark/>
          </w:tcPr>
          <w:p w14:paraId="7BB48B19"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5849458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Fail</w:t>
            </w:r>
          </w:p>
        </w:tc>
        <w:tc>
          <w:tcPr>
            <w:tcW w:w="960" w:type="dxa"/>
            <w:shd w:val="clear" w:color="auto" w:fill="auto"/>
            <w:noWrap/>
            <w:vAlign w:val="bottom"/>
            <w:hideMark/>
          </w:tcPr>
          <w:p w14:paraId="0DFE1BA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68777895"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4A59DEB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74C1221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30459483"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5896D399" w14:textId="77777777" w:rsidTr="001F7400">
        <w:trPr>
          <w:trHeight w:val="315"/>
        </w:trPr>
        <w:tc>
          <w:tcPr>
            <w:tcW w:w="222" w:type="dxa"/>
            <w:tcBorders>
              <w:right w:val="nil"/>
            </w:tcBorders>
            <w:shd w:val="clear" w:color="auto" w:fill="auto"/>
            <w:noWrap/>
            <w:vAlign w:val="bottom"/>
            <w:hideMark/>
          </w:tcPr>
          <w:p w14:paraId="789E35CD"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6883049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Not Evaluated</w:t>
            </w:r>
          </w:p>
        </w:tc>
        <w:tc>
          <w:tcPr>
            <w:tcW w:w="960" w:type="dxa"/>
            <w:shd w:val="clear" w:color="auto" w:fill="auto"/>
            <w:noWrap/>
            <w:vAlign w:val="bottom"/>
            <w:hideMark/>
          </w:tcPr>
          <w:p w14:paraId="0554E0B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243D929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92E6B7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34DDE403"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1388" w:type="dxa"/>
            <w:shd w:val="clear" w:color="auto" w:fill="auto"/>
            <w:noWrap/>
            <w:vAlign w:val="bottom"/>
            <w:hideMark/>
          </w:tcPr>
          <w:p w14:paraId="3F8125E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2363DA28" w14:textId="77777777" w:rsidTr="001F7400">
        <w:trPr>
          <w:trHeight w:val="315"/>
        </w:trPr>
        <w:tc>
          <w:tcPr>
            <w:tcW w:w="222" w:type="dxa"/>
            <w:tcBorders>
              <w:right w:val="nil"/>
            </w:tcBorders>
            <w:shd w:val="clear" w:color="auto" w:fill="auto"/>
            <w:noWrap/>
            <w:vAlign w:val="bottom"/>
            <w:hideMark/>
          </w:tcPr>
          <w:p w14:paraId="2D406A87"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1B437DA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Ineligible</w:t>
            </w:r>
          </w:p>
        </w:tc>
        <w:tc>
          <w:tcPr>
            <w:tcW w:w="960" w:type="dxa"/>
            <w:shd w:val="clear" w:color="auto" w:fill="auto"/>
            <w:noWrap/>
            <w:vAlign w:val="bottom"/>
            <w:hideMark/>
          </w:tcPr>
          <w:p w14:paraId="0737795C"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7637792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493029A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57BBE7E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5EBD68A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5A584EF6" w14:textId="77777777" w:rsidTr="001F7400">
        <w:trPr>
          <w:trHeight w:val="315"/>
        </w:trPr>
        <w:tc>
          <w:tcPr>
            <w:tcW w:w="222" w:type="dxa"/>
            <w:tcBorders>
              <w:right w:val="nil"/>
            </w:tcBorders>
            <w:shd w:val="clear" w:color="auto" w:fill="auto"/>
            <w:noWrap/>
            <w:vAlign w:val="bottom"/>
            <w:hideMark/>
          </w:tcPr>
          <w:p w14:paraId="48B4F910"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61C3AE0E"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2AF947B9"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3841489E"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3B8BA905"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77DFF390"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658FD7D7"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51D73658" w14:textId="77777777" w:rsidTr="001F7400">
        <w:trPr>
          <w:trHeight w:val="315"/>
        </w:trPr>
        <w:tc>
          <w:tcPr>
            <w:tcW w:w="3097" w:type="dxa"/>
            <w:gridSpan w:val="2"/>
            <w:shd w:val="clear" w:color="auto" w:fill="auto"/>
            <w:noWrap/>
            <w:vAlign w:val="bottom"/>
            <w:hideMark/>
          </w:tcPr>
          <w:p w14:paraId="08DA16E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YR0 Not Evaluated</w:t>
            </w:r>
          </w:p>
        </w:tc>
        <w:tc>
          <w:tcPr>
            <w:tcW w:w="960" w:type="dxa"/>
            <w:shd w:val="clear" w:color="auto" w:fill="auto"/>
            <w:noWrap/>
            <w:vAlign w:val="bottom"/>
            <w:hideMark/>
          </w:tcPr>
          <w:p w14:paraId="31AC4B3E" w14:textId="77777777" w:rsidR="00BF10A3" w:rsidRPr="00D620C3" w:rsidRDefault="00BF10A3" w:rsidP="001F7400">
            <w:pPr>
              <w:spacing w:after="0" w:line="240" w:lineRule="auto"/>
              <w:rPr>
                <w:rFonts w:ascii="Courier New" w:eastAsiaTheme="minorHAnsi" w:hAnsi="Courier New" w:cstheme="minorBidi"/>
                <w:sz w:val="16"/>
              </w:rPr>
            </w:pPr>
          </w:p>
        </w:tc>
        <w:tc>
          <w:tcPr>
            <w:tcW w:w="960" w:type="dxa"/>
            <w:shd w:val="clear" w:color="auto" w:fill="auto"/>
            <w:noWrap/>
            <w:vAlign w:val="bottom"/>
            <w:hideMark/>
          </w:tcPr>
          <w:p w14:paraId="39CF6862" w14:textId="77777777" w:rsidR="00BF10A3" w:rsidRPr="00D620C3" w:rsidRDefault="00BF10A3" w:rsidP="001F7400">
            <w:pPr>
              <w:spacing w:after="0" w:line="240" w:lineRule="auto"/>
              <w:rPr>
                <w:rFonts w:ascii="Courier New" w:eastAsiaTheme="minorHAnsi" w:hAnsi="Courier New" w:cstheme="minorBidi"/>
                <w:sz w:val="16"/>
              </w:rPr>
            </w:pPr>
          </w:p>
        </w:tc>
        <w:tc>
          <w:tcPr>
            <w:tcW w:w="940" w:type="dxa"/>
            <w:shd w:val="clear" w:color="auto" w:fill="auto"/>
            <w:noWrap/>
            <w:vAlign w:val="bottom"/>
            <w:hideMark/>
          </w:tcPr>
          <w:p w14:paraId="64E44FCA" w14:textId="77777777" w:rsidR="00BF10A3" w:rsidRPr="00D620C3" w:rsidRDefault="00BF10A3" w:rsidP="001F7400">
            <w:pPr>
              <w:spacing w:after="0" w:line="240" w:lineRule="auto"/>
              <w:rPr>
                <w:rFonts w:ascii="Courier New" w:eastAsiaTheme="minorHAnsi" w:hAnsi="Courier New" w:cstheme="minorBidi"/>
                <w:sz w:val="16"/>
              </w:rPr>
            </w:pPr>
          </w:p>
        </w:tc>
        <w:tc>
          <w:tcPr>
            <w:tcW w:w="1040" w:type="dxa"/>
            <w:shd w:val="clear" w:color="auto" w:fill="auto"/>
            <w:noWrap/>
            <w:vAlign w:val="bottom"/>
            <w:hideMark/>
          </w:tcPr>
          <w:p w14:paraId="25D5F092" w14:textId="77777777" w:rsidR="00BF10A3" w:rsidRPr="00D620C3" w:rsidRDefault="00BF10A3" w:rsidP="001F7400">
            <w:pPr>
              <w:spacing w:after="0" w:line="240" w:lineRule="auto"/>
              <w:rPr>
                <w:rFonts w:ascii="Courier New" w:eastAsiaTheme="minorHAnsi" w:hAnsi="Courier New" w:cstheme="minorBidi"/>
                <w:sz w:val="16"/>
              </w:rPr>
            </w:pPr>
          </w:p>
        </w:tc>
        <w:tc>
          <w:tcPr>
            <w:tcW w:w="1388" w:type="dxa"/>
            <w:shd w:val="clear" w:color="auto" w:fill="auto"/>
            <w:noWrap/>
            <w:vAlign w:val="bottom"/>
            <w:hideMark/>
          </w:tcPr>
          <w:p w14:paraId="1B7AD201" w14:textId="77777777" w:rsidR="00BF10A3" w:rsidRPr="00D620C3" w:rsidRDefault="00BF10A3" w:rsidP="001F7400">
            <w:pPr>
              <w:spacing w:after="0" w:line="240" w:lineRule="auto"/>
              <w:rPr>
                <w:rFonts w:ascii="Courier New" w:eastAsiaTheme="minorHAnsi" w:hAnsi="Courier New" w:cstheme="minorBidi"/>
                <w:sz w:val="16"/>
              </w:rPr>
            </w:pPr>
          </w:p>
        </w:tc>
      </w:tr>
      <w:tr w:rsidR="00BF10A3" w:rsidRPr="00D620C3" w14:paraId="5B3FB876" w14:textId="77777777" w:rsidTr="001F7400">
        <w:trPr>
          <w:trHeight w:val="315"/>
        </w:trPr>
        <w:tc>
          <w:tcPr>
            <w:tcW w:w="222" w:type="dxa"/>
            <w:tcBorders>
              <w:right w:val="nil"/>
            </w:tcBorders>
            <w:shd w:val="clear" w:color="auto" w:fill="auto"/>
            <w:noWrap/>
            <w:vAlign w:val="bottom"/>
            <w:hideMark/>
          </w:tcPr>
          <w:p w14:paraId="484CC0D5"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438E96A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Pass</w:t>
            </w:r>
          </w:p>
        </w:tc>
        <w:tc>
          <w:tcPr>
            <w:tcW w:w="960" w:type="dxa"/>
            <w:shd w:val="clear" w:color="auto" w:fill="auto"/>
            <w:noWrap/>
            <w:vAlign w:val="bottom"/>
            <w:hideMark/>
          </w:tcPr>
          <w:p w14:paraId="503748E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60" w:type="dxa"/>
            <w:shd w:val="clear" w:color="auto" w:fill="auto"/>
            <w:noWrap/>
            <w:vAlign w:val="bottom"/>
            <w:hideMark/>
          </w:tcPr>
          <w:p w14:paraId="73F3DE5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6DA694F0"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2AAC9E78"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3B482EF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21CC8254" w14:textId="77777777" w:rsidTr="001F7400">
        <w:trPr>
          <w:trHeight w:val="315"/>
        </w:trPr>
        <w:tc>
          <w:tcPr>
            <w:tcW w:w="222" w:type="dxa"/>
            <w:tcBorders>
              <w:right w:val="nil"/>
            </w:tcBorders>
            <w:shd w:val="clear" w:color="auto" w:fill="auto"/>
            <w:noWrap/>
            <w:vAlign w:val="bottom"/>
            <w:hideMark/>
          </w:tcPr>
          <w:p w14:paraId="3694802D"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7A061B1B"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Y1 Zone</w:t>
            </w:r>
          </w:p>
        </w:tc>
        <w:tc>
          <w:tcPr>
            <w:tcW w:w="960" w:type="dxa"/>
            <w:shd w:val="clear" w:color="auto" w:fill="auto"/>
            <w:noWrap/>
            <w:vAlign w:val="bottom"/>
            <w:hideMark/>
          </w:tcPr>
          <w:p w14:paraId="574AD61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6D031C5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940" w:type="dxa"/>
            <w:shd w:val="clear" w:color="auto" w:fill="auto"/>
            <w:noWrap/>
            <w:vAlign w:val="bottom"/>
            <w:hideMark/>
          </w:tcPr>
          <w:p w14:paraId="2B644C5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41D0972B"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7A441AFE"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68C8EE50" w14:textId="77777777" w:rsidTr="001F7400">
        <w:trPr>
          <w:trHeight w:val="315"/>
        </w:trPr>
        <w:tc>
          <w:tcPr>
            <w:tcW w:w="222" w:type="dxa"/>
            <w:tcBorders>
              <w:right w:val="nil"/>
            </w:tcBorders>
            <w:shd w:val="clear" w:color="auto" w:fill="auto"/>
            <w:noWrap/>
            <w:vAlign w:val="bottom"/>
            <w:hideMark/>
          </w:tcPr>
          <w:p w14:paraId="3DB09454"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3A371CC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Fail</w:t>
            </w:r>
          </w:p>
        </w:tc>
        <w:tc>
          <w:tcPr>
            <w:tcW w:w="960" w:type="dxa"/>
            <w:shd w:val="clear" w:color="auto" w:fill="auto"/>
            <w:noWrap/>
            <w:vAlign w:val="bottom"/>
            <w:hideMark/>
          </w:tcPr>
          <w:p w14:paraId="6F56E17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73148BC3"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7642A98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766DA8D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67F2CDAA"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r w:rsidR="00BF10A3" w:rsidRPr="00D620C3" w14:paraId="04D7BC95" w14:textId="77777777" w:rsidTr="001F7400">
        <w:trPr>
          <w:trHeight w:val="315"/>
        </w:trPr>
        <w:tc>
          <w:tcPr>
            <w:tcW w:w="222" w:type="dxa"/>
            <w:tcBorders>
              <w:right w:val="nil"/>
            </w:tcBorders>
            <w:shd w:val="clear" w:color="auto" w:fill="auto"/>
            <w:noWrap/>
            <w:vAlign w:val="bottom"/>
            <w:hideMark/>
          </w:tcPr>
          <w:p w14:paraId="7F6B610E"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557748CD"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Not Evaluated</w:t>
            </w:r>
          </w:p>
        </w:tc>
        <w:tc>
          <w:tcPr>
            <w:tcW w:w="960" w:type="dxa"/>
            <w:shd w:val="clear" w:color="auto" w:fill="auto"/>
            <w:noWrap/>
            <w:vAlign w:val="bottom"/>
            <w:hideMark/>
          </w:tcPr>
          <w:p w14:paraId="5C30BDE8"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54F25A87"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7087C06F"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22EE68E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c>
          <w:tcPr>
            <w:tcW w:w="1388" w:type="dxa"/>
            <w:shd w:val="clear" w:color="auto" w:fill="auto"/>
            <w:noWrap/>
            <w:vAlign w:val="bottom"/>
            <w:hideMark/>
          </w:tcPr>
          <w:p w14:paraId="2F3AFBB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r>
      <w:tr w:rsidR="00BF10A3" w:rsidRPr="00D620C3" w14:paraId="03C53E1A" w14:textId="77777777" w:rsidTr="001F7400">
        <w:trPr>
          <w:trHeight w:val="315"/>
        </w:trPr>
        <w:tc>
          <w:tcPr>
            <w:tcW w:w="222" w:type="dxa"/>
            <w:tcBorders>
              <w:right w:val="nil"/>
            </w:tcBorders>
            <w:shd w:val="clear" w:color="auto" w:fill="auto"/>
            <w:noWrap/>
            <w:vAlign w:val="bottom"/>
            <w:hideMark/>
          </w:tcPr>
          <w:p w14:paraId="636A4178" w14:textId="77777777" w:rsidR="00BF10A3" w:rsidRPr="00D620C3" w:rsidRDefault="00BF10A3" w:rsidP="001F7400">
            <w:pPr>
              <w:spacing w:after="0" w:line="240" w:lineRule="auto"/>
              <w:rPr>
                <w:rFonts w:ascii="Courier New" w:eastAsiaTheme="minorHAnsi" w:hAnsi="Courier New" w:cstheme="minorBidi"/>
                <w:sz w:val="16"/>
              </w:rPr>
            </w:pPr>
          </w:p>
        </w:tc>
        <w:tc>
          <w:tcPr>
            <w:tcW w:w="2875" w:type="dxa"/>
            <w:tcBorders>
              <w:left w:val="nil"/>
            </w:tcBorders>
            <w:shd w:val="clear" w:color="auto" w:fill="auto"/>
            <w:noWrap/>
            <w:vAlign w:val="bottom"/>
            <w:hideMark/>
          </w:tcPr>
          <w:p w14:paraId="7E5E9246"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YR1 Ineligible</w:t>
            </w:r>
          </w:p>
        </w:tc>
        <w:tc>
          <w:tcPr>
            <w:tcW w:w="960" w:type="dxa"/>
            <w:shd w:val="clear" w:color="auto" w:fill="auto"/>
            <w:noWrap/>
            <w:vAlign w:val="bottom"/>
            <w:hideMark/>
          </w:tcPr>
          <w:p w14:paraId="0D1E870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60" w:type="dxa"/>
            <w:shd w:val="clear" w:color="auto" w:fill="auto"/>
            <w:noWrap/>
            <w:vAlign w:val="bottom"/>
            <w:hideMark/>
          </w:tcPr>
          <w:p w14:paraId="672F24A2"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940" w:type="dxa"/>
            <w:shd w:val="clear" w:color="auto" w:fill="auto"/>
            <w:noWrap/>
            <w:vAlign w:val="bottom"/>
            <w:hideMark/>
          </w:tcPr>
          <w:p w14:paraId="169D35D1"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040" w:type="dxa"/>
            <w:shd w:val="clear" w:color="auto" w:fill="auto"/>
            <w:noWrap/>
            <w:vAlign w:val="bottom"/>
            <w:hideMark/>
          </w:tcPr>
          <w:p w14:paraId="28265A09"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0</w:t>
            </w:r>
          </w:p>
        </w:tc>
        <w:tc>
          <w:tcPr>
            <w:tcW w:w="1388" w:type="dxa"/>
            <w:shd w:val="clear" w:color="auto" w:fill="auto"/>
            <w:noWrap/>
            <w:vAlign w:val="bottom"/>
            <w:hideMark/>
          </w:tcPr>
          <w:p w14:paraId="6258CD34" w14:textId="77777777" w:rsidR="00BF10A3" w:rsidRPr="00D620C3" w:rsidRDefault="00BF10A3" w:rsidP="001F7400">
            <w:pPr>
              <w:spacing w:after="0" w:line="240" w:lineRule="auto"/>
              <w:rPr>
                <w:rFonts w:ascii="Courier New" w:eastAsiaTheme="minorHAnsi" w:hAnsi="Courier New" w:cstheme="minorBidi"/>
                <w:sz w:val="16"/>
              </w:rPr>
            </w:pPr>
            <w:r w:rsidRPr="00D620C3">
              <w:rPr>
                <w:rFonts w:ascii="Courier New" w:eastAsiaTheme="minorHAnsi" w:hAnsi="Courier New" w:cstheme="minorBidi"/>
                <w:sz w:val="16"/>
              </w:rPr>
              <w:t>100</w:t>
            </w:r>
          </w:p>
        </w:tc>
      </w:tr>
    </w:tbl>
    <w:p w14:paraId="40EC28BD" w14:textId="77777777" w:rsidR="00BF10A3" w:rsidRPr="00D620C3" w:rsidRDefault="00BF10A3" w:rsidP="00BF10A3">
      <w:pPr>
        <w:spacing w:after="0" w:line="240" w:lineRule="auto"/>
        <w:rPr>
          <w:rFonts w:ascii="Courier New" w:eastAsiaTheme="minorHAnsi" w:hAnsi="Courier New" w:cstheme="minorBidi"/>
          <w:sz w:val="16"/>
        </w:rPr>
      </w:pPr>
    </w:p>
    <w:p w14:paraId="3EE3A477" w14:textId="77777777" w:rsidR="00BF10A3" w:rsidRDefault="00BF10A3" w:rsidP="00BF10A3">
      <w:pPr>
        <w:spacing w:after="0" w:line="480" w:lineRule="auto"/>
        <w:rPr>
          <w:rFonts w:ascii="Courier New" w:hAnsi="Courier New" w:cs="Courier New"/>
          <w:b/>
          <w:i/>
          <w:sz w:val="24"/>
          <w:szCs w:val="24"/>
        </w:rPr>
      </w:pPr>
    </w:p>
    <w:tbl>
      <w:tblPr>
        <w:tblStyle w:val="TableGrid17"/>
        <w:tblW w:w="0" w:type="auto"/>
        <w:tblInd w:w="108" w:type="dxa"/>
        <w:tblLook w:val="04A0" w:firstRow="1" w:lastRow="0" w:firstColumn="1" w:lastColumn="0" w:noHBand="0" w:noVBand="1"/>
      </w:tblPr>
      <w:tblGrid>
        <w:gridCol w:w="1800"/>
        <w:gridCol w:w="5040"/>
      </w:tblGrid>
      <w:tr w:rsidR="00BF10A3" w:rsidRPr="00D13B7E" w14:paraId="7958B6B4" w14:textId="77777777" w:rsidTr="001F7400">
        <w:trPr>
          <w:trHeight w:val="315"/>
        </w:trPr>
        <w:tc>
          <w:tcPr>
            <w:tcW w:w="1800" w:type="dxa"/>
            <w:noWrap/>
            <w:hideMark/>
          </w:tcPr>
          <w:p w14:paraId="3E293FD9" w14:textId="77777777" w:rsidR="00BF10A3" w:rsidRPr="00D13B7E" w:rsidRDefault="00BF10A3" w:rsidP="001F7400">
            <w:pPr>
              <w:rPr>
                <w:rFonts w:ascii="Courier New" w:eastAsiaTheme="minorHAnsi" w:hAnsi="Courier New" w:cstheme="minorBidi"/>
                <w:sz w:val="16"/>
              </w:rPr>
            </w:pPr>
          </w:p>
        </w:tc>
        <w:tc>
          <w:tcPr>
            <w:tcW w:w="5040" w:type="dxa"/>
            <w:noWrap/>
            <w:hideMark/>
          </w:tcPr>
          <w:p w14:paraId="4F8340C5" w14:textId="77777777" w:rsidR="00BF10A3" w:rsidRPr="00D13B7E" w:rsidRDefault="00BF10A3" w:rsidP="001F7400">
            <w:pPr>
              <w:rPr>
                <w:rFonts w:ascii="Courier New" w:eastAsiaTheme="minorHAnsi" w:hAnsi="Courier New" w:cstheme="minorBidi"/>
                <w:b/>
                <w:bCs/>
                <w:sz w:val="16"/>
              </w:rPr>
            </w:pPr>
            <w:r w:rsidRPr="00D13B7E">
              <w:rPr>
                <w:rFonts w:ascii="Courier New" w:eastAsiaTheme="minorHAnsi" w:hAnsi="Courier New" w:cstheme="minorBidi"/>
                <w:b/>
                <w:bCs/>
                <w:sz w:val="16"/>
              </w:rPr>
              <w:t>Performance Category in Subsequent Year</w:t>
            </w:r>
          </w:p>
        </w:tc>
      </w:tr>
    </w:tbl>
    <w:tbl>
      <w:tblPr>
        <w:tblW w:w="6817" w:type="dxa"/>
        <w:tblInd w:w="93" w:type="dxa"/>
        <w:tblLook w:val="04A0" w:firstRow="1" w:lastRow="0" w:firstColumn="1" w:lastColumn="0" w:noHBand="0" w:noVBand="1"/>
      </w:tblPr>
      <w:tblGrid>
        <w:gridCol w:w="1800"/>
        <w:gridCol w:w="960"/>
        <w:gridCol w:w="960"/>
        <w:gridCol w:w="960"/>
        <w:gridCol w:w="960"/>
        <w:gridCol w:w="1177"/>
      </w:tblGrid>
      <w:tr w:rsidR="00BF10A3" w:rsidRPr="00D13B7E" w14:paraId="7BD7AEED" w14:textId="77777777" w:rsidTr="001F7400">
        <w:trPr>
          <w:trHeight w:val="31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223B"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3C2199" w14:textId="77777777" w:rsidR="00BF10A3" w:rsidRPr="00D13B7E" w:rsidRDefault="00BF10A3" w:rsidP="001F7400">
            <w:pPr>
              <w:spacing w:after="0" w:line="240" w:lineRule="auto"/>
              <w:jc w:val="right"/>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Pass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E1E790" w14:textId="77777777" w:rsidR="00BF10A3" w:rsidRPr="00D13B7E" w:rsidRDefault="00BF10A3" w:rsidP="001F7400">
            <w:pPr>
              <w:spacing w:after="0" w:line="240" w:lineRule="auto"/>
              <w:jc w:val="right"/>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Zone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7D5841" w14:textId="77777777" w:rsidR="00BF10A3" w:rsidRPr="00D13B7E" w:rsidRDefault="00BF10A3" w:rsidP="001F7400">
            <w:pPr>
              <w:spacing w:after="0" w:line="240" w:lineRule="auto"/>
              <w:jc w:val="right"/>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Fail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AF8065" w14:textId="77777777" w:rsidR="00BF10A3" w:rsidRPr="00D13B7E" w:rsidRDefault="00BF10A3" w:rsidP="001F7400">
            <w:pPr>
              <w:spacing w:after="0" w:line="240" w:lineRule="auto"/>
              <w:jc w:val="right"/>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Ne</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44DD60CF" w14:textId="77777777" w:rsidR="00BF10A3" w:rsidRPr="00D13B7E" w:rsidRDefault="00BF10A3" w:rsidP="001F7400">
            <w:pPr>
              <w:spacing w:after="0" w:line="240" w:lineRule="auto"/>
              <w:jc w:val="right"/>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Ineligible</w:t>
            </w:r>
          </w:p>
        </w:tc>
      </w:tr>
      <w:tr w:rsidR="00BF10A3" w:rsidRPr="00D13B7E" w14:paraId="454F2441"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5EC71D"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Prior Year Group:</w:t>
            </w:r>
          </w:p>
        </w:tc>
        <w:tc>
          <w:tcPr>
            <w:tcW w:w="960" w:type="dxa"/>
            <w:tcBorders>
              <w:top w:val="nil"/>
              <w:left w:val="nil"/>
              <w:bottom w:val="single" w:sz="4" w:space="0" w:color="auto"/>
              <w:right w:val="single" w:sz="4" w:space="0" w:color="auto"/>
            </w:tcBorders>
            <w:shd w:val="clear" w:color="auto" w:fill="auto"/>
            <w:noWrap/>
            <w:vAlign w:val="bottom"/>
            <w:hideMark/>
          </w:tcPr>
          <w:p w14:paraId="7B097787"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53B67A3"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30399C7"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C2F3EA8"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c>
          <w:tcPr>
            <w:tcW w:w="1177" w:type="dxa"/>
            <w:tcBorders>
              <w:top w:val="nil"/>
              <w:left w:val="nil"/>
              <w:bottom w:val="single" w:sz="4" w:space="0" w:color="auto"/>
              <w:right w:val="single" w:sz="4" w:space="0" w:color="auto"/>
            </w:tcBorders>
            <w:shd w:val="clear" w:color="auto" w:fill="auto"/>
            <w:noWrap/>
            <w:vAlign w:val="bottom"/>
            <w:hideMark/>
          </w:tcPr>
          <w:p w14:paraId="3B83AB4B"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r>
      <w:tr w:rsidR="00BF10A3" w:rsidRPr="00D13B7E" w14:paraId="438DA383"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E9A73"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 xml:space="preserve">Good </w:t>
            </w:r>
          </w:p>
        </w:tc>
        <w:tc>
          <w:tcPr>
            <w:tcW w:w="960" w:type="dxa"/>
            <w:tcBorders>
              <w:top w:val="nil"/>
              <w:left w:val="nil"/>
              <w:bottom w:val="single" w:sz="4" w:space="0" w:color="auto"/>
              <w:right w:val="single" w:sz="4" w:space="0" w:color="auto"/>
            </w:tcBorders>
            <w:shd w:val="clear" w:color="auto" w:fill="auto"/>
            <w:noWrap/>
            <w:vAlign w:val="bottom"/>
            <w:hideMark/>
          </w:tcPr>
          <w:p w14:paraId="7EE7D02A"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E29E9C6"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8FA16D6"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D4AFBA4"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00A48BA3"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r>
      <w:tr w:rsidR="00BF10A3" w:rsidRPr="00D13B7E" w14:paraId="6BA89EF5"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C6B461"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Improving</w:t>
            </w:r>
          </w:p>
        </w:tc>
        <w:tc>
          <w:tcPr>
            <w:tcW w:w="960" w:type="dxa"/>
            <w:tcBorders>
              <w:top w:val="nil"/>
              <w:left w:val="nil"/>
              <w:bottom w:val="single" w:sz="4" w:space="0" w:color="auto"/>
              <w:right w:val="single" w:sz="4" w:space="0" w:color="auto"/>
            </w:tcBorders>
            <w:shd w:val="clear" w:color="auto" w:fill="auto"/>
            <w:noWrap/>
            <w:vAlign w:val="bottom"/>
            <w:hideMark/>
          </w:tcPr>
          <w:p w14:paraId="0102BFBD"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182689C"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62F4164B"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9081695"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56573C14"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r>
      <w:tr w:rsidR="00BF10A3" w:rsidRPr="00D13B7E" w14:paraId="7D7CF3AF"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E71916"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Poor/Declining</w:t>
            </w:r>
          </w:p>
        </w:tc>
        <w:tc>
          <w:tcPr>
            <w:tcW w:w="960" w:type="dxa"/>
            <w:tcBorders>
              <w:top w:val="nil"/>
              <w:left w:val="nil"/>
              <w:bottom w:val="single" w:sz="4" w:space="0" w:color="auto"/>
              <w:right w:val="single" w:sz="4" w:space="0" w:color="auto"/>
            </w:tcBorders>
            <w:shd w:val="clear" w:color="auto" w:fill="auto"/>
            <w:noWrap/>
            <w:vAlign w:val="bottom"/>
            <w:hideMark/>
          </w:tcPr>
          <w:p w14:paraId="42BA330A"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C44DC7F"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8CBFA7B"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45534BF"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13D56B2A" w14:textId="77777777" w:rsidR="00BF10A3" w:rsidRPr="00D13B7E" w:rsidRDefault="00BF10A3" w:rsidP="001F7400">
            <w:pPr>
              <w:spacing w:after="0" w:line="240" w:lineRule="auto"/>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 </w:t>
            </w:r>
          </w:p>
        </w:tc>
      </w:tr>
      <w:tr w:rsidR="00BF10A3" w:rsidRPr="00D13B7E" w14:paraId="58F28F34"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D8114"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Fail Next</w:t>
            </w:r>
          </w:p>
        </w:tc>
        <w:tc>
          <w:tcPr>
            <w:tcW w:w="960" w:type="dxa"/>
            <w:tcBorders>
              <w:top w:val="nil"/>
              <w:left w:val="nil"/>
              <w:bottom w:val="single" w:sz="4" w:space="0" w:color="auto"/>
              <w:right w:val="single" w:sz="4" w:space="0" w:color="auto"/>
            </w:tcBorders>
            <w:shd w:val="clear" w:color="auto" w:fill="auto"/>
            <w:noWrap/>
            <w:vAlign w:val="bottom"/>
            <w:hideMark/>
          </w:tcPr>
          <w:p w14:paraId="5E6DA385"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F271B8E"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A58E231"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0EEA2FD8"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493A343B"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r>
      <w:tr w:rsidR="00BF10A3" w:rsidRPr="00D13B7E" w14:paraId="1AF14F61"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C9A93"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Ineligible</w:t>
            </w:r>
          </w:p>
        </w:tc>
        <w:tc>
          <w:tcPr>
            <w:tcW w:w="960" w:type="dxa"/>
            <w:tcBorders>
              <w:top w:val="nil"/>
              <w:left w:val="nil"/>
              <w:bottom w:val="single" w:sz="4" w:space="0" w:color="auto"/>
              <w:right w:val="single" w:sz="4" w:space="0" w:color="auto"/>
            </w:tcBorders>
            <w:shd w:val="clear" w:color="auto" w:fill="auto"/>
            <w:noWrap/>
            <w:vAlign w:val="bottom"/>
            <w:hideMark/>
          </w:tcPr>
          <w:p w14:paraId="1D72EDB2"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5D15758B"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1B4B31F6"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2EC86364"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1177" w:type="dxa"/>
            <w:tcBorders>
              <w:top w:val="nil"/>
              <w:left w:val="nil"/>
              <w:bottom w:val="single" w:sz="4" w:space="0" w:color="auto"/>
              <w:right w:val="single" w:sz="4" w:space="0" w:color="auto"/>
            </w:tcBorders>
            <w:shd w:val="clear" w:color="auto" w:fill="auto"/>
            <w:noWrap/>
            <w:vAlign w:val="bottom"/>
            <w:hideMark/>
          </w:tcPr>
          <w:p w14:paraId="5899AF92"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r>
      <w:tr w:rsidR="00BF10A3" w:rsidRPr="00D13B7E" w14:paraId="5D7D8253" w14:textId="77777777" w:rsidTr="001F7400">
        <w:trPr>
          <w:trHeight w:val="31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7EFFD3" w14:textId="77777777" w:rsidR="00BF10A3" w:rsidRPr="00D13B7E" w:rsidRDefault="00BF10A3" w:rsidP="001F7400">
            <w:pPr>
              <w:spacing w:after="0" w:line="240" w:lineRule="auto"/>
              <w:rPr>
                <w:rFonts w:ascii="Courier New" w:eastAsia="Times New Roman" w:hAnsi="Courier New" w:cs="Courier New"/>
                <w:b/>
                <w:bCs/>
                <w:color w:val="000000"/>
                <w:sz w:val="16"/>
                <w:szCs w:val="16"/>
              </w:rPr>
            </w:pPr>
            <w:r w:rsidRPr="00D13B7E">
              <w:rPr>
                <w:rFonts w:ascii="Courier New" w:eastAsia="Times New Roman" w:hAnsi="Courier New" w:cs="Courier New"/>
                <w:b/>
                <w:bCs/>
                <w:color w:val="000000"/>
                <w:sz w:val="16"/>
                <w:szCs w:val="16"/>
              </w:rPr>
              <w:t>Not Evaluated</w:t>
            </w:r>
          </w:p>
        </w:tc>
        <w:tc>
          <w:tcPr>
            <w:tcW w:w="960" w:type="dxa"/>
            <w:tcBorders>
              <w:top w:val="nil"/>
              <w:left w:val="nil"/>
              <w:bottom w:val="single" w:sz="4" w:space="0" w:color="auto"/>
              <w:right w:val="single" w:sz="4" w:space="0" w:color="auto"/>
            </w:tcBorders>
            <w:shd w:val="clear" w:color="auto" w:fill="auto"/>
            <w:noWrap/>
            <w:vAlign w:val="bottom"/>
            <w:hideMark/>
          </w:tcPr>
          <w:p w14:paraId="41291559"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6024CD0C"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EDB3DC4"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BDD846F"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100</w:t>
            </w:r>
          </w:p>
        </w:tc>
        <w:tc>
          <w:tcPr>
            <w:tcW w:w="1177" w:type="dxa"/>
            <w:tcBorders>
              <w:top w:val="nil"/>
              <w:left w:val="nil"/>
              <w:bottom w:val="single" w:sz="4" w:space="0" w:color="auto"/>
              <w:right w:val="single" w:sz="4" w:space="0" w:color="auto"/>
            </w:tcBorders>
            <w:shd w:val="clear" w:color="auto" w:fill="auto"/>
            <w:noWrap/>
            <w:vAlign w:val="bottom"/>
            <w:hideMark/>
          </w:tcPr>
          <w:p w14:paraId="3C2E764F" w14:textId="77777777" w:rsidR="00BF10A3" w:rsidRPr="00D13B7E" w:rsidRDefault="00BF10A3" w:rsidP="001F7400">
            <w:pPr>
              <w:spacing w:after="0" w:line="240" w:lineRule="auto"/>
              <w:jc w:val="right"/>
              <w:rPr>
                <w:rFonts w:ascii="Courier New" w:eastAsia="Times New Roman" w:hAnsi="Courier New" w:cs="Courier New"/>
                <w:color w:val="000000"/>
                <w:sz w:val="16"/>
                <w:szCs w:val="16"/>
              </w:rPr>
            </w:pPr>
            <w:r w:rsidRPr="00D13B7E">
              <w:rPr>
                <w:rFonts w:ascii="Courier New" w:eastAsia="Times New Roman" w:hAnsi="Courier New" w:cs="Courier New"/>
                <w:color w:val="000000"/>
                <w:sz w:val="16"/>
                <w:szCs w:val="16"/>
              </w:rPr>
              <w:t>0</w:t>
            </w:r>
          </w:p>
        </w:tc>
      </w:tr>
    </w:tbl>
    <w:p w14:paraId="32FD8AE3" w14:textId="77777777" w:rsidR="00BF10A3" w:rsidRPr="00AA6DFD" w:rsidRDefault="00BF10A3" w:rsidP="00BF10A3">
      <w:pPr>
        <w:spacing w:after="0" w:line="480" w:lineRule="auto"/>
        <w:rPr>
          <w:rFonts w:ascii="Courier New" w:hAnsi="Courier New" w:cs="Courier New"/>
          <w:b/>
          <w:i/>
          <w:sz w:val="24"/>
          <w:szCs w:val="24"/>
        </w:rPr>
      </w:pPr>
      <w:r w:rsidRPr="00D13B7E">
        <w:rPr>
          <w:rFonts w:asciiTheme="minorHAnsi" w:eastAsiaTheme="minorHAnsi" w:hAnsiTheme="minorHAnsi" w:cstheme="minorBidi"/>
        </w:rPr>
        <w:br w:type="page"/>
      </w:r>
    </w:p>
    <w:p w14:paraId="43C5ED0C"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sz w:val="24"/>
          <w:szCs w:val="24"/>
        </w:rPr>
        <w:t xml:space="preserve">  </w:t>
      </w:r>
    </w:p>
    <w:p w14:paraId="1B23C33F"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3.11: Positive (+ 25 percent) Program Transition Assumptions</w:t>
      </w:r>
    </w:p>
    <w:p w14:paraId="46061237" w14:textId="77777777" w:rsidR="00BF10A3" w:rsidRPr="00AA6DFD" w:rsidRDefault="00BF10A3" w:rsidP="00BF10A3">
      <w:pPr>
        <w:spacing w:after="0" w:line="240" w:lineRule="auto"/>
        <w:rPr>
          <w:rFonts w:ascii="Courier New" w:hAnsi="Courier New" w:cs="Courier New"/>
          <w:b/>
          <w:sz w:val="24"/>
          <w:szCs w:val="24"/>
        </w:rPr>
      </w:pPr>
    </w:p>
    <w:tbl>
      <w:tblPr>
        <w:tblStyle w:val="TableGrid18"/>
        <w:tblW w:w="0" w:type="auto"/>
        <w:tblLook w:val="04A0" w:firstRow="1" w:lastRow="0" w:firstColumn="1" w:lastColumn="0" w:noHBand="0" w:noVBand="1"/>
      </w:tblPr>
      <w:tblGrid>
        <w:gridCol w:w="1081"/>
        <w:gridCol w:w="960"/>
        <w:gridCol w:w="960"/>
        <w:gridCol w:w="960"/>
        <w:gridCol w:w="1480"/>
        <w:gridCol w:w="1580"/>
      </w:tblGrid>
      <w:tr w:rsidR="00BF10A3" w:rsidRPr="00CA1C31" w14:paraId="583E5A42" w14:textId="77777777" w:rsidTr="001F7400">
        <w:trPr>
          <w:trHeight w:val="315"/>
        </w:trPr>
        <w:tc>
          <w:tcPr>
            <w:tcW w:w="1081" w:type="dxa"/>
          </w:tcPr>
          <w:p w14:paraId="71F5A903" w14:textId="77777777" w:rsidR="00BF10A3" w:rsidRPr="00CA1C31" w:rsidRDefault="00BF10A3" w:rsidP="001F7400">
            <w:pPr>
              <w:rPr>
                <w:rFonts w:ascii="Courier New" w:eastAsiaTheme="minorHAnsi" w:hAnsi="Courier New" w:cstheme="minorBidi"/>
                <w:b/>
                <w:bCs/>
                <w:sz w:val="16"/>
              </w:rPr>
            </w:pPr>
          </w:p>
        </w:tc>
        <w:tc>
          <w:tcPr>
            <w:tcW w:w="5940" w:type="dxa"/>
            <w:gridSpan w:val="5"/>
            <w:noWrap/>
            <w:hideMark/>
          </w:tcPr>
          <w:p w14:paraId="7861BA8B"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Performance Category in Year 1</w:t>
            </w:r>
          </w:p>
        </w:tc>
      </w:tr>
      <w:tr w:rsidR="00BF10A3" w:rsidRPr="00CA1C31" w14:paraId="2C2D55E2" w14:textId="77777777" w:rsidTr="001F7400">
        <w:trPr>
          <w:trHeight w:val="315"/>
        </w:trPr>
        <w:tc>
          <w:tcPr>
            <w:tcW w:w="1081" w:type="dxa"/>
          </w:tcPr>
          <w:p w14:paraId="6B19883D" w14:textId="77777777" w:rsidR="00BF10A3" w:rsidRPr="00CA1C31" w:rsidRDefault="00BF10A3" w:rsidP="001F7400">
            <w:pPr>
              <w:rPr>
                <w:rFonts w:ascii="Courier New" w:eastAsiaTheme="minorHAnsi" w:hAnsi="Courier New" w:cstheme="minorBidi"/>
                <w:b/>
                <w:bCs/>
                <w:sz w:val="16"/>
              </w:rPr>
            </w:pPr>
          </w:p>
        </w:tc>
        <w:tc>
          <w:tcPr>
            <w:tcW w:w="960" w:type="dxa"/>
            <w:hideMark/>
          </w:tcPr>
          <w:p w14:paraId="4D8C8C70"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Pass</w:t>
            </w:r>
          </w:p>
        </w:tc>
        <w:tc>
          <w:tcPr>
            <w:tcW w:w="960" w:type="dxa"/>
            <w:hideMark/>
          </w:tcPr>
          <w:p w14:paraId="23F47D54"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Zone</w:t>
            </w:r>
          </w:p>
        </w:tc>
        <w:tc>
          <w:tcPr>
            <w:tcW w:w="960" w:type="dxa"/>
            <w:hideMark/>
          </w:tcPr>
          <w:p w14:paraId="7578D4C8"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Fail</w:t>
            </w:r>
          </w:p>
        </w:tc>
        <w:tc>
          <w:tcPr>
            <w:tcW w:w="1480" w:type="dxa"/>
            <w:hideMark/>
          </w:tcPr>
          <w:p w14:paraId="3787F19F"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NE</w:t>
            </w:r>
          </w:p>
        </w:tc>
        <w:tc>
          <w:tcPr>
            <w:tcW w:w="1580" w:type="dxa"/>
            <w:hideMark/>
          </w:tcPr>
          <w:p w14:paraId="754D2911" w14:textId="77777777" w:rsidR="00BF10A3" w:rsidRPr="00CA1C31" w:rsidRDefault="00BF10A3" w:rsidP="001F7400">
            <w:pPr>
              <w:rPr>
                <w:rFonts w:ascii="Courier New" w:eastAsiaTheme="minorHAnsi" w:hAnsi="Courier New" w:cstheme="minorBidi"/>
                <w:b/>
                <w:bCs/>
                <w:sz w:val="16"/>
              </w:rPr>
            </w:pPr>
            <w:r w:rsidRPr="00CA1C31">
              <w:rPr>
                <w:rFonts w:ascii="Courier New" w:eastAsiaTheme="minorHAnsi" w:hAnsi="Courier New" w:cstheme="minorBidi"/>
                <w:b/>
                <w:bCs/>
                <w:sz w:val="16"/>
              </w:rPr>
              <w:t>Ineligible</w:t>
            </w:r>
          </w:p>
        </w:tc>
      </w:tr>
      <w:tr w:rsidR="00BF10A3" w:rsidRPr="00CA1C31" w14:paraId="0F441C8D" w14:textId="77777777" w:rsidTr="001F7400">
        <w:trPr>
          <w:trHeight w:val="315"/>
        </w:trPr>
        <w:tc>
          <w:tcPr>
            <w:tcW w:w="1081" w:type="dxa"/>
          </w:tcPr>
          <w:p w14:paraId="6244775F"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Pass</w:t>
            </w:r>
          </w:p>
        </w:tc>
        <w:tc>
          <w:tcPr>
            <w:tcW w:w="960" w:type="dxa"/>
            <w:noWrap/>
            <w:hideMark/>
          </w:tcPr>
          <w:p w14:paraId="77A46128"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82.75</w:t>
            </w:r>
          </w:p>
        </w:tc>
        <w:tc>
          <w:tcPr>
            <w:tcW w:w="960" w:type="dxa"/>
            <w:noWrap/>
            <w:hideMark/>
          </w:tcPr>
          <w:p w14:paraId="78304014"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3</w:t>
            </w:r>
          </w:p>
        </w:tc>
        <w:tc>
          <w:tcPr>
            <w:tcW w:w="960" w:type="dxa"/>
            <w:noWrap/>
            <w:hideMark/>
          </w:tcPr>
          <w:p w14:paraId="6E17258A"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0.75</w:t>
            </w:r>
          </w:p>
        </w:tc>
        <w:tc>
          <w:tcPr>
            <w:tcW w:w="1480" w:type="dxa"/>
            <w:noWrap/>
            <w:hideMark/>
          </w:tcPr>
          <w:p w14:paraId="09081D17"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13.5</w:t>
            </w:r>
          </w:p>
        </w:tc>
        <w:tc>
          <w:tcPr>
            <w:tcW w:w="1580" w:type="dxa"/>
            <w:noWrap/>
            <w:hideMark/>
          </w:tcPr>
          <w:p w14:paraId="1750BBDF"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w:t>
            </w:r>
          </w:p>
        </w:tc>
      </w:tr>
      <w:tr w:rsidR="00BF10A3" w:rsidRPr="00CA1C31" w14:paraId="4D7DA134" w14:textId="77777777" w:rsidTr="001F7400">
        <w:trPr>
          <w:trHeight w:val="315"/>
        </w:trPr>
        <w:tc>
          <w:tcPr>
            <w:tcW w:w="1081" w:type="dxa"/>
          </w:tcPr>
          <w:p w14:paraId="43080C16"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Zone</w:t>
            </w:r>
          </w:p>
        </w:tc>
        <w:tc>
          <w:tcPr>
            <w:tcW w:w="960" w:type="dxa"/>
            <w:noWrap/>
            <w:hideMark/>
          </w:tcPr>
          <w:p w14:paraId="26C4910B"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38.25</w:t>
            </w:r>
          </w:p>
        </w:tc>
        <w:tc>
          <w:tcPr>
            <w:tcW w:w="960" w:type="dxa"/>
            <w:noWrap/>
            <w:hideMark/>
          </w:tcPr>
          <w:p w14:paraId="5DFD1FCC"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30</w:t>
            </w:r>
          </w:p>
        </w:tc>
        <w:tc>
          <w:tcPr>
            <w:tcW w:w="960" w:type="dxa"/>
            <w:noWrap/>
            <w:hideMark/>
          </w:tcPr>
          <w:p w14:paraId="52B9B5EA"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18.75</w:t>
            </w:r>
          </w:p>
        </w:tc>
        <w:tc>
          <w:tcPr>
            <w:tcW w:w="1480" w:type="dxa"/>
            <w:noWrap/>
            <w:hideMark/>
          </w:tcPr>
          <w:p w14:paraId="3984C5EC"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13</w:t>
            </w:r>
          </w:p>
        </w:tc>
        <w:tc>
          <w:tcPr>
            <w:tcW w:w="1580" w:type="dxa"/>
            <w:noWrap/>
            <w:hideMark/>
          </w:tcPr>
          <w:p w14:paraId="35A9C880"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w:t>
            </w:r>
          </w:p>
        </w:tc>
      </w:tr>
      <w:tr w:rsidR="00BF10A3" w:rsidRPr="00CA1C31" w14:paraId="5ECC0B13" w14:textId="77777777" w:rsidTr="001F7400">
        <w:trPr>
          <w:trHeight w:val="315"/>
        </w:trPr>
        <w:tc>
          <w:tcPr>
            <w:tcW w:w="1081" w:type="dxa"/>
          </w:tcPr>
          <w:p w14:paraId="679E2566"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Fail</w:t>
            </w:r>
          </w:p>
        </w:tc>
        <w:tc>
          <w:tcPr>
            <w:tcW w:w="960" w:type="dxa"/>
            <w:noWrap/>
            <w:hideMark/>
          </w:tcPr>
          <w:p w14:paraId="390DAE45"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25.25</w:t>
            </w:r>
          </w:p>
        </w:tc>
        <w:tc>
          <w:tcPr>
            <w:tcW w:w="960" w:type="dxa"/>
            <w:noWrap/>
            <w:hideMark/>
          </w:tcPr>
          <w:p w14:paraId="5CE35C57"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15</w:t>
            </w:r>
          </w:p>
        </w:tc>
        <w:tc>
          <w:tcPr>
            <w:tcW w:w="960" w:type="dxa"/>
            <w:noWrap/>
            <w:hideMark/>
          </w:tcPr>
          <w:p w14:paraId="195A5631"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w:t>
            </w:r>
          </w:p>
        </w:tc>
        <w:tc>
          <w:tcPr>
            <w:tcW w:w="1480" w:type="dxa"/>
            <w:noWrap/>
            <w:hideMark/>
          </w:tcPr>
          <w:p w14:paraId="39A94E73"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11</w:t>
            </w:r>
          </w:p>
        </w:tc>
        <w:tc>
          <w:tcPr>
            <w:tcW w:w="1580" w:type="dxa"/>
            <w:noWrap/>
            <w:hideMark/>
          </w:tcPr>
          <w:p w14:paraId="2F33518B"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48.75</w:t>
            </w:r>
          </w:p>
        </w:tc>
      </w:tr>
      <w:tr w:rsidR="00BF10A3" w:rsidRPr="00CA1C31" w14:paraId="6DD46125" w14:textId="77777777" w:rsidTr="001F7400">
        <w:trPr>
          <w:trHeight w:val="315"/>
        </w:trPr>
        <w:tc>
          <w:tcPr>
            <w:tcW w:w="1081" w:type="dxa"/>
          </w:tcPr>
          <w:p w14:paraId="54D1BFFA"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Not Evaluated</w:t>
            </w:r>
          </w:p>
        </w:tc>
        <w:tc>
          <w:tcPr>
            <w:tcW w:w="960" w:type="dxa"/>
            <w:noWrap/>
            <w:hideMark/>
          </w:tcPr>
          <w:p w14:paraId="0DBEBF20"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6.5</w:t>
            </w:r>
          </w:p>
        </w:tc>
        <w:tc>
          <w:tcPr>
            <w:tcW w:w="960" w:type="dxa"/>
            <w:noWrap/>
            <w:hideMark/>
          </w:tcPr>
          <w:p w14:paraId="69B6F847"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0.75</w:t>
            </w:r>
          </w:p>
        </w:tc>
        <w:tc>
          <w:tcPr>
            <w:tcW w:w="960" w:type="dxa"/>
            <w:noWrap/>
            <w:hideMark/>
          </w:tcPr>
          <w:p w14:paraId="2B5FAAD7"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0.75</w:t>
            </w:r>
          </w:p>
        </w:tc>
        <w:tc>
          <w:tcPr>
            <w:tcW w:w="1480" w:type="dxa"/>
            <w:noWrap/>
            <w:hideMark/>
          </w:tcPr>
          <w:p w14:paraId="1029B4ED"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92</w:t>
            </w:r>
          </w:p>
        </w:tc>
        <w:tc>
          <w:tcPr>
            <w:tcW w:w="1580" w:type="dxa"/>
            <w:noWrap/>
            <w:hideMark/>
          </w:tcPr>
          <w:p w14:paraId="2B0EB221" w14:textId="77777777" w:rsidR="00BF10A3" w:rsidRPr="00CA1C31" w:rsidRDefault="00BF10A3" w:rsidP="001F7400">
            <w:pPr>
              <w:rPr>
                <w:rFonts w:ascii="Courier New" w:eastAsiaTheme="minorHAnsi" w:hAnsi="Courier New" w:cstheme="minorBidi"/>
                <w:sz w:val="16"/>
              </w:rPr>
            </w:pPr>
            <w:r w:rsidRPr="00CA1C31">
              <w:rPr>
                <w:rFonts w:ascii="Courier New" w:eastAsiaTheme="minorHAnsi" w:hAnsi="Courier New" w:cstheme="minorBidi"/>
                <w:sz w:val="16"/>
              </w:rPr>
              <w:t>0</w:t>
            </w:r>
          </w:p>
        </w:tc>
      </w:tr>
    </w:tbl>
    <w:p w14:paraId="079FBB63" w14:textId="77777777" w:rsidR="00BF10A3" w:rsidRPr="00CA1C31" w:rsidRDefault="00BF10A3" w:rsidP="00BF10A3">
      <w:pPr>
        <w:spacing w:after="0" w:line="240" w:lineRule="auto"/>
        <w:rPr>
          <w:rFonts w:ascii="Courier New" w:eastAsiaTheme="minorHAnsi" w:hAnsi="Courier New" w:cstheme="minorBidi"/>
          <w:sz w:val="16"/>
        </w:rPr>
      </w:pPr>
    </w:p>
    <w:tbl>
      <w:tblPr>
        <w:tblStyle w:val="TableGrid16"/>
        <w:tblW w:w="0" w:type="auto"/>
        <w:tblInd w:w="108" w:type="dxa"/>
        <w:tblLook w:val="04A0" w:firstRow="1" w:lastRow="0" w:firstColumn="1" w:lastColumn="0" w:noHBand="0" w:noVBand="1"/>
      </w:tblPr>
      <w:tblGrid>
        <w:gridCol w:w="3060"/>
        <w:gridCol w:w="5400"/>
      </w:tblGrid>
      <w:tr w:rsidR="00BF10A3" w:rsidRPr="00D620C3" w14:paraId="25489AEF" w14:textId="77777777" w:rsidTr="001F7400">
        <w:trPr>
          <w:trHeight w:val="315"/>
        </w:trPr>
        <w:tc>
          <w:tcPr>
            <w:tcW w:w="3060" w:type="dxa"/>
            <w:noWrap/>
            <w:hideMark/>
          </w:tcPr>
          <w:p w14:paraId="15E46A82" w14:textId="77777777" w:rsidR="00BF10A3" w:rsidRPr="00D620C3" w:rsidRDefault="00BF10A3" w:rsidP="001F7400">
            <w:pPr>
              <w:rPr>
                <w:rFonts w:ascii="Courier New" w:eastAsiaTheme="minorHAnsi" w:hAnsi="Courier New" w:cstheme="minorBidi"/>
                <w:sz w:val="16"/>
              </w:rPr>
            </w:pPr>
          </w:p>
        </w:tc>
        <w:tc>
          <w:tcPr>
            <w:tcW w:w="5400" w:type="dxa"/>
            <w:noWrap/>
            <w:hideMark/>
          </w:tcPr>
          <w:p w14:paraId="76D6B0C6" w14:textId="77777777" w:rsidR="00BF10A3" w:rsidRPr="00D620C3" w:rsidRDefault="00BF10A3" w:rsidP="001F7400">
            <w:pPr>
              <w:rPr>
                <w:rFonts w:ascii="Courier New" w:eastAsiaTheme="minorHAnsi" w:hAnsi="Courier New" w:cstheme="minorBidi"/>
                <w:b/>
                <w:bCs/>
                <w:sz w:val="16"/>
              </w:rPr>
            </w:pPr>
            <w:r w:rsidRPr="00D620C3">
              <w:rPr>
                <w:rFonts w:ascii="Courier New" w:eastAsiaTheme="minorHAnsi" w:hAnsi="Courier New" w:cstheme="minorBidi"/>
                <w:b/>
                <w:bCs/>
                <w:sz w:val="16"/>
              </w:rPr>
              <w:t xml:space="preserve">Performance Category in Year </w:t>
            </w:r>
            <w:r>
              <w:rPr>
                <w:rFonts w:ascii="Courier New" w:eastAsiaTheme="minorHAnsi" w:hAnsi="Courier New" w:cstheme="minorBidi"/>
                <w:b/>
                <w:bCs/>
                <w:sz w:val="16"/>
              </w:rPr>
              <w:t>2</w:t>
            </w:r>
          </w:p>
        </w:tc>
      </w:tr>
    </w:tbl>
    <w:tbl>
      <w:tblPr>
        <w:tblW w:w="8466" w:type="dxa"/>
        <w:tblInd w:w="93" w:type="dxa"/>
        <w:tblLook w:val="04A0" w:firstRow="1" w:lastRow="0" w:firstColumn="1" w:lastColumn="0" w:noHBand="0" w:noVBand="1"/>
      </w:tblPr>
      <w:tblGrid>
        <w:gridCol w:w="313"/>
        <w:gridCol w:w="2713"/>
        <w:gridCol w:w="960"/>
        <w:gridCol w:w="960"/>
        <w:gridCol w:w="940"/>
        <w:gridCol w:w="1040"/>
        <w:gridCol w:w="1540"/>
      </w:tblGrid>
      <w:tr w:rsidR="00BF10A3" w:rsidRPr="00CA1C31" w14:paraId="2179BBDC" w14:textId="77777777" w:rsidTr="001F7400">
        <w:trPr>
          <w:trHeight w:val="300"/>
        </w:trPr>
        <w:tc>
          <w:tcPr>
            <w:tcW w:w="30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6C982A"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Prior Years Results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A167F30" w14:textId="77777777" w:rsidR="00BF10A3" w:rsidRPr="00CA1C31" w:rsidRDefault="00BF10A3" w:rsidP="001F7400">
            <w:pPr>
              <w:spacing w:after="0" w:line="240" w:lineRule="auto"/>
              <w:jc w:val="right"/>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Pass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C1A3EE9" w14:textId="77777777" w:rsidR="00BF10A3" w:rsidRPr="00CA1C31" w:rsidRDefault="00BF10A3" w:rsidP="001F7400">
            <w:pPr>
              <w:spacing w:after="0" w:line="240" w:lineRule="auto"/>
              <w:jc w:val="right"/>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Zone</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25EC4ED5" w14:textId="77777777" w:rsidR="00BF10A3" w:rsidRPr="00CA1C31" w:rsidRDefault="00BF10A3" w:rsidP="001F7400">
            <w:pPr>
              <w:spacing w:after="0" w:line="240" w:lineRule="auto"/>
              <w:jc w:val="right"/>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Fail</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75990137" w14:textId="77777777" w:rsidR="00BF10A3" w:rsidRPr="00CA1C31" w:rsidRDefault="00BF10A3" w:rsidP="001F7400">
            <w:pPr>
              <w:spacing w:after="0" w:line="240" w:lineRule="auto"/>
              <w:jc w:val="right"/>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NE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09D091E5" w14:textId="77777777" w:rsidR="00BF10A3" w:rsidRPr="00CA1C31" w:rsidRDefault="00BF10A3" w:rsidP="001F7400">
            <w:pPr>
              <w:spacing w:after="0" w:line="240" w:lineRule="auto"/>
              <w:jc w:val="right"/>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Ineligible</w:t>
            </w:r>
          </w:p>
        </w:tc>
      </w:tr>
      <w:tr w:rsidR="00BF10A3" w:rsidRPr="00CA1C31" w14:paraId="3F9362FA" w14:textId="77777777" w:rsidTr="001F7400">
        <w:trPr>
          <w:trHeight w:val="300"/>
        </w:trPr>
        <w:tc>
          <w:tcPr>
            <w:tcW w:w="3026"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5628AD34"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YR0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898C43"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4D6E784"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37C927E"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5D0C8F96"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5ED66F3"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4F0EB1CD"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1448DD7A"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4A653DD4"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01C3C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97.75</w:t>
            </w:r>
          </w:p>
        </w:tc>
        <w:tc>
          <w:tcPr>
            <w:tcW w:w="960" w:type="dxa"/>
            <w:tcBorders>
              <w:top w:val="nil"/>
              <w:left w:val="nil"/>
              <w:bottom w:val="single" w:sz="4" w:space="0" w:color="auto"/>
              <w:right w:val="single" w:sz="4" w:space="0" w:color="auto"/>
            </w:tcBorders>
            <w:shd w:val="clear" w:color="auto" w:fill="auto"/>
            <w:noWrap/>
            <w:vAlign w:val="bottom"/>
            <w:hideMark/>
          </w:tcPr>
          <w:p w14:paraId="43C1B53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7951D0B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52C14FED"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2.25</w:t>
            </w:r>
          </w:p>
        </w:tc>
        <w:tc>
          <w:tcPr>
            <w:tcW w:w="1540" w:type="dxa"/>
            <w:tcBorders>
              <w:top w:val="nil"/>
              <w:left w:val="nil"/>
              <w:bottom w:val="single" w:sz="4" w:space="0" w:color="auto"/>
              <w:right w:val="single" w:sz="4" w:space="0" w:color="auto"/>
            </w:tcBorders>
            <w:shd w:val="clear" w:color="auto" w:fill="auto"/>
            <w:noWrap/>
            <w:vAlign w:val="bottom"/>
            <w:hideMark/>
          </w:tcPr>
          <w:p w14:paraId="5D24279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314697B8"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01C7F44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6EF3AD85"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Y1 Zone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54C41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48.25</w:t>
            </w:r>
          </w:p>
        </w:tc>
        <w:tc>
          <w:tcPr>
            <w:tcW w:w="960" w:type="dxa"/>
            <w:tcBorders>
              <w:top w:val="nil"/>
              <w:left w:val="nil"/>
              <w:bottom w:val="single" w:sz="4" w:space="0" w:color="auto"/>
              <w:right w:val="single" w:sz="4" w:space="0" w:color="auto"/>
            </w:tcBorders>
            <w:shd w:val="clear" w:color="auto" w:fill="auto"/>
            <w:noWrap/>
            <w:vAlign w:val="bottom"/>
            <w:hideMark/>
          </w:tcPr>
          <w:p w14:paraId="6FF2E7F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24</w:t>
            </w:r>
          </w:p>
        </w:tc>
        <w:tc>
          <w:tcPr>
            <w:tcW w:w="940" w:type="dxa"/>
            <w:tcBorders>
              <w:top w:val="nil"/>
              <w:left w:val="nil"/>
              <w:bottom w:val="single" w:sz="4" w:space="0" w:color="auto"/>
              <w:right w:val="single" w:sz="4" w:space="0" w:color="auto"/>
            </w:tcBorders>
            <w:shd w:val="clear" w:color="auto" w:fill="auto"/>
            <w:noWrap/>
            <w:vAlign w:val="bottom"/>
            <w:hideMark/>
          </w:tcPr>
          <w:p w14:paraId="54B8D6A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14.75</w:t>
            </w:r>
          </w:p>
        </w:tc>
        <w:tc>
          <w:tcPr>
            <w:tcW w:w="1040" w:type="dxa"/>
            <w:tcBorders>
              <w:top w:val="nil"/>
              <w:left w:val="nil"/>
              <w:bottom w:val="single" w:sz="4" w:space="0" w:color="auto"/>
              <w:right w:val="single" w:sz="4" w:space="0" w:color="auto"/>
            </w:tcBorders>
            <w:shd w:val="clear" w:color="auto" w:fill="auto"/>
            <w:noWrap/>
            <w:vAlign w:val="bottom"/>
            <w:hideMark/>
          </w:tcPr>
          <w:p w14:paraId="520E9C4E"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158F308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08D40379"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7C374967"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7007F345"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Fail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0C8BD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30.25</w:t>
            </w:r>
          </w:p>
        </w:tc>
        <w:tc>
          <w:tcPr>
            <w:tcW w:w="960" w:type="dxa"/>
            <w:tcBorders>
              <w:top w:val="nil"/>
              <w:left w:val="nil"/>
              <w:bottom w:val="single" w:sz="4" w:space="0" w:color="auto"/>
              <w:right w:val="single" w:sz="4" w:space="0" w:color="auto"/>
            </w:tcBorders>
            <w:shd w:val="clear" w:color="auto" w:fill="auto"/>
            <w:noWrap/>
            <w:vAlign w:val="bottom"/>
            <w:hideMark/>
          </w:tcPr>
          <w:p w14:paraId="085D6EA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12</w:t>
            </w:r>
          </w:p>
        </w:tc>
        <w:tc>
          <w:tcPr>
            <w:tcW w:w="940" w:type="dxa"/>
            <w:tcBorders>
              <w:top w:val="nil"/>
              <w:left w:val="nil"/>
              <w:bottom w:val="single" w:sz="4" w:space="0" w:color="auto"/>
              <w:right w:val="single" w:sz="4" w:space="0" w:color="auto"/>
            </w:tcBorders>
            <w:shd w:val="clear" w:color="auto" w:fill="auto"/>
            <w:noWrap/>
            <w:vAlign w:val="bottom"/>
            <w:hideMark/>
          </w:tcPr>
          <w:p w14:paraId="0369E0E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0FE572D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70730D5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46.75</w:t>
            </w:r>
          </w:p>
        </w:tc>
      </w:tr>
      <w:tr w:rsidR="00BF10A3" w:rsidRPr="00CA1C31" w14:paraId="13B89C23"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48960143"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3DBB4C0B"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Not Evaluated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6120A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16.5</w:t>
            </w:r>
          </w:p>
        </w:tc>
        <w:tc>
          <w:tcPr>
            <w:tcW w:w="960" w:type="dxa"/>
            <w:tcBorders>
              <w:top w:val="nil"/>
              <w:left w:val="nil"/>
              <w:bottom w:val="single" w:sz="4" w:space="0" w:color="auto"/>
              <w:right w:val="single" w:sz="4" w:space="0" w:color="auto"/>
            </w:tcBorders>
            <w:shd w:val="clear" w:color="auto" w:fill="auto"/>
            <w:noWrap/>
            <w:vAlign w:val="bottom"/>
            <w:hideMark/>
          </w:tcPr>
          <w:p w14:paraId="0A2DAA2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14E4DEE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B4803C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83.5</w:t>
            </w:r>
          </w:p>
        </w:tc>
        <w:tc>
          <w:tcPr>
            <w:tcW w:w="1540" w:type="dxa"/>
            <w:tcBorders>
              <w:top w:val="nil"/>
              <w:left w:val="nil"/>
              <w:bottom w:val="single" w:sz="4" w:space="0" w:color="auto"/>
              <w:right w:val="single" w:sz="4" w:space="0" w:color="auto"/>
            </w:tcBorders>
            <w:shd w:val="clear" w:color="auto" w:fill="auto"/>
            <w:noWrap/>
            <w:vAlign w:val="bottom"/>
            <w:hideMark/>
          </w:tcPr>
          <w:p w14:paraId="04C4FA0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480D0047"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2C4AAA08"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4769BB0A"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39491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36B51A98"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5CCA180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5007AF9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51E7E36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100</w:t>
            </w:r>
          </w:p>
        </w:tc>
      </w:tr>
      <w:tr w:rsidR="00BF10A3" w:rsidRPr="00CA1C31" w14:paraId="11AECDAE"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35D06D4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17FDDDB8"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2F9EE9"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AEFF390"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25FA785"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2AAA4DE1"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7A878B"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48C20787" w14:textId="77777777" w:rsidTr="001F7400">
        <w:trPr>
          <w:trHeight w:val="300"/>
        </w:trPr>
        <w:tc>
          <w:tcPr>
            <w:tcW w:w="3026"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7A1556D6"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YR0 Zone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B14CA6"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FD64E59"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B88A891"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B77C4C"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5E283D3C"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17A44857"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6A7B2FD"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7A8A71CB"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C697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92.75</w:t>
            </w:r>
          </w:p>
        </w:tc>
        <w:tc>
          <w:tcPr>
            <w:tcW w:w="960" w:type="dxa"/>
            <w:tcBorders>
              <w:top w:val="nil"/>
              <w:left w:val="nil"/>
              <w:bottom w:val="single" w:sz="4" w:space="0" w:color="auto"/>
              <w:right w:val="single" w:sz="4" w:space="0" w:color="auto"/>
            </w:tcBorders>
            <w:shd w:val="clear" w:color="auto" w:fill="auto"/>
            <w:noWrap/>
            <w:vAlign w:val="bottom"/>
            <w:hideMark/>
          </w:tcPr>
          <w:p w14:paraId="24A5CEB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7F84B4E"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5B6D965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7.25</w:t>
            </w:r>
          </w:p>
        </w:tc>
        <w:tc>
          <w:tcPr>
            <w:tcW w:w="1540" w:type="dxa"/>
            <w:tcBorders>
              <w:top w:val="nil"/>
              <w:left w:val="nil"/>
              <w:bottom w:val="single" w:sz="4" w:space="0" w:color="auto"/>
              <w:right w:val="single" w:sz="4" w:space="0" w:color="auto"/>
            </w:tcBorders>
            <w:shd w:val="clear" w:color="auto" w:fill="auto"/>
            <w:noWrap/>
            <w:vAlign w:val="bottom"/>
            <w:hideMark/>
          </w:tcPr>
          <w:p w14:paraId="162EACB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5E5ACB21"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1477E802"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570C4342"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Y1 Zone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7D0D1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43.25</w:t>
            </w:r>
          </w:p>
        </w:tc>
        <w:tc>
          <w:tcPr>
            <w:tcW w:w="960" w:type="dxa"/>
            <w:tcBorders>
              <w:top w:val="nil"/>
              <w:left w:val="nil"/>
              <w:bottom w:val="single" w:sz="4" w:space="0" w:color="auto"/>
              <w:right w:val="single" w:sz="4" w:space="0" w:color="auto"/>
            </w:tcBorders>
            <w:shd w:val="clear" w:color="auto" w:fill="auto"/>
            <w:noWrap/>
            <w:vAlign w:val="bottom"/>
            <w:hideMark/>
          </w:tcPr>
          <w:p w14:paraId="346C54E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27</w:t>
            </w:r>
          </w:p>
        </w:tc>
        <w:tc>
          <w:tcPr>
            <w:tcW w:w="940" w:type="dxa"/>
            <w:tcBorders>
              <w:top w:val="nil"/>
              <w:left w:val="nil"/>
              <w:bottom w:val="single" w:sz="4" w:space="0" w:color="auto"/>
              <w:right w:val="single" w:sz="4" w:space="0" w:color="auto"/>
            </w:tcBorders>
            <w:shd w:val="clear" w:color="auto" w:fill="auto"/>
            <w:noWrap/>
            <w:vAlign w:val="bottom"/>
            <w:hideMark/>
          </w:tcPr>
          <w:p w14:paraId="3B02973C"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16.75</w:t>
            </w:r>
          </w:p>
        </w:tc>
        <w:tc>
          <w:tcPr>
            <w:tcW w:w="1040" w:type="dxa"/>
            <w:tcBorders>
              <w:top w:val="nil"/>
              <w:left w:val="nil"/>
              <w:bottom w:val="single" w:sz="4" w:space="0" w:color="auto"/>
              <w:right w:val="single" w:sz="4" w:space="0" w:color="auto"/>
            </w:tcBorders>
            <w:shd w:val="clear" w:color="auto" w:fill="auto"/>
            <w:noWrap/>
            <w:vAlign w:val="bottom"/>
            <w:hideMark/>
          </w:tcPr>
          <w:p w14:paraId="6D70A6C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15BBBD53"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1D8459B9"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C2F90BF"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27D0CE79"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Fail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8DBEB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25.25</w:t>
            </w:r>
          </w:p>
        </w:tc>
        <w:tc>
          <w:tcPr>
            <w:tcW w:w="960" w:type="dxa"/>
            <w:tcBorders>
              <w:top w:val="nil"/>
              <w:left w:val="nil"/>
              <w:bottom w:val="single" w:sz="4" w:space="0" w:color="auto"/>
              <w:right w:val="single" w:sz="4" w:space="0" w:color="auto"/>
            </w:tcBorders>
            <w:shd w:val="clear" w:color="auto" w:fill="auto"/>
            <w:noWrap/>
            <w:vAlign w:val="bottom"/>
            <w:hideMark/>
          </w:tcPr>
          <w:p w14:paraId="28D951C3"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15</w:t>
            </w:r>
          </w:p>
        </w:tc>
        <w:tc>
          <w:tcPr>
            <w:tcW w:w="940" w:type="dxa"/>
            <w:tcBorders>
              <w:top w:val="nil"/>
              <w:left w:val="nil"/>
              <w:bottom w:val="single" w:sz="4" w:space="0" w:color="auto"/>
              <w:right w:val="single" w:sz="4" w:space="0" w:color="auto"/>
            </w:tcBorders>
            <w:shd w:val="clear" w:color="auto" w:fill="auto"/>
            <w:noWrap/>
            <w:vAlign w:val="bottom"/>
            <w:hideMark/>
          </w:tcPr>
          <w:p w14:paraId="342267ED"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6F9D0E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58CF232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48.75</w:t>
            </w:r>
          </w:p>
        </w:tc>
      </w:tr>
      <w:tr w:rsidR="00BF10A3" w:rsidRPr="00CA1C31" w14:paraId="54FBA2D5"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7972DDC7"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46B317C0"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Not Evaluated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A2EF5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11.5</w:t>
            </w:r>
          </w:p>
        </w:tc>
        <w:tc>
          <w:tcPr>
            <w:tcW w:w="960" w:type="dxa"/>
            <w:tcBorders>
              <w:top w:val="nil"/>
              <w:left w:val="nil"/>
              <w:bottom w:val="single" w:sz="4" w:space="0" w:color="auto"/>
              <w:right w:val="single" w:sz="4" w:space="0" w:color="auto"/>
            </w:tcBorders>
            <w:shd w:val="clear" w:color="auto" w:fill="auto"/>
            <w:noWrap/>
            <w:vAlign w:val="bottom"/>
            <w:hideMark/>
          </w:tcPr>
          <w:p w14:paraId="08C517EE"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C33BCD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37E01A23"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88.5</w:t>
            </w:r>
          </w:p>
        </w:tc>
        <w:tc>
          <w:tcPr>
            <w:tcW w:w="1540" w:type="dxa"/>
            <w:tcBorders>
              <w:top w:val="nil"/>
              <w:left w:val="nil"/>
              <w:bottom w:val="single" w:sz="4" w:space="0" w:color="auto"/>
              <w:right w:val="single" w:sz="4" w:space="0" w:color="auto"/>
            </w:tcBorders>
            <w:shd w:val="clear" w:color="auto" w:fill="auto"/>
            <w:noWrap/>
            <w:vAlign w:val="bottom"/>
            <w:hideMark/>
          </w:tcPr>
          <w:p w14:paraId="2B5773A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78A1B9E7"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4A299D2"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7CF40253"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0A1FB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76F892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CEE20B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66A147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4EA059CC"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100</w:t>
            </w:r>
          </w:p>
        </w:tc>
      </w:tr>
      <w:tr w:rsidR="00BF10A3" w:rsidRPr="00CA1C31" w14:paraId="1E570729"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6F65C81A"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2EBA90F2"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57655C"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D86546"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05B1E2A9"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5111AA"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051F56F1"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0DC9A50F" w14:textId="77777777" w:rsidTr="001F7400">
        <w:trPr>
          <w:trHeight w:val="300"/>
        </w:trPr>
        <w:tc>
          <w:tcPr>
            <w:tcW w:w="3026"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BBA7EC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YR0 Fail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9F15DB"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E161972"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40DB0EAB"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2ECE914F"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45A95FB6"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37AF1AD9"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0BCDDF0F"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73F2F52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B4981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87.75</w:t>
            </w:r>
          </w:p>
        </w:tc>
        <w:tc>
          <w:tcPr>
            <w:tcW w:w="960" w:type="dxa"/>
            <w:tcBorders>
              <w:top w:val="nil"/>
              <w:left w:val="nil"/>
              <w:bottom w:val="single" w:sz="4" w:space="0" w:color="auto"/>
              <w:right w:val="single" w:sz="4" w:space="0" w:color="auto"/>
            </w:tcBorders>
            <w:shd w:val="clear" w:color="auto" w:fill="auto"/>
            <w:noWrap/>
            <w:vAlign w:val="bottom"/>
            <w:hideMark/>
          </w:tcPr>
          <w:p w14:paraId="0D3A7A0D"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17690F3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3479067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12.25</w:t>
            </w:r>
          </w:p>
        </w:tc>
        <w:tc>
          <w:tcPr>
            <w:tcW w:w="1540" w:type="dxa"/>
            <w:tcBorders>
              <w:top w:val="nil"/>
              <w:left w:val="nil"/>
              <w:bottom w:val="single" w:sz="4" w:space="0" w:color="auto"/>
              <w:right w:val="single" w:sz="4" w:space="0" w:color="auto"/>
            </w:tcBorders>
            <w:shd w:val="clear" w:color="auto" w:fill="auto"/>
            <w:noWrap/>
            <w:vAlign w:val="bottom"/>
            <w:hideMark/>
          </w:tcPr>
          <w:p w14:paraId="21FB105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514D4A37"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3A5BB9E"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181B6C80"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Y1 Zone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1E24A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38.25</w:t>
            </w:r>
          </w:p>
        </w:tc>
        <w:tc>
          <w:tcPr>
            <w:tcW w:w="960" w:type="dxa"/>
            <w:tcBorders>
              <w:top w:val="nil"/>
              <w:left w:val="nil"/>
              <w:bottom w:val="single" w:sz="4" w:space="0" w:color="auto"/>
              <w:right w:val="single" w:sz="4" w:space="0" w:color="auto"/>
            </w:tcBorders>
            <w:shd w:val="clear" w:color="auto" w:fill="auto"/>
            <w:noWrap/>
            <w:vAlign w:val="bottom"/>
            <w:hideMark/>
          </w:tcPr>
          <w:p w14:paraId="7270A5F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30</w:t>
            </w:r>
          </w:p>
        </w:tc>
        <w:tc>
          <w:tcPr>
            <w:tcW w:w="940" w:type="dxa"/>
            <w:tcBorders>
              <w:top w:val="nil"/>
              <w:left w:val="nil"/>
              <w:bottom w:val="single" w:sz="4" w:space="0" w:color="auto"/>
              <w:right w:val="single" w:sz="4" w:space="0" w:color="auto"/>
            </w:tcBorders>
            <w:shd w:val="clear" w:color="auto" w:fill="auto"/>
            <w:noWrap/>
            <w:vAlign w:val="bottom"/>
            <w:hideMark/>
          </w:tcPr>
          <w:p w14:paraId="669C788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18.75</w:t>
            </w:r>
          </w:p>
        </w:tc>
        <w:tc>
          <w:tcPr>
            <w:tcW w:w="1040" w:type="dxa"/>
            <w:tcBorders>
              <w:top w:val="nil"/>
              <w:left w:val="nil"/>
              <w:bottom w:val="single" w:sz="4" w:space="0" w:color="auto"/>
              <w:right w:val="single" w:sz="4" w:space="0" w:color="auto"/>
            </w:tcBorders>
            <w:shd w:val="clear" w:color="auto" w:fill="auto"/>
            <w:noWrap/>
            <w:vAlign w:val="bottom"/>
            <w:hideMark/>
          </w:tcPr>
          <w:p w14:paraId="1BC7E37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5E6E876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57162906"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1D250AFB"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31230159"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Fail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F775B8"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7E6BEB2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D2868A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62434DFE"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4B13F12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100</w:t>
            </w:r>
          </w:p>
        </w:tc>
      </w:tr>
      <w:tr w:rsidR="00BF10A3" w:rsidRPr="00CA1C31" w14:paraId="67871EF0"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0830A133"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4CA4E915"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Not Evaluated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8EB66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6.5</w:t>
            </w:r>
          </w:p>
        </w:tc>
        <w:tc>
          <w:tcPr>
            <w:tcW w:w="960" w:type="dxa"/>
            <w:tcBorders>
              <w:top w:val="nil"/>
              <w:left w:val="nil"/>
              <w:bottom w:val="single" w:sz="4" w:space="0" w:color="auto"/>
              <w:right w:val="single" w:sz="4" w:space="0" w:color="auto"/>
            </w:tcBorders>
            <w:shd w:val="clear" w:color="auto" w:fill="auto"/>
            <w:noWrap/>
            <w:vAlign w:val="bottom"/>
            <w:hideMark/>
          </w:tcPr>
          <w:p w14:paraId="16F7625C"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0.75</w:t>
            </w:r>
          </w:p>
        </w:tc>
        <w:tc>
          <w:tcPr>
            <w:tcW w:w="940" w:type="dxa"/>
            <w:tcBorders>
              <w:top w:val="nil"/>
              <w:left w:val="nil"/>
              <w:bottom w:val="single" w:sz="4" w:space="0" w:color="auto"/>
              <w:right w:val="single" w:sz="4" w:space="0" w:color="auto"/>
            </w:tcBorders>
            <w:shd w:val="clear" w:color="auto" w:fill="auto"/>
            <w:noWrap/>
            <w:vAlign w:val="bottom"/>
            <w:hideMark/>
          </w:tcPr>
          <w:p w14:paraId="2B85230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D9DF24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92</w:t>
            </w:r>
          </w:p>
        </w:tc>
        <w:tc>
          <w:tcPr>
            <w:tcW w:w="1540" w:type="dxa"/>
            <w:tcBorders>
              <w:top w:val="nil"/>
              <w:left w:val="nil"/>
              <w:bottom w:val="single" w:sz="4" w:space="0" w:color="auto"/>
              <w:right w:val="single" w:sz="4" w:space="0" w:color="auto"/>
            </w:tcBorders>
            <w:shd w:val="clear" w:color="auto" w:fill="auto"/>
            <w:noWrap/>
            <w:vAlign w:val="bottom"/>
            <w:hideMark/>
          </w:tcPr>
          <w:p w14:paraId="1F6457C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0.75</w:t>
            </w:r>
          </w:p>
        </w:tc>
      </w:tr>
      <w:tr w:rsidR="00BF10A3" w:rsidRPr="00CA1C31" w14:paraId="2D1DC9FF"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45BAD440"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2B6D66C8"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0CBDB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6D775D1"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52CFA65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032C780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5C04542B"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100</w:t>
            </w:r>
          </w:p>
        </w:tc>
      </w:tr>
      <w:tr w:rsidR="00BF10A3" w:rsidRPr="00CA1C31" w14:paraId="3F31C010"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6ADAF3FB"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6CCED4C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6969C"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E8CCC4B"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w:t>
            </w:r>
          </w:p>
        </w:tc>
        <w:tc>
          <w:tcPr>
            <w:tcW w:w="940" w:type="dxa"/>
            <w:tcBorders>
              <w:top w:val="nil"/>
              <w:left w:val="nil"/>
              <w:bottom w:val="single" w:sz="4" w:space="0" w:color="auto"/>
              <w:right w:val="single" w:sz="4" w:space="0" w:color="auto"/>
            </w:tcBorders>
            <w:shd w:val="clear" w:color="auto" w:fill="auto"/>
            <w:noWrap/>
            <w:vAlign w:val="bottom"/>
            <w:hideMark/>
          </w:tcPr>
          <w:p w14:paraId="3A86291F"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E455DD"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BEE3B1"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782FBA69" w14:textId="77777777" w:rsidTr="001F7400">
        <w:trPr>
          <w:trHeight w:val="300"/>
        </w:trPr>
        <w:tc>
          <w:tcPr>
            <w:tcW w:w="3026"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72A1F994"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YR0 Not Evaluated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F0A5D1"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D1610EE"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22943150"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2A347C0B"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c>
          <w:tcPr>
            <w:tcW w:w="1540" w:type="dxa"/>
            <w:tcBorders>
              <w:top w:val="nil"/>
              <w:left w:val="nil"/>
              <w:bottom w:val="single" w:sz="4" w:space="0" w:color="auto"/>
              <w:right w:val="single" w:sz="4" w:space="0" w:color="auto"/>
            </w:tcBorders>
            <w:shd w:val="clear" w:color="auto" w:fill="auto"/>
            <w:noWrap/>
            <w:vAlign w:val="bottom"/>
            <w:hideMark/>
          </w:tcPr>
          <w:p w14:paraId="3A876B64" w14:textId="77777777" w:rsidR="00BF10A3" w:rsidRPr="00CA1C31" w:rsidRDefault="00BF10A3" w:rsidP="001F7400">
            <w:pPr>
              <w:spacing w:after="0" w:line="240" w:lineRule="auto"/>
              <w:rPr>
                <w:rFonts w:ascii="Courier New" w:eastAsia="Times New Roman" w:hAnsi="Courier New" w:cs="Courier New"/>
                <w:sz w:val="16"/>
                <w:szCs w:val="16"/>
              </w:rPr>
            </w:pPr>
            <w:r w:rsidRPr="00CA1C31">
              <w:rPr>
                <w:rFonts w:ascii="Courier New" w:eastAsia="Times New Roman" w:hAnsi="Courier New" w:cs="Courier New"/>
                <w:sz w:val="16"/>
                <w:szCs w:val="16"/>
              </w:rPr>
              <w:t> </w:t>
            </w:r>
          </w:p>
        </w:tc>
      </w:tr>
      <w:tr w:rsidR="00BF10A3" w:rsidRPr="00CA1C31" w14:paraId="1F41D251"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A0F3B3D"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15607EF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Pass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F44BA3"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92.75</w:t>
            </w:r>
          </w:p>
        </w:tc>
        <w:tc>
          <w:tcPr>
            <w:tcW w:w="960" w:type="dxa"/>
            <w:tcBorders>
              <w:top w:val="nil"/>
              <w:left w:val="nil"/>
              <w:bottom w:val="single" w:sz="4" w:space="0" w:color="auto"/>
              <w:right w:val="single" w:sz="4" w:space="0" w:color="auto"/>
            </w:tcBorders>
            <w:shd w:val="clear" w:color="auto" w:fill="auto"/>
            <w:noWrap/>
            <w:vAlign w:val="bottom"/>
            <w:hideMark/>
          </w:tcPr>
          <w:p w14:paraId="040667A3"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04C28D4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36B2344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7.25</w:t>
            </w:r>
          </w:p>
        </w:tc>
        <w:tc>
          <w:tcPr>
            <w:tcW w:w="1540" w:type="dxa"/>
            <w:tcBorders>
              <w:top w:val="nil"/>
              <w:left w:val="nil"/>
              <w:bottom w:val="single" w:sz="4" w:space="0" w:color="auto"/>
              <w:right w:val="single" w:sz="4" w:space="0" w:color="auto"/>
            </w:tcBorders>
            <w:shd w:val="clear" w:color="auto" w:fill="auto"/>
            <w:noWrap/>
            <w:vAlign w:val="bottom"/>
            <w:hideMark/>
          </w:tcPr>
          <w:p w14:paraId="6D8B978C"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0E2B86E4"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3B2E3C07"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77C1A0C5"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Y1 Zone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41A9A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43.25</w:t>
            </w:r>
          </w:p>
        </w:tc>
        <w:tc>
          <w:tcPr>
            <w:tcW w:w="960" w:type="dxa"/>
            <w:tcBorders>
              <w:top w:val="nil"/>
              <w:left w:val="nil"/>
              <w:bottom w:val="single" w:sz="4" w:space="0" w:color="auto"/>
              <w:right w:val="single" w:sz="4" w:space="0" w:color="auto"/>
            </w:tcBorders>
            <w:shd w:val="clear" w:color="auto" w:fill="auto"/>
            <w:noWrap/>
            <w:vAlign w:val="bottom"/>
            <w:hideMark/>
          </w:tcPr>
          <w:p w14:paraId="2416C197"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27</w:t>
            </w:r>
          </w:p>
        </w:tc>
        <w:tc>
          <w:tcPr>
            <w:tcW w:w="940" w:type="dxa"/>
            <w:tcBorders>
              <w:top w:val="nil"/>
              <w:left w:val="nil"/>
              <w:bottom w:val="single" w:sz="4" w:space="0" w:color="auto"/>
              <w:right w:val="single" w:sz="4" w:space="0" w:color="auto"/>
            </w:tcBorders>
            <w:shd w:val="clear" w:color="auto" w:fill="auto"/>
            <w:noWrap/>
            <w:vAlign w:val="bottom"/>
            <w:hideMark/>
          </w:tcPr>
          <w:p w14:paraId="180D87BD"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16.75</w:t>
            </w:r>
          </w:p>
        </w:tc>
        <w:tc>
          <w:tcPr>
            <w:tcW w:w="1040" w:type="dxa"/>
            <w:tcBorders>
              <w:top w:val="nil"/>
              <w:left w:val="nil"/>
              <w:bottom w:val="single" w:sz="4" w:space="0" w:color="auto"/>
              <w:right w:val="single" w:sz="4" w:space="0" w:color="auto"/>
            </w:tcBorders>
            <w:shd w:val="clear" w:color="auto" w:fill="auto"/>
            <w:noWrap/>
            <w:vAlign w:val="bottom"/>
            <w:hideMark/>
          </w:tcPr>
          <w:p w14:paraId="5A1D14E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13</w:t>
            </w:r>
          </w:p>
        </w:tc>
        <w:tc>
          <w:tcPr>
            <w:tcW w:w="1540" w:type="dxa"/>
            <w:tcBorders>
              <w:top w:val="nil"/>
              <w:left w:val="nil"/>
              <w:bottom w:val="single" w:sz="4" w:space="0" w:color="auto"/>
              <w:right w:val="single" w:sz="4" w:space="0" w:color="auto"/>
            </w:tcBorders>
            <w:shd w:val="clear" w:color="auto" w:fill="auto"/>
            <w:noWrap/>
            <w:vAlign w:val="bottom"/>
            <w:hideMark/>
          </w:tcPr>
          <w:p w14:paraId="28B6F6EC"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43A2ED80"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36E2936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2D3E71B9"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Fail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9D97B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25.25</w:t>
            </w:r>
          </w:p>
        </w:tc>
        <w:tc>
          <w:tcPr>
            <w:tcW w:w="960" w:type="dxa"/>
            <w:tcBorders>
              <w:top w:val="nil"/>
              <w:left w:val="nil"/>
              <w:bottom w:val="single" w:sz="4" w:space="0" w:color="auto"/>
              <w:right w:val="single" w:sz="4" w:space="0" w:color="auto"/>
            </w:tcBorders>
            <w:shd w:val="clear" w:color="auto" w:fill="auto"/>
            <w:noWrap/>
            <w:vAlign w:val="bottom"/>
            <w:hideMark/>
          </w:tcPr>
          <w:p w14:paraId="6BD2AC62"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15</w:t>
            </w:r>
          </w:p>
        </w:tc>
        <w:tc>
          <w:tcPr>
            <w:tcW w:w="940" w:type="dxa"/>
            <w:tcBorders>
              <w:top w:val="nil"/>
              <w:left w:val="nil"/>
              <w:bottom w:val="single" w:sz="4" w:space="0" w:color="auto"/>
              <w:right w:val="single" w:sz="4" w:space="0" w:color="auto"/>
            </w:tcBorders>
            <w:shd w:val="clear" w:color="auto" w:fill="auto"/>
            <w:noWrap/>
            <w:vAlign w:val="bottom"/>
            <w:hideMark/>
          </w:tcPr>
          <w:p w14:paraId="0C2C287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1517F555"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11</w:t>
            </w:r>
          </w:p>
        </w:tc>
        <w:tc>
          <w:tcPr>
            <w:tcW w:w="1540" w:type="dxa"/>
            <w:tcBorders>
              <w:top w:val="nil"/>
              <w:left w:val="nil"/>
              <w:bottom w:val="single" w:sz="4" w:space="0" w:color="auto"/>
              <w:right w:val="single" w:sz="4" w:space="0" w:color="auto"/>
            </w:tcBorders>
            <w:shd w:val="clear" w:color="auto" w:fill="auto"/>
            <w:noWrap/>
            <w:vAlign w:val="bottom"/>
            <w:hideMark/>
          </w:tcPr>
          <w:p w14:paraId="532B6A8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48.75</w:t>
            </w:r>
          </w:p>
        </w:tc>
      </w:tr>
      <w:tr w:rsidR="00BF10A3" w:rsidRPr="00CA1C31" w14:paraId="7CAA06D8"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5C7E1845"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6C7607EC"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Not Evaluated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1AE86A"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11.5</w:t>
            </w:r>
          </w:p>
        </w:tc>
        <w:tc>
          <w:tcPr>
            <w:tcW w:w="960" w:type="dxa"/>
            <w:tcBorders>
              <w:top w:val="nil"/>
              <w:left w:val="nil"/>
              <w:bottom w:val="single" w:sz="4" w:space="0" w:color="auto"/>
              <w:right w:val="single" w:sz="4" w:space="0" w:color="auto"/>
            </w:tcBorders>
            <w:shd w:val="clear" w:color="auto" w:fill="auto"/>
            <w:noWrap/>
            <w:vAlign w:val="bottom"/>
            <w:hideMark/>
          </w:tcPr>
          <w:p w14:paraId="2E52F1C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3F11BC14"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266916D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88.5</w:t>
            </w:r>
          </w:p>
        </w:tc>
        <w:tc>
          <w:tcPr>
            <w:tcW w:w="1540" w:type="dxa"/>
            <w:tcBorders>
              <w:top w:val="nil"/>
              <w:left w:val="nil"/>
              <w:bottom w:val="single" w:sz="4" w:space="0" w:color="auto"/>
              <w:right w:val="single" w:sz="4" w:space="0" w:color="auto"/>
            </w:tcBorders>
            <w:shd w:val="clear" w:color="auto" w:fill="auto"/>
            <w:noWrap/>
            <w:vAlign w:val="bottom"/>
            <w:hideMark/>
          </w:tcPr>
          <w:p w14:paraId="289F270E"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r>
      <w:tr w:rsidR="00BF10A3" w:rsidRPr="00CA1C31" w14:paraId="2C3464F3" w14:textId="77777777" w:rsidTr="001F7400">
        <w:trPr>
          <w:trHeight w:val="300"/>
        </w:trPr>
        <w:tc>
          <w:tcPr>
            <w:tcW w:w="313" w:type="dxa"/>
            <w:tcBorders>
              <w:top w:val="nil"/>
              <w:left w:val="single" w:sz="4" w:space="0" w:color="auto"/>
              <w:bottom w:val="single" w:sz="4" w:space="0" w:color="auto"/>
              <w:right w:val="nil"/>
            </w:tcBorders>
            <w:shd w:val="clear" w:color="auto" w:fill="auto"/>
            <w:noWrap/>
            <w:vAlign w:val="bottom"/>
            <w:hideMark/>
          </w:tcPr>
          <w:p w14:paraId="21D5869B"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 </w:t>
            </w:r>
          </w:p>
        </w:tc>
        <w:tc>
          <w:tcPr>
            <w:tcW w:w="2713" w:type="dxa"/>
            <w:tcBorders>
              <w:top w:val="nil"/>
              <w:left w:val="nil"/>
              <w:bottom w:val="single" w:sz="4" w:space="0" w:color="auto"/>
              <w:right w:val="single" w:sz="4" w:space="0" w:color="auto"/>
            </w:tcBorders>
            <w:shd w:val="clear" w:color="auto" w:fill="auto"/>
            <w:noWrap/>
            <w:vAlign w:val="bottom"/>
            <w:hideMark/>
          </w:tcPr>
          <w:p w14:paraId="17999EA2" w14:textId="77777777" w:rsidR="00BF10A3" w:rsidRPr="00CA1C31" w:rsidRDefault="00BF10A3" w:rsidP="001F7400">
            <w:pPr>
              <w:spacing w:after="0" w:line="240" w:lineRule="auto"/>
              <w:rPr>
                <w:rFonts w:ascii="Courier New" w:eastAsia="Times New Roman" w:hAnsi="Courier New" w:cs="Courier New"/>
                <w:b/>
                <w:bCs/>
                <w:sz w:val="16"/>
                <w:szCs w:val="16"/>
              </w:rPr>
            </w:pPr>
            <w:r w:rsidRPr="00CA1C31">
              <w:rPr>
                <w:rFonts w:ascii="Courier New" w:eastAsia="Times New Roman" w:hAnsi="Courier New" w:cs="Courier New"/>
                <w:b/>
                <w:bCs/>
                <w:sz w:val="16"/>
                <w:szCs w:val="16"/>
              </w:rPr>
              <w:t>YR1 Ineligible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677AC6"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14:paraId="4BDDFA89"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940" w:type="dxa"/>
            <w:tcBorders>
              <w:top w:val="nil"/>
              <w:left w:val="nil"/>
              <w:bottom w:val="single" w:sz="4" w:space="0" w:color="auto"/>
              <w:right w:val="single" w:sz="4" w:space="0" w:color="auto"/>
            </w:tcBorders>
            <w:shd w:val="clear" w:color="auto" w:fill="auto"/>
            <w:noWrap/>
            <w:vAlign w:val="bottom"/>
            <w:hideMark/>
          </w:tcPr>
          <w:p w14:paraId="1DE1364F"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040" w:type="dxa"/>
            <w:tcBorders>
              <w:top w:val="nil"/>
              <w:left w:val="nil"/>
              <w:bottom w:val="single" w:sz="4" w:space="0" w:color="auto"/>
              <w:right w:val="single" w:sz="4" w:space="0" w:color="auto"/>
            </w:tcBorders>
            <w:shd w:val="clear" w:color="auto" w:fill="auto"/>
            <w:noWrap/>
            <w:vAlign w:val="bottom"/>
            <w:hideMark/>
          </w:tcPr>
          <w:p w14:paraId="63ED34B0"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0</w:t>
            </w:r>
          </w:p>
        </w:tc>
        <w:tc>
          <w:tcPr>
            <w:tcW w:w="1540" w:type="dxa"/>
            <w:tcBorders>
              <w:top w:val="nil"/>
              <w:left w:val="nil"/>
              <w:bottom w:val="single" w:sz="4" w:space="0" w:color="auto"/>
              <w:right w:val="single" w:sz="4" w:space="0" w:color="auto"/>
            </w:tcBorders>
            <w:shd w:val="clear" w:color="auto" w:fill="auto"/>
            <w:noWrap/>
            <w:vAlign w:val="bottom"/>
            <w:hideMark/>
          </w:tcPr>
          <w:p w14:paraId="1E0B226D" w14:textId="77777777" w:rsidR="00BF10A3" w:rsidRPr="00CA1C31" w:rsidRDefault="00BF10A3" w:rsidP="001F7400">
            <w:pPr>
              <w:spacing w:after="0" w:line="240" w:lineRule="auto"/>
              <w:jc w:val="right"/>
              <w:rPr>
                <w:rFonts w:ascii="Courier New" w:eastAsia="Times New Roman" w:hAnsi="Courier New" w:cs="Courier New"/>
                <w:sz w:val="16"/>
                <w:szCs w:val="16"/>
              </w:rPr>
            </w:pPr>
            <w:r w:rsidRPr="00CA1C31">
              <w:rPr>
                <w:rFonts w:ascii="Courier New" w:eastAsia="Times New Roman" w:hAnsi="Courier New" w:cs="Courier New"/>
                <w:sz w:val="16"/>
                <w:szCs w:val="16"/>
              </w:rPr>
              <w:t>100</w:t>
            </w:r>
          </w:p>
        </w:tc>
      </w:tr>
    </w:tbl>
    <w:p w14:paraId="71117E57" w14:textId="77777777" w:rsidR="00BF10A3" w:rsidRPr="00CA1C31" w:rsidRDefault="00BF10A3" w:rsidP="00BF10A3">
      <w:pPr>
        <w:rPr>
          <w:rFonts w:asciiTheme="minorHAnsi" w:eastAsiaTheme="minorHAnsi" w:hAnsiTheme="minorHAnsi" w:cstheme="minorBidi"/>
        </w:rPr>
      </w:pPr>
    </w:p>
    <w:tbl>
      <w:tblPr>
        <w:tblW w:w="6573" w:type="dxa"/>
        <w:tblInd w:w="93" w:type="dxa"/>
        <w:tblLook w:val="04A0" w:firstRow="1" w:lastRow="0" w:firstColumn="1" w:lastColumn="0" w:noHBand="0" w:noVBand="1"/>
      </w:tblPr>
      <w:tblGrid>
        <w:gridCol w:w="1905"/>
        <w:gridCol w:w="735"/>
        <w:gridCol w:w="960"/>
        <w:gridCol w:w="960"/>
        <w:gridCol w:w="960"/>
        <w:gridCol w:w="1053"/>
      </w:tblGrid>
      <w:tr w:rsidR="00BF10A3" w:rsidRPr="00B926F0" w14:paraId="0E428C53" w14:textId="77777777" w:rsidTr="001F7400">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B50F"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7FB6D809" w14:textId="77777777" w:rsidR="00BF10A3" w:rsidRPr="00B926F0" w:rsidRDefault="00BF10A3" w:rsidP="001F7400">
            <w:pPr>
              <w:spacing w:after="0" w:line="240" w:lineRule="auto"/>
              <w:jc w:val="right"/>
              <w:rPr>
                <w:rFonts w:eastAsia="Times New Roman" w:cs="Calibri"/>
                <w:b/>
                <w:bCs/>
              </w:rPr>
            </w:pPr>
            <w:r w:rsidRPr="00B926F0">
              <w:rPr>
                <w:rFonts w:eastAsia="Times New Roman" w:cs="Calibri"/>
                <w:b/>
                <w:bCs/>
              </w:rPr>
              <w:t>Pass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8ADE70" w14:textId="77777777" w:rsidR="00BF10A3" w:rsidRPr="00B926F0" w:rsidRDefault="00BF10A3" w:rsidP="001F7400">
            <w:pPr>
              <w:spacing w:after="0" w:line="240" w:lineRule="auto"/>
              <w:jc w:val="right"/>
              <w:rPr>
                <w:rFonts w:eastAsia="Times New Roman" w:cs="Calibri"/>
                <w:b/>
                <w:bCs/>
              </w:rPr>
            </w:pPr>
            <w:r w:rsidRPr="00B926F0">
              <w:rPr>
                <w:rFonts w:eastAsia="Times New Roman" w:cs="Calibri"/>
                <w:b/>
                <w:bCs/>
              </w:rPr>
              <w:t>Zone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842A41" w14:textId="77777777" w:rsidR="00BF10A3" w:rsidRPr="00B926F0" w:rsidRDefault="00BF10A3" w:rsidP="001F7400">
            <w:pPr>
              <w:spacing w:after="0" w:line="240" w:lineRule="auto"/>
              <w:jc w:val="right"/>
              <w:rPr>
                <w:rFonts w:eastAsia="Times New Roman" w:cs="Calibri"/>
                <w:b/>
                <w:bCs/>
              </w:rPr>
            </w:pPr>
            <w:r w:rsidRPr="00B926F0">
              <w:rPr>
                <w:rFonts w:eastAsia="Times New Roman" w:cs="Calibri"/>
                <w:b/>
                <w:bCs/>
              </w:rPr>
              <w:t>Fail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55E8F7" w14:textId="77777777" w:rsidR="00BF10A3" w:rsidRPr="00B926F0" w:rsidRDefault="00BF10A3" w:rsidP="001F7400">
            <w:pPr>
              <w:spacing w:after="0" w:line="240" w:lineRule="auto"/>
              <w:jc w:val="right"/>
              <w:rPr>
                <w:rFonts w:eastAsia="Times New Roman" w:cs="Calibri"/>
                <w:b/>
                <w:bCs/>
              </w:rPr>
            </w:pPr>
            <w:r w:rsidRPr="00B926F0">
              <w:rPr>
                <w:rFonts w:eastAsia="Times New Roman" w:cs="Calibri"/>
                <w:b/>
                <w:bCs/>
              </w:rPr>
              <w:t>Ne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0DD70E0C" w14:textId="77777777" w:rsidR="00BF10A3" w:rsidRPr="00B926F0" w:rsidRDefault="00BF10A3" w:rsidP="001F7400">
            <w:pPr>
              <w:spacing w:after="0" w:line="240" w:lineRule="auto"/>
              <w:jc w:val="right"/>
              <w:rPr>
                <w:rFonts w:eastAsia="Times New Roman" w:cs="Calibri"/>
                <w:b/>
                <w:bCs/>
              </w:rPr>
            </w:pPr>
            <w:r w:rsidRPr="00B926F0">
              <w:rPr>
                <w:rFonts w:eastAsia="Times New Roman" w:cs="Calibri"/>
                <w:b/>
                <w:bCs/>
              </w:rPr>
              <w:t>Ineligible</w:t>
            </w:r>
          </w:p>
        </w:tc>
      </w:tr>
      <w:tr w:rsidR="00BF10A3" w:rsidRPr="00B926F0" w14:paraId="092908EF"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2A0DF4D7"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Prior Year Group:</w:t>
            </w:r>
          </w:p>
        </w:tc>
        <w:tc>
          <w:tcPr>
            <w:tcW w:w="735" w:type="dxa"/>
            <w:tcBorders>
              <w:top w:val="nil"/>
              <w:left w:val="nil"/>
              <w:bottom w:val="single" w:sz="4" w:space="0" w:color="auto"/>
              <w:right w:val="single" w:sz="4" w:space="0" w:color="auto"/>
            </w:tcBorders>
            <w:shd w:val="clear" w:color="auto" w:fill="auto"/>
            <w:noWrap/>
            <w:vAlign w:val="bottom"/>
            <w:hideMark/>
          </w:tcPr>
          <w:p w14:paraId="7476A7C8"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070F8F08"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7AEEE49E"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39C582E0"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c>
          <w:tcPr>
            <w:tcW w:w="1053" w:type="dxa"/>
            <w:tcBorders>
              <w:top w:val="nil"/>
              <w:left w:val="nil"/>
              <w:bottom w:val="single" w:sz="4" w:space="0" w:color="auto"/>
              <w:right w:val="single" w:sz="4" w:space="0" w:color="auto"/>
            </w:tcBorders>
            <w:shd w:val="clear" w:color="auto" w:fill="auto"/>
            <w:noWrap/>
            <w:vAlign w:val="bottom"/>
            <w:hideMark/>
          </w:tcPr>
          <w:p w14:paraId="693AA06B" w14:textId="77777777" w:rsidR="00BF10A3" w:rsidRPr="00B926F0" w:rsidRDefault="00BF10A3" w:rsidP="001F7400">
            <w:pPr>
              <w:spacing w:after="0" w:line="240" w:lineRule="auto"/>
              <w:rPr>
                <w:rFonts w:eastAsia="Times New Roman" w:cs="Calibri"/>
              </w:rPr>
            </w:pPr>
            <w:r w:rsidRPr="00B926F0">
              <w:rPr>
                <w:rFonts w:eastAsia="Times New Roman" w:cs="Calibri"/>
              </w:rPr>
              <w:t> </w:t>
            </w:r>
          </w:p>
        </w:tc>
      </w:tr>
      <w:tr w:rsidR="00BF10A3" w:rsidRPr="00B926F0" w14:paraId="1938B7E2"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0648670F"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 xml:space="preserve">Good </w:t>
            </w:r>
          </w:p>
        </w:tc>
        <w:tc>
          <w:tcPr>
            <w:tcW w:w="735" w:type="dxa"/>
            <w:tcBorders>
              <w:top w:val="nil"/>
              <w:left w:val="nil"/>
              <w:bottom w:val="single" w:sz="4" w:space="0" w:color="auto"/>
              <w:right w:val="single" w:sz="4" w:space="0" w:color="auto"/>
            </w:tcBorders>
            <w:shd w:val="clear" w:color="auto" w:fill="auto"/>
            <w:noWrap/>
            <w:vAlign w:val="bottom"/>
            <w:hideMark/>
          </w:tcPr>
          <w:p w14:paraId="22A660B3"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97.75</w:t>
            </w:r>
          </w:p>
        </w:tc>
        <w:tc>
          <w:tcPr>
            <w:tcW w:w="960" w:type="dxa"/>
            <w:tcBorders>
              <w:top w:val="nil"/>
              <w:left w:val="nil"/>
              <w:bottom w:val="single" w:sz="4" w:space="0" w:color="auto"/>
              <w:right w:val="single" w:sz="4" w:space="0" w:color="auto"/>
            </w:tcBorders>
            <w:shd w:val="clear" w:color="auto" w:fill="auto"/>
            <w:noWrap/>
            <w:vAlign w:val="bottom"/>
            <w:hideMark/>
          </w:tcPr>
          <w:p w14:paraId="63D879FC"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02CC92EA"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7D2CD0BA"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2.25</w:t>
            </w:r>
          </w:p>
        </w:tc>
        <w:tc>
          <w:tcPr>
            <w:tcW w:w="1053" w:type="dxa"/>
            <w:tcBorders>
              <w:top w:val="nil"/>
              <w:left w:val="nil"/>
              <w:bottom w:val="single" w:sz="4" w:space="0" w:color="auto"/>
              <w:right w:val="single" w:sz="4" w:space="0" w:color="auto"/>
            </w:tcBorders>
            <w:shd w:val="clear" w:color="auto" w:fill="auto"/>
            <w:noWrap/>
            <w:vAlign w:val="bottom"/>
            <w:hideMark/>
          </w:tcPr>
          <w:p w14:paraId="3B5078D8"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r>
      <w:tr w:rsidR="00BF10A3" w:rsidRPr="00B926F0" w14:paraId="2C6B6FF5"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2FF32288"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Improving</w:t>
            </w:r>
          </w:p>
        </w:tc>
        <w:tc>
          <w:tcPr>
            <w:tcW w:w="735" w:type="dxa"/>
            <w:tcBorders>
              <w:top w:val="nil"/>
              <w:left w:val="nil"/>
              <w:bottom w:val="single" w:sz="4" w:space="0" w:color="auto"/>
              <w:right w:val="single" w:sz="4" w:space="0" w:color="auto"/>
            </w:tcBorders>
            <w:shd w:val="clear" w:color="auto" w:fill="auto"/>
            <w:noWrap/>
            <w:vAlign w:val="bottom"/>
            <w:hideMark/>
          </w:tcPr>
          <w:p w14:paraId="1D80958C"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53.25</w:t>
            </w:r>
          </w:p>
        </w:tc>
        <w:tc>
          <w:tcPr>
            <w:tcW w:w="960" w:type="dxa"/>
            <w:tcBorders>
              <w:top w:val="nil"/>
              <w:left w:val="nil"/>
              <w:bottom w:val="single" w:sz="4" w:space="0" w:color="auto"/>
              <w:right w:val="single" w:sz="4" w:space="0" w:color="auto"/>
            </w:tcBorders>
            <w:shd w:val="clear" w:color="auto" w:fill="auto"/>
            <w:noWrap/>
            <w:vAlign w:val="bottom"/>
            <w:hideMark/>
          </w:tcPr>
          <w:p w14:paraId="68F5E30A"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21</w:t>
            </w:r>
          </w:p>
        </w:tc>
        <w:tc>
          <w:tcPr>
            <w:tcW w:w="960" w:type="dxa"/>
            <w:tcBorders>
              <w:top w:val="nil"/>
              <w:left w:val="nil"/>
              <w:bottom w:val="single" w:sz="4" w:space="0" w:color="auto"/>
              <w:right w:val="single" w:sz="4" w:space="0" w:color="auto"/>
            </w:tcBorders>
            <w:shd w:val="clear" w:color="auto" w:fill="auto"/>
            <w:noWrap/>
            <w:vAlign w:val="bottom"/>
            <w:hideMark/>
          </w:tcPr>
          <w:p w14:paraId="3C13E5E7"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12.75</w:t>
            </w:r>
          </w:p>
        </w:tc>
        <w:tc>
          <w:tcPr>
            <w:tcW w:w="960" w:type="dxa"/>
            <w:tcBorders>
              <w:top w:val="nil"/>
              <w:left w:val="nil"/>
              <w:bottom w:val="single" w:sz="4" w:space="0" w:color="auto"/>
              <w:right w:val="single" w:sz="4" w:space="0" w:color="auto"/>
            </w:tcBorders>
            <w:shd w:val="clear" w:color="auto" w:fill="auto"/>
            <w:noWrap/>
            <w:vAlign w:val="bottom"/>
            <w:hideMark/>
          </w:tcPr>
          <w:p w14:paraId="62679EA4"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13</w:t>
            </w:r>
          </w:p>
        </w:tc>
        <w:tc>
          <w:tcPr>
            <w:tcW w:w="1053" w:type="dxa"/>
            <w:tcBorders>
              <w:top w:val="nil"/>
              <w:left w:val="nil"/>
              <w:bottom w:val="single" w:sz="4" w:space="0" w:color="auto"/>
              <w:right w:val="single" w:sz="4" w:space="0" w:color="auto"/>
            </w:tcBorders>
            <w:shd w:val="clear" w:color="auto" w:fill="auto"/>
            <w:noWrap/>
            <w:vAlign w:val="bottom"/>
            <w:hideMark/>
          </w:tcPr>
          <w:p w14:paraId="3C3DDD9C"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r>
      <w:tr w:rsidR="00BF10A3" w:rsidRPr="00B926F0" w14:paraId="61DC1738"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30B2CC04"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Poor/Declining</w:t>
            </w:r>
          </w:p>
        </w:tc>
        <w:tc>
          <w:tcPr>
            <w:tcW w:w="735" w:type="dxa"/>
            <w:tcBorders>
              <w:top w:val="nil"/>
              <w:left w:val="nil"/>
              <w:bottom w:val="single" w:sz="4" w:space="0" w:color="auto"/>
              <w:right w:val="single" w:sz="4" w:space="0" w:color="auto"/>
            </w:tcBorders>
            <w:shd w:val="clear" w:color="auto" w:fill="auto"/>
            <w:noWrap/>
            <w:vAlign w:val="bottom"/>
            <w:hideMark/>
          </w:tcPr>
          <w:p w14:paraId="56499044"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33.25</w:t>
            </w:r>
          </w:p>
        </w:tc>
        <w:tc>
          <w:tcPr>
            <w:tcW w:w="960" w:type="dxa"/>
            <w:tcBorders>
              <w:top w:val="nil"/>
              <w:left w:val="nil"/>
              <w:bottom w:val="single" w:sz="4" w:space="0" w:color="auto"/>
              <w:right w:val="single" w:sz="4" w:space="0" w:color="auto"/>
            </w:tcBorders>
            <w:shd w:val="clear" w:color="auto" w:fill="auto"/>
            <w:noWrap/>
            <w:vAlign w:val="bottom"/>
            <w:hideMark/>
          </w:tcPr>
          <w:p w14:paraId="5F30603C"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32</w:t>
            </w:r>
          </w:p>
        </w:tc>
        <w:tc>
          <w:tcPr>
            <w:tcW w:w="960" w:type="dxa"/>
            <w:tcBorders>
              <w:top w:val="nil"/>
              <w:left w:val="nil"/>
              <w:bottom w:val="single" w:sz="4" w:space="0" w:color="auto"/>
              <w:right w:val="single" w:sz="4" w:space="0" w:color="auto"/>
            </w:tcBorders>
            <w:shd w:val="clear" w:color="auto" w:fill="auto"/>
            <w:noWrap/>
            <w:vAlign w:val="bottom"/>
            <w:hideMark/>
          </w:tcPr>
          <w:p w14:paraId="5DE8CE56"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21.75</w:t>
            </w:r>
          </w:p>
        </w:tc>
        <w:tc>
          <w:tcPr>
            <w:tcW w:w="960" w:type="dxa"/>
            <w:tcBorders>
              <w:top w:val="nil"/>
              <w:left w:val="nil"/>
              <w:bottom w:val="single" w:sz="4" w:space="0" w:color="auto"/>
              <w:right w:val="single" w:sz="4" w:space="0" w:color="auto"/>
            </w:tcBorders>
            <w:shd w:val="clear" w:color="auto" w:fill="auto"/>
            <w:noWrap/>
            <w:vAlign w:val="bottom"/>
            <w:hideMark/>
          </w:tcPr>
          <w:p w14:paraId="4740B2B3"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13</w:t>
            </w:r>
          </w:p>
        </w:tc>
        <w:tc>
          <w:tcPr>
            <w:tcW w:w="1053" w:type="dxa"/>
            <w:tcBorders>
              <w:top w:val="nil"/>
              <w:left w:val="nil"/>
              <w:bottom w:val="single" w:sz="4" w:space="0" w:color="auto"/>
              <w:right w:val="single" w:sz="4" w:space="0" w:color="auto"/>
            </w:tcBorders>
            <w:shd w:val="clear" w:color="auto" w:fill="auto"/>
            <w:noWrap/>
            <w:vAlign w:val="bottom"/>
            <w:hideMark/>
          </w:tcPr>
          <w:p w14:paraId="181467BA"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r>
      <w:tr w:rsidR="00BF10A3" w:rsidRPr="00B926F0" w14:paraId="3AF4AE8E"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5373B894"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Fail Next</w:t>
            </w:r>
          </w:p>
        </w:tc>
        <w:tc>
          <w:tcPr>
            <w:tcW w:w="735" w:type="dxa"/>
            <w:tcBorders>
              <w:top w:val="nil"/>
              <w:left w:val="nil"/>
              <w:bottom w:val="single" w:sz="4" w:space="0" w:color="auto"/>
              <w:right w:val="single" w:sz="4" w:space="0" w:color="auto"/>
            </w:tcBorders>
            <w:shd w:val="clear" w:color="auto" w:fill="auto"/>
            <w:noWrap/>
            <w:vAlign w:val="bottom"/>
            <w:hideMark/>
          </w:tcPr>
          <w:p w14:paraId="197CDB90"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20.25</w:t>
            </w:r>
          </w:p>
        </w:tc>
        <w:tc>
          <w:tcPr>
            <w:tcW w:w="960" w:type="dxa"/>
            <w:tcBorders>
              <w:top w:val="nil"/>
              <w:left w:val="nil"/>
              <w:bottom w:val="single" w:sz="4" w:space="0" w:color="auto"/>
              <w:right w:val="single" w:sz="4" w:space="0" w:color="auto"/>
            </w:tcBorders>
            <w:shd w:val="clear" w:color="auto" w:fill="auto"/>
            <w:noWrap/>
            <w:vAlign w:val="bottom"/>
            <w:hideMark/>
          </w:tcPr>
          <w:p w14:paraId="65FFD5F6"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17</w:t>
            </w:r>
          </w:p>
        </w:tc>
        <w:tc>
          <w:tcPr>
            <w:tcW w:w="960" w:type="dxa"/>
            <w:tcBorders>
              <w:top w:val="nil"/>
              <w:left w:val="nil"/>
              <w:bottom w:val="single" w:sz="4" w:space="0" w:color="auto"/>
              <w:right w:val="single" w:sz="4" w:space="0" w:color="auto"/>
            </w:tcBorders>
            <w:shd w:val="clear" w:color="auto" w:fill="auto"/>
            <w:noWrap/>
            <w:vAlign w:val="bottom"/>
            <w:hideMark/>
          </w:tcPr>
          <w:p w14:paraId="22C0367B"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42F6C6AE"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11</w:t>
            </w:r>
          </w:p>
        </w:tc>
        <w:tc>
          <w:tcPr>
            <w:tcW w:w="1053" w:type="dxa"/>
            <w:tcBorders>
              <w:top w:val="nil"/>
              <w:left w:val="nil"/>
              <w:bottom w:val="single" w:sz="4" w:space="0" w:color="auto"/>
              <w:right w:val="single" w:sz="4" w:space="0" w:color="auto"/>
            </w:tcBorders>
            <w:shd w:val="clear" w:color="auto" w:fill="auto"/>
            <w:noWrap/>
            <w:vAlign w:val="bottom"/>
            <w:hideMark/>
          </w:tcPr>
          <w:p w14:paraId="1030CB51"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51.75</w:t>
            </w:r>
          </w:p>
        </w:tc>
      </w:tr>
      <w:tr w:rsidR="00BF10A3" w:rsidRPr="00B926F0" w14:paraId="13E7FE0F" w14:textId="77777777" w:rsidTr="001F7400">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57D9460A"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Ineligible</w:t>
            </w:r>
          </w:p>
        </w:tc>
        <w:tc>
          <w:tcPr>
            <w:tcW w:w="735" w:type="dxa"/>
            <w:tcBorders>
              <w:top w:val="nil"/>
              <w:left w:val="nil"/>
              <w:bottom w:val="single" w:sz="4" w:space="0" w:color="auto"/>
              <w:right w:val="single" w:sz="4" w:space="0" w:color="auto"/>
            </w:tcBorders>
            <w:shd w:val="clear" w:color="auto" w:fill="auto"/>
            <w:noWrap/>
            <w:vAlign w:val="bottom"/>
            <w:hideMark/>
          </w:tcPr>
          <w:p w14:paraId="4560E046"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3088B3D3"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076769B1"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254E5C15"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1053" w:type="dxa"/>
            <w:tcBorders>
              <w:top w:val="nil"/>
              <w:left w:val="nil"/>
              <w:bottom w:val="single" w:sz="4" w:space="0" w:color="auto"/>
              <w:right w:val="single" w:sz="4" w:space="0" w:color="auto"/>
            </w:tcBorders>
            <w:shd w:val="clear" w:color="auto" w:fill="auto"/>
            <w:noWrap/>
            <w:vAlign w:val="bottom"/>
            <w:hideMark/>
          </w:tcPr>
          <w:p w14:paraId="4A2F4E9F"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100</w:t>
            </w:r>
          </w:p>
        </w:tc>
      </w:tr>
      <w:tr w:rsidR="00BF10A3" w:rsidRPr="00B926F0" w14:paraId="598D02BA" w14:textId="77777777" w:rsidTr="001F7400">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14:paraId="460A4630" w14:textId="77777777" w:rsidR="00BF10A3" w:rsidRPr="00B926F0" w:rsidRDefault="00BF10A3" w:rsidP="001F7400">
            <w:pPr>
              <w:spacing w:after="0" w:line="240" w:lineRule="auto"/>
              <w:rPr>
                <w:rFonts w:eastAsia="Times New Roman" w:cs="Calibri"/>
                <w:b/>
                <w:bCs/>
              </w:rPr>
            </w:pPr>
            <w:r w:rsidRPr="00B926F0">
              <w:rPr>
                <w:rFonts w:eastAsia="Times New Roman" w:cs="Calibri"/>
                <w:b/>
                <w:bCs/>
              </w:rPr>
              <w:t>NE</w:t>
            </w:r>
          </w:p>
        </w:tc>
        <w:tc>
          <w:tcPr>
            <w:tcW w:w="735" w:type="dxa"/>
            <w:tcBorders>
              <w:top w:val="nil"/>
              <w:left w:val="nil"/>
              <w:bottom w:val="single" w:sz="4" w:space="0" w:color="auto"/>
              <w:right w:val="single" w:sz="4" w:space="0" w:color="auto"/>
            </w:tcBorders>
            <w:shd w:val="clear" w:color="auto" w:fill="auto"/>
            <w:noWrap/>
            <w:vAlign w:val="bottom"/>
            <w:hideMark/>
          </w:tcPr>
          <w:p w14:paraId="133376E2"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11.5</w:t>
            </w:r>
          </w:p>
        </w:tc>
        <w:tc>
          <w:tcPr>
            <w:tcW w:w="960" w:type="dxa"/>
            <w:tcBorders>
              <w:top w:val="nil"/>
              <w:left w:val="nil"/>
              <w:bottom w:val="single" w:sz="4" w:space="0" w:color="auto"/>
              <w:right w:val="single" w:sz="4" w:space="0" w:color="auto"/>
            </w:tcBorders>
            <w:shd w:val="clear" w:color="auto" w:fill="auto"/>
            <w:noWrap/>
            <w:vAlign w:val="bottom"/>
            <w:hideMark/>
          </w:tcPr>
          <w:p w14:paraId="38646E9B"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7FF3F41D"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c>
          <w:tcPr>
            <w:tcW w:w="960" w:type="dxa"/>
            <w:tcBorders>
              <w:top w:val="nil"/>
              <w:left w:val="nil"/>
              <w:bottom w:val="single" w:sz="4" w:space="0" w:color="auto"/>
              <w:right w:val="single" w:sz="4" w:space="0" w:color="auto"/>
            </w:tcBorders>
            <w:shd w:val="clear" w:color="auto" w:fill="auto"/>
            <w:noWrap/>
            <w:vAlign w:val="bottom"/>
            <w:hideMark/>
          </w:tcPr>
          <w:p w14:paraId="4CE90B7F"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88.5</w:t>
            </w:r>
          </w:p>
        </w:tc>
        <w:tc>
          <w:tcPr>
            <w:tcW w:w="1053" w:type="dxa"/>
            <w:tcBorders>
              <w:top w:val="nil"/>
              <w:left w:val="nil"/>
              <w:bottom w:val="single" w:sz="4" w:space="0" w:color="auto"/>
              <w:right w:val="single" w:sz="4" w:space="0" w:color="auto"/>
            </w:tcBorders>
            <w:shd w:val="clear" w:color="auto" w:fill="auto"/>
            <w:noWrap/>
            <w:vAlign w:val="bottom"/>
            <w:hideMark/>
          </w:tcPr>
          <w:p w14:paraId="236AF6DB" w14:textId="77777777" w:rsidR="00BF10A3" w:rsidRPr="00B926F0" w:rsidRDefault="00BF10A3" w:rsidP="001F7400">
            <w:pPr>
              <w:spacing w:after="0" w:line="240" w:lineRule="auto"/>
              <w:jc w:val="right"/>
              <w:rPr>
                <w:rFonts w:eastAsia="Times New Roman" w:cs="Calibri"/>
              </w:rPr>
            </w:pPr>
            <w:r w:rsidRPr="00B926F0">
              <w:rPr>
                <w:rFonts w:eastAsia="Times New Roman" w:cs="Calibri"/>
              </w:rPr>
              <w:t>0</w:t>
            </w:r>
          </w:p>
        </w:tc>
      </w:tr>
    </w:tbl>
    <w:p w14:paraId="11AE8B3D" w14:textId="77777777" w:rsidR="00BF10A3" w:rsidRPr="00AA6DFD" w:rsidRDefault="00BF10A3" w:rsidP="00BF10A3">
      <w:pPr>
        <w:rPr>
          <w:rFonts w:ascii="Courier New" w:hAnsi="Courier New" w:cs="Courier New"/>
          <w:sz w:val="24"/>
          <w:szCs w:val="24"/>
          <w:u w:val="single"/>
        </w:rPr>
      </w:pPr>
    </w:p>
    <w:p w14:paraId="70206BB0" w14:textId="77777777" w:rsidR="00BF10A3" w:rsidRPr="00AA6DFD" w:rsidRDefault="00BF10A3" w:rsidP="00BF10A3">
      <w:pPr>
        <w:pStyle w:val="riaheader3"/>
      </w:pPr>
      <w:r w:rsidRPr="00AA6DFD">
        <w:t>Alternative student response assumptions</w:t>
      </w:r>
    </w:p>
    <w:p w14:paraId="26D0388C" w14:textId="77777777" w:rsidR="00BF10A3" w:rsidRPr="00AA6DFD" w:rsidRDefault="00BF10A3" w:rsidP="00BF10A3">
      <w:pPr>
        <w:spacing w:after="0" w:line="240" w:lineRule="auto"/>
        <w:ind w:firstLine="720"/>
        <w:rPr>
          <w:rFonts w:ascii="Courier New" w:hAnsi="Courier New" w:cs="Courier New"/>
          <w:sz w:val="24"/>
          <w:szCs w:val="24"/>
        </w:rPr>
      </w:pPr>
    </w:p>
    <w:p w14:paraId="1D16253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We also assumed two additional student response scenarios, zero student response and strong student response.  For the zero program response, an extreme worst case scenario, we assumed students in zone and failing programs would not react to warnings and disclosures and instead, would remain in their programs until they are made ineligible.  For the strong student response, we assumed students would be highly responsive to program performance.  This scenario simulates the effects of 25 percent greater student reaction over the primary student response scenario described in “Student response assumptions.” Tables 3.12 and 3.13 provide the student response assumptions for these alternative scenarios.</w:t>
      </w:r>
    </w:p>
    <w:p w14:paraId="759E2DA1" w14:textId="77777777" w:rsidR="00BF10A3" w:rsidRPr="00AA6DFD" w:rsidRDefault="00BF10A3" w:rsidP="00BF10A3">
      <w:pPr>
        <w:spacing w:after="0" w:line="480" w:lineRule="auto"/>
        <w:ind w:firstLine="720"/>
        <w:rPr>
          <w:rFonts w:ascii="Courier New" w:hAnsi="Courier New" w:cs="Courier New"/>
          <w:sz w:val="24"/>
          <w:szCs w:val="24"/>
        </w:rPr>
      </w:pPr>
    </w:p>
    <w:p w14:paraId="50496F5A"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b/>
          <w:sz w:val="24"/>
          <w:szCs w:val="24"/>
        </w:rPr>
        <w:t>Table 3.12: Zero Student Response Assumptions</w:t>
      </w:r>
    </w:p>
    <w:tbl>
      <w:tblPr>
        <w:tblStyle w:val="TableGrid19"/>
        <w:tblW w:w="0" w:type="auto"/>
        <w:tblLook w:val="04A0" w:firstRow="1" w:lastRow="0" w:firstColumn="1" w:lastColumn="0" w:noHBand="0" w:noVBand="1"/>
      </w:tblPr>
      <w:tblGrid>
        <w:gridCol w:w="2620"/>
        <w:gridCol w:w="719"/>
        <w:gridCol w:w="1341"/>
        <w:gridCol w:w="820"/>
      </w:tblGrid>
      <w:tr w:rsidR="00BF10A3" w:rsidRPr="000B2B5D" w14:paraId="0EB511F8" w14:textId="77777777" w:rsidTr="001F7400">
        <w:trPr>
          <w:trHeight w:val="300"/>
        </w:trPr>
        <w:tc>
          <w:tcPr>
            <w:tcW w:w="2620" w:type="dxa"/>
            <w:noWrap/>
            <w:hideMark/>
          </w:tcPr>
          <w:p w14:paraId="2C419EE5" w14:textId="77777777" w:rsidR="00BF10A3" w:rsidRPr="000B2B5D" w:rsidRDefault="00BF10A3" w:rsidP="001F7400">
            <w:pPr>
              <w:rPr>
                <w:rFonts w:ascii="Courier New" w:eastAsiaTheme="minorHAnsi" w:hAnsi="Courier New" w:cstheme="minorBidi"/>
                <w:b/>
                <w:bCs/>
                <w:sz w:val="16"/>
              </w:rPr>
            </w:pPr>
            <w:r w:rsidRPr="00AA6DFD">
              <w:rPr>
                <w:rFonts w:ascii="Courier New" w:hAnsi="Courier New" w:cs="Courier New"/>
                <w:b/>
                <w:sz w:val="24"/>
                <w:szCs w:val="24"/>
              </w:rPr>
              <w:tab/>
            </w:r>
            <w:r w:rsidRPr="000B2B5D">
              <w:rPr>
                <w:rFonts w:ascii="Courier New" w:eastAsiaTheme="minorHAnsi" w:hAnsi="Courier New" w:cstheme="minorBidi"/>
                <w:b/>
                <w:bCs/>
                <w:sz w:val="16"/>
              </w:rPr>
              <w:t> </w:t>
            </w:r>
          </w:p>
        </w:tc>
        <w:tc>
          <w:tcPr>
            <w:tcW w:w="2880" w:type="dxa"/>
            <w:gridSpan w:val="3"/>
            <w:noWrap/>
            <w:hideMark/>
          </w:tcPr>
          <w:p w14:paraId="6C7990CE"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Student Response</w:t>
            </w:r>
          </w:p>
        </w:tc>
      </w:tr>
      <w:tr w:rsidR="00BF10A3" w:rsidRPr="000B2B5D" w14:paraId="581348EE" w14:textId="77777777" w:rsidTr="001F7400">
        <w:trPr>
          <w:trHeight w:val="300"/>
        </w:trPr>
        <w:tc>
          <w:tcPr>
            <w:tcW w:w="2620" w:type="dxa"/>
            <w:noWrap/>
            <w:hideMark/>
          </w:tcPr>
          <w:p w14:paraId="537F168F"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Program Result</w:t>
            </w:r>
          </w:p>
        </w:tc>
        <w:tc>
          <w:tcPr>
            <w:tcW w:w="719" w:type="dxa"/>
            <w:noWrap/>
            <w:hideMark/>
          </w:tcPr>
          <w:p w14:paraId="4D914005"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Stay</w:t>
            </w:r>
          </w:p>
        </w:tc>
        <w:tc>
          <w:tcPr>
            <w:tcW w:w="1341" w:type="dxa"/>
            <w:noWrap/>
            <w:hideMark/>
          </w:tcPr>
          <w:p w14:paraId="5851D203"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Transfer</w:t>
            </w:r>
          </w:p>
        </w:tc>
        <w:tc>
          <w:tcPr>
            <w:tcW w:w="820" w:type="dxa"/>
            <w:noWrap/>
            <w:hideMark/>
          </w:tcPr>
          <w:p w14:paraId="55F2A0E5"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Drop</w:t>
            </w:r>
          </w:p>
        </w:tc>
      </w:tr>
      <w:tr w:rsidR="00BF10A3" w:rsidRPr="000B2B5D" w14:paraId="1CD963EC" w14:textId="77777777" w:rsidTr="001F7400">
        <w:trPr>
          <w:trHeight w:val="300"/>
        </w:trPr>
        <w:tc>
          <w:tcPr>
            <w:tcW w:w="2620" w:type="dxa"/>
            <w:noWrap/>
            <w:hideMark/>
          </w:tcPr>
          <w:p w14:paraId="76E1C73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First Zone</w:t>
            </w:r>
          </w:p>
        </w:tc>
        <w:tc>
          <w:tcPr>
            <w:tcW w:w="719" w:type="dxa"/>
            <w:noWrap/>
            <w:hideMark/>
          </w:tcPr>
          <w:p w14:paraId="4EA3C93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7C6B2D2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36B019C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12F799DF" w14:textId="77777777" w:rsidTr="001F7400">
        <w:trPr>
          <w:trHeight w:val="300"/>
        </w:trPr>
        <w:tc>
          <w:tcPr>
            <w:tcW w:w="2620" w:type="dxa"/>
            <w:noWrap/>
            <w:hideMark/>
          </w:tcPr>
          <w:p w14:paraId="5ADB27E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Second Zone</w:t>
            </w:r>
          </w:p>
        </w:tc>
        <w:tc>
          <w:tcPr>
            <w:tcW w:w="719" w:type="dxa"/>
            <w:noWrap/>
            <w:hideMark/>
          </w:tcPr>
          <w:p w14:paraId="2496BA9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4580D50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7A791A6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60F24424" w14:textId="77777777" w:rsidTr="001F7400">
        <w:trPr>
          <w:trHeight w:val="300"/>
        </w:trPr>
        <w:tc>
          <w:tcPr>
            <w:tcW w:w="2620" w:type="dxa"/>
            <w:noWrap/>
            <w:hideMark/>
          </w:tcPr>
          <w:p w14:paraId="3FD6C46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Third Zone</w:t>
            </w:r>
          </w:p>
        </w:tc>
        <w:tc>
          <w:tcPr>
            <w:tcW w:w="719" w:type="dxa"/>
            <w:noWrap/>
            <w:hideMark/>
          </w:tcPr>
          <w:p w14:paraId="2D3A36D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2D573E4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06FE32D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25AFB428" w14:textId="77777777" w:rsidTr="001F7400">
        <w:trPr>
          <w:trHeight w:val="300"/>
        </w:trPr>
        <w:tc>
          <w:tcPr>
            <w:tcW w:w="2620" w:type="dxa"/>
            <w:noWrap/>
            <w:hideMark/>
          </w:tcPr>
          <w:p w14:paraId="492CFC9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Fourth Zone</w:t>
            </w:r>
          </w:p>
        </w:tc>
        <w:tc>
          <w:tcPr>
            <w:tcW w:w="719" w:type="dxa"/>
            <w:noWrap/>
            <w:hideMark/>
          </w:tcPr>
          <w:p w14:paraId="5DE2C25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5F47224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46FAFC5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1E6782C1" w14:textId="77777777" w:rsidTr="001F7400">
        <w:trPr>
          <w:trHeight w:val="300"/>
        </w:trPr>
        <w:tc>
          <w:tcPr>
            <w:tcW w:w="2620" w:type="dxa"/>
            <w:noWrap/>
            <w:hideMark/>
          </w:tcPr>
          <w:p w14:paraId="609F237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First Failure</w:t>
            </w:r>
          </w:p>
        </w:tc>
        <w:tc>
          <w:tcPr>
            <w:tcW w:w="719" w:type="dxa"/>
            <w:noWrap/>
            <w:hideMark/>
          </w:tcPr>
          <w:p w14:paraId="5421851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24FCC2C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0FC89E2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6CFF094C" w14:textId="77777777" w:rsidTr="001F7400">
        <w:trPr>
          <w:trHeight w:val="300"/>
        </w:trPr>
        <w:tc>
          <w:tcPr>
            <w:tcW w:w="2620" w:type="dxa"/>
            <w:noWrap/>
            <w:hideMark/>
          </w:tcPr>
          <w:p w14:paraId="040FD80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Second Failure</w:t>
            </w:r>
          </w:p>
        </w:tc>
        <w:tc>
          <w:tcPr>
            <w:tcW w:w="719" w:type="dxa"/>
            <w:noWrap/>
            <w:hideMark/>
          </w:tcPr>
          <w:p w14:paraId="6EDEEA3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78CD2FB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72ACDF4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1E15DFE7" w14:textId="77777777" w:rsidTr="001F7400">
        <w:trPr>
          <w:trHeight w:val="300"/>
        </w:trPr>
        <w:tc>
          <w:tcPr>
            <w:tcW w:w="2620" w:type="dxa"/>
            <w:noWrap/>
            <w:hideMark/>
          </w:tcPr>
          <w:p w14:paraId="0F14ACB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Ineligibility</w:t>
            </w:r>
          </w:p>
        </w:tc>
        <w:tc>
          <w:tcPr>
            <w:tcW w:w="719" w:type="dxa"/>
            <w:noWrap/>
            <w:hideMark/>
          </w:tcPr>
          <w:p w14:paraId="27327E9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572F0A5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42ADBC1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r w:rsidR="00BF10A3" w:rsidRPr="000B2B5D" w14:paraId="5D62B0C2" w14:textId="77777777" w:rsidTr="001F7400">
        <w:trPr>
          <w:trHeight w:val="300"/>
        </w:trPr>
        <w:tc>
          <w:tcPr>
            <w:tcW w:w="2620" w:type="dxa"/>
            <w:noWrap/>
            <w:hideMark/>
          </w:tcPr>
          <w:p w14:paraId="483B6C1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Passing or Not Evaluated</w:t>
            </w:r>
          </w:p>
        </w:tc>
        <w:tc>
          <w:tcPr>
            <w:tcW w:w="719" w:type="dxa"/>
            <w:noWrap/>
            <w:hideMark/>
          </w:tcPr>
          <w:p w14:paraId="2AADCF7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68FE169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76B6C9A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bl>
    <w:p w14:paraId="2E23D905" w14:textId="77777777" w:rsidR="00BF10A3" w:rsidRPr="000B2B5D" w:rsidRDefault="00BF10A3" w:rsidP="00BF10A3">
      <w:pPr>
        <w:rPr>
          <w:rFonts w:ascii="Courier New" w:eastAsiaTheme="minorHAnsi" w:hAnsi="Courier New" w:cstheme="minorBidi"/>
          <w:sz w:val="16"/>
        </w:rPr>
      </w:pPr>
    </w:p>
    <w:p w14:paraId="304966CA"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sz w:val="24"/>
          <w:szCs w:val="24"/>
        </w:rPr>
        <w:t xml:space="preserve">  </w:t>
      </w:r>
    </w:p>
    <w:p w14:paraId="0AF92249" w14:textId="77777777" w:rsidR="00BF10A3" w:rsidRPr="00AA6DFD" w:rsidRDefault="00BF10A3" w:rsidP="00BF10A3">
      <w:pPr>
        <w:spacing w:after="0" w:line="480" w:lineRule="auto"/>
        <w:rPr>
          <w:rFonts w:ascii="Courier New" w:hAnsi="Courier New" w:cs="Courier New"/>
          <w:b/>
          <w:sz w:val="24"/>
          <w:szCs w:val="24"/>
        </w:rPr>
      </w:pPr>
      <w:r w:rsidRPr="00AA6DFD">
        <w:rPr>
          <w:rFonts w:ascii="Courier New" w:hAnsi="Courier New" w:cs="Courier New"/>
          <w:b/>
          <w:sz w:val="24"/>
          <w:szCs w:val="24"/>
        </w:rPr>
        <w:t>Table 3.13: Strong (+ 25 percent) Student Response Assumption</w:t>
      </w:r>
    </w:p>
    <w:tbl>
      <w:tblPr>
        <w:tblStyle w:val="TableGrid20"/>
        <w:tblW w:w="0" w:type="auto"/>
        <w:tblLook w:val="04A0" w:firstRow="1" w:lastRow="0" w:firstColumn="1" w:lastColumn="0" w:noHBand="0" w:noVBand="1"/>
      </w:tblPr>
      <w:tblGrid>
        <w:gridCol w:w="2440"/>
        <w:gridCol w:w="719"/>
        <w:gridCol w:w="1341"/>
        <w:gridCol w:w="820"/>
      </w:tblGrid>
      <w:tr w:rsidR="00BF10A3" w:rsidRPr="000B2B5D" w14:paraId="48D4E81C" w14:textId="77777777" w:rsidTr="001F7400">
        <w:trPr>
          <w:trHeight w:val="300"/>
        </w:trPr>
        <w:tc>
          <w:tcPr>
            <w:tcW w:w="2440" w:type="dxa"/>
            <w:noWrap/>
            <w:hideMark/>
          </w:tcPr>
          <w:p w14:paraId="12A50843" w14:textId="77777777" w:rsidR="00BF10A3" w:rsidRPr="000B2B5D" w:rsidRDefault="00BF10A3" w:rsidP="001F7400">
            <w:pPr>
              <w:rPr>
                <w:rFonts w:ascii="Courier New" w:eastAsiaTheme="minorHAnsi" w:hAnsi="Courier New" w:cstheme="minorBidi"/>
                <w:b/>
                <w:bCs/>
                <w:sz w:val="16"/>
              </w:rPr>
            </w:pPr>
            <w:r w:rsidRPr="00AA6DFD">
              <w:rPr>
                <w:rFonts w:ascii="Courier New" w:hAnsi="Courier New" w:cs="Courier New"/>
                <w:sz w:val="24"/>
                <w:szCs w:val="24"/>
              </w:rPr>
              <w:tab/>
            </w:r>
            <w:r w:rsidRPr="000B2B5D">
              <w:rPr>
                <w:rFonts w:ascii="Courier New" w:eastAsiaTheme="minorHAnsi" w:hAnsi="Courier New" w:cstheme="minorBidi"/>
                <w:b/>
                <w:bCs/>
                <w:sz w:val="16"/>
              </w:rPr>
              <w:t> </w:t>
            </w:r>
          </w:p>
        </w:tc>
        <w:tc>
          <w:tcPr>
            <w:tcW w:w="2880" w:type="dxa"/>
            <w:gridSpan w:val="3"/>
            <w:noWrap/>
            <w:hideMark/>
          </w:tcPr>
          <w:p w14:paraId="603ABF97"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Student Response</w:t>
            </w:r>
          </w:p>
        </w:tc>
      </w:tr>
      <w:tr w:rsidR="00BF10A3" w:rsidRPr="000B2B5D" w14:paraId="4DC11EBC" w14:textId="77777777" w:rsidTr="001F7400">
        <w:trPr>
          <w:trHeight w:val="300"/>
        </w:trPr>
        <w:tc>
          <w:tcPr>
            <w:tcW w:w="2440" w:type="dxa"/>
            <w:noWrap/>
            <w:hideMark/>
          </w:tcPr>
          <w:p w14:paraId="2AD9555C"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Program Result</w:t>
            </w:r>
          </w:p>
        </w:tc>
        <w:tc>
          <w:tcPr>
            <w:tcW w:w="719" w:type="dxa"/>
            <w:noWrap/>
            <w:hideMark/>
          </w:tcPr>
          <w:p w14:paraId="6EAC866E"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Stay</w:t>
            </w:r>
          </w:p>
        </w:tc>
        <w:tc>
          <w:tcPr>
            <w:tcW w:w="1341" w:type="dxa"/>
            <w:noWrap/>
            <w:hideMark/>
          </w:tcPr>
          <w:p w14:paraId="6BAE2C42"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Transfer</w:t>
            </w:r>
          </w:p>
        </w:tc>
        <w:tc>
          <w:tcPr>
            <w:tcW w:w="820" w:type="dxa"/>
            <w:noWrap/>
            <w:hideMark/>
          </w:tcPr>
          <w:p w14:paraId="13E4DB63"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Drop</w:t>
            </w:r>
          </w:p>
        </w:tc>
      </w:tr>
      <w:tr w:rsidR="00BF10A3" w:rsidRPr="000B2B5D" w14:paraId="366E85C3" w14:textId="77777777" w:rsidTr="001F7400">
        <w:trPr>
          <w:trHeight w:val="300"/>
        </w:trPr>
        <w:tc>
          <w:tcPr>
            <w:tcW w:w="2440" w:type="dxa"/>
            <w:noWrap/>
            <w:hideMark/>
          </w:tcPr>
          <w:p w14:paraId="04C4EDD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First Zone</w:t>
            </w:r>
          </w:p>
        </w:tc>
        <w:tc>
          <w:tcPr>
            <w:tcW w:w="719" w:type="dxa"/>
            <w:noWrap/>
            <w:hideMark/>
          </w:tcPr>
          <w:p w14:paraId="11E5E96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0.75</w:t>
            </w:r>
          </w:p>
        </w:tc>
        <w:tc>
          <w:tcPr>
            <w:tcW w:w="1341" w:type="dxa"/>
            <w:noWrap/>
            <w:hideMark/>
          </w:tcPr>
          <w:p w14:paraId="3C384ED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0.19</w:t>
            </w:r>
          </w:p>
        </w:tc>
        <w:tc>
          <w:tcPr>
            <w:tcW w:w="820" w:type="dxa"/>
            <w:noWrap/>
            <w:hideMark/>
          </w:tcPr>
          <w:p w14:paraId="573564F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0.06</w:t>
            </w:r>
          </w:p>
        </w:tc>
      </w:tr>
      <w:tr w:rsidR="00BF10A3" w:rsidRPr="000B2B5D" w14:paraId="31FAC8B4" w14:textId="77777777" w:rsidTr="001F7400">
        <w:trPr>
          <w:trHeight w:val="300"/>
        </w:trPr>
        <w:tc>
          <w:tcPr>
            <w:tcW w:w="2440" w:type="dxa"/>
            <w:noWrap/>
            <w:hideMark/>
          </w:tcPr>
          <w:p w14:paraId="490E484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Second Zone</w:t>
            </w:r>
          </w:p>
        </w:tc>
        <w:tc>
          <w:tcPr>
            <w:tcW w:w="719" w:type="dxa"/>
            <w:noWrap/>
            <w:hideMark/>
          </w:tcPr>
          <w:p w14:paraId="43F6CB3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0.50</w:t>
            </w:r>
          </w:p>
        </w:tc>
        <w:tc>
          <w:tcPr>
            <w:tcW w:w="1341" w:type="dxa"/>
            <w:noWrap/>
            <w:hideMark/>
          </w:tcPr>
          <w:p w14:paraId="6DDEE28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0.38</w:t>
            </w:r>
          </w:p>
        </w:tc>
        <w:tc>
          <w:tcPr>
            <w:tcW w:w="820" w:type="dxa"/>
            <w:noWrap/>
            <w:hideMark/>
          </w:tcPr>
          <w:p w14:paraId="1AA473C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0.13</w:t>
            </w:r>
          </w:p>
        </w:tc>
      </w:tr>
      <w:tr w:rsidR="00BF10A3" w:rsidRPr="000B2B5D" w14:paraId="58594466" w14:textId="77777777" w:rsidTr="001F7400">
        <w:trPr>
          <w:trHeight w:val="300"/>
        </w:trPr>
        <w:tc>
          <w:tcPr>
            <w:tcW w:w="2440" w:type="dxa"/>
            <w:noWrap/>
            <w:hideMark/>
          </w:tcPr>
          <w:p w14:paraId="7CF25D5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Third Zone</w:t>
            </w:r>
          </w:p>
        </w:tc>
        <w:tc>
          <w:tcPr>
            <w:tcW w:w="719" w:type="dxa"/>
            <w:noWrap/>
            <w:hideMark/>
          </w:tcPr>
          <w:p w14:paraId="78F36BB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0.25</w:t>
            </w:r>
          </w:p>
        </w:tc>
        <w:tc>
          <w:tcPr>
            <w:tcW w:w="1341" w:type="dxa"/>
            <w:noWrap/>
            <w:hideMark/>
          </w:tcPr>
          <w:p w14:paraId="2D77D2E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0.56</w:t>
            </w:r>
          </w:p>
        </w:tc>
        <w:tc>
          <w:tcPr>
            <w:tcW w:w="820" w:type="dxa"/>
            <w:noWrap/>
            <w:hideMark/>
          </w:tcPr>
          <w:p w14:paraId="68E29AC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0.19</w:t>
            </w:r>
          </w:p>
        </w:tc>
      </w:tr>
      <w:tr w:rsidR="00BF10A3" w:rsidRPr="000B2B5D" w14:paraId="670943DF" w14:textId="77777777" w:rsidTr="001F7400">
        <w:trPr>
          <w:trHeight w:val="300"/>
        </w:trPr>
        <w:tc>
          <w:tcPr>
            <w:tcW w:w="2440" w:type="dxa"/>
            <w:noWrap/>
            <w:hideMark/>
          </w:tcPr>
          <w:p w14:paraId="73A1D10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Fourth Zone</w:t>
            </w:r>
          </w:p>
        </w:tc>
        <w:tc>
          <w:tcPr>
            <w:tcW w:w="719" w:type="dxa"/>
            <w:noWrap/>
            <w:hideMark/>
          </w:tcPr>
          <w:p w14:paraId="21DDAAF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1341" w:type="dxa"/>
            <w:noWrap/>
            <w:hideMark/>
          </w:tcPr>
          <w:p w14:paraId="4FF4143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0.75</w:t>
            </w:r>
          </w:p>
        </w:tc>
        <w:tc>
          <w:tcPr>
            <w:tcW w:w="820" w:type="dxa"/>
            <w:noWrap/>
            <w:hideMark/>
          </w:tcPr>
          <w:p w14:paraId="61B7E64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0.25</w:t>
            </w:r>
          </w:p>
        </w:tc>
      </w:tr>
      <w:tr w:rsidR="00BF10A3" w:rsidRPr="000B2B5D" w14:paraId="335AED69" w14:textId="77777777" w:rsidTr="001F7400">
        <w:trPr>
          <w:trHeight w:val="300"/>
        </w:trPr>
        <w:tc>
          <w:tcPr>
            <w:tcW w:w="2440" w:type="dxa"/>
            <w:noWrap/>
            <w:hideMark/>
          </w:tcPr>
          <w:p w14:paraId="697DB04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First Failure</w:t>
            </w:r>
          </w:p>
        </w:tc>
        <w:tc>
          <w:tcPr>
            <w:tcW w:w="719" w:type="dxa"/>
            <w:noWrap/>
            <w:hideMark/>
          </w:tcPr>
          <w:p w14:paraId="15E1889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0.25</w:t>
            </w:r>
          </w:p>
        </w:tc>
        <w:tc>
          <w:tcPr>
            <w:tcW w:w="1341" w:type="dxa"/>
            <w:noWrap/>
            <w:hideMark/>
          </w:tcPr>
          <w:p w14:paraId="0840C93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0.56</w:t>
            </w:r>
          </w:p>
        </w:tc>
        <w:tc>
          <w:tcPr>
            <w:tcW w:w="820" w:type="dxa"/>
            <w:noWrap/>
            <w:hideMark/>
          </w:tcPr>
          <w:p w14:paraId="38731E3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0.19</w:t>
            </w:r>
          </w:p>
        </w:tc>
      </w:tr>
      <w:tr w:rsidR="00BF10A3" w:rsidRPr="000B2B5D" w14:paraId="2242CBC8" w14:textId="77777777" w:rsidTr="001F7400">
        <w:trPr>
          <w:trHeight w:val="300"/>
        </w:trPr>
        <w:tc>
          <w:tcPr>
            <w:tcW w:w="2440" w:type="dxa"/>
            <w:noWrap/>
            <w:hideMark/>
          </w:tcPr>
          <w:p w14:paraId="4252AF4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Second Failure</w:t>
            </w:r>
          </w:p>
        </w:tc>
        <w:tc>
          <w:tcPr>
            <w:tcW w:w="719" w:type="dxa"/>
            <w:noWrap/>
            <w:hideMark/>
          </w:tcPr>
          <w:p w14:paraId="791B4AB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1341" w:type="dxa"/>
            <w:noWrap/>
            <w:hideMark/>
          </w:tcPr>
          <w:p w14:paraId="270DA44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0.75</w:t>
            </w:r>
          </w:p>
        </w:tc>
        <w:tc>
          <w:tcPr>
            <w:tcW w:w="820" w:type="dxa"/>
            <w:noWrap/>
            <w:hideMark/>
          </w:tcPr>
          <w:p w14:paraId="5164C76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0.25</w:t>
            </w:r>
          </w:p>
        </w:tc>
      </w:tr>
      <w:tr w:rsidR="00BF10A3" w:rsidRPr="000B2B5D" w14:paraId="10BE37A7" w14:textId="77777777" w:rsidTr="001F7400">
        <w:trPr>
          <w:trHeight w:val="300"/>
        </w:trPr>
        <w:tc>
          <w:tcPr>
            <w:tcW w:w="2440" w:type="dxa"/>
            <w:noWrap/>
            <w:hideMark/>
          </w:tcPr>
          <w:p w14:paraId="779079D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Ineligibility</w:t>
            </w:r>
          </w:p>
        </w:tc>
        <w:tc>
          <w:tcPr>
            <w:tcW w:w="719" w:type="dxa"/>
            <w:noWrap/>
            <w:hideMark/>
          </w:tcPr>
          <w:p w14:paraId="7C9E2FA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1341" w:type="dxa"/>
            <w:noWrap/>
            <w:hideMark/>
          </w:tcPr>
          <w:p w14:paraId="5B97D72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0.75</w:t>
            </w:r>
          </w:p>
        </w:tc>
        <w:tc>
          <w:tcPr>
            <w:tcW w:w="820" w:type="dxa"/>
            <w:noWrap/>
            <w:hideMark/>
          </w:tcPr>
          <w:p w14:paraId="6B254B1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0.25</w:t>
            </w:r>
          </w:p>
        </w:tc>
      </w:tr>
      <w:tr w:rsidR="00BF10A3" w:rsidRPr="000B2B5D" w14:paraId="4492219D" w14:textId="77777777" w:rsidTr="001F7400">
        <w:trPr>
          <w:trHeight w:val="300"/>
        </w:trPr>
        <w:tc>
          <w:tcPr>
            <w:tcW w:w="2440" w:type="dxa"/>
            <w:noWrap/>
            <w:hideMark/>
          </w:tcPr>
          <w:p w14:paraId="6C69BF0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Passing or Not Evaluated</w:t>
            </w:r>
          </w:p>
        </w:tc>
        <w:tc>
          <w:tcPr>
            <w:tcW w:w="719" w:type="dxa"/>
            <w:noWrap/>
            <w:hideMark/>
          </w:tcPr>
          <w:p w14:paraId="2FD28D0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1.00</w:t>
            </w:r>
          </w:p>
        </w:tc>
        <w:tc>
          <w:tcPr>
            <w:tcW w:w="1341" w:type="dxa"/>
            <w:noWrap/>
            <w:hideMark/>
          </w:tcPr>
          <w:p w14:paraId="3B79B17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c>
          <w:tcPr>
            <w:tcW w:w="820" w:type="dxa"/>
            <w:noWrap/>
            <w:hideMark/>
          </w:tcPr>
          <w:p w14:paraId="469B081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0.00</w:t>
            </w:r>
          </w:p>
        </w:tc>
      </w:tr>
    </w:tbl>
    <w:p w14:paraId="352053E9" w14:textId="77777777" w:rsidR="00BF10A3" w:rsidRPr="000B2B5D" w:rsidRDefault="00BF10A3" w:rsidP="00BF10A3">
      <w:pPr>
        <w:rPr>
          <w:rFonts w:ascii="Courier New" w:eastAsiaTheme="minorHAnsi" w:hAnsi="Courier New" w:cstheme="minorBidi"/>
          <w:sz w:val="16"/>
        </w:rPr>
      </w:pPr>
    </w:p>
    <w:p w14:paraId="343FDD40"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The costs and transfers associated with the combinations of primary and alternative program and student response scenarios are provided in Tables 3.14 – 3.16.</w:t>
      </w:r>
    </w:p>
    <w:p w14:paraId="11179E4B" w14:textId="77777777" w:rsidR="00BF10A3" w:rsidRPr="00AA6DFD" w:rsidRDefault="00BF10A3" w:rsidP="00BF10A3">
      <w:pPr>
        <w:spacing w:after="0" w:line="240" w:lineRule="auto"/>
        <w:rPr>
          <w:rFonts w:ascii="Courier New" w:hAnsi="Courier New" w:cs="Courier New"/>
          <w:sz w:val="24"/>
          <w:szCs w:val="24"/>
        </w:rPr>
      </w:pPr>
    </w:p>
    <w:p w14:paraId="52206602" w14:textId="77777777" w:rsidR="00BF10A3" w:rsidRPr="00AA6DFD" w:rsidRDefault="00BF10A3" w:rsidP="00BF10A3">
      <w:pPr>
        <w:spacing w:after="0" w:line="240" w:lineRule="auto"/>
        <w:rPr>
          <w:rFonts w:ascii="Courier New" w:hAnsi="Courier New" w:cs="Courier New"/>
          <w:sz w:val="24"/>
          <w:szCs w:val="24"/>
        </w:rPr>
      </w:pPr>
    </w:p>
    <w:p w14:paraId="3FF62E7F"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3.14: Costs and Transfers Associated with Zero Student Response Assumptions</w:t>
      </w:r>
    </w:p>
    <w:p w14:paraId="62629AD2" w14:textId="77777777" w:rsidR="00BF10A3" w:rsidRPr="000B2B5D" w:rsidRDefault="00BF10A3" w:rsidP="00BF10A3">
      <w:pPr>
        <w:rPr>
          <w:rFonts w:ascii="Courier New" w:eastAsiaTheme="minorHAnsi" w:hAnsi="Courier New"/>
          <w:sz w:val="16"/>
        </w:rPr>
      </w:pPr>
    </w:p>
    <w:tbl>
      <w:tblPr>
        <w:tblStyle w:val="TableGrid21"/>
        <w:tblW w:w="0" w:type="auto"/>
        <w:tblLook w:val="04A0" w:firstRow="1" w:lastRow="0" w:firstColumn="1" w:lastColumn="0" w:noHBand="0" w:noVBand="1"/>
      </w:tblPr>
      <w:tblGrid>
        <w:gridCol w:w="2268"/>
        <w:gridCol w:w="1170"/>
        <w:gridCol w:w="1170"/>
        <w:gridCol w:w="1170"/>
        <w:gridCol w:w="1031"/>
        <w:gridCol w:w="1234"/>
        <w:gridCol w:w="1235"/>
      </w:tblGrid>
      <w:tr w:rsidR="00BF10A3" w:rsidRPr="000B2B5D" w14:paraId="4D9E97C9" w14:textId="77777777" w:rsidTr="001F7400">
        <w:trPr>
          <w:trHeight w:val="523"/>
        </w:trPr>
        <w:tc>
          <w:tcPr>
            <w:tcW w:w="2268" w:type="dxa"/>
            <w:hideMark/>
          </w:tcPr>
          <w:p w14:paraId="7BDA5E9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Estimates</w:t>
            </w:r>
          </w:p>
        </w:tc>
        <w:tc>
          <w:tcPr>
            <w:tcW w:w="2340" w:type="dxa"/>
            <w:gridSpan w:val="2"/>
            <w:noWrap/>
            <w:hideMark/>
          </w:tcPr>
          <w:p w14:paraId="036B2A0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Low Program, Low Student</w:t>
            </w:r>
          </w:p>
        </w:tc>
        <w:tc>
          <w:tcPr>
            <w:tcW w:w="2201" w:type="dxa"/>
            <w:gridSpan w:val="2"/>
            <w:noWrap/>
            <w:hideMark/>
          </w:tcPr>
          <w:p w14:paraId="41376B4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Main Program, Low Student</w:t>
            </w:r>
          </w:p>
        </w:tc>
        <w:tc>
          <w:tcPr>
            <w:tcW w:w="2469" w:type="dxa"/>
            <w:gridSpan w:val="2"/>
            <w:noWrap/>
            <w:hideMark/>
          </w:tcPr>
          <w:p w14:paraId="061ACFB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High Program, Low Student </w:t>
            </w:r>
          </w:p>
        </w:tc>
      </w:tr>
      <w:tr w:rsidR="00BF10A3" w:rsidRPr="000B2B5D" w14:paraId="5C74D188" w14:textId="77777777" w:rsidTr="001F7400">
        <w:trPr>
          <w:trHeight w:val="480"/>
        </w:trPr>
        <w:tc>
          <w:tcPr>
            <w:tcW w:w="2268" w:type="dxa"/>
            <w:hideMark/>
          </w:tcPr>
          <w:p w14:paraId="5831D5B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Transfers over 2017-2024</w:t>
            </w:r>
          </w:p>
        </w:tc>
        <w:tc>
          <w:tcPr>
            <w:tcW w:w="2340" w:type="dxa"/>
            <w:gridSpan w:val="2"/>
            <w:hideMark/>
          </w:tcPr>
          <w:p w14:paraId="0AE14D5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c>
          <w:tcPr>
            <w:tcW w:w="2201" w:type="dxa"/>
            <w:gridSpan w:val="2"/>
            <w:hideMark/>
          </w:tcPr>
          <w:p w14:paraId="0061A7E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c>
          <w:tcPr>
            <w:tcW w:w="2469" w:type="dxa"/>
            <w:gridSpan w:val="2"/>
            <w:hideMark/>
          </w:tcPr>
          <w:p w14:paraId="3D7213F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r>
      <w:tr w:rsidR="00BF10A3" w:rsidRPr="000B2B5D" w14:paraId="48C9E5D4" w14:textId="77777777" w:rsidTr="001F7400">
        <w:trPr>
          <w:trHeight w:val="480"/>
        </w:trPr>
        <w:tc>
          <w:tcPr>
            <w:tcW w:w="2268" w:type="dxa"/>
            <w:hideMark/>
          </w:tcPr>
          <w:p w14:paraId="08973EB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Dropouts over 2017-2024</w:t>
            </w:r>
          </w:p>
        </w:tc>
        <w:tc>
          <w:tcPr>
            <w:tcW w:w="2340" w:type="dxa"/>
            <w:gridSpan w:val="2"/>
            <w:hideMark/>
          </w:tcPr>
          <w:p w14:paraId="2D4E23C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c>
          <w:tcPr>
            <w:tcW w:w="2201" w:type="dxa"/>
            <w:gridSpan w:val="2"/>
            <w:hideMark/>
          </w:tcPr>
          <w:p w14:paraId="29BEC08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c>
          <w:tcPr>
            <w:tcW w:w="2469" w:type="dxa"/>
            <w:gridSpan w:val="2"/>
            <w:hideMark/>
          </w:tcPr>
          <w:p w14:paraId="15ED39A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   </w:t>
            </w:r>
          </w:p>
        </w:tc>
      </w:tr>
      <w:tr w:rsidR="00BF10A3" w:rsidRPr="000B2B5D" w14:paraId="082BC275" w14:textId="77777777" w:rsidTr="001F7400">
        <w:trPr>
          <w:trHeight w:val="246"/>
        </w:trPr>
        <w:tc>
          <w:tcPr>
            <w:tcW w:w="2268" w:type="dxa"/>
            <w:hideMark/>
          </w:tcPr>
          <w:p w14:paraId="0482E34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170" w:type="dxa"/>
            <w:noWrap/>
            <w:hideMark/>
          </w:tcPr>
          <w:p w14:paraId="2C5554B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170" w:type="dxa"/>
            <w:noWrap/>
            <w:hideMark/>
          </w:tcPr>
          <w:p w14:paraId="60A0908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170" w:type="dxa"/>
            <w:noWrap/>
            <w:hideMark/>
          </w:tcPr>
          <w:p w14:paraId="0AD4876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031" w:type="dxa"/>
            <w:noWrap/>
            <w:hideMark/>
          </w:tcPr>
          <w:p w14:paraId="165B021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234" w:type="dxa"/>
            <w:noWrap/>
            <w:hideMark/>
          </w:tcPr>
          <w:p w14:paraId="3C6AE78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235" w:type="dxa"/>
            <w:noWrap/>
            <w:hideMark/>
          </w:tcPr>
          <w:p w14:paraId="6C40ACA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r>
      <w:tr w:rsidR="00BF10A3" w:rsidRPr="000B2B5D" w14:paraId="7674089A" w14:textId="77777777" w:rsidTr="001F7400">
        <w:trPr>
          <w:trHeight w:val="246"/>
        </w:trPr>
        <w:tc>
          <w:tcPr>
            <w:tcW w:w="2268" w:type="dxa"/>
            <w:hideMark/>
          </w:tcPr>
          <w:p w14:paraId="11CFC2D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170" w:type="dxa"/>
            <w:noWrap/>
            <w:hideMark/>
          </w:tcPr>
          <w:p w14:paraId="6A73999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170" w:type="dxa"/>
            <w:noWrap/>
            <w:hideMark/>
          </w:tcPr>
          <w:p w14:paraId="6FD8E32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170" w:type="dxa"/>
            <w:noWrap/>
            <w:hideMark/>
          </w:tcPr>
          <w:p w14:paraId="6E8EC46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031" w:type="dxa"/>
            <w:noWrap/>
            <w:hideMark/>
          </w:tcPr>
          <w:p w14:paraId="7610911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234" w:type="dxa"/>
            <w:noWrap/>
            <w:hideMark/>
          </w:tcPr>
          <w:p w14:paraId="749AB65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235" w:type="dxa"/>
            <w:noWrap/>
            <w:hideMark/>
          </w:tcPr>
          <w:p w14:paraId="6E52B84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r>
      <w:tr w:rsidR="00BF10A3" w:rsidRPr="000B2B5D" w14:paraId="69E0F437" w14:textId="77777777" w:rsidTr="001F7400">
        <w:trPr>
          <w:trHeight w:val="949"/>
        </w:trPr>
        <w:tc>
          <w:tcPr>
            <w:tcW w:w="2268" w:type="dxa"/>
            <w:hideMark/>
          </w:tcPr>
          <w:p w14:paraId="5C7AFE8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Additional expense of educating transfer students at passing programs</w:t>
            </w:r>
          </w:p>
        </w:tc>
        <w:tc>
          <w:tcPr>
            <w:tcW w:w="1170" w:type="dxa"/>
            <w:noWrap/>
            <w:hideMark/>
          </w:tcPr>
          <w:p w14:paraId="75840B6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65B6B11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2CB448B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031" w:type="dxa"/>
            <w:noWrap/>
            <w:hideMark/>
          </w:tcPr>
          <w:p w14:paraId="1B56AFB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4" w:type="dxa"/>
            <w:noWrap/>
            <w:hideMark/>
          </w:tcPr>
          <w:p w14:paraId="67A0808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5" w:type="dxa"/>
            <w:noWrap/>
            <w:hideMark/>
          </w:tcPr>
          <w:p w14:paraId="1370CFC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r>
      <w:tr w:rsidR="00BF10A3" w:rsidRPr="000B2B5D" w14:paraId="4F428C15" w14:textId="77777777" w:rsidTr="001F7400">
        <w:trPr>
          <w:trHeight w:val="1654"/>
        </w:trPr>
        <w:tc>
          <w:tcPr>
            <w:tcW w:w="2268" w:type="dxa"/>
            <w:hideMark/>
          </w:tcPr>
          <w:p w14:paraId="7605CEC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Transfer of Federal student aid money from failing programs to the Federal government when students drop out of programs or remain in ineligible programs</w:t>
            </w:r>
          </w:p>
        </w:tc>
        <w:tc>
          <w:tcPr>
            <w:tcW w:w="1170" w:type="dxa"/>
            <w:noWrap/>
            <w:hideMark/>
          </w:tcPr>
          <w:p w14:paraId="57DA783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$1,291</w:t>
            </w:r>
          </w:p>
        </w:tc>
        <w:tc>
          <w:tcPr>
            <w:tcW w:w="1170" w:type="dxa"/>
            <w:noWrap/>
            <w:hideMark/>
          </w:tcPr>
          <w:p w14:paraId="7343B52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$1,275</w:t>
            </w:r>
          </w:p>
        </w:tc>
        <w:tc>
          <w:tcPr>
            <w:tcW w:w="1170" w:type="dxa"/>
            <w:noWrap/>
            <w:hideMark/>
          </w:tcPr>
          <w:p w14:paraId="078A19E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$918</w:t>
            </w:r>
          </w:p>
        </w:tc>
        <w:tc>
          <w:tcPr>
            <w:tcW w:w="1031" w:type="dxa"/>
            <w:noWrap/>
            <w:hideMark/>
          </w:tcPr>
          <w:p w14:paraId="580F656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$905</w:t>
            </w:r>
          </w:p>
        </w:tc>
        <w:tc>
          <w:tcPr>
            <w:tcW w:w="1234" w:type="dxa"/>
            <w:noWrap/>
            <w:hideMark/>
          </w:tcPr>
          <w:p w14:paraId="61B17DF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$574</w:t>
            </w:r>
          </w:p>
        </w:tc>
        <w:tc>
          <w:tcPr>
            <w:tcW w:w="1235" w:type="dxa"/>
            <w:noWrap/>
            <w:hideMark/>
          </w:tcPr>
          <w:p w14:paraId="7139BE3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$567</w:t>
            </w:r>
          </w:p>
        </w:tc>
      </w:tr>
      <w:tr w:rsidR="00BF10A3" w:rsidRPr="000B2B5D" w14:paraId="1A9DC8B8" w14:textId="77777777" w:rsidTr="001F7400">
        <w:trPr>
          <w:trHeight w:val="1184"/>
        </w:trPr>
        <w:tc>
          <w:tcPr>
            <w:tcW w:w="2268" w:type="dxa"/>
            <w:hideMark/>
          </w:tcPr>
          <w:p w14:paraId="4704EE8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revenues from non-passing programs to passing or zone programs as students transfer </w:t>
            </w:r>
          </w:p>
        </w:tc>
        <w:tc>
          <w:tcPr>
            <w:tcW w:w="1170" w:type="dxa"/>
            <w:noWrap/>
            <w:hideMark/>
          </w:tcPr>
          <w:p w14:paraId="233E7B6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2F11865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4E5AD87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031" w:type="dxa"/>
            <w:noWrap/>
            <w:hideMark/>
          </w:tcPr>
          <w:p w14:paraId="0E2E736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4" w:type="dxa"/>
            <w:noWrap/>
            <w:hideMark/>
          </w:tcPr>
          <w:p w14:paraId="270DA55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5" w:type="dxa"/>
            <w:noWrap/>
            <w:hideMark/>
          </w:tcPr>
          <w:p w14:paraId="518C9E3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r>
      <w:tr w:rsidR="00BF10A3" w:rsidRPr="000B2B5D" w14:paraId="0CCD7825" w14:textId="77777777" w:rsidTr="001F7400">
        <w:trPr>
          <w:trHeight w:val="1419"/>
        </w:trPr>
        <w:tc>
          <w:tcPr>
            <w:tcW w:w="2268" w:type="dxa"/>
            <w:hideMark/>
          </w:tcPr>
          <w:p w14:paraId="322A0B8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instructional expenses from non-passing programs to passing or zone programs as students transfer </w:t>
            </w:r>
          </w:p>
        </w:tc>
        <w:tc>
          <w:tcPr>
            <w:tcW w:w="1170" w:type="dxa"/>
            <w:noWrap/>
            <w:hideMark/>
          </w:tcPr>
          <w:p w14:paraId="12099F0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1626869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170" w:type="dxa"/>
            <w:noWrap/>
            <w:hideMark/>
          </w:tcPr>
          <w:p w14:paraId="5F07224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031" w:type="dxa"/>
            <w:noWrap/>
            <w:hideMark/>
          </w:tcPr>
          <w:p w14:paraId="2FBAF78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4" w:type="dxa"/>
            <w:noWrap/>
            <w:hideMark/>
          </w:tcPr>
          <w:p w14:paraId="32B7BC6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c>
          <w:tcPr>
            <w:tcW w:w="1235" w:type="dxa"/>
            <w:noWrap/>
            <w:hideMark/>
          </w:tcPr>
          <w:p w14:paraId="4DC4AA7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$0</w:t>
            </w:r>
          </w:p>
        </w:tc>
      </w:tr>
    </w:tbl>
    <w:p w14:paraId="4186EB26" w14:textId="77777777" w:rsidR="00BF10A3" w:rsidRPr="000B2B5D" w:rsidRDefault="00BF10A3" w:rsidP="00BF10A3">
      <w:pPr>
        <w:rPr>
          <w:rFonts w:ascii="Courier New" w:eastAsiaTheme="minorHAnsi" w:hAnsi="Courier New" w:cstheme="minorBidi"/>
          <w:sz w:val="16"/>
        </w:rPr>
      </w:pPr>
    </w:p>
    <w:p w14:paraId="6FF7E41F" w14:textId="77777777" w:rsidR="00BF10A3" w:rsidRPr="00AA6DFD" w:rsidRDefault="00BF10A3" w:rsidP="00BF10A3">
      <w:pPr>
        <w:spacing w:after="0" w:line="240" w:lineRule="auto"/>
        <w:rPr>
          <w:rFonts w:ascii="Courier New" w:hAnsi="Courier New" w:cs="Courier New"/>
          <w:sz w:val="24"/>
          <w:szCs w:val="24"/>
        </w:rPr>
      </w:pPr>
    </w:p>
    <w:p w14:paraId="13F778DE" w14:textId="77777777" w:rsidR="00BF10A3" w:rsidRPr="00AA6DFD" w:rsidRDefault="00BF10A3" w:rsidP="00BF10A3">
      <w:pPr>
        <w:spacing w:after="0" w:line="240" w:lineRule="auto"/>
        <w:rPr>
          <w:rFonts w:ascii="Courier New" w:hAnsi="Courier New" w:cs="Courier New"/>
          <w:sz w:val="24"/>
          <w:szCs w:val="24"/>
        </w:rPr>
      </w:pPr>
    </w:p>
    <w:p w14:paraId="17E49D04"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3.15: Costs and Transfers Associated with Primary Student Response Assumptions</w:t>
      </w:r>
    </w:p>
    <w:p w14:paraId="3868570E" w14:textId="77777777" w:rsidR="00BF10A3" w:rsidRPr="00AA6DFD" w:rsidRDefault="00BF10A3" w:rsidP="00BF10A3">
      <w:pPr>
        <w:spacing w:after="0" w:line="240" w:lineRule="auto"/>
        <w:rPr>
          <w:rFonts w:ascii="Courier New" w:hAnsi="Courier New" w:cs="Courier New"/>
          <w:b/>
          <w:sz w:val="24"/>
          <w:szCs w:val="24"/>
        </w:rPr>
      </w:pPr>
    </w:p>
    <w:tbl>
      <w:tblPr>
        <w:tblStyle w:val="TableGrid22"/>
        <w:tblW w:w="10283" w:type="dxa"/>
        <w:tblLook w:val="04A0" w:firstRow="1" w:lastRow="0" w:firstColumn="1" w:lastColumn="0" w:noHBand="0" w:noVBand="1"/>
      </w:tblPr>
      <w:tblGrid>
        <w:gridCol w:w="1595"/>
        <w:gridCol w:w="1367"/>
        <w:gridCol w:w="1369"/>
        <w:gridCol w:w="1413"/>
        <w:gridCol w:w="1413"/>
        <w:gridCol w:w="1563"/>
        <w:gridCol w:w="1563"/>
      </w:tblGrid>
      <w:tr w:rsidR="00BF10A3" w:rsidRPr="000B2B5D" w14:paraId="48D035F0" w14:textId="77777777" w:rsidTr="001F7400">
        <w:trPr>
          <w:trHeight w:val="175"/>
        </w:trPr>
        <w:tc>
          <w:tcPr>
            <w:tcW w:w="1595" w:type="dxa"/>
            <w:hideMark/>
          </w:tcPr>
          <w:p w14:paraId="15E07B3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Estimates</w:t>
            </w:r>
          </w:p>
        </w:tc>
        <w:tc>
          <w:tcPr>
            <w:tcW w:w="2736" w:type="dxa"/>
            <w:gridSpan w:val="2"/>
            <w:noWrap/>
            <w:hideMark/>
          </w:tcPr>
          <w:p w14:paraId="5FE2EF1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Low Program, Main Student Assumptions</w:t>
            </w:r>
          </w:p>
        </w:tc>
        <w:tc>
          <w:tcPr>
            <w:tcW w:w="2825" w:type="dxa"/>
            <w:gridSpan w:val="2"/>
            <w:noWrap/>
            <w:hideMark/>
          </w:tcPr>
          <w:p w14:paraId="1FFB8C4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Main Program, Main Student Assumptions</w:t>
            </w:r>
          </w:p>
        </w:tc>
        <w:tc>
          <w:tcPr>
            <w:tcW w:w="3125" w:type="dxa"/>
            <w:gridSpan w:val="2"/>
            <w:noWrap/>
            <w:hideMark/>
          </w:tcPr>
          <w:p w14:paraId="1041D68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High Program, Main Student Assumptions</w:t>
            </w:r>
          </w:p>
        </w:tc>
      </w:tr>
      <w:tr w:rsidR="00BF10A3" w:rsidRPr="000B2B5D" w14:paraId="6A98146F" w14:textId="77777777" w:rsidTr="001F7400">
        <w:trPr>
          <w:trHeight w:val="342"/>
        </w:trPr>
        <w:tc>
          <w:tcPr>
            <w:tcW w:w="1595" w:type="dxa"/>
            <w:hideMark/>
          </w:tcPr>
          <w:p w14:paraId="76B20EC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Transfers over 2017-2024</w:t>
            </w:r>
          </w:p>
        </w:tc>
        <w:tc>
          <w:tcPr>
            <w:tcW w:w="2736" w:type="dxa"/>
            <w:gridSpan w:val="2"/>
            <w:hideMark/>
          </w:tcPr>
          <w:p w14:paraId="27EECDC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416,538 </w:t>
            </w:r>
          </w:p>
        </w:tc>
        <w:tc>
          <w:tcPr>
            <w:tcW w:w="2825" w:type="dxa"/>
            <w:gridSpan w:val="2"/>
            <w:hideMark/>
          </w:tcPr>
          <w:p w14:paraId="0F59162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330,484 </w:t>
            </w:r>
          </w:p>
        </w:tc>
        <w:tc>
          <w:tcPr>
            <w:tcW w:w="3125" w:type="dxa"/>
            <w:gridSpan w:val="2"/>
            <w:hideMark/>
          </w:tcPr>
          <w:p w14:paraId="67B374E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223,719 </w:t>
            </w:r>
          </w:p>
        </w:tc>
      </w:tr>
      <w:tr w:rsidR="00BF10A3" w:rsidRPr="000B2B5D" w14:paraId="7D769E92" w14:textId="77777777" w:rsidTr="001F7400">
        <w:trPr>
          <w:trHeight w:val="342"/>
        </w:trPr>
        <w:tc>
          <w:tcPr>
            <w:tcW w:w="1595" w:type="dxa"/>
            <w:hideMark/>
          </w:tcPr>
          <w:p w14:paraId="6754DCB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Dropouts over 2017-2024</w:t>
            </w:r>
          </w:p>
        </w:tc>
        <w:tc>
          <w:tcPr>
            <w:tcW w:w="2736" w:type="dxa"/>
            <w:gridSpan w:val="2"/>
            <w:hideMark/>
          </w:tcPr>
          <w:p w14:paraId="3DA40BA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138,846 </w:t>
            </w:r>
          </w:p>
        </w:tc>
        <w:tc>
          <w:tcPr>
            <w:tcW w:w="2825" w:type="dxa"/>
            <w:gridSpan w:val="2"/>
            <w:hideMark/>
          </w:tcPr>
          <w:p w14:paraId="5960083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110,161 </w:t>
            </w:r>
          </w:p>
        </w:tc>
        <w:tc>
          <w:tcPr>
            <w:tcW w:w="3125" w:type="dxa"/>
            <w:gridSpan w:val="2"/>
            <w:hideMark/>
          </w:tcPr>
          <w:p w14:paraId="542729A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74,573 </w:t>
            </w:r>
          </w:p>
        </w:tc>
      </w:tr>
      <w:tr w:rsidR="00BF10A3" w:rsidRPr="000B2B5D" w14:paraId="6612ED90" w14:textId="77777777" w:rsidTr="001F7400">
        <w:trPr>
          <w:trHeight w:val="175"/>
        </w:trPr>
        <w:tc>
          <w:tcPr>
            <w:tcW w:w="1595" w:type="dxa"/>
            <w:hideMark/>
          </w:tcPr>
          <w:p w14:paraId="4AAE473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67" w:type="dxa"/>
            <w:noWrap/>
            <w:hideMark/>
          </w:tcPr>
          <w:p w14:paraId="1AEFE74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369" w:type="dxa"/>
            <w:noWrap/>
            <w:hideMark/>
          </w:tcPr>
          <w:p w14:paraId="0088226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413" w:type="dxa"/>
            <w:noWrap/>
            <w:hideMark/>
          </w:tcPr>
          <w:p w14:paraId="019D79B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413" w:type="dxa"/>
            <w:noWrap/>
            <w:hideMark/>
          </w:tcPr>
          <w:p w14:paraId="1152BA8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563" w:type="dxa"/>
            <w:noWrap/>
            <w:hideMark/>
          </w:tcPr>
          <w:p w14:paraId="2DCA544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563" w:type="dxa"/>
            <w:noWrap/>
            <w:hideMark/>
          </w:tcPr>
          <w:p w14:paraId="460FC55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r>
      <w:tr w:rsidR="00BF10A3" w:rsidRPr="000B2B5D" w14:paraId="25EF7CAA" w14:textId="77777777" w:rsidTr="001F7400">
        <w:trPr>
          <w:trHeight w:val="175"/>
        </w:trPr>
        <w:tc>
          <w:tcPr>
            <w:tcW w:w="1595" w:type="dxa"/>
            <w:hideMark/>
          </w:tcPr>
          <w:p w14:paraId="7F30AA1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67" w:type="dxa"/>
            <w:noWrap/>
            <w:hideMark/>
          </w:tcPr>
          <w:p w14:paraId="08F9389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69" w:type="dxa"/>
            <w:noWrap/>
            <w:hideMark/>
          </w:tcPr>
          <w:p w14:paraId="5BFC368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413" w:type="dxa"/>
            <w:noWrap/>
            <w:hideMark/>
          </w:tcPr>
          <w:p w14:paraId="75C555D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413" w:type="dxa"/>
            <w:noWrap/>
            <w:hideMark/>
          </w:tcPr>
          <w:p w14:paraId="2E7B607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563" w:type="dxa"/>
            <w:noWrap/>
            <w:hideMark/>
          </w:tcPr>
          <w:p w14:paraId="4E31829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563" w:type="dxa"/>
            <w:noWrap/>
            <w:hideMark/>
          </w:tcPr>
          <w:p w14:paraId="5C6B92E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r>
      <w:tr w:rsidR="00BF10A3" w:rsidRPr="000B2B5D" w14:paraId="3798B1FA" w14:textId="77777777" w:rsidTr="001F7400">
        <w:trPr>
          <w:trHeight w:val="674"/>
        </w:trPr>
        <w:tc>
          <w:tcPr>
            <w:tcW w:w="1595" w:type="dxa"/>
            <w:hideMark/>
          </w:tcPr>
          <w:p w14:paraId="6F8E49F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Additional expense of educating transfer students at passing programs</w:t>
            </w:r>
          </w:p>
        </w:tc>
        <w:tc>
          <w:tcPr>
            <w:tcW w:w="1367" w:type="dxa"/>
            <w:noWrap/>
            <w:hideMark/>
          </w:tcPr>
          <w:p w14:paraId="40B787A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$470</w:t>
            </w:r>
          </w:p>
        </w:tc>
        <w:tc>
          <w:tcPr>
            <w:tcW w:w="1369" w:type="dxa"/>
            <w:noWrap/>
            <w:hideMark/>
          </w:tcPr>
          <w:p w14:paraId="5BDB06A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$476</w:t>
            </w:r>
          </w:p>
        </w:tc>
        <w:tc>
          <w:tcPr>
            <w:tcW w:w="1413" w:type="dxa"/>
            <w:noWrap/>
            <w:hideMark/>
          </w:tcPr>
          <w:p w14:paraId="7C9BF6D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$373</w:t>
            </w:r>
          </w:p>
        </w:tc>
        <w:tc>
          <w:tcPr>
            <w:tcW w:w="1413" w:type="dxa"/>
            <w:noWrap/>
            <w:hideMark/>
          </w:tcPr>
          <w:p w14:paraId="065A31D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$379</w:t>
            </w:r>
          </w:p>
        </w:tc>
        <w:tc>
          <w:tcPr>
            <w:tcW w:w="1563" w:type="dxa"/>
            <w:noWrap/>
            <w:hideMark/>
          </w:tcPr>
          <w:p w14:paraId="4D3799F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$254</w:t>
            </w:r>
          </w:p>
        </w:tc>
        <w:tc>
          <w:tcPr>
            <w:tcW w:w="1563" w:type="dxa"/>
            <w:noWrap/>
            <w:hideMark/>
          </w:tcPr>
          <w:p w14:paraId="691A78C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$260</w:t>
            </w:r>
          </w:p>
        </w:tc>
      </w:tr>
      <w:tr w:rsidR="00BF10A3" w:rsidRPr="000B2B5D" w14:paraId="7A37C07A" w14:textId="77777777" w:rsidTr="001F7400">
        <w:trPr>
          <w:trHeight w:val="1176"/>
        </w:trPr>
        <w:tc>
          <w:tcPr>
            <w:tcW w:w="1595" w:type="dxa"/>
            <w:hideMark/>
          </w:tcPr>
          <w:p w14:paraId="77F0A06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Transfer of Federal student aid money from failing programs to the Federal government when students drop out of programs or remain in ineligible programs</w:t>
            </w:r>
          </w:p>
        </w:tc>
        <w:tc>
          <w:tcPr>
            <w:tcW w:w="1367" w:type="dxa"/>
            <w:noWrap/>
            <w:hideMark/>
          </w:tcPr>
          <w:p w14:paraId="6547894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$565</w:t>
            </w:r>
          </w:p>
        </w:tc>
        <w:tc>
          <w:tcPr>
            <w:tcW w:w="1369" w:type="dxa"/>
            <w:noWrap/>
            <w:hideMark/>
          </w:tcPr>
          <w:p w14:paraId="046A699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$565</w:t>
            </w:r>
          </w:p>
        </w:tc>
        <w:tc>
          <w:tcPr>
            <w:tcW w:w="1413" w:type="dxa"/>
            <w:noWrap/>
            <w:hideMark/>
          </w:tcPr>
          <w:p w14:paraId="0161CF4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$423</w:t>
            </w:r>
          </w:p>
        </w:tc>
        <w:tc>
          <w:tcPr>
            <w:tcW w:w="1413" w:type="dxa"/>
            <w:noWrap/>
            <w:hideMark/>
          </w:tcPr>
          <w:p w14:paraId="20598F3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$423</w:t>
            </w:r>
          </w:p>
        </w:tc>
        <w:tc>
          <w:tcPr>
            <w:tcW w:w="1563" w:type="dxa"/>
            <w:noWrap/>
            <w:hideMark/>
          </w:tcPr>
          <w:p w14:paraId="26D8023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$277</w:t>
            </w:r>
          </w:p>
        </w:tc>
        <w:tc>
          <w:tcPr>
            <w:tcW w:w="1563" w:type="dxa"/>
            <w:noWrap/>
            <w:hideMark/>
          </w:tcPr>
          <w:p w14:paraId="47D9665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$280</w:t>
            </w:r>
          </w:p>
        </w:tc>
      </w:tr>
      <w:tr w:rsidR="00BF10A3" w:rsidRPr="000B2B5D" w14:paraId="6D0BC6DA" w14:textId="77777777" w:rsidTr="001F7400">
        <w:trPr>
          <w:trHeight w:val="842"/>
        </w:trPr>
        <w:tc>
          <w:tcPr>
            <w:tcW w:w="1595" w:type="dxa"/>
            <w:hideMark/>
          </w:tcPr>
          <w:p w14:paraId="47DFF8A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revenues from non-passing programs to passing or zone programs as students transfer </w:t>
            </w:r>
          </w:p>
        </w:tc>
        <w:tc>
          <w:tcPr>
            <w:tcW w:w="1367" w:type="dxa"/>
            <w:noWrap/>
            <w:hideMark/>
          </w:tcPr>
          <w:p w14:paraId="765269D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$3,170</w:t>
            </w:r>
          </w:p>
        </w:tc>
        <w:tc>
          <w:tcPr>
            <w:tcW w:w="1369" w:type="dxa"/>
            <w:noWrap/>
            <w:hideMark/>
          </w:tcPr>
          <w:p w14:paraId="52B35B2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$3,212</w:t>
            </w:r>
          </w:p>
        </w:tc>
        <w:tc>
          <w:tcPr>
            <w:tcW w:w="1413" w:type="dxa"/>
            <w:noWrap/>
            <w:hideMark/>
          </w:tcPr>
          <w:p w14:paraId="45BC151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$2,515</w:t>
            </w:r>
          </w:p>
        </w:tc>
        <w:tc>
          <w:tcPr>
            <w:tcW w:w="1413" w:type="dxa"/>
            <w:noWrap/>
            <w:hideMark/>
          </w:tcPr>
          <w:p w14:paraId="5B83241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$2,554</w:t>
            </w:r>
          </w:p>
        </w:tc>
        <w:tc>
          <w:tcPr>
            <w:tcW w:w="1563" w:type="dxa"/>
            <w:noWrap/>
            <w:hideMark/>
          </w:tcPr>
          <w:p w14:paraId="510BB04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$1,719</w:t>
            </w:r>
          </w:p>
        </w:tc>
        <w:tc>
          <w:tcPr>
            <w:tcW w:w="1563" w:type="dxa"/>
            <w:noWrap/>
            <w:hideMark/>
          </w:tcPr>
          <w:p w14:paraId="4875DF7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$1,763</w:t>
            </w:r>
          </w:p>
        </w:tc>
      </w:tr>
      <w:tr w:rsidR="00BF10A3" w:rsidRPr="000B2B5D" w14:paraId="73281DD4" w14:textId="77777777" w:rsidTr="001F7400">
        <w:trPr>
          <w:trHeight w:val="1008"/>
        </w:trPr>
        <w:tc>
          <w:tcPr>
            <w:tcW w:w="1595" w:type="dxa"/>
            <w:hideMark/>
          </w:tcPr>
          <w:p w14:paraId="77D8907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instructional expenses from non-passing programs to passing or zone programs as students transfer </w:t>
            </w:r>
          </w:p>
        </w:tc>
        <w:tc>
          <w:tcPr>
            <w:tcW w:w="1367" w:type="dxa"/>
            <w:noWrap/>
            <w:hideMark/>
          </w:tcPr>
          <w:p w14:paraId="4A2B9F1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$1,530</w:t>
            </w:r>
          </w:p>
        </w:tc>
        <w:tc>
          <w:tcPr>
            <w:tcW w:w="1369" w:type="dxa"/>
            <w:noWrap/>
            <w:hideMark/>
          </w:tcPr>
          <w:p w14:paraId="0684130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$1,550</w:t>
            </w:r>
          </w:p>
        </w:tc>
        <w:tc>
          <w:tcPr>
            <w:tcW w:w="1413" w:type="dxa"/>
            <w:noWrap/>
            <w:hideMark/>
          </w:tcPr>
          <w:p w14:paraId="13DB825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$1,216</w:t>
            </w:r>
          </w:p>
        </w:tc>
        <w:tc>
          <w:tcPr>
            <w:tcW w:w="1413" w:type="dxa"/>
            <w:noWrap/>
            <w:hideMark/>
          </w:tcPr>
          <w:p w14:paraId="6723E1F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$1,235</w:t>
            </w:r>
          </w:p>
        </w:tc>
        <w:tc>
          <w:tcPr>
            <w:tcW w:w="1563" w:type="dxa"/>
            <w:noWrap/>
            <w:hideMark/>
          </w:tcPr>
          <w:p w14:paraId="66A016C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$829</w:t>
            </w:r>
          </w:p>
        </w:tc>
        <w:tc>
          <w:tcPr>
            <w:tcW w:w="1563" w:type="dxa"/>
            <w:noWrap/>
            <w:hideMark/>
          </w:tcPr>
          <w:p w14:paraId="2696683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$851</w:t>
            </w:r>
          </w:p>
        </w:tc>
      </w:tr>
    </w:tbl>
    <w:p w14:paraId="650D3BC9" w14:textId="77777777" w:rsidR="00BF10A3" w:rsidRPr="000B2B5D" w:rsidRDefault="00BF10A3" w:rsidP="00BF10A3">
      <w:pPr>
        <w:rPr>
          <w:rFonts w:ascii="Courier New" w:eastAsiaTheme="minorHAnsi" w:hAnsi="Courier New" w:cstheme="minorBidi"/>
          <w:sz w:val="16"/>
        </w:rPr>
      </w:pPr>
    </w:p>
    <w:p w14:paraId="47BB6BE8" w14:textId="77777777" w:rsidR="00BF10A3" w:rsidRPr="00AA6DFD" w:rsidRDefault="00BF10A3" w:rsidP="00BF10A3">
      <w:pPr>
        <w:spacing w:after="0" w:line="240" w:lineRule="auto"/>
        <w:rPr>
          <w:rFonts w:ascii="Courier New" w:hAnsi="Courier New" w:cs="Courier New"/>
          <w:b/>
          <w:sz w:val="24"/>
          <w:szCs w:val="24"/>
        </w:rPr>
      </w:pPr>
    </w:p>
    <w:p w14:paraId="7C276D9B" w14:textId="77777777" w:rsidR="00BF10A3" w:rsidRPr="00AA6DFD" w:rsidRDefault="00BF10A3" w:rsidP="00BF10A3">
      <w:pPr>
        <w:spacing w:after="0" w:line="240" w:lineRule="auto"/>
        <w:rPr>
          <w:rFonts w:ascii="Courier New" w:hAnsi="Courier New" w:cs="Courier New"/>
          <w:sz w:val="24"/>
          <w:szCs w:val="24"/>
        </w:rPr>
      </w:pPr>
    </w:p>
    <w:p w14:paraId="0FA4DAB5"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3.16: Costs and Transfers Associated with Strong (+ 25 percent) Student Response Assumptions</w:t>
      </w:r>
    </w:p>
    <w:p w14:paraId="42670DEC" w14:textId="77777777" w:rsidR="00BF10A3" w:rsidRPr="00AA6DFD" w:rsidRDefault="00BF10A3" w:rsidP="00BF10A3">
      <w:pPr>
        <w:spacing w:after="0" w:line="240" w:lineRule="auto"/>
        <w:rPr>
          <w:rFonts w:ascii="Courier New" w:hAnsi="Courier New" w:cs="Courier New"/>
          <w:sz w:val="24"/>
          <w:szCs w:val="24"/>
        </w:rPr>
      </w:pPr>
    </w:p>
    <w:p w14:paraId="068DEB1C" w14:textId="77777777" w:rsidR="00BF10A3" w:rsidRPr="000B2B5D" w:rsidRDefault="00BF10A3" w:rsidP="00BF10A3">
      <w:pPr>
        <w:rPr>
          <w:rFonts w:ascii="Courier New" w:eastAsiaTheme="minorHAnsi" w:hAnsi="Courier New" w:cstheme="minorBidi"/>
          <w:sz w:val="16"/>
        </w:rPr>
      </w:pPr>
    </w:p>
    <w:tbl>
      <w:tblPr>
        <w:tblStyle w:val="TableGrid23"/>
        <w:tblW w:w="9593" w:type="dxa"/>
        <w:tblLook w:val="04A0" w:firstRow="1" w:lastRow="0" w:firstColumn="1" w:lastColumn="0" w:noHBand="0" w:noVBand="1"/>
      </w:tblPr>
      <w:tblGrid>
        <w:gridCol w:w="1465"/>
        <w:gridCol w:w="1356"/>
        <w:gridCol w:w="1357"/>
        <w:gridCol w:w="1399"/>
        <w:gridCol w:w="1400"/>
        <w:gridCol w:w="1485"/>
        <w:gridCol w:w="1486"/>
      </w:tblGrid>
      <w:tr w:rsidR="00BF10A3" w:rsidRPr="000B2B5D" w14:paraId="5D308CEC" w14:textId="77777777" w:rsidTr="001F7400">
        <w:trPr>
          <w:trHeight w:val="253"/>
        </w:trPr>
        <w:tc>
          <w:tcPr>
            <w:tcW w:w="1110" w:type="dxa"/>
            <w:hideMark/>
          </w:tcPr>
          <w:p w14:paraId="0D81328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Estimates</w:t>
            </w:r>
          </w:p>
        </w:tc>
        <w:tc>
          <w:tcPr>
            <w:tcW w:w="2713" w:type="dxa"/>
            <w:gridSpan w:val="2"/>
            <w:noWrap/>
            <w:hideMark/>
          </w:tcPr>
          <w:p w14:paraId="307BC54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Low Prog, High Stu</w:t>
            </w:r>
          </w:p>
        </w:tc>
        <w:tc>
          <w:tcPr>
            <w:tcW w:w="2799" w:type="dxa"/>
            <w:gridSpan w:val="2"/>
            <w:noWrap/>
            <w:hideMark/>
          </w:tcPr>
          <w:p w14:paraId="174BE7A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Main Program, High Student Assumptions</w:t>
            </w:r>
          </w:p>
        </w:tc>
        <w:tc>
          <w:tcPr>
            <w:tcW w:w="2971" w:type="dxa"/>
            <w:gridSpan w:val="2"/>
            <w:noWrap/>
            <w:hideMark/>
          </w:tcPr>
          <w:p w14:paraId="560371C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High Program, High Student Assumptions</w:t>
            </w:r>
          </w:p>
        </w:tc>
      </w:tr>
      <w:tr w:rsidR="00BF10A3" w:rsidRPr="000B2B5D" w14:paraId="06DA1EAF" w14:textId="77777777" w:rsidTr="001F7400">
        <w:trPr>
          <w:trHeight w:val="495"/>
        </w:trPr>
        <w:tc>
          <w:tcPr>
            <w:tcW w:w="1110" w:type="dxa"/>
            <w:hideMark/>
          </w:tcPr>
          <w:p w14:paraId="2A9B2B5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Transfers over 2017-2024</w:t>
            </w:r>
          </w:p>
        </w:tc>
        <w:tc>
          <w:tcPr>
            <w:tcW w:w="2713" w:type="dxa"/>
            <w:gridSpan w:val="2"/>
            <w:hideMark/>
          </w:tcPr>
          <w:p w14:paraId="1DD9F71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520,813 </w:t>
            </w:r>
          </w:p>
        </w:tc>
        <w:tc>
          <w:tcPr>
            <w:tcW w:w="2799" w:type="dxa"/>
            <w:gridSpan w:val="2"/>
            <w:hideMark/>
          </w:tcPr>
          <w:p w14:paraId="4DE891A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404,069 </w:t>
            </w:r>
          </w:p>
        </w:tc>
        <w:tc>
          <w:tcPr>
            <w:tcW w:w="2971" w:type="dxa"/>
            <w:gridSpan w:val="2"/>
            <w:hideMark/>
          </w:tcPr>
          <w:p w14:paraId="6E27C5B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279,640 </w:t>
            </w:r>
          </w:p>
        </w:tc>
      </w:tr>
      <w:tr w:rsidR="00BF10A3" w:rsidRPr="000B2B5D" w14:paraId="37335E29" w14:textId="77777777" w:rsidTr="001F7400">
        <w:trPr>
          <w:trHeight w:val="495"/>
        </w:trPr>
        <w:tc>
          <w:tcPr>
            <w:tcW w:w="1110" w:type="dxa"/>
            <w:hideMark/>
          </w:tcPr>
          <w:p w14:paraId="78D7E16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Average Annual Student Dropouts over 2017-2024</w:t>
            </w:r>
          </w:p>
        </w:tc>
        <w:tc>
          <w:tcPr>
            <w:tcW w:w="2713" w:type="dxa"/>
            <w:gridSpan w:val="2"/>
            <w:hideMark/>
          </w:tcPr>
          <w:p w14:paraId="0CF0529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173,916 </w:t>
            </w:r>
          </w:p>
        </w:tc>
        <w:tc>
          <w:tcPr>
            <w:tcW w:w="2799" w:type="dxa"/>
            <w:gridSpan w:val="2"/>
            <w:hideMark/>
          </w:tcPr>
          <w:p w14:paraId="7A9C461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134,964 </w:t>
            </w:r>
          </w:p>
        </w:tc>
        <w:tc>
          <w:tcPr>
            <w:tcW w:w="2971" w:type="dxa"/>
            <w:gridSpan w:val="2"/>
            <w:hideMark/>
          </w:tcPr>
          <w:p w14:paraId="5839A9C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xml:space="preserve">                  93,404 </w:t>
            </w:r>
          </w:p>
        </w:tc>
      </w:tr>
      <w:tr w:rsidR="00BF10A3" w:rsidRPr="000B2B5D" w14:paraId="237CE2D9" w14:textId="77777777" w:rsidTr="001F7400">
        <w:trPr>
          <w:trHeight w:val="253"/>
        </w:trPr>
        <w:tc>
          <w:tcPr>
            <w:tcW w:w="1110" w:type="dxa"/>
            <w:hideMark/>
          </w:tcPr>
          <w:p w14:paraId="48B0121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56" w:type="dxa"/>
            <w:noWrap/>
            <w:hideMark/>
          </w:tcPr>
          <w:p w14:paraId="25B2522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356" w:type="dxa"/>
            <w:noWrap/>
            <w:hideMark/>
          </w:tcPr>
          <w:p w14:paraId="450731B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399" w:type="dxa"/>
            <w:noWrap/>
            <w:hideMark/>
          </w:tcPr>
          <w:p w14:paraId="400AD0C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399" w:type="dxa"/>
            <w:noWrap/>
            <w:hideMark/>
          </w:tcPr>
          <w:p w14:paraId="79F8754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c>
          <w:tcPr>
            <w:tcW w:w="1485" w:type="dxa"/>
            <w:noWrap/>
            <w:hideMark/>
          </w:tcPr>
          <w:p w14:paraId="4BB8F35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w:t>
            </w:r>
          </w:p>
        </w:tc>
        <w:tc>
          <w:tcPr>
            <w:tcW w:w="1485" w:type="dxa"/>
            <w:noWrap/>
            <w:hideMark/>
          </w:tcPr>
          <w:p w14:paraId="115C783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7%</w:t>
            </w:r>
          </w:p>
        </w:tc>
      </w:tr>
      <w:tr w:rsidR="00BF10A3" w:rsidRPr="000B2B5D" w14:paraId="3F363DB5" w14:textId="77777777" w:rsidTr="001F7400">
        <w:trPr>
          <w:trHeight w:val="253"/>
        </w:trPr>
        <w:tc>
          <w:tcPr>
            <w:tcW w:w="1110" w:type="dxa"/>
            <w:hideMark/>
          </w:tcPr>
          <w:p w14:paraId="091764E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56" w:type="dxa"/>
            <w:noWrap/>
            <w:hideMark/>
          </w:tcPr>
          <w:p w14:paraId="6186524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56" w:type="dxa"/>
            <w:noWrap/>
            <w:hideMark/>
          </w:tcPr>
          <w:p w14:paraId="791014C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99" w:type="dxa"/>
            <w:noWrap/>
            <w:hideMark/>
          </w:tcPr>
          <w:p w14:paraId="78FA416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399" w:type="dxa"/>
            <w:noWrap/>
            <w:hideMark/>
          </w:tcPr>
          <w:p w14:paraId="33ACEDB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485" w:type="dxa"/>
            <w:noWrap/>
            <w:hideMark/>
          </w:tcPr>
          <w:p w14:paraId="0C27FD0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c>
          <w:tcPr>
            <w:tcW w:w="1485" w:type="dxa"/>
            <w:noWrap/>
            <w:hideMark/>
          </w:tcPr>
          <w:p w14:paraId="7522482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 </w:t>
            </w:r>
          </w:p>
        </w:tc>
      </w:tr>
      <w:tr w:rsidR="00BF10A3" w:rsidRPr="000B2B5D" w14:paraId="4644BE56" w14:textId="77777777" w:rsidTr="001F7400">
        <w:trPr>
          <w:trHeight w:val="978"/>
        </w:trPr>
        <w:tc>
          <w:tcPr>
            <w:tcW w:w="1110" w:type="dxa"/>
            <w:hideMark/>
          </w:tcPr>
          <w:p w14:paraId="1EEA1E40"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Additional expense of educating transfer students at passing programs</w:t>
            </w:r>
          </w:p>
        </w:tc>
        <w:tc>
          <w:tcPr>
            <w:tcW w:w="1356" w:type="dxa"/>
            <w:noWrap/>
            <w:hideMark/>
          </w:tcPr>
          <w:p w14:paraId="16973A6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$588</w:t>
            </w:r>
          </w:p>
        </w:tc>
        <w:tc>
          <w:tcPr>
            <w:tcW w:w="1356" w:type="dxa"/>
            <w:noWrap/>
            <w:hideMark/>
          </w:tcPr>
          <w:p w14:paraId="42A7F08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$595</w:t>
            </w:r>
          </w:p>
        </w:tc>
        <w:tc>
          <w:tcPr>
            <w:tcW w:w="1399" w:type="dxa"/>
            <w:noWrap/>
            <w:hideMark/>
          </w:tcPr>
          <w:p w14:paraId="3FC47CC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$466</w:t>
            </w:r>
          </w:p>
        </w:tc>
        <w:tc>
          <w:tcPr>
            <w:tcW w:w="1399" w:type="dxa"/>
            <w:noWrap/>
            <w:hideMark/>
          </w:tcPr>
          <w:p w14:paraId="6FF4E96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$473</w:t>
            </w:r>
          </w:p>
        </w:tc>
        <w:tc>
          <w:tcPr>
            <w:tcW w:w="1485" w:type="dxa"/>
            <w:noWrap/>
            <w:hideMark/>
          </w:tcPr>
          <w:p w14:paraId="21AA732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$317</w:t>
            </w:r>
          </w:p>
        </w:tc>
        <w:tc>
          <w:tcPr>
            <w:tcW w:w="1485" w:type="dxa"/>
            <w:noWrap/>
            <w:hideMark/>
          </w:tcPr>
          <w:p w14:paraId="2310602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$325</w:t>
            </w:r>
          </w:p>
        </w:tc>
      </w:tr>
      <w:tr w:rsidR="00BF10A3" w:rsidRPr="000B2B5D" w14:paraId="012C4430" w14:textId="77777777" w:rsidTr="001F7400">
        <w:trPr>
          <w:trHeight w:val="1703"/>
        </w:trPr>
        <w:tc>
          <w:tcPr>
            <w:tcW w:w="1110" w:type="dxa"/>
            <w:hideMark/>
          </w:tcPr>
          <w:p w14:paraId="5646B5B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Transfer of Federal student aid money from failing programs to the Federal government when students drop out of programs or remain in ineligible programs</w:t>
            </w:r>
          </w:p>
        </w:tc>
        <w:tc>
          <w:tcPr>
            <w:tcW w:w="1356" w:type="dxa"/>
            <w:noWrap/>
            <w:hideMark/>
          </w:tcPr>
          <w:p w14:paraId="71B7255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$384</w:t>
            </w:r>
          </w:p>
        </w:tc>
        <w:tc>
          <w:tcPr>
            <w:tcW w:w="1356" w:type="dxa"/>
            <w:noWrap/>
            <w:hideMark/>
          </w:tcPr>
          <w:p w14:paraId="1A1F98D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$388</w:t>
            </w:r>
          </w:p>
        </w:tc>
        <w:tc>
          <w:tcPr>
            <w:tcW w:w="1399" w:type="dxa"/>
            <w:noWrap/>
            <w:hideMark/>
          </w:tcPr>
          <w:p w14:paraId="4936AEF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$299</w:t>
            </w:r>
          </w:p>
        </w:tc>
        <w:tc>
          <w:tcPr>
            <w:tcW w:w="1399" w:type="dxa"/>
            <w:noWrap/>
            <w:hideMark/>
          </w:tcPr>
          <w:p w14:paraId="51E4260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$303</w:t>
            </w:r>
          </w:p>
        </w:tc>
        <w:tc>
          <w:tcPr>
            <w:tcW w:w="1485" w:type="dxa"/>
            <w:noWrap/>
            <w:hideMark/>
          </w:tcPr>
          <w:p w14:paraId="3893DFFE"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$214</w:t>
            </w:r>
          </w:p>
        </w:tc>
        <w:tc>
          <w:tcPr>
            <w:tcW w:w="1485" w:type="dxa"/>
            <w:noWrap/>
            <w:hideMark/>
          </w:tcPr>
          <w:p w14:paraId="1C04DA02"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$218</w:t>
            </w:r>
          </w:p>
        </w:tc>
      </w:tr>
      <w:tr w:rsidR="00BF10A3" w:rsidRPr="000B2B5D" w14:paraId="78FF306D" w14:textId="77777777" w:rsidTr="001F7400">
        <w:trPr>
          <w:trHeight w:val="1220"/>
        </w:trPr>
        <w:tc>
          <w:tcPr>
            <w:tcW w:w="1110" w:type="dxa"/>
            <w:hideMark/>
          </w:tcPr>
          <w:p w14:paraId="1A40A78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revenues from non-passing programs to passing or zone programs as students transfer </w:t>
            </w:r>
          </w:p>
        </w:tc>
        <w:tc>
          <w:tcPr>
            <w:tcW w:w="1356" w:type="dxa"/>
            <w:noWrap/>
            <w:hideMark/>
          </w:tcPr>
          <w:p w14:paraId="3D67A17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$3,964</w:t>
            </w:r>
          </w:p>
        </w:tc>
        <w:tc>
          <w:tcPr>
            <w:tcW w:w="1356" w:type="dxa"/>
            <w:noWrap/>
            <w:hideMark/>
          </w:tcPr>
          <w:p w14:paraId="4BAA12C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$4,016</w:t>
            </w:r>
          </w:p>
        </w:tc>
        <w:tc>
          <w:tcPr>
            <w:tcW w:w="1399" w:type="dxa"/>
            <w:noWrap/>
            <w:hideMark/>
          </w:tcPr>
          <w:p w14:paraId="569F5BE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$3,143</w:t>
            </w:r>
          </w:p>
        </w:tc>
        <w:tc>
          <w:tcPr>
            <w:tcW w:w="1399" w:type="dxa"/>
            <w:noWrap/>
            <w:hideMark/>
          </w:tcPr>
          <w:p w14:paraId="3A9546D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$3,192</w:t>
            </w:r>
          </w:p>
        </w:tc>
        <w:tc>
          <w:tcPr>
            <w:tcW w:w="1485" w:type="dxa"/>
            <w:noWrap/>
            <w:hideMark/>
          </w:tcPr>
          <w:p w14:paraId="0BCBA07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$2,025</w:t>
            </w:r>
          </w:p>
        </w:tc>
        <w:tc>
          <w:tcPr>
            <w:tcW w:w="1485" w:type="dxa"/>
            <w:noWrap/>
            <w:hideMark/>
          </w:tcPr>
          <w:p w14:paraId="1DD7C07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$2,077</w:t>
            </w:r>
          </w:p>
        </w:tc>
      </w:tr>
      <w:tr w:rsidR="00BF10A3" w:rsidRPr="000B2B5D" w14:paraId="10B0A2AB" w14:textId="77777777" w:rsidTr="001F7400">
        <w:trPr>
          <w:trHeight w:val="1461"/>
        </w:trPr>
        <w:tc>
          <w:tcPr>
            <w:tcW w:w="1110" w:type="dxa"/>
            <w:hideMark/>
          </w:tcPr>
          <w:p w14:paraId="70F1C35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Estimated Transfer  of instructional expenses from non-passing programs to passing or zone programs as students transfer </w:t>
            </w:r>
          </w:p>
        </w:tc>
        <w:tc>
          <w:tcPr>
            <w:tcW w:w="1356" w:type="dxa"/>
            <w:noWrap/>
            <w:hideMark/>
          </w:tcPr>
          <w:p w14:paraId="05DF3F6B"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$1,913</w:t>
            </w:r>
          </w:p>
        </w:tc>
        <w:tc>
          <w:tcPr>
            <w:tcW w:w="1356" w:type="dxa"/>
            <w:noWrap/>
            <w:hideMark/>
          </w:tcPr>
          <w:p w14:paraId="60908D8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$1,938</w:t>
            </w:r>
          </w:p>
        </w:tc>
        <w:tc>
          <w:tcPr>
            <w:tcW w:w="1399" w:type="dxa"/>
            <w:noWrap/>
            <w:hideMark/>
          </w:tcPr>
          <w:p w14:paraId="2491C9C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$1,520</w:t>
            </w:r>
          </w:p>
        </w:tc>
        <w:tc>
          <w:tcPr>
            <w:tcW w:w="1399" w:type="dxa"/>
            <w:noWrap/>
            <w:hideMark/>
          </w:tcPr>
          <w:p w14:paraId="07F6ECC7"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$1,543</w:t>
            </w:r>
          </w:p>
        </w:tc>
        <w:tc>
          <w:tcPr>
            <w:tcW w:w="1485" w:type="dxa"/>
            <w:noWrap/>
            <w:hideMark/>
          </w:tcPr>
          <w:p w14:paraId="26E6501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$1,036</w:t>
            </w:r>
          </w:p>
        </w:tc>
        <w:tc>
          <w:tcPr>
            <w:tcW w:w="1485" w:type="dxa"/>
            <w:noWrap/>
            <w:hideMark/>
          </w:tcPr>
          <w:p w14:paraId="6C9AFB89"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$1,063</w:t>
            </w:r>
          </w:p>
        </w:tc>
      </w:tr>
    </w:tbl>
    <w:p w14:paraId="635D432D" w14:textId="77777777" w:rsidR="00BF10A3" w:rsidRPr="00AA6DFD" w:rsidRDefault="00BF10A3" w:rsidP="00BF10A3">
      <w:pPr>
        <w:spacing w:after="0" w:line="240" w:lineRule="auto"/>
        <w:ind w:firstLine="720"/>
        <w:rPr>
          <w:rFonts w:ascii="Courier New" w:hAnsi="Courier New" w:cs="Courier New"/>
          <w:i/>
          <w:sz w:val="24"/>
          <w:szCs w:val="24"/>
        </w:rPr>
      </w:pPr>
      <w:r w:rsidRPr="000B2B5D">
        <w:rPr>
          <w:rFonts w:ascii="Courier New" w:eastAsiaTheme="minorHAnsi" w:hAnsi="Courier New" w:cstheme="minorBidi"/>
          <w:sz w:val="16"/>
        </w:rPr>
        <w:br w:type="page"/>
      </w:r>
    </w:p>
    <w:p w14:paraId="0BE6F303" w14:textId="77777777" w:rsidR="00BF10A3" w:rsidRPr="00AA6DFD" w:rsidRDefault="00BF10A3" w:rsidP="00BF10A3">
      <w:pPr>
        <w:spacing w:line="480" w:lineRule="auto"/>
        <w:rPr>
          <w:rFonts w:ascii="Courier New" w:hAnsi="Courier New" w:cs="Courier New"/>
          <w:sz w:val="24"/>
          <w:szCs w:val="24"/>
          <w:u w:val="single"/>
        </w:rPr>
      </w:pPr>
    </w:p>
    <w:p w14:paraId="36056F84" w14:textId="77777777" w:rsidR="00BF10A3" w:rsidRPr="00B53B21" w:rsidRDefault="00BF10A3" w:rsidP="00BF10A3">
      <w:pPr>
        <w:pStyle w:val="Heading2"/>
      </w:pPr>
      <w:r w:rsidRPr="00B53B21">
        <w:t xml:space="preserve">4.  Regulatory Alternatives Considered </w:t>
      </w:r>
    </w:p>
    <w:p w14:paraId="0993E1F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part of the development of these regulations, the Department engaged in a negotiated rulemaking process in which we received comments and proposals from non-Federal negotiators representing institutions, consumer advocates, students, financial aid administrators, accreditors, and State Attorneys General.  The non-Federal negotiators submitted a variety of proposals relating to placement rates, protections for students in failing programs, exemptions for programs with low borrowing or default rates, rigorous approval requirements for existing and new programs, as well as other issues.  Information about these proposals is available on the GE Web site at </w:t>
      </w:r>
      <w:hyperlink r:id="rId73" w:history="1">
        <w:r w:rsidRPr="00AA6DFD">
          <w:rPr>
            <w:rStyle w:val="Hyperlink"/>
            <w:rFonts w:ascii="Courier New" w:hAnsi="Courier New" w:cs="Courier New"/>
            <w:sz w:val="24"/>
            <w:szCs w:val="24"/>
          </w:rPr>
          <w:t>http://www2.ed.gov/policy/highered/reg/hearulemaking/2012/gainfulemployment.html</w:t>
        </w:r>
      </w:hyperlink>
      <w:r w:rsidRPr="00AA6DFD">
        <w:rPr>
          <w:rFonts w:ascii="Courier New" w:hAnsi="Courier New" w:cs="Courier New"/>
          <w:sz w:val="24"/>
          <w:szCs w:val="24"/>
        </w:rPr>
        <w:t xml:space="preserve">.  The Department also published proposed regulations in a notice of proposed rulemaking and invited public comment.  We received comments, including proposals, on a wide range of issues related to the regulations.  We have responded to these comments in the preamble of the final regulations.  </w:t>
      </w:r>
    </w:p>
    <w:p w14:paraId="095161E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addition to the proposals from the non-Federal negotiators and the public, the Department considered alternatives to the regulations based on its own analysis, including alternative provisions for the D/E rates measure, as well as alternative metrics.  Important alternatives that were considered are discussed below. </w:t>
      </w:r>
    </w:p>
    <w:p w14:paraId="1224CCB5" w14:textId="77777777" w:rsidR="00BF10A3" w:rsidRPr="00B53B21" w:rsidRDefault="00BF10A3" w:rsidP="00BF10A3">
      <w:pPr>
        <w:pStyle w:val="riaheader2"/>
      </w:pPr>
      <w:r w:rsidRPr="00B53B21">
        <w:t>Alternative Components of the D/E Rates Measure</w:t>
      </w:r>
    </w:p>
    <w:p w14:paraId="28CDF8AC" w14:textId="77777777" w:rsidR="00BF10A3" w:rsidRPr="00B53B21" w:rsidRDefault="00BF10A3" w:rsidP="00BF10A3">
      <w:pPr>
        <w:pStyle w:val="riaheader3"/>
      </w:pPr>
      <w:r w:rsidRPr="00B53B21">
        <w:t xml:space="preserve">N-Size </w:t>
      </w:r>
    </w:p>
    <w:p w14:paraId="00C9ABD1"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 xml:space="preserve">     </w:t>
      </w:r>
    </w:p>
    <w:p w14:paraId="53D10F6C"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For the purpose of calculating the D/E rates measure, we considered reducing the n-size for program evaluation to 10 students who completed a program in a two-year cohort period.  At an n-size of 10, about 50 percent of GE programs would be subject to evaluation under the D/E rates measure.  However, these additional programs account for a relatively small proportion of students receiving title IV, HEA program funds for enrollment in GE programs.   Although we believe an n-size of 10 would be reasonable for the D/E rates measure, we elected to retain the n-size of 30 and to include those who completed over a four-year period if needed to achieve a 30-student cohort for a given program.  Our data show that, using the two-year cohort period, 5,539 programs have enough students who completed the program to satisfy an n-size of 30.  These 5,539 programs represent approximately 60 percent of students who received title IV, HEA program funds for enrolling in a GE program.  Further, we estimate that, using the four-year cohort period, 3,356 additional programs would meet an n-size of 30.  </w:t>
      </w:r>
    </w:p>
    <w:p w14:paraId="1649794E" w14:textId="77777777" w:rsidR="00BF10A3" w:rsidRPr="00AA6DFD" w:rsidRDefault="00BF10A3" w:rsidP="00BF10A3">
      <w:pPr>
        <w:spacing w:after="0" w:line="240" w:lineRule="auto"/>
        <w:rPr>
          <w:rFonts w:ascii="Courier New" w:hAnsi="Courier New" w:cs="Courier New"/>
          <w:sz w:val="24"/>
          <w:szCs w:val="24"/>
        </w:rPr>
      </w:pPr>
    </w:p>
    <w:p w14:paraId="1BBF66D3" w14:textId="77777777" w:rsidR="00BF10A3" w:rsidRPr="00AA6DFD" w:rsidRDefault="00BF10A3" w:rsidP="00BF10A3">
      <w:pPr>
        <w:spacing w:after="0" w:line="240" w:lineRule="auto"/>
        <w:rPr>
          <w:rFonts w:ascii="Courier New" w:hAnsi="Courier New" w:cs="Courier New"/>
          <w:sz w:val="24"/>
          <w:szCs w:val="24"/>
        </w:rPr>
      </w:pPr>
    </w:p>
    <w:p w14:paraId="18D87D0E"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4.1: Effect of N-Size on Programs Evaluated under the D/E Rates Measure</w:t>
      </w:r>
    </w:p>
    <w:p w14:paraId="444231BE" w14:textId="77777777" w:rsidR="00BF10A3" w:rsidRPr="000B2B5D" w:rsidRDefault="00BF10A3" w:rsidP="00BF10A3">
      <w:pPr>
        <w:rPr>
          <w:rFonts w:ascii="Courier New" w:eastAsiaTheme="minorHAnsi" w:hAnsi="Courier New"/>
          <w:sz w:val="16"/>
        </w:rPr>
      </w:pPr>
    </w:p>
    <w:tbl>
      <w:tblPr>
        <w:tblStyle w:val="TableGrid24"/>
        <w:tblW w:w="0" w:type="auto"/>
        <w:tblLook w:val="04A0" w:firstRow="1" w:lastRow="0" w:firstColumn="1" w:lastColumn="0" w:noHBand="0" w:noVBand="1"/>
      </w:tblPr>
      <w:tblGrid>
        <w:gridCol w:w="1300"/>
        <w:gridCol w:w="1516"/>
        <w:gridCol w:w="1884"/>
        <w:gridCol w:w="1453"/>
        <w:gridCol w:w="1807"/>
      </w:tblGrid>
      <w:tr w:rsidR="00BF10A3" w:rsidRPr="000B2B5D" w14:paraId="25E41172" w14:textId="77777777" w:rsidTr="001F7400">
        <w:trPr>
          <w:trHeight w:val="300"/>
        </w:trPr>
        <w:tc>
          <w:tcPr>
            <w:tcW w:w="1300" w:type="dxa"/>
            <w:vMerge w:val="restart"/>
            <w:noWrap/>
            <w:hideMark/>
          </w:tcPr>
          <w:p w14:paraId="3A7B0D95"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Result</w:t>
            </w:r>
          </w:p>
        </w:tc>
        <w:tc>
          <w:tcPr>
            <w:tcW w:w="3400" w:type="dxa"/>
            <w:gridSpan w:val="2"/>
            <w:noWrap/>
            <w:hideMark/>
          </w:tcPr>
          <w:p w14:paraId="1DC4D284"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N&gt;=10</w:t>
            </w:r>
          </w:p>
        </w:tc>
        <w:tc>
          <w:tcPr>
            <w:tcW w:w="3260" w:type="dxa"/>
            <w:gridSpan w:val="2"/>
            <w:noWrap/>
            <w:hideMark/>
          </w:tcPr>
          <w:p w14:paraId="22CCCD13"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N&gt;=30</w:t>
            </w:r>
          </w:p>
        </w:tc>
      </w:tr>
      <w:tr w:rsidR="00BF10A3" w:rsidRPr="000B2B5D" w14:paraId="22E837AA" w14:textId="77777777" w:rsidTr="001F7400">
        <w:trPr>
          <w:trHeight w:val="300"/>
        </w:trPr>
        <w:tc>
          <w:tcPr>
            <w:tcW w:w="1300" w:type="dxa"/>
            <w:vMerge/>
            <w:hideMark/>
          </w:tcPr>
          <w:p w14:paraId="397DF717" w14:textId="77777777" w:rsidR="00BF10A3" w:rsidRPr="000B2B5D" w:rsidRDefault="00BF10A3" w:rsidP="001F7400">
            <w:pPr>
              <w:rPr>
                <w:rFonts w:ascii="Courier New" w:eastAsiaTheme="minorHAnsi" w:hAnsi="Courier New" w:cstheme="minorBidi"/>
                <w:b/>
                <w:bCs/>
                <w:sz w:val="16"/>
              </w:rPr>
            </w:pPr>
          </w:p>
        </w:tc>
        <w:tc>
          <w:tcPr>
            <w:tcW w:w="1516" w:type="dxa"/>
            <w:noWrap/>
            <w:hideMark/>
          </w:tcPr>
          <w:p w14:paraId="307CFB6F"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Programs</w:t>
            </w:r>
          </w:p>
        </w:tc>
        <w:tc>
          <w:tcPr>
            <w:tcW w:w="1884" w:type="dxa"/>
            <w:noWrap/>
            <w:hideMark/>
          </w:tcPr>
          <w:p w14:paraId="45C68F24"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Enrollment</w:t>
            </w:r>
          </w:p>
        </w:tc>
        <w:tc>
          <w:tcPr>
            <w:tcW w:w="1453" w:type="dxa"/>
            <w:noWrap/>
            <w:hideMark/>
          </w:tcPr>
          <w:p w14:paraId="6D6E2C4C"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Programs</w:t>
            </w:r>
          </w:p>
        </w:tc>
        <w:tc>
          <w:tcPr>
            <w:tcW w:w="1807" w:type="dxa"/>
            <w:noWrap/>
            <w:hideMark/>
          </w:tcPr>
          <w:p w14:paraId="36A63FBE"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Enrollment</w:t>
            </w:r>
          </w:p>
        </w:tc>
      </w:tr>
      <w:tr w:rsidR="00BF10A3" w:rsidRPr="000B2B5D" w14:paraId="6209BE67" w14:textId="77777777" w:rsidTr="001F7400">
        <w:trPr>
          <w:trHeight w:val="300"/>
        </w:trPr>
        <w:tc>
          <w:tcPr>
            <w:tcW w:w="1300" w:type="dxa"/>
            <w:noWrap/>
            <w:hideMark/>
          </w:tcPr>
          <w:p w14:paraId="41AC2DD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Pass</w:t>
            </w:r>
          </w:p>
        </w:tc>
        <w:tc>
          <w:tcPr>
            <w:tcW w:w="1516" w:type="dxa"/>
            <w:noWrap/>
            <w:hideMark/>
          </w:tcPr>
          <w:p w14:paraId="0567EDC6"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8,799</w:t>
            </w:r>
          </w:p>
        </w:tc>
        <w:tc>
          <w:tcPr>
            <w:tcW w:w="1884" w:type="dxa"/>
            <w:noWrap/>
            <w:hideMark/>
          </w:tcPr>
          <w:p w14:paraId="7F1975C8"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2,021,644</w:t>
            </w:r>
          </w:p>
        </w:tc>
        <w:tc>
          <w:tcPr>
            <w:tcW w:w="1453" w:type="dxa"/>
            <w:noWrap/>
            <w:hideMark/>
          </w:tcPr>
          <w:p w14:paraId="0EC863F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4,094</w:t>
            </w:r>
          </w:p>
        </w:tc>
        <w:tc>
          <w:tcPr>
            <w:tcW w:w="1807" w:type="dxa"/>
            <w:noWrap/>
            <w:hideMark/>
          </w:tcPr>
          <w:p w14:paraId="38B0646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1,679,616</w:t>
            </w:r>
          </w:p>
        </w:tc>
      </w:tr>
      <w:tr w:rsidR="00BF10A3" w:rsidRPr="000B2B5D" w14:paraId="638697BD" w14:textId="77777777" w:rsidTr="001F7400">
        <w:trPr>
          <w:trHeight w:val="300"/>
        </w:trPr>
        <w:tc>
          <w:tcPr>
            <w:tcW w:w="1300" w:type="dxa"/>
            <w:noWrap/>
            <w:hideMark/>
          </w:tcPr>
          <w:p w14:paraId="2ADA6B95"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Zone</w:t>
            </w:r>
          </w:p>
        </w:tc>
        <w:tc>
          <w:tcPr>
            <w:tcW w:w="1516" w:type="dxa"/>
            <w:noWrap/>
            <w:hideMark/>
          </w:tcPr>
          <w:p w14:paraId="185DF7C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1,394</w:t>
            </w:r>
          </w:p>
        </w:tc>
        <w:tc>
          <w:tcPr>
            <w:tcW w:w="1884" w:type="dxa"/>
            <w:noWrap/>
            <w:hideMark/>
          </w:tcPr>
          <w:p w14:paraId="67F6DC5D"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500,055</w:t>
            </w:r>
          </w:p>
        </w:tc>
        <w:tc>
          <w:tcPr>
            <w:tcW w:w="1453" w:type="dxa"/>
            <w:noWrap/>
            <w:hideMark/>
          </w:tcPr>
          <w:p w14:paraId="0470C48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928</w:t>
            </w:r>
          </w:p>
        </w:tc>
        <w:tc>
          <w:tcPr>
            <w:tcW w:w="1807" w:type="dxa"/>
            <w:noWrap/>
            <w:hideMark/>
          </w:tcPr>
          <w:p w14:paraId="7530930F"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453,904</w:t>
            </w:r>
          </w:p>
        </w:tc>
      </w:tr>
      <w:tr w:rsidR="00BF10A3" w:rsidRPr="000B2B5D" w14:paraId="47029FD1" w14:textId="77777777" w:rsidTr="001F7400">
        <w:trPr>
          <w:trHeight w:val="300"/>
        </w:trPr>
        <w:tc>
          <w:tcPr>
            <w:tcW w:w="1300" w:type="dxa"/>
            <w:noWrap/>
            <w:hideMark/>
          </w:tcPr>
          <w:p w14:paraId="3D782013"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Fail</w:t>
            </w:r>
          </w:p>
        </w:tc>
        <w:tc>
          <w:tcPr>
            <w:tcW w:w="1516" w:type="dxa"/>
            <w:noWrap/>
            <w:hideMark/>
          </w:tcPr>
          <w:p w14:paraId="447360C1"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857</w:t>
            </w:r>
          </w:p>
        </w:tc>
        <w:tc>
          <w:tcPr>
            <w:tcW w:w="1884" w:type="dxa"/>
            <w:noWrap/>
            <w:hideMark/>
          </w:tcPr>
          <w:p w14:paraId="19539C84"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427,982</w:t>
            </w:r>
          </w:p>
        </w:tc>
        <w:tc>
          <w:tcPr>
            <w:tcW w:w="1453" w:type="dxa"/>
            <w:noWrap/>
            <w:hideMark/>
          </w:tcPr>
          <w:p w14:paraId="37A8239C"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517</w:t>
            </w:r>
          </w:p>
        </w:tc>
        <w:tc>
          <w:tcPr>
            <w:tcW w:w="1807" w:type="dxa"/>
            <w:noWrap/>
            <w:hideMark/>
          </w:tcPr>
          <w:p w14:paraId="486ADF3A" w14:textId="77777777" w:rsidR="00BF10A3" w:rsidRPr="000B2B5D" w:rsidRDefault="00BF10A3" w:rsidP="001F7400">
            <w:pPr>
              <w:rPr>
                <w:rFonts w:ascii="Courier New" w:eastAsiaTheme="minorHAnsi" w:hAnsi="Courier New" w:cstheme="minorBidi"/>
                <w:sz w:val="16"/>
              </w:rPr>
            </w:pPr>
            <w:r w:rsidRPr="000B2B5D">
              <w:rPr>
                <w:rFonts w:ascii="Courier New" w:eastAsiaTheme="minorHAnsi" w:hAnsi="Courier New" w:cstheme="minorBidi"/>
                <w:sz w:val="16"/>
              </w:rPr>
              <w:t>387,763</w:t>
            </w:r>
          </w:p>
        </w:tc>
      </w:tr>
      <w:tr w:rsidR="00BF10A3" w:rsidRPr="000B2B5D" w14:paraId="7CCC98E9" w14:textId="77777777" w:rsidTr="001F7400">
        <w:trPr>
          <w:trHeight w:val="300"/>
        </w:trPr>
        <w:tc>
          <w:tcPr>
            <w:tcW w:w="1300" w:type="dxa"/>
            <w:noWrap/>
            <w:hideMark/>
          </w:tcPr>
          <w:p w14:paraId="4AB9F668"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Total</w:t>
            </w:r>
          </w:p>
        </w:tc>
        <w:tc>
          <w:tcPr>
            <w:tcW w:w="1516" w:type="dxa"/>
            <w:noWrap/>
            <w:hideMark/>
          </w:tcPr>
          <w:p w14:paraId="5B2ED9AF"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11,050</w:t>
            </w:r>
          </w:p>
        </w:tc>
        <w:tc>
          <w:tcPr>
            <w:tcW w:w="1884" w:type="dxa"/>
            <w:noWrap/>
            <w:hideMark/>
          </w:tcPr>
          <w:p w14:paraId="2F61E99D"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2,949,681</w:t>
            </w:r>
          </w:p>
        </w:tc>
        <w:tc>
          <w:tcPr>
            <w:tcW w:w="1453" w:type="dxa"/>
            <w:noWrap/>
            <w:hideMark/>
          </w:tcPr>
          <w:p w14:paraId="5A4BFA1C"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5,539</w:t>
            </w:r>
          </w:p>
        </w:tc>
        <w:tc>
          <w:tcPr>
            <w:tcW w:w="1807" w:type="dxa"/>
            <w:noWrap/>
            <w:hideMark/>
          </w:tcPr>
          <w:p w14:paraId="2FC6E85A" w14:textId="77777777" w:rsidR="00BF10A3" w:rsidRPr="000B2B5D" w:rsidRDefault="00BF10A3" w:rsidP="001F7400">
            <w:pPr>
              <w:rPr>
                <w:rFonts w:ascii="Courier New" w:eastAsiaTheme="minorHAnsi" w:hAnsi="Courier New" w:cstheme="minorBidi"/>
                <w:b/>
                <w:bCs/>
                <w:sz w:val="16"/>
              </w:rPr>
            </w:pPr>
            <w:r w:rsidRPr="000B2B5D">
              <w:rPr>
                <w:rFonts w:ascii="Courier New" w:eastAsiaTheme="minorHAnsi" w:hAnsi="Courier New" w:cstheme="minorBidi"/>
                <w:b/>
                <w:bCs/>
                <w:sz w:val="16"/>
              </w:rPr>
              <w:t>2,521,283</w:t>
            </w:r>
          </w:p>
        </w:tc>
      </w:tr>
    </w:tbl>
    <w:p w14:paraId="50132924" w14:textId="77777777" w:rsidR="00BF10A3" w:rsidRPr="00AA6DFD" w:rsidRDefault="00BF10A3" w:rsidP="00BF10A3">
      <w:pPr>
        <w:spacing w:after="0" w:line="240" w:lineRule="auto"/>
        <w:ind w:firstLine="720"/>
        <w:rPr>
          <w:rFonts w:ascii="Courier New" w:hAnsi="Courier New" w:cs="Courier New"/>
          <w:i/>
          <w:sz w:val="24"/>
          <w:szCs w:val="24"/>
          <w:u w:val="single"/>
        </w:rPr>
      </w:pPr>
    </w:p>
    <w:p w14:paraId="0A1E25B8" w14:textId="77777777" w:rsidR="00BF10A3" w:rsidRPr="00AA6DFD" w:rsidRDefault="00BF10A3" w:rsidP="00BF10A3">
      <w:pPr>
        <w:spacing w:after="0" w:line="240" w:lineRule="auto"/>
        <w:ind w:firstLine="720"/>
        <w:rPr>
          <w:rFonts w:ascii="Courier New" w:hAnsi="Courier New" w:cs="Courier New"/>
          <w:i/>
          <w:sz w:val="24"/>
          <w:szCs w:val="24"/>
          <w:u w:val="single"/>
        </w:rPr>
      </w:pPr>
    </w:p>
    <w:p w14:paraId="4199BCF0" w14:textId="77777777" w:rsidR="00BF10A3" w:rsidRPr="00AA6DFD" w:rsidRDefault="00BF10A3" w:rsidP="00BF10A3">
      <w:pPr>
        <w:spacing w:after="0" w:line="240" w:lineRule="auto"/>
        <w:ind w:firstLine="720"/>
        <w:rPr>
          <w:rFonts w:ascii="Courier New" w:hAnsi="Courier New" w:cs="Courier New"/>
          <w:i/>
          <w:sz w:val="24"/>
          <w:szCs w:val="24"/>
          <w:u w:val="single"/>
        </w:rPr>
      </w:pPr>
    </w:p>
    <w:p w14:paraId="41F22CC3" w14:textId="77777777" w:rsidR="00BF10A3" w:rsidRPr="00B53B21" w:rsidRDefault="00BF10A3" w:rsidP="00BF10A3">
      <w:pPr>
        <w:pStyle w:val="riaheader3"/>
      </w:pPr>
      <w:r w:rsidRPr="00B53B21">
        <w:t>Interest Rates</w:t>
      </w:r>
    </w:p>
    <w:p w14:paraId="02AC0C0F" w14:textId="77777777" w:rsidR="00BF10A3" w:rsidRPr="00AA6DFD" w:rsidRDefault="00BF10A3" w:rsidP="00BF10A3">
      <w:pPr>
        <w:spacing w:after="0" w:line="240" w:lineRule="auto"/>
        <w:ind w:firstLine="720"/>
        <w:rPr>
          <w:rFonts w:ascii="Courier New" w:hAnsi="Courier New" w:cs="Courier New"/>
          <w:sz w:val="24"/>
          <w:szCs w:val="24"/>
        </w:rPr>
      </w:pPr>
    </w:p>
    <w:p w14:paraId="1D575F6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As demonstrated by Table 4.2, the interest rate used in the D/E rates calculations has a substantial effect on a program’s performance under the D/E rates measure.</w:t>
      </w:r>
    </w:p>
    <w:p w14:paraId="3BF40F52" w14:textId="77777777" w:rsidR="00BF10A3" w:rsidRPr="00AA6DFD" w:rsidRDefault="00BF10A3" w:rsidP="00BF10A3">
      <w:pPr>
        <w:spacing w:after="0" w:line="480" w:lineRule="auto"/>
        <w:ind w:firstLine="720"/>
        <w:rPr>
          <w:rFonts w:ascii="Courier New" w:hAnsi="Courier New" w:cs="Courier New"/>
          <w:sz w:val="24"/>
          <w:szCs w:val="24"/>
        </w:rPr>
      </w:pPr>
    </w:p>
    <w:p w14:paraId="1CFC94E8"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4.2: Interest Rate Impact on D/E Rates Results (Total 5,539 programs)</w:t>
      </w:r>
    </w:p>
    <w:p w14:paraId="20E95323" w14:textId="77777777" w:rsidR="00BF10A3" w:rsidRPr="00AA6DFD" w:rsidRDefault="00BF10A3" w:rsidP="00BF10A3">
      <w:pPr>
        <w:spacing w:after="0" w:line="240" w:lineRule="auto"/>
        <w:rPr>
          <w:rFonts w:ascii="Courier New" w:hAnsi="Courier New" w:cs="Courier New"/>
          <w:b/>
          <w:sz w:val="24"/>
          <w:szCs w:val="24"/>
        </w:rPr>
      </w:pPr>
    </w:p>
    <w:p w14:paraId="32272ACD" w14:textId="77777777" w:rsidR="00BF10A3" w:rsidRPr="00E63A6B" w:rsidRDefault="00BF10A3" w:rsidP="00BF10A3">
      <w:pPr>
        <w:rPr>
          <w:rFonts w:ascii="Courier New" w:eastAsiaTheme="minorHAnsi" w:hAnsi="Courier New" w:cstheme="minorBidi"/>
          <w:sz w:val="16"/>
        </w:rPr>
      </w:pPr>
      <w:r w:rsidRPr="00E63A6B">
        <w:rPr>
          <w:rFonts w:asciiTheme="minorHAnsi" w:eastAsiaTheme="minorHAnsi" w:hAnsiTheme="minorHAnsi" w:cstheme="minorBidi"/>
          <w:noProof/>
        </w:rPr>
        <w:drawing>
          <wp:inline distT="0" distB="0" distL="0" distR="0" wp14:anchorId="1AF55BEB" wp14:editId="51D404A3">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3A1C015" w14:textId="77777777" w:rsidR="00BF10A3" w:rsidRPr="00E63A6B" w:rsidRDefault="00BF10A3" w:rsidP="00BF10A3">
      <w:pPr>
        <w:rPr>
          <w:rFonts w:ascii="Courier New" w:eastAsiaTheme="minorHAnsi" w:hAnsi="Courier New" w:cstheme="minorBidi"/>
          <w:sz w:val="16"/>
        </w:rPr>
      </w:pPr>
      <w:r w:rsidRPr="00E63A6B">
        <w:rPr>
          <w:rFonts w:ascii="Courier New" w:eastAsiaTheme="minorHAnsi" w:hAnsi="Courier New" w:cstheme="minorBidi"/>
          <w:sz w:val="16"/>
        </w:rPr>
        <w:br w:type="page"/>
      </w:r>
    </w:p>
    <w:p w14:paraId="0F52B5A8" w14:textId="77777777" w:rsidR="00BF10A3" w:rsidRPr="00AA6DFD" w:rsidRDefault="00BF10A3" w:rsidP="00BF10A3">
      <w:pPr>
        <w:spacing w:after="0" w:line="480" w:lineRule="auto"/>
        <w:ind w:firstLine="720"/>
        <w:rPr>
          <w:rFonts w:ascii="Courier New" w:hAnsi="Courier New" w:cs="Courier New"/>
          <w:i/>
          <w:sz w:val="24"/>
          <w:szCs w:val="24"/>
        </w:rPr>
      </w:pPr>
    </w:p>
    <w:p w14:paraId="730FA134"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Although the calculation of the D/E rates measure is based on a group of students who completed a program over a particular two- or four-year period, the dates on which each of these students may have taken out a loan, and the interest rates on those loans, vary.  The Department considered several options for the interest rate to apply to the D/E rates measure calculation.  For the NPRM, we used the average interest rate over the six years prior to the end of the applicable cohort period on Federal Direct Unsubsidized loans.  This proposal was designed to approximate the interest rate that a large percentage of the students in the calculation received, even those students who attended four-year programs, and to mitigate any year-to-year fluctuations in the interest rates that could lead to volatility in the results of programs under the D/E rates measure.  Some commenters suggested using the actual interest rates on an individual borrower level, but we believe that would be unnecessarily complicated.  Other commenters suggested that we adopt a sliding scale, with interest rates averaged over a number of years that corresponds to program length.  As discussed in “§668.404  Calculating D/E Rates” in </w:t>
      </w:r>
      <w:r w:rsidRPr="00AA6DFD">
        <w:rPr>
          <w:rFonts w:ascii="Courier New" w:hAnsi="Courier New" w:cs="Courier New"/>
          <w:sz w:val="24"/>
          <w:szCs w:val="24"/>
          <w:u w:val="single"/>
        </w:rPr>
        <w:t>Analysis of Comments and Changes</w:t>
      </w:r>
      <w:r w:rsidRPr="00AA6DFD">
        <w:rPr>
          <w:rFonts w:ascii="Courier New" w:hAnsi="Courier New" w:cs="Courier New"/>
          <w:sz w:val="24"/>
          <w:szCs w:val="24"/>
        </w:rPr>
        <w:t xml:space="preserve">, we adopted this proposal for the final regulations.  For certificate, associate, and master’s degree programs, the average interest rate over the three years prior to the end of the applicable cohort period on Federal Direct Unsubsidized loans will be used to calculate the D/E rates measure.  For bachelor’s, doctoral, and first professional degree programs, the average interest rate over the six years prior to the end of the applicable cohort period on Federal Direct Unsubsidized loans will be used.  The undergraduate interest rate on these loans will be applied to undergraduate programs, and the graduate interest rate will be applied to graduate programs.       </w:t>
      </w:r>
    </w:p>
    <w:p w14:paraId="39A84A6B" w14:textId="77777777" w:rsidR="00BF10A3" w:rsidRPr="00AA6DFD" w:rsidRDefault="00BF10A3" w:rsidP="00BF10A3">
      <w:pPr>
        <w:spacing w:after="0" w:line="240" w:lineRule="auto"/>
        <w:rPr>
          <w:rFonts w:ascii="Courier New" w:hAnsi="Courier New" w:cs="Courier New"/>
          <w:sz w:val="24"/>
          <w:szCs w:val="24"/>
        </w:rPr>
      </w:pPr>
    </w:p>
    <w:p w14:paraId="083BAE63" w14:textId="77777777" w:rsidR="00BF10A3" w:rsidRPr="00AA6DFD" w:rsidRDefault="00BF10A3" w:rsidP="00BF10A3">
      <w:pPr>
        <w:spacing w:after="0" w:line="240" w:lineRule="auto"/>
        <w:rPr>
          <w:rFonts w:ascii="Courier New" w:hAnsi="Courier New" w:cs="Courier New"/>
          <w:sz w:val="24"/>
          <w:szCs w:val="24"/>
        </w:rPr>
      </w:pPr>
    </w:p>
    <w:p w14:paraId="749DB253"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4.3: Options for Determining Interest Rate</w:t>
      </w:r>
      <w:r w:rsidRPr="00AA6DFD">
        <w:rPr>
          <w:rStyle w:val="FootnoteReference"/>
          <w:rFonts w:ascii="Courier New" w:hAnsi="Courier New" w:cs="Courier New"/>
          <w:b/>
          <w:color w:val="000000"/>
          <w:sz w:val="24"/>
          <w:szCs w:val="24"/>
        </w:rPr>
        <w:footnoteReference w:id="343"/>
      </w:r>
      <w:r w:rsidRPr="00AA6DFD">
        <w:rPr>
          <w:rFonts w:ascii="Courier New" w:hAnsi="Courier New" w:cs="Courier New"/>
          <w:b/>
          <w:sz w:val="24"/>
          <w:szCs w:val="24"/>
        </w:rPr>
        <w:t xml:space="preserve"> for D/E Rates Calculation</w:t>
      </w:r>
    </w:p>
    <w:p w14:paraId="60CF1A5A" w14:textId="77777777" w:rsidR="00BF10A3" w:rsidRPr="00AA6DFD" w:rsidRDefault="00BF10A3" w:rsidP="00BF10A3">
      <w:pPr>
        <w:spacing w:after="0" w:line="240" w:lineRule="auto"/>
        <w:rPr>
          <w:rFonts w:ascii="Courier New" w:hAnsi="Courier New" w:cs="Courier New"/>
          <w:b/>
          <w:sz w:val="24"/>
          <w:szCs w:val="24"/>
        </w:rPr>
      </w:pPr>
    </w:p>
    <w:tbl>
      <w:tblPr>
        <w:tblStyle w:val="TableGrid25"/>
        <w:tblW w:w="0" w:type="auto"/>
        <w:tblLook w:val="04A0" w:firstRow="1" w:lastRow="0" w:firstColumn="1" w:lastColumn="0" w:noHBand="0" w:noVBand="1"/>
      </w:tblPr>
      <w:tblGrid>
        <w:gridCol w:w="1033"/>
        <w:gridCol w:w="916"/>
        <w:gridCol w:w="785"/>
        <w:gridCol w:w="784"/>
        <w:gridCol w:w="784"/>
        <w:gridCol w:w="770"/>
        <w:gridCol w:w="770"/>
        <w:gridCol w:w="771"/>
        <w:gridCol w:w="757"/>
        <w:gridCol w:w="757"/>
        <w:gridCol w:w="757"/>
      </w:tblGrid>
      <w:tr w:rsidR="00BF10A3" w:rsidRPr="00E63A6B" w14:paraId="6323CE0A" w14:textId="77777777" w:rsidTr="001F7400">
        <w:trPr>
          <w:trHeight w:val="366"/>
        </w:trPr>
        <w:tc>
          <w:tcPr>
            <w:tcW w:w="791" w:type="dxa"/>
            <w:noWrap/>
            <w:hideMark/>
          </w:tcPr>
          <w:p w14:paraId="0432E6CF" w14:textId="77777777" w:rsidR="00BF10A3" w:rsidRPr="00E63A6B" w:rsidRDefault="00BF10A3" w:rsidP="001F7400">
            <w:pPr>
              <w:rPr>
                <w:rFonts w:ascii="Courier New" w:eastAsiaTheme="minorHAnsi" w:hAnsi="Courier New" w:cstheme="minorBidi"/>
                <w:sz w:val="16"/>
              </w:rPr>
            </w:pPr>
            <w:r w:rsidRPr="00AA6DFD">
              <w:rPr>
                <w:rFonts w:ascii="Courier New" w:hAnsi="Courier New" w:cs="Courier New"/>
                <w:b/>
                <w:sz w:val="24"/>
                <w:szCs w:val="24"/>
              </w:rPr>
              <w:tab/>
            </w:r>
            <w:r w:rsidRPr="00E63A6B">
              <w:rPr>
                <w:rFonts w:ascii="Courier New" w:eastAsiaTheme="minorHAnsi" w:hAnsi="Courier New" w:cstheme="minorBidi"/>
                <w:sz w:val="16"/>
              </w:rPr>
              <w:t> </w:t>
            </w:r>
          </w:p>
        </w:tc>
        <w:tc>
          <w:tcPr>
            <w:tcW w:w="916" w:type="dxa"/>
            <w:noWrap/>
            <w:hideMark/>
          </w:tcPr>
          <w:p w14:paraId="2FCD4D3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 </w:t>
            </w:r>
          </w:p>
        </w:tc>
        <w:tc>
          <w:tcPr>
            <w:tcW w:w="2353" w:type="dxa"/>
            <w:gridSpan w:val="3"/>
            <w:noWrap/>
            <w:hideMark/>
          </w:tcPr>
          <w:p w14:paraId="72174144"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Four-year average</w:t>
            </w:r>
          </w:p>
        </w:tc>
        <w:tc>
          <w:tcPr>
            <w:tcW w:w="2311" w:type="dxa"/>
            <w:gridSpan w:val="3"/>
            <w:noWrap/>
            <w:hideMark/>
          </w:tcPr>
          <w:p w14:paraId="012FC033"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Three-year average</w:t>
            </w:r>
          </w:p>
        </w:tc>
        <w:tc>
          <w:tcPr>
            <w:tcW w:w="2271" w:type="dxa"/>
            <w:gridSpan w:val="3"/>
            <w:noWrap/>
            <w:hideMark/>
          </w:tcPr>
          <w:p w14:paraId="1FED069F"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Two-year average</w:t>
            </w:r>
          </w:p>
        </w:tc>
      </w:tr>
      <w:tr w:rsidR="00BF10A3" w:rsidRPr="00E63A6B" w14:paraId="14A1ECFA" w14:textId="77777777" w:rsidTr="001F7400">
        <w:trPr>
          <w:trHeight w:val="366"/>
        </w:trPr>
        <w:tc>
          <w:tcPr>
            <w:tcW w:w="791" w:type="dxa"/>
            <w:noWrap/>
            <w:hideMark/>
          </w:tcPr>
          <w:p w14:paraId="6FA43786"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2YP</w:t>
            </w:r>
          </w:p>
        </w:tc>
        <w:tc>
          <w:tcPr>
            <w:tcW w:w="916" w:type="dxa"/>
            <w:noWrap/>
            <w:hideMark/>
          </w:tcPr>
          <w:p w14:paraId="09F308C4"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2YPMED</w:t>
            </w:r>
          </w:p>
        </w:tc>
        <w:tc>
          <w:tcPr>
            <w:tcW w:w="785" w:type="dxa"/>
            <w:noWrap/>
            <w:hideMark/>
          </w:tcPr>
          <w:p w14:paraId="4BA40F0F"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UG</w:t>
            </w:r>
          </w:p>
        </w:tc>
        <w:tc>
          <w:tcPr>
            <w:tcW w:w="784" w:type="dxa"/>
            <w:noWrap/>
            <w:hideMark/>
          </w:tcPr>
          <w:p w14:paraId="6FE293B4"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GRAD</w:t>
            </w:r>
          </w:p>
        </w:tc>
        <w:tc>
          <w:tcPr>
            <w:tcW w:w="784" w:type="dxa"/>
            <w:noWrap/>
            <w:hideMark/>
          </w:tcPr>
          <w:p w14:paraId="624957C0"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MED</w:t>
            </w:r>
          </w:p>
        </w:tc>
        <w:tc>
          <w:tcPr>
            <w:tcW w:w="770" w:type="dxa"/>
            <w:noWrap/>
            <w:hideMark/>
          </w:tcPr>
          <w:p w14:paraId="32B8483A"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UG</w:t>
            </w:r>
          </w:p>
        </w:tc>
        <w:tc>
          <w:tcPr>
            <w:tcW w:w="770" w:type="dxa"/>
            <w:noWrap/>
            <w:hideMark/>
          </w:tcPr>
          <w:p w14:paraId="62B7ACFD"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GRAD</w:t>
            </w:r>
          </w:p>
        </w:tc>
        <w:tc>
          <w:tcPr>
            <w:tcW w:w="771" w:type="dxa"/>
            <w:noWrap/>
            <w:hideMark/>
          </w:tcPr>
          <w:p w14:paraId="3B745089"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MED</w:t>
            </w:r>
          </w:p>
        </w:tc>
        <w:tc>
          <w:tcPr>
            <w:tcW w:w="757" w:type="dxa"/>
            <w:noWrap/>
            <w:hideMark/>
          </w:tcPr>
          <w:p w14:paraId="78425D73"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UG</w:t>
            </w:r>
          </w:p>
        </w:tc>
        <w:tc>
          <w:tcPr>
            <w:tcW w:w="757" w:type="dxa"/>
            <w:noWrap/>
            <w:hideMark/>
          </w:tcPr>
          <w:p w14:paraId="25080222"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GRAD</w:t>
            </w:r>
          </w:p>
        </w:tc>
        <w:tc>
          <w:tcPr>
            <w:tcW w:w="757" w:type="dxa"/>
            <w:noWrap/>
            <w:hideMark/>
          </w:tcPr>
          <w:p w14:paraId="3F46A7D8"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MED</w:t>
            </w:r>
          </w:p>
        </w:tc>
      </w:tr>
      <w:tr w:rsidR="00BF10A3" w:rsidRPr="00E63A6B" w14:paraId="3BE75406" w14:textId="77777777" w:rsidTr="001F7400">
        <w:trPr>
          <w:trHeight w:val="366"/>
        </w:trPr>
        <w:tc>
          <w:tcPr>
            <w:tcW w:w="791" w:type="dxa"/>
            <w:noWrap/>
            <w:hideMark/>
          </w:tcPr>
          <w:p w14:paraId="230CEEB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08-09</w:t>
            </w:r>
          </w:p>
        </w:tc>
        <w:tc>
          <w:tcPr>
            <w:tcW w:w="916" w:type="dxa"/>
            <w:noWrap/>
            <w:hideMark/>
          </w:tcPr>
          <w:p w14:paraId="422DB4C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05-06</w:t>
            </w:r>
          </w:p>
        </w:tc>
        <w:tc>
          <w:tcPr>
            <w:tcW w:w="785" w:type="dxa"/>
            <w:noWrap/>
            <w:hideMark/>
          </w:tcPr>
          <w:p w14:paraId="6E7DCE4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6.43%</w:t>
            </w:r>
          </w:p>
        </w:tc>
        <w:tc>
          <w:tcPr>
            <w:tcW w:w="784" w:type="dxa"/>
            <w:noWrap/>
            <w:hideMark/>
          </w:tcPr>
          <w:p w14:paraId="6B6031C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6.43%</w:t>
            </w:r>
          </w:p>
        </w:tc>
        <w:tc>
          <w:tcPr>
            <w:tcW w:w="784" w:type="dxa"/>
            <w:noWrap/>
            <w:hideMark/>
          </w:tcPr>
          <w:p w14:paraId="6463201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4.04%</w:t>
            </w:r>
          </w:p>
        </w:tc>
        <w:tc>
          <w:tcPr>
            <w:tcW w:w="770" w:type="dxa"/>
            <w:noWrap/>
            <w:hideMark/>
          </w:tcPr>
          <w:p w14:paraId="49D23EF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21C636D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1" w:type="dxa"/>
            <w:noWrap/>
            <w:hideMark/>
          </w:tcPr>
          <w:p w14:paraId="4C3296E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4.03%</w:t>
            </w:r>
          </w:p>
        </w:tc>
        <w:tc>
          <w:tcPr>
            <w:tcW w:w="757" w:type="dxa"/>
            <w:noWrap/>
            <w:hideMark/>
          </w:tcPr>
          <w:p w14:paraId="4BD493C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3536346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7B85179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4.34%</w:t>
            </w:r>
          </w:p>
        </w:tc>
      </w:tr>
      <w:tr w:rsidR="00BF10A3" w:rsidRPr="00E63A6B" w14:paraId="7C9E68AC" w14:textId="77777777" w:rsidTr="001F7400">
        <w:trPr>
          <w:trHeight w:val="366"/>
        </w:trPr>
        <w:tc>
          <w:tcPr>
            <w:tcW w:w="791" w:type="dxa"/>
            <w:noWrap/>
            <w:hideMark/>
          </w:tcPr>
          <w:p w14:paraId="348F455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11-12</w:t>
            </w:r>
          </w:p>
        </w:tc>
        <w:tc>
          <w:tcPr>
            <w:tcW w:w="916" w:type="dxa"/>
            <w:noWrap/>
            <w:hideMark/>
          </w:tcPr>
          <w:p w14:paraId="7765032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08-09</w:t>
            </w:r>
          </w:p>
        </w:tc>
        <w:tc>
          <w:tcPr>
            <w:tcW w:w="785" w:type="dxa"/>
            <w:noWrap/>
            <w:hideMark/>
          </w:tcPr>
          <w:p w14:paraId="793717D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84" w:type="dxa"/>
            <w:noWrap/>
            <w:hideMark/>
          </w:tcPr>
          <w:p w14:paraId="519A1B6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84" w:type="dxa"/>
            <w:noWrap/>
            <w:hideMark/>
          </w:tcPr>
          <w:p w14:paraId="201ADE5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6.43%</w:t>
            </w:r>
          </w:p>
        </w:tc>
        <w:tc>
          <w:tcPr>
            <w:tcW w:w="770" w:type="dxa"/>
            <w:noWrap/>
            <w:hideMark/>
          </w:tcPr>
          <w:p w14:paraId="41D197B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20B5F99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1" w:type="dxa"/>
            <w:noWrap/>
            <w:hideMark/>
          </w:tcPr>
          <w:p w14:paraId="00359D0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23D5063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3E5BE6B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66AFAD7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r>
      <w:tr w:rsidR="00BF10A3" w:rsidRPr="00E63A6B" w14:paraId="5FC7C3C3" w14:textId="77777777" w:rsidTr="001F7400">
        <w:trPr>
          <w:trHeight w:val="366"/>
        </w:trPr>
        <w:tc>
          <w:tcPr>
            <w:tcW w:w="791" w:type="dxa"/>
            <w:noWrap/>
            <w:hideMark/>
          </w:tcPr>
          <w:p w14:paraId="6422826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12-13</w:t>
            </w:r>
          </w:p>
        </w:tc>
        <w:tc>
          <w:tcPr>
            <w:tcW w:w="916" w:type="dxa"/>
            <w:noWrap/>
            <w:hideMark/>
          </w:tcPr>
          <w:p w14:paraId="1AF15CE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09-10</w:t>
            </w:r>
          </w:p>
        </w:tc>
        <w:tc>
          <w:tcPr>
            <w:tcW w:w="785" w:type="dxa"/>
            <w:noWrap/>
            <w:hideMark/>
          </w:tcPr>
          <w:p w14:paraId="38858ED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84" w:type="dxa"/>
            <w:noWrap/>
            <w:hideMark/>
          </w:tcPr>
          <w:p w14:paraId="76C68DA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84" w:type="dxa"/>
            <w:noWrap/>
            <w:hideMark/>
          </w:tcPr>
          <w:p w14:paraId="3A35F41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42E148A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57AD210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1" w:type="dxa"/>
            <w:noWrap/>
            <w:hideMark/>
          </w:tcPr>
          <w:p w14:paraId="27D82A9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2AE7773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0CD4687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4BB7A87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r>
      <w:tr w:rsidR="00BF10A3" w:rsidRPr="00E63A6B" w14:paraId="40FB58EE" w14:textId="77777777" w:rsidTr="001F7400">
        <w:trPr>
          <w:trHeight w:val="366"/>
        </w:trPr>
        <w:tc>
          <w:tcPr>
            <w:tcW w:w="791" w:type="dxa"/>
            <w:noWrap/>
            <w:hideMark/>
          </w:tcPr>
          <w:p w14:paraId="0DADEF7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13-14</w:t>
            </w:r>
          </w:p>
        </w:tc>
        <w:tc>
          <w:tcPr>
            <w:tcW w:w="916" w:type="dxa"/>
            <w:noWrap/>
            <w:hideMark/>
          </w:tcPr>
          <w:p w14:paraId="64C7DFE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10-11</w:t>
            </w:r>
          </w:p>
        </w:tc>
        <w:tc>
          <w:tcPr>
            <w:tcW w:w="785" w:type="dxa"/>
            <w:noWrap/>
            <w:hideMark/>
          </w:tcPr>
          <w:p w14:paraId="62E6561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6.07%</w:t>
            </w:r>
          </w:p>
        </w:tc>
        <w:tc>
          <w:tcPr>
            <w:tcW w:w="784" w:type="dxa"/>
            <w:noWrap/>
            <w:hideMark/>
          </w:tcPr>
          <w:p w14:paraId="3980DB9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6.45%</w:t>
            </w:r>
          </w:p>
        </w:tc>
        <w:tc>
          <w:tcPr>
            <w:tcW w:w="784" w:type="dxa"/>
            <w:noWrap/>
            <w:hideMark/>
          </w:tcPr>
          <w:p w14:paraId="1F75DF2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07FF32E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5.82%</w:t>
            </w:r>
          </w:p>
        </w:tc>
        <w:tc>
          <w:tcPr>
            <w:tcW w:w="770" w:type="dxa"/>
            <w:noWrap/>
            <w:hideMark/>
          </w:tcPr>
          <w:p w14:paraId="6450062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6.34%</w:t>
            </w:r>
          </w:p>
        </w:tc>
        <w:tc>
          <w:tcPr>
            <w:tcW w:w="771" w:type="dxa"/>
            <w:noWrap/>
            <w:hideMark/>
          </w:tcPr>
          <w:p w14:paraId="6D080DC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6904A94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5.33%</w:t>
            </w:r>
          </w:p>
        </w:tc>
        <w:tc>
          <w:tcPr>
            <w:tcW w:w="757" w:type="dxa"/>
            <w:noWrap/>
            <w:hideMark/>
          </w:tcPr>
          <w:p w14:paraId="72DF3F3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6.11%</w:t>
            </w:r>
          </w:p>
        </w:tc>
        <w:tc>
          <w:tcPr>
            <w:tcW w:w="757" w:type="dxa"/>
            <w:noWrap/>
            <w:hideMark/>
          </w:tcPr>
          <w:p w14:paraId="798A12A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r>
      <w:tr w:rsidR="00BF10A3" w:rsidRPr="00E63A6B" w14:paraId="61729BD7" w14:textId="77777777" w:rsidTr="001F7400">
        <w:trPr>
          <w:trHeight w:val="366"/>
        </w:trPr>
        <w:tc>
          <w:tcPr>
            <w:tcW w:w="791" w:type="dxa"/>
            <w:noWrap/>
            <w:hideMark/>
          </w:tcPr>
          <w:p w14:paraId="058F737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14-15</w:t>
            </w:r>
          </w:p>
        </w:tc>
        <w:tc>
          <w:tcPr>
            <w:tcW w:w="916" w:type="dxa"/>
            <w:noWrap/>
            <w:hideMark/>
          </w:tcPr>
          <w:p w14:paraId="6B4D36E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11-12</w:t>
            </w:r>
          </w:p>
        </w:tc>
        <w:tc>
          <w:tcPr>
            <w:tcW w:w="785" w:type="dxa"/>
            <w:noWrap/>
            <w:hideMark/>
          </w:tcPr>
          <w:p w14:paraId="0C402F3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5.61%</w:t>
            </w:r>
          </w:p>
        </w:tc>
        <w:tc>
          <w:tcPr>
            <w:tcW w:w="784" w:type="dxa"/>
            <w:noWrap/>
            <w:hideMark/>
          </w:tcPr>
          <w:p w14:paraId="1560D94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6.38%</w:t>
            </w:r>
          </w:p>
        </w:tc>
        <w:tc>
          <w:tcPr>
            <w:tcW w:w="784" w:type="dxa"/>
            <w:noWrap/>
            <w:hideMark/>
          </w:tcPr>
          <w:p w14:paraId="3F7B5EE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7AF4273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5.21%</w:t>
            </w:r>
          </w:p>
        </w:tc>
        <w:tc>
          <w:tcPr>
            <w:tcW w:w="770" w:type="dxa"/>
            <w:noWrap/>
            <w:hideMark/>
          </w:tcPr>
          <w:p w14:paraId="039179B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6.24%</w:t>
            </w:r>
          </w:p>
        </w:tc>
        <w:tc>
          <w:tcPr>
            <w:tcW w:w="771" w:type="dxa"/>
            <w:noWrap/>
            <w:hideMark/>
          </w:tcPr>
          <w:p w14:paraId="7EF8452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15823F9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4.42%</w:t>
            </w:r>
          </w:p>
        </w:tc>
        <w:tc>
          <w:tcPr>
            <w:tcW w:w="757" w:type="dxa"/>
            <w:noWrap/>
            <w:hideMark/>
          </w:tcPr>
          <w:p w14:paraId="40CF3E5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5.97%</w:t>
            </w:r>
          </w:p>
        </w:tc>
        <w:tc>
          <w:tcPr>
            <w:tcW w:w="757" w:type="dxa"/>
            <w:noWrap/>
            <w:hideMark/>
          </w:tcPr>
          <w:p w14:paraId="6997039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r>
      <w:tr w:rsidR="00BF10A3" w:rsidRPr="00E63A6B" w14:paraId="42E44B34" w14:textId="77777777" w:rsidTr="001F7400">
        <w:trPr>
          <w:trHeight w:val="366"/>
        </w:trPr>
        <w:tc>
          <w:tcPr>
            <w:tcW w:w="791" w:type="dxa"/>
            <w:noWrap/>
            <w:hideMark/>
          </w:tcPr>
          <w:p w14:paraId="04D15FF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15-16</w:t>
            </w:r>
          </w:p>
        </w:tc>
        <w:tc>
          <w:tcPr>
            <w:tcW w:w="916" w:type="dxa"/>
            <w:noWrap/>
            <w:hideMark/>
          </w:tcPr>
          <w:p w14:paraId="6F5B974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12-13</w:t>
            </w:r>
          </w:p>
        </w:tc>
        <w:tc>
          <w:tcPr>
            <w:tcW w:w="785" w:type="dxa"/>
            <w:noWrap/>
            <w:hideMark/>
          </w:tcPr>
          <w:p w14:paraId="27C6F44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5.26%</w:t>
            </w:r>
          </w:p>
        </w:tc>
        <w:tc>
          <w:tcPr>
            <w:tcW w:w="784" w:type="dxa"/>
            <w:noWrap/>
            <w:hideMark/>
          </w:tcPr>
          <w:p w14:paraId="16971DB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6.42%</w:t>
            </w:r>
          </w:p>
        </w:tc>
        <w:tc>
          <w:tcPr>
            <w:tcW w:w="784" w:type="dxa"/>
            <w:noWrap/>
            <w:hideMark/>
          </w:tcPr>
          <w:p w14:paraId="3E5AE27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70" w:type="dxa"/>
            <w:noWrap/>
            <w:hideMark/>
          </w:tcPr>
          <w:p w14:paraId="3FAF074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4.75%</w:t>
            </w:r>
          </w:p>
        </w:tc>
        <w:tc>
          <w:tcPr>
            <w:tcW w:w="770" w:type="dxa"/>
            <w:noWrap/>
            <w:hideMark/>
          </w:tcPr>
          <w:p w14:paraId="38B65DD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6.29%</w:t>
            </w:r>
          </w:p>
        </w:tc>
        <w:tc>
          <w:tcPr>
            <w:tcW w:w="771" w:type="dxa"/>
            <w:noWrap/>
            <w:hideMark/>
          </w:tcPr>
          <w:p w14:paraId="473C074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c>
          <w:tcPr>
            <w:tcW w:w="757" w:type="dxa"/>
            <w:noWrap/>
            <w:hideMark/>
          </w:tcPr>
          <w:p w14:paraId="64EF413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5.19%</w:t>
            </w:r>
          </w:p>
        </w:tc>
        <w:tc>
          <w:tcPr>
            <w:tcW w:w="757" w:type="dxa"/>
            <w:noWrap/>
            <w:hideMark/>
          </w:tcPr>
          <w:p w14:paraId="49A6F8A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6.73%</w:t>
            </w:r>
          </w:p>
        </w:tc>
        <w:tc>
          <w:tcPr>
            <w:tcW w:w="757" w:type="dxa"/>
            <w:noWrap/>
            <w:hideMark/>
          </w:tcPr>
          <w:p w14:paraId="259E3F0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6.80%</w:t>
            </w:r>
          </w:p>
        </w:tc>
      </w:tr>
      <w:tr w:rsidR="00BF10A3" w:rsidRPr="00E63A6B" w14:paraId="613D1DD5" w14:textId="77777777" w:rsidTr="001F7400">
        <w:trPr>
          <w:trHeight w:val="366"/>
        </w:trPr>
        <w:tc>
          <w:tcPr>
            <w:tcW w:w="791" w:type="dxa"/>
            <w:noWrap/>
            <w:hideMark/>
          </w:tcPr>
          <w:p w14:paraId="4B25E00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16-17</w:t>
            </w:r>
          </w:p>
        </w:tc>
        <w:tc>
          <w:tcPr>
            <w:tcW w:w="916" w:type="dxa"/>
            <w:noWrap/>
            <w:hideMark/>
          </w:tcPr>
          <w:p w14:paraId="071174F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13-14</w:t>
            </w:r>
          </w:p>
        </w:tc>
        <w:tc>
          <w:tcPr>
            <w:tcW w:w="785" w:type="dxa"/>
            <w:noWrap/>
            <w:hideMark/>
          </w:tcPr>
          <w:p w14:paraId="43C0250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4.99%</w:t>
            </w:r>
          </w:p>
        </w:tc>
        <w:tc>
          <w:tcPr>
            <w:tcW w:w="784" w:type="dxa"/>
            <w:noWrap/>
            <w:hideMark/>
          </w:tcPr>
          <w:p w14:paraId="3D5A6C5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6.53%</w:t>
            </w:r>
          </w:p>
        </w:tc>
        <w:tc>
          <w:tcPr>
            <w:tcW w:w="784" w:type="dxa"/>
            <w:noWrap/>
            <w:hideMark/>
          </w:tcPr>
          <w:p w14:paraId="50FA3E4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6.45%</w:t>
            </w:r>
          </w:p>
        </w:tc>
        <w:tc>
          <w:tcPr>
            <w:tcW w:w="770" w:type="dxa"/>
            <w:noWrap/>
            <w:hideMark/>
          </w:tcPr>
          <w:p w14:paraId="2B344EB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5.37%</w:t>
            </w:r>
          </w:p>
        </w:tc>
        <w:tc>
          <w:tcPr>
            <w:tcW w:w="770" w:type="dxa"/>
            <w:noWrap/>
            <w:hideMark/>
          </w:tcPr>
          <w:p w14:paraId="10BC6DF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6.90%</w:t>
            </w:r>
          </w:p>
        </w:tc>
        <w:tc>
          <w:tcPr>
            <w:tcW w:w="771" w:type="dxa"/>
            <w:noWrap/>
            <w:hideMark/>
          </w:tcPr>
          <w:p w14:paraId="27D2778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6.34%</w:t>
            </w:r>
          </w:p>
        </w:tc>
        <w:tc>
          <w:tcPr>
            <w:tcW w:w="757" w:type="dxa"/>
            <w:noWrap/>
            <w:hideMark/>
          </w:tcPr>
          <w:p w14:paraId="503FC8E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5.57%</w:t>
            </w:r>
          </w:p>
        </w:tc>
        <w:tc>
          <w:tcPr>
            <w:tcW w:w="757" w:type="dxa"/>
            <w:noWrap/>
            <w:hideMark/>
          </w:tcPr>
          <w:p w14:paraId="3A0C6BB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7.09%</w:t>
            </w:r>
          </w:p>
        </w:tc>
        <w:tc>
          <w:tcPr>
            <w:tcW w:w="757" w:type="dxa"/>
            <w:noWrap/>
            <w:hideMark/>
          </w:tcPr>
          <w:p w14:paraId="098C2A3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6.11%</w:t>
            </w:r>
          </w:p>
        </w:tc>
      </w:tr>
    </w:tbl>
    <w:p w14:paraId="00AE4CA6" w14:textId="77777777" w:rsidR="00BF10A3" w:rsidRPr="00E63A6B" w:rsidRDefault="00BF10A3" w:rsidP="00BF10A3">
      <w:pPr>
        <w:rPr>
          <w:rFonts w:ascii="Courier New" w:eastAsiaTheme="minorHAnsi" w:hAnsi="Courier New"/>
          <w:sz w:val="16"/>
        </w:rPr>
      </w:pPr>
    </w:p>
    <w:p w14:paraId="39BF2EBB" w14:textId="77777777" w:rsidR="00BF10A3" w:rsidRPr="00AA6DFD" w:rsidRDefault="00BF10A3" w:rsidP="00BF10A3">
      <w:pPr>
        <w:spacing w:after="0" w:line="240" w:lineRule="auto"/>
        <w:rPr>
          <w:rFonts w:ascii="Courier New" w:hAnsi="Courier New" w:cs="Courier New"/>
          <w:i/>
          <w:sz w:val="24"/>
          <w:szCs w:val="24"/>
        </w:rPr>
      </w:pPr>
    </w:p>
    <w:p w14:paraId="76709F23" w14:textId="77777777" w:rsidR="00BF10A3" w:rsidRPr="00AA6DFD" w:rsidRDefault="00BF10A3" w:rsidP="00BF10A3">
      <w:pPr>
        <w:spacing w:after="0" w:line="240" w:lineRule="auto"/>
        <w:rPr>
          <w:rFonts w:ascii="Courier New" w:hAnsi="Courier New" w:cs="Courier New"/>
          <w:i/>
          <w:sz w:val="24"/>
          <w:szCs w:val="24"/>
          <w:u w:val="single"/>
        </w:rPr>
      </w:pPr>
    </w:p>
    <w:p w14:paraId="5995F9E6" w14:textId="77777777" w:rsidR="00BF10A3" w:rsidRPr="00B53B21" w:rsidRDefault="00BF10A3" w:rsidP="00BF10A3">
      <w:pPr>
        <w:pStyle w:val="riaheader3"/>
      </w:pPr>
      <w:r w:rsidRPr="00B53B21">
        <w:t xml:space="preserve">Amortization Period </w:t>
      </w:r>
    </w:p>
    <w:p w14:paraId="69A0D3E1" w14:textId="77777777" w:rsidR="00BF10A3" w:rsidRPr="00AA6DFD" w:rsidRDefault="00BF10A3" w:rsidP="00BF10A3">
      <w:pPr>
        <w:spacing w:after="0" w:line="240" w:lineRule="auto"/>
        <w:ind w:firstLine="720"/>
        <w:rPr>
          <w:rFonts w:ascii="Courier New" w:hAnsi="Courier New" w:cs="Courier New"/>
          <w:sz w:val="24"/>
          <w:szCs w:val="24"/>
        </w:rPr>
      </w:pPr>
    </w:p>
    <w:p w14:paraId="59ED4B1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regulations apply the same 10-, 15-, 20-year amortization periods by credential level as under the 2011 Prior Rule.  In calculating the annual loan payment for the purpose of the D/E rates measure, a 10-year amortization period would be used for certificate and associate degree programs, 15 years for bachelor’s and master’s degree programs, and 20 years for doctoral and first professional degree programs.  We presented at the negotiations, as an alternative, a 10-year amortization period for all programs, which we believe is a reasonable assumption.  In the NPRM, we invited comment on a 10-year schedule for all programs and also on a 20-year schedule for all programs.  </w:t>
      </w:r>
    </w:p>
    <w:p w14:paraId="7F66577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discussed in the NPRM, we analyzed available data on the repayment plans that existing borrowers have selected and the repayment patterns of older loan cohorts and considered the repayment schedule options available under consolidation loan repayment rules.  Although the prevalence of the standard 10-year repayment plan and data related to older cohorts could support a 10-year amortization period for all credential levels, the Department has retained the split amortization approach in the regulation.  Growth in loan balances, the introduction of plans with longer repayment periods than were available when those older cohorts were in repayment, and some differentiation in repayment periods by credential level in more recent cohorts contributed to this decision.   </w:t>
      </w:r>
    </w:p>
    <w:p w14:paraId="14376813"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 xml:space="preserve">As provided in Tables 4.4 and 4.5, extending the amortization periods for lower credentials would reduce the number of programs that fail or fall in the zone under the D/E rates measure, and shortening the amortization period for higher credentials would increase the number of failing and zone programs.  The greatest effect would be on graduate-level programs.  </w:t>
      </w:r>
    </w:p>
    <w:p w14:paraId="2CA05893" w14:textId="77777777" w:rsidR="00BF10A3" w:rsidRPr="00AA6DFD" w:rsidRDefault="00BF10A3" w:rsidP="00BF10A3">
      <w:pPr>
        <w:spacing w:after="0" w:line="240" w:lineRule="auto"/>
        <w:rPr>
          <w:rFonts w:ascii="Courier New" w:hAnsi="Courier New" w:cs="Courier New"/>
          <w:b/>
          <w:sz w:val="24"/>
          <w:szCs w:val="24"/>
        </w:rPr>
      </w:pPr>
    </w:p>
    <w:p w14:paraId="1E72D7AC" w14:textId="77777777" w:rsidR="00BF10A3" w:rsidRPr="00AA6DFD" w:rsidRDefault="00BF10A3" w:rsidP="00BF10A3">
      <w:pPr>
        <w:rPr>
          <w:rFonts w:ascii="Courier New" w:hAnsi="Courier New" w:cs="Courier New"/>
          <w:b/>
          <w:sz w:val="24"/>
          <w:szCs w:val="24"/>
        </w:rPr>
      </w:pPr>
      <w:r>
        <w:rPr>
          <w:rFonts w:ascii="Courier New" w:hAnsi="Courier New" w:cs="Courier New"/>
          <w:b/>
          <w:sz w:val="24"/>
          <w:szCs w:val="24"/>
        </w:rPr>
        <w:br w:type="page"/>
      </w:r>
    </w:p>
    <w:p w14:paraId="36C893E9" w14:textId="77777777" w:rsidR="00BF10A3" w:rsidRDefault="00BF10A3" w:rsidP="00BF10A3">
      <w:pPr>
        <w:spacing w:after="0" w:line="240" w:lineRule="auto"/>
        <w:rPr>
          <w:rFonts w:ascii="Courier New" w:hAnsi="Courier New" w:cs="Courier New"/>
          <w:b/>
          <w:sz w:val="24"/>
          <w:szCs w:val="24"/>
        </w:rPr>
        <w:sectPr w:rsidR="00BF10A3" w:rsidSect="00064D6F">
          <w:pgSz w:w="12240" w:h="15840" w:code="1"/>
          <w:pgMar w:top="1440" w:right="1440" w:bottom="1440" w:left="1440" w:header="720" w:footer="720" w:gutter="0"/>
          <w:cols w:space="720"/>
          <w:docGrid w:linePitch="360"/>
        </w:sectPr>
      </w:pPr>
    </w:p>
    <w:p w14:paraId="47DF34D9"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4.4: D/E Rates Results by Sector and Credential (N-Size of 30, 10-Year Amortization for all Credential Levels)</w:t>
      </w:r>
      <w:r w:rsidRPr="00AA6DFD" w:rsidDel="009947DE">
        <w:rPr>
          <w:rFonts w:ascii="Courier New" w:hAnsi="Courier New" w:cs="Courier New"/>
          <w:b/>
          <w:sz w:val="24"/>
          <w:szCs w:val="24"/>
        </w:rPr>
        <w:t xml:space="preserve"> </w:t>
      </w:r>
    </w:p>
    <w:p w14:paraId="58FB558D" w14:textId="77777777" w:rsidR="00BF10A3" w:rsidRPr="00AA6DFD" w:rsidRDefault="00BF10A3" w:rsidP="00BF10A3">
      <w:pPr>
        <w:spacing w:after="0" w:line="240" w:lineRule="auto"/>
        <w:rPr>
          <w:rFonts w:ascii="Courier New" w:hAnsi="Courier New" w:cs="Courier New"/>
          <w:b/>
          <w:sz w:val="24"/>
          <w:szCs w:val="24"/>
        </w:rPr>
      </w:pPr>
    </w:p>
    <w:p w14:paraId="3D0DF191" w14:textId="77777777" w:rsidR="00BF10A3" w:rsidRPr="00E63A6B" w:rsidRDefault="00BF10A3" w:rsidP="00BF10A3">
      <w:pPr>
        <w:rPr>
          <w:rFonts w:ascii="Courier New" w:eastAsiaTheme="minorHAnsi" w:hAnsi="Courier New" w:cstheme="minorBidi"/>
          <w:sz w:val="16"/>
        </w:rPr>
      </w:pPr>
    </w:p>
    <w:tbl>
      <w:tblPr>
        <w:tblW w:w="13338" w:type="dxa"/>
        <w:tblInd w:w="-162" w:type="dxa"/>
        <w:tblLook w:val="04A0" w:firstRow="1" w:lastRow="0" w:firstColumn="1" w:lastColumn="0" w:noHBand="0" w:noVBand="1"/>
      </w:tblPr>
      <w:tblGrid>
        <w:gridCol w:w="990"/>
        <w:gridCol w:w="872"/>
        <w:gridCol w:w="1985"/>
        <w:gridCol w:w="988"/>
        <w:gridCol w:w="988"/>
        <w:gridCol w:w="988"/>
        <w:gridCol w:w="988"/>
        <w:gridCol w:w="1181"/>
        <w:gridCol w:w="1278"/>
        <w:gridCol w:w="1262"/>
        <w:gridCol w:w="1582"/>
        <w:gridCol w:w="236"/>
      </w:tblGrid>
      <w:tr w:rsidR="00BF10A3" w:rsidRPr="00E63A6B" w14:paraId="48D35F6A" w14:textId="77777777" w:rsidTr="001F7400">
        <w:trPr>
          <w:trHeight w:val="886"/>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91E5E"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Sector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20EDC0F"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IHE Type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1CF21C"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Credential Level</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480DAAB"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Programs</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E5171F7"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Passing Programs</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758DF222"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Zone Programs</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18F07A6"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Failing Programs</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7254A8A"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Enrollment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7CA964CC"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Enrollment in Passing Programs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098CF00E"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Enrollment in Zone Programs</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7EE20BFE"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Enrollment in Failing Programs</w:t>
            </w:r>
          </w:p>
        </w:tc>
        <w:tc>
          <w:tcPr>
            <w:tcW w:w="236" w:type="dxa"/>
            <w:tcBorders>
              <w:top w:val="nil"/>
              <w:left w:val="nil"/>
              <w:bottom w:val="nil"/>
              <w:right w:val="nil"/>
            </w:tcBorders>
            <w:shd w:val="clear" w:color="auto" w:fill="auto"/>
            <w:noWrap/>
            <w:vAlign w:val="bottom"/>
            <w:hideMark/>
          </w:tcPr>
          <w:p w14:paraId="40F31758" w14:textId="77777777" w:rsidR="00BF10A3" w:rsidRPr="00E63A6B" w:rsidRDefault="00BF10A3" w:rsidP="001F7400">
            <w:pPr>
              <w:spacing w:after="0" w:line="240" w:lineRule="auto"/>
              <w:rPr>
                <w:rFonts w:eastAsia="Times New Roman" w:cs="Calibri"/>
                <w:color w:val="000000"/>
              </w:rPr>
            </w:pPr>
          </w:p>
        </w:tc>
      </w:tr>
      <w:tr w:rsidR="00BF10A3" w:rsidRPr="00E63A6B" w14:paraId="490A3E7E" w14:textId="77777777" w:rsidTr="001F7400">
        <w:trPr>
          <w:trHeight w:val="238"/>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00342E"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Public</w:t>
            </w:r>
          </w:p>
        </w:tc>
        <w:tc>
          <w:tcPr>
            <w:tcW w:w="28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DEBE46"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Total</w:t>
            </w:r>
          </w:p>
        </w:tc>
        <w:tc>
          <w:tcPr>
            <w:tcW w:w="988" w:type="dxa"/>
            <w:tcBorders>
              <w:top w:val="nil"/>
              <w:left w:val="nil"/>
              <w:bottom w:val="single" w:sz="4" w:space="0" w:color="auto"/>
              <w:right w:val="single" w:sz="4" w:space="0" w:color="auto"/>
            </w:tcBorders>
            <w:shd w:val="clear" w:color="auto" w:fill="auto"/>
            <w:noWrap/>
            <w:vAlign w:val="bottom"/>
            <w:hideMark/>
          </w:tcPr>
          <w:p w14:paraId="46365D1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1,093</w:t>
            </w:r>
          </w:p>
        </w:tc>
        <w:tc>
          <w:tcPr>
            <w:tcW w:w="988" w:type="dxa"/>
            <w:tcBorders>
              <w:top w:val="nil"/>
              <w:left w:val="nil"/>
              <w:bottom w:val="single" w:sz="4" w:space="0" w:color="auto"/>
              <w:right w:val="single" w:sz="4" w:space="0" w:color="auto"/>
            </w:tcBorders>
            <w:shd w:val="clear" w:color="auto" w:fill="auto"/>
            <w:noWrap/>
            <w:vAlign w:val="bottom"/>
            <w:hideMark/>
          </w:tcPr>
          <w:p w14:paraId="2E9F320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1,090</w:t>
            </w:r>
          </w:p>
        </w:tc>
        <w:tc>
          <w:tcPr>
            <w:tcW w:w="988" w:type="dxa"/>
            <w:tcBorders>
              <w:top w:val="nil"/>
              <w:left w:val="nil"/>
              <w:bottom w:val="single" w:sz="4" w:space="0" w:color="auto"/>
              <w:right w:val="single" w:sz="4" w:space="0" w:color="auto"/>
            </w:tcBorders>
            <w:shd w:val="clear" w:color="auto" w:fill="auto"/>
            <w:noWrap/>
            <w:vAlign w:val="bottom"/>
            <w:hideMark/>
          </w:tcPr>
          <w:p w14:paraId="2C4DE54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4361558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1181" w:type="dxa"/>
            <w:tcBorders>
              <w:top w:val="nil"/>
              <w:left w:val="nil"/>
              <w:bottom w:val="single" w:sz="4" w:space="0" w:color="auto"/>
              <w:right w:val="single" w:sz="4" w:space="0" w:color="auto"/>
            </w:tcBorders>
            <w:shd w:val="clear" w:color="auto" w:fill="auto"/>
            <w:noWrap/>
            <w:vAlign w:val="bottom"/>
            <w:hideMark/>
          </w:tcPr>
          <w:p w14:paraId="081B884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142,400</w:t>
            </w:r>
          </w:p>
        </w:tc>
        <w:tc>
          <w:tcPr>
            <w:tcW w:w="1278" w:type="dxa"/>
            <w:tcBorders>
              <w:top w:val="nil"/>
              <w:left w:val="nil"/>
              <w:bottom w:val="single" w:sz="4" w:space="0" w:color="auto"/>
              <w:right w:val="single" w:sz="4" w:space="0" w:color="auto"/>
            </w:tcBorders>
            <w:shd w:val="clear" w:color="auto" w:fill="auto"/>
            <w:noWrap/>
            <w:vAlign w:val="bottom"/>
            <w:hideMark/>
          </w:tcPr>
          <w:p w14:paraId="2348741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142,077</w:t>
            </w:r>
          </w:p>
        </w:tc>
        <w:tc>
          <w:tcPr>
            <w:tcW w:w="1262" w:type="dxa"/>
            <w:tcBorders>
              <w:top w:val="nil"/>
              <w:left w:val="nil"/>
              <w:bottom w:val="single" w:sz="4" w:space="0" w:color="auto"/>
              <w:right w:val="single" w:sz="4" w:space="0" w:color="auto"/>
            </w:tcBorders>
            <w:shd w:val="clear" w:color="auto" w:fill="auto"/>
            <w:noWrap/>
            <w:vAlign w:val="bottom"/>
            <w:hideMark/>
          </w:tcPr>
          <w:p w14:paraId="2D99B3A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277</w:t>
            </w:r>
          </w:p>
        </w:tc>
        <w:tc>
          <w:tcPr>
            <w:tcW w:w="1582" w:type="dxa"/>
            <w:tcBorders>
              <w:top w:val="nil"/>
              <w:left w:val="nil"/>
              <w:bottom w:val="single" w:sz="4" w:space="0" w:color="auto"/>
              <w:right w:val="single" w:sz="4" w:space="0" w:color="auto"/>
            </w:tcBorders>
            <w:shd w:val="clear" w:color="auto" w:fill="auto"/>
            <w:noWrap/>
            <w:vAlign w:val="bottom"/>
            <w:hideMark/>
          </w:tcPr>
          <w:p w14:paraId="7C8EC53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46</w:t>
            </w:r>
          </w:p>
        </w:tc>
        <w:tc>
          <w:tcPr>
            <w:tcW w:w="236" w:type="dxa"/>
            <w:tcBorders>
              <w:top w:val="nil"/>
              <w:left w:val="nil"/>
              <w:bottom w:val="nil"/>
              <w:right w:val="nil"/>
            </w:tcBorders>
            <w:shd w:val="clear" w:color="auto" w:fill="auto"/>
            <w:noWrap/>
            <w:vAlign w:val="bottom"/>
            <w:hideMark/>
          </w:tcPr>
          <w:p w14:paraId="0C30D93A" w14:textId="77777777" w:rsidR="00BF10A3" w:rsidRPr="00E63A6B" w:rsidRDefault="00BF10A3" w:rsidP="001F7400">
            <w:pPr>
              <w:spacing w:after="0" w:line="240" w:lineRule="auto"/>
              <w:rPr>
                <w:rFonts w:eastAsia="Times New Roman" w:cs="Calibri"/>
                <w:color w:val="000000"/>
              </w:rPr>
            </w:pPr>
          </w:p>
        </w:tc>
      </w:tr>
      <w:tr w:rsidR="00BF10A3" w:rsidRPr="00E63A6B" w14:paraId="72FB4060"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90C38FF"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tcBorders>
              <w:top w:val="nil"/>
              <w:left w:val="nil"/>
              <w:bottom w:val="single" w:sz="4" w:space="0" w:color="auto"/>
              <w:right w:val="single" w:sz="4" w:space="0" w:color="auto"/>
            </w:tcBorders>
            <w:shd w:val="clear" w:color="auto" w:fill="auto"/>
            <w:noWrap/>
            <w:vAlign w:val="center"/>
            <w:hideMark/>
          </w:tcPr>
          <w:p w14:paraId="54F36494"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&lt; 2 year</w:t>
            </w:r>
          </w:p>
        </w:tc>
        <w:tc>
          <w:tcPr>
            <w:tcW w:w="1985" w:type="dxa"/>
            <w:tcBorders>
              <w:top w:val="nil"/>
              <w:left w:val="nil"/>
              <w:bottom w:val="single" w:sz="4" w:space="0" w:color="auto"/>
              <w:right w:val="single" w:sz="4" w:space="0" w:color="auto"/>
            </w:tcBorders>
            <w:shd w:val="clear" w:color="auto" w:fill="auto"/>
            <w:noWrap/>
            <w:vAlign w:val="center"/>
            <w:hideMark/>
          </w:tcPr>
          <w:p w14:paraId="186668B8"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2BCC245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157</w:t>
            </w:r>
          </w:p>
        </w:tc>
        <w:tc>
          <w:tcPr>
            <w:tcW w:w="988" w:type="dxa"/>
            <w:tcBorders>
              <w:top w:val="nil"/>
              <w:left w:val="nil"/>
              <w:bottom w:val="single" w:sz="4" w:space="0" w:color="auto"/>
              <w:right w:val="single" w:sz="4" w:space="0" w:color="auto"/>
            </w:tcBorders>
            <w:shd w:val="clear" w:color="auto" w:fill="auto"/>
            <w:noWrap/>
            <w:vAlign w:val="bottom"/>
            <w:hideMark/>
          </w:tcPr>
          <w:p w14:paraId="519B4B7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157</w:t>
            </w:r>
          </w:p>
        </w:tc>
        <w:tc>
          <w:tcPr>
            <w:tcW w:w="988" w:type="dxa"/>
            <w:tcBorders>
              <w:top w:val="nil"/>
              <w:left w:val="nil"/>
              <w:bottom w:val="single" w:sz="4" w:space="0" w:color="auto"/>
              <w:right w:val="single" w:sz="4" w:space="0" w:color="auto"/>
            </w:tcBorders>
            <w:shd w:val="clear" w:color="auto" w:fill="auto"/>
            <w:noWrap/>
            <w:vAlign w:val="bottom"/>
            <w:hideMark/>
          </w:tcPr>
          <w:p w14:paraId="4DA9F11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0B93AED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3BA6542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11,439</w:t>
            </w:r>
          </w:p>
        </w:tc>
        <w:tc>
          <w:tcPr>
            <w:tcW w:w="1278" w:type="dxa"/>
            <w:tcBorders>
              <w:top w:val="nil"/>
              <w:left w:val="nil"/>
              <w:bottom w:val="single" w:sz="4" w:space="0" w:color="auto"/>
              <w:right w:val="single" w:sz="4" w:space="0" w:color="auto"/>
            </w:tcBorders>
            <w:shd w:val="clear" w:color="auto" w:fill="auto"/>
            <w:noWrap/>
            <w:vAlign w:val="bottom"/>
            <w:hideMark/>
          </w:tcPr>
          <w:p w14:paraId="76F6456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11,439</w:t>
            </w:r>
          </w:p>
        </w:tc>
        <w:tc>
          <w:tcPr>
            <w:tcW w:w="1262" w:type="dxa"/>
            <w:tcBorders>
              <w:top w:val="nil"/>
              <w:left w:val="nil"/>
              <w:bottom w:val="single" w:sz="4" w:space="0" w:color="auto"/>
              <w:right w:val="single" w:sz="4" w:space="0" w:color="auto"/>
            </w:tcBorders>
            <w:shd w:val="clear" w:color="auto" w:fill="auto"/>
            <w:noWrap/>
            <w:vAlign w:val="bottom"/>
            <w:hideMark/>
          </w:tcPr>
          <w:p w14:paraId="60D1BBA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69193F9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08A9BE6E" w14:textId="77777777" w:rsidR="00BF10A3" w:rsidRPr="00E63A6B" w:rsidRDefault="00BF10A3" w:rsidP="001F7400">
            <w:pPr>
              <w:spacing w:after="0" w:line="240" w:lineRule="auto"/>
              <w:rPr>
                <w:rFonts w:eastAsia="Times New Roman" w:cs="Calibri"/>
                <w:color w:val="000000"/>
              </w:rPr>
            </w:pPr>
          </w:p>
        </w:tc>
      </w:tr>
      <w:tr w:rsidR="00BF10A3" w:rsidRPr="00E63A6B" w14:paraId="1C84D3C6"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BE1887B"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tcBorders>
              <w:top w:val="nil"/>
              <w:left w:val="nil"/>
              <w:bottom w:val="single" w:sz="4" w:space="0" w:color="auto"/>
              <w:right w:val="single" w:sz="4" w:space="0" w:color="auto"/>
            </w:tcBorders>
            <w:shd w:val="clear" w:color="auto" w:fill="auto"/>
            <w:noWrap/>
            <w:vAlign w:val="center"/>
            <w:hideMark/>
          </w:tcPr>
          <w:p w14:paraId="063D95DA"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2-3 year</w:t>
            </w:r>
          </w:p>
        </w:tc>
        <w:tc>
          <w:tcPr>
            <w:tcW w:w="1985" w:type="dxa"/>
            <w:tcBorders>
              <w:top w:val="nil"/>
              <w:left w:val="nil"/>
              <w:bottom w:val="single" w:sz="4" w:space="0" w:color="auto"/>
              <w:right w:val="single" w:sz="4" w:space="0" w:color="auto"/>
            </w:tcBorders>
            <w:shd w:val="clear" w:color="auto" w:fill="auto"/>
            <w:noWrap/>
            <w:vAlign w:val="center"/>
            <w:hideMark/>
          </w:tcPr>
          <w:p w14:paraId="03AA8465"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3FA5D30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824</w:t>
            </w:r>
          </w:p>
        </w:tc>
        <w:tc>
          <w:tcPr>
            <w:tcW w:w="988" w:type="dxa"/>
            <w:tcBorders>
              <w:top w:val="nil"/>
              <w:left w:val="nil"/>
              <w:bottom w:val="single" w:sz="4" w:space="0" w:color="auto"/>
              <w:right w:val="single" w:sz="4" w:space="0" w:color="auto"/>
            </w:tcBorders>
            <w:shd w:val="clear" w:color="auto" w:fill="auto"/>
            <w:noWrap/>
            <w:vAlign w:val="bottom"/>
            <w:hideMark/>
          </w:tcPr>
          <w:p w14:paraId="579CD60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823</w:t>
            </w:r>
          </w:p>
        </w:tc>
        <w:tc>
          <w:tcPr>
            <w:tcW w:w="988" w:type="dxa"/>
            <w:tcBorders>
              <w:top w:val="nil"/>
              <w:left w:val="nil"/>
              <w:bottom w:val="single" w:sz="4" w:space="0" w:color="auto"/>
              <w:right w:val="single" w:sz="4" w:space="0" w:color="auto"/>
            </w:tcBorders>
            <w:shd w:val="clear" w:color="auto" w:fill="auto"/>
            <w:noWrap/>
            <w:vAlign w:val="bottom"/>
            <w:hideMark/>
          </w:tcPr>
          <w:p w14:paraId="36CBD6B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44F9BE5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3C08EE5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119,615</w:t>
            </w:r>
          </w:p>
        </w:tc>
        <w:tc>
          <w:tcPr>
            <w:tcW w:w="1278" w:type="dxa"/>
            <w:tcBorders>
              <w:top w:val="nil"/>
              <w:left w:val="nil"/>
              <w:bottom w:val="single" w:sz="4" w:space="0" w:color="auto"/>
              <w:right w:val="single" w:sz="4" w:space="0" w:color="auto"/>
            </w:tcBorders>
            <w:shd w:val="clear" w:color="auto" w:fill="auto"/>
            <w:noWrap/>
            <w:vAlign w:val="bottom"/>
            <w:hideMark/>
          </w:tcPr>
          <w:p w14:paraId="3DAC89C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119,559</w:t>
            </w:r>
          </w:p>
        </w:tc>
        <w:tc>
          <w:tcPr>
            <w:tcW w:w="1262" w:type="dxa"/>
            <w:tcBorders>
              <w:top w:val="nil"/>
              <w:left w:val="nil"/>
              <w:bottom w:val="single" w:sz="4" w:space="0" w:color="auto"/>
              <w:right w:val="single" w:sz="4" w:space="0" w:color="auto"/>
            </w:tcBorders>
            <w:shd w:val="clear" w:color="auto" w:fill="auto"/>
            <w:noWrap/>
            <w:vAlign w:val="bottom"/>
            <w:hideMark/>
          </w:tcPr>
          <w:p w14:paraId="1F2E48A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56</w:t>
            </w:r>
          </w:p>
        </w:tc>
        <w:tc>
          <w:tcPr>
            <w:tcW w:w="1582" w:type="dxa"/>
            <w:tcBorders>
              <w:top w:val="nil"/>
              <w:left w:val="nil"/>
              <w:bottom w:val="single" w:sz="4" w:space="0" w:color="auto"/>
              <w:right w:val="single" w:sz="4" w:space="0" w:color="auto"/>
            </w:tcBorders>
            <w:shd w:val="clear" w:color="auto" w:fill="auto"/>
            <w:noWrap/>
            <w:vAlign w:val="bottom"/>
            <w:hideMark/>
          </w:tcPr>
          <w:p w14:paraId="4DA6BCD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10A81D9D" w14:textId="77777777" w:rsidR="00BF10A3" w:rsidRPr="00E63A6B" w:rsidRDefault="00BF10A3" w:rsidP="001F7400">
            <w:pPr>
              <w:spacing w:after="0" w:line="240" w:lineRule="auto"/>
              <w:rPr>
                <w:rFonts w:eastAsia="Times New Roman" w:cs="Calibri"/>
                <w:color w:val="000000"/>
              </w:rPr>
            </w:pPr>
          </w:p>
        </w:tc>
      </w:tr>
      <w:tr w:rsidR="00BF10A3" w:rsidRPr="00E63A6B" w14:paraId="08D86284"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EBD0E33"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D68801"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4-year</w:t>
            </w:r>
          </w:p>
        </w:tc>
        <w:tc>
          <w:tcPr>
            <w:tcW w:w="1985" w:type="dxa"/>
            <w:tcBorders>
              <w:top w:val="nil"/>
              <w:left w:val="nil"/>
              <w:bottom w:val="single" w:sz="4" w:space="0" w:color="auto"/>
              <w:right w:val="single" w:sz="4" w:space="0" w:color="auto"/>
            </w:tcBorders>
            <w:shd w:val="clear" w:color="auto" w:fill="auto"/>
            <w:noWrap/>
            <w:vAlign w:val="center"/>
            <w:hideMark/>
          </w:tcPr>
          <w:p w14:paraId="322C6129"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6B9830B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86</w:t>
            </w:r>
          </w:p>
        </w:tc>
        <w:tc>
          <w:tcPr>
            <w:tcW w:w="988" w:type="dxa"/>
            <w:tcBorders>
              <w:top w:val="nil"/>
              <w:left w:val="nil"/>
              <w:bottom w:val="single" w:sz="4" w:space="0" w:color="auto"/>
              <w:right w:val="single" w:sz="4" w:space="0" w:color="auto"/>
            </w:tcBorders>
            <w:shd w:val="clear" w:color="auto" w:fill="auto"/>
            <w:noWrap/>
            <w:vAlign w:val="bottom"/>
            <w:hideMark/>
          </w:tcPr>
          <w:p w14:paraId="4891DFF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84</w:t>
            </w:r>
          </w:p>
        </w:tc>
        <w:tc>
          <w:tcPr>
            <w:tcW w:w="988" w:type="dxa"/>
            <w:tcBorders>
              <w:top w:val="nil"/>
              <w:left w:val="nil"/>
              <w:bottom w:val="single" w:sz="4" w:space="0" w:color="auto"/>
              <w:right w:val="single" w:sz="4" w:space="0" w:color="auto"/>
            </w:tcBorders>
            <w:shd w:val="clear" w:color="auto" w:fill="auto"/>
            <w:noWrap/>
            <w:vAlign w:val="bottom"/>
            <w:hideMark/>
          </w:tcPr>
          <w:p w14:paraId="1F4A71A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05F6185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1181" w:type="dxa"/>
            <w:tcBorders>
              <w:top w:val="nil"/>
              <w:left w:val="nil"/>
              <w:bottom w:val="single" w:sz="4" w:space="0" w:color="auto"/>
              <w:right w:val="single" w:sz="4" w:space="0" w:color="auto"/>
            </w:tcBorders>
            <w:shd w:val="clear" w:color="auto" w:fill="auto"/>
            <w:noWrap/>
            <w:vAlign w:val="bottom"/>
            <w:hideMark/>
          </w:tcPr>
          <w:p w14:paraId="4D1075D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8,102</w:t>
            </w:r>
          </w:p>
        </w:tc>
        <w:tc>
          <w:tcPr>
            <w:tcW w:w="1278" w:type="dxa"/>
            <w:tcBorders>
              <w:top w:val="nil"/>
              <w:left w:val="nil"/>
              <w:bottom w:val="single" w:sz="4" w:space="0" w:color="auto"/>
              <w:right w:val="single" w:sz="4" w:space="0" w:color="auto"/>
            </w:tcBorders>
            <w:shd w:val="clear" w:color="auto" w:fill="auto"/>
            <w:noWrap/>
            <w:vAlign w:val="bottom"/>
            <w:hideMark/>
          </w:tcPr>
          <w:p w14:paraId="0B85370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7,835</w:t>
            </w:r>
          </w:p>
        </w:tc>
        <w:tc>
          <w:tcPr>
            <w:tcW w:w="1262" w:type="dxa"/>
            <w:tcBorders>
              <w:top w:val="nil"/>
              <w:left w:val="nil"/>
              <w:bottom w:val="single" w:sz="4" w:space="0" w:color="auto"/>
              <w:right w:val="single" w:sz="4" w:space="0" w:color="auto"/>
            </w:tcBorders>
            <w:shd w:val="clear" w:color="auto" w:fill="auto"/>
            <w:noWrap/>
            <w:vAlign w:val="bottom"/>
            <w:hideMark/>
          </w:tcPr>
          <w:p w14:paraId="109C1E4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221</w:t>
            </w:r>
          </w:p>
        </w:tc>
        <w:tc>
          <w:tcPr>
            <w:tcW w:w="1582" w:type="dxa"/>
            <w:tcBorders>
              <w:top w:val="nil"/>
              <w:left w:val="nil"/>
              <w:bottom w:val="single" w:sz="4" w:space="0" w:color="auto"/>
              <w:right w:val="single" w:sz="4" w:space="0" w:color="auto"/>
            </w:tcBorders>
            <w:shd w:val="clear" w:color="auto" w:fill="auto"/>
            <w:noWrap/>
            <w:vAlign w:val="bottom"/>
            <w:hideMark/>
          </w:tcPr>
          <w:p w14:paraId="50420F0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46</w:t>
            </w:r>
          </w:p>
        </w:tc>
        <w:tc>
          <w:tcPr>
            <w:tcW w:w="236" w:type="dxa"/>
            <w:tcBorders>
              <w:top w:val="nil"/>
              <w:left w:val="nil"/>
              <w:bottom w:val="nil"/>
              <w:right w:val="nil"/>
            </w:tcBorders>
            <w:shd w:val="clear" w:color="auto" w:fill="auto"/>
            <w:noWrap/>
            <w:vAlign w:val="bottom"/>
            <w:hideMark/>
          </w:tcPr>
          <w:p w14:paraId="1147C189" w14:textId="77777777" w:rsidR="00BF10A3" w:rsidRPr="00E63A6B" w:rsidRDefault="00BF10A3" w:rsidP="001F7400">
            <w:pPr>
              <w:spacing w:after="0" w:line="240" w:lineRule="auto"/>
              <w:rPr>
                <w:rFonts w:eastAsia="Times New Roman" w:cs="Calibri"/>
                <w:color w:val="000000"/>
              </w:rPr>
            </w:pPr>
          </w:p>
        </w:tc>
      </w:tr>
      <w:tr w:rsidR="00BF10A3" w:rsidRPr="00E63A6B" w14:paraId="46B15D5A"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704808D7"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1688045D"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B1C189B"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Post-Bacc Certificate</w:t>
            </w:r>
          </w:p>
        </w:tc>
        <w:tc>
          <w:tcPr>
            <w:tcW w:w="988" w:type="dxa"/>
            <w:tcBorders>
              <w:top w:val="nil"/>
              <w:left w:val="nil"/>
              <w:bottom w:val="single" w:sz="4" w:space="0" w:color="auto"/>
              <w:right w:val="single" w:sz="4" w:space="0" w:color="auto"/>
            </w:tcBorders>
            <w:shd w:val="clear" w:color="auto" w:fill="auto"/>
            <w:noWrap/>
            <w:vAlign w:val="bottom"/>
            <w:hideMark/>
          </w:tcPr>
          <w:p w14:paraId="7FE8F4A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26</w:t>
            </w:r>
          </w:p>
        </w:tc>
        <w:tc>
          <w:tcPr>
            <w:tcW w:w="988" w:type="dxa"/>
            <w:tcBorders>
              <w:top w:val="nil"/>
              <w:left w:val="nil"/>
              <w:bottom w:val="single" w:sz="4" w:space="0" w:color="auto"/>
              <w:right w:val="single" w:sz="4" w:space="0" w:color="auto"/>
            </w:tcBorders>
            <w:shd w:val="clear" w:color="auto" w:fill="auto"/>
            <w:noWrap/>
            <w:vAlign w:val="bottom"/>
            <w:hideMark/>
          </w:tcPr>
          <w:p w14:paraId="26FFB98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26</w:t>
            </w:r>
          </w:p>
        </w:tc>
        <w:tc>
          <w:tcPr>
            <w:tcW w:w="988" w:type="dxa"/>
            <w:tcBorders>
              <w:top w:val="nil"/>
              <w:left w:val="nil"/>
              <w:bottom w:val="single" w:sz="4" w:space="0" w:color="auto"/>
              <w:right w:val="single" w:sz="4" w:space="0" w:color="auto"/>
            </w:tcBorders>
            <w:shd w:val="clear" w:color="auto" w:fill="auto"/>
            <w:noWrap/>
            <w:vAlign w:val="bottom"/>
            <w:hideMark/>
          </w:tcPr>
          <w:p w14:paraId="3B7CABA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38D145E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4F73D03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3,244</w:t>
            </w:r>
          </w:p>
        </w:tc>
        <w:tc>
          <w:tcPr>
            <w:tcW w:w="1278" w:type="dxa"/>
            <w:tcBorders>
              <w:top w:val="nil"/>
              <w:left w:val="nil"/>
              <w:bottom w:val="single" w:sz="4" w:space="0" w:color="auto"/>
              <w:right w:val="single" w:sz="4" w:space="0" w:color="auto"/>
            </w:tcBorders>
            <w:shd w:val="clear" w:color="auto" w:fill="auto"/>
            <w:noWrap/>
            <w:vAlign w:val="bottom"/>
            <w:hideMark/>
          </w:tcPr>
          <w:p w14:paraId="290890C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3,244</w:t>
            </w:r>
          </w:p>
        </w:tc>
        <w:tc>
          <w:tcPr>
            <w:tcW w:w="1262" w:type="dxa"/>
            <w:tcBorders>
              <w:top w:val="nil"/>
              <w:left w:val="nil"/>
              <w:bottom w:val="single" w:sz="4" w:space="0" w:color="auto"/>
              <w:right w:val="single" w:sz="4" w:space="0" w:color="auto"/>
            </w:tcBorders>
            <w:shd w:val="clear" w:color="auto" w:fill="auto"/>
            <w:noWrap/>
            <w:vAlign w:val="bottom"/>
            <w:hideMark/>
          </w:tcPr>
          <w:p w14:paraId="48A6C2E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408F58D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564F991A" w14:textId="77777777" w:rsidR="00BF10A3" w:rsidRPr="00E63A6B" w:rsidRDefault="00BF10A3" w:rsidP="001F7400">
            <w:pPr>
              <w:spacing w:after="0" w:line="240" w:lineRule="auto"/>
              <w:rPr>
                <w:rFonts w:eastAsia="Times New Roman" w:cs="Calibri"/>
                <w:color w:val="000000"/>
              </w:rPr>
            </w:pPr>
          </w:p>
        </w:tc>
      </w:tr>
      <w:tr w:rsidR="00BF10A3" w:rsidRPr="00E63A6B" w14:paraId="3DD6DF28" w14:textId="77777777" w:rsidTr="001F7400">
        <w:trPr>
          <w:trHeight w:val="250"/>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57168C"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Private</w:t>
            </w:r>
          </w:p>
        </w:tc>
        <w:tc>
          <w:tcPr>
            <w:tcW w:w="28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08ABF6"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Total</w:t>
            </w:r>
          </w:p>
        </w:tc>
        <w:tc>
          <w:tcPr>
            <w:tcW w:w="988" w:type="dxa"/>
            <w:tcBorders>
              <w:top w:val="nil"/>
              <w:left w:val="nil"/>
              <w:bottom w:val="single" w:sz="4" w:space="0" w:color="auto"/>
              <w:right w:val="single" w:sz="4" w:space="0" w:color="auto"/>
            </w:tcBorders>
            <w:shd w:val="clear" w:color="auto" w:fill="auto"/>
            <w:noWrap/>
            <w:vAlign w:val="bottom"/>
            <w:hideMark/>
          </w:tcPr>
          <w:p w14:paraId="34B9D19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253</w:t>
            </w:r>
          </w:p>
        </w:tc>
        <w:tc>
          <w:tcPr>
            <w:tcW w:w="988" w:type="dxa"/>
            <w:tcBorders>
              <w:top w:val="nil"/>
              <w:left w:val="nil"/>
              <w:bottom w:val="single" w:sz="4" w:space="0" w:color="auto"/>
              <w:right w:val="single" w:sz="4" w:space="0" w:color="auto"/>
            </w:tcBorders>
            <w:shd w:val="clear" w:color="auto" w:fill="auto"/>
            <w:noWrap/>
            <w:vAlign w:val="bottom"/>
            <w:hideMark/>
          </w:tcPr>
          <w:p w14:paraId="57A948F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242</w:t>
            </w:r>
          </w:p>
        </w:tc>
        <w:tc>
          <w:tcPr>
            <w:tcW w:w="988" w:type="dxa"/>
            <w:tcBorders>
              <w:top w:val="nil"/>
              <w:left w:val="nil"/>
              <w:bottom w:val="single" w:sz="4" w:space="0" w:color="auto"/>
              <w:right w:val="single" w:sz="4" w:space="0" w:color="auto"/>
            </w:tcBorders>
            <w:shd w:val="clear" w:color="auto" w:fill="auto"/>
            <w:noWrap/>
            <w:vAlign w:val="bottom"/>
            <w:hideMark/>
          </w:tcPr>
          <w:p w14:paraId="1460384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w:t>
            </w:r>
          </w:p>
        </w:tc>
        <w:tc>
          <w:tcPr>
            <w:tcW w:w="988" w:type="dxa"/>
            <w:tcBorders>
              <w:top w:val="nil"/>
              <w:left w:val="nil"/>
              <w:bottom w:val="single" w:sz="4" w:space="0" w:color="auto"/>
              <w:right w:val="single" w:sz="4" w:space="0" w:color="auto"/>
            </w:tcBorders>
            <w:shd w:val="clear" w:color="auto" w:fill="auto"/>
            <w:noWrap/>
            <w:vAlign w:val="bottom"/>
            <w:hideMark/>
          </w:tcPr>
          <w:p w14:paraId="4A5B661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w:t>
            </w:r>
          </w:p>
        </w:tc>
        <w:tc>
          <w:tcPr>
            <w:tcW w:w="1181" w:type="dxa"/>
            <w:tcBorders>
              <w:top w:val="nil"/>
              <w:left w:val="nil"/>
              <w:bottom w:val="single" w:sz="4" w:space="0" w:color="auto"/>
              <w:right w:val="single" w:sz="4" w:space="0" w:color="auto"/>
            </w:tcBorders>
            <w:shd w:val="clear" w:color="auto" w:fill="auto"/>
            <w:noWrap/>
            <w:vAlign w:val="bottom"/>
            <w:hideMark/>
          </w:tcPr>
          <w:p w14:paraId="2F675A1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45,696</w:t>
            </w:r>
          </w:p>
        </w:tc>
        <w:tc>
          <w:tcPr>
            <w:tcW w:w="1278" w:type="dxa"/>
            <w:tcBorders>
              <w:top w:val="nil"/>
              <w:left w:val="nil"/>
              <w:bottom w:val="single" w:sz="4" w:space="0" w:color="auto"/>
              <w:right w:val="single" w:sz="4" w:space="0" w:color="auto"/>
            </w:tcBorders>
            <w:shd w:val="clear" w:color="auto" w:fill="auto"/>
            <w:noWrap/>
            <w:vAlign w:val="bottom"/>
            <w:hideMark/>
          </w:tcPr>
          <w:p w14:paraId="2AF7FBE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40,695</w:t>
            </w:r>
          </w:p>
        </w:tc>
        <w:tc>
          <w:tcPr>
            <w:tcW w:w="1262" w:type="dxa"/>
            <w:tcBorders>
              <w:top w:val="nil"/>
              <w:left w:val="nil"/>
              <w:bottom w:val="single" w:sz="4" w:space="0" w:color="auto"/>
              <w:right w:val="single" w:sz="4" w:space="0" w:color="auto"/>
            </w:tcBorders>
            <w:shd w:val="clear" w:color="auto" w:fill="auto"/>
            <w:noWrap/>
            <w:vAlign w:val="bottom"/>
            <w:hideMark/>
          </w:tcPr>
          <w:p w14:paraId="068679D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3,886</w:t>
            </w:r>
          </w:p>
        </w:tc>
        <w:tc>
          <w:tcPr>
            <w:tcW w:w="1582" w:type="dxa"/>
            <w:tcBorders>
              <w:top w:val="nil"/>
              <w:left w:val="nil"/>
              <w:bottom w:val="single" w:sz="4" w:space="0" w:color="auto"/>
              <w:right w:val="single" w:sz="4" w:space="0" w:color="auto"/>
            </w:tcBorders>
            <w:shd w:val="clear" w:color="auto" w:fill="auto"/>
            <w:noWrap/>
            <w:vAlign w:val="bottom"/>
            <w:hideMark/>
          </w:tcPr>
          <w:p w14:paraId="6FFD398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1,115</w:t>
            </w:r>
          </w:p>
        </w:tc>
        <w:tc>
          <w:tcPr>
            <w:tcW w:w="236" w:type="dxa"/>
            <w:tcBorders>
              <w:top w:val="nil"/>
              <w:left w:val="nil"/>
              <w:bottom w:val="nil"/>
              <w:right w:val="nil"/>
            </w:tcBorders>
            <w:shd w:val="clear" w:color="auto" w:fill="auto"/>
            <w:noWrap/>
            <w:vAlign w:val="bottom"/>
            <w:hideMark/>
          </w:tcPr>
          <w:p w14:paraId="60948C4A" w14:textId="77777777" w:rsidR="00BF10A3" w:rsidRPr="00E63A6B" w:rsidRDefault="00BF10A3" w:rsidP="001F7400">
            <w:pPr>
              <w:spacing w:after="0" w:line="240" w:lineRule="auto"/>
              <w:rPr>
                <w:rFonts w:eastAsia="Times New Roman" w:cs="Calibri"/>
                <w:color w:val="000000"/>
              </w:rPr>
            </w:pPr>
          </w:p>
        </w:tc>
      </w:tr>
      <w:tr w:rsidR="00BF10A3" w:rsidRPr="00E63A6B" w14:paraId="6653A6DD"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773BC710"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tcBorders>
              <w:top w:val="nil"/>
              <w:left w:val="nil"/>
              <w:bottom w:val="single" w:sz="4" w:space="0" w:color="auto"/>
              <w:right w:val="single" w:sz="4" w:space="0" w:color="auto"/>
            </w:tcBorders>
            <w:shd w:val="clear" w:color="auto" w:fill="auto"/>
            <w:noWrap/>
            <w:vAlign w:val="center"/>
            <w:hideMark/>
          </w:tcPr>
          <w:p w14:paraId="4B50A03B"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&lt; 2 year</w:t>
            </w:r>
          </w:p>
        </w:tc>
        <w:tc>
          <w:tcPr>
            <w:tcW w:w="1985" w:type="dxa"/>
            <w:tcBorders>
              <w:top w:val="nil"/>
              <w:left w:val="nil"/>
              <w:bottom w:val="single" w:sz="4" w:space="0" w:color="auto"/>
              <w:right w:val="single" w:sz="4" w:space="0" w:color="auto"/>
            </w:tcBorders>
            <w:shd w:val="clear" w:color="auto" w:fill="auto"/>
            <w:noWrap/>
            <w:vAlign w:val="center"/>
            <w:hideMark/>
          </w:tcPr>
          <w:p w14:paraId="6F1FD52B"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3341B56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49</w:t>
            </w:r>
          </w:p>
        </w:tc>
        <w:tc>
          <w:tcPr>
            <w:tcW w:w="988" w:type="dxa"/>
            <w:tcBorders>
              <w:top w:val="nil"/>
              <w:left w:val="nil"/>
              <w:bottom w:val="single" w:sz="4" w:space="0" w:color="auto"/>
              <w:right w:val="single" w:sz="4" w:space="0" w:color="auto"/>
            </w:tcBorders>
            <w:shd w:val="clear" w:color="auto" w:fill="auto"/>
            <w:noWrap/>
            <w:vAlign w:val="bottom"/>
            <w:hideMark/>
          </w:tcPr>
          <w:p w14:paraId="7AD80D2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47</w:t>
            </w:r>
          </w:p>
        </w:tc>
        <w:tc>
          <w:tcPr>
            <w:tcW w:w="988" w:type="dxa"/>
            <w:tcBorders>
              <w:top w:val="nil"/>
              <w:left w:val="nil"/>
              <w:bottom w:val="single" w:sz="4" w:space="0" w:color="auto"/>
              <w:right w:val="single" w:sz="4" w:space="0" w:color="auto"/>
            </w:tcBorders>
            <w:shd w:val="clear" w:color="auto" w:fill="auto"/>
            <w:noWrap/>
            <w:vAlign w:val="bottom"/>
            <w:hideMark/>
          </w:tcPr>
          <w:p w14:paraId="4D7D4C8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5AED120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53D9B1F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9,609</w:t>
            </w:r>
          </w:p>
        </w:tc>
        <w:tc>
          <w:tcPr>
            <w:tcW w:w="1278" w:type="dxa"/>
            <w:tcBorders>
              <w:top w:val="nil"/>
              <w:left w:val="nil"/>
              <w:bottom w:val="single" w:sz="4" w:space="0" w:color="auto"/>
              <w:right w:val="single" w:sz="4" w:space="0" w:color="auto"/>
            </w:tcBorders>
            <w:shd w:val="clear" w:color="auto" w:fill="auto"/>
            <w:noWrap/>
            <w:vAlign w:val="bottom"/>
            <w:hideMark/>
          </w:tcPr>
          <w:p w14:paraId="618C601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9,147</w:t>
            </w:r>
          </w:p>
        </w:tc>
        <w:tc>
          <w:tcPr>
            <w:tcW w:w="1262" w:type="dxa"/>
            <w:tcBorders>
              <w:top w:val="nil"/>
              <w:left w:val="nil"/>
              <w:bottom w:val="single" w:sz="4" w:space="0" w:color="auto"/>
              <w:right w:val="single" w:sz="4" w:space="0" w:color="auto"/>
            </w:tcBorders>
            <w:shd w:val="clear" w:color="auto" w:fill="auto"/>
            <w:noWrap/>
            <w:vAlign w:val="bottom"/>
            <w:hideMark/>
          </w:tcPr>
          <w:p w14:paraId="6150122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462</w:t>
            </w:r>
          </w:p>
        </w:tc>
        <w:tc>
          <w:tcPr>
            <w:tcW w:w="1582" w:type="dxa"/>
            <w:tcBorders>
              <w:top w:val="nil"/>
              <w:left w:val="nil"/>
              <w:bottom w:val="single" w:sz="4" w:space="0" w:color="auto"/>
              <w:right w:val="single" w:sz="4" w:space="0" w:color="auto"/>
            </w:tcBorders>
            <w:shd w:val="clear" w:color="auto" w:fill="auto"/>
            <w:noWrap/>
            <w:vAlign w:val="bottom"/>
            <w:hideMark/>
          </w:tcPr>
          <w:p w14:paraId="57D51EE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26109C94" w14:textId="77777777" w:rsidR="00BF10A3" w:rsidRPr="00E63A6B" w:rsidRDefault="00BF10A3" w:rsidP="001F7400">
            <w:pPr>
              <w:spacing w:after="0" w:line="240" w:lineRule="auto"/>
              <w:rPr>
                <w:rFonts w:eastAsia="Times New Roman" w:cs="Calibri"/>
                <w:color w:val="000000"/>
              </w:rPr>
            </w:pPr>
          </w:p>
        </w:tc>
      </w:tr>
      <w:tr w:rsidR="00BF10A3" w:rsidRPr="00E63A6B" w14:paraId="7159306B"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323568F8"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08AF29"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2-3 year</w:t>
            </w:r>
          </w:p>
        </w:tc>
        <w:tc>
          <w:tcPr>
            <w:tcW w:w="1985" w:type="dxa"/>
            <w:tcBorders>
              <w:top w:val="nil"/>
              <w:left w:val="nil"/>
              <w:bottom w:val="single" w:sz="4" w:space="0" w:color="auto"/>
              <w:right w:val="single" w:sz="4" w:space="0" w:color="auto"/>
            </w:tcBorders>
            <w:shd w:val="clear" w:color="auto" w:fill="auto"/>
            <w:noWrap/>
            <w:vAlign w:val="center"/>
            <w:hideMark/>
          </w:tcPr>
          <w:p w14:paraId="56349328"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39FE488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73</w:t>
            </w:r>
          </w:p>
        </w:tc>
        <w:tc>
          <w:tcPr>
            <w:tcW w:w="988" w:type="dxa"/>
            <w:tcBorders>
              <w:top w:val="nil"/>
              <w:left w:val="nil"/>
              <w:bottom w:val="single" w:sz="4" w:space="0" w:color="auto"/>
              <w:right w:val="single" w:sz="4" w:space="0" w:color="auto"/>
            </w:tcBorders>
            <w:shd w:val="clear" w:color="auto" w:fill="auto"/>
            <w:noWrap/>
            <w:vAlign w:val="bottom"/>
            <w:hideMark/>
          </w:tcPr>
          <w:p w14:paraId="6B30A16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70</w:t>
            </w:r>
          </w:p>
        </w:tc>
        <w:tc>
          <w:tcPr>
            <w:tcW w:w="988" w:type="dxa"/>
            <w:tcBorders>
              <w:top w:val="nil"/>
              <w:left w:val="nil"/>
              <w:bottom w:val="single" w:sz="4" w:space="0" w:color="auto"/>
              <w:right w:val="single" w:sz="4" w:space="0" w:color="auto"/>
            </w:tcBorders>
            <w:shd w:val="clear" w:color="auto" w:fill="auto"/>
            <w:noWrap/>
            <w:vAlign w:val="bottom"/>
            <w:hideMark/>
          </w:tcPr>
          <w:p w14:paraId="43ACE82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bottom"/>
            <w:hideMark/>
          </w:tcPr>
          <w:p w14:paraId="5B51E94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706EC72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10,307</w:t>
            </w:r>
          </w:p>
        </w:tc>
        <w:tc>
          <w:tcPr>
            <w:tcW w:w="1278" w:type="dxa"/>
            <w:tcBorders>
              <w:top w:val="nil"/>
              <w:left w:val="nil"/>
              <w:bottom w:val="single" w:sz="4" w:space="0" w:color="auto"/>
              <w:right w:val="single" w:sz="4" w:space="0" w:color="auto"/>
            </w:tcBorders>
            <w:shd w:val="clear" w:color="auto" w:fill="auto"/>
            <w:noWrap/>
            <w:vAlign w:val="bottom"/>
            <w:hideMark/>
          </w:tcPr>
          <w:p w14:paraId="64DAB06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8,875</w:t>
            </w:r>
          </w:p>
        </w:tc>
        <w:tc>
          <w:tcPr>
            <w:tcW w:w="1262" w:type="dxa"/>
            <w:tcBorders>
              <w:top w:val="nil"/>
              <w:left w:val="nil"/>
              <w:bottom w:val="single" w:sz="4" w:space="0" w:color="auto"/>
              <w:right w:val="single" w:sz="4" w:space="0" w:color="auto"/>
            </w:tcBorders>
            <w:shd w:val="clear" w:color="auto" w:fill="auto"/>
            <w:noWrap/>
            <w:vAlign w:val="bottom"/>
            <w:hideMark/>
          </w:tcPr>
          <w:p w14:paraId="34AF4BA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1,432</w:t>
            </w:r>
          </w:p>
        </w:tc>
        <w:tc>
          <w:tcPr>
            <w:tcW w:w="1582" w:type="dxa"/>
            <w:tcBorders>
              <w:top w:val="nil"/>
              <w:left w:val="nil"/>
              <w:bottom w:val="single" w:sz="4" w:space="0" w:color="auto"/>
              <w:right w:val="single" w:sz="4" w:space="0" w:color="auto"/>
            </w:tcBorders>
            <w:shd w:val="clear" w:color="auto" w:fill="auto"/>
            <w:noWrap/>
            <w:vAlign w:val="bottom"/>
            <w:hideMark/>
          </w:tcPr>
          <w:p w14:paraId="43F5D10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4861F74D" w14:textId="77777777" w:rsidR="00BF10A3" w:rsidRPr="00E63A6B" w:rsidRDefault="00BF10A3" w:rsidP="001F7400">
            <w:pPr>
              <w:spacing w:after="0" w:line="240" w:lineRule="auto"/>
              <w:rPr>
                <w:rFonts w:eastAsia="Times New Roman" w:cs="Calibri"/>
                <w:color w:val="000000"/>
              </w:rPr>
            </w:pPr>
          </w:p>
        </w:tc>
      </w:tr>
      <w:tr w:rsidR="00BF10A3" w:rsidRPr="00E63A6B" w14:paraId="5AF93F95"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05A364D9"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68608291"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97DD52F"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Post-Bacc Certificate</w:t>
            </w:r>
          </w:p>
        </w:tc>
        <w:tc>
          <w:tcPr>
            <w:tcW w:w="988" w:type="dxa"/>
            <w:tcBorders>
              <w:top w:val="nil"/>
              <w:left w:val="nil"/>
              <w:bottom w:val="single" w:sz="4" w:space="0" w:color="auto"/>
              <w:right w:val="single" w:sz="4" w:space="0" w:color="auto"/>
            </w:tcBorders>
            <w:shd w:val="clear" w:color="auto" w:fill="auto"/>
            <w:noWrap/>
            <w:vAlign w:val="bottom"/>
            <w:hideMark/>
          </w:tcPr>
          <w:p w14:paraId="4B68441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7A09F6C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6B4D463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0E8BE46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27C537D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w:t>
            </w:r>
          </w:p>
        </w:tc>
        <w:tc>
          <w:tcPr>
            <w:tcW w:w="1278" w:type="dxa"/>
            <w:tcBorders>
              <w:top w:val="nil"/>
              <w:left w:val="nil"/>
              <w:bottom w:val="single" w:sz="4" w:space="0" w:color="auto"/>
              <w:right w:val="single" w:sz="4" w:space="0" w:color="auto"/>
            </w:tcBorders>
            <w:shd w:val="clear" w:color="auto" w:fill="auto"/>
            <w:noWrap/>
            <w:vAlign w:val="bottom"/>
            <w:hideMark/>
          </w:tcPr>
          <w:p w14:paraId="53FB8AA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w:t>
            </w:r>
          </w:p>
        </w:tc>
        <w:tc>
          <w:tcPr>
            <w:tcW w:w="1262" w:type="dxa"/>
            <w:tcBorders>
              <w:top w:val="nil"/>
              <w:left w:val="nil"/>
              <w:bottom w:val="single" w:sz="4" w:space="0" w:color="auto"/>
              <w:right w:val="single" w:sz="4" w:space="0" w:color="auto"/>
            </w:tcBorders>
            <w:shd w:val="clear" w:color="auto" w:fill="auto"/>
            <w:noWrap/>
            <w:vAlign w:val="bottom"/>
            <w:hideMark/>
          </w:tcPr>
          <w:p w14:paraId="7402B27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2686110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0047BBB8" w14:textId="77777777" w:rsidR="00BF10A3" w:rsidRPr="00E63A6B" w:rsidRDefault="00BF10A3" w:rsidP="001F7400">
            <w:pPr>
              <w:spacing w:after="0" w:line="240" w:lineRule="auto"/>
              <w:rPr>
                <w:rFonts w:eastAsia="Times New Roman" w:cs="Calibri"/>
                <w:color w:val="000000"/>
              </w:rPr>
            </w:pPr>
          </w:p>
        </w:tc>
      </w:tr>
      <w:tr w:rsidR="00BF10A3" w:rsidRPr="00E63A6B" w14:paraId="13E1569A"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7092ABF"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B9ADAA"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4-year</w:t>
            </w:r>
          </w:p>
        </w:tc>
        <w:tc>
          <w:tcPr>
            <w:tcW w:w="1985" w:type="dxa"/>
            <w:tcBorders>
              <w:top w:val="nil"/>
              <w:left w:val="nil"/>
              <w:bottom w:val="single" w:sz="4" w:space="0" w:color="auto"/>
              <w:right w:val="single" w:sz="4" w:space="0" w:color="auto"/>
            </w:tcBorders>
            <w:shd w:val="clear" w:color="auto" w:fill="auto"/>
            <w:noWrap/>
            <w:vAlign w:val="center"/>
            <w:hideMark/>
          </w:tcPr>
          <w:p w14:paraId="5F482926"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6E5F813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91</w:t>
            </w:r>
          </w:p>
        </w:tc>
        <w:tc>
          <w:tcPr>
            <w:tcW w:w="988" w:type="dxa"/>
            <w:tcBorders>
              <w:top w:val="nil"/>
              <w:left w:val="nil"/>
              <w:bottom w:val="single" w:sz="4" w:space="0" w:color="auto"/>
              <w:right w:val="single" w:sz="4" w:space="0" w:color="auto"/>
            </w:tcBorders>
            <w:shd w:val="clear" w:color="auto" w:fill="auto"/>
            <w:noWrap/>
            <w:vAlign w:val="bottom"/>
            <w:hideMark/>
          </w:tcPr>
          <w:p w14:paraId="60EC7F0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86</w:t>
            </w:r>
          </w:p>
        </w:tc>
        <w:tc>
          <w:tcPr>
            <w:tcW w:w="988" w:type="dxa"/>
            <w:tcBorders>
              <w:top w:val="nil"/>
              <w:left w:val="nil"/>
              <w:bottom w:val="single" w:sz="4" w:space="0" w:color="auto"/>
              <w:right w:val="single" w:sz="4" w:space="0" w:color="auto"/>
            </w:tcBorders>
            <w:shd w:val="clear" w:color="auto" w:fill="auto"/>
            <w:noWrap/>
            <w:vAlign w:val="bottom"/>
            <w:hideMark/>
          </w:tcPr>
          <w:p w14:paraId="6BD2395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bottom"/>
            <w:hideMark/>
          </w:tcPr>
          <w:p w14:paraId="7AEE738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1181" w:type="dxa"/>
            <w:tcBorders>
              <w:top w:val="nil"/>
              <w:left w:val="nil"/>
              <w:bottom w:val="single" w:sz="4" w:space="0" w:color="auto"/>
              <w:right w:val="single" w:sz="4" w:space="0" w:color="auto"/>
            </w:tcBorders>
            <w:shd w:val="clear" w:color="auto" w:fill="auto"/>
            <w:noWrap/>
            <w:vAlign w:val="bottom"/>
            <w:hideMark/>
          </w:tcPr>
          <w:p w14:paraId="28D1FED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20,666</w:t>
            </w:r>
          </w:p>
        </w:tc>
        <w:tc>
          <w:tcPr>
            <w:tcW w:w="1278" w:type="dxa"/>
            <w:tcBorders>
              <w:top w:val="nil"/>
              <w:left w:val="nil"/>
              <w:bottom w:val="single" w:sz="4" w:space="0" w:color="auto"/>
              <w:right w:val="single" w:sz="4" w:space="0" w:color="auto"/>
            </w:tcBorders>
            <w:shd w:val="clear" w:color="auto" w:fill="auto"/>
            <w:noWrap/>
            <w:vAlign w:val="bottom"/>
            <w:hideMark/>
          </w:tcPr>
          <w:p w14:paraId="1B2A7C5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17,679</w:t>
            </w:r>
          </w:p>
        </w:tc>
        <w:tc>
          <w:tcPr>
            <w:tcW w:w="1262" w:type="dxa"/>
            <w:tcBorders>
              <w:top w:val="nil"/>
              <w:left w:val="nil"/>
              <w:bottom w:val="single" w:sz="4" w:space="0" w:color="auto"/>
              <w:right w:val="single" w:sz="4" w:space="0" w:color="auto"/>
            </w:tcBorders>
            <w:shd w:val="clear" w:color="auto" w:fill="auto"/>
            <w:noWrap/>
            <w:vAlign w:val="bottom"/>
            <w:hideMark/>
          </w:tcPr>
          <w:p w14:paraId="47F1B1B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1,992</w:t>
            </w:r>
          </w:p>
        </w:tc>
        <w:tc>
          <w:tcPr>
            <w:tcW w:w="1582" w:type="dxa"/>
            <w:tcBorders>
              <w:top w:val="nil"/>
              <w:left w:val="nil"/>
              <w:bottom w:val="single" w:sz="4" w:space="0" w:color="auto"/>
              <w:right w:val="single" w:sz="4" w:space="0" w:color="auto"/>
            </w:tcBorders>
            <w:shd w:val="clear" w:color="auto" w:fill="auto"/>
            <w:noWrap/>
            <w:vAlign w:val="bottom"/>
            <w:hideMark/>
          </w:tcPr>
          <w:p w14:paraId="1E3C4AB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995</w:t>
            </w:r>
          </w:p>
        </w:tc>
        <w:tc>
          <w:tcPr>
            <w:tcW w:w="236" w:type="dxa"/>
            <w:tcBorders>
              <w:top w:val="nil"/>
              <w:left w:val="nil"/>
              <w:bottom w:val="nil"/>
              <w:right w:val="nil"/>
            </w:tcBorders>
            <w:shd w:val="clear" w:color="auto" w:fill="auto"/>
            <w:noWrap/>
            <w:vAlign w:val="bottom"/>
            <w:hideMark/>
          </w:tcPr>
          <w:p w14:paraId="0A0C45E0" w14:textId="77777777" w:rsidR="00BF10A3" w:rsidRPr="00E63A6B" w:rsidRDefault="00BF10A3" w:rsidP="001F7400">
            <w:pPr>
              <w:spacing w:after="0" w:line="240" w:lineRule="auto"/>
              <w:rPr>
                <w:rFonts w:eastAsia="Times New Roman" w:cs="Calibri"/>
                <w:color w:val="000000"/>
              </w:rPr>
            </w:pPr>
          </w:p>
        </w:tc>
      </w:tr>
      <w:tr w:rsidR="00BF10A3" w:rsidRPr="00E63A6B" w14:paraId="3D787D5A"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46C41C93"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6C8909F1"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04F5AE2"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Post-Bacc Certificate</w:t>
            </w:r>
          </w:p>
        </w:tc>
        <w:tc>
          <w:tcPr>
            <w:tcW w:w="988" w:type="dxa"/>
            <w:tcBorders>
              <w:top w:val="nil"/>
              <w:left w:val="nil"/>
              <w:bottom w:val="single" w:sz="4" w:space="0" w:color="auto"/>
              <w:right w:val="single" w:sz="4" w:space="0" w:color="auto"/>
            </w:tcBorders>
            <w:shd w:val="clear" w:color="auto" w:fill="auto"/>
            <w:noWrap/>
            <w:vAlign w:val="bottom"/>
            <w:hideMark/>
          </w:tcPr>
          <w:p w14:paraId="5F5E855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39</w:t>
            </w:r>
          </w:p>
        </w:tc>
        <w:tc>
          <w:tcPr>
            <w:tcW w:w="988" w:type="dxa"/>
            <w:tcBorders>
              <w:top w:val="nil"/>
              <w:left w:val="nil"/>
              <w:bottom w:val="single" w:sz="4" w:space="0" w:color="auto"/>
              <w:right w:val="single" w:sz="4" w:space="0" w:color="auto"/>
            </w:tcBorders>
            <w:shd w:val="clear" w:color="auto" w:fill="auto"/>
            <w:noWrap/>
            <w:vAlign w:val="bottom"/>
            <w:hideMark/>
          </w:tcPr>
          <w:p w14:paraId="482F24E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38</w:t>
            </w:r>
          </w:p>
        </w:tc>
        <w:tc>
          <w:tcPr>
            <w:tcW w:w="988" w:type="dxa"/>
            <w:tcBorders>
              <w:top w:val="nil"/>
              <w:left w:val="nil"/>
              <w:bottom w:val="single" w:sz="4" w:space="0" w:color="auto"/>
              <w:right w:val="single" w:sz="4" w:space="0" w:color="auto"/>
            </w:tcBorders>
            <w:shd w:val="clear" w:color="auto" w:fill="auto"/>
            <w:noWrap/>
            <w:vAlign w:val="bottom"/>
            <w:hideMark/>
          </w:tcPr>
          <w:p w14:paraId="53A70C1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4A873F8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1181" w:type="dxa"/>
            <w:tcBorders>
              <w:top w:val="nil"/>
              <w:left w:val="nil"/>
              <w:bottom w:val="single" w:sz="4" w:space="0" w:color="auto"/>
              <w:right w:val="single" w:sz="4" w:space="0" w:color="auto"/>
            </w:tcBorders>
            <w:shd w:val="clear" w:color="auto" w:fill="auto"/>
            <w:noWrap/>
            <w:vAlign w:val="bottom"/>
            <w:hideMark/>
          </w:tcPr>
          <w:p w14:paraId="419CAC8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5,097</w:t>
            </w:r>
          </w:p>
        </w:tc>
        <w:tc>
          <w:tcPr>
            <w:tcW w:w="1278" w:type="dxa"/>
            <w:tcBorders>
              <w:top w:val="nil"/>
              <w:left w:val="nil"/>
              <w:bottom w:val="single" w:sz="4" w:space="0" w:color="auto"/>
              <w:right w:val="single" w:sz="4" w:space="0" w:color="auto"/>
            </w:tcBorders>
            <w:shd w:val="clear" w:color="auto" w:fill="auto"/>
            <w:noWrap/>
            <w:vAlign w:val="bottom"/>
            <w:hideMark/>
          </w:tcPr>
          <w:p w14:paraId="3292ACE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4,977</w:t>
            </w:r>
          </w:p>
        </w:tc>
        <w:tc>
          <w:tcPr>
            <w:tcW w:w="1262" w:type="dxa"/>
            <w:tcBorders>
              <w:top w:val="nil"/>
              <w:left w:val="nil"/>
              <w:bottom w:val="single" w:sz="4" w:space="0" w:color="auto"/>
              <w:right w:val="single" w:sz="4" w:space="0" w:color="auto"/>
            </w:tcBorders>
            <w:shd w:val="clear" w:color="auto" w:fill="auto"/>
            <w:noWrap/>
            <w:vAlign w:val="bottom"/>
            <w:hideMark/>
          </w:tcPr>
          <w:p w14:paraId="3FFEE95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3149770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120</w:t>
            </w:r>
          </w:p>
        </w:tc>
        <w:tc>
          <w:tcPr>
            <w:tcW w:w="236" w:type="dxa"/>
            <w:tcBorders>
              <w:top w:val="nil"/>
              <w:left w:val="nil"/>
              <w:bottom w:val="nil"/>
              <w:right w:val="nil"/>
            </w:tcBorders>
            <w:shd w:val="clear" w:color="auto" w:fill="auto"/>
            <w:noWrap/>
            <w:vAlign w:val="bottom"/>
            <w:hideMark/>
          </w:tcPr>
          <w:p w14:paraId="6A6846FE" w14:textId="77777777" w:rsidR="00BF10A3" w:rsidRPr="00E63A6B" w:rsidRDefault="00BF10A3" w:rsidP="001F7400">
            <w:pPr>
              <w:spacing w:after="0" w:line="240" w:lineRule="auto"/>
              <w:rPr>
                <w:rFonts w:eastAsia="Times New Roman" w:cs="Calibri"/>
                <w:color w:val="000000"/>
              </w:rPr>
            </w:pPr>
          </w:p>
        </w:tc>
      </w:tr>
      <w:tr w:rsidR="00BF10A3" w:rsidRPr="00E63A6B" w14:paraId="118A4762" w14:textId="77777777" w:rsidTr="001F7400">
        <w:trPr>
          <w:trHeight w:val="250"/>
        </w:trPr>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DC1EE" w14:textId="77777777" w:rsidR="00BF10A3" w:rsidRPr="00E63A6B" w:rsidRDefault="00BF10A3" w:rsidP="001F7400">
            <w:pPr>
              <w:spacing w:after="0" w:line="240" w:lineRule="auto"/>
              <w:jc w:val="center"/>
              <w:rPr>
                <w:rFonts w:ascii="Courier" w:eastAsia="Times New Roman" w:hAnsi="Courier" w:cs="Calibri"/>
                <w:b/>
                <w:bCs/>
                <w:color w:val="000000"/>
                <w:sz w:val="16"/>
                <w:szCs w:val="16"/>
              </w:rPr>
            </w:pPr>
            <w:r w:rsidRPr="00E63A6B">
              <w:rPr>
                <w:rFonts w:ascii="Courier" w:eastAsia="Times New Roman" w:hAnsi="Courier" w:cs="Calibri"/>
                <w:b/>
                <w:bCs/>
                <w:color w:val="000000"/>
                <w:sz w:val="16"/>
                <w:szCs w:val="16"/>
              </w:rPr>
              <w:t>For-Profit</w:t>
            </w:r>
          </w:p>
        </w:tc>
        <w:tc>
          <w:tcPr>
            <w:tcW w:w="28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B5B84D"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Total</w:t>
            </w:r>
          </w:p>
        </w:tc>
        <w:tc>
          <w:tcPr>
            <w:tcW w:w="988" w:type="dxa"/>
            <w:tcBorders>
              <w:top w:val="nil"/>
              <w:left w:val="nil"/>
              <w:bottom w:val="single" w:sz="4" w:space="0" w:color="auto"/>
              <w:right w:val="single" w:sz="4" w:space="0" w:color="auto"/>
            </w:tcBorders>
            <w:shd w:val="clear" w:color="auto" w:fill="auto"/>
            <w:noWrap/>
            <w:vAlign w:val="bottom"/>
            <w:hideMark/>
          </w:tcPr>
          <w:p w14:paraId="716C50F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4,193</w:t>
            </w:r>
          </w:p>
        </w:tc>
        <w:tc>
          <w:tcPr>
            <w:tcW w:w="988" w:type="dxa"/>
            <w:tcBorders>
              <w:top w:val="nil"/>
              <w:left w:val="nil"/>
              <w:bottom w:val="single" w:sz="4" w:space="0" w:color="auto"/>
              <w:right w:val="single" w:sz="4" w:space="0" w:color="auto"/>
            </w:tcBorders>
            <w:shd w:val="clear" w:color="auto" w:fill="auto"/>
            <w:noWrap/>
            <w:vAlign w:val="bottom"/>
            <w:hideMark/>
          </w:tcPr>
          <w:p w14:paraId="636A07C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2,723</w:t>
            </w:r>
          </w:p>
        </w:tc>
        <w:tc>
          <w:tcPr>
            <w:tcW w:w="988" w:type="dxa"/>
            <w:tcBorders>
              <w:top w:val="nil"/>
              <w:left w:val="nil"/>
              <w:bottom w:val="single" w:sz="4" w:space="0" w:color="auto"/>
              <w:right w:val="single" w:sz="4" w:space="0" w:color="auto"/>
            </w:tcBorders>
            <w:shd w:val="clear" w:color="auto" w:fill="auto"/>
            <w:noWrap/>
            <w:vAlign w:val="bottom"/>
            <w:hideMark/>
          </w:tcPr>
          <w:p w14:paraId="75B8B85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908</w:t>
            </w:r>
          </w:p>
        </w:tc>
        <w:tc>
          <w:tcPr>
            <w:tcW w:w="988" w:type="dxa"/>
            <w:tcBorders>
              <w:top w:val="nil"/>
              <w:left w:val="nil"/>
              <w:bottom w:val="single" w:sz="4" w:space="0" w:color="auto"/>
              <w:right w:val="single" w:sz="4" w:space="0" w:color="auto"/>
            </w:tcBorders>
            <w:shd w:val="clear" w:color="auto" w:fill="auto"/>
            <w:noWrap/>
            <w:vAlign w:val="bottom"/>
            <w:hideMark/>
          </w:tcPr>
          <w:p w14:paraId="4A853FD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562</w:t>
            </w:r>
          </w:p>
        </w:tc>
        <w:tc>
          <w:tcPr>
            <w:tcW w:w="1181" w:type="dxa"/>
            <w:tcBorders>
              <w:top w:val="nil"/>
              <w:left w:val="nil"/>
              <w:bottom w:val="single" w:sz="4" w:space="0" w:color="auto"/>
              <w:right w:val="single" w:sz="4" w:space="0" w:color="auto"/>
            </w:tcBorders>
            <w:shd w:val="clear" w:color="auto" w:fill="auto"/>
            <w:noWrap/>
            <w:vAlign w:val="bottom"/>
            <w:hideMark/>
          </w:tcPr>
          <w:p w14:paraId="74EF119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2,333,187</w:t>
            </w:r>
          </w:p>
        </w:tc>
        <w:tc>
          <w:tcPr>
            <w:tcW w:w="1278" w:type="dxa"/>
            <w:tcBorders>
              <w:top w:val="nil"/>
              <w:left w:val="nil"/>
              <w:bottom w:val="single" w:sz="4" w:space="0" w:color="auto"/>
              <w:right w:val="single" w:sz="4" w:space="0" w:color="auto"/>
            </w:tcBorders>
            <w:shd w:val="clear" w:color="auto" w:fill="auto"/>
            <w:noWrap/>
            <w:vAlign w:val="bottom"/>
            <w:hideMark/>
          </w:tcPr>
          <w:p w14:paraId="1281C83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1,440,196</w:t>
            </w:r>
          </w:p>
        </w:tc>
        <w:tc>
          <w:tcPr>
            <w:tcW w:w="1262" w:type="dxa"/>
            <w:tcBorders>
              <w:top w:val="nil"/>
              <w:left w:val="nil"/>
              <w:bottom w:val="single" w:sz="4" w:space="0" w:color="auto"/>
              <w:right w:val="single" w:sz="4" w:space="0" w:color="auto"/>
            </w:tcBorders>
            <w:shd w:val="clear" w:color="auto" w:fill="auto"/>
            <w:noWrap/>
            <w:vAlign w:val="bottom"/>
            <w:hideMark/>
          </w:tcPr>
          <w:p w14:paraId="17E98B1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474,526</w:t>
            </w:r>
          </w:p>
        </w:tc>
        <w:tc>
          <w:tcPr>
            <w:tcW w:w="1582" w:type="dxa"/>
            <w:tcBorders>
              <w:top w:val="nil"/>
              <w:left w:val="nil"/>
              <w:bottom w:val="single" w:sz="4" w:space="0" w:color="auto"/>
              <w:right w:val="single" w:sz="4" w:space="0" w:color="auto"/>
            </w:tcBorders>
            <w:shd w:val="clear" w:color="auto" w:fill="auto"/>
            <w:noWrap/>
            <w:vAlign w:val="bottom"/>
            <w:hideMark/>
          </w:tcPr>
          <w:p w14:paraId="758AC1C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418,465</w:t>
            </w:r>
          </w:p>
        </w:tc>
        <w:tc>
          <w:tcPr>
            <w:tcW w:w="236" w:type="dxa"/>
            <w:tcBorders>
              <w:top w:val="nil"/>
              <w:left w:val="nil"/>
              <w:bottom w:val="nil"/>
              <w:right w:val="nil"/>
            </w:tcBorders>
            <w:shd w:val="clear" w:color="auto" w:fill="auto"/>
            <w:noWrap/>
            <w:vAlign w:val="bottom"/>
            <w:hideMark/>
          </w:tcPr>
          <w:p w14:paraId="67390539" w14:textId="77777777" w:rsidR="00BF10A3" w:rsidRPr="00E63A6B" w:rsidRDefault="00BF10A3" w:rsidP="001F7400">
            <w:pPr>
              <w:spacing w:after="0" w:line="240" w:lineRule="auto"/>
              <w:rPr>
                <w:rFonts w:eastAsia="Times New Roman" w:cs="Calibri"/>
                <w:color w:val="000000"/>
              </w:rPr>
            </w:pPr>
          </w:p>
        </w:tc>
      </w:tr>
      <w:tr w:rsidR="00BF10A3" w:rsidRPr="00E63A6B" w14:paraId="522CC871"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00E12EC1"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CB65C6"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&lt; 2 year</w:t>
            </w:r>
          </w:p>
        </w:tc>
        <w:tc>
          <w:tcPr>
            <w:tcW w:w="1985" w:type="dxa"/>
            <w:tcBorders>
              <w:top w:val="nil"/>
              <w:left w:val="nil"/>
              <w:bottom w:val="single" w:sz="4" w:space="0" w:color="auto"/>
              <w:right w:val="single" w:sz="4" w:space="0" w:color="auto"/>
            </w:tcBorders>
            <w:shd w:val="clear" w:color="auto" w:fill="auto"/>
            <w:noWrap/>
            <w:vAlign w:val="center"/>
            <w:hideMark/>
          </w:tcPr>
          <w:p w14:paraId="6B0C3797"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4EBD9F4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1,100</w:t>
            </w:r>
          </w:p>
        </w:tc>
        <w:tc>
          <w:tcPr>
            <w:tcW w:w="988" w:type="dxa"/>
            <w:tcBorders>
              <w:top w:val="nil"/>
              <w:left w:val="nil"/>
              <w:bottom w:val="single" w:sz="4" w:space="0" w:color="auto"/>
              <w:right w:val="single" w:sz="4" w:space="0" w:color="auto"/>
            </w:tcBorders>
            <w:shd w:val="clear" w:color="auto" w:fill="auto"/>
            <w:noWrap/>
            <w:vAlign w:val="bottom"/>
            <w:hideMark/>
          </w:tcPr>
          <w:p w14:paraId="5B94578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877</w:t>
            </w:r>
          </w:p>
        </w:tc>
        <w:tc>
          <w:tcPr>
            <w:tcW w:w="988" w:type="dxa"/>
            <w:tcBorders>
              <w:top w:val="nil"/>
              <w:left w:val="nil"/>
              <w:bottom w:val="single" w:sz="4" w:space="0" w:color="auto"/>
              <w:right w:val="single" w:sz="4" w:space="0" w:color="auto"/>
            </w:tcBorders>
            <w:shd w:val="clear" w:color="auto" w:fill="auto"/>
            <w:noWrap/>
            <w:vAlign w:val="bottom"/>
            <w:hideMark/>
          </w:tcPr>
          <w:p w14:paraId="64EFF0F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185</w:t>
            </w:r>
          </w:p>
        </w:tc>
        <w:tc>
          <w:tcPr>
            <w:tcW w:w="988" w:type="dxa"/>
            <w:tcBorders>
              <w:top w:val="nil"/>
              <w:left w:val="nil"/>
              <w:bottom w:val="single" w:sz="4" w:space="0" w:color="auto"/>
              <w:right w:val="single" w:sz="4" w:space="0" w:color="auto"/>
            </w:tcBorders>
            <w:shd w:val="clear" w:color="auto" w:fill="auto"/>
            <w:noWrap/>
            <w:vAlign w:val="bottom"/>
            <w:hideMark/>
          </w:tcPr>
          <w:p w14:paraId="63FB789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38</w:t>
            </w:r>
          </w:p>
        </w:tc>
        <w:tc>
          <w:tcPr>
            <w:tcW w:w="1181" w:type="dxa"/>
            <w:tcBorders>
              <w:top w:val="nil"/>
              <w:left w:val="nil"/>
              <w:bottom w:val="single" w:sz="4" w:space="0" w:color="auto"/>
              <w:right w:val="single" w:sz="4" w:space="0" w:color="auto"/>
            </w:tcBorders>
            <w:shd w:val="clear" w:color="auto" w:fill="auto"/>
            <w:noWrap/>
            <w:vAlign w:val="bottom"/>
            <w:hideMark/>
          </w:tcPr>
          <w:p w14:paraId="414EECD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216,363</w:t>
            </w:r>
          </w:p>
        </w:tc>
        <w:tc>
          <w:tcPr>
            <w:tcW w:w="1278" w:type="dxa"/>
            <w:tcBorders>
              <w:top w:val="nil"/>
              <w:left w:val="nil"/>
              <w:bottom w:val="single" w:sz="4" w:space="0" w:color="auto"/>
              <w:right w:val="single" w:sz="4" w:space="0" w:color="auto"/>
            </w:tcBorders>
            <w:shd w:val="clear" w:color="auto" w:fill="auto"/>
            <w:noWrap/>
            <w:vAlign w:val="bottom"/>
            <w:hideMark/>
          </w:tcPr>
          <w:p w14:paraId="0BDFAFD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154,749</w:t>
            </w:r>
          </w:p>
        </w:tc>
        <w:tc>
          <w:tcPr>
            <w:tcW w:w="1262" w:type="dxa"/>
            <w:tcBorders>
              <w:top w:val="nil"/>
              <w:left w:val="nil"/>
              <w:bottom w:val="single" w:sz="4" w:space="0" w:color="auto"/>
              <w:right w:val="single" w:sz="4" w:space="0" w:color="auto"/>
            </w:tcBorders>
            <w:shd w:val="clear" w:color="auto" w:fill="auto"/>
            <w:noWrap/>
            <w:vAlign w:val="bottom"/>
            <w:hideMark/>
          </w:tcPr>
          <w:p w14:paraId="1F6ABC5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51,207</w:t>
            </w:r>
          </w:p>
        </w:tc>
        <w:tc>
          <w:tcPr>
            <w:tcW w:w="1582" w:type="dxa"/>
            <w:tcBorders>
              <w:top w:val="nil"/>
              <w:left w:val="nil"/>
              <w:bottom w:val="single" w:sz="4" w:space="0" w:color="auto"/>
              <w:right w:val="single" w:sz="4" w:space="0" w:color="auto"/>
            </w:tcBorders>
            <w:shd w:val="clear" w:color="auto" w:fill="auto"/>
            <w:noWrap/>
            <w:vAlign w:val="bottom"/>
            <w:hideMark/>
          </w:tcPr>
          <w:p w14:paraId="5CC8A75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10,407</w:t>
            </w:r>
          </w:p>
        </w:tc>
        <w:tc>
          <w:tcPr>
            <w:tcW w:w="236" w:type="dxa"/>
            <w:tcBorders>
              <w:top w:val="nil"/>
              <w:left w:val="nil"/>
              <w:bottom w:val="nil"/>
              <w:right w:val="nil"/>
            </w:tcBorders>
            <w:shd w:val="clear" w:color="auto" w:fill="auto"/>
            <w:noWrap/>
            <w:vAlign w:val="bottom"/>
            <w:hideMark/>
          </w:tcPr>
          <w:p w14:paraId="18C82B2B" w14:textId="77777777" w:rsidR="00BF10A3" w:rsidRPr="00E63A6B" w:rsidRDefault="00BF10A3" w:rsidP="001F7400">
            <w:pPr>
              <w:spacing w:after="0" w:line="240" w:lineRule="auto"/>
              <w:rPr>
                <w:rFonts w:eastAsia="Times New Roman" w:cs="Calibri"/>
                <w:color w:val="000000"/>
              </w:rPr>
            </w:pPr>
          </w:p>
        </w:tc>
      </w:tr>
      <w:tr w:rsidR="00BF10A3" w:rsidRPr="00E63A6B" w14:paraId="117AC293"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1B127D41"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2F5BF72A"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625C3D9"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Associate's</w:t>
            </w:r>
          </w:p>
        </w:tc>
        <w:tc>
          <w:tcPr>
            <w:tcW w:w="988" w:type="dxa"/>
            <w:tcBorders>
              <w:top w:val="nil"/>
              <w:left w:val="nil"/>
              <w:bottom w:val="single" w:sz="4" w:space="0" w:color="auto"/>
              <w:right w:val="single" w:sz="4" w:space="0" w:color="auto"/>
            </w:tcBorders>
            <w:shd w:val="clear" w:color="auto" w:fill="auto"/>
            <w:noWrap/>
            <w:vAlign w:val="bottom"/>
            <w:hideMark/>
          </w:tcPr>
          <w:p w14:paraId="21D7418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w:t>
            </w:r>
          </w:p>
        </w:tc>
        <w:tc>
          <w:tcPr>
            <w:tcW w:w="988" w:type="dxa"/>
            <w:tcBorders>
              <w:top w:val="nil"/>
              <w:left w:val="nil"/>
              <w:bottom w:val="single" w:sz="4" w:space="0" w:color="auto"/>
              <w:right w:val="single" w:sz="4" w:space="0" w:color="auto"/>
            </w:tcBorders>
            <w:shd w:val="clear" w:color="auto" w:fill="auto"/>
            <w:noWrap/>
            <w:vAlign w:val="bottom"/>
            <w:hideMark/>
          </w:tcPr>
          <w:p w14:paraId="59F904C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w:t>
            </w:r>
          </w:p>
        </w:tc>
        <w:tc>
          <w:tcPr>
            <w:tcW w:w="988" w:type="dxa"/>
            <w:tcBorders>
              <w:top w:val="nil"/>
              <w:left w:val="nil"/>
              <w:bottom w:val="single" w:sz="4" w:space="0" w:color="auto"/>
              <w:right w:val="single" w:sz="4" w:space="0" w:color="auto"/>
            </w:tcBorders>
            <w:shd w:val="clear" w:color="auto" w:fill="auto"/>
            <w:noWrap/>
            <w:vAlign w:val="bottom"/>
            <w:hideMark/>
          </w:tcPr>
          <w:p w14:paraId="4139E78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657391E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1DB090A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195</w:t>
            </w:r>
          </w:p>
        </w:tc>
        <w:tc>
          <w:tcPr>
            <w:tcW w:w="1278" w:type="dxa"/>
            <w:tcBorders>
              <w:top w:val="nil"/>
              <w:left w:val="nil"/>
              <w:bottom w:val="single" w:sz="4" w:space="0" w:color="auto"/>
              <w:right w:val="single" w:sz="4" w:space="0" w:color="auto"/>
            </w:tcBorders>
            <w:shd w:val="clear" w:color="auto" w:fill="auto"/>
            <w:noWrap/>
            <w:vAlign w:val="bottom"/>
            <w:hideMark/>
          </w:tcPr>
          <w:p w14:paraId="19A917D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195</w:t>
            </w:r>
          </w:p>
        </w:tc>
        <w:tc>
          <w:tcPr>
            <w:tcW w:w="1262" w:type="dxa"/>
            <w:tcBorders>
              <w:top w:val="nil"/>
              <w:left w:val="nil"/>
              <w:bottom w:val="single" w:sz="4" w:space="0" w:color="auto"/>
              <w:right w:val="single" w:sz="4" w:space="0" w:color="auto"/>
            </w:tcBorders>
            <w:shd w:val="clear" w:color="auto" w:fill="auto"/>
            <w:noWrap/>
            <w:vAlign w:val="bottom"/>
            <w:hideMark/>
          </w:tcPr>
          <w:p w14:paraId="0703E15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3AE9228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1CDE2694" w14:textId="77777777" w:rsidR="00BF10A3" w:rsidRPr="00E63A6B" w:rsidRDefault="00BF10A3" w:rsidP="001F7400">
            <w:pPr>
              <w:spacing w:after="0" w:line="240" w:lineRule="auto"/>
              <w:rPr>
                <w:rFonts w:eastAsia="Times New Roman" w:cs="Calibri"/>
                <w:color w:val="000000"/>
              </w:rPr>
            </w:pPr>
          </w:p>
        </w:tc>
      </w:tr>
      <w:tr w:rsidR="00BF10A3" w:rsidRPr="00E63A6B" w14:paraId="620FDFC7"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D874DD5"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3AC1A258"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17DEC20"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1st Professional Degree</w:t>
            </w:r>
          </w:p>
        </w:tc>
        <w:tc>
          <w:tcPr>
            <w:tcW w:w="988" w:type="dxa"/>
            <w:tcBorders>
              <w:top w:val="nil"/>
              <w:left w:val="nil"/>
              <w:bottom w:val="single" w:sz="4" w:space="0" w:color="auto"/>
              <w:right w:val="single" w:sz="4" w:space="0" w:color="auto"/>
            </w:tcBorders>
            <w:shd w:val="clear" w:color="auto" w:fill="auto"/>
            <w:noWrap/>
            <w:vAlign w:val="bottom"/>
            <w:hideMark/>
          </w:tcPr>
          <w:p w14:paraId="46D85F8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w:t>
            </w:r>
          </w:p>
        </w:tc>
        <w:tc>
          <w:tcPr>
            <w:tcW w:w="988" w:type="dxa"/>
            <w:tcBorders>
              <w:top w:val="nil"/>
              <w:left w:val="nil"/>
              <w:bottom w:val="single" w:sz="4" w:space="0" w:color="auto"/>
              <w:right w:val="single" w:sz="4" w:space="0" w:color="auto"/>
            </w:tcBorders>
            <w:shd w:val="clear" w:color="auto" w:fill="auto"/>
            <w:noWrap/>
            <w:vAlign w:val="bottom"/>
            <w:hideMark/>
          </w:tcPr>
          <w:p w14:paraId="75D5274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w:t>
            </w:r>
          </w:p>
        </w:tc>
        <w:tc>
          <w:tcPr>
            <w:tcW w:w="988" w:type="dxa"/>
            <w:tcBorders>
              <w:top w:val="nil"/>
              <w:left w:val="nil"/>
              <w:bottom w:val="single" w:sz="4" w:space="0" w:color="auto"/>
              <w:right w:val="single" w:sz="4" w:space="0" w:color="auto"/>
            </w:tcBorders>
            <w:shd w:val="clear" w:color="auto" w:fill="auto"/>
            <w:noWrap/>
            <w:vAlign w:val="bottom"/>
            <w:hideMark/>
          </w:tcPr>
          <w:p w14:paraId="0D502D2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57E0F5B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6C3FC22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312</w:t>
            </w:r>
          </w:p>
        </w:tc>
        <w:tc>
          <w:tcPr>
            <w:tcW w:w="1278" w:type="dxa"/>
            <w:tcBorders>
              <w:top w:val="nil"/>
              <w:left w:val="nil"/>
              <w:bottom w:val="single" w:sz="4" w:space="0" w:color="auto"/>
              <w:right w:val="single" w:sz="4" w:space="0" w:color="auto"/>
            </w:tcBorders>
            <w:shd w:val="clear" w:color="auto" w:fill="auto"/>
            <w:noWrap/>
            <w:vAlign w:val="bottom"/>
            <w:hideMark/>
          </w:tcPr>
          <w:p w14:paraId="6507327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312</w:t>
            </w:r>
          </w:p>
        </w:tc>
        <w:tc>
          <w:tcPr>
            <w:tcW w:w="1262" w:type="dxa"/>
            <w:tcBorders>
              <w:top w:val="nil"/>
              <w:left w:val="nil"/>
              <w:bottom w:val="single" w:sz="4" w:space="0" w:color="auto"/>
              <w:right w:val="single" w:sz="4" w:space="0" w:color="auto"/>
            </w:tcBorders>
            <w:shd w:val="clear" w:color="auto" w:fill="auto"/>
            <w:noWrap/>
            <w:vAlign w:val="bottom"/>
            <w:hideMark/>
          </w:tcPr>
          <w:p w14:paraId="6029092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21500C6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16F8CE52" w14:textId="77777777" w:rsidR="00BF10A3" w:rsidRPr="00E63A6B" w:rsidRDefault="00BF10A3" w:rsidP="001F7400">
            <w:pPr>
              <w:spacing w:after="0" w:line="240" w:lineRule="auto"/>
              <w:rPr>
                <w:rFonts w:eastAsia="Times New Roman" w:cs="Calibri"/>
                <w:color w:val="000000"/>
              </w:rPr>
            </w:pPr>
          </w:p>
        </w:tc>
      </w:tr>
      <w:tr w:rsidR="00BF10A3" w:rsidRPr="00E63A6B" w14:paraId="3B0E4E32"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1608B3C8"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E5B501"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2-3 year</w:t>
            </w:r>
          </w:p>
        </w:tc>
        <w:tc>
          <w:tcPr>
            <w:tcW w:w="1985" w:type="dxa"/>
            <w:tcBorders>
              <w:top w:val="nil"/>
              <w:left w:val="nil"/>
              <w:bottom w:val="single" w:sz="4" w:space="0" w:color="auto"/>
              <w:right w:val="single" w:sz="4" w:space="0" w:color="auto"/>
            </w:tcBorders>
            <w:shd w:val="clear" w:color="auto" w:fill="auto"/>
            <w:noWrap/>
            <w:vAlign w:val="center"/>
            <w:hideMark/>
          </w:tcPr>
          <w:p w14:paraId="155DCDCB"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4AACA3D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1,223</w:t>
            </w:r>
          </w:p>
        </w:tc>
        <w:tc>
          <w:tcPr>
            <w:tcW w:w="988" w:type="dxa"/>
            <w:tcBorders>
              <w:top w:val="nil"/>
              <w:left w:val="nil"/>
              <w:bottom w:val="single" w:sz="4" w:space="0" w:color="auto"/>
              <w:right w:val="single" w:sz="4" w:space="0" w:color="auto"/>
            </w:tcBorders>
            <w:shd w:val="clear" w:color="auto" w:fill="auto"/>
            <w:noWrap/>
            <w:vAlign w:val="bottom"/>
            <w:hideMark/>
          </w:tcPr>
          <w:p w14:paraId="5C16205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903</w:t>
            </w:r>
          </w:p>
        </w:tc>
        <w:tc>
          <w:tcPr>
            <w:tcW w:w="988" w:type="dxa"/>
            <w:tcBorders>
              <w:top w:val="nil"/>
              <w:left w:val="nil"/>
              <w:bottom w:val="single" w:sz="4" w:space="0" w:color="auto"/>
              <w:right w:val="single" w:sz="4" w:space="0" w:color="auto"/>
            </w:tcBorders>
            <w:shd w:val="clear" w:color="auto" w:fill="auto"/>
            <w:noWrap/>
            <w:vAlign w:val="bottom"/>
            <w:hideMark/>
          </w:tcPr>
          <w:p w14:paraId="57E343A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264</w:t>
            </w:r>
          </w:p>
        </w:tc>
        <w:tc>
          <w:tcPr>
            <w:tcW w:w="988" w:type="dxa"/>
            <w:tcBorders>
              <w:top w:val="nil"/>
              <w:left w:val="nil"/>
              <w:bottom w:val="single" w:sz="4" w:space="0" w:color="auto"/>
              <w:right w:val="single" w:sz="4" w:space="0" w:color="auto"/>
            </w:tcBorders>
            <w:shd w:val="clear" w:color="auto" w:fill="auto"/>
            <w:noWrap/>
            <w:vAlign w:val="bottom"/>
            <w:hideMark/>
          </w:tcPr>
          <w:p w14:paraId="44A84C2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56</w:t>
            </w:r>
          </w:p>
        </w:tc>
        <w:tc>
          <w:tcPr>
            <w:tcW w:w="1181" w:type="dxa"/>
            <w:tcBorders>
              <w:top w:val="nil"/>
              <w:left w:val="nil"/>
              <w:bottom w:val="single" w:sz="4" w:space="0" w:color="auto"/>
              <w:right w:val="single" w:sz="4" w:space="0" w:color="auto"/>
            </w:tcBorders>
            <w:shd w:val="clear" w:color="auto" w:fill="auto"/>
            <w:noWrap/>
            <w:vAlign w:val="bottom"/>
            <w:hideMark/>
          </w:tcPr>
          <w:p w14:paraId="077DEA6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365,500</w:t>
            </w:r>
          </w:p>
        </w:tc>
        <w:tc>
          <w:tcPr>
            <w:tcW w:w="1278" w:type="dxa"/>
            <w:tcBorders>
              <w:top w:val="nil"/>
              <w:left w:val="nil"/>
              <w:bottom w:val="single" w:sz="4" w:space="0" w:color="auto"/>
              <w:right w:val="single" w:sz="4" w:space="0" w:color="auto"/>
            </w:tcBorders>
            <w:shd w:val="clear" w:color="auto" w:fill="auto"/>
            <w:noWrap/>
            <w:vAlign w:val="bottom"/>
            <w:hideMark/>
          </w:tcPr>
          <w:p w14:paraId="0497404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255,040</w:t>
            </w:r>
          </w:p>
        </w:tc>
        <w:tc>
          <w:tcPr>
            <w:tcW w:w="1262" w:type="dxa"/>
            <w:tcBorders>
              <w:top w:val="nil"/>
              <w:left w:val="nil"/>
              <w:bottom w:val="single" w:sz="4" w:space="0" w:color="auto"/>
              <w:right w:val="single" w:sz="4" w:space="0" w:color="auto"/>
            </w:tcBorders>
            <w:shd w:val="clear" w:color="auto" w:fill="auto"/>
            <w:noWrap/>
            <w:vAlign w:val="bottom"/>
            <w:hideMark/>
          </w:tcPr>
          <w:p w14:paraId="39898DC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97,385</w:t>
            </w:r>
          </w:p>
        </w:tc>
        <w:tc>
          <w:tcPr>
            <w:tcW w:w="1582" w:type="dxa"/>
            <w:tcBorders>
              <w:top w:val="nil"/>
              <w:left w:val="nil"/>
              <w:bottom w:val="single" w:sz="4" w:space="0" w:color="auto"/>
              <w:right w:val="single" w:sz="4" w:space="0" w:color="auto"/>
            </w:tcBorders>
            <w:shd w:val="clear" w:color="auto" w:fill="auto"/>
            <w:noWrap/>
            <w:vAlign w:val="bottom"/>
            <w:hideMark/>
          </w:tcPr>
          <w:p w14:paraId="6D0FF42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13,075</w:t>
            </w:r>
          </w:p>
        </w:tc>
        <w:tc>
          <w:tcPr>
            <w:tcW w:w="236" w:type="dxa"/>
            <w:tcBorders>
              <w:top w:val="nil"/>
              <w:left w:val="nil"/>
              <w:bottom w:val="nil"/>
              <w:right w:val="nil"/>
            </w:tcBorders>
            <w:shd w:val="clear" w:color="auto" w:fill="auto"/>
            <w:noWrap/>
            <w:vAlign w:val="bottom"/>
            <w:hideMark/>
          </w:tcPr>
          <w:p w14:paraId="1816BAF0" w14:textId="77777777" w:rsidR="00BF10A3" w:rsidRPr="00E63A6B" w:rsidRDefault="00BF10A3" w:rsidP="001F7400">
            <w:pPr>
              <w:spacing w:after="0" w:line="240" w:lineRule="auto"/>
              <w:rPr>
                <w:rFonts w:eastAsia="Times New Roman" w:cs="Calibri"/>
                <w:color w:val="000000"/>
              </w:rPr>
            </w:pPr>
          </w:p>
        </w:tc>
      </w:tr>
      <w:tr w:rsidR="00BF10A3" w:rsidRPr="00E63A6B" w14:paraId="3709A25E"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EDAB92B"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17FE7AC5"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8B88A5F"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Associate's</w:t>
            </w:r>
          </w:p>
        </w:tc>
        <w:tc>
          <w:tcPr>
            <w:tcW w:w="988" w:type="dxa"/>
            <w:tcBorders>
              <w:top w:val="nil"/>
              <w:left w:val="nil"/>
              <w:bottom w:val="single" w:sz="4" w:space="0" w:color="auto"/>
              <w:right w:val="single" w:sz="4" w:space="0" w:color="auto"/>
            </w:tcBorders>
            <w:shd w:val="clear" w:color="auto" w:fill="auto"/>
            <w:noWrap/>
            <w:vAlign w:val="bottom"/>
            <w:hideMark/>
          </w:tcPr>
          <w:p w14:paraId="7AA117D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452</w:t>
            </w:r>
          </w:p>
        </w:tc>
        <w:tc>
          <w:tcPr>
            <w:tcW w:w="988" w:type="dxa"/>
            <w:tcBorders>
              <w:top w:val="nil"/>
              <w:left w:val="nil"/>
              <w:bottom w:val="single" w:sz="4" w:space="0" w:color="auto"/>
              <w:right w:val="single" w:sz="4" w:space="0" w:color="auto"/>
            </w:tcBorders>
            <w:shd w:val="clear" w:color="auto" w:fill="auto"/>
            <w:noWrap/>
            <w:vAlign w:val="bottom"/>
            <w:hideMark/>
          </w:tcPr>
          <w:p w14:paraId="111C1E7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215</w:t>
            </w:r>
          </w:p>
        </w:tc>
        <w:tc>
          <w:tcPr>
            <w:tcW w:w="988" w:type="dxa"/>
            <w:tcBorders>
              <w:top w:val="nil"/>
              <w:left w:val="nil"/>
              <w:bottom w:val="single" w:sz="4" w:space="0" w:color="auto"/>
              <w:right w:val="single" w:sz="4" w:space="0" w:color="auto"/>
            </w:tcBorders>
            <w:shd w:val="clear" w:color="auto" w:fill="auto"/>
            <w:noWrap/>
            <w:vAlign w:val="bottom"/>
            <w:hideMark/>
          </w:tcPr>
          <w:p w14:paraId="7ECAB8F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160</w:t>
            </w:r>
          </w:p>
        </w:tc>
        <w:tc>
          <w:tcPr>
            <w:tcW w:w="988" w:type="dxa"/>
            <w:tcBorders>
              <w:top w:val="nil"/>
              <w:left w:val="nil"/>
              <w:bottom w:val="single" w:sz="4" w:space="0" w:color="auto"/>
              <w:right w:val="single" w:sz="4" w:space="0" w:color="auto"/>
            </w:tcBorders>
            <w:shd w:val="clear" w:color="auto" w:fill="auto"/>
            <w:noWrap/>
            <w:vAlign w:val="bottom"/>
            <w:hideMark/>
          </w:tcPr>
          <w:p w14:paraId="4227AD5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77</w:t>
            </w:r>
          </w:p>
        </w:tc>
        <w:tc>
          <w:tcPr>
            <w:tcW w:w="1181" w:type="dxa"/>
            <w:tcBorders>
              <w:top w:val="nil"/>
              <w:left w:val="nil"/>
              <w:bottom w:val="single" w:sz="4" w:space="0" w:color="auto"/>
              <w:right w:val="single" w:sz="4" w:space="0" w:color="auto"/>
            </w:tcBorders>
            <w:shd w:val="clear" w:color="auto" w:fill="auto"/>
            <w:noWrap/>
            <w:vAlign w:val="bottom"/>
            <w:hideMark/>
          </w:tcPr>
          <w:p w14:paraId="0732680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105,750</w:t>
            </w:r>
          </w:p>
        </w:tc>
        <w:tc>
          <w:tcPr>
            <w:tcW w:w="1278" w:type="dxa"/>
            <w:tcBorders>
              <w:top w:val="nil"/>
              <w:left w:val="nil"/>
              <w:bottom w:val="single" w:sz="4" w:space="0" w:color="auto"/>
              <w:right w:val="single" w:sz="4" w:space="0" w:color="auto"/>
            </w:tcBorders>
            <w:shd w:val="clear" w:color="auto" w:fill="auto"/>
            <w:noWrap/>
            <w:vAlign w:val="bottom"/>
            <w:hideMark/>
          </w:tcPr>
          <w:p w14:paraId="33CDCAE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41,914</w:t>
            </w:r>
          </w:p>
        </w:tc>
        <w:tc>
          <w:tcPr>
            <w:tcW w:w="1262" w:type="dxa"/>
            <w:tcBorders>
              <w:top w:val="nil"/>
              <w:left w:val="nil"/>
              <w:bottom w:val="single" w:sz="4" w:space="0" w:color="auto"/>
              <w:right w:val="single" w:sz="4" w:space="0" w:color="auto"/>
            </w:tcBorders>
            <w:shd w:val="clear" w:color="auto" w:fill="auto"/>
            <w:noWrap/>
            <w:vAlign w:val="bottom"/>
            <w:hideMark/>
          </w:tcPr>
          <w:p w14:paraId="78EEE5F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34,921</w:t>
            </w:r>
          </w:p>
        </w:tc>
        <w:tc>
          <w:tcPr>
            <w:tcW w:w="1582" w:type="dxa"/>
            <w:tcBorders>
              <w:top w:val="nil"/>
              <w:left w:val="nil"/>
              <w:bottom w:val="single" w:sz="4" w:space="0" w:color="auto"/>
              <w:right w:val="single" w:sz="4" w:space="0" w:color="auto"/>
            </w:tcBorders>
            <w:shd w:val="clear" w:color="auto" w:fill="auto"/>
            <w:noWrap/>
            <w:vAlign w:val="bottom"/>
            <w:hideMark/>
          </w:tcPr>
          <w:p w14:paraId="7FFA6A2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28,915</w:t>
            </w:r>
          </w:p>
        </w:tc>
        <w:tc>
          <w:tcPr>
            <w:tcW w:w="236" w:type="dxa"/>
            <w:tcBorders>
              <w:top w:val="nil"/>
              <w:left w:val="nil"/>
              <w:bottom w:val="nil"/>
              <w:right w:val="nil"/>
            </w:tcBorders>
            <w:shd w:val="clear" w:color="auto" w:fill="auto"/>
            <w:noWrap/>
            <w:vAlign w:val="bottom"/>
            <w:hideMark/>
          </w:tcPr>
          <w:p w14:paraId="44C790C5" w14:textId="77777777" w:rsidR="00BF10A3" w:rsidRPr="00E63A6B" w:rsidRDefault="00BF10A3" w:rsidP="001F7400">
            <w:pPr>
              <w:spacing w:after="0" w:line="240" w:lineRule="auto"/>
              <w:rPr>
                <w:rFonts w:eastAsia="Times New Roman" w:cs="Calibri"/>
                <w:color w:val="000000"/>
              </w:rPr>
            </w:pPr>
          </w:p>
        </w:tc>
      </w:tr>
      <w:tr w:rsidR="00BF10A3" w:rsidRPr="00E63A6B" w14:paraId="5AD80289"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07A6D0F6"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25AB148E"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F40655A"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Post-Bacc Certificate</w:t>
            </w:r>
          </w:p>
        </w:tc>
        <w:tc>
          <w:tcPr>
            <w:tcW w:w="988" w:type="dxa"/>
            <w:tcBorders>
              <w:top w:val="nil"/>
              <w:left w:val="nil"/>
              <w:bottom w:val="single" w:sz="4" w:space="0" w:color="auto"/>
              <w:right w:val="single" w:sz="4" w:space="0" w:color="auto"/>
            </w:tcBorders>
            <w:shd w:val="clear" w:color="auto" w:fill="auto"/>
            <w:noWrap/>
            <w:vAlign w:val="bottom"/>
            <w:hideMark/>
          </w:tcPr>
          <w:p w14:paraId="547CF86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59523E9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43370E8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3235205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3B25A40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156</w:t>
            </w:r>
          </w:p>
        </w:tc>
        <w:tc>
          <w:tcPr>
            <w:tcW w:w="1278" w:type="dxa"/>
            <w:tcBorders>
              <w:top w:val="nil"/>
              <w:left w:val="nil"/>
              <w:bottom w:val="single" w:sz="4" w:space="0" w:color="auto"/>
              <w:right w:val="single" w:sz="4" w:space="0" w:color="auto"/>
            </w:tcBorders>
            <w:shd w:val="clear" w:color="auto" w:fill="auto"/>
            <w:noWrap/>
            <w:vAlign w:val="bottom"/>
            <w:hideMark/>
          </w:tcPr>
          <w:p w14:paraId="2E11BFB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156</w:t>
            </w:r>
          </w:p>
        </w:tc>
        <w:tc>
          <w:tcPr>
            <w:tcW w:w="1262" w:type="dxa"/>
            <w:tcBorders>
              <w:top w:val="nil"/>
              <w:left w:val="nil"/>
              <w:bottom w:val="single" w:sz="4" w:space="0" w:color="auto"/>
              <w:right w:val="single" w:sz="4" w:space="0" w:color="auto"/>
            </w:tcBorders>
            <w:shd w:val="clear" w:color="auto" w:fill="auto"/>
            <w:noWrap/>
            <w:vAlign w:val="bottom"/>
            <w:hideMark/>
          </w:tcPr>
          <w:p w14:paraId="79F5756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58A6A02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0B5BC66D" w14:textId="77777777" w:rsidR="00BF10A3" w:rsidRPr="00E63A6B" w:rsidRDefault="00BF10A3" w:rsidP="001F7400">
            <w:pPr>
              <w:spacing w:after="0" w:line="240" w:lineRule="auto"/>
              <w:rPr>
                <w:rFonts w:eastAsia="Times New Roman" w:cs="Calibri"/>
                <w:color w:val="000000"/>
              </w:rPr>
            </w:pPr>
          </w:p>
        </w:tc>
      </w:tr>
      <w:tr w:rsidR="00BF10A3" w:rsidRPr="00E63A6B" w14:paraId="5520A4EF"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BE631CA"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10DB10" w14:textId="77777777" w:rsidR="00BF10A3" w:rsidRPr="00E63A6B" w:rsidRDefault="00BF10A3" w:rsidP="001F7400">
            <w:pPr>
              <w:spacing w:after="0" w:line="240" w:lineRule="auto"/>
              <w:jc w:val="center"/>
              <w:rPr>
                <w:rFonts w:ascii="Courier" w:eastAsia="Times New Roman" w:hAnsi="Courier" w:cs="Calibri"/>
                <w:color w:val="000000"/>
                <w:sz w:val="16"/>
                <w:szCs w:val="16"/>
              </w:rPr>
            </w:pPr>
            <w:r w:rsidRPr="00E63A6B">
              <w:rPr>
                <w:rFonts w:ascii="Courier" w:eastAsia="Times New Roman" w:hAnsi="Courier" w:cs="Calibri"/>
                <w:color w:val="000000"/>
                <w:sz w:val="16"/>
                <w:szCs w:val="16"/>
              </w:rPr>
              <w:t>4-year</w:t>
            </w:r>
          </w:p>
        </w:tc>
        <w:tc>
          <w:tcPr>
            <w:tcW w:w="1985" w:type="dxa"/>
            <w:tcBorders>
              <w:top w:val="nil"/>
              <w:left w:val="nil"/>
              <w:bottom w:val="single" w:sz="4" w:space="0" w:color="auto"/>
              <w:right w:val="single" w:sz="4" w:space="0" w:color="auto"/>
            </w:tcBorders>
            <w:shd w:val="clear" w:color="auto" w:fill="auto"/>
            <w:noWrap/>
            <w:vAlign w:val="center"/>
            <w:hideMark/>
          </w:tcPr>
          <w:p w14:paraId="56B0D5FE"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Certificate</w:t>
            </w:r>
          </w:p>
        </w:tc>
        <w:tc>
          <w:tcPr>
            <w:tcW w:w="988" w:type="dxa"/>
            <w:tcBorders>
              <w:top w:val="nil"/>
              <w:left w:val="nil"/>
              <w:bottom w:val="single" w:sz="4" w:space="0" w:color="auto"/>
              <w:right w:val="single" w:sz="4" w:space="0" w:color="auto"/>
            </w:tcBorders>
            <w:shd w:val="clear" w:color="auto" w:fill="auto"/>
            <w:noWrap/>
            <w:vAlign w:val="bottom"/>
            <w:hideMark/>
          </w:tcPr>
          <w:p w14:paraId="590E61A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267</w:t>
            </w:r>
          </w:p>
        </w:tc>
        <w:tc>
          <w:tcPr>
            <w:tcW w:w="988" w:type="dxa"/>
            <w:tcBorders>
              <w:top w:val="nil"/>
              <w:left w:val="nil"/>
              <w:bottom w:val="single" w:sz="4" w:space="0" w:color="auto"/>
              <w:right w:val="single" w:sz="4" w:space="0" w:color="auto"/>
            </w:tcBorders>
            <w:shd w:val="clear" w:color="auto" w:fill="auto"/>
            <w:noWrap/>
            <w:vAlign w:val="bottom"/>
            <w:hideMark/>
          </w:tcPr>
          <w:p w14:paraId="17C5A24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169</w:t>
            </w:r>
          </w:p>
        </w:tc>
        <w:tc>
          <w:tcPr>
            <w:tcW w:w="988" w:type="dxa"/>
            <w:tcBorders>
              <w:top w:val="nil"/>
              <w:left w:val="nil"/>
              <w:bottom w:val="single" w:sz="4" w:space="0" w:color="auto"/>
              <w:right w:val="single" w:sz="4" w:space="0" w:color="auto"/>
            </w:tcBorders>
            <w:shd w:val="clear" w:color="auto" w:fill="auto"/>
            <w:noWrap/>
            <w:vAlign w:val="bottom"/>
            <w:hideMark/>
          </w:tcPr>
          <w:p w14:paraId="13EF70B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70</w:t>
            </w:r>
          </w:p>
        </w:tc>
        <w:tc>
          <w:tcPr>
            <w:tcW w:w="988" w:type="dxa"/>
            <w:tcBorders>
              <w:top w:val="nil"/>
              <w:left w:val="nil"/>
              <w:bottom w:val="single" w:sz="4" w:space="0" w:color="auto"/>
              <w:right w:val="single" w:sz="4" w:space="0" w:color="auto"/>
            </w:tcBorders>
            <w:shd w:val="clear" w:color="auto" w:fill="auto"/>
            <w:noWrap/>
            <w:vAlign w:val="bottom"/>
            <w:hideMark/>
          </w:tcPr>
          <w:p w14:paraId="63C4A83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28</w:t>
            </w:r>
          </w:p>
        </w:tc>
        <w:tc>
          <w:tcPr>
            <w:tcW w:w="1181" w:type="dxa"/>
            <w:tcBorders>
              <w:top w:val="nil"/>
              <w:left w:val="nil"/>
              <w:bottom w:val="single" w:sz="4" w:space="0" w:color="auto"/>
              <w:right w:val="single" w:sz="4" w:space="0" w:color="auto"/>
            </w:tcBorders>
            <w:shd w:val="clear" w:color="auto" w:fill="auto"/>
            <w:noWrap/>
            <w:vAlign w:val="bottom"/>
            <w:hideMark/>
          </w:tcPr>
          <w:p w14:paraId="0A75867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84,610</w:t>
            </w:r>
          </w:p>
        </w:tc>
        <w:tc>
          <w:tcPr>
            <w:tcW w:w="1278" w:type="dxa"/>
            <w:tcBorders>
              <w:top w:val="nil"/>
              <w:left w:val="nil"/>
              <w:bottom w:val="single" w:sz="4" w:space="0" w:color="auto"/>
              <w:right w:val="single" w:sz="4" w:space="0" w:color="auto"/>
            </w:tcBorders>
            <w:shd w:val="clear" w:color="auto" w:fill="auto"/>
            <w:noWrap/>
            <w:vAlign w:val="bottom"/>
            <w:hideMark/>
          </w:tcPr>
          <w:p w14:paraId="59B375B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47,102</w:t>
            </w:r>
          </w:p>
        </w:tc>
        <w:tc>
          <w:tcPr>
            <w:tcW w:w="1262" w:type="dxa"/>
            <w:tcBorders>
              <w:top w:val="nil"/>
              <w:left w:val="nil"/>
              <w:bottom w:val="single" w:sz="4" w:space="0" w:color="auto"/>
              <w:right w:val="single" w:sz="4" w:space="0" w:color="auto"/>
            </w:tcBorders>
            <w:shd w:val="clear" w:color="auto" w:fill="auto"/>
            <w:noWrap/>
            <w:vAlign w:val="bottom"/>
            <w:hideMark/>
          </w:tcPr>
          <w:p w14:paraId="54B6DC9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30,205</w:t>
            </w:r>
          </w:p>
        </w:tc>
        <w:tc>
          <w:tcPr>
            <w:tcW w:w="1582" w:type="dxa"/>
            <w:tcBorders>
              <w:top w:val="nil"/>
              <w:left w:val="nil"/>
              <w:bottom w:val="single" w:sz="4" w:space="0" w:color="auto"/>
              <w:right w:val="single" w:sz="4" w:space="0" w:color="auto"/>
            </w:tcBorders>
            <w:shd w:val="clear" w:color="auto" w:fill="auto"/>
            <w:noWrap/>
            <w:vAlign w:val="bottom"/>
            <w:hideMark/>
          </w:tcPr>
          <w:p w14:paraId="06389BA5"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7,303</w:t>
            </w:r>
          </w:p>
        </w:tc>
        <w:tc>
          <w:tcPr>
            <w:tcW w:w="236" w:type="dxa"/>
            <w:tcBorders>
              <w:top w:val="nil"/>
              <w:left w:val="nil"/>
              <w:bottom w:val="nil"/>
              <w:right w:val="nil"/>
            </w:tcBorders>
            <w:shd w:val="clear" w:color="auto" w:fill="auto"/>
            <w:noWrap/>
            <w:vAlign w:val="bottom"/>
            <w:hideMark/>
          </w:tcPr>
          <w:p w14:paraId="44B7AACF" w14:textId="77777777" w:rsidR="00BF10A3" w:rsidRPr="00E63A6B" w:rsidRDefault="00BF10A3" w:rsidP="001F7400">
            <w:pPr>
              <w:spacing w:after="0" w:line="240" w:lineRule="auto"/>
              <w:rPr>
                <w:rFonts w:eastAsia="Times New Roman" w:cs="Calibri"/>
                <w:color w:val="000000"/>
              </w:rPr>
            </w:pPr>
          </w:p>
        </w:tc>
      </w:tr>
      <w:tr w:rsidR="00BF10A3" w:rsidRPr="00E63A6B" w14:paraId="414B980B"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60644794"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021AE20B"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C5E7B57"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Associate's</w:t>
            </w:r>
          </w:p>
        </w:tc>
        <w:tc>
          <w:tcPr>
            <w:tcW w:w="988" w:type="dxa"/>
            <w:tcBorders>
              <w:top w:val="nil"/>
              <w:left w:val="nil"/>
              <w:bottom w:val="single" w:sz="4" w:space="0" w:color="auto"/>
              <w:right w:val="single" w:sz="4" w:space="0" w:color="auto"/>
            </w:tcBorders>
            <w:shd w:val="clear" w:color="auto" w:fill="auto"/>
            <w:noWrap/>
            <w:vAlign w:val="bottom"/>
            <w:hideMark/>
          </w:tcPr>
          <w:p w14:paraId="2FAE8D0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514</w:t>
            </w:r>
          </w:p>
        </w:tc>
        <w:tc>
          <w:tcPr>
            <w:tcW w:w="988" w:type="dxa"/>
            <w:tcBorders>
              <w:top w:val="nil"/>
              <w:left w:val="nil"/>
              <w:bottom w:val="single" w:sz="4" w:space="0" w:color="auto"/>
              <w:right w:val="single" w:sz="4" w:space="0" w:color="auto"/>
            </w:tcBorders>
            <w:shd w:val="clear" w:color="auto" w:fill="auto"/>
            <w:noWrap/>
            <w:vAlign w:val="bottom"/>
            <w:hideMark/>
          </w:tcPr>
          <w:p w14:paraId="5666116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183</w:t>
            </w:r>
          </w:p>
        </w:tc>
        <w:tc>
          <w:tcPr>
            <w:tcW w:w="988" w:type="dxa"/>
            <w:tcBorders>
              <w:top w:val="nil"/>
              <w:left w:val="nil"/>
              <w:bottom w:val="single" w:sz="4" w:space="0" w:color="auto"/>
              <w:right w:val="single" w:sz="4" w:space="0" w:color="auto"/>
            </w:tcBorders>
            <w:shd w:val="clear" w:color="auto" w:fill="auto"/>
            <w:noWrap/>
            <w:vAlign w:val="bottom"/>
            <w:hideMark/>
          </w:tcPr>
          <w:p w14:paraId="24B6628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167</w:t>
            </w:r>
          </w:p>
        </w:tc>
        <w:tc>
          <w:tcPr>
            <w:tcW w:w="988" w:type="dxa"/>
            <w:tcBorders>
              <w:top w:val="nil"/>
              <w:left w:val="nil"/>
              <w:bottom w:val="single" w:sz="4" w:space="0" w:color="auto"/>
              <w:right w:val="single" w:sz="4" w:space="0" w:color="auto"/>
            </w:tcBorders>
            <w:shd w:val="clear" w:color="auto" w:fill="auto"/>
            <w:noWrap/>
            <w:vAlign w:val="bottom"/>
            <w:hideMark/>
          </w:tcPr>
          <w:p w14:paraId="03EF95A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164</w:t>
            </w:r>
          </w:p>
        </w:tc>
        <w:tc>
          <w:tcPr>
            <w:tcW w:w="1181" w:type="dxa"/>
            <w:tcBorders>
              <w:top w:val="nil"/>
              <w:left w:val="nil"/>
              <w:bottom w:val="single" w:sz="4" w:space="0" w:color="auto"/>
              <w:right w:val="single" w:sz="4" w:space="0" w:color="auto"/>
            </w:tcBorders>
            <w:shd w:val="clear" w:color="auto" w:fill="auto"/>
            <w:noWrap/>
            <w:vAlign w:val="bottom"/>
            <w:hideMark/>
          </w:tcPr>
          <w:p w14:paraId="194D577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669,030</w:t>
            </w:r>
          </w:p>
        </w:tc>
        <w:tc>
          <w:tcPr>
            <w:tcW w:w="1278" w:type="dxa"/>
            <w:tcBorders>
              <w:top w:val="nil"/>
              <w:left w:val="nil"/>
              <w:bottom w:val="single" w:sz="4" w:space="0" w:color="auto"/>
              <w:right w:val="single" w:sz="4" w:space="0" w:color="auto"/>
            </w:tcBorders>
            <w:shd w:val="clear" w:color="auto" w:fill="auto"/>
            <w:noWrap/>
            <w:vAlign w:val="bottom"/>
            <w:hideMark/>
          </w:tcPr>
          <w:p w14:paraId="4720B59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240,135</w:t>
            </w:r>
          </w:p>
        </w:tc>
        <w:tc>
          <w:tcPr>
            <w:tcW w:w="1262" w:type="dxa"/>
            <w:tcBorders>
              <w:top w:val="nil"/>
              <w:left w:val="nil"/>
              <w:bottom w:val="single" w:sz="4" w:space="0" w:color="auto"/>
              <w:right w:val="single" w:sz="4" w:space="0" w:color="auto"/>
            </w:tcBorders>
            <w:shd w:val="clear" w:color="auto" w:fill="auto"/>
            <w:noWrap/>
            <w:vAlign w:val="bottom"/>
            <w:hideMark/>
          </w:tcPr>
          <w:p w14:paraId="4CE2268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174,977</w:t>
            </w:r>
          </w:p>
        </w:tc>
        <w:tc>
          <w:tcPr>
            <w:tcW w:w="1582" w:type="dxa"/>
            <w:tcBorders>
              <w:top w:val="nil"/>
              <w:left w:val="nil"/>
              <w:bottom w:val="single" w:sz="4" w:space="0" w:color="auto"/>
              <w:right w:val="single" w:sz="4" w:space="0" w:color="auto"/>
            </w:tcBorders>
            <w:shd w:val="clear" w:color="auto" w:fill="auto"/>
            <w:noWrap/>
            <w:vAlign w:val="bottom"/>
            <w:hideMark/>
          </w:tcPr>
          <w:p w14:paraId="1AED2BB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253,918</w:t>
            </w:r>
          </w:p>
        </w:tc>
        <w:tc>
          <w:tcPr>
            <w:tcW w:w="236" w:type="dxa"/>
            <w:tcBorders>
              <w:top w:val="nil"/>
              <w:left w:val="nil"/>
              <w:bottom w:val="nil"/>
              <w:right w:val="nil"/>
            </w:tcBorders>
            <w:shd w:val="clear" w:color="auto" w:fill="auto"/>
            <w:noWrap/>
            <w:vAlign w:val="bottom"/>
            <w:hideMark/>
          </w:tcPr>
          <w:p w14:paraId="17B2CC12" w14:textId="77777777" w:rsidR="00BF10A3" w:rsidRPr="00E63A6B" w:rsidRDefault="00BF10A3" w:rsidP="001F7400">
            <w:pPr>
              <w:spacing w:after="0" w:line="240" w:lineRule="auto"/>
              <w:rPr>
                <w:rFonts w:eastAsia="Times New Roman" w:cs="Calibri"/>
                <w:color w:val="000000"/>
              </w:rPr>
            </w:pPr>
          </w:p>
        </w:tc>
      </w:tr>
      <w:tr w:rsidR="00BF10A3" w:rsidRPr="00E63A6B" w14:paraId="79F2B4F7"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0C14BF1B"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12F431DF"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D2A014B"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Bachelor's</w:t>
            </w:r>
          </w:p>
        </w:tc>
        <w:tc>
          <w:tcPr>
            <w:tcW w:w="988" w:type="dxa"/>
            <w:tcBorders>
              <w:top w:val="nil"/>
              <w:left w:val="nil"/>
              <w:bottom w:val="single" w:sz="4" w:space="0" w:color="auto"/>
              <w:right w:val="single" w:sz="4" w:space="0" w:color="auto"/>
            </w:tcBorders>
            <w:shd w:val="clear" w:color="auto" w:fill="auto"/>
            <w:noWrap/>
            <w:vAlign w:val="bottom"/>
            <w:hideMark/>
          </w:tcPr>
          <w:p w14:paraId="0F80667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407</w:t>
            </w:r>
          </w:p>
        </w:tc>
        <w:tc>
          <w:tcPr>
            <w:tcW w:w="988" w:type="dxa"/>
            <w:tcBorders>
              <w:top w:val="nil"/>
              <w:left w:val="nil"/>
              <w:bottom w:val="single" w:sz="4" w:space="0" w:color="auto"/>
              <w:right w:val="single" w:sz="4" w:space="0" w:color="auto"/>
            </w:tcBorders>
            <w:shd w:val="clear" w:color="auto" w:fill="auto"/>
            <w:noWrap/>
            <w:vAlign w:val="bottom"/>
            <w:hideMark/>
          </w:tcPr>
          <w:p w14:paraId="4BE7193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176</w:t>
            </w:r>
          </w:p>
        </w:tc>
        <w:tc>
          <w:tcPr>
            <w:tcW w:w="988" w:type="dxa"/>
            <w:tcBorders>
              <w:top w:val="nil"/>
              <w:left w:val="nil"/>
              <w:bottom w:val="single" w:sz="4" w:space="0" w:color="auto"/>
              <w:right w:val="single" w:sz="4" w:space="0" w:color="auto"/>
            </w:tcBorders>
            <w:shd w:val="clear" w:color="auto" w:fill="auto"/>
            <w:noWrap/>
            <w:vAlign w:val="bottom"/>
            <w:hideMark/>
          </w:tcPr>
          <w:p w14:paraId="7BBEA80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52</w:t>
            </w:r>
          </w:p>
        </w:tc>
        <w:tc>
          <w:tcPr>
            <w:tcW w:w="988" w:type="dxa"/>
            <w:tcBorders>
              <w:top w:val="nil"/>
              <w:left w:val="nil"/>
              <w:bottom w:val="single" w:sz="4" w:space="0" w:color="auto"/>
              <w:right w:val="single" w:sz="4" w:space="0" w:color="auto"/>
            </w:tcBorders>
            <w:shd w:val="clear" w:color="auto" w:fill="auto"/>
            <w:noWrap/>
            <w:vAlign w:val="bottom"/>
            <w:hideMark/>
          </w:tcPr>
          <w:p w14:paraId="5C41AB2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179</w:t>
            </w:r>
          </w:p>
        </w:tc>
        <w:tc>
          <w:tcPr>
            <w:tcW w:w="1181" w:type="dxa"/>
            <w:tcBorders>
              <w:top w:val="nil"/>
              <w:left w:val="nil"/>
              <w:bottom w:val="single" w:sz="4" w:space="0" w:color="auto"/>
              <w:right w:val="single" w:sz="4" w:space="0" w:color="auto"/>
            </w:tcBorders>
            <w:shd w:val="clear" w:color="auto" w:fill="auto"/>
            <w:noWrap/>
            <w:vAlign w:val="bottom"/>
            <w:hideMark/>
          </w:tcPr>
          <w:p w14:paraId="5E4ED18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618,330</w:t>
            </w:r>
          </w:p>
        </w:tc>
        <w:tc>
          <w:tcPr>
            <w:tcW w:w="1278" w:type="dxa"/>
            <w:tcBorders>
              <w:top w:val="nil"/>
              <w:left w:val="nil"/>
              <w:bottom w:val="single" w:sz="4" w:space="0" w:color="auto"/>
              <w:right w:val="single" w:sz="4" w:space="0" w:color="auto"/>
            </w:tcBorders>
            <w:shd w:val="clear" w:color="auto" w:fill="auto"/>
            <w:noWrap/>
            <w:vAlign w:val="bottom"/>
            <w:hideMark/>
          </w:tcPr>
          <w:p w14:paraId="10C8046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447,758</w:t>
            </w:r>
          </w:p>
        </w:tc>
        <w:tc>
          <w:tcPr>
            <w:tcW w:w="1262" w:type="dxa"/>
            <w:tcBorders>
              <w:top w:val="nil"/>
              <w:left w:val="nil"/>
              <w:bottom w:val="single" w:sz="4" w:space="0" w:color="auto"/>
              <w:right w:val="single" w:sz="4" w:space="0" w:color="auto"/>
            </w:tcBorders>
            <w:shd w:val="clear" w:color="auto" w:fill="auto"/>
            <w:noWrap/>
            <w:vAlign w:val="bottom"/>
            <w:hideMark/>
          </w:tcPr>
          <w:p w14:paraId="645DA24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74,024</w:t>
            </w:r>
          </w:p>
        </w:tc>
        <w:tc>
          <w:tcPr>
            <w:tcW w:w="1582" w:type="dxa"/>
            <w:tcBorders>
              <w:top w:val="nil"/>
              <w:left w:val="nil"/>
              <w:bottom w:val="single" w:sz="4" w:space="0" w:color="auto"/>
              <w:right w:val="single" w:sz="4" w:space="0" w:color="auto"/>
            </w:tcBorders>
            <w:shd w:val="clear" w:color="auto" w:fill="auto"/>
            <w:noWrap/>
            <w:vAlign w:val="bottom"/>
            <w:hideMark/>
          </w:tcPr>
          <w:p w14:paraId="77278D3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96,548</w:t>
            </w:r>
          </w:p>
        </w:tc>
        <w:tc>
          <w:tcPr>
            <w:tcW w:w="236" w:type="dxa"/>
            <w:tcBorders>
              <w:top w:val="nil"/>
              <w:left w:val="nil"/>
              <w:bottom w:val="nil"/>
              <w:right w:val="nil"/>
            </w:tcBorders>
            <w:shd w:val="clear" w:color="auto" w:fill="auto"/>
            <w:noWrap/>
            <w:vAlign w:val="bottom"/>
            <w:hideMark/>
          </w:tcPr>
          <w:p w14:paraId="4360F70E" w14:textId="77777777" w:rsidR="00BF10A3" w:rsidRPr="00E63A6B" w:rsidRDefault="00BF10A3" w:rsidP="001F7400">
            <w:pPr>
              <w:spacing w:after="0" w:line="240" w:lineRule="auto"/>
              <w:rPr>
                <w:rFonts w:eastAsia="Times New Roman" w:cs="Calibri"/>
                <w:color w:val="000000"/>
              </w:rPr>
            </w:pPr>
          </w:p>
        </w:tc>
      </w:tr>
      <w:tr w:rsidR="00BF10A3" w:rsidRPr="00E63A6B" w14:paraId="5FCF44F7"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6F15629C"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2274F6AE"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C283C5C"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Post-Bacc Certificate</w:t>
            </w:r>
          </w:p>
        </w:tc>
        <w:tc>
          <w:tcPr>
            <w:tcW w:w="988" w:type="dxa"/>
            <w:tcBorders>
              <w:top w:val="nil"/>
              <w:left w:val="nil"/>
              <w:bottom w:val="single" w:sz="4" w:space="0" w:color="auto"/>
              <w:right w:val="single" w:sz="4" w:space="0" w:color="auto"/>
            </w:tcBorders>
            <w:shd w:val="clear" w:color="auto" w:fill="auto"/>
            <w:noWrap/>
            <w:vAlign w:val="bottom"/>
            <w:hideMark/>
          </w:tcPr>
          <w:p w14:paraId="2EA09CB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w:t>
            </w:r>
          </w:p>
        </w:tc>
        <w:tc>
          <w:tcPr>
            <w:tcW w:w="988" w:type="dxa"/>
            <w:tcBorders>
              <w:top w:val="nil"/>
              <w:left w:val="nil"/>
              <w:bottom w:val="single" w:sz="4" w:space="0" w:color="auto"/>
              <w:right w:val="single" w:sz="4" w:space="0" w:color="auto"/>
            </w:tcBorders>
            <w:shd w:val="clear" w:color="auto" w:fill="auto"/>
            <w:noWrap/>
            <w:vAlign w:val="bottom"/>
            <w:hideMark/>
          </w:tcPr>
          <w:p w14:paraId="62AA0082"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8</w:t>
            </w:r>
          </w:p>
        </w:tc>
        <w:tc>
          <w:tcPr>
            <w:tcW w:w="988" w:type="dxa"/>
            <w:tcBorders>
              <w:top w:val="nil"/>
              <w:left w:val="nil"/>
              <w:bottom w:val="single" w:sz="4" w:space="0" w:color="auto"/>
              <w:right w:val="single" w:sz="4" w:space="0" w:color="auto"/>
            </w:tcBorders>
            <w:shd w:val="clear" w:color="auto" w:fill="auto"/>
            <w:noWrap/>
            <w:vAlign w:val="bottom"/>
            <w:hideMark/>
          </w:tcPr>
          <w:p w14:paraId="2EE2731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988" w:type="dxa"/>
            <w:tcBorders>
              <w:top w:val="nil"/>
              <w:left w:val="nil"/>
              <w:bottom w:val="single" w:sz="4" w:space="0" w:color="auto"/>
              <w:right w:val="single" w:sz="4" w:space="0" w:color="auto"/>
            </w:tcBorders>
            <w:shd w:val="clear" w:color="auto" w:fill="auto"/>
            <w:noWrap/>
            <w:vAlign w:val="bottom"/>
            <w:hideMark/>
          </w:tcPr>
          <w:p w14:paraId="4066EAF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181" w:type="dxa"/>
            <w:tcBorders>
              <w:top w:val="nil"/>
              <w:left w:val="nil"/>
              <w:bottom w:val="single" w:sz="4" w:space="0" w:color="auto"/>
              <w:right w:val="single" w:sz="4" w:space="0" w:color="auto"/>
            </w:tcBorders>
            <w:shd w:val="clear" w:color="auto" w:fill="auto"/>
            <w:noWrap/>
            <w:vAlign w:val="bottom"/>
            <w:hideMark/>
          </w:tcPr>
          <w:p w14:paraId="4751C26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1,950</w:t>
            </w:r>
          </w:p>
        </w:tc>
        <w:tc>
          <w:tcPr>
            <w:tcW w:w="1278" w:type="dxa"/>
            <w:tcBorders>
              <w:top w:val="nil"/>
              <w:left w:val="nil"/>
              <w:bottom w:val="single" w:sz="4" w:space="0" w:color="auto"/>
              <w:right w:val="single" w:sz="4" w:space="0" w:color="auto"/>
            </w:tcBorders>
            <w:shd w:val="clear" w:color="auto" w:fill="auto"/>
            <w:noWrap/>
            <w:vAlign w:val="bottom"/>
            <w:hideMark/>
          </w:tcPr>
          <w:p w14:paraId="269ACE3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1,950</w:t>
            </w:r>
          </w:p>
        </w:tc>
        <w:tc>
          <w:tcPr>
            <w:tcW w:w="1262" w:type="dxa"/>
            <w:tcBorders>
              <w:top w:val="nil"/>
              <w:left w:val="nil"/>
              <w:bottom w:val="single" w:sz="4" w:space="0" w:color="auto"/>
              <w:right w:val="single" w:sz="4" w:space="0" w:color="auto"/>
            </w:tcBorders>
            <w:shd w:val="clear" w:color="auto" w:fill="auto"/>
            <w:noWrap/>
            <w:vAlign w:val="bottom"/>
            <w:hideMark/>
          </w:tcPr>
          <w:p w14:paraId="1BE6F38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bottom"/>
            <w:hideMark/>
          </w:tcPr>
          <w:p w14:paraId="0619FF3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0</w:t>
            </w:r>
          </w:p>
        </w:tc>
        <w:tc>
          <w:tcPr>
            <w:tcW w:w="236" w:type="dxa"/>
            <w:tcBorders>
              <w:top w:val="nil"/>
              <w:left w:val="nil"/>
              <w:bottom w:val="nil"/>
              <w:right w:val="nil"/>
            </w:tcBorders>
            <w:shd w:val="clear" w:color="auto" w:fill="auto"/>
            <w:noWrap/>
            <w:vAlign w:val="bottom"/>
            <w:hideMark/>
          </w:tcPr>
          <w:p w14:paraId="2E6124D8" w14:textId="77777777" w:rsidR="00BF10A3" w:rsidRPr="00E63A6B" w:rsidRDefault="00BF10A3" w:rsidP="001F7400">
            <w:pPr>
              <w:spacing w:after="0" w:line="240" w:lineRule="auto"/>
              <w:rPr>
                <w:rFonts w:eastAsia="Times New Roman" w:cs="Calibri"/>
                <w:color w:val="000000"/>
              </w:rPr>
            </w:pPr>
          </w:p>
        </w:tc>
      </w:tr>
      <w:tr w:rsidR="00BF10A3" w:rsidRPr="00E63A6B" w14:paraId="5F693801"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2D95910C"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5DEA409D"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EBDBD45"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Master's</w:t>
            </w:r>
          </w:p>
        </w:tc>
        <w:tc>
          <w:tcPr>
            <w:tcW w:w="988" w:type="dxa"/>
            <w:tcBorders>
              <w:top w:val="nil"/>
              <w:left w:val="nil"/>
              <w:bottom w:val="single" w:sz="4" w:space="0" w:color="auto"/>
              <w:right w:val="single" w:sz="4" w:space="0" w:color="auto"/>
            </w:tcBorders>
            <w:shd w:val="clear" w:color="auto" w:fill="auto"/>
            <w:noWrap/>
            <w:vAlign w:val="bottom"/>
            <w:hideMark/>
          </w:tcPr>
          <w:p w14:paraId="5012F20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171</w:t>
            </w:r>
          </w:p>
        </w:tc>
        <w:tc>
          <w:tcPr>
            <w:tcW w:w="988" w:type="dxa"/>
            <w:tcBorders>
              <w:top w:val="nil"/>
              <w:left w:val="nil"/>
              <w:bottom w:val="single" w:sz="4" w:space="0" w:color="auto"/>
              <w:right w:val="single" w:sz="4" w:space="0" w:color="auto"/>
            </w:tcBorders>
            <w:shd w:val="clear" w:color="auto" w:fill="auto"/>
            <w:noWrap/>
            <w:vAlign w:val="bottom"/>
            <w:hideMark/>
          </w:tcPr>
          <w:p w14:paraId="01DC016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153</w:t>
            </w:r>
          </w:p>
        </w:tc>
        <w:tc>
          <w:tcPr>
            <w:tcW w:w="988" w:type="dxa"/>
            <w:tcBorders>
              <w:top w:val="nil"/>
              <w:left w:val="nil"/>
              <w:bottom w:val="single" w:sz="4" w:space="0" w:color="auto"/>
              <w:right w:val="single" w:sz="4" w:space="0" w:color="auto"/>
            </w:tcBorders>
            <w:shd w:val="clear" w:color="auto" w:fill="auto"/>
            <w:noWrap/>
            <w:vAlign w:val="bottom"/>
            <w:hideMark/>
          </w:tcPr>
          <w:p w14:paraId="702DFCB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bottom"/>
            <w:hideMark/>
          </w:tcPr>
          <w:p w14:paraId="2F440851"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12</w:t>
            </w:r>
          </w:p>
        </w:tc>
        <w:tc>
          <w:tcPr>
            <w:tcW w:w="1181" w:type="dxa"/>
            <w:tcBorders>
              <w:top w:val="nil"/>
              <w:left w:val="nil"/>
              <w:bottom w:val="single" w:sz="4" w:space="0" w:color="auto"/>
              <w:right w:val="single" w:sz="4" w:space="0" w:color="auto"/>
            </w:tcBorders>
            <w:shd w:val="clear" w:color="auto" w:fill="auto"/>
            <w:noWrap/>
            <w:vAlign w:val="bottom"/>
            <w:hideMark/>
          </w:tcPr>
          <w:p w14:paraId="5FFFD92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226,106</w:t>
            </w:r>
          </w:p>
        </w:tc>
        <w:tc>
          <w:tcPr>
            <w:tcW w:w="1278" w:type="dxa"/>
            <w:tcBorders>
              <w:top w:val="nil"/>
              <w:left w:val="nil"/>
              <w:bottom w:val="single" w:sz="4" w:space="0" w:color="auto"/>
              <w:right w:val="single" w:sz="4" w:space="0" w:color="auto"/>
            </w:tcBorders>
            <w:shd w:val="clear" w:color="auto" w:fill="auto"/>
            <w:noWrap/>
            <w:vAlign w:val="bottom"/>
            <w:hideMark/>
          </w:tcPr>
          <w:p w14:paraId="7539885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214,922</w:t>
            </w:r>
          </w:p>
        </w:tc>
        <w:tc>
          <w:tcPr>
            <w:tcW w:w="1262" w:type="dxa"/>
            <w:tcBorders>
              <w:top w:val="nil"/>
              <w:left w:val="nil"/>
              <w:bottom w:val="single" w:sz="4" w:space="0" w:color="auto"/>
              <w:right w:val="single" w:sz="4" w:space="0" w:color="auto"/>
            </w:tcBorders>
            <w:shd w:val="clear" w:color="auto" w:fill="auto"/>
            <w:noWrap/>
            <w:vAlign w:val="bottom"/>
            <w:hideMark/>
          </w:tcPr>
          <w:p w14:paraId="3B2FC0F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7,909</w:t>
            </w:r>
          </w:p>
        </w:tc>
        <w:tc>
          <w:tcPr>
            <w:tcW w:w="1582" w:type="dxa"/>
            <w:tcBorders>
              <w:top w:val="nil"/>
              <w:left w:val="nil"/>
              <w:bottom w:val="single" w:sz="4" w:space="0" w:color="auto"/>
              <w:right w:val="single" w:sz="4" w:space="0" w:color="auto"/>
            </w:tcBorders>
            <w:shd w:val="clear" w:color="auto" w:fill="auto"/>
            <w:noWrap/>
            <w:vAlign w:val="bottom"/>
            <w:hideMark/>
          </w:tcPr>
          <w:p w14:paraId="320B152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3,275</w:t>
            </w:r>
          </w:p>
        </w:tc>
        <w:tc>
          <w:tcPr>
            <w:tcW w:w="236" w:type="dxa"/>
            <w:tcBorders>
              <w:top w:val="nil"/>
              <w:left w:val="nil"/>
              <w:bottom w:val="nil"/>
              <w:right w:val="nil"/>
            </w:tcBorders>
            <w:shd w:val="clear" w:color="auto" w:fill="auto"/>
            <w:noWrap/>
            <w:vAlign w:val="bottom"/>
            <w:hideMark/>
          </w:tcPr>
          <w:p w14:paraId="6E376D4E" w14:textId="77777777" w:rsidR="00BF10A3" w:rsidRPr="00E63A6B" w:rsidRDefault="00BF10A3" w:rsidP="001F7400">
            <w:pPr>
              <w:spacing w:after="0" w:line="240" w:lineRule="auto"/>
              <w:rPr>
                <w:rFonts w:eastAsia="Times New Roman" w:cs="Calibri"/>
                <w:color w:val="000000"/>
              </w:rPr>
            </w:pPr>
          </w:p>
        </w:tc>
      </w:tr>
      <w:tr w:rsidR="00BF10A3" w:rsidRPr="00E63A6B" w14:paraId="1290C11C"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62966324"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3E6641AE"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3F295BC"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Doctoral</w:t>
            </w:r>
          </w:p>
        </w:tc>
        <w:tc>
          <w:tcPr>
            <w:tcW w:w="988" w:type="dxa"/>
            <w:tcBorders>
              <w:top w:val="nil"/>
              <w:left w:val="nil"/>
              <w:bottom w:val="single" w:sz="4" w:space="0" w:color="auto"/>
              <w:right w:val="single" w:sz="4" w:space="0" w:color="auto"/>
            </w:tcBorders>
            <w:shd w:val="clear" w:color="auto" w:fill="auto"/>
            <w:noWrap/>
            <w:vAlign w:val="bottom"/>
            <w:hideMark/>
          </w:tcPr>
          <w:p w14:paraId="3C67523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30</w:t>
            </w:r>
          </w:p>
        </w:tc>
        <w:tc>
          <w:tcPr>
            <w:tcW w:w="988" w:type="dxa"/>
            <w:tcBorders>
              <w:top w:val="nil"/>
              <w:left w:val="nil"/>
              <w:bottom w:val="single" w:sz="4" w:space="0" w:color="auto"/>
              <w:right w:val="single" w:sz="4" w:space="0" w:color="auto"/>
            </w:tcBorders>
            <w:shd w:val="clear" w:color="auto" w:fill="auto"/>
            <w:noWrap/>
            <w:vAlign w:val="bottom"/>
            <w:hideMark/>
          </w:tcPr>
          <w:p w14:paraId="62CA110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27</w:t>
            </w:r>
          </w:p>
        </w:tc>
        <w:tc>
          <w:tcPr>
            <w:tcW w:w="988" w:type="dxa"/>
            <w:tcBorders>
              <w:top w:val="nil"/>
              <w:left w:val="nil"/>
              <w:bottom w:val="single" w:sz="4" w:space="0" w:color="auto"/>
              <w:right w:val="single" w:sz="4" w:space="0" w:color="auto"/>
            </w:tcBorders>
            <w:shd w:val="clear" w:color="auto" w:fill="auto"/>
            <w:noWrap/>
            <w:vAlign w:val="bottom"/>
            <w:hideMark/>
          </w:tcPr>
          <w:p w14:paraId="7CFBF57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bottom"/>
            <w:hideMark/>
          </w:tcPr>
          <w:p w14:paraId="69057BD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1181" w:type="dxa"/>
            <w:tcBorders>
              <w:top w:val="nil"/>
              <w:left w:val="nil"/>
              <w:bottom w:val="single" w:sz="4" w:space="0" w:color="auto"/>
              <w:right w:val="single" w:sz="4" w:space="0" w:color="auto"/>
            </w:tcBorders>
            <w:shd w:val="clear" w:color="auto" w:fill="auto"/>
            <w:noWrap/>
            <w:vAlign w:val="bottom"/>
            <w:hideMark/>
          </w:tcPr>
          <w:p w14:paraId="126E148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37,676</w:t>
            </w:r>
          </w:p>
        </w:tc>
        <w:tc>
          <w:tcPr>
            <w:tcW w:w="1278" w:type="dxa"/>
            <w:tcBorders>
              <w:top w:val="nil"/>
              <w:left w:val="nil"/>
              <w:bottom w:val="single" w:sz="4" w:space="0" w:color="auto"/>
              <w:right w:val="single" w:sz="4" w:space="0" w:color="auto"/>
            </w:tcBorders>
            <w:shd w:val="clear" w:color="auto" w:fill="auto"/>
            <w:noWrap/>
            <w:vAlign w:val="bottom"/>
            <w:hideMark/>
          </w:tcPr>
          <w:p w14:paraId="24160B7C"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34,085</w:t>
            </w:r>
          </w:p>
        </w:tc>
        <w:tc>
          <w:tcPr>
            <w:tcW w:w="1262" w:type="dxa"/>
            <w:tcBorders>
              <w:top w:val="nil"/>
              <w:left w:val="nil"/>
              <w:bottom w:val="single" w:sz="4" w:space="0" w:color="auto"/>
              <w:right w:val="single" w:sz="4" w:space="0" w:color="auto"/>
            </w:tcBorders>
            <w:shd w:val="clear" w:color="auto" w:fill="auto"/>
            <w:noWrap/>
            <w:vAlign w:val="bottom"/>
            <w:hideMark/>
          </w:tcPr>
          <w:p w14:paraId="7CC34D5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2,669</w:t>
            </w:r>
          </w:p>
        </w:tc>
        <w:tc>
          <w:tcPr>
            <w:tcW w:w="1582" w:type="dxa"/>
            <w:tcBorders>
              <w:top w:val="nil"/>
              <w:left w:val="nil"/>
              <w:bottom w:val="single" w:sz="4" w:space="0" w:color="auto"/>
              <w:right w:val="single" w:sz="4" w:space="0" w:color="auto"/>
            </w:tcBorders>
            <w:shd w:val="clear" w:color="auto" w:fill="auto"/>
            <w:noWrap/>
            <w:vAlign w:val="bottom"/>
            <w:hideMark/>
          </w:tcPr>
          <w:p w14:paraId="6B7BE743"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922</w:t>
            </w:r>
          </w:p>
        </w:tc>
        <w:tc>
          <w:tcPr>
            <w:tcW w:w="236" w:type="dxa"/>
            <w:tcBorders>
              <w:top w:val="nil"/>
              <w:left w:val="nil"/>
              <w:bottom w:val="nil"/>
              <w:right w:val="nil"/>
            </w:tcBorders>
            <w:shd w:val="clear" w:color="auto" w:fill="auto"/>
            <w:noWrap/>
            <w:vAlign w:val="bottom"/>
            <w:hideMark/>
          </w:tcPr>
          <w:p w14:paraId="0B63E68F" w14:textId="77777777" w:rsidR="00BF10A3" w:rsidRPr="00E63A6B" w:rsidRDefault="00BF10A3" w:rsidP="001F7400">
            <w:pPr>
              <w:spacing w:after="0" w:line="240" w:lineRule="auto"/>
              <w:rPr>
                <w:rFonts w:eastAsia="Times New Roman" w:cs="Calibri"/>
                <w:color w:val="000000"/>
              </w:rPr>
            </w:pPr>
          </w:p>
        </w:tc>
      </w:tr>
      <w:tr w:rsidR="00BF10A3" w:rsidRPr="00E63A6B" w14:paraId="5F21097E" w14:textId="77777777" w:rsidTr="001F7400">
        <w:trPr>
          <w:trHeight w:val="238"/>
        </w:trPr>
        <w:tc>
          <w:tcPr>
            <w:tcW w:w="990" w:type="dxa"/>
            <w:vMerge/>
            <w:tcBorders>
              <w:top w:val="nil"/>
              <w:left w:val="single" w:sz="4" w:space="0" w:color="auto"/>
              <w:bottom w:val="single" w:sz="4" w:space="0" w:color="auto"/>
              <w:right w:val="single" w:sz="4" w:space="0" w:color="auto"/>
            </w:tcBorders>
            <w:vAlign w:val="center"/>
            <w:hideMark/>
          </w:tcPr>
          <w:p w14:paraId="564D1BBF" w14:textId="77777777" w:rsidR="00BF10A3" w:rsidRPr="00E63A6B" w:rsidRDefault="00BF10A3" w:rsidP="001F7400">
            <w:pPr>
              <w:spacing w:after="0" w:line="240" w:lineRule="auto"/>
              <w:rPr>
                <w:rFonts w:ascii="Courier" w:eastAsia="Times New Roman" w:hAnsi="Courier" w:cs="Calibri"/>
                <w:b/>
                <w:bCs/>
                <w:color w:val="000000"/>
                <w:sz w:val="16"/>
                <w:szCs w:val="16"/>
              </w:rPr>
            </w:pPr>
          </w:p>
        </w:tc>
        <w:tc>
          <w:tcPr>
            <w:tcW w:w="872" w:type="dxa"/>
            <w:vMerge/>
            <w:tcBorders>
              <w:top w:val="nil"/>
              <w:left w:val="single" w:sz="4" w:space="0" w:color="auto"/>
              <w:bottom w:val="single" w:sz="4" w:space="0" w:color="000000"/>
              <w:right w:val="single" w:sz="4" w:space="0" w:color="auto"/>
            </w:tcBorders>
            <w:vAlign w:val="center"/>
            <w:hideMark/>
          </w:tcPr>
          <w:p w14:paraId="672E60A6" w14:textId="77777777" w:rsidR="00BF10A3" w:rsidRPr="00E63A6B" w:rsidRDefault="00BF10A3" w:rsidP="001F7400">
            <w:pPr>
              <w:spacing w:after="0" w:line="240" w:lineRule="auto"/>
              <w:rPr>
                <w:rFonts w:ascii="Courier" w:eastAsia="Times New Roman" w:hAnsi="Courier" w:cs="Calibri"/>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93EC094"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1st Professional Degree</w:t>
            </w:r>
          </w:p>
        </w:tc>
        <w:tc>
          <w:tcPr>
            <w:tcW w:w="988" w:type="dxa"/>
            <w:tcBorders>
              <w:top w:val="nil"/>
              <w:left w:val="nil"/>
              <w:bottom w:val="single" w:sz="4" w:space="0" w:color="auto"/>
              <w:right w:val="single" w:sz="4" w:space="0" w:color="auto"/>
            </w:tcBorders>
            <w:shd w:val="clear" w:color="auto" w:fill="auto"/>
            <w:noWrap/>
            <w:vAlign w:val="bottom"/>
            <w:hideMark/>
          </w:tcPr>
          <w:p w14:paraId="776EECC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10</w:t>
            </w:r>
          </w:p>
        </w:tc>
        <w:tc>
          <w:tcPr>
            <w:tcW w:w="988" w:type="dxa"/>
            <w:tcBorders>
              <w:top w:val="nil"/>
              <w:left w:val="nil"/>
              <w:bottom w:val="single" w:sz="4" w:space="0" w:color="auto"/>
              <w:right w:val="single" w:sz="4" w:space="0" w:color="auto"/>
            </w:tcBorders>
            <w:shd w:val="clear" w:color="auto" w:fill="auto"/>
            <w:noWrap/>
            <w:vAlign w:val="bottom"/>
            <w:hideMark/>
          </w:tcPr>
          <w:p w14:paraId="757E16E8"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0141BE4B"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w:t>
            </w:r>
          </w:p>
        </w:tc>
        <w:tc>
          <w:tcPr>
            <w:tcW w:w="988" w:type="dxa"/>
            <w:tcBorders>
              <w:top w:val="nil"/>
              <w:left w:val="nil"/>
              <w:bottom w:val="single" w:sz="4" w:space="0" w:color="auto"/>
              <w:right w:val="single" w:sz="4" w:space="0" w:color="auto"/>
            </w:tcBorders>
            <w:shd w:val="clear" w:color="auto" w:fill="auto"/>
            <w:noWrap/>
            <w:vAlign w:val="bottom"/>
            <w:hideMark/>
          </w:tcPr>
          <w:p w14:paraId="522DE809"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6</w:t>
            </w:r>
          </w:p>
        </w:tc>
        <w:tc>
          <w:tcPr>
            <w:tcW w:w="1181" w:type="dxa"/>
            <w:tcBorders>
              <w:top w:val="nil"/>
              <w:left w:val="nil"/>
              <w:bottom w:val="single" w:sz="4" w:space="0" w:color="auto"/>
              <w:right w:val="single" w:sz="4" w:space="0" w:color="auto"/>
            </w:tcBorders>
            <w:shd w:val="clear" w:color="auto" w:fill="auto"/>
            <w:noWrap/>
            <w:vAlign w:val="bottom"/>
            <w:hideMark/>
          </w:tcPr>
          <w:p w14:paraId="462B823A"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7,209</w:t>
            </w:r>
          </w:p>
        </w:tc>
        <w:tc>
          <w:tcPr>
            <w:tcW w:w="1278" w:type="dxa"/>
            <w:tcBorders>
              <w:top w:val="nil"/>
              <w:left w:val="nil"/>
              <w:bottom w:val="single" w:sz="4" w:space="0" w:color="auto"/>
              <w:right w:val="single" w:sz="4" w:space="0" w:color="auto"/>
            </w:tcBorders>
            <w:shd w:val="clear" w:color="auto" w:fill="auto"/>
            <w:noWrap/>
            <w:vAlign w:val="bottom"/>
            <w:hideMark/>
          </w:tcPr>
          <w:p w14:paraId="0E2FD206"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1,878</w:t>
            </w:r>
          </w:p>
        </w:tc>
        <w:tc>
          <w:tcPr>
            <w:tcW w:w="1262" w:type="dxa"/>
            <w:tcBorders>
              <w:top w:val="nil"/>
              <w:left w:val="nil"/>
              <w:bottom w:val="single" w:sz="4" w:space="0" w:color="auto"/>
              <w:right w:val="single" w:sz="4" w:space="0" w:color="auto"/>
            </w:tcBorders>
            <w:shd w:val="clear" w:color="auto" w:fill="auto"/>
            <w:noWrap/>
            <w:vAlign w:val="bottom"/>
            <w:hideMark/>
          </w:tcPr>
          <w:p w14:paraId="5B98F9A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1,229</w:t>
            </w:r>
          </w:p>
        </w:tc>
        <w:tc>
          <w:tcPr>
            <w:tcW w:w="1582" w:type="dxa"/>
            <w:tcBorders>
              <w:top w:val="nil"/>
              <w:left w:val="nil"/>
              <w:bottom w:val="single" w:sz="4" w:space="0" w:color="auto"/>
              <w:right w:val="single" w:sz="4" w:space="0" w:color="auto"/>
            </w:tcBorders>
            <w:shd w:val="clear" w:color="auto" w:fill="auto"/>
            <w:noWrap/>
            <w:vAlign w:val="bottom"/>
            <w:hideMark/>
          </w:tcPr>
          <w:p w14:paraId="16AF8FAF"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4,102</w:t>
            </w:r>
          </w:p>
        </w:tc>
        <w:tc>
          <w:tcPr>
            <w:tcW w:w="236" w:type="dxa"/>
            <w:tcBorders>
              <w:top w:val="nil"/>
              <w:left w:val="nil"/>
              <w:bottom w:val="nil"/>
              <w:right w:val="nil"/>
            </w:tcBorders>
            <w:shd w:val="clear" w:color="auto" w:fill="auto"/>
            <w:noWrap/>
            <w:vAlign w:val="bottom"/>
            <w:hideMark/>
          </w:tcPr>
          <w:p w14:paraId="6827EFA2" w14:textId="77777777" w:rsidR="00BF10A3" w:rsidRPr="00E63A6B" w:rsidRDefault="00BF10A3" w:rsidP="001F7400">
            <w:pPr>
              <w:spacing w:after="0" w:line="240" w:lineRule="auto"/>
              <w:rPr>
                <w:rFonts w:eastAsia="Times New Roman" w:cs="Calibri"/>
                <w:color w:val="000000"/>
              </w:rPr>
            </w:pPr>
          </w:p>
        </w:tc>
      </w:tr>
      <w:tr w:rsidR="00BF10A3" w:rsidRPr="00E63A6B" w14:paraId="6CB5CA13" w14:textId="77777777" w:rsidTr="001F7400">
        <w:trPr>
          <w:trHeight w:val="238"/>
        </w:trPr>
        <w:tc>
          <w:tcPr>
            <w:tcW w:w="38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1958" w14:textId="77777777" w:rsidR="00BF10A3" w:rsidRPr="00E63A6B" w:rsidRDefault="00BF10A3" w:rsidP="001F7400">
            <w:pPr>
              <w:spacing w:after="0" w:line="240" w:lineRule="auto"/>
              <w:rPr>
                <w:rFonts w:ascii="Courier" w:eastAsia="Times New Roman" w:hAnsi="Courier" w:cs="Calibri"/>
                <w:color w:val="000000"/>
                <w:sz w:val="16"/>
                <w:szCs w:val="16"/>
              </w:rPr>
            </w:pPr>
            <w:r w:rsidRPr="00E63A6B">
              <w:rPr>
                <w:rFonts w:ascii="Courier" w:eastAsia="Times New Roman" w:hAnsi="Courier" w:cs="Calibri"/>
                <w:color w:val="000000"/>
                <w:sz w:val="16"/>
                <w:szCs w:val="16"/>
              </w:rPr>
              <w:t>Overall Total</w:t>
            </w:r>
          </w:p>
        </w:tc>
        <w:tc>
          <w:tcPr>
            <w:tcW w:w="988" w:type="dxa"/>
            <w:tcBorders>
              <w:top w:val="nil"/>
              <w:left w:val="nil"/>
              <w:bottom w:val="single" w:sz="4" w:space="0" w:color="auto"/>
              <w:right w:val="single" w:sz="4" w:space="0" w:color="auto"/>
            </w:tcBorders>
            <w:shd w:val="clear" w:color="auto" w:fill="auto"/>
            <w:noWrap/>
            <w:vAlign w:val="bottom"/>
            <w:hideMark/>
          </w:tcPr>
          <w:p w14:paraId="7AB6EE0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5,539</w:t>
            </w:r>
          </w:p>
        </w:tc>
        <w:tc>
          <w:tcPr>
            <w:tcW w:w="988" w:type="dxa"/>
            <w:tcBorders>
              <w:top w:val="nil"/>
              <w:left w:val="nil"/>
              <w:bottom w:val="single" w:sz="4" w:space="0" w:color="auto"/>
              <w:right w:val="single" w:sz="4" w:space="0" w:color="auto"/>
            </w:tcBorders>
            <w:shd w:val="clear" w:color="auto" w:fill="auto"/>
            <w:noWrap/>
            <w:vAlign w:val="bottom"/>
            <w:hideMark/>
          </w:tcPr>
          <w:p w14:paraId="56D6711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4,055</w:t>
            </w:r>
          </w:p>
        </w:tc>
        <w:tc>
          <w:tcPr>
            <w:tcW w:w="988" w:type="dxa"/>
            <w:tcBorders>
              <w:top w:val="nil"/>
              <w:left w:val="nil"/>
              <w:bottom w:val="single" w:sz="4" w:space="0" w:color="auto"/>
              <w:right w:val="single" w:sz="4" w:space="0" w:color="auto"/>
            </w:tcBorders>
            <w:shd w:val="clear" w:color="auto" w:fill="auto"/>
            <w:noWrap/>
            <w:vAlign w:val="bottom"/>
            <w:hideMark/>
          </w:tcPr>
          <w:p w14:paraId="7BBC49A7"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918</w:t>
            </w:r>
          </w:p>
        </w:tc>
        <w:tc>
          <w:tcPr>
            <w:tcW w:w="988" w:type="dxa"/>
            <w:tcBorders>
              <w:top w:val="nil"/>
              <w:left w:val="nil"/>
              <w:bottom w:val="single" w:sz="4" w:space="0" w:color="auto"/>
              <w:right w:val="single" w:sz="4" w:space="0" w:color="auto"/>
            </w:tcBorders>
            <w:shd w:val="clear" w:color="auto" w:fill="auto"/>
            <w:noWrap/>
            <w:vAlign w:val="bottom"/>
            <w:hideMark/>
          </w:tcPr>
          <w:p w14:paraId="01627984"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566</w:t>
            </w:r>
          </w:p>
        </w:tc>
        <w:tc>
          <w:tcPr>
            <w:tcW w:w="1181" w:type="dxa"/>
            <w:tcBorders>
              <w:top w:val="nil"/>
              <w:left w:val="nil"/>
              <w:bottom w:val="single" w:sz="4" w:space="0" w:color="auto"/>
              <w:right w:val="single" w:sz="4" w:space="0" w:color="auto"/>
            </w:tcBorders>
            <w:shd w:val="clear" w:color="auto" w:fill="auto"/>
            <w:noWrap/>
            <w:vAlign w:val="bottom"/>
            <w:hideMark/>
          </w:tcPr>
          <w:p w14:paraId="39DC7B5E"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2,521,283</w:t>
            </w:r>
          </w:p>
        </w:tc>
        <w:tc>
          <w:tcPr>
            <w:tcW w:w="1278" w:type="dxa"/>
            <w:tcBorders>
              <w:top w:val="nil"/>
              <w:left w:val="nil"/>
              <w:bottom w:val="single" w:sz="4" w:space="0" w:color="auto"/>
              <w:right w:val="single" w:sz="4" w:space="0" w:color="auto"/>
            </w:tcBorders>
            <w:shd w:val="clear" w:color="auto" w:fill="auto"/>
            <w:noWrap/>
            <w:vAlign w:val="bottom"/>
            <w:hideMark/>
          </w:tcPr>
          <w:p w14:paraId="5A75AAC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1,622,968</w:t>
            </w:r>
          </w:p>
        </w:tc>
        <w:tc>
          <w:tcPr>
            <w:tcW w:w="1262" w:type="dxa"/>
            <w:tcBorders>
              <w:top w:val="nil"/>
              <w:left w:val="nil"/>
              <w:bottom w:val="single" w:sz="4" w:space="0" w:color="auto"/>
              <w:right w:val="single" w:sz="4" w:space="0" w:color="auto"/>
            </w:tcBorders>
            <w:shd w:val="clear" w:color="auto" w:fill="auto"/>
            <w:noWrap/>
            <w:vAlign w:val="bottom"/>
            <w:hideMark/>
          </w:tcPr>
          <w:p w14:paraId="6F2478BD"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478,689</w:t>
            </w:r>
          </w:p>
        </w:tc>
        <w:tc>
          <w:tcPr>
            <w:tcW w:w="1582" w:type="dxa"/>
            <w:tcBorders>
              <w:top w:val="nil"/>
              <w:left w:val="nil"/>
              <w:bottom w:val="single" w:sz="4" w:space="0" w:color="auto"/>
              <w:right w:val="single" w:sz="4" w:space="0" w:color="auto"/>
            </w:tcBorders>
            <w:shd w:val="clear" w:color="auto" w:fill="auto"/>
            <w:noWrap/>
            <w:vAlign w:val="bottom"/>
            <w:hideMark/>
          </w:tcPr>
          <w:p w14:paraId="6538E790" w14:textId="77777777" w:rsidR="00BF10A3" w:rsidRPr="00E63A6B" w:rsidRDefault="00BF10A3" w:rsidP="001F7400">
            <w:pPr>
              <w:spacing w:after="0" w:line="240" w:lineRule="auto"/>
              <w:jc w:val="right"/>
              <w:rPr>
                <w:rFonts w:ascii="Courier" w:eastAsia="Times New Roman" w:hAnsi="Courier" w:cs="Calibri"/>
                <w:color w:val="000000"/>
                <w:sz w:val="16"/>
                <w:szCs w:val="16"/>
              </w:rPr>
            </w:pPr>
            <w:r w:rsidRPr="00E63A6B">
              <w:rPr>
                <w:rFonts w:ascii="Courier" w:eastAsia="Times New Roman" w:hAnsi="Courier" w:cs="Calibri"/>
                <w:color w:val="000000"/>
                <w:sz w:val="16"/>
                <w:szCs w:val="16"/>
              </w:rPr>
              <w:t>419,626</w:t>
            </w:r>
          </w:p>
        </w:tc>
        <w:tc>
          <w:tcPr>
            <w:tcW w:w="236" w:type="dxa"/>
            <w:tcBorders>
              <w:top w:val="nil"/>
              <w:left w:val="nil"/>
              <w:bottom w:val="nil"/>
              <w:right w:val="nil"/>
            </w:tcBorders>
            <w:shd w:val="clear" w:color="auto" w:fill="auto"/>
            <w:noWrap/>
            <w:vAlign w:val="bottom"/>
            <w:hideMark/>
          </w:tcPr>
          <w:p w14:paraId="531877B9" w14:textId="77777777" w:rsidR="00BF10A3" w:rsidRPr="00E63A6B" w:rsidRDefault="00BF10A3" w:rsidP="001F7400">
            <w:pPr>
              <w:spacing w:after="0" w:line="240" w:lineRule="auto"/>
              <w:rPr>
                <w:rFonts w:eastAsia="Times New Roman" w:cs="Calibri"/>
                <w:color w:val="000000"/>
              </w:rPr>
            </w:pPr>
          </w:p>
        </w:tc>
      </w:tr>
    </w:tbl>
    <w:p w14:paraId="15161AE3" w14:textId="77777777" w:rsidR="00BF10A3" w:rsidRPr="00AA6DFD" w:rsidRDefault="00BF10A3" w:rsidP="00BF10A3">
      <w:pPr>
        <w:spacing w:after="0" w:line="240" w:lineRule="auto"/>
        <w:rPr>
          <w:rFonts w:ascii="Courier New" w:hAnsi="Courier New" w:cs="Courier New"/>
          <w:b/>
          <w:sz w:val="24"/>
          <w:szCs w:val="24"/>
        </w:rPr>
      </w:pPr>
    </w:p>
    <w:p w14:paraId="0C12442B" w14:textId="77777777" w:rsidR="00BF10A3" w:rsidRPr="00AA6DFD" w:rsidRDefault="00BF10A3" w:rsidP="00BF10A3">
      <w:pPr>
        <w:spacing w:after="0" w:line="240" w:lineRule="auto"/>
        <w:rPr>
          <w:rFonts w:ascii="Courier New" w:hAnsi="Courier New" w:cs="Courier New"/>
          <w:b/>
          <w:sz w:val="24"/>
          <w:szCs w:val="24"/>
        </w:rPr>
      </w:pPr>
    </w:p>
    <w:p w14:paraId="33CDE6F6" w14:textId="77777777" w:rsidR="00BF10A3" w:rsidRPr="00AA6DFD" w:rsidRDefault="00BF10A3" w:rsidP="00BF10A3">
      <w:pPr>
        <w:spacing w:after="0" w:line="240" w:lineRule="auto"/>
        <w:rPr>
          <w:rFonts w:ascii="Courier New" w:hAnsi="Courier New" w:cs="Courier New"/>
          <w:sz w:val="24"/>
          <w:szCs w:val="24"/>
          <w:u w:val="single"/>
        </w:rPr>
      </w:pPr>
    </w:p>
    <w:p w14:paraId="7D222DD3"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4.5: D/E Rates Results by Sector and Credential (N-Size of 30, 20-Year Amortization for all Credential Levels)</w:t>
      </w:r>
    </w:p>
    <w:p w14:paraId="2344FC47" w14:textId="77777777" w:rsidR="00BF10A3" w:rsidRPr="00AA6DFD" w:rsidRDefault="00BF10A3" w:rsidP="00BF10A3">
      <w:pPr>
        <w:spacing w:after="0" w:line="240" w:lineRule="auto"/>
        <w:rPr>
          <w:rFonts w:ascii="Courier New" w:hAnsi="Courier New" w:cs="Courier New"/>
          <w:b/>
          <w:sz w:val="24"/>
          <w:szCs w:val="24"/>
        </w:rPr>
      </w:pPr>
    </w:p>
    <w:p w14:paraId="288EF69A" w14:textId="77777777" w:rsidR="00BF10A3" w:rsidRPr="00E63A6B" w:rsidRDefault="00BF10A3" w:rsidP="00BF10A3">
      <w:pPr>
        <w:rPr>
          <w:rFonts w:ascii="Courier New" w:eastAsiaTheme="minorHAnsi" w:hAnsi="Courier New" w:cstheme="minorBidi"/>
          <w:sz w:val="16"/>
        </w:rPr>
      </w:pPr>
    </w:p>
    <w:tbl>
      <w:tblPr>
        <w:tblStyle w:val="TableGrid26"/>
        <w:tblW w:w="0" w:type="auto"/>
        <w:tblLook w:val="04A0" w:firstRow="1" w:lastRow="0" w:firstColumn="1" w:lastColumn="0" w:noHBand="0" w:noVBand="1"/>
      </w:tblPr>
      <w:tblGrid>
        <w:gridCol w:w="993"/>
        <w:gridCol w:w="800"/>
        <w:gridCol w:w="2244"/>
        <w:gridCol w:w="985"/>
        <w:gridCol w:w="985"/>
        <w:gridCol w:w="985"/>
        <w:gridCol w:w="985"/>
        <w:gridCol w:w="1177"/>
        <w:gridCol w:w="1177"/>
        <w:gridCol w:w="1177"/>
        <w:gridCol w:w="1177"/>
      </w:tblGrid>
      <w:tr w:rsidR="00BF10A3" w:rsidRPr="00E63A6B" w14:paraId="5F11869C" w14:textId="77777777" w:rsidTr="001F7400">
        <w:trPr>
          <w:trHeight w:val="494"/>
        </w:trPr>
        <w:tc>
          <w:tcPr>
            <w:tcW w:w="993" w:type="dxa"/>
            <w:hideMark/>
          </w:tcPr>
          <w:p w14:paraId="0F973E60"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Sector</w:t>
            </w:r>
          </w:p>
        </w:tc>
        <w:tc>
          <w:tcPr>
            <w:tcW w:w="800" w:type="dxa"/>
            <w:hideMark/>
          </w:tcPr>
          <w:p w14:paraId="3840A6D7"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IHE Type</w:t>
            </w:r>
          </w:p>
        </w:tc>
        <w:tc>
          <w:tcPr>
            <w:tcW w:w="2243" w:type="dxa"/>
            <w:hideMark/>
          </w:tcPr>
          <w:p w14:paraId="234D6843"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Credential Level</w:t>
            </w:r>
          </w:p>
        </w:tc>
        <w:tc>
          <w:tcPr>
            <w:tcW w:w="983" w:type="dxa"/>
            <w:hideMark/>
          </w:tcPr>
          <w:p w14:paraId="6BA5AA3A"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Programs</w:t>
            </w:r>
          </w:p>
        </w:tc>
        <w:tc>
          <w:tcPr>
            <w:tcW w:w="983" w:type="dxa"/>
            <w:hideMark/>
          </w:tcPr>
          <w:p w14:paraId="4D8075BF"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Passing Programs</w:t>
            </w:r>
          </w:p>
        </w:tc>
        <w:tc>
          <w:tcPr>
            <w:tcW w:w="983" w:type="dxa"/>
            <w:hideMark/>
          </w:tcPr>
          <w:p w14:paraId="5431F1D5"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Zone Programs</w:t>
            </w:r>
          </w:p>
        </w:tc>
        <w:tc>
          <w:tcPr>
            <w:tcW w:w="983" w:type="dxa"/>
            <w:hideMark/>
          </w:tcPr>
          <w:p w14:paraId="1B17633B"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Failing Programs</w:t>
            </w:r>
          </w:p>
        </w:tc>
        <w:tc>
          <w:tcPr>
            <w:tcW w:w="1174" w:type="dxa"/>
            <w:hideMark/>
          </w:tcPr>
          <w:p w14:paraId="6B4682A8"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Enrollment</w:t>
            </w:r>
          </w:p>
        </w:tc>
        <w:tc>
          <w:tcPr>
            <w:tcW w:w="1174" w:type="dxa"/>
            <w:hideMark/>
          </w:tcPr>
          <w:p w14:paraId="0B0F5807"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Enrollment in Passing Programs</w:t>
            </w:r>
          </w:p>
        </w:tc>
        <w:tc>
          <w:tcPr>
            <w:tcW w:w="1174" w:type="dxa"/>
            <w:hideMark/>
          </w:tcPr>
          <w:p w14:paraId="66B0B4B8"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Enrollment in Zone Programs</w:t>
            </w:r>
          </w:p>
        </w:tc>
        <w:tc>
          <w:tcPr>
            <w:tcW w:w="1174" w:type="dxa"/>
            <w:hideMark/>
          </w:tcPr>
          <w:p w14:paraId="2411EF2E"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Enrollment in Failing Programs</w:t>
            </w:r>
          </w:p>
        </w:tc>
      </w:tr>
      <w:tr w:rsidR="00BF10A3" w:rsidRPr="00E63A6B" w14:paraId="1BD79FD8" w14:textId="77777777" w:rsidTr="001F7400">
        <w:trPr>
          <w:trHeight w:val="258"/>
        </w:trPr>
        <w:tc>
          <w:tcPr>
            <w:tcW w:w="993" w:type="dxa"/>
            <w:vMerge w:val="restart"/>
            <w:noWrap/>
            <w:hideMark/>
          </w:tcPr>
          <w:p w14:paraId="3E65F2C7"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Public</w:t>
            </w:r>
          </w:p>
        </w:tc>
        <w:tc>
          <w:tcPr>
            <w:tcW w:w="3044" w:type="dxa"/>
            <w:gridSpan w:val="2"/>
            <w:noWrap/>
            <w:hideMark/>
          </w:tcPr>
          <w:p w14:paraId="681F898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Total</w:t>
            </w:r>
          </w:p>
        </w:tc>
        <w:tc>
          <w:tcPr>
            <w:tcW w:w="983" w:type="dxa"/>
            <w:noWrap/>
            <w:hideMark/>
          </w:tcPr>
          <w:p w14:paraId="1CEC7DC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1,093</w:t>
            </w:r>
          </w:p>
        </w:tc>
        <w:tc>
          <w:tcPr>
            <w:tcW w:w="983" w:type="dxa"/>
            <w:noWrap/>
            <w:hideMark/>
          </w:tcPr>
          <w:p w14:paraId="37A109F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1,092</w:t>
            </w:r>
          </w:p>
        </w:tc>
        <w:tc>
          <w:tcPr>
            <w:tcW w:w="983" w:type="dxa"/>
            <w:noWrap/>
            <w:hideMark/>
          </w:tcPr>
          <w:p w14:paraId="3807183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0338387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EDB023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142,400</w:t>
            </w:r>
          </w:p>
        </w:tc>
        <w:tc>
          <w:tcPr>
            <w:tcW w:w="1174" w:type="dxa"/>
            <w:noWrap/>
            <w:hideMark/>
          </w:tcPr>
          <w:p w14:paraId="52F0379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142,354</w:t>
            </w:r>
          </w:p>
        </w:tc>
        <w:tc>
          <w:tcPr>
            <w:tcW w:w="1174" w:type="dxa"/>
            <w:noWrap/>
            <w:hideMark/>
          </w:tcPr>
          <w:p w14:paraId="6492981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46</w:t>
            </w:r>
          </w:p>
        </w:tc>
        <w:tc>
          <w:tcPr>
            <w:tcW w:w="1174" w:type="dxa"/>
            <w:noWrap/>
            <w:hideMark/>
          </w:tcPr>
          <w:p w14:paraId="66E28A1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2477F27B" w14:textId="77777777" w:rsidTr="001F7400">
        <w:trPr>
          <w:trHeight w:val="258"/>
        </w:trPr>
        <w:tc>
          <w:tcPr>
            <w:tcW w:w="993" w:type="dxa"/>
            <w:vMerge/>
            <w:hideMark/>
          </w:tcPr>
          <w:p w14:paraId="3A1BEA00" w14:textId="77777777" w:rsidR="00BF10A3" w:rsidRPr="00E63A6B" w:rsidRDefault="00BF10A3" w:rsidP="001F7400">
            <w:pPr>
              <w:rPr>
                <w:rFonts w:ascii="Courier New" w:eastAsiaTheme="minorHAnsi" w:hAnsi="Courier New" w:cstheme="minorBidi"/>
                <w:b/>
                <w:bCs/>
                <w:sz w:val="16"/>
              </w:rPr>
            </w:pPr>
          </w:p>
        </w:tc>
        <w:tc>
          <w:tcPr>
            <w:tcW w:w="800" w:type="dxa"/>
            <w:noWrap/>
            <w:hideMark/>
          </w:tcPr>
          <w:p w14:paraId="5BECD53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&lt; 2 year</w:t>
            </w:r>
          </w:p>
        </w:tc>
        <w:tc>
          <w:tcPr>
            <w:tcW w:w="2243" w:type="dxa"/>
            <w:noWrap/>
            <w:hideMark/>
          </w:tcPr>
          <w:p w14:paraId="27BDA42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314F7D4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157</w:t>
            </w:r>
          </w:p>
        </w:tc>
        <w:tc>
          <w:tcPr>
            <w:tcW w:w="983" w:type="dxa"/>
            <w:noWrap/>
            <w:hideMark/>
          </w:tcPr>
          <w:p w14:paraId="5186ECF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157</w:t>
            </w:r>
          </w:p>
        </w:tc>
        <w:tc>
          <w:tcPr>
            <w:tcW w:w="983" w:type="dxa"/>
            <w:noWrap/>
            <w:hideMark/>
          </w:tcPr>
          <w:p w14:paraId="403D41C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09105F4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542422A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11,439</w:t>
            </w:r>
          </w:p>
        </w:tc>
        <w:tc>
          <w:tcPr>
            <w:tcW w:w="1174" w:type="dxa"/>
            <w:noWrap/>
            <w:hideMark/>
          </w:tcPr>
          <w:p w14:paraId="09521DD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11,439</w:t>
            </w:r>
          </w:p>
        </w:tc>
        <w:tc>
          <w:tcPr>
            <w:tcW w:w="1174" w:type="dxa"/>
            <w:noWrap/>
            <w:hideMark/>
          </w:tcPr>
          <w:p w14:paraId="2E4E706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23C0AD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6D7FF5C5" w14:textId="77777777" w:rsidTr="001F7400">
        <w:trPr>
          <w:trHeight w:val="258"/>
        </w:trPr>
        <w:tc>
          <w:tcPr>
            <w:tcW w:w="993" w:type="dxa"/>
            <w:vMerge/>
            <w:hideMark/>
          </w:tcPr>
          <w:p w14:paraId="289E2A82" w14:textId="77777777" w:rsidR="00BF10A3" w:rsidRPr="00E63A6B" w:rsidRDefault="00BF10A3" w:rsidP="001F7400">
            <w:pPr>
              <w:rPr>
                <w:rFonts w:ascii="Courier New" w:eastAsiaTheme="minorHAnsi" w:hAnsi="Courier New" w:cstheme="minorBidi"/>
                <w:b/>
                <w:bCs/>
                <w:sz w:val="16"/>
              </w:rPr>
            </w:pPr>
          </w:p>
        </w:tc>
        <w:tc>
          <w:tcPr>
            <w:tcW w:w="800" w:type="dxa"/>
            <w:noWrap/>
            <w:hideMark/>
          </w:tcPr>
          <w:p w14:paraId="56D17E3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 year</w:t>
            </w:r>
          </w:p>
        </w:tc>
        <w:tc>
          <w:tcPr>
            <w:tcW w:w="2243" w:type="dxa"/>
            <w:noWrap/>
            <w:hideMark/>
          </w:tcPr>
          <w:p w14:paraId="3DE2E3C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4449628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824</w:t>
            </w:r>
          </w:p>
        </w:tc>
        <w:tc>
          <w:tcPr>
            <w:tcW w:w="983" w:type="dxa"/>
            <w:noWrap/>
            <w:hideMark/>
          </w:tcPr>
          <w:p w14:paraId="4E55739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824</w:t>
            </w:r>
          </w:p>
        </w:tc>
        <w:tc>
          <w:tcPr>
            <w:tcW w:w="983" w:type="dxa"/>
            <w:noWrap/>
            <w:hideMark/>
          </w:tcPr>
          <w:p w14:paraId="3F412C1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424486C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59F465A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119,615</w:t>
            </w:r>
          </w:p>
        </w:tc>
        <w:tc>
          <w:tcPr>
            <w:tcW w:w="1174" w:type="dxa"/>
            <w:noWrap/>
            <w:hideMark/>
          </w:tcPr>
          <w:p w14:paraId="0FEB8E5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119,615</w:t>
            </w:r>
          </w:p>
        </w:tc>
        <w:tc>
          <w:tcPr>
            <w:tcW w:w="1174" w:type="dxa"/>
            <w:noWrap/>
            <w:hideMark/>
          </w:tcPr>
          <w:p w14:paraId="5AC0193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695022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31E27055" w14:textId="77777777" w:rsidTr="001F7400">
        <w:trPr>
          <w:trHeight w:val="258"/>
        </w:trPr>
        <w:tc>
          <w:tcPr>
            <w:tcW w:w="993" w:type="dxa"/>
            <w:vMerge/>
            <w:hideMark/>
          </w:tcPr>
          <w:p w14:paraId="61046679"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00DC1CF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4-year</w:t>
            </w:r>
          </w:p>
        </w:tc>
        <w:tc>
          <w:tcPr>
            <w:tcW w:w="2243" w:type="dxa"/>
            <w:noWrap/>
            <w:hideMark/>
          </w:tcPr>
          <w:p w14:paraId="175087A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0771BE0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86</w:t>
            </w:r>
          </w:p>
        </w:tc>
        <w:tc>
          <w:tcPr>
            <w:tcW w:w="983" w:type="dxa"/>
            <w:noWrap/>
            <w:hideMark/>
          </w:tcPr>
          <w:p w14:paraId="31950BF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85</w:t>
            </w:r>
          </w:p>
        </w:tc>
        <w:tc>
          <w:tcPr>
            <w:tcW w:w="983" w:type="dxa"/>
            <w:noWrap/>
            <w:hideMark/>
          </w:tcPr>
          <w:p w14:paraId="3DF9FCD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3A663D2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7F43FBD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8,102</w:t>
            </w:r>
          </w:p>
        </w:tc>
        <w:tc>
          <w:tcPr>
            <w:tcW w:w="1174" w:type="dxa"/>
            <w:noWrap/>
            <w:hideMark/>
          </w:tcPr>
          <w:p w14:paraId="6E226E8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8,056</w:t>
            </w:r>
          </w:p>
        </w:tc>
        <w:tc>
          <w:tcPr>
            <w:tcW w:w="1174" w:type="dxa"/>
            <w:noWrap/>
            <w:hideMark/>
          </w:tcPr>
          <w:p w14:paraId="39F72D0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46</w:t>
            </w:r>
          </w:p>
        </w:tc>
        <w:tc>
          <w:tcPr>
            <w:tcW w:w="1174" w:type="dxa"/>
            <w:noWrap/>
            <w:hideMark/>
          </w:tcPr>
          <w:p w14:paraId="5A8816E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7DBFB0EC" w14:textId="77777777" w:rsidTr="001F7400">
        <w:trPr>
          <w:trHeight w:val="258"/>
        </w:trPr>
        <w:tc>
          <w:tcPr>
            <w:tcW w:w="993" w:type="dxa"/>
            <w:vMerge/>
            <w:hideMark/>
          </w:tcPr>
          <w:p w14:paraId="56FC485E"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27710FAC"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377304F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Post-Bacc Certificate</w:t>
            </w:r>
          </w:p>
        </w:tc>
        <w:tc>
          <w:tcPr>
            <w:tcW w:w="983" w:type="dxa"/>
            <w:noWrap/>
            <w:hideMark/>
          </w:tcPr>
          <w:p w14:paraId="529141A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26</w:t>
            </w:r>
          </w:p>
        </w:tc>
        <w:tc>
          <w:tcPr>
            <w:tcW w:w="983" w:type="dxa"/>
            <w:noWrap/>
            <w:hideMark/>
          </w:tcPr>
          <w:p w14:paraId="2990950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26</w:t>
            </w:r>
          </w:p>
        </w:tc>
        <w:tc>
          <w:tcPr>
            <w:tcW w:w="983" w:type="dxa"/>
            <w:noWrap/>
            <w:hideMark/>
          </w:tcPr>
          <w:p w14:paraId="2AB24D4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154BF39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DCD9EC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3,244</w:t>
            </w:r>
          </w:p>
        </w:tc>
        <w:tc>
          <w:tcPr>
            <w:tcW w:w="1174" w:type="dxa"/>
            <w:noWrap/>
            <w:hideMark/>
          </w:tcPr>
          <w:p w14:paraId="74523DB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3,244</w:t>
            </w:r>
          </w:p>
        </w:tc>
        <w:tc>
          <w:tcPr>
            <w:tcW w:w="1174" w:type="dxa"/>
            <w:noWrap/>
            <w:hideMark/>
          </w:tcPr>
          <w:p w14:paraId="1215AEF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64E69A7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1AA8CF96" w14:textId="77777777" w:rsidTr="001F7400">
        <w:trPr>
          <w:trHeight w:val="271"/>
        </w:trPr>
        <w:tc>
          <w:tcPr>
            <w:tcW w:w="993" w:type="dxa"/>
            <w:vMerge w:val="restart"/>
            <w:noWrap/>
            <w:hideMark/>
          </w:tcPr>
          <w:p w14:paraId="3DF33FB3"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Private</w:t>
            </w:r>
          </w:p>
        </w:tc>
        <w:tc>
          <w:tcPr>
            <w:tcW w:w="3044" w:type="dxa"/>
            <w:gridSpan w:val="2"/>
            <w:noWrap/>
            <w:hideMark/>
          </w:tcPr>
          <w:p w14:paraId="37DF9A8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Total</w:t>
            </w:r>
          </w:p>
        </w:tc>
        <w:tc>
          <w:tcPr>
            <w:tcW w:w="983" w:type="dxa"/>
            <w:noWrap/>
            <w:hideMark/>
          </w:tcPr>
          <w:p w14:paraId="183736F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253</w:t>
            </w:r>
          </w:p>
        </w:tc>
        <w:tc>
          <w:tcPr>
            <w:tcW w:w="983" w:type="dxa"/>
            <w:noWrap/>
            <w:hideMark/>
          </w:tcPr>
          <w:p w14:paraId="194424A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250</w:t>
            </w:r>
          </w:p>
        </w:tc>
        <w:tc>
          <w:tcPr>
            <w:tcW w:w="983" w:type="dxa"/>
            <w:noWrap/>
            <w:hideMark/>
          </w:tcPr>
          <w:p w14:paraId="663EF7B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w:t>
            </w:r>
          </w:p>
        </w:tc>
        <w:tc>
          <w:tcPr>
            <w:tcW w:w="983" w:type="dxa"/>
            <w:noWrap/>
            <w:hideMark/>
          </w:tcPr>
          <w:p w14:paraId="18B28B5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1174" w:type="dxa"/>
            <w:noWrap/>
            <w:hideMark/>
          </w:tcPr>
          <w:p w14:paraId="14984A3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45,696</w:t>
            </w:r>
          </w:p>
        </w:tc>
        <w:tc>
          <w:tcPr>
            <w:tcW w:w="1174" w:type="dxa"/>
            <w:noWrap/>
            <w:hideMark/>
          </w:tcPr>
          <w:p w14:paraId="31650AD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44,581</w:t>
            </w:r>
          </w:p>
        </w:tc>
        <w:tc>
          <w:tcPr>
            <w:tcW w:w="1174" w:type="dxa"/>
            <w:noWrap/>
            <w:hideMark/>
          </w:tcPr>
          <w:p w14:paraId="0C5E67B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998</w:t>
            </w:r>
          </w:p>
        </w:tc>
        <w:tc>
          <w:tcPr>
            <w:tcW w:w="1174" w:type="dxa"/>
            <w:noWrap/>
            <w:hideMark/>
          </w:tcPr>
          <w:p w14:paraId="1CBD065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117</w:t>
            </w:r>
          </w:p>
        </w:tc>
      </w:tr>
      <w:tr w:rsidR="00BF10A3" w:rsidRPr="00E63A6B" w14:paraId="725D3B25" w14:textId="77777777" w:rsidTr="001F7400">
        <w:trPr>
          <w:trHeight w:val="258"/>
        </w:trPr>
        <w:tc>
          <w:tcPr>
            <w:tcW w:w="993" w:type="dxa"/>
            <w:vMerge/>
            <w:hideMark/>
          </w:tcPr>
          <w:p w14:paraId="593065C3" w14:textId="77777777" w:rsidR="00BF10A3" w:rsidRPr="00E63A6B" w:rsidRDefault="00BF10A3" w:rsidP="001F7400">
            <w:pPr>
              <w:rPr>
                <w:rFonts w:ascii="Courier New" w:eastAsiaTheme="minorHAnsi" w:hAnsi="Courier New" w:cstheme="minorBidi"/>
                <w:b/>
                <w:bCs/>
                <w:sz w:val="16"/>
              </w:rPr>
            </w:pPr>
          </w:p>
        </w:tc>
        <w:tc>
          <w:tcPr>
            <w:tcW w:w="800" w:type="dxa"/>
            <w:noWrap/>
            <w:hideMark/>
          </w:tcPr>
          <w:p w14:paraId="30BCD37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&lt; 2 year</w:t>
            </w:r>
          </w:p>
        </w:tc>
        <w:tc>
          <w:tcPr>
            <w:tcW w:w="2243" w:type="dxa"/>
            <w:noWrap/>
            <w:hideMark/>
          </w:tcPr>
          <w:p w14:paraId="570A409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3F5CED6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w:t>
            </w:r>
          </w:p>
        </w:tc>
        <w:tc>
          <w:tcPr>
            <w:tcW w:w="983" w:type="dxa"/>
            <w:noWrap/>
            <w:hideMark/>
          </w:tcPr>
          <w:p w14:paraId="6B0D18C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w:t>
            </w:r>
          </w:p>
        </w:tc>
        <w:tc>
          <w:tcPr>
            <w:tcW w:w="983" w:type="dxa"/>
            <w:noWrap/>
            <w:hideMark/>
          </w:tcPr>
          <w:p w14:paraId="707C949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765E0A5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0BFE4E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9,609</w:t>
            </w:r>
          </w:p>
        </w:tc>
        <w:tc>
          <w:tcPr>
            <w:tcW w:w="1174" w:type="dxa"/>
            <w:noWrap/>
            <w:hideMark/>
          </w:tcPr>
          <w:p w14:paraId="2CBD536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9,609</w:t>
            </w:r>
          </w:p>
        </w:tc>
        <w:tc>
          <w:tcPr>
            <w:tcW w:w="1174" w:type="dxa"/>
            <w:noWrap/>
            <w:hideMark/>
          </w:tcPr>
          <w:p w14:paraId="763555F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772F730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00BB30ED" w14:textId="77777777" w:rsidTr="001F7400">
        <w:trPr>
          <w:trHeight w:val="258"/>
        </w:trPr>
        <w:tc>
          <w:tcPr>
            <w:tcW w:w="993" w:type="dxa"/>
            <w:vMerge/>
            <w:hideMark/>
          </w:tcPr>
          <w:p w14:paraId="7DB2E5A9"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532181E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 year</w:t>
            </w:r>
          </w:p>
        </w:tc>
        <w:tc>
          <w:tcPr>
            <w:tcW w:w="2243" w:type="dxa"/>
            <w:noWrap/>
            <w:hideMark/>
          </w:tcPr>
          <w:p w14:paraId="478137F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434D99C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73</w:t>
            </w:r>
          </w:p>
        </w:tc>
        <w:tc>
          <w:tcPr>
            <w:tcW w:w="983" w:type="dxa"/>
            <w:noWrap/>
            <w:hideMark/>
          </w:tcPr>
          <w:p w14:paraId="13127D2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73</w:t>
            </w:r>
          </w:p>
        </w:tc>
        <w:tc>
          <w:tcPr>
            <w:tcW w:w="983" w:type="dxa"/>
            <w:noWrap/>
            <w:hideMark/>
          </w:tcPr>
          <w:p w14:paraId="4759258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4201816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4ECD888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10,307</w:t>
            </w:r>
          </w:p>
        </w:tc>
        <w:tc>
          <w:tcPr>
            <w:tcW w:w="1174" w:type="dxa"/>
            <w:noWrap/>
            <w:hideMark/>
          </w:tcPr>
          <w:p w14:paraId="3DFBB3E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10,307</w:t>
            </w:r>
          </w:p>
        </w:tc>
        <w:tc>
          <w:tcPr>
            <w:tcW w:w="1174" w:type="dxa"/>
            <w:noWrap/>
            <w:hideMark/>
          </w:tcPr>
          <w:p w14:paraId="7C309CD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6FFE101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299D7720" w14:textId="77777777" w:rsidTr="001F7400">
        <w:trPr>
          <w:trHeight w:val="258"/>
        </w:trPr>
        <w:tc>
          <w:tcPr>
            <w:tcW w:w="993" w:type="dxa"/>
            <w:vMerge/>
            <w:hideMark/>
          </w:tcPr>
          <w:p w14:paraId="285091FF"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35FDA952"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5F55914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Post-Bacc Certificate</w:t>
            </w:r>
          </w:p>
        </w:tc>
        <w:tc>
          <w:tcPr>
            <w:tcW w:w="983" w:type="dxa"/>
            <w:noWrap/>
            <w:hideMark/>
          </w:tcPr>
          <w:p w14:paraId="70B35B4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2BC0E69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225B133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1AFBD43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4A09B35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17</w:t>
            </w:r>
          </w:p>
        </w:tc>
        <w:tc>
          <w:tcPr>
            <w:tcW w:w="1174" w:type="dxa"/>
            <w:noWrap/>
            <w:hideMark/>
          </w:tcPr>
          <w:p w14:paraId="7131537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17</w:t>
            </w:r>
          </w:p>
        </w:tc>
        <w:tc>
          <w:tcPr>
            <w:tcW w:w="1174" w:type="dxa"/>
            <w:noWrap/>
            <w:hideMark/>
          </w:tcPr>
          <w:p w14:paraId="0C5BCDA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38EE50C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4A4DF5D9" w14:textId="77777777" w:rsidTr="001F7400">
        <w:trPr>
          <w:trHeight w:val="258"/>
        </w:trPr>
        <w:tc>
          <w:tcPr>
            <w:tcW w:w="993" w:type="dxa"/>
            <w:vMerge/>
            <w:hideMark/>
          </w:tcPr>
          <w:p w14:paraId="18EFCD23"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429D684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4-year</w:t>
            </w:r>
          </w:p>
        </w:tc>
        <w:tc>
          <w:tcPr>
            <w:tcW w:w="2243" w:type="dxa"/>
            <w:noWrap/>
            <w:hideMark/>
          </w:tcPr>
          <w:p w14:paraId="2BB5ED8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7D65C19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91</w:t>
            </w:r>
          </w:p>
        </w:tc>
        <w:tc>
          <w:tcPr>
            <w:tcW w:w="983" w:type="dxa"/>
            <w:noWrap/>
            <w:hideMark/>
          </w:tcPr>
          <w:p w14:paraId="43C163A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89</w:t>
            </w:r>
          </w:p>
        </w:tc>
        <w:tc>
          <w:tcPr>
            <w:tcW w:w="983" w:type="dxa"/>
            <w:noWrap/>
            <w:hideMark/>
          </w:tcPr>
          <w:p w14:paraId="6D18B96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688CDBE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1174" w:type="dxa"/>
            <w:noWrap/>
            <w:hideMark/>
          </w:tcPr>
          <w:p w14:paraId="7EDC73E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20,666</w:t>
            </w:r>
          </w:p>
        </w:tc>
        <w:tc>
          <w:tcPr>
            <w:tcW w:w="1174" w:type="dxa"/>
            <w:noWrap/>
            <w:hideMark/>
          </w:tcPr>
          <w:p w14:paraId="6A570FA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19,671</w:t>
            </w:r>
          </w:p>
        </w:tc>
        <w:tc>
          <w:tcPr>
            <w:tcW w:w="1174" w:type="dxa"/>
            <w:noWrap/>
            <w:hideMark/>
          </w:tcPr>
          <w:p w14:paraId="28FF5B7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878</w:t>
            </w:r>
          </w:p>
        </w:tc>
        <w:tc>
          <w:tcPr>
            <w:tcW w:w="1174" w:type="dxa"/>
            <w:noWrap/>
            <w:hideMark/>
          </w:tcPr>
          <w:p w14:paraId="6765DFF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117</w:t>
            </w:r>
          </w:p>
        </w:tc>
      </w:tr>
      <w:tr w:rsidR="00BF10A3" w:rsidRPr="00E63A6B" w14:paraId="48CC6716" w14:textId="77777777" w:rsidTr="001F7400">
        <w:trPr>
          <w:trHeight w:val="258"/>
        </w:trPr>
        <w:tc>
          <w:tcPr>
            <w:tcW w:w="993" w:type="dxa"/>
            <w:vMerge/>
            <w:hideMark/>
          </w:tcPr>
          <w:p w14:paraId="2BDD6DFC"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68D12274"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3A23A80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Post-Bacc Certificate</w:t>
            </w:r>
          </w:p>
        </w:tc>
        <w:tc>
          <w:tcPr>
            <w:tcW w:w="983" w:type="dxa"/>
            <w:noWrap/>
            <w:hideMark/>
          </w:tcPr>
          <w:p w14:paraId="04F250B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39</w:t>
            </w:r>
          </w:p>
        </w:tc>
        <w:tc>
          <w:tcPr>
            <w:tcW w:w="983" w:type="dxa"/>
            <w:noWrap/>
            <w:hideMark/>
          </w:tcPr>
          <w:p w14:paraId="5F0E4D9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38</w:t>
            </w:r>
          </w:p>
        </w:tc>
        <w:tc>
          <w:tcPr>
            <w:tcW w:w="983" w:type="dxa"/>
            <w:noWrap/>
            <w:hideMark/>
          </w:tcPr>
          <w:p w14:paraId="42C3C25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w:t>
            </w:r>
          </w:p>
        </w:tc>
        <w:tc>
          <w:tcPr>
            <w:tcW w:w="983" w:type="dxa"/>
            <w:noWrap/>
            <w:hideMark/>
          </w:tcPr>
          <w:p w14:paraId="6B047D8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26511ED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5,097</w:t>
            </w:r>
          </w:p>
        </w:tc>
        <w:tc>
          <w:tcPr>
            <w:tcW w:w="1174" w:type="dxa"/>
            <w:noWrap/>
            <w:hideMark/>
          </w:tcPr>
          <w:p w14:paraId="1118830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4,977</w:t>
            </w:r>
          </w:p>
        </w:tc>
        <w:tc>
          <w:tcPr>
            <w:tcW w:w="1174" w:type="dxa"/>
            <w:noWrap/>
            <w:hideMark/>
          </w:tcPr>
          <w:p w14:paraId="74689A5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120</w:t>
            </w:r>
          </w:p>
        </w:tc>
        <w:tc>
          <w:tcPr>
            <w:tcW w:w="1174" w:type="dxa"/>
            <w:noWrap/>
            <w:hideMark/>
          </w:tcPr>
          <w:p w14:paraId="6BF59E7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14655B44" w14:textId="77777777" w:rsidTr="001F7400">
        <w:trPr>
          <w:trHeight w:val="271"/>
        </w:trPr>
        <w:tc>
          <w:tcPr>
            <w:tcW w:w="993" w:type="dxa"/>
            <w:vMerge w:val="restart"/>
            <w:noWrap/>
            <w:hideMark/>
          </w:tcPr>
          <w:p w14:paraId="649B9194" w14:textId="77777777" w:rsidR="00BF10A3" w:rsidRPr="00E63A6B" w:rsidRDefault="00BF10A3" w:rsidP="001F7400">
            <w:pPr>
              <w:rPr>
                <w:rFonts w:ascii="Courier New" w:eastAsiaTheme="minorHAnsi" w:hAnsi="Courier New" w:cstheme="minorBidi"/>
                <w:b/>
                <w:bCs/>
                <w:sz w:val="16"/>
              </w:rPr>
            </w:pPr>
            <w:r w:rsidRPr="00E63A6B">
              <w:rPr>
                <w:rFonts w:ascii="Courier New" w:eastAsiaTheme="minorHAnsi" w:hAnsi="Courier New" w:cstheme="minorBidi"/>
                <w:b/>
                <w:bCs/>
                <w:sz w:val="16"/>
              </w:rPr>
              <w:t>For-Profit</w:t>
            </w:r>
          </w:p>
        </w:tc>
        <w:tc>
          <w:tcPr>
            <w:tcW w:w="3044" w:type="dxa"/>
            <w:gridSpan w:val="2"/>
            <w:noWrap/>
            <w:hideMark/>
          </w:tcPr>
          <w:p w14:paraId="3F2CCBC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Total</w:t>
            </w:r>
          </w:p>
        </w:tc>
        <w:tc>
          <w:tcPr>
            <w:tcW w:w="983" w:type="dxa"/>
            <w:noWrap/>
            <w:hideMark/>
          </w:tcPr>
          <w:p w14:paraId="3491A80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4,193</w:t>
            </w:r>
          </w:p>
        </w:tc>
        <w:tc>
          <w:tcPr>
            <w:tcW w:w="983" w:type="dxa"/>
            <w:noWrap/>
            <w:hideMark/>
          </w:tcPr>
          <w:p w14:paraId="52E799C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3,643</w:t>
            </w:r>
          </w:p>
        </w:tc>
        <w:tc>
          <w:tcPr>
            <w:tcW w:w="983" w:type="dxa"/>
            <w:noWrap/>
            <w:hideMark/>
          </w:tcPr>
          <w:p w14:paraId="1A03A94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364</w:t>
            </w:r>
          </w:p>
        </w:tc>
        <w:tc>
          <w:tcPr>
            <w:tcW w:w="983" w:type="dxa"/>
            <w:noWrap/>
            <w:hideMark/>
          </w:tcPr>
          <w:p w14:paraId="1982134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186</w:t>
            </w:r>
          </w:p>
        </w:tc>
        <w:tc>
          <w:tcPr>
            <w:tcW w:w="1174" w:type="dxa"/>
            <w:noWrap/>
            <w:hideMark/>
          </w:tcPr>
          <w:p w14:paraId="2E29BE9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2,333,187</w:t>
            </w:r>
          </w:p>
        </w:tc>
        <w:tc>
          <w:tcPr>
            <w:tcW w:w="1174" w:type="dxa"/>
            <w:noWrap/>
            <w:hideMark/>
          </w:tcPr>
          <w:p w14:paraId="12818B1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1,921,377</w:t>
            </w:r>
          </w:p>
        </w:tc>
        <w:tc>
          <w:tcPr>
            <w:tcW w:w="1174" w:type="dxa"/>
            <w:noWrap/>
            <w:hideMark/>
          </w:tcPr>
          <w:p w14:paraId="0EC28C5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302,473</w:t>
            </w:r>
          </w:p>
        </w:tc>
        <w:tc>
          <w:tcPr>
            <w:tcW w:w="1174" w:type="dxa"/>
            <w:noWrap/>
            <w:hideMark/>
          </w:tcPr>
          <w:p w14:paraId="588F816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109,337</w:t>
            </w:r>
          </w:p>
        </w:tc>
      </w:tr>
      <w:tr w:rsidR="00BF10A3" w:rsidRPr="00E63A6B" w14:paraId="50839D60" w14:textId="77777777" w:rsidTr="001F7400">
        <w:trPr>
          <w:trHeight w:val="258"/>
        </w:trPr>
        <w:tc>
          <w:tcPr>
            <w:tcW w:w="993" w:type="dxa"/>
            <w:vMerge/>
            <w:hideMark/>
          </w:tcPr>
          <w:p w14:paraId="0F6AEE50"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144525C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&lt; 2 year</w:t>
            </w:r>
          </w:p>
        </w:tc>
        <w:tc>
          <w:tcPr>
            <w:tcW w:w="2243" w:type="dxa"/>
            <w:noWrap/>
            <w:hideMark/>
          </w:tcPr>
          <w:p w14:paraId="3BC78F1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71C98E5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1,100</w:t>
            </w:r>
          </w:p>
        </w:tc>
        <w:tc>
          <w:tcPr>
            <w:tcW w:w="983" w:type="dxa"/>
            <w:noWrap/>
            <w:hideMark/>
          </w:tcPr>
          <w:p w14:paraId="5C65AA4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1,063</w:t>
            </w:r>
          </w:p>
        </w:tc>
        <w:tc>
          <w:tcPr>
            <w:tcW w:w="983" w:type="dxa"/>
            <w:noWrap/>
            <w:hideMark/>
          </w:tcPr>
          <w:p w14:paraId="4341E1A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34</w:t>
            </w:r>
          </w:p>
        </w:tc>
        <w:tc>
          <w:tcPr>
            <w:tcW w:w="983" w:type="dxa"/>
            <w:noWrap/>
            <w:hideMark/>
          </w:tcPr>
          <w:p w14:paraId="517B5DB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w:t>
            </w:r>
          </w:p>
        </w:tc>
        <w:tc>
          <w:tcPr>
            <w:tcW w:w="1174" w:type="dxa"/>
            <w:noWrap/>
            <w:hideMark/>
          </w:tcPr>
          <w:p w14:paraId="04C66A2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216,363</w:t>
            </w:r>
          </w:p>
        </w:tc>
        <w:tc>
          <w:tcPr>
            <w:tcW w:w="1174" w:type="dxa"/>
            <w:noWrap/>
            <w:hideMark/>
          </w:tcPr>
          <w:p w14:paraId="4AE42B7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206,008</w:t>
            </w:r>
          </w:p>
        </w:tc>
        <w:tc>
          <w:tcPr>
            <w:tcW w:w="1174" w:type="dxa"/>
            <w:noWrap/>
            <w:hideMark/>
          </w:tcPr>
          <w:p w14:paraId="2E65773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9,731</w:t>
            </w:r>
          </w:p>
        </w:tc>
        <w:tc>
          <w:tcPr>
            <w:tcW w:w="1174" w:type="dxa"/>
            <w:noWrap/>
            <w:hideMark/>
          </w:tcPr>
          <w:p w14:paraId="059C194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624</w:t>
            </w:r>
          </w:p>
        </w:tc>
      </w:tr>
      <w:tr w:rsidR="00BF10A3" w:rsidRPr="00E63A6B" w14:paraId="7C5C5C47" w14:textId="77777777" w:rsidTr="001F7400">
        <w:trPr>
          <w:trHeight w:val="258"/>
        </w:trPr>
        <w:tc>
          <w:tcPr>
            <w:tcW w:w="993" w:type="dxa"/>
            <w:vMerge/>
            <w:hideMark/>
          </w:tcPr>
          <w:p w14:paraId="6439561F"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06A9D2D5"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3C09FA9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Associate's</w:t>
            </w:r>
          </w:p>
        </w:tc>
        <w:tc>
          <w:tcPr>
            <w:tcW w:w="983" w:type="dxa"/>
            <w:noWrap/>
            <w:hideMark/>
          </w:tcPr>
          <w:p w14:paraId="65E02C9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w:t>
            </w:r>
          </w:p>
        </w:tc>
        <w:tc>
          <w:tcPr>
            <w:tcW w:w="983" w:type="dxa"/>
            <w:noWrap/>
            <w:hideMark/>
          </w:tcPr>
          <w:p w14:paraId="641B17E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w:t>
            </w:r>
          </w:p>
        </w:tc>
        <w:tc>
          <w:tcPr>
            <w:tcW w:w="983" w:type="dxa"/>
            <w:noWrap/>
            <w:hideMark/>
          </w:tcPr>
          <w:p w14:paraId="7E711FE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54E2E8F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200F4C9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195</w:t>
            </w:r>
          </w:p>
        </w:tc>
        <w:tc>
          <w:tcPr>
            <w:tcW w:w="1174" w:type="dxa"/>
            <w:noWrap/>
            <w:hideMark/>
          </w:tcPr>
          <w:p w14:paraId="05F99A3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195</w:t>
            </w:r>
          </w:p>
        </w:tc>
        <w:tc>
          <w:tcPr>
            <w:tcW w:w="1174" w:type="dxa"/>
            <w:noWrap/>
            <w:hideMark/>
          </w:tcPr>
          <w:p w14:paraId="539EF32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13E2BC3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643CE742" w14:textId="77777777" w:rsidTr="001F7400">
        <w:trPr>
          <w:trHeight w:val="258"/>
        </w:trPr>
        <w:tc>
          <w:tcPr>
            <w:tcW w:w="993" w:type="dxa"/>
            <w:vMerge/>
            <w:hideMark/>
          </w:tcPr>
          <w:p w14:paraId="7E4D141D"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6E099431"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00871F2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1st Professional Degree</w:t>
            </w:r>
          </w:p>
        </w:tc>
        <w:tc>
          <w:tcPr>
            <w:tcW w:w="983" w:type="dxa"/>
            <w:noWrap/>
            <w:hideMark/>
          </w:tcPr>
          <w:p w14:paraId="5AC2DEA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w:t>
            </w:r>
          </w:p>
        </w:tc>
        <w:tc>
          <w:tcPr>
            <w:tcW w:w="983" w:type="dxa"/>
            <w:noWrap/>
            <w:hideMark/>
          </w:tcPr>
          <w:p w14:paraId="00E585F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w:t>
            </w:r>
          </w:p>
        </w:tc>
        <w:tc>
          <w:tcPr>
            <w:tcW w:w="983" w:type="dxa"/>
            <w:noWrap/>
            <w:hideMark/>
          </w:tcPr>
          <w:p w14:paraId="00502D7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1EEE046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2C2CC42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312</w:t>
            </w:r>
          </w:p>
        </w:tc>
        <w:tc>
          <w:tcPr>
            <w:tcW w:w="1174" w:type="dxa"/>
            <w:noWrap/>
            <w:hideMark/>
          </w:tcPr>
          <w:p w14:paraId="4C6D74C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312</w:t>
            </w:r>
          </w:p>
        </w:tc>
        <w:tc>
          <w:tcPr>
            <w:tcW w:w="1174" w:type="dxa"/>
            <w:noWrap/>
            <w:hideMark/>
          </w:tcPr>
          <w:p w14:paraId="1E264FD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3ED09DA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281AE072" w14:textId="77777777" w:rsidTr="001F7400">
        <w:trPr>
          <w:trHeight w:val="258"/>
        </w:trPr>
        <w:tc>
          <w:tcPr>
            <w:tcW w:w="993" w:type="dxa"/>
            <w:vMerge/>
            <w:hideMark/>
          </w:tcPr>
          <w:p w14:paraId="0F80B5C8"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57CA753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 year</w:t>
            </w:r>
          </w:p>
        </w:tc>
        <w:tc>
          <w:tcPr>
            <w:tcW w:w="2243" w:type="dxa"/>
            <w:noWrap/>
            <w:hideMark/>
          </w:tcPr>
          <w:p w14:paraId="0CFFF50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526902C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1,223</w:t>
            </w:r>
          </w:p>
        </w:tc>
        <w:tc>
          <w:tcPr>
            <w:tcW w:w="983" w:type="dxa"/>
            <w:noWrap/>
            <w:hideMark/>
          </w:tcPr>
          <w:p w14:paraId="219BC32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1,169</w:t>
            </w:r>
          </w:p>
        </w:tc>
        <w:tc>
          <w:tcPr>
            <w:tcW w:w="983" w:type="dxa"/>
            <w:noWrap/>
            <w:hideMark/>
          </w:tcPr>
          <w:p w14:paraId="6F9AF14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w:t>
            </w:r>
          </w:p>
        </w:tc>
        <w:tc>
          <w:tcPr>
            <w:tcW w:w="983" w:type="dxa"/>
            <w:noWrap/>
            <w:hideMark/>
          </w:tcPr>
          <w:p w14:paraId="26282F6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w:t>
            </w:r>
          </w:p>
        </w:tc>
        <w:tc>
          <w:tcPr>
            <w:tcW w:w="1174" w:type="dxa"/>
            <w:noWrap/>
            <w:hideMark/>
          </w:tcPr>
          <w:p w14:paraId="6EAE613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365,500</w:t>
            </w:r>
          </w:p>
        </w:tc>
        <w:tc>
          <w:tcPr>
            <w:tcW w:w="1174" w:type="dxa"/>
            <w:noWrap/>
            <w:hideMark/>
          </w:tcPr>
          <w:p w14:paraId="32D592E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352,788</w:t>
            </w:r>
          </w:p>
        </w:tc>
        <w:tc>
          <w:tcPr>
            <w:tcW w:w="1174" w:type="dxa"/>
            <w:noWrap/>
            <w:hideMark/>
          </w:tcPr>
          <w:p w14:paraId="467108F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12,189</w:t>
            </w:r>
          </w:p>
        </w:tc>
        <w:tc>
          <w:tcPr>
            <w:tcW w:w="1174" w:type="dxa"/>
            <w:noWrap/>
            <w:hideMark/>
          </w:tcPr>
          <w:p w14:paraId="7972119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523</w:t>
            </w:r>
          </w:p>
        </w:tc>
      </w:tr>
      <w:tr w:rsidR="00BF10A3" w:rsidRPr="00E63A6B" w14:paraId="07016523" w14:textId="77777777" w:rsidTr="001F7400">
        <w:trPr>
          <w:trHeight w:val="258"/>
        </w:trPr>
        <w:tc>
          <w:tcPr>
            <w:tcW w:w="993" w:type="dxa"/>
            <w:vMerge/>
            <w:hideMark/>
          </w:tcPr>
          <w:p w14:paraId="2A214D9B"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5AAB0521"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6DF0AA5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Associate's</w:t>
            </w:r>
          </w:p>
        </w:tc>
        <w:tc>
          <w:tcPr>
            <w:tcW w:w="983" w:type="dxa"/>
            <w:noWrap/>
            <w:hideMark/>
          </w:tcPr>
          <w:p w14:paraId="44C2AB6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452</w:t>
            </w:r>
          </w:p>
        </w:tc>
        <w:tc>
          <w:tcPr>
            <w:tcW w:w="983" w:type="dxa"/>
            <w:noWrap/>
            <w:hideMark/>
          </w:tcPr>
          <w:p w14:paraId="7B36A7A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379</w:t>
            </w:r>
          </w:p>
        </w:tc>
        <w:tc>
          <w:tcPr>
            <w:tcW w:w="983" w:type="dxa"/>
            <w:noWrap/>
            <w:hideMark/>
          </w:tcPr>
          <w:p w14:paraId="7ACA503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57</w:t>
            </w:r>
          </w:p>
        </w:tc>
        <w:tc>
          <w:tcPr>
            <w:tcW w:w="983" w:type="dxa"/>
            <w:noWrap/>
            <w:hideMark/>
          </w:tcPr>
          <w:p w14:paraId="3E75123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16</w:t>
            </w:r>
          </w:p>
        </w:tc>
        <w:tc>
          <w:tcPr>
            <w:tcW w:w="1174" w:type="dxa"/>
            <w:noWrap/>
            <w:hideMark/>
          </w:tcPr>
          <w:p w14:paraId="2C47E08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105,750</w:t>
            </w:r>
          </w:p>
        </w:tc>
        <w:tc>
          <w:tcPr>
            <w:tcW w:w="1174" w:type="dxa"/>
            <w:noWrap/>
            <w:hideMark/>
          </w:tcPr>
          <w:p w14:paraId="5C7C949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77,226</w:t>
            </w:r>
          </w:p>
        </w:tc>
        <w:tc>
          <w:tcPr>
            <w:tcW w:w="1174" w:type="dxa"/>
            <w:noWrap/>
            <w:hideMark/>
          </w:tcPr>
          <w:p w14:paraId="325E76D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16,125</w:t>
            </w:r>
          </w:p>
        </w:tc>
        <w:tc>
          <w:tcPr>
            <w:tcW w:w="1174" w:type="dxa"/>
            <w:noWrap/>
            <w:hideMark/>
          </w:tcPr>
          <w:p w14:paraId="6D02299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12,399</w:t>
            </w:r>
          </w:p>
        </w:tc>
      </w:tr>
      <w:tr w:rsidR="00BF10A3" w:rsidRPr="00E63A6B" w14:paraId="20832FEB" w14:textId="77777777" w:rsidTr="001F7400">
        <w:trPr>
          <w:trHeight w:val="258"/>
        </w:trPr>
        <w:tc>
          <w:tcPr>
            <w:tcW w:w="993" w:type="dxa"/>
            <w:vMerge/>
            <w:hideMark/>
          </w:tcPr>
          <w:p w14:paraId="5B91B1E0"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7F61C71F"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6520EDE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Post-Bacc Certificate</w:t>
            </w:r>
          </w:p>
        </w:tc>
        <w:tc>
          <w:tcPr>
            <w:tcW w:w="983" w:type="dxa"/>
            <w:noWrap/>
            <w:hideMark/>
          </w:tcPr>
          <w:p w14:paraId="3B541B6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w:t>
            </w:r>
          </w:p>
        </w:tc>
        <w:tc>
          <w:tcPr>
            <w:tcW w:w="983" w:type="dxa"/>
            <w:noWrap/>
            <w:hideMark/>
          </w:tcPr>
          <w:p w14:paraId="24AB04E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w:t>
            </w:r>
          </w:p>
        </w:tc>
        <w:tc>
          <w:tcPr>
            <w:tcW w:w="983" w:type="dxa"/>
            <w:noWrap/>
            <w:hideMark/>
          </w:tcPr>
          <w:p w14:paraId="4FE7A8E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0548368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3E5FEBB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156</w:t>
            </w:r>
          </w:p>
        </w:tc>
        <w:tc>
          <w:tcPr>
            <w:tcW w:w="1174" w:type="dxa"/>
            <w:noWrap/>
            <w:hideMark/>
          </w:tcPr>
          <w:p w14:paraId="00E2F18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156</w:t>
            </w:r>
          </w:p>
        </w:tc>
        <w:tc>
          <w:tcPr>
            <w:tcW w:w="1174" w:type="dxa"/>
            <w:noWrap/>
            <w:hideMark/>
          </w:tcPr>
          <w:p w14:paraId="1D5868F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63BE8F0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195F3A95" w14:textId="77777777" w:rsidTr="001F7400">
        <w:trPr>
          <w:trHeight w:val="258"/>
        </w:trPr>
        <w:tc>
          <w:tcPr>
            <w:tcW w:w="993" w:type="dxa"/>
            <w:vMerge/>
            <w:hideMark/>
          </w:tcPr>
          <w:p w14:paraId="63D21719" w14:textId="77777777" w:rsidR="00BF10A3" w:rsidRPr="00E63A6B" w:rsidRDefault="00BF10A3" w:rsidP="001F7400">
            <w:pPr>
              <w:rPr>
                <w:rFonts w:ascii="Courier New" w:eastAsiaTheme="minorHAnsi" w:hAnsi="Courier New" w:cstheme="minorBidi"/>
                <w:b/>
                <w:bCs/>
                <w:sz w:val="16"/>
              </w:rPr>
            </w:pPr>
          </w:p>
        </w:tc>
        <w:tc>
          <w:tcPr>
            <w:tcW w:w="800" w:type="dxa"/>
            <w:vMerge w:val="restart"/>
            <w:noWrap/>
            <w:hideMark/>
          </w:tcPr>
          <w:p w14:paraId="0DCCF3E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4-year</w:t>
            </w:r>
          </w:p>
        </w:tc>
        <w:tc>
          <w:tcPr>
            <w:tcW w:w="2243" w:type="dxa"/>
            <w:noWrap/>
            <w:hideMark/>
          </w:tcPr>
          <w:p w14:paraId="0AB6766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Certificate</w:t>
            </w:r>
          </w:p>
        </w:tc>
        <w:tc>
          <w:tcPr>
            <w:tcW w:w="983" w:type="dxa"/>
            <w:noWrap/>
            <w:hideMark/>
          </w:tcPr>
          <w:p w14:paraId="14E94D2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267</w:t>
            </w:r>
          </w:p>
        </w:tc>
        <w:tc>
          <w:tcPr>
            <w:tcW w:w="983" w:type="dxa"/>
            <w:noWrap/>
            <w:hideMark/>
          </w:tcPr>
          <w:p w14:paraId="55425F3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239</w:t>
            </w:r>
          </w:p>
        </w:tc>
        <w:tc>
          <w:tcPr>
            <w:tcW w:w="983" w:type="dxa"/>
            <w:noWrap/>
            <w:hideMark/>
          </w:tcPr>
          <w:p w14:paraId="6E4B665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24</w:t>
            </w:r>
          </w:p>
        </w:tc>
        <w:tc>
          <w:tcPr>
            <w:tcW w:w="983" w:type="dxa"/>
            <w:noWrap/>
            <w:hideMark/>
          </w:tcPr>
          <w:p w14:paraId="5DA3167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w:t>
            </w:r>
          </w:p>
        </w:tc>
        <w:tc>
          <w:tcPr>
            <w:tcW w:w="1174" w:type="dxa"/>
            <w:noWrap/>
            <w:hideMark/>
          </w:tcPr>
          <w:p w14:paraId="54A29A4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84,610</w:t>
            </w:r>
          </w:p>
        </w:tc>
        <w:tc>
          <w:tcPr>
            <w:tcW w:w="1174" w:type="dxa"/>
            <w:noWrap/>
            <w:hideMark/>
          </w:tcPr>
          <w:p w14:paraId="7D0603C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77,307</w:t>
            </w:r>
          </w:p>
        </w:tc>
        <w:tc>
          <w:tcPr>
            <w:tcW w:w="1174" w:type="dxa"/>
            <w:noWrap/>
            <w:hideMark/>
          </w:tcPr>
          <w:p w14:paraId="6ACB4BD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7,002</w:t>
            </w:r>
          </w:p>
        </w:tc>
        <w:tc>
          <w:tcPr>
            <w:tcW w:w="1174" w:type="dxa"/>
            <w:noWrap/>
            <w:hideMark/>
          </w:tcPr>
          <w:p w14:paraId="14298EF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301</w:t>
            </w:r>
          </w:p>
        </w:tc>
      </w:tr>
      <w:tr w:rsidR="00BF10A3" w:rsidRPr="00E63A6B" w14:paraId="53CED59B" w14:textId="77777777" w:rsidTr="001F7400">
        <w:trPr>
          <w:trHeight w:val="258"/>
        </w:trPr>
        <w:tc>
          <w:tcPr>
            <w:tcW w:w="993" w:type="dxa"/>
            <w:vMerge/>
            <w:hideMark/>
          </w:tcPr>
          <w:p w14:paraId="75572238"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2AC8B21C"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7065A81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Associate's</w:t>
            </w:r>
          </w:p>
        </w:tc>
        <w:tc>
          <w:tcPr>
            <w:tcW w:w="983" w:type="dxa"/>
            <w:noWrap/>
            <w:hideMark/>
          </w:tcPr>
          <w:p w14:paraId="06EDBAD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514</w:t>
            </w:r>
          </w:p>
        </w:tc>
        <w:tc>
          <w:tcPr>
            <w:tcW w:w="983" w:type="dxa"/>
            <w:noWrap/>
            <w:hideMark/>
          </w:tcPr>
          <w:p w14:paraId="6924BC9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350</w:t>
            </w:r>
          </w:p>
        </w:tc>
        <w:tc>
          <w:tcPr>
            <w:tcW w:w="983" w:type="dxa"/>
            <w:noWrap/>
            <w:hideMark/>
          </w:tcPr>
          <w:p w14:paraId="4162DBF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118</w:t>
            </w:r>
          </w:p>
        </w:tc>
        <w:tc>
          <w:tcPr>
            <w:tcW w:w="983" w:type="dxa"/>
            <w:noWrap/>
            <w:hideMark/>
          </w:tcPr>
          <w:p w14:paraId="089CA18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46</w:t>
            </w:r>
          </w:p>
        </w:tc>
        <w:tc>
          <w:tcPr>
            <w:tcW w:w="1174" w:type="dxa"/>
            <w:noWrap/>
            <w:hideMark/>
          </w:tcPr>
          <w:p w14:paraId="7BED0D2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669,030</w:t>
            </w:r>
          </w:p>
        </w:tc>
        <w:tc>
          <w:tcPr>
            <w:tcW w:w="1174" w:type="dxa"/>
            <w:noWrap/>
            <w:hideMark/>
          </w:tcPr>
          <w:p w14:paraId="501FA1C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415,112</w:t>
            </w:r>
          </w:p>
        </w:tc>
        <w:tc>
          <w:tcPr>
            <w:tcW w:w="1174" w:type="dxa"/>
            <w:noWrap/>
            <w:hideMark/>
          </w:tcPr>
          <w:p w14:paraId="688F6507"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206,900</w:t>
            </w:r>
          </w:p>
        </w:tc>
        <w:tc>
          <w:tcPr>
            <w:tcW w:w="1174" w:type="dxa"/>
            <w:noWrap/>
            <w:hideMark/>
          </w:tcPr>
          <w:p w14:paraId="6023ADC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47,018</w:t>
            </w:r>
          </w:p>
        </w:tc>
      </w:tr>
      <w:tr w:rsidR="00BF10A3" w:rsidRPr="00E63A6B" w14:paraId="29F550CF" w14:textId="77777777" w:rsidTr="001F7400">
        <w:trPr>
          <w:trHeight w:val="258"/>
        </w:trPr>
        <w:tc>
          <w:tcPr>
            <w:tcW w:w="993" w:type="dxa"/>
            <w:vMerge/>
            <w:hideMark/>
          </w:tcPr>
          <w:p w14:paraId="40E57021"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3D0B6D24"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7A66DF0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Bachelor's</w:t>
            </w:r>
          </w:p>
        </w:tc>
        <w:tc>
          <w:tcPr>
            <w:tcW w:w="983" w:type="dxa"/>
            <w:noWrap/>
            <w:hideMark/>
          </w:tcPr>
          <w:p w14:paraId="578737C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407</w:t>
            </w:r>
          </w:p>
        </w:tc>
        <w:tc>
          <w:tcPr>
            <w:tcW w:w="983" w:type="dxa"/>
            <w:noWrap/>
            <w:hideMark/>
          </w:tcPr>
          <w:p w14:paraId="7972DF1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233</w:t>
            </w:r>
          </w:p>
        </w:tc>
        <w:tc>
          <w:tcPr>
            <w:tcW w:w="983" w:type="dxa"/>
            <w:noWrap/>
            <w:hideMark/>
          </w:tcPr>
          <w:p w14:paraId="46E4AE5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73</w:t>
            </w:r>
          </w:p>
        </w:tc>
        <w:tc>
          <w:tcPr>
            <w:tcW w:w="983" w:type="dxa"/>
            <w:noWrap/>
            <w:hideMark/>
          </w:tcPr>
          <w:p w14:paraId="4E00787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101</w:t>
            </w:r>
          </w:p>
        </w:tc>
        <w:tc>
          <w:tcPr>
            <w:tcW w:w="1174" w:type="dxa"/>
            <w:noWrap/>
            <w:hideMark/>
          </w:tcPr>
          <w:p w14:paraId="031B91E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618,330</w:t>
            </w:r>
          </w:p>
        </w:tc>
        <w:tc>
          <w:tcPr>
            <w:tcW w:w="1174" w:type="dxa"/>
            <w:noWrap/>
            <w:hideMark/>
          </w:tcPr>
          <w:p w14:paraId="53B8343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527,631</w:t>
            </w:r>
          </w:p>
        </w:tc>
        <w:tc>
          <w:tcPr>
            <w:tcW w:w="1174" w:type="dxa"/>
            <w:noWrap/>
            <w:hideMark/>
          </w:tcPr>
          <w:p w14:paraId="5CB8D74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44,833</w:t>
            </w:r>
          </w:p>
        </w:tc>
        <w:tc>
          <w:tcPr>
            <w:tcW w:w="1174" w:type="dxa"/>
            <w:noWrap/>
            <w:hideMark/>
          </w:tcPr>
          <w:p w14:paraId="3A27F52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45,866</w:t>
            </w:r>
          </w:p>
        </w:tc>
      </w:tr>
      <w:tr w:rsidR="00BF10A3" w:rsidRPr="00E63A6B" w14:paraId="02F784B5" w14:textId="77777777" w:rsidTr="001F7400">
        <w:trPr>
          <w:trHeight w:val="258"/>
        </w:trPr>
        <w:tc>
          <w:tcPr>
            <w:tcW w:w="993" w:type="dxa"/>
            <w:vMerge/>
            <w:hideMark/>
          </w:tcPr>
          <w:p w14:paraId="4329D50A"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36DEB12E"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184015A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Post-Bacc Certificate</w:t>
            </w:r>
          </w:p>
        </w:tc>
        <w:tc>
          <w:tcPr>
            <w:tcW w:w="983" w:type="dxa"/>
            <w:noWrap/>
            <w:hideMark/>
          </w:tcPr>
          <w:p w14:paraId="6D8C006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w:t>
            </w:r>
          </w:p>
        </w:tc>
        <w:tc>
          <w:tcPr>
            <w:tcW w:w="983" w:type="dxa"/>
            <w:noWrap/>
            <w:hideMark/>
          </w:tcPr>
          <w:p w14:paraId="2EF98ED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w:t>
            </w:r>
          </w:p>
        </w:tc>
        <w:tc>
          <w:tcPr>
            <w:tcW w:w="983" w:type="dxa"/>
            <w:noWrap/>
            <w:hideMark/>
          </w:tcPr>
          <w:p w14:paraId="36E8E8B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983" w:type="dxa"/>
            <w:noWrap/>
            <w:hideMark/>
          </w:tcPr>
          <w:p w14:paraId="20350AA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2DE57AE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1,950</w:t>
            </w:r>
          </w:p>
        </w:tc>
        <w:tc>
          <w:tcPr>
            <w:tcW w:w="1174" w:type="dxa"/>
            <w:noWrap/>
            <w:hideMark/>
          </w:tcPr>
          <w:p w14:paraId="57A90DD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1,950</w:t>
            </w:r>
          </w:p>
        </w:tc>
        <w:tc>
          <w:tcPr>
            <w:tcW w:w="1174" w:type="dxa"/>
            <w:noWrap/>
            <w:hideMark/>
          </w:tcPr>
          <w:p w14:paraId="0B85D39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28132EC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066C7B68" w14:textId="77777777" w:rsidTr="001F7400">
        <w:trPr>
          <w:trHeight w:val="258"/>
        </w:trPr>
        <w:tc>
          <w:tcPr>
            <w:tcW w:w="993" w:type="dxa"/>
            <w:vMerge/>
            <w:hideMark/>
          </w:tcPr>
          <w:p w14:paraId="6CAACE7F"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6FC0C790"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51B4BF9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Master's</w:t>
            </w:r>
          </w:p>
        </w:tc>
        <w:tc>
          <w:tcPr>
            <w:tcW w:w="983" w:type="dxa"/>
            <w:noWrap/>
            <w:hideMark/>
          </w:tcPr>
          <w:p w14:paraId="1E2713C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171</w:t>
            </w:r>
          </w:p>
        </w:tc>
        <w:tc>
          <w:tcPr>
            <w:tcW w:w="983" w:type="dxa"/>
            <w:noWrap/>
            <w:hideMark/>
          </w:tcPr>
          <w:p w14:paraId="5C2F29F6"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159</w:t>
            </w:r>
          </w:p>
        </w:tc>
        <w:tc>
          <w:tcPr>
            <w:tcW w:w="983" w:type="dxa"/>
            <w:noWrap/>
            <w:hideMark/>
          </w:tcPr>
          <w:p w14:paraId="1869ACB1"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w:t>
            </w:r>
          </w:p>
        </w:tc>
        <w:tc>
          <w:tcPr>
            <w:tcW w:w="983" w:type="dxa"/>
            <w:noWrap/>
            <w:hideMark/>
          </w:tcPr>
          <w:p w14:paraId="2912D27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8</w:t>
            </w:r>
          </w:p>
        </w:tc>
        <w:tc>
          <w:tcPr>
            <w:tcW w:w="1174" w:type="dxa"/>
            <w:noWrap/>
            <w:hideMark/>
          </w:tcPr>
          <w:p w14:paraId="5221536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226,106</w:t>
            </w:r>
          </w:p>
        </w:tc>
        <w:tc>
          <w:tcPr>
            <w:tcW w:w="1174" w:type="dxa"/>
            <w:noWrap/>
            <w:hideMark/>
          </w:tcPr>
          <w:p w14:paraId="638A9D3E"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222,831</w:t>
            </w:r>
          </w:p>
        </w:tc>
        <w:tc>
          <w:tcPr>
            <w:tcW w:w="1174" w:type="dxa"/>
            <w:noWrap/>
            <w:hideMark/>
          </w:tcPr>
          <w:p w14:paraId="57BF3E2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2,055</w:t>
            </w:r>
          </w:p>
        </w:tc>
        <w:tc>
          <w:tcPr>
            <w:tcW w:w="1174" w:type="dxa"/>
            <w:noWrap/>
            <w:hideMark/>
          </w:tcPr>
          <w:p w14:paraId="5EBFFD7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1,220</w:t>
            </w:r>
          </w:p>
        </w:tc>
      </w:tr>
      <w:tr w:rsidR="00BF10A3" w:rsidRPr="00E63A6B" w14:paraId="65F8FD2B" w14:textId="77777777" w:rsidTr="001F7400">
        <w:trPr>
          <w:trHeight w:val="258"/>
        </w:trPr>
        <w:tc>
          <w:tcPr>
            <w:tcW w:w="993" w:type="dxa"/>
            <w:vMerge/>
            <w:hideMark/>
          </w:tcPr>
          <w:p w14:paraId="0AC6F3D7"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0D853548"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4A59CB2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Doctoral</w:t>
            </w:r>
          </w:p>
        </w:tc>
        <w:tc>
          <w:tcPr>
            <w:tcW w:w="983" w:type="dxa"/>
            <w:noWrap/>
            <w:hideMark/>
          </w:tcPr>
          <w:p w14:paraId="71D328E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30</w:t>
            </w:r>
          </w:p>
        </w:tc>
        <w:tc>
          <w:tcPr>
            <w:tcW w:w="983" w:type="dxa"/>
            <w:noWrap/>
            <w:hideMark/>
          </w:tcPr>
          <w:p w14:paraId="4CD5E7C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28</w:t>
            </w:r>
          </w:p>
        </w:tc>
        <w:tc>
          <w:tcPr>
            <w:tcW w:w="983" w:type="dxa"/>
            <w:noWrap/>
            <w:hideMark/>
          </w:tcPr>
          <w:p w14:paraId="452AD6A0"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w:t>
            </w:r>
          </w:p>
        </w:tc>
        <w:tc>
          <w:tcPr>
            <w:tcW w:w="983" w:type="dxa"/>
            <w:noWrap/>
            <w:hideMark/>
          </w:tcPr>
          <w:p w14:paraId="17789D95"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c>
          <w:tcPr>
            <w:tcW w:w="1174" w:type="dxa"/>
            <w:noWrap/>
            <w:hideMark/>
          </w:tcPr>
          <w:p w14:paraId="09420E5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37,676</w:t>
            </w:r>
          </w:p>
        </w:tc>
        <w:tc>
          <w:tcPr>
            <w:tcW w:w="1174" w:type="dxa"/>
            <w:noWrap/>
            <w:hideMark/>
          </w:tcPr>
          <w:p w14:paraId="462D9FD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36,754</w:t>
            </w:r>
          </w:p>
        </w:tc>
        <w:tc>
          <w:tcPr>
            <w:tcW w:w="1174" w:type="dxa"/>
            <w:noWrap/>
            <w:hideMark/>
          </w:tcPr>
          <w:p w14:paraId="5F5A9CD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922</w:t>
            </w:r>
          </w:p>
        </w:tc>
        <w:tc>
          <w:tcPr>
            <w:tcW w:w="1174" w:type="dxa"/>
            <w:noWrap/>
            <w:hideMark/>
          </w:tcPr>
          <w:p w14:paraId="3240408C"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0</w:t>
            </w:r>
          </w:p>
        </w:tc>
      </w:tr>
      <w:tr w:rsidR="00BF10A3" w:rsidRPr="00E63A6B" w14:paraId="756C558D" w14:textId="77777777" w:rsidTr="001F7400">
        <w:trPr>
          <w:trHeight w:val="258"/>
        </w:trPr>
        <w:tc>
          <w:tcPr>
            <w:tcW w:w="993" w:type="dxa"/>
            <w:vMerge/>
            <w:hideMark/>
          </w:tcPr>
          <w:p w14:paraId="1C15514F" w14:textId="77777777" w:rsidR="00BF10A3" w:rsidRPr="00E63A6B" w:rsidRDefault="00BF10A3" w:rsidP="001F7400">
            <w:pPr>
              <w:rPr>
                <w:rFonts w:ascii="Courier New" w:eastAsiaTheme="minorHAnsi" w:hAnsi="Courier New" w:cstheme="minorBidi"/>
                <w:b/>
                <w:bCs/>
                <w:sz w:val="16"/>
              </w:rPr>
            </w:pPr>
          </w:p>
        </w:tc>
        <w:tc>
          <w:tcPr>
            <w:tcW w:w="800" w:type="dxa"/>
            <w:vMerge/>
            <w:hideMark/>
          </w:tcPr>
          <w:p w14:paraId="78DD12BF" w14:textId="77777777" w:rsidR="00BF10A3" w:rsidRPr="00E63A6B" w:rsidRDefault="00BF10A3" w:rsidP="001F7400">
            <w:pPr>
              <w:rPr>
                <w:rFonts w:ascii="Courier New" w:eastAsiaTheme="minorHAnsi" w:hAnsi="Courier New" w:cstheme="minorBidi"/>
                <w:sz w:val="16"/>
              </w:rPr>
            </w:pPr>
          </w:p>
        </w:tc>
        <w:tc>
          <w:tcPr>
            <w:tcW w:w="2243" w:type="dxa"/>
            <w:noWrap/>
            <w:hideMark/>
          </w:tcPr>
          <w:p w14:paraId="54251B6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1st Professional Degree</w:t>
            </w:r>
          </w:p>
        </w:tc>
        <w:tc>
          <w:tcPr>
            <w:tcW w:w="983" w:type="dxa"/>
            <w:noWrap/>
            <w:hideMark/>
          </w:tcPr>
          <w:p w14:paraId="2E9A0FF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w:t>
            </w:r>
          </w:p>
        </w:tc>
        <w:tc>
          <w:tcPr>
            <w:tcW w:w="983" w:type="dxa"/>
            <w:noWrap/>
            <w:hideMark/>
          </w:tcPr>
          <w:p w14:paraId="6763821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w:t>
            </w:r>
          </w:p>
        </w:tc>
        <w:tc>
          <w:tcPr>
            <w:tcW w:w="983" w:type="dxa"/>
            <w:noWrap/>
            <w:hideMark/>
          </w:tcPr>
          <w:p w14:paraId="6F82CD3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w:t>
            </w:r>
          </w:p>
        </w:tc>
        <w:tc>
          <w:tcPr>
            <w:tcW w:w="983" w:type="dxa"/>
            <w:noWrap/>
            <w:hideMark/>
          </w:tcPr>
          <w:p w14:paraId="0808033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w:t>
            </w:r>
          </w:p>
        </w:tc>
        <w:tc>
          <w:tcPr>
            <w:tcW w:w="1174" w:type="dxa"/>
            <w:noWrap/>
            <w:hideMark/>
          </w:tcPr>
          <w:p w14:paraId="3670F47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7,209</w:t>
            </w:r>
          </w:p>
        </w:tc>
        <w:tc>
          <w:tcPr>
            <w:tcW w:w="1174" w:type="dxa"/>
            <w:noWrap/>
            <w:hideMark/>
          </w:tcPr>
          <w:p w14:paraId="265FEACD"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3,107</w:t>
            </w:r>
          </w:p>
        </w:tc>
        <w:tc>
          <w:tcPr>
            <w:tcW w:w="1174" w:type="dxa"/>
            <w:noWrap/>
            <w:hideMark/>
          </w:tcPr>
          <w:p w14:paraId="48BF8553"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2,716</w:t>
            </w:r>
          </w:p>
        </w:tc>
        <w:tc>
          <w:tcPr>
            <w:tcW w:w="1174" w:type="dxa"/>
            <w:noWrap/>
            <w:hideMark/>
          </w:tcPr>
          <w:p w14:paraId="766AAC9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1,386</w:t>
            </w:r>
          </w:p>
        </w:tc>
      </w:tr>
      <w:tr w:rsidR="00BF10A3" w:rsidRPr="00E63A6B" w14:paraId="50ED4BE4" w14:textId="77777777" w:rsidTr="001F7400">
        <w:trPr>
          <w:trHeight w:val="258"/>
        </w:trPr>
        <w:tc>
          <w:tcPr>
            <w:tcW w:w="4036" w:type="dxa"/>
            <w:gridSpan w:val="3"/>
            <w:noWrap/>
            <w:hideMark/>
          </w:tcPr>
          <w:p w14:paraId="581AF8A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Overall Total</w:t>
            </w:r>
          </w:p>
        </w:tc>
        <w:tc>
          <w:tcPr>
            <w:tcW w:w="983" w:type="dxa"/>
            <w:noWrap/>
            <w:hideMark/>
          </w:tcPr>
          <w:p w14:paraId="1DC33229"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5,539</w:t>
            </w:r>
          </w:p>
        </w:tc>
        <w:tc>
          <w:tcPr>
            <w:tcW w:w="983" w:type="dxa"/>
            <w:noWrap/>
            <w:hideMark/>
          </w:tcPr>
          <w:p w14:paraId="6468078A"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4,985</w:t>
            </w:r>
          </w:p>
        </w:tc>
        <w:tc>
          <w:tcPr>
            <w:tcW w:w="983" w:type="dxa"/>
            <w:noWrap/>
            <w:hideMark/>
          </w:tcPr>
          <w:p w14:paraId="05F61F44"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367</w:t>
            </w:r>
          </w:p>
        </w:tc>
        <w:tc>
          <w:tcPr>
            <w:tcW w:w="983" w:type="dxa"/>
            <w:noWrap/>
            <w:hideMark/>
          </w:tcPr>
          <w:p w14:paraId="4E1A16EB"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187</w:t>
            </w:r>
          </w:p>
        </w:tc>
        <w:tc>
          <w:tcPr>
            <w:tcW w:w="1174" w:type="dxa"/>
            <w:noWrap/>
            <w:hideMark/>
          </w:tcPr>
          <w:p w14:paraId="59EE1D72"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2,521,283</w:t>
            </w:r>
          </w:p>
        </w:tc>
        <w:tc>
          <w:tcPr>
            <w:tcW w:w="1174" w:type="dxa"/>
            <w:noWrap/>
            <w:hideMark/>
          </w:tcPr>
          <w:p w14:paraId="1EEC83B8"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2,108,312</w:t>
            </w:r>
          </w:p>
        </w:tc>
        <w:tc>
          <w:tcPr>
            <w:tcW w:w="1174" w:type="dxa"/>
            <w:noWrap/>
            <w:hideMark/>
          </w:tcPr>
          <w:p w14:paraId="7285F37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303,517</w:t>
            </w:r>
          </w:p>
        </w:tc>
        <w:tc>
          <w:tcPr>
            <w:tcW w:w="1174" w:type="dxa"/>
            <w:noWrap/>
            <w:hideMark/>
          </w:tcPr>
          <w:p w14:paraId="17DB3E2F" w14:textId="77777777" w:rsidR="00BF10A3" w:rsidRPr="00E63A6B" w:rsidRDefault="00BF10A3" w:rsidP="001F7400">
            <w:pPr>
              <w:rPr>
                <w:rFonts w:ascii="Courier New" w:eastAsiaTheme="minorHAnsi" w:hAnsi="Courier New" w:cstheme="minorBidi"/>
                <w:sz w:val="16"/>
              </w:rPr>
            </w:pPr>
            <w:r w:rsidRPr="00E63A6B">
              <w:rPr>
                <w:rFonts w:ascii="Courier New" w:eastAsiaTheme="minorHAnsi" w:hAnsi="Courier New" w:cstheme="minorBidi"/>
                <w:sz w:val="16"/>
              </w:rPr>
              <w:t>109,454</w:t>
            </w:r>
          </w:p>
        </w:tc>
      </w:tr>
    </w:tbl>
    <w:p w14:paraId="3A855A39" w14:textId="77777777" w:rsidR="00BF10A3" w:rsidRPr="00E63A6B" w:rsidRDefault="00BF10A3" w:rsidP="00BF10A3">
      <w:pPr>
        <w:rPr>
          <w:rFonts w:ascii="Courier New" w:eastAsiaTheme="minorHAnsi" w:hAnsi="Courier New" w:cstheme="minorBidi"/>
          <w:sz w:val="16"/>
        </w:rPr>
      </w:pPr>
    </w:p>
    <w:p w14:paraId="28E301DE" w14:textId="77777777" w:rsidR="00BF10A3" w:rsidRPr="00AA6DFD" w:rsidRDefault="00BF10A3" w:rsidP="00BF10A3">
      <w:pPr>
        <w:spacing w:after="0" w:line="240" w:lineRule="auto"/>
        <w:rPr>
          <w:rFonts w:ascii="Courier New" w:hAnsi="Courier New" w:cs="Courier New"/>
          <w:sz w:val="24"/>
          <w:szCs w:val="24"/>
          <w:u w:val="single"/>
        </w:rPr>
      </w:pPr>
    </w:p>
    <w:p w14:paraId="27CB6E3A" w14:textId="77777777" w:rsidR="00BF10A3" w:rsidRPr="00AA6DFD" w:rsidRDefault="00BF10A3" w:rsidP="00BF10A3">
      <w:pPr>
        <w:rPr>
          <w:rFonts w:ascii="Courier New" w:hAnsi="Courier New" w:cs="Courier New"/>
          <w:sz w:val="24"/>
          <w:szCs w:val="24"/>
          <w:u w:val="single"/>
        </w:rPr>
      </w:pPr>
      <w:r>
        <w:rPr>
          <w:rFonts w:ascii="Courier New" w:hAnsi="Courier New" w:cs="Courier New"/>
          <w:sz w:val="24"/>
          <w:szCs w:val="24"/>
          <w:u w:val="single"/>
        </w:rPr>
        <w:br w:type="page"/>
      </w:r>
    </w:p>
    <w:p w14:paraId="425072F9" w14:textId="77777777" w:rsidR="00BF10A3" w:rsidRDefault="00BF10A3" w:rsidP="00BF10A3">
      <w:pPr>
        <w:spacing w:after="0" w:line="240" w:lineRule="auto"/>
        <w:rPr>
          <w:rFonts w:ascii="Courier New" w:hAnsi="Courier New" w:cs="Courier New"/>
          <w:sz w:val="24"/>
          <w:szCs w:val="24"/>
          <w:u w:val="single"/>
        </w:rPr>
        <w:sectPr w:rsidR="00BF10A3" w:rsidSect="00E63A6B">
          <w:pgSz w:w="15840" w:h="12240" w:orient="landscape" w:code="1"/>
          <w:pgMar w:top="1440" w:right="1440" w:bottom="1440" w:left="1440" w:header="720" w:footer="720" w:gutter="0"/>
          <w:cols w:space="720"/>
          <w:docGrid w:linePitch="360"/>
        </w:sectPr>
      </w:pPr>
    </w:p>
    <w:p w14:paraId="23579460" w14:textId="77777777" w:rsidR="00BF10A3" w:rsidRPr="00AA6DFD" w:rsidRDefault="00BF10A3" w:rsidP="00BF10A3">
      <w:pPr>
        <w:spacing w:after="0" w:line="240" w:lineRule="auto"/>
        <w:rPr>
          <w:rFonts w:ascii="Courier New" w:hAnsi="Courier New" w:cs="Courier New"/>
          <w:sz w:val="24"/>
          <w:szCs w:val="24"/>
          <w:u w:val="single"/>
        </w:rPr>
      </w:pPr>
    </w:p>
    <w:p w14:paraId="71E3D926"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ab/>
      </w:r>
    </w:p>
    <w:p w14:paraId="4D0E8270" w14:textId="77777777" w:rsidR="00BF10A3" w:rsidRPr="00B53B21" w:rsidRDefault="00BF10A3" w:rsidP="00BF10A3">
      <w:pPr>
        <w:pStyle w:val="riaheader3"/>
      </w:pPr>
      <w:r w:rsidRPr="00B53B21">
        <w:t xml:space="preserve">D/E Rates Thresholds and the Zone  </w:t>
      </w:r>
    </w:p>
    <w:p w14:paraId="40AED14A" w14:textId="77777777" w:rsidR="00BF10A3" w:rsidRDefault="00BF10A3" w:rsidP="00BF10A3">
      <w:pPr>
        <w:spacing w:after="0" w:line="480" w:lineRule="auto"/>
        <w:ind w:firstLine="720"/>
        <w:rPr>
          <w:rFonts w:ascii="Courier New" w:hAnsi="Courier New"/>
          <w:sz w:val="24"/>
        </w:rPr>
      </w:pPr>
    </w:p>
    <w:p w14:paraId="0D9FCC1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We also considered the related issues of the appropriate thresholds for the D/E rates measure and whether there should be a zone.  The regulations establish stricter passing thresholds than the thresholds in the 2011 Prior Rule.  The passing threshold for the discretionary income rate is 20 percent instead of 30 percent, and the threshold for the annual earnings rate is 8 percent instead of 12 percent.  Additionally, the regulations add a zone category for programs with a discretionary income rate greater than 20 percent but less than or equal to 30 percent or an annual earnings rate greater than 8 percent but less than or equal to 12 percent.</w:t>
      </w:r>
    </w:p>
    <w:p w14:paraId="46665245"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passing thresholds for the discretionary income rate and the annual earnings rate are based upon mortgage industry practices and expert recommendations.  The justification for these thresholds is included in the Preamble.    </w:t>
      </w:r>
    </w:p>
    <w:p w14:paraId="5E6F03D2" w14:textId="77777777" w:rsidR="00BF10A3" w:rsidRDefault="00BF10A3" w:rsidP="00BF10A3">
      <w:pPr>
        <w:spacing w:after="0" w:line="480" w:lineRule="auto"/>
        <w:ind w:firstLine="720"/>
        <w:rPr>
          <w:rFonts w:ascii="Courier New" w:hAnsi="Courier New" w:cs="Courier New"/>
          <w:sz w:val="24"/>
          <w:szCs w:val="24"/>
        </w:rPr>
      </w:pPr>
    </w:p>
    <w:p w14:paraId="63F2789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  </w:t>
      </w:r>
    </w:p>
    <w:p w14:paraId="68080E04"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 xml:space="preserve">Table 4.6: D/E Rates Measure Results for Alternative Thresholds </w:t>
      </w:r>
    </w:p>
    <w:p w14:paraId="180EAA43" w14:textId="77777777" w:rsidR="00BF10A3" w:rsidRPr="00AA6DFD" w:rsidRDefault="00BF10A3" w:rsidP="00BF10A3">
      <w:pPr>
        <w:spacing w:after="0" w:line="240" w:lineRule="auto"/>
        <w:ind w:firstLine="720"/>
        <w:rPr>
          <w:rFonts w:ascii="Courier New" w:hAnsi="Courier New" w:cs="Courier New"/>
          <w:sz w:val="24"/>
          <w:szCs w:val="24"/>
        </w:rPr>
      </w:pPr>
    </w:p>
    <w:p w14:paraId="05A69B05" w14:textId="77777777" w:rsidR="00BF10A3" w:rsidRPr="00AA6DFD" w:rsidRDefault="00BF10A3" w:rsidP="00BF10A3">
      <w:pPr>
        <w:spacing w:after="0" w:line="240" w:lineRule="auto"/>
        <w:ind w:firstLine="720"/>
        <w:rPr>
          <w:rFonts w:ascii="Courier New" w:hAnsi="Courier New" w:cs="Courier New"/>
          <w:sz w:val="24"/>
          <w:szCs w:val="24"/>
        </w:rPr>
      </w:pPr>
      <w:r>
        <w:rPr>
          <w:noProof/>
        </w:rPr>
        <w:drawing>
          <wp:inline distT="0" distB="0" distL="0" distR="0" wp14:anchorId="4DC2B8E1" wp14:editId="423B7D82">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395B7A7" w14:textId="77777777" w:rsidR="00BF10A3" w:rsidRPr="00AA6DFD" w:rsidRDefault="00BF10A3" w:rsidP="00BF10A3">
      <w:pPr>
        <w:spacing w:after="0" w:line="240" w:lineRule="auto"/>
        <w:rPr>
          <w:rFonts w:ascii="Courier New" w:hAnsi="Courier New" w:cs="Courier New"/>
          <w:sz w:val="24"/>
          <w:szCs w:val="24"/>
          <w:u w:val="single"/>
        </w:rPr>
      </w:pPr>
    </w:p>
    <w:p w14:paraId="01B35B49" w14:textId="77777777" w:rsidR="00BF10A3" w:rsidRDefault="00BF10A3" w:rsidP="00BF10A3">
      <w:pPr>
        <w:pStyle w:val="riaheader3"/>
      </w:pPr>
    </w:p>
    <w:p w14:paraId="58C1BC49" w14:textId="77777777" w:rsidR="00BF10A3" w:rsidRPr="00B53B21" w:rsidRDefault="00BF10A3" w:rsidP="00BF10A3">
      <w:pPr>
        <w:pStyle w:val="riaheader3"/>
      </w:pPr>
      <w:r w:rsidRPr="00B53B21">
        <w:t>Estimated Effects of the D/E Rates Alternatives</w:t>
      </w:r>
    </w:p>
    <w:p w14:paraId="1B612247"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sz w:val="24"/>
          <w:szCs w:val="24"/>
        </w:rPr>
        <w:tab/>
      </w:r>
    </w:p>
    <w:p w14:paraId="786CBB8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order to consider the alternatives for calculation of the D/E rates, we estimated the budget impact of the alternatives on program results under the D/E rate measure.  The results are summarized in Table 4.7.  To evaluate the alternatives, we used the same data, methods, and assumptions as the estimates described in “Methodology for Costs, Benefits, and Transfers” and the “Net Budget Impacts” sections of this RIA.  The alternatives considered would result in different estimated distributions of enrollment in passing, zone, and failing programs under the regulations, leading to the results in Table 4.7. </w:t>
      </w:r>
    </w:p>
    <w:p w14:paraId="7E634404" w14:textId="77777777" w:rsidR="00BF10A3" w:rsidRDefault="00BF10A3" w:rsidP="00BF10A3">
      <w:pPr>
        <w:rPr>
          <w:rFonts w:ascii="Courier New" w:hAnsi="Courier New" w:cs="Courier New"/>
          <w:sz w:val="24"/>
          <w:szCs w:val="24"/>
        </w:rPr>
      </w:pPr>
    </w:p>
    <w:p w14:paraId="41355825" w14:textId="77777777" w:rsidR="00BF10A3" w:rsidRDefault="00BF10A3" w:rsidP="00BF10A3">
      <w:pPr>
        <w:rPr>
          <w:rFonts w:ascii="Courier New" w:hAnsi="Courier New" w:cs="Courier New"/>
          <w:sz w:val="24"/>
          <w:szCs w:val="24"/>
        </w:rPr>
      </w:pPr>
      <w:r>
        <w:rPr>
          <w:rFonts w:ascii="Courier New" w:hAnsi="Courier New" w:cs="Courier New"/>
          <w:sz w:val="24"/>
          <w:szCs w:val="24"/>
        </w:rPr>
        <w:br w:type="page"/>
      </w:r>
    </w:p>
    <w:p w14:paraId="368365AC" w14:textId="77777777" w:rsidR="00BF10A3" w:rsidRPr="00AA6DFD" w:rsidRDefault="00BF10A3" w:rsidP="00BF10A3">
      <w:pPr>
        <w:spacing w:after="0" w:line="480" w:lineRule="auto"/>
        <w:rPr>
          <w:rFonts w:ascii="Courier New" w:hAnsi="Courier New" w:cs="Courier New"/>
          <w:sz w:val="24"/>
          <w:szCs w:val="24"/>
        </w:rPr>
      </w:pPr>
    </w:p>
    <w:p w14:paraId="69E05657"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4.7: Estimated Effects of D/E Rates Alternatives</w:t>
      </w:r>
    </w:p>
    <w:p w14:paraId="5E5D4628" w14:textId="77777777" w:rsidR="00BF10A3" w:rsidRPr="00AA6DFD" w:rsidRDefault="00BF10A3" w:rsidP="00BF10A3">
      <w:pPr>
        <w:spacing w:after="0" w:line="240" w:lineRule="auto"/>
        <w:rPr>
          <w:rFonts w:ascii="Courier New" w:hAnsi="Courier New" w:cs="Courier New"/>
          <w:b/>
          <w:sz w:val="24"/>
          <w:szCs w:val="24"/>
        </w:rPr>
      </w:pPr>
    </w:p>
    <w:p w14:paraId="3B5964B8" w14:textId="77777777" w:rsidR="00BF10A3" w:rsidRPr="00AA6DFD" w:rsidRDefault="00BF10A3" w:rsidP="00BF10A3">
      <w:pPr>
        <w:spacing w:after="0" w:line="240" w:lineRule="auto"/>
        <w:rPr>
          <w:rFonts w:ascii="Courier New" w:hAnsi="Courier New" w:cs="Courier New"/>
          <w:i/>
          <w:sz w:val="24"/>
          <w:szCs w:val="24"/>
        </w:rPr>
      </w:pPr>
      <w:r w:rsidRPr="00AA6DFD">
        <w:rPr>
          <w:rFonts w:ascii="Courier New" w:hAnsi="Courier New" w:cs="Courier New"/>
          <w:b/>
          <w:sz w:val="24"/>
          <w:szCs w:val="24"/>
        </w:rPr>
        <w:tab/>
      </w:r>
    </w:p>
    <w:tbl>
      <w:tblPr>
        <w:tblStyle w:val="TableGrid27"/>
        <w:tblpPr w:leftFromText="180" w:rightFromText="180" w:vertAnchor="text" w:tblpY="1"/>
        <w:tblOverlap w:val="never"/>
        <w:tblW w:w="0" w:type="auto"/>
        <w:tblLook w:val="04A0" w:firstRow="1" w:lastRow="0" w:firstColumn="1" w:lastColumn="0" w:noHBand="0" w:noVBand="1"/>
      </w:tblPr>
      <w:tblGrid>
        <w:gridCol w:w="2871"/>
        <w:gridCol w:w="1262"/>
        <w:gridCol w:w="1263"/>
      </w:tblGrid>
      <w:tr w:rsidR="00BF10A3" w:rsidRPr="008E1B1F" w14:paraId="69EDB593" w14:textId="77777777" w:rsidTr="001F7400">
        <w:trPr>
          <w:trHeight w:val="305"/>
        </w:trPr>
        <w:tc>
          <w:tcPr>
            <w:tcW w:w="2871" w:type="dxa"/>
            <w:hideMark/>
          </w:tcPr>
          <w:p w14:paraId="6F79A7C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Estimates</w:t>
            </w:r>
          </w:p>
        </w:tc>
        <w:tc>
          <w:tcPr>
            <w:tcW w:w="2525" w:type="dxa"/>
            <w:gridSpan w:val="2"/>
            <w:noWrap/>
            <w:hideMark/>
          </w:tcPr>
          <w:p w14:paraId="2927762F"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N10, 10-15-20 Amortization</w:t>
            </w:r>
          </w:p>
        </w:tc>
      </w:tr>
      <w:tr w:rsidR="00BF10A3" w:rsidRPr="008E1B1F" w14:paraId="7BE71613" w14:textId="77777777" w:rsidTr="001F7400">
        <w:trPr>
          <w:trHeight w:val="597"/>
        </w:trPr>
        <w:tc>
          <w:tcPr>
            <w:tcW w:w="2871" w:type="dxa"/>
            <w:hideMark/>
          </w:tcPr>
          <w:p w14:paraId="5F5BB3B3"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Average Annual Student Transfers over 2017-2024</w:t>
            </w:r>
          </w:p>
        </w:tc>
        <w:tc>
          <w:tcPr>
            <w:tcW w:w="2525" w:type="dxa"/>
            <w:gridSpan w:val="2"/>
            <w:hideMark/>
          </w:tcPr>
          <w:p w14:paraId="5C09B810"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xml:space="preserve">              329,914 </w:t>
            </w:r>
          </w:p>
        </w:tc>
      </w:tr>
      <w:tr w:rsidR="00BF10A3" w:rsidRPr="008E1B1F" w14:paraId="5990758C" w14:textId="77777777" w:rsidTr="001F7400">
        <w:trPr>
          <w:trHeight w:val="597"/>
        </w:trPr>
        <w:tc>
          <w:tcPr>
            <w:tcW w:w="2871" w:type="dxa"/>
            <w:hideMark/>
          </w:tcPr>
          <w:p w14:paraId="6B46D60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xml:space="preserve"> Average Annual Student Dropouts over 2017-2024</w:t>
            </w:r>
          </w:p>
        </w:tc>
        <w:tc>
          <w:tcPr>
            <w:tcW w:w="2525" w:type="dxa"/>
            <w:gridSpan w:val="2"/>
            <w:hideMark/>
          </w:tcPr>
          <w:p w14:paraId="178EBA5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xml:space="preserve">              109,971 </w:t>
            </w:r>
          </w:p>
        </w:tc>
      </w:tr>
      <w:tr w:rsidR="00BF10A3" w:rsidRPr="008E1B1F" w14:paraId="0D6F9200" w14:textId="77777777" w:rsidTr="001F7400">
        <w:trPr>
          <w:trHeight w:val="305"/>
        </w:trPr>
        <w:tc>
          <w:tcPr>
            <w:tcW w:w="2871" w:type="dxa"/>
            <w:hideMark/>
          </w:tcPr>
          <w:p w14:paraId="15FA6E0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w:t>
            </w:r>
          </w:p>
        </w:tc>
        <w:tc>
          <w:tcPr>
            <w:tcW w:w="1262" w:type="dxa"/>
            <w:noWrap/>
            <w:hideMark/>
          </w:tcPr>
          <w:p w14:paraId="435CBBAB"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3%</w:t>
            </w:r>
          </w:p>
        </w:tc>
        <w:tc>
          <w:tcPr>
            <w:tcW w:w="1263" w:type="dxa"/>
            <w:noWrap/>
            <w:hideMark/>
          </w:tcPr>
          <w:p w14:paraId="57986BE2"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7%</w:t>
            </w:r>
          </w:p>
        </w:tc>
      </w:tr>
      <w:tr w:rsidR="00BF10A3" w:rsidRPr="008E1B1F" w14:paraId="3751FA19" w14:textId="77777777" w:rsidTr="001F7400">
        <w:trPr>
          <w:trHeight w:val="305"/>
        </w:trPr>
        <w:tc>
          <w:tcPr>
            <w:tcW w:w="2871" w:type="dxa"/>
            <w:hideMark/>
          </w:tcPr>
          <w:p w14:paraId="0C40B5C3"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w:t>
            </w:r>
          </w:p>
        </w:tc>
        <w:tc>
          <w:tcPr>
            <w:tcW w:w="1262" w:type="dxa"/>
            <w:noWrap/>
            <w:hideMark/>
          </w:tcPr>
          <w:p w14:paraId="2989B050"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w:t>
            </w:r>
          </w:p>
        </w:tc>
        <w:tc>
          <w:tcPr>
            <w:tcW w:w="1263" w:type="dxa"/>
            <w:noWrap/>
            <w:hideMark/>
          </w:tcPr>
          <w:p w14:paraId="223DC8ED"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 </w:t>
            </w:r>
          </w:p>
        </w:tc>
      </w:tr>
      <w:tr w:rsidR="00BF10A3" w:rsidRPr="008E1B1F" w14:paraId="6969CB55" w14:textId="77777777" w:rsidTr="001F7400">
        <w:trPr>
          <w:trHeight w:val="1180"/>
        </w:trPr>
        <w:tc>
          <w:tcPr>
            <w:tcW w:w="2871" w:type="dxa"/>
            <w:hideMark/>
          </w:tcPr>
          <w:p w14:paraId="5EF46E4B"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Additional expense of educating transfer students at passing programs</w:t>
            </w:r>
          </w:p>
        </w:tc>
        <w:tc>
          <w:tcPr>
            <w:tcW w:w="1262" w:type="dxa"/>
            <w:noWrap/>
            <w:hideMark/>
          </w:tcPr>
          <w:p w14:paraId="62380B96"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$382</w:t>
            </w:r>
          </w:p>
        </w:tc>
        <w:tc>
          <w:tcPr>
            <w:tcW w:w="1263" w:type="dxa"/>
            <w:noWrap/>
            <w:hideMark/>
          </w:tcPr>
          <w:p w14:paraId="1B215941"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$388</w:t>
            </w:r>
          </w:p>
        </w:tc>
      </w:tr>
      <w:tr w:rsidR="00BF10A3" w:rsidRPr="008E1B1F" w14:paraId="04BD2C4F" w14:textId="77777777" w:rsidTr="001F7400">
        <w:trPr>
          <w:trHeight w:val="2054"/>
        </w:trPr>
        <w:tc>
          <w:tcPr>
            <w:tcW w:w="2871" w:type="dxa"/>
            <w:hideMark/>
          </w:tcPr>
          <w:p w14:paraId="1AAA68FA"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Transfer of Federal student aid money from failing programs to the Federal government when students drop out of programs or remain in ineligible programs</w:t>
            </w:r>
          </w:p>
        </w:tc>
        <w:tc>
          <w:tcPr>
            <w:tcW w:w="1262" w:type="dxa"/>
            <w:noWrap/>
            <w:hideMark/>
          </w:tcPr>
          <w:p w14:paraId="168A0448"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$433</w:t>
            </w:r>
          </w:p>
        </w:tc>
        <w:tc>
          <w:tcPr>
            <w:tcW w:w="1263" w:type="dxa"/>
            <w:noWrap/>
            <w:hideMark/>
          </w:tcPr>
          <w:p w14:paraId="47D3003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$433</w:t>
            </w:r>
          </w:p>
        </w:tc>
      </w:tr>
      <w:tr w:rsidR="00BF10A3" w:rsidRPr="008E1B1F" w14:paraId="491996BD" w14:textId="77777777" w:rsidTr="001F7400">
        <w:trPr>
          <w:trHeight w:val="1472"/>
        </w:trPr>
        <w:tc>
          <w:tcPr>
            <w:tcW w:w="2871" w:type="dxa"/>
            <w:hideMark/>
          </w:tcPr>
          <w:p w14:paraId="685987BF"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Estimated Transfer  of revenues from non-passing programs to passing or zone programs as students transfer </w:t>
            </w:r>
          </w:p>
        </w:tc>
        <w:tc>
          <w:tcPr>
            <w:tcW w:w="1262" w:type="dxa"/>
            <w:noWrap/>
            <w:hideMark/>
          </w:tcPr>
          <w:p w14:paraId="4DB99B4E"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$2,576</w:t>
            </w:r>
          </w:p>
        </w:tc>
        <w:tc>
          <w:tcPr>
            <w:tcW w:w="1263" w:type="dxa"/>
            <w:noWrap/>
            <w:hideMark/>
          </w:tcPr>
          <w:p w14:paraId="6487CEE8"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$2,616</w:t>
            </w:r>
          </w:p>
        </w:tc>
      </w:tr>
      <w:tr w:rsidR="00BF10A3" w:rsidRPr="008E1B1F" w14:paraId="7D7C215A" w14:textId="77777777" w:rsidTr="001F7400">
        <w:trPr>
          <w:trHeight w:val="1487"/>
        </w:trPr>
        <w:tc>
          <w:tcPr>
            <w:tcW w:w="2871" w:type="dxa"/>
            <w:hideMark/>
          </w:tcPr>
          <w:p w14:paraId="75B89F2F"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Estimated Transfer  of instructional expenses from non-passing programs to passing or zone programs as students transfer </w:t>
            </w:r>
          </w:p>
        </w:tc>
        <w:tc>
          <w:tcPr>
            <w:tcW w:w="1262" w:type="dxa"/>
            <w:noWrap/>
            <w:hideMark/>
          </w:tcPr>
          <w:p w14:paraId="46BFB5B3"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$1,246</w:t>
            </w:r>
          </w:p>
        </w:tc>
        <w:tc>
          <w:tcPr>
            <w:tcW w:w="1263" w:type="dxa"/>
            <w:noWrap/>
            <w:hideMark/>
          </w:tcPr>
          <w:p w14:paraId="43AA75F5" w14:textId="77777777" w:rsidR="00BF10A3" w:rsidRPr="008E1B1F" w:rsidRDefault="00BF10A3" w:rsidP="001F7400">
            <w:pPr>
              <w:rPr>
                <w:rFonts w:ascii="Courier New" w:eastAsiaTheme="minorHAnsi" w:hAnsi="Courier New" w:cstheme="minorBidi"/>
                <w:sz w:val="16"/>
              </w:rPr>
            </w:pPr>
            <w:r w:rsidRPr="008E1B1F">
              <w:rPr>
                <w:rFonts w:ascii="Courier New" w:eastAsiaTheme="minorHAnsi" w:hAnsi="Courier New" w:cstheme="minorBidi"/>
                <w:sz w:val="16"/>
              </w:rPr>
              <w:t>$1,266</w:t>
            </w:r>
          </w:p>
        </w:tc>
      </w:tr>
    </w:tbl>
    <w:p w14:paraId="1E18625F" w14:textId="77777777" w:rsidR="00BF10A3" w:rsidRPr="00AA6DFD" w:rsidRDefault="00BF10A3" w:rsidP="00BF10A3">
      <w:pPr>
        <w:spacing w:after="0" w:line="240" w:lineRule="auto"/>
        <w:rPr>
          <w:rFonts w:ascii="Courier New" w:hAnsi="Courier New" w:cs="Courier New"/>
          <w:i/>
          <w:sz w:val="24"/>
          <w:szCs w:val="24"/>
        </w:rPr>
      </w:pPr>
    </w:p>
    <w:p w14:paraId="2882A6E9" w14:textId="77777777" w:rsidR="00BF10A3" w:rsidRPr="00AA6DFD" w:rsidRDefault="00BF10A3" w:rsidP="00BF10A3">
      <w:pPr>
        <w:spacing w:after="0" w:line="240" w:lineRule="auto"/>
        <w:rPr>
          <w:rFonts w:ascii="Courier New" w:hAnsi="Courier New" w:cs="Courier New"/>
          <w:i/>
          <w:sz w:val="24"/>
          <w:szCs w:val="24"/>
        </w:rPr>
      </w:pPr>
    </w:p>
    <w:p w14:paraId="374A0EAA" w14:textId="77777777" w:rsidR="00BF10A3" w:rsidRPr="00AA6DFD" w:rsidRDefault="00BF10A3" w:rsidP="00BF10A3">
      <w:pPr>
        <w:rPr>
          <w:rFonts w:ascii="Courier New" w:hAnsi="Courier New" w:cs="Courier New"/>
          <w:i/>
          <w:sz w:val="24"/>
          <w:szCs w:val="24"/>
        </w:rPr>
      </w:pPr>
      <w:r>
        <w:rPr>
          <w:rFonts w:ascii="Courier New" w:hAnsi="Courier New" w:cs="Courier New"/>
          <w:i/>
          <w:sz w:val="24"/>
          <w:szCs w:val="24"/>
        </w:rPr>
        <w:br w:type="page"/>
      </w:r>
    </w:p>
    <w:p w14:paraId="2F215751" w14:textId="77777777" w:rsidR="00BF10A3" w:rsidRPr="00AA6DFD" w:rsidRDefault="00BF10A3" w:rsidP="00BF10A3">
      <w:pPr>
        <w:spacing w:after="0" w:line="240" w:lineRule="auto"/>
        <w:rPr>
          <w:rFonts w:ascii="Courier New" w:hAnsi="Courier New" w:cs="Courier New"/>
          <w:sz w:val="24"/>
          <w:szCs w:val="24"/>
        </w:rPr>
      </w:pPr>
    </w:p>
    <w:tbl>
      <w:tblPr>
        <w:tblStyle w:val="TableGrid28"/>
        <w:tblW w:w="0" w:type="auto"/>
        <w:tblLook w:val="04A0" w:firstRow="1" w:lastRow="0" w:firstColumn="1" w:lastColumn="0" w:noHBand="0" w:noVBand="1"/>
      </w:tblPr>
      <w:tblGrid>
        <w:gridCol w:w="1981"/>
        <w:gridCol w:w="896"/>
        <w:gridCol w:w="896"/>
        <w:gridCol w:w="976"/>
        <w:gridCol w:w="976"/>
      </w:tblGrid>
      <w:tr w:rsidR="00BF10A3" w:rsidRPr="0024308E" w14:paraId="126ACD93" w14:textId="77777777" w:rsidTr="001F7400">
        <w:trPr>
          <w:trHeight w:val="284"/>
        </w:trPr>
        <w:tc>
          <w:tcPr>
            <w:tcW w:w="1981" w:type="dxa"/>
            <w:hideMark/>
          </w:tcPr>
          <w:p w14:paraId="2D1F83D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Estimates</w:t>
            </w:r>
          </w:p>
        </w:tc>
        <w:tc>
          <w:tcPr>
            <w:tcW w:w="1792" w:type="dxa"/>
            <w:gridSpan w:val="2"/>
            <w:noWrap/>
            <w:hideMark/>
          </w:tcPr>
          <w:p w14:paraId="2D107DA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N30, 10 year Amortization for all</w:t>
            </w:r>
          </w:p>
        </w:tc>
        <w:tc>
          <w:tcPr>
            <w:tcW w:w="1952" w:type="dxa"/>
            <w:gridSpan w:val="2"/>
            <w:noWrap/>
            <w:hideMark/>
          </w:tcPr>
          <w:p w14:paraId="6CB2621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N30, 20-year Amortization for all</w:t>
            </w:r>
          </w:p>
        </w:tc>
      </w:tr>
      <w:tr w:rsidR="00BF10A3" w:rsidRPr="0024308E" w14:paraId="4B198F2E" w14:textId="77777777" w:rsidTr="001F7400">
        <w:trPr>
          <w:trHeight w:val="556"/>
        </w:trPr>
        <w:tc>
          <w:tcPr>
            <w:tcW w:w="1981" w:type="dxa"/>
            <w:hideMark/>
          </w:tcPr>
          <w:p w14:paraId="265D4E8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Average Annual Student Transfers over 2017-2024</w:t>
            </w:r>
          </w:p>
        </w:tc>
        <w:tc>
          <w:tcPr>
            <w:tcW w:w="1792" w:type="dxa"/>
            <w:gridSpan w:val="2"/>
            <w:hideMark/>
          </w:tcPr>
          <w:p w14:paraId="649B625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xml:space="preserve">               321,663 </w:t>
            </w:r>
          </w:p>
        </w:tc>
        <w:tc>
          <w:tcPr>
            <w:tcW w:w="1952" w:type="dxa"/>
            <w:gridSpan w:val="2"/>
            <w:hideMark/>
          </w:tcPr>
          <w:p w14:paraId="3819A69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xml:space="preserve">                 162,551 </w:t>
            </w:r>
          </w:p>
        </w:tc>
      </w:tr>
      <w:tr w:rsidR="00BF10A3" w:rsidRPr="0024308E" w14:paraId="1DE4567D" w14:textId="77777777" w:rsidTr="001F7400">
        <w:trPr>
          <w:trHeight w:val="556"/>
        </w:trPr>
        <w:tc>
          <w:tcPr>
            <w:tcW w:w="1981" w:type="dxa"/>
            <w:hideMark/>
          </w:tcPr>
          <w:p w14:paraId="2E96AFC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Average Annual Student Dropouts over 2017-2024</w:t>
            </w:r>
          </w:p>
        </w:tc>
        <w:tc>
          <w:tcPr>
            <w:tcW w:w="1792" w:type="dxa"/>
            <w:gridSpan w:val="2"/>
            <w:hideMark/>
          </w:tcPr>
          <w:p w14:paraId="65E142F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xml:space="preserve">               107,221 </w:t>
            </w:r>
          </w:p>
        </w:tc>
        <w:tc>
          <w:tcPr>
            <w:tcW w:w="1952" w:type="dxa"/>
            <w:gridSpan w:val="2"/>
            <w:hideMark/>
          </w:tcPr>
          <w:p w14:paraId="0DD4203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xml:space="preserve">                  54,184 </w:t>
            </w:r>
          </w:p>
        </w:tc>
      </w:tr>
      <w:tr w:rsidR="00BF10A3" w:rsidRPr="0024308E" w14:paraId="3A529330" w14:textId="77777777" w:rsidTr="001F7400">
        <w:trPr>
          <w:trHeight w:val="284"/>
        </w:trPr>
        <w:tc>
          <w:tcPr>
            <w:tcW w:w="1981" w:type="dxa"/>
            <w:hideMark/>
          </w:tcPr>
          <w:p w14:paraId="5BD6CCF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c>
          <w:tcPr>
            <w:tcW w:w="896" w:type="dxa"/>
            <w:noWrap/>
            <w:hideMark/>
          </w:tcPr>
          <w:p w14:paraId="5A819AC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896" w:type="dxa"/>
            <w:noWrap/>
            <w:hideMark/>
          </w:tcPr>
          <w:p w14:paraId="391BEB4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w:t>
            </w:r>
          </w:p>
        </w:tc>
        <w:tc>
          <w:tcPr>
            <w:tcW w:w="976" w:type="dxa"/>
            <w:noWrap/>
            <w:hideMark/>
          </w:tcPr>
          <w:p w14:paraId="7F1F0AD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976" w:type="dxa"/>
            <w:noWrap/>
            <w:hideMark/>
          </w:tcPr>
          <w:p w14:paraId="64EEDAF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w:t>
            </w:r>
          </w:p>
        </w:tc>
      </w:tr>
      <w:tr w:rsidR="00BF10A3" w:rsidRPr="0024308E" w14:paraId="2EE22D1B" w14:textId="77777777" w:rsidTr="001F7400">
        <w:trPr>
          <w:trHeight w:val="284"/>
        </w:trPr>
        <w:tc>
          <w:tcPr>
            <w:tcW w:w="1981" w:type="dxa"/>
            <w:hideMark/>
          </w:tcPr>
          <w:p w14:paraId="0CE57C6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c>
          <w:tcPr>
            <w:tcW w:w="896" w:type="dxa"/>
            <w:noWrap/>
            <w:hideMark/>
          </w:tcPr>
          <w:p w14:paraId="5AE1EE0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c>
          <w:tcPr>
            <w:tcW w:w="896" w:type="dxa"/>
            <w:noWrap/>
            <w:hideMark/>
          </w:tcPr>
          <w:p w14:paraId="287488D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c>
          <w:tcPr>
            <w:tcW w:w="976" w:type="dxa"/>
            <w:noWrap/>
            <w:hideMark/>
          </w:tcPr>
          <w:p w14:paraId="19B33A5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c>
          <w:tcPr>
            <w:tcW w:w="976" w:type="dxa"/>
            <w:noWrap/>
            <w:hideMark/>
          </w:tcPr>
          <w:p w14:paraId="0BD2BE7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 </w:t>
            </w:r>
          </w:p>
        </w:tc>
      </w:tr>
      <w:tr w:rsidR="00BF10A3" w:rsidRPr="0024308E" w14:paraId="4530CE72" w14:textId="77777777" w:rsidTr="001F7400">
        <w:trPr>
          <w:trHeight w:val="1100"/>
        </w:trPr>
        <w:tc>
          <w:tcPr>
            <w:tcW w:w="1981" w:type="dxa"/>
            <w:hideMark/>
          </w:tcPr>
          <w:p w14:paraId="35E9360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Additional expense of educating transfer students at passing programs</w:t>
            </w:r>
          </w:p>
        </w:tc>
        <w:tc>
          <w:tcPr>
            <w:tcW w:w="896" w:type="dxa"/>
            <w:noWrap/>
            <w:hideMark/>
          </w:tcPr>
          <w:p w14:paraId="4ECAA6D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$368</w:t>
            </w:r>
          </w:p>
        </w:tc>
        <w:tc>
          <w:tcPr>
            <w:tcW w:w="896" w:type="dxa"/>
            <w:noWrap/>
            <w:hideMark/>
          </w:tcPr>
          <w:p w14:paraId="4F6FB9C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$374</w:t>
            </w:r>
          </w:p>
        </w:tc>
        <w:tc>
          <w:tcPr>
            <w:tcW w:w="976" w:type="dxa"/>
            <w:noWrap/>
            <w:hideMark/>
          </w:tcPr>
          <w:p w14:paraId="0C371D8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$179</w:t>
            </w:r>
          </w:p>
        </w:tc>
        <w:tc>
          <w:tcPr>
            <w:tcW w:w="976" w:type="dxa"/>
            <w:noWrap/>
            <w:hideMark/>
          </w:tcPr>
          <w:p w14:paraId="39747EC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$180</w:t>
            </w:r>
          </w:p>
        </w:tc>
      </w:tr>
      <w:tr w:rsidR="00BF10A3" w:rsidRPr="0024308E" w14:paraId="736345F3" w14:textId="77777777" w:rsidTr="001F7400">
        <w:trPr>
          <w:trHeight w:val="1914"/>
        </w:trPr>
        <w:tc>
          <w:tcPr>
            <w:tcW w:w="1981" w:type="dxa"/>
            <w:hideMark/>
          </w:tcPr>
          <w:p w14:paraId="7C6CB4B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Transfer of Federal student aid money from failing programs to the Federal government when students drop out of programs or remain in ineligible programs</w:t>
            </w:r>
          </w:p>
        </w:tc>
        <w:tc>
          <w:tcPr>
            <w:tcW w:w="896" w:type="dxa"/>
            <w:noWrap/>
            <w:hideMark/>
          </w:tcPr>
          <w:p w14:paraId="715CDCD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$412</w:t>
            </w:r>
          </w:p>
        </w:tc>
        <w:tc>
          <w:tcPr>
            <w:tcW w:w="896" w:type="dxa"/>
            <w:noWrap/>
            <w:hideMark/>
          </w:tcPr>
          <w:p w14:paraId="1292002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$412</w:t>
            </w:r>
          </w:p>
        </w:tc>
        <w:tc>
          <w:tcPr>
            <w:tcW w:w="976" w:type="dxa"/>
            <w:noWrap/>
            <w:hideMark/>
          </w:tcPr>
          <w:p w14:paraId="061C810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$192</w:t>
            </w:r>
          </w:p>
        </w:tc>
        <w:tc>
          <w:tcPr>
            <w:tcW w:w="976" w:type="dxa"/>
            <w:noWrap/>
            <w:hideMark/>
          </w:tcPr>
          <w:p w14:paraId="0E8DDCF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$191</w:t>
            </w:r>
          </w:p>
        </w:tc>
      </w:tr>
      <w:tr w:rsidR="00BF10A3" w:rsidRPr="0024308E" w14:paraId="5FA757E7" w14:textId="77777777" w:rsidTr="001F7400">
        <w:trPr>
          <w:trHeight w:val="1372"/>
        </w:trPr>
        <w:tc>
          <w:tcPr>
            <w:tcW w:w="1981" w:type="dxa"/>
            <w:hideMark/>
          </w:tcPr>
          <w:p w14:paraId="427F610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Estimated Transfer  of revenues from non-passing programs to passing or zone programs as students transfer </w:t>
            </w:r>
          </w:p>
        </w:tc>
        <w:tc>
          <w:tcPr>
            <w:tcW w:w="896" w:type="dxa"/>
            <w:noWrap/>
            <w:hideMark/>
          </w:tcPr>
          <w:p w14:paraId="2BBA3D0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$2,517</w:t>
            </w:r>
          </w:p>
        </w:tc>
        <w:tc>
          <w:tcPr>
            <w:tcW w:w="896" w:type="dxa"/>
            <w:noWrap/>
            <w:hideMark/>
          </w:tcPr>
          <w:p w14:paraId="22C34C0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$2,558</w:t>
            </w:r>
          </w:p>
        </w:tc>
        <w:tc>
          <w:tcPr>
            <w:tcW w:w="976" w:type="dxa"/>
            <w:noWrap/>
            <w:hideMark/>
          </w:tcPr>
          <w:p w14:paraId="3949256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$1,229</w:t>
            </w:r>
          </w:p>
        </w:tc>
        <w:tc>
          <w:tcPr>
            <w:tcW w:w="976" w:type="dxa"/>
            <w:noWrap/>
            <w:hideMark/>
          </w:tcPr>
          <w:p w14:paraId="462DA1D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$1,241</w:t>
            </w:r>
          </w:p>
        </w:tc>
      </w:tr>
      <w:tr w:rsidR="00BF10A3" w:rsidRPr="0024308E" w14:paraId="6A5ABC21" w14:textId="77777777" w:rsidTr="001F7400">
        <w:trPr>
          <w:trHeight w:val="1644"/>
        </w:trPr>
        <w:tc>
          <w:tcPr>
            <w:tcW w:w="1981" w:type="dxa"/>
            <w:hideMark/>
          </w:tcPr>
          <w:p w14:paraId="31E410B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Estimated Transfer  of instructional expenses from non-passing programs to passing or zone programs as students transfer </w:t>
            </w:r>
          </w:p>
        </w:tc>
        <w:tc>
          <w:tcPr>
            <w:tcW w:w="896" w:type="dxa"/>
            <w:noWrap/>
            <w:hideMark/>
          </w:tcPr>
          <w:p w14:paraId="1562D1A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$1,200</w:t>
            </w:r>
          </w:p>
        </w:tc>
        <w:tc>
          <w:tcPr>
            <w:tcW w:w="896" w:type="dxa"/>
            <w:noWrap/>
            <w:hideMark/>
          </w:tcPr>
          <w:p w14:paraId="0B11562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$1,219</w:t>
            </w:r>
          </w:p>
        </w:tc>
        <w:tc>
          <w:tcPr>
            <w:tcW w:w="976" w:type="dxa"/>
            <w:noWrap/>
            <w:hideMark/>
          </w:tcPr>
          <w:p w14:paraId="3322B3E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$584</w:t>
            </w:r>
          </w:p>
        </w:tc>
        <w:tc>
          <w:tcPr>
            <w:tcW w:w="976" w:type="dxa"/>
            <w:noWrap/>
            <w:hideMark/>
          </w:tcPr>
          <w:p w14:paraId="555CF61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$589</w:t>
            </w:r>
          </w:p>
        </w:tc>
      </w:tr>
    </w:tbl>
    <w:p w14:paraId="35F03905" w14:textId="77777777" w:rsidR="00BF10A3" w:rsidRPr="0024308E" w:rsidRDefault="00BF10A3" w:rsidP="00BF10A3">
      <w:pPr>
        <w:rPr>
          <w:rFonts w:ascii="Courier New" w:eastAsiaTheme="minorHAnsi" w:hAnsi="Courier New"/>
          <w:sz w:val="16"/>
        </w:rPr>
      </w:pPr>
    </w:p>
    <w:p w14:paraId="5BC85865" w14:textId="77777777" w:rsidR="00BF10A3" w:rsidRDefault="00BF10A3" w:rsidP="00BF10A3">
      <w:pPr>
        <w:spacing w:after="0" w:line="240" w:lineRule="auto"/>
        <w:rPr>
          <w:rFonts w:ascii="Courier New" w:hAnsi="Courier New"/>
          <w:sz w:val="24"/>
        </w:rPr>
      </w:pPr>
    </w:p>
    <w:p w14:paraId="2FF403E4" w14:textId="77777777" w:rsidR="00BF10A3" w:rsidRPr="00AA6DFD" w:rsidRDefault="00BF10A3" w:rsidP="00BF10A3">
      <w:pPr>
        <w:spacing w:after="0" w:line="240" w:lineRule="auto"/>
        <w:rPr>
          <w:rFonts w:ascii="Courier New" w:hAnsi="Courier New"/>
          <w:sz w:val="24"/>
        </w:rPr>
      </w:pPr>
    </w:p>
    <w:p w14:paraId="3F461C91" w14:textId="77777777" w:rsidR="00BF10A3" w:rsidRPr="00B53B21" w:rsidRDefault="00BF10A3" w:rsidP="00BF10A3">
      <w:pPr>
        <w:pStyle w:val="riaheader2"/>
      </w:pPr>
      <w:r w:rsidRPr="00B53B21">
        <w:t xml:space="preserve">Discretionary Income Rate </w:t>
      </w:r>
    </w:p>
    <w:p w14:paraId="7FC2BF3D"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Instead of two debt-to-earnings ratios, the annual earnings rate and the discretionary income rate, we considered a simpler approach where only the discretionary income rate would be used as a metric.  However, this would have led to any program with earnings below the discretionary income level failing the measure.  Removing the annual earnings rate altogether would make ineligible programs that, based on expert analysis, leave students with manageable levels of debt.  In some cases, programs may leave graduates with low earnings, but these students may also have minimal debt that is manageable at those earnings levels.    </w:t>
      </w:r>
    </w:p>
    <w:p w14:paraId="6D2F7BD2"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 xml:space="preserve">     For these programs, rather than establish a minimum earnings threshold through a single discretionary earnings rate measure, we believe that students, using the information about program outcomes that will be available as a result of the disclosures, should be able to make their own assessment of whether the potential earnings will meet their goals and expectations.</w:t>
      </w:r>
      <w:r w:rsidRPr="00AA6DFD">
        <w:rPr>
          <w:rFonts w:ascii="Courier New" w:hAnsi="Courier New" w:cs="Courier New"/>
          <w:sz w:val="24"/>
          <w:szCs w:val="24"/>
        </w:rPr>
        <w:tab/>
        <w:t xml:space="preserve">    </w:t>
      </w:r>
    </w:p>
    <w:p w14:paraId="51AE2073" w14:textId="77777777" w:rsidR="00BF10A3" w:rsidRPr="00B53B21" w:rsidRDefault="00BF10A3" w:rsidP="00BF10A3">
      <w:pPr>
        <w:pStyle w:val="riaheader2"/>
      </w:pPr>
      <w:r w:rsidRPr="00B53B21">
        <w:t>Pre- and Post-Program Earnings Comparison</w:t>
      </w:r>
    </w:p>
    <w:p w14:paraId="201FAAAE" w14:textId="77777777" w:rsidR="00BF10A3" w:rsidRPr="00AA6DFD" w:rsidRDefault="00BF10A3" w:rsidP="00BF10A3">
      <w:pPr>
        <w:spacing w:after="0" w:line="480" w:lineRule="auto"/>
        <w:ind w:firstLine="720"/>
        <w:rPr>
          <w:rFonts w:ascii="Courier New" w:hAnsi="Courier New" w:cs="Courier New"/>
          <w:b/>
          <w:bCs/>
          <w:sz w:val="24"/>
          <w:szCs w:val="24"/>
        </w:rPr>
      </w:pPr>
      <w:r w:rsidRPr="00AA6DFD">
        <w:rPr>
          <w:rFonts w:ascii="Courier New" w:hAnsi="Courier New" w:cs="Courier New"/>
          <w:sz w:val="24"/>
          <w:szCs w:val="24"/>
        </w:rPr>
        <w:t xml:space="preserve">The Department also considered an approach that would compare pre-program and post-program earnings to capture the near-term effect of the program.  This approach had been suggested by commenters responding to the 2011 Prior Rule and to the NPRM, especially for short-term programs, and has some merit conceptually.  While it is important that programs lead to earnings gains, we believe that the D/E rates measure better achieves the objectives of these regulations by assessing earnings in the context of whether they are at a level that would allow borrowers to manage their debt and avoid default. </w:t>
      </w:r>
      <w:r w:rsidRPr="00AA6DFD">
        <w:rPr>
          <w:rFonts w:ascii="Courier New" w:hAnsi="Courier New" w:cs="Courier New"/>
          <w:sz w:val="24"/>
          <w:szCs w:val="24"/>
        </w:rPr>
        <w:tab/>
      </w:r>
    </w:p>
    <w:p w14:paraId="79E392F3" w14:textId="77777777" w:rsidR="00BF10A3" w:rsidRPr="00B53B21" w:rsidRDefault="00BF10A3" w:rsidP="00BF10A3">
      <w:pPr>
        <w:pStyle w:val="riaheader2"/>
      </w:pPr>
      <w:r w:rsidRPr="00B53B21">
        <w:t>pCDR</w:t>
      </w:r>
    </w:p>
    <w:p w14:paraId="2A8967E5" w14:textId="77777777" w:rsidR="00BF10A3" w:rsidRPr="00B53B21" w:rsidRDefault="00BF10A3" w:rsidP="00BF10A3">
      <w:pPr>
        <w:pStyle w:val="riaheader3"/>
      </w:pPr>
      <w:r w:rsidRPr="00B53B21">
        <w:t>pCDR Measure</w:t>
      </w:r>
    </w:p>
    <w:p w14:paraId="74637A27" w14:textId="77777777" w:rsidR="00BF10A3" w:rsidRPr="00AA6DFD" w:rsidRDefault="00BF10A3" w:rsidP="00BF10A3">
      <w:pPr>
        <w:spacing w:after="0" w:line="240" w:lineRule="auto"/>
        <w:ind w:firstLine="720"/>
        <w:rPr>
          <w:rFonts w:ascii="Courier New" w:hAnsi="Courier New" w:cs="Courier New"/>
          <w:sz w:val="24"/>
          <w:szCs w:val="24"/>
        </w:rPr>
      </w:pPr>
    </w:p>
    <w:p w14:paraId="275232B0"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In the NPRM, the Department proposed that programs must pass a program-level cohort default rate (pCDR) measure, in addition to the D/E rates measure.  Unlike the D/E rates measure, the pCDR measure would assess the outcomes of both students who complete GE programs and those who do not.  The pCDR measure adopted almost all of the statutory and regulatory requirements of the institutional cohort default rate (iCDR) measure that is used to measure default rates at the institutional level for all title IV eligible institutions.  As proposed, GE p</w:t>
      </w:r>
      <w:r w:rsidRPr="00AA6DFD">
        <w:rPr>
          <w:rFonts w:ascii="Courier New" w:eastAsia="MS PGothic" w:hAnsi="Courier New" w:cs="Courier New"/>
          <w:color w:val="000000"/>
          <w:kern w:val="24"/>
          <w:sz w:val="24"/>
          <w:szCs w:val="24"/>
        </w:rPr>
        <w:t xml:space="preserve">rograms would fail the measure if more than 30 percent of borrowers defaulted on their FFEL or Direct Loans within the first three years of entering repayment.  Programs that failed the pCDR measure for three consecutive years would become ineligible.   </w:t>
      </w:r>
    </w:p>
    <w:p w14:paraId="176F61D5" w14:textId="77777777" w:rsidR="00BF10A3" w:rsidRPr="00AA6DFD" w:rsidRDefault="00BF10A3" w:rsidP="00BF10A3">
      <w:pPr>
        <w:spacing w:after="0" w:line="480" w:lineRule="auto"/>
        <w:ind w:firstLine="720"/>
        <w:rPr>
          <w:rFonts w:ascii="Courier New" w:eastAsia="MS PGothic" w:hAnsi="Courier New" w:cs="Courier New"/>
          <w:color w:val="000000"/>
          <w:kern w:val="24"/>
          <w:sz w:val="24"/>
          <w:szCs w:val="24"/>
        </w:rPr>
      </w:pPr>
      <w:r w:rsidRPr="00AA6DFD">
        <w:rPr>
          <w:rFonts w:ascii="Courier New" w:eastAsia="MS PGothic" w:hAnsi="Courier New" w:cs="Courier New"/>
          <w:color w:val="000000"/>
          <w:kern w:val="24"/>
          <w:sz w:val="24"/>
          <w:szCs w:val="24"/>
        </w:rPr>
        <w:t xml:space="preserve">The Department strongly believes in the importance of holding GE programs accountable for the outcomes of students who do not complete a program and ensuring that institutions make meaningful efforts to increase completion rates.  However, given the wealth of feedback we received, we believe further study is necessary before we adopt pCDR or another accountability metric that would take into account the outcomes of students who do not complete a program.  Therefore, we are not adopting pCDR as an accountability metric.  Using the information we receive from institutions through reporting, we will work to develop a robust measure of outcomes for students who do not complete their programs.  </w:t>
      </w:r>
    </w:p>
    <w:p w14:paraId="2708DE54" w14:textId="77777777" w:rsidR="00BF10A3" w:rsidRPr="00AA6DFD" w:rsidRDefault="00BF10A3" w:rsidP="00BF10A3">
      <w:pPr>
        <w:spacing w:after="0" w:line="480" w:lineRule="auto"/>
        <w:ind w:firstLine="720"/>
        <w:rPr>
          <w:rFonts w:ascii="Courier New" w:eastAsia="MS PGothic" w:hAnsi="Courier New" w:cs="Courier New"/>
          <w:color w:val="000000"/>
          <w:kern w:val="24"/>
          <w:sz w:val="24"/>
          <w:szCs w:val="24"/>
        </w:rPr>
      </w:pPr>
      <w:r w:rsidRPr="00AA6DFD">
        <w:rPr>
          <w:rFonts w:ascii="Courier New" w:eastAsia="MS PGothic" w:hAnsi="Courier New" w:cs="Courier New"/>
          <w:color w:val="000000"/>
          <w:kern w:val="24"/>
          <w:sz w:val="24"/>
          <w:szCs w:val="24"/>
        </w:rPr>
        <w:t>We continue to believe that default rates are important for students to consider as they decide where to pursue, or continue, their postsecondary education and whether or not to borrow to attend a particular program.  Accordingly, we are retaining pCDR as one of the disclosures that institutions may be required to make under §668.412.  We believe that requiring this disclosure, along with other potential disclosures such as completion, withdrawal, and repayment rates, will bring a level of accountability and transparency to GE programs with high rates of non-completion.</w:t>
      </w:r>
    </w:p>
    <w:p w14:paraId="1A460DF7" w14:textId="77777777" w:rsidR="00BF10A3" w:rsidRPr="00AA6DFD" w:rsidRDefault="00BF10A3" w:rsidP="00BF10A3">
      <w:pPr>
        <w:spacing w:after="0" w:line="240" w:lineRule="auto"/>
        <w:rPr>
          <w:rFonts w:ascii="Courier New" w:hAnsi="Courier New" w:cs="Courier New"/>
          <w:b/>
          <w:sz w:val="24"/>
          <w:szCs w:val="24"/>
        </w:rPr>
      </w:pPr>
    </w:p>
    <w:p w14:paraId="0C928138" w14:textId="77777777" w:rsidR="00BF10A3" w:rsidRPr="00AA6DFD" w:rsidRDefault="00BF10A3" w:rsidP="00BF10A3">
      <w:pPr>
        <w:rPr>
          <w:rFonts w:ascii="Courier New" w:hAnsi="Courier New" w:cs="Courier New"/>
          <w:b/>
          <w:sz w:val="24"/>
          <w:szCs w:val="24"/>
        </w:rPr>
      </w:pPr>
      <w:r>
        <w:rPr>
          <w:rFonts w:ascii="Courier New" w:hAnsi="Courier New" w:cs="Courier New"/>
          <w:b/>
          <w:sz w:val="24"/>
          <w:szCs w:val="24"/>
        </w:rPr>
        <w:br w:type="page"/>
      </w:r>
    </w:p>
    <w:p w14:paraId="6B73F591" w14:textId="77777777" w:rsidR="00BF10A3" w:rsidRPr="00AA6DFD" w:rsidRDefault="00BF10A3" w:rsidP="00BF10A3">
      <w:pPr>
        <w:spacing w:after="0" w:line="240" w:lineRule="auto"/>
        <w:rPr>
          <w:rFonts w:ascii="Courier New" w:hAnsi="Courier New" w:cs="Courier New"/>
          <w:b/>
          <w:sz w:val="24"/>
          <w:szCs w:val="24"/>
        </w:rPr>
      </w:pPr>
    </w:p>
    <w:p w14:paraId="5AA0ACAB"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4.8: Estimated Results under pCDR measure</w:t>
      </w:r>
    </w:p>
    <w:p w14:paraId="610CF2A9" w14:textId="77777777" w:rsidR="00BF10A3" w:rsidRPr="0024308E" w:rsidRDefault="00BF10A3" w:rsidP="00BF10A3">
      <w:pPr>
        <w:rPr>
          <w:rFonts w:ascii="Courier New" w:eastAsiaTheme="minorHAnsi" w:hAnsi="Courier New" w:cstheme="minorBidi"/>
          <w:sz w:val="16"/>
        </w:rPr>
      </w:pPr>
      <w:r w:rsidRPr="00AA6DFD">
        <w:rPr>
          <w:rFonts w:ascii="Courier New" w:hAnsi="Courier New" w:cs="Courier New"/>
          <w:b/>
          <w:sz w:val="24"/>
          <w:szCs w:val="24"/>
        </w:rPr>
        <w:tab/>
      </w:r>
    </w:p>
    <w:tbl>
      <w:tblPr>
        <w:tblStyle w:val="TableGrid29"/>
        <w:tblW w:w="9648" w:type="dxa"/>
        <w:tblLook w:val="04A0" w:firstRow="1" w:lastRow="0" w:firstColumn="1" w:lastColumn="0" w:noHBand="0" w:noVBand="1"/>
      </w:tblPr>
      <w:tblGrid>
        <w:gridCol w:w="889"/>
        <w:gridCol w:w="654"/>
        <w:gridCol w:w="1585"/>
        <w:gridCol w:w="1048"/>
        <w:gridCol w:w="985"/>
        <w:gridCol w:w="985"/>
        <w:gridCol w:w="1177"/>
        <w:gridCol w:w="1177"/>
        <w:gridCol w:w="1230"/>
      </w:tblGrid>
      <w:tr w:rsidR="00BF10A3" w:rsidRPr="0024308E" w14:paraId="22F5B2AC" w14:textId="77777777" w:rsidTr="001F7400">
        <w:trPr>
          <w:trHeight w:val="731"/>
        </w:trPr>
        <w:tc>
          <w:tcPr>
            <w:tcW w:w="875" w:type="dxa"/>
            <w:hideMark/>
          </w:tcPr>
          <w:p w14:paraId="48C635BB"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Sector</w:t>
            </w:r>
          </w:p>
        </w:tc>
        <w:tc>
          <w:tcPr>
            <w:tcW w:w="654" w:type="dxa"/>
            <w:hideMark/>
          </w:tcPr>
          <w:p w14:paraId="770815D4"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IHE Type</w:t>
            </w:r>
          </w:p>
        </w:tc>
        <w:tc>
          <w:tcPr>
            <w:tcW w:w="1585" w:type="dxa"/>
            <w:hideMark/>
          </w:tcPr>
          <w:p w14:paraId="0C3A707D"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Credential Level</w:t>
            </w:r>
          </w:p>
        </w:tc>
        <w:tc>
          <w:tcPr>
            <w:tcW w:w="1048" w:type="dxa"/>
            <w:hideMark/>
          </w:tcPr>
          <w:p w14:paraId="38FA124C"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Programs</w:t>
            </w:r>
          </w:p>
        </w:tc>
        <w:tc>
          <w:tcPr>
            <w:tcW w:w="970" w:type="dxa"/>
            <w:hideMark/>
          </w:tcPr>
          <w:p w14:paraId="6C9CD1DC"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Passing Programs</w:t>
            </w:r>
          </w:p>
        </w:tc>
        <w:tc>
          <w:tcPr>
            <w:tcW w:w="970" w:type="dxa"/>
            <w:hideMark/>
          </w:tcPr>
          <w:p w14:paraId="572BE679"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Failing Programs</w:t>
            </w:r>
          </w:p>
        </w:tc>
        <w:tc>
          <w:tcPr>
            <w:tcW w:w="1158" w:type="dxa"/>
            <w:hideMark/>
          </w:tcPr>
          <w:p w14:paraId="4A358C0B"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Enrollment</w:t>
            </w:r>
          </w:p>
        </w:tc>
        <w:tc>
          <w:tcPr>
            <w:tcW w:w="1158" w:type="dxa"/>
            <w:hideMark/>
          </w:tcPr>
          <w:p w14:paraId="034A64E8"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Enrollment in Passing Programs</w:t>
            </w:r>
          </w:p>
        </w:tc>
        <w:tc>
          <w:tcPr>
            <w:tcW w:w="1230" w:type="dxa"/>
            <w:hideMark/>
          </w:tcPr>
          <w:p w14:paraId="580DC2C4"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Enrollment in Failing Programs</w:t>
            </w:r>
          </w:p>
        </w:tc>
      </w:tr>
      <w:tr w:rsidR="00BF10A3" w:rsidRPr="0024308E" w14:paraId="133ADEAE" w14:textId="77777777" w:rsidTr="001F7400">
        <w:trPr>
          <w:trHeight w:val="305"/>
        </w:trPr>
        <w:tc>
          <w:tcPr>
            <w:tcW w:w="875" w:type="dxa"/>
            <w:vMerge w:val="restart"/>
            <w:noWrap/>
            <w:hideMark/>
          </w:tcPr>
          <w:p w14:paraId="46D43651"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Public</w:t>
            </w:r>
          </w:p>
        </w:tc>
        <w:tc>
          <w:tcPr>
            <w:tcW w:w="2239" w:type="dxa"/>
            <w:gridSpan w:val="2"/>
            <w:noWrap/>
            <w:hideMark/>
          </w:tcPr>
          <w:p w14:paraId="5634A65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Total</w:t>
            </w:r>
          </w:p>
        </w:tc>
        <w:tc>
          <w:tcPr>
            <w:tcW w:w="1048" w:type="dxa"/>
            <w:noWrap/>
            <w:hideMark/>
          </w:tcPr>
          <w:p w14:paraId="3CDEBE3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902</w:t>
            </w:r>
          </w:p>
        </w:tc>
        <w:tc>
          <w:tcPr>
            <w:tcW w:w="970" w:type="dxa"/>
            <w:noWrap/>
            <w:hideMark/>
          </w:tcPr>
          <w:p w14:paraId="4834E11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850</w:t>
            </w:r>
          </w:p>
        </w:tc>
        <w:tc>
          <w:tcPr>
            <w:tcW w:w="970" w:type="dxa"/>
            <w:noWrap/>
            <w:hideMark/>
          </w:tcPr>
          <w:p w14:paraId="2FABC1F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52</w:t>
            </w:r>
          </w:p>
        </w:tc>
        <w:tc>
          <w:tcPr>
            <w:tcW w:w="1158" w:type="dxa"/>
            <w:noWrap/>
            <w:hideMark/>
          </w:tcPr>
          <w:p w14:paraId="6B3BEFD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121,650</w:t>
            </w:r>
          </w:p>
        </w:tc>
        <w:tc>
          <w:tcPr>
            <w:tcW w:w="1158" w:type="dxa"/>
            <w:noWrap/>
            <w:hideMark/>
          </w:tcPr>
          <w:p w14:paraId="756C511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108,995</w:t>
            </w:r>
          </w:p>
        </w:tc>
        <w:tc>
          <w:tcPr>
            <w:tcW w:w="1230" w:type="dxa"/>
            <w:noWrap/>
            <w:hideMark/>
          </w:tcPr>
          <w:p w14:paraId="577088B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12,655</w:t>
            </w:r>
          </w:p>
        </w:tc>
      </w:tr>
      <w:tr w:rsidR="00BF10A3" w:rsidRPr="0024308E" w14:paraId="1F31E76B" w14:textId="77777777" w:rsidTr="001F7400">
        <w:trPr>
          <w:trHeight w:val="305"/>
        </w:trPr>
        <w:tc>
          <w:tcPr>
            <w:tcW w:w="875" w:type="dxa"/>
            <w:vMerge/>
            <w:hideMark/>
          </w:tcPr>
          <w:p w14:paraId="547D8423" w14:textId="77777777" w:rsidR="00BF10A3" w:rsidRPr="0024308E" w:rsidRDefault="00BF10A3" w:rsidP="001F7400">
            <w:pPr>
              <w:rPr>
                <w:rFonts w:ascii="Courier New" w:eastAsiaTheme="minorHAnsi" w:hAnsi="Courier New" w:cstheme="minorBidi"/>
                <w:b/>
                <w:bCs/>
                <w:sz w:val="16"/>
              </w:rPr>
            </w:pPr>
          </w:p>
        </w:tc>
        <w:tc>
          <w:tcPr>
            <w:tcW w:w="654" w:type="dxa"/>
            <w:noWrap/>
            <w:hideMark/>
          </w:tcPr>
          <w:p w14:paraId="6E43252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&lt; 2 year</w:t>
            </w:r>
          </w:p>
        </w:tc>
        <w:tc>
          <w:tcPr>
            <w:tcW w:w="1585" w:type="dxa"/>
            <w:noWrap/>
            <w:hideMark/>
          </w:tcPr>
          <w:p w14:paraId="20F44AD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56E7EA8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119</w:t>
            </w:r>
          </w:p>
        </w:tc>
        <w:tc>
          <w:tcPr>
            <w:tcW w:w="970" w:type="dxa"/>
            <w:noWrap/>
            <w:hideMark/>
          </w:tcPr>
          <w:p w14:paraId="1A1C2CE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115</w:t>
            </w:r>
          </w:p>
        </w:tc>
        <w:tc>
          <w:tcPr>
            <w:tcW w:w="970" w:type="dxa"/>
            <w:noWrap/>
            <w:hideMark/>
          </w:tcPr>
          <w:p w14:paraId="45F2A1A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w:t>
            </w:r>
          </w:p>
        </w:tc>
        <w:tc>
          <w:tcPr>
            <w:tcW w:w="1158" w:type="dxa"/>
            <w:noWrap/>
            <w:hideMark/>
          </w:tcPr>
          <w:p w14:paraId="083095C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9,489</w:t>
            </w:r>
          </w:p>
        </w:tc>
        <w:tc>
          <w:tcPr>
            <w:tcW w:w="1158" w:type="dxa"/>
            <w:noWrap/>
            <w:hideMark/>
          </w:tcPr>
          <w:p w14:paraId="4AEED4C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9,293</w:t>
            </w:r>
          </w:p>
        </w:tc>
        <w:tc>
          <w:tcPr>
            <w:tcW w:w="1230" w:type="dxa"/>
            <w:noWrap/>
            <w:hideMark/>
          </w:tcPr>
          <w:p w14:paraId="476595D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196</w:t>
            </w:r>
          </w:p>
        </w:tc>
      </w:tr>
      <w:tr w:rsidR="00BF10A3" w:rsidRPr="0024308E" w14:paraId="24F9B630" w14:textId="77777777" w:rsidTr="001F7400">
        <w:trPr>
          <w:trHeight w:val="305"/>
        </w:trPr>
        <w:tc>
          <w:tcPr>
            <w:tcW w:w="875" w:type="dxa"/>
            <w:vMerge/>
            <w:hideMark/>
          </w:tcPr>
          <w:p w14:paraId="5887C1F2" w14:textId="77777777" w:rsidR="00BF10A3" w:rsidRPr="0024308E" w:rsidRDefault="00BF10A3" w:rsidP="001F7400">
            <w:pPr>
              <w:rPr>
                <w:rFonts w:ascii="Courier New" w:eastAsiaTheme="minorHAnsi" w:hAnsi="Courier New" w:cstheme="minorBidi"/>
                <w:b/>
                <w:bCs/>
                <w:sz w:val="16"/>
              </w:rPr>
            </w:pPr>
          </w:p>
        </w:tc>
        <w:tc>
          <w:tcPr>
            <w:tcW w:w="654" w:type="dxa"/>
            <w:noWrap/>
            <w:hideMark/>
          </w:tcPr>
          <w:p w14:paraId="6B28451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 year</w:t>
            </w:r>
          </w:p>
        </w:tc>
        <w:tc>
          <w:tcPr>
            <w:tcW w:w="1585" w:type="dxa"/>
            <w:noWrap/>
            <w:hideMark/>
          </w:tcPr>
          <w:p w14:paraId="02EF7DF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38BF405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701</w:t>
            </w:r>
          </w:p>
        </w:tc>
        <w:tc>
          <w:tcPr>
            <w:tcW w:w="970" w:type="dxa"/>
            <w:noWrap/>
            <w:hideMark/>
          </w:tcPr>
          <w:p w14:paraId="1C13655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655</w:t>
            </w:r>
          </w:p>
        </w:tc>
        <w:tc>
          <w:tcPr>
            <w:tcW w:w="970" w:type="dxa"/>
            <w:noWrap/>
            <w:hideMark/>
          </w:tcPr>
          <w:p w14:paraId="2F241D3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46</w:t>
            </w:r>
          </w:p>
        </w:tc>
        <w:tc>
          <w:tcPr>
            <w:tcW w:w="1158" w:type="dxa"/>
            <w:noWrap/>
            <w:hideMark/>
          </w:tcPr>
          <w:p w14:paraId="17809F1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104,399</w:t>
            </w:r>
          </w:p>
        </w:tc>
        <w:tc>
          <w:tcPr>
            <w:tcW w:w="1158" w:type="dxa"/>
            <w:noWrap/>
            <w:hideMark/>
          </w:tcPr>
          <w:p w14:paraId="3C6326D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92,090</w:t>
            </w:r>
          </w:p>
        </w:tc>
        <w:tc>
          <w:tcPr>
            <w:tcW w:w="1230" w:type="dxa"/>
            <w:noWrap/>
            <w:hideMark/>
          </w:tcPr>
          <w:p w14:paraId="42D5F3E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12,309</w:t>
            </w:r>
          </w:p>
        </w:tc>
      </w:tr>
      <w:tr w:rsidR="00BF10A3" w:rsidRPr="0024308E" w14:paraId="4A8105B8" w14:textId="77777777" w:rsidTr="001F7400">
        <w:trPr>
          <w:trHeight w:val="305"/>
        </w:trPr>
        <w:tc>
          <w:tcPr>
            <w:tcW w:w="875" w:type="dxa"/>
            <w:vMerge/>
            <w:hideMark/>
          </w:tcPr>
          <w:p w14:paraId="1ACF12CD"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1511014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4-year</w:t>
            </w:r>
          </w:p>
        </w:tc>
        <w:tc>
          <w:tcPr>
            <w:tcW w:w="1585" w:type="dxa"/>
            <w:noWrap/>
            <w:hideMark/>
          </w:tcPr>
          <w:p w14:paraId="486A496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308F852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60</w:t>
            </w:r>
          </w:p>
        </w:tc>
        <w:tc>
          <w:tcPr>
            <w:tcW w:w="970" w:type="dxa"/>
            <w:noWrap/>
            <w:hideMark/>
          </w:tcPr>
          <w:p w14:paraId="0CF42FF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58</w:t>
            </w:r>
          </w:p>
        </w:tc>
        <w:tc>
          <w:tcPr>
            <w:tcW w:w="970" w:type="dxa"/>
            <w:noWrap/>
            <w:hideMark/>
          </w:tcPr>
          <w:p w14:paraId="0EE0E7C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1158" w:type="dxa"/>
            <w:noWrap/>
            <w:hideMark/>
          </w:tcPr>
          <w:p w14:paraId="652991D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5,055</w:t>
            </w:r>
          </w:p>
        </w:tc>
        <w:tc>
          <w:tcPr>
            <w:tcW w:w="1158" w:type="dxa"/>
            <w:noWrap/>
            <w:hideMark/>
          </w:tcPr>
          <w:p w14:paraId="06CCD44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4,905</w:t>
            </w:r>
          </w:p>
        </w:tc>
        <w:tc>
          <w:tcPr>
            <w:tcW w:w="1230" w:type="dxa"/>
            <w:noWrap/>
            <w:hideMark/>
          </w:tcPr>
          <w:p w14:paraId="7AF956B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150</w:t>
            </w:r>
          </w:p>
        </w:tc>
      </w:tr>
      <w:tr w:rsidR="00BF10A3" w:rsidRPr="0024308E" w14:paraId="061D983C" w14:textId="77777777" w:rsidTr="001F7400">
        <w:trPr>
          <w:trHeight w:val="305"/>
        </w:trPr>
        <w:tc>
          <w:tcPr>
            <w:tcW w:w="875" w:type="dxa"/>
            <w:vMerge/>
            <w:hideMark/>
          </w:tcPr>
          <w:p w14:paraId="52C5501D"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769F546E"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5976EF6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Post-Bacc Certificate</w:t>
            </w:r>
          </w:p>
        </w:tc>
        <w:tc>
          <w:tcPr>
            <w:tcW w:w="1048" w:type="dxa"/>
            <w:noWrap/>
            <w:hideMark/>
          </w:tcPr>
          <w:p w14:paraId="42CA39F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22</w:t>
            </w:r>
          </w:p>
        </w:tc>
        <w:tc>
          <w:tcPr>
            <w:tcW w:w="970" w:type="dxa"/>
            <w:noWrap/>
            <w:hideMark/>
          </w:tcPr>
          <w:p w14:paraId="631EE83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22</w:t>
            </w:r>
          </w:p>
        </w:tc>
        <w:tc>
          <w:tcPr>
            <w:tcW w:w="970" w:type="dxa"/>
            <w:noWrap/>
            <w:hideMark/>
          </w:tcPr>
          <w:p w14:paraId="33BF48E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4C5C348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2,707</w:t>
            </w:r>
          </w:p>
        </w:tc>
        <w:tc>
          <w:tcPr>
            <w:tcW w:w="1158" w:type="dxa"/>
            <w:noWrap/>
            <w:hideMark/>
          </w:tcPr>
          <w:p w14:paraId="0858403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2,707</w:t>
            </w:r>
          </w:p>
        </w:tc>
        <w:tc>
          <w:tcPr>
            <w:tcW w:w="1230" w:type="dxa"/>
            <w:noWrap/>
            <w:hideMark/>
          </w:tcPr>
          <w:p w14:paraId="3CA44CA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33D5AF6D" w14:textId="77777777" w:rsidTr="001F7400">
        <w:trPr>
          <w:trHeight w:val="305"/>
        </w:trPr>
        <w:tc>
          <w:tcPr>
            <w:tcW w:w="875" w:type="dxa"/>
            <w:vMerge w:val="restart"/>
            <w:noWrap/>
            <w:hideMark/>
          </w:tcPr>
          <w:p w14:paraId="3865E90C"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Private</w:t>
            </w:r>
          </w:p>
        </w:tc>
        <w:tc>
          <w:tcPr>
            <w:tcW w:w="2239" w:type="dxa"/>
            <w:gridSpan w:val="2"/>
            <w:noWrap/>
            <w:hideMark/>
          </w:tcPr>
          <w:p w14:paraId="38AA547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Total</w:t>
            </w:r>
          </w:p>
        </w:tc>
        <w:tc>
          <w:tcPr>
            <w:tcW w:w="1048" w:type="dxa"/>
            <w:noWrap/>
            <w:hideMark/>
          </w:tcPr>
          <w:p w14:paraId="7978252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262</w:t>
            </w:r>
          </w:p>
        </w:tc>
        <w:tc>
          <w:tcPr>
            <w:tcW w:w="970" w:type="dxa"/>
            <w:noWrap/>
            <w:hideMark/>
          </w:tcPr>
          <w:p w14:paraId="1136895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236</w:t>
            </w:r>
          </w:p>
        </w:tc>
        <w:tc>
          <w:tcPr>
            <w:tcW w:w="970" w:type="dxa"/>
            <w:noWrap/>
            <w:hideMark/>
          </w:tcPr>
          <w:p w14:paraId="744064D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w:t>
            </w:r>
          </w:p>
        </w:tc>
        <w:tc>
          <w:tcPr>
            <w:tcW w:w="1158" w:type="dxa"/>
            <w:noWrap/>
            <w:hideMark/>
          </w:tcPr>
          <w:p w14:paraId="656869F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40,039</w:t>
            </w:r>
          </w:p>
        </w:tc>
        <w:tc>
          <w:tcPr>
            <w:tcW w:w="1158" w:type="dxa"/>
            <w:noWrap/>
            <w:hideMark/>
          </w:tcPr>
          <w:p w14:paraId="71B5D98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36,317</w:t>
            </w:r>
          </w:p>
        </w:tc>
        <w:tc>
          <w:tcPr>
            <w:tcW w:w="1230" w:type="dxa"/>
            <w:noWrap/>
            <w:hideMark/>
          </w:tcPr>
          <w:p w14:paraId="6866339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3,722</w:t>
            </w:r>
          </w:p>
        </w:tc>
      </w:tr>
      <w:tr w:rsidR="00BF10A3" w:rsidRPr="0024308E" w14:paraId="607A3219" w14:textId="77777777" w:rsidTr="001F7400">
        <w:trPr>
          <w:trHeight w:val="305"/>
        </w:trPr>
        <w:tc>
          <w:tcPr>
            <w:tcW w:w="875" w:type="dxa"/>
            <w:vMerge/>
            <w:hideMark/>
          </w:tcPr>
          <w:p w14:paraId="27B7A956" w14:textId="77777777" w:rsidR="00BF10A3" w:rsidRPr="0024308E" w:rsidRDefault="00BF10A3" w:rsidP="001F7400">
            <w:pPr>
              <w:rPr>
                <w:rFonts w:ascii="Courier New" w:eastAsiaTheme="minorHAnsi" w:hAnsi="Courier New" w:cstheme="minorBidi"/>
                <w:b/>
                <w:bCs/>
                <w:sz w:val="16"/>
              </w:rPr>
            </w:pPr>
          </w:p>
        </w:tc>
        <w:tc>
          <w:tcPr>
            <w:tcW w:w="654" w:type="dxa"/>
            <w:noWrap/>
            <w:hideMark/>
          </w:tcPr>
          <w:p w14:paraId="4BE81FA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&lt; 2 year</w:t>
            </w:r>
          </w:p>
        </w:tc>
        <w:tc>
          <w:tcPr>
            <w:tcW w:w="1585" w:type="dxa"/>
            <w:noWrap/>
            <w:hideMark/>
          </w:tcPr>
          <w:p w14:paraId="2314557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5E1E93D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33</w:t>
            </w:r>
          </w:p>
        </w:tc>
        <w:tc>
          <w:tcPr>
            <w:tcW w:w="970" w:type="dxa"/>
            <w:noWrap/>
            <w:hideMark/>
          </w:tcPr>
          <w:p w14:paraId="561B478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w:t>
            </w:r>
          </w:p>
        </w:tc>
        <w:tc>
          <w:tcPr>
            <w:tcW w:w="970" w:type="dxa"/>
            <w:noWrap/>
            <w:hideMark/>
          </w:tcPr>
          <w:p w14:paraId="6F93A90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w:t>
            </w:r>
          </w:p>
        </w:tc>
        <w:tc>
          <w:tcPr>
            <w:tcW w:w="1158" w:type="dxa"/>
            <w:noWrap/>
            <w:hideMark/>
          </w:tcPr>
          <w:p w14:paraId="0EC8917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5,655</w:t>
            </w:r>
          </w:p>
        </w:tc>
        <w:tc>
          <w:tcPr>
            <w:tcW w:w="1158" w:type="dxa"/>
            <w:noWrap/>
            <w:hideMark/>
          </w:tcPr>
          <w:p w14:paraId="3F80675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4,427</w:t>
            </w:r>
          </w:p>
        </w:tc>
        <w:tc>
          <w:tcPr>
            <w:tcW w:w="1230" w:type="dxa"/>
            <w:noWrap/>
            <w:hideMark/>
          </w:tcPr>
          <w:p w14:paraId="3C09D69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1,228</w:t>
            </w:r>
          </w:p>
        </w:tc>
      </w:tr>
      <w:tr w:rsidR="00BF10A3" w:rsidRPr="0024308E" w14:paraId="609EE94D" w14:textId="77777777" w:rsidTr="001F7400">
        <w:trPr>
          <w:trHeight w:val="305"/>
        </w:trPr>
        <w:tc>
          <w:tcPr>
            <w:tcW w:w="875" w:type="dxa"/>
            <w:vMerge/>
            <w:hideMark/>
          </w:tcPr>
          <w:p w14:paraId="4AE0E1B7"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3040144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 year</w:t>
            </w:r>
          </w:p>
        </w:tc>
        <w:tc>
          <w:tcPr>
            <w:tcW w:w="1585" w:type="dxa"/>
            <w:noWrap/>
            <w:hideMark/>
          </w:tcPr>
          <w:p w14:paraId="2555D53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68E22D8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66</w:t>
            </w:r>
          </w:p>
        </w:tc>
        <w:tc>
          <w:tcPr>
            <w:tcW w:w="970" w:type="dxa"/>
            <w:noWrap/>
            <w:hideMark/>
          </w:tcPr>
          <w:p w14:paraId="47FA2A0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63</w:t>
            </w:r>
          </w:p>
        </w:tc>
        <w:tc>
          <w:tcPr>
            <w:tcW w:w="970" w:type="dxa"/>
            <w:noWrap/>
            <w:hideMark/>
          </w:tcPr>
          <w:p w14:paraId="632B240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1158" w:type="dxa"/>
            <w:noWrap/>
            <w:hideMark/>
          </w:tcPr>
          <w:p w14:paraId="091250C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8,877</w:t>
            </w:r>
          </w:p>
        </w:tc>
        <w:tc>
          <w:tcPr>
            <w:tcW w:w="1158" w:type="dxa"/>
            <w:noWrap/>
            <w:hideMark/>
          </w:tcPr>
          <w:p w14:paraId="1EB19E2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8,603</w:t>
            </w:r>
          </w:p>
        </w:tc>
        <w:tc>
          <w:tcPr>
            <w:tcW w:w="1230" w:type="dxa"/>
            <w:noWrap/>
            <w:hideMark/>
          </w:tcPr>
          <w:p w14:paraId="1F0D69C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274</w:t>
            </w:r>
          </w:p>
        </w:tc>
      </w:tr>
      <w:tr w:rsidR="00BF10A3" w:rsidRPr="0024308E" w14:paraId="6899EF0E" w14:textId="77777777" w:rsidTr="001F7400">
        <w:trPr>
          <w:trHeight w:val="305"/>
        </w:trPr>
        <w:tc>
          <w:tcPr>
            <w:tcW w:w="875" w:type="dxa"/>
            <w:vMerge/>
            <w:hideMark/>
          </w:tcPr>
          <w:p w14:paraId="4B692728"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1C1010DC"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2F638DE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Post-Bacc Certificate</w:t>
            </w:r>
          </w:p>
        </w:tc>
        <w:tc>
          <w:tcPr>
            <w:tcW w:w="1048" w:type="dxa"/>
            <w:noWrap/>
            <w:hideMark/>
          </w:tcPr>
          <w:p w14:paraId="1947C9C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970" w:type="dxa"/>
            <w:noWrap/>
            <w:hideMark/>
          </w:tcPr>
          <w:p w14:paraId="7214E8F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970" w:type="dxa"/>
            <w:noWrap/>
            <w:hideMark/>
          </w:tcPr>
          <w:p w14:paraId="2739B6A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6C21E33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17</w:t>
            </w:r>
          </w:p>
        </w:tc>
        <w:tc>
          <w:tcPr>
            <w:tcW w:w="1158" w:type="dxa"/>
            <w:noWrap/>
            <w:hideMark/>
          </w:tcPr>
          <w:p w14:paraId="6B15883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17</w:t>
            </w:r>
          </w:p>
        </w:tc>
        <w:tc>
          <w:tcPr>
            <w:tcW w:w="1230" w:type="dxa"/>
            <w:noWrap/>
            <w:hideMark/>
          </w:tcPr>
          <w:p w14:paraId="3416C54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088F58A3" w14:textId="77777777" w:rsidTr="001F7400">
        <w:trPr>
          <w:trHeight w:val="305"/>
        </w:trPr>
        <w:tc>
          <w:tcPr>
            <w:tcW w:w="875" w:type="dxa"/>
            <w:vMerge/>
            <w:hideMark/>
          </w:tcPr>
          <w:p w14:paraId="7474DEE0"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42971BB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4-year</w:t>
            </w:r>
          </w:p>
        </w:tc>
        <w:tc>
          <w:tcPr>
            <w:tcW w:w="1585" w:type="dxa"/>
            <w:noWrap/>
            <w:hideMark/>
          </w:tcPr>
          <w:p w14:paraId="3A0EAA9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5FB4749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94</w:t>
            </w:r>
          </w:p>
        </w:tc>
        <w:tc>
          <w:tcPr>
            <w:tcW w:w="970" w:type="dxa"/>
            <w:noWrap/>
            <w:hideMark/>
          </w:tcPr>
          <w:p w14:paraId="28EACFF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79</w:t>
            </w:r>
          </w:p>
        </w:tc>
        <w:tc>
          <w:tcPr>
            <w:tcW w:w="970" w:type="dxa"/>
            <w:noWrap/>
            <w:hideMark/>
          </w:tcPr>
          <w:p w14:paraId="5338957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w:t>
            </w:r>
          </w:p>
        </w:tc>
        <w:tc>
          <w:tcPr>
            <w:tcW w:w="1158" w:type="dxa"/>
            <w:noWrap/>
            <w:hideMark/>
          </w:tcPr>
          <w:p w14:paraId="3CCAB73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19,263</w:t>
            </w:r>
          </w:p>
        </w:tc>
        <w:tc>
          <w:tcPr>
            <w:tcW w:w="1158" w:type="dxa"/>
            <w:noWrap/>
            <w:hideMark/>
          </w:tcPr>
          <w:p w14:paraId="47E2BF2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17,043</w:t>
            </w:r>
          </w:p>
        </w:tc>
        <w:tc>
          <w:tcPr>
            <w:tcW w:w="1230" w:type="dxa"/>
            <w:noWrap/>
            <w:hideMark/>
          </w:tcPr>
          <w:p w14:paraId="60CBE14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2,220</w:t>
            </w:r>
          </w:p>
        </w:tc>
      </w:tr>
      <w:tr w:rsidR="00BF10A3" w:rsidRPr="0024308E" w14:paraId="020C0D19" w14:textId="77777777" w:rsidTr="001F7400">
        <w:trPr>
          <w:trHeight w:val="305"/>
        </w:trPr>
        <w:tc>
          <w:tcPr>
            <w:tcW w:w="875" w:type="dxa"/>
            <w:vMerge/>
            <w:hideMark/>
          </w:tcPr>
          <w:p w14:paraId="7E481CE2"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2F8908BB"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3720C6B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Post-Bacc Certificate</w:t>
            </w:r>
          </w:p>
        </w:tc>
        <w:tc>
          <w:tcPr>
            <w:tcW w:w="1048" w:type="dxa"/>
            <w:noWrap/>
            <w:hideMark/>
          </w:tcPr>
          <w:p w14:paraId="7F748A6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68</w:t>
            </w:r>
          </w:p>
        </w:tc>
        <w:tc>
          <w:tcPr>
            <w:tcW w:w="970" w:type="dxa"/>
            <w:noWrap/>
            <w:hideMark/>
          </w:tcPr>
          <w:p w14:paraId="34EECAD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68</w:t>
            </w:r>
          </w:p>
        </w:tc>
        <w:tc>
          <w:tcPr>
            <w:tcW w:w="970" w:type="dxa"/>
            <w:noWrap/>
            <w:hideMark/>
          </w:tcPr>
          <w:p w14:paraId="47E96FB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616F2A0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6,227</w:t>
            </w:r>
          </w:p>
        </w:tc>
        <w:tc>
          <w:tcPr>
            <w:tcW w:w="1158" w:type="dxa"/>
            <w:noWrap/>
            <w:hideMark/>
          </w:tcPr>
          <w:p w14:paraId="00AD108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6,227</w:t>
            </w:r>
          </w:p>
        </w:tc>
        <w:tc>
          <w:tcPr>
            <w:tcW w:w="1230" w:type="dxa"/>
            <w:noWrap/>
            <w:hideMark/>
          </w:tcPr>
          <w:p w14:paraId="0A5F38A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0586C1E7" w14:textId="77777777" w:rsidTr="001F7400">
        <w:trPr>
          <w:trHeight w:val="305"/>
        </w:trPr>
        <w:tc>
          <w:tcPr>
            <w:tcW w:w="875" w:type="dxa"/>
            <w:vMerge w:val="restart"/>
            <w:noWrap/>
            <w:hideMark/>
          </w:tcPr>
          <w:p w14:paraId="235F3530" w14:textId="77777777" w:rsidR="00BF10A3" w:rsidRPr="0024308E" w:rsidRDefault="00BF10A3" w:rsidP="001F7400">
            <w:pPr>
              <w:rPr>
                <w:rFonts w:ascii="Courier New" w:eastAsiaTheme="minorHAnsi" w:hAnsi="Courier New" w:cstheme="minorBidi"/>
                <w:b/>
                <w:bCs/>
                <w:sz w:val="16"/>
              </w:rPr>
            </w:pPr>
            <w:r w:rsidRPr="0024308E">
              <w:rPr>
                <w:rFonts w:ascii="Courier New" w:eastAsiaTheme="minorHAnsi" w:hAnsi="Courier New" w:cstheme="minorBidi"/>
                <w:b/>
                <w:bCs/>
                <w:sz w:val="16"/>
              </w:rPr>
              <w:t>For-Profit</w:t>
            </w:r>
          </w:p>
        </w:tc>
        <w:tc>
          <w:tcPr>
            <w:tcW w:w="2239" w:type="dxa"/>
            <w:gridSpan w:val="2"/>
            <w:noWrap/>
            <w:hideMark/>
          </w:tcPr>
          <w:p w14:paraId="16883E0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Total</w:t>
            </w:r>
          </w:p>
        </w:tc>
        <w:tc>
          <w:tcPr>
            <w:tcW w:w="1048" w:type="dxa"/>
            <w:noWrap/>
            <w:hideMark/>
          </w:tcPr>
          <w:p w14:paraId="03BF911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5,651</w:t>
            </w:r>
          </w:p>
        </w:tc>
        <w:tc>
          <w:tcPr>
            <w:tcW w:w="970" w:type="dxa"/>
            <w:noWrap/>
            <w:hideMark/>
          </w:tcPr>
          <w:p w14:paraId="672E87B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4,786</w:t>
            </w:r>
          </w:p>
        </w:tc>
        <w:tc>
          <w:tcPr>
            <w:tcW w:w="970" w:type="dxa"/>
            <w:noWrap/>
            <w:hideMark/>
          </w:tcPr>
          <w:p w14:paraId="7F1A7EC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865</w:t>
            </w:r>
          </w:p>
        </w:tc>
        <w:tc>
          <w:tcPr>
            <w:tcW w:w="1158" w:type="dxa"/>
            <w:noWrap/>
            <w:hideMark/>
          </w:tcPr>
          <w:p w14:paraId="367F102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2,583,388</w:t>
            </w:r>
          </w:p>
        </w:tc>
        <w:tc>
          <w:tcPr>
            <w:tcW w:w="1158" w:type="dxa"/>
            <w:noWrap/>
            <w:hideMark/>
          </w:tcPr>
          <w:p w14:paraId="439BA34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1,921,468</w:t>
            </w:r>
          </w:p>
        </w:tc>
        <w:tc>
          <w:tcPr>
            <w:tcW w:w="1230" w:type="dxa"/>
            <w:noWrap/>
            <w:hideMark/>
          </w:tcPr>
          <w:p w14:paraId="44D39EF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661,920</w:t>
            </w:r>
          </w:p>
        </w:tc>
      </w:tr>
      <w:tr w:rsidR="00BF10A3" w:rsidRPr="0024308E" w14:paraId="3BB4C813" w14:textId="77777777" w:rsidTr="001F7400">
        <w:trPr>
          <w:trHeight w:val="305"/>
        </w:trPr>
        <w:tc>
          <w:tcPr>
            <w:tcW w:w="875" w:type="dxa"/>
            <w:vMerge/>
            <w:hideMark/>
          </w:tcPr>
          <w:p w14:paraId="1DC96FAB"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53CDC82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&lt; 2 year</w:t>
            </w:r>
          </w:p>
        </w:tc>
        <w:tc>
          <w:tcPr>
            <w:tcW w:w="1585" w:type="dxa"/>
            <w:noWrap/>
            <w:hideMark/>
          </w:tcPr>
          <w:p w14:paraId="1884D35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3AAB9F0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1,027</w:t>
            </w:r>
          </w:p>
        </w:tc>
        <w:tc>
          <w:tcPr>
            <w:tcW w:w="970" w:type="dxa"/>
            <w:noWrap/>
            <w:hideMark/>
          </w:tcPr>
          <w:p w14:paraId="65005F6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869</w:t>
            </w:r>
          </w:p>
        </w:tc>
        <w:tc>
          <w:tcPr>
            <w:tcW w:w="970" w:type="dxa"/>
            <w:noWrap/>
            <w:hideMark/>
          </w:tcPr>
          <w:p w14:paraId="5A59C5E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158</w:t>
            </w:r>
          </w:p>
        </w:tc>
        <w:tc>
          <w:tcPr>
            <w:tcW w:w="1158" w:type="dxa"/>
            <w:noWrap/>
            <w:hideMark/>
          </w:tcPr>
          <w:p w14:paraId="410AA2B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196,484</w:t>
            </w:r>
          </w:p>
        </w:tc>
        <w:tc>
          <w:tcPr>
            <w:tcW w:w="1158" w:type="dxa"/>
            <w:noWrap/>
            <w:hideMark/>
          </w:tcPr>
          <w:p w14:paraId="5011E26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157,098</w:t>
            </w:r>
          </w:p>
        </w:tc>
        <w:tc>
          <w:tcPr>
            <w:tcW w:w="1230" w:type="dxa"/>
            <w:noWrap/>
            <w:hideMark/>
          </w:tcPr>
          <w:p w14:paraId="5926AC8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39,386</w:t>
            </w:r>
          </w:p>
        </w:tc>
      </w:tr>
      <w:tr w:rsidR="00BF10A3" w:rsidRPr="0024308E" w14:paraId="65467512" w14:textId="77777777" w:rsidTr="001F7400">
        <w:trPr>
          <w:trHeight w:val="305"/>
        </w:trPr>
        <w:tc>
          <w:tcPr>
            <w:tcW w:w="875" w:type="dxa"/>
            <w:vMerge/>
            <w:hideMark/>
          </w:tcPr>
          <w:p w14:paraId="216C5A5E"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54D39D57"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5548009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Associate's</w:t>
            </w:r>
          </w:p>
        </w:tc>
        <w:tc>
          <w:tcPr>
            <w:tcW w:w="1048" w:type="dxa"/>
            <w:noWrap/>
            <w:hideMark/>
          </w:tcPr>
          <w:p w14:paraId="464BE04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w:t>
            </w:r>
          </w:p>
        </w:tc>
        <w:tc>
          <w:tcPr>
            <w:tcW w:w="970" w:type="dxa"/>
            <w:noWrap/>
            <w:hideMark/>
          </w:tcPr>
          <w:p w14:paraId="67E8A0F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970" w:type="dxa"/>
            <w:noWrap/>
            <w:hideMark/>
          </w:tcPr>
          <w:p w14:paraId="6274305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158" w:type="dxa"/>
            <w:noWrap/>
            <w:hideMark/>
          </w:tcPr>
          <w:p w14:paraId="1E70840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87</w:t>
            </w:r>
          </w:p>
        </w:tc>
        <w:tc>
          <w:tcPr>
            <w:tcW w:w="1158" w:type="dxa"/>
            <w:noWrap/>
            <w:hideMark/>
          </w:tcPr>
          <w:p w14:paraId="5D85E06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34</w:t>
            </w:r>
          </w:p>
        </w:tc>
        <w:tc>
          <w:tcPr>
            <w:tcW w:w="1230" w:type="dxa"/>
            <w:noWrap/>
            <w:hideMark/>
          </w:tcPr>
          <w:p w14:paraId="73FDA8E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53</w:t>
            </w:r>
          </w:p>
        </w:tc>
      </w:tr>
      <w:tr w:rsidR="00BF10A3" w:rsidRPr="0024308E" w14:paraId="6225F1FD" w14:textId="77777777" w:rsidTr="001F7400">
        <w:trPr>
          <w:trHeight w:val="305"/>
        </w:trPr>
        <w:tc>
          <w:tcPr>
            <w:tcW w:w="875" w:type="dxa"/>
            <w:vMerge/>
            <w:hideMark/>
          </w:tcPr>
          <w:p w14:paraId="5B061FCF"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14FF3419"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1D7E6C2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1st Professional Degree</w:t>
            </w:r>
          </w:p>
        </w:tc>
        <w:tc>
          <w:tcPr>
            <w:tcW w:w="1048" w:type="dxa"/>
            <w:noWrap/>
            <w:hideMark/>
          </w:tcPr>
          <w:p w14:paraId="1607586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970" w:type="dxa"/>
            <w:noWrap/>
            <w:hideMark/>
          </w:tcPr>
          <w:p w14:paraId="32D636A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970" w:type="dxa"/>
            <w:noWrap/>
            <w:hideMark/>
          </w:tcPr>
          <w:p w14:paraId="5EFBDEC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158" w:type="dxa"/>
            <w:noWrap/>
            <w:hideMark/>
          </w:tcPr>
          <w:p w14:paraId="7F9ECCB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262</w:t>
            </w:r>
          </w:p>
        </w:tc>
        <w:tc>
          <w:tcPr>
            <w:tcW w:w="1158" w:type="dxa"/>
            <w:noWrap/>
            <w:hideMark/>
          </w:tcPr>
          <w:p w14:paraId="0A20607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262</w:t>
            </w:r>
          </w:p>
        </w:tc>
        <w:tc>
          <w:tcPr>
            <w:tcW w:w="1230" w:type="dxa"/>
            <w:noWrap/>
            <w:hideMark/>
          </w:tcPr>
          <w:p w14:paraId="1720D8B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6FE610CB" w14:textId="77777777" w:rsidTr="001F7400">
        <w:trPr>
          <w:trHeight w:val="305"/>
        </w:trPr>
        <w:tc>
          <w:tcPr>
            <w:tcW w:w="875" w:type="dxa"/>
            <w:vMerge/>
            <w:hideMark/>
          </w:tcPr>
          <w:p w14:paraId="64C16221"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69DE896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 year</w:t>
            </w:r>
          </w:p>
        </w:tc>
        <w:tc>
          <w:tcPr>
            <w:tcW w:w="1585" w:type="dxa"/>
            <w:noWrap/>
            <w:hideMark/>
          </w:tcPr>
          <w:p w14:paraId="194AAA4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60727E6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1,386</w:t>
            </w:r>
          </w:p>
        </w:tc>
        <w:tc>
          <w:tcPr>
            <w:tcW w:w="970" w:type="dxa"/>
            <w:noWrap/>
            <w:hideMark/>
          </w:tcPr>
          <w:p w14:paraId="2367A90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1,128</w:t>
            </w:r>
          </w:p>
        </w:tc>
        <w:tc>
          <w:tcPr>
            <w:tcW w:w="970" w:type="dxa"/>
            <w:noWrap/>
            <w:hideMark/>
          </w:tcPr>
          <w:p w14:paraId="5ACD590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258</w:t>
            </w:r>
          </w:p>
        </w:tc>
        <w:tc>
          <w:tcPr>
            <w:tcW w:w="1158" w:type="dxa"/>
            <w:noWrap/>
            <w:hideMark/>
          </w:tcPr>
          <w:p w14:paraId="12DE0ED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349,369</w:t>
            </w:r>
          </w:p>
        </w:tc>
        <w:tc>
          <w:tcPr>
            <w:tcW w:w="1158" w:type="dxa"/>
            <w:noWrap/>
            <w:hideMark/>
          </w:tcPr>
          <w:p w14:paraId="6BEBC35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270,025</w:t>
            </w:r>
          </w:p>
        </w:tc>
        <w:tc>
          <w:tcPr>
            <w:tcW w:w="1230" w:type="dxa"/>
            <w:noWrap/>
            <w:hideMark/>
          </w:tcPr>
          <w:p w14:paraId="4EB0CE4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79,344</w:t>
            </w:r>
          </w:p>
        </w:tc>
      </w:tr>
      <w:tr w:rsidR="00BF10A3" w:rsidRPr="0024308E" w14:paraId="7970E999" w14:textId="77777777" w:rsidTr="001F7400">
        <w:trPr>
          <w:trHeight w:val="305"/>
        </w:trPr>
        <w:tc>
          <w:tcPr>
            <w:tcW w:w="875" w:type="dxa"/>
            <w:vMerge/>
            <w:hideMark/>
          </w:tcPr>
          <w:p w14:paraId="681F32E1"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0FEFDA9A"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7FA1F8E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Associate's</w:t>
            </w:r>
          </w:p>
        </w:tc>
        <w:tc>
          <w:tcPr>
            <w:tcW w:w="1048" w:type="dxa"/>
            <w:noWrap/>
            <w:hideMark/>
          </w:tcPr>
          <w:p w14:paraId="03D656D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832</w:t>
            </w:r>
          </w:p>
        </w:tc>
        <w:tc>
          <w:tcPr>
            <w:tcW w:w="970" w:type="dxa"/>
            <w:noWrap/>
            <w:hideMark/>
          </w:tcPr>
          <w:p w14:paraId="50CD398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700</w:t>
            </w:r>
          </w:p>
        </w:tc>
        <w:tc>
          <w:tcPr>
            <w:tcW w:w="970" w:type="dxa"/>
            <w:noWrap/>
            <w:hideMark/>
          </w:tcPr>
          <w:p w14:paraId="6C24292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132</w:t>
            </w:r>
          </w:p>
        </w:tc>
        <w:tc>
          <w:tcPr>
            <w:tcW w:w="1158" w:type="dxa"/>
            <w:noWrap/>
            <w:hideMark/>
          </w:tcPr>
          <w:p w14:paraId="424BEA2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135,988</w:t>
            </w:r>
          </w:p>
        </w:tc>
        <w:tc>
          <w:tcPr>
            <w:tcW w:w="1158" w:type="dxa"/>
            <w:noWrap/>
            <w:hideMark/>
          </w:tcPr>
          <w:p w14:paraId="7563A9E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109,139</w:t>
            </w:r>
          </w:p>
        </w:tc>
        <w:tc>
          <w:tcPr>
            <w:tcW w:w="1230" w:type="dxa"/>
            <w:noWrap/>
            <w:hideMark/>
          </w:tcPr>
          <w:p w14:paraId="0B7A99F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26,849</w:t>
            </w:r>
          </w:p>
        </w:tc>
      </w:tr>
      <w:tr w:rsidR="00BF10A3" w:rsidRPr="0024308E" w14:paraId="091945B1" w14:textId="77777777" w:rsidTr="001F7400">
        <w:trPr>
          <w:trHeight w:val="305"/>
        </w:trPr>
        <w:tc>
          <w:tcPr>
            <w:tcW w:w="875" w:type="dxa"/>
            <w:vMerge/>
            <w:hideMark/>
          </w:tcPr>
          <w:p w14:paraId="7BBE891E"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579F2B60"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104FD5D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Post-Bacc Certificate</w:t>
            </w:r>
          </w:p>
        </w:tc>
        <w:tc>
          <w:tcPr>
            <w:tcW w:w="1048" w:type="dxa"/>
            <w:noWrap/>
            <w:hideMark/>
          </w:tcPr>
          <w:p w14:paraId="61CC973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970" w:type="dxa"/>
            <w:noWrap/>
            <w:hideMark/>
          </w:tcPr>
          <w:p w14:paraId="00D2E71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970" w:type="dxa"/>
            <w:noWrap/>
            <w:hideMark/>
          </w:tcPr>
          <w:p w14:paraId="35F80E5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084BB15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156</w:t>
            </w:r>
          </w:p>
        </w:tc>
        <w:tc>
          <w:tcPr>
            <w:tcW w:w="1158" w:type="dxa"/>
            <w:noWrap/>
            <w:hideMark/>
          </w:tcPr>
          <w:p w14:paraId="5ADE6A2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156</w:t>
            </w:r>
          </w:p>
        </w:tc>
        <w:tc>
          <w:tcPr>
            <w:tcW w:w="1230" w:type="dxa"/>
            <w:noWrap/>
            <w:hideMark/>
          </w:tcPr>
          <w:p w14:paraId="219C6D4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18F5F40C" w14:textId="77777777" w:rsidTr="001F7400">
        <w:trPr>
          <w:trHeight w:val="305"/>
        </w:trPr>
        <w:tc>
          <w:tcPr>
            <w:tcW w:w="875" w:type="dxa"/>
            <w:vMerge/>
            <w:hideMark/>
          </w:tcPr>
          <w:p w14:paraId="2993454F" w14:textId="77777777" w:rsidR="00BF10A3" w:rsidRPr="0024308E" w:rsidRDefault="00BF10A3" w:rsidP="001F7400">
            <w:pPr>
              <w:rPr>
                <w:rFonts w:ascii="Courier New" w:eastAsiaTheme="minorHAnsi" w:hAnsi="Courier New" w:cstheme="minorBidi"/>
                <w:b/>
                <w:bCs/>
                <w:sz w:val="16"/>
              </w:rPr>
            </w:pPr>
          </w:p>
        </w:tc>
        <w:tc>
          <w:tcPr>
            <w:tcW w:w="654" w:type="dxa"/>
            <w:vMerge w:val="restart"/>
            <w:noWrap/>
            <w:hideMark/>
          </w:tcPr>
          <w:p w14:paraId="11D6AF6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4-year</w:t>
            </w:r>
          </w:p>
        </w:tc>
        <w:tc>
          <w:tcPr>
            <w:tcW w:w="1585" w:type="dxa"/>
            <w:noWrap/>
            <w:hideMark/>
          </w:tcPr>
          <w:p w14:paraId="7413FC1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Certificate</w:t>
            </w:r>
          </w:p>
        </w:tc>
        <w:tc>
          <w:tcPr>
            <w:tcW w:w="1048" w:type="dxa"/>
            <w:noWrap/>
            <w:hideMark/>
          </w:tcPr>
          <w:p w14:paraId="3DBB4AA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398</w:t>
            </w:r>
          </w:p>
        </w:tc>
        <w:tc>
          <w:tcPr>
            <w:tcW w:w="970" w:type="dxa"/>
            <w:noWrap/>
            <w:hideMark/>
          </w:tcPr>
          <w:p w14:paraId="552D024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337</w:t>
            </w:r>
          </w:p>
        </w:tc>
        <w:tc>
          <w:tcPr>
            <w:tcW w:w="970" w:type="dxa"/>
            <w:noWrap/>
            <w:hideMark/>
          </w:tcPr>
          <w:p w14:paraId="3ABE1EF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61</w:t>
            </w:r>
          </w:p>
        </w:tc>
        <w:tc>
          <w:tcPr>
            <w:tcW w:w="1158" w:type="dxa"/>
            <w:noWrap/>
            <w:hideMark/>
          </w:tcPr>
          <w:p w14:paraId="2AB5A44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90,875</w:t>
            </w:r>
          </w:p>
        </w:tc>
        <w:tc>
          <w:tcPr>
            <w:tcW w:w="1158" w:type="dxa"/>
            <w:noWrap/>
            <w:hideMark/>
          </w:tcPr>
          <w:p w14:paraId="156CB98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83,496</w:t>
            </w:r>
          </w:p>
        </w:tc>
        <w:tc>
          <w:tcPr>
            <w:tcW w:w="1230" w:type="dxa"/>
            <w:noWrap/>
            <w:hideMark/>
          </w:tcPr>
          <w:p w14:paraId="071703B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7,379</w:t>
            </w:r>
          </w:p>
        </w:tc>
      </w:tr>
      <w:tr w:rsidR="00BF10A3" w:rsidRPr="0024308E" w14:paraId="5624E9D7" w14:textId="77777777" w:rsidTr="001F7400">
        <w:trPr>
          <w:trHeight w:val="305"/>
        </w:trPr>
        <w:tc>
          <w:tcPr>
            <w:tcW w:w="875" w:type="dxa"/>
            <w:vMerge/>
            <w:hideMark/>
          </w:tcPr>
          <w:p w14:paraId="2EA03A2A"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53E433E0"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74A6F15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Associate's</w:t>
            </w:r>
          </w:p>
        </w:tc>
        <w:tc>
          <w:tcPr>
            <w:tcW w:w="1048" w:type="dxa"/>
            <w:noWrap/>
            <w:hideMark/>
          </w:tcPr>
          <w:p w14:paraId="43847B3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958</w:t>
            </w:r>
          </w:p>
        </w:tc>
        <w:tc>
          <w:tcPr>
            <w:tcW w:w="970" w:type="dxa"/>
            <w:noWrap/>
            <w:hideMark/>
          </w:tcPr>
          <w:p w14:paraId="4C775E5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746</w:t>
            </w:r>
          </w:p>
        </w:tc>
        <w:tc>
          <w:tcPr>
            <w:tcW w:w="970" w:type="dxa"/>
            <w:noWrap/>
            <w:hideMark/>
          </w:tcPr>
          <w:p w14:paraId="1A6C2C3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212</w:t>
            </w:r>
          </w:p>
        </w:tc>
        <w:tc>
          <w:tcPr>
            <w:tcW w:w="1158" w:type="dxa"/>
            <w:noWrap/>
            <w:hideMark/>
          </w:tcPr>
          <w:p w14:paraId="42EA162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774,875</w:t>
            </w:r>
          </w:p>
        </w:tc>
        <w:tc>
          <w:tcPr>
            <w:tcW w:w="1158" w:type="dxa"/>
            <w:noWrap/>
            <w:hideMark/>
          </w:tcPr>
          <w:p w14:paraId="2961730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302,358</w:t>
            </w:r>
          </w:p>
        </w:tc>
        <w:tc>
          <w:tcPr>
            <w:tcW w:w="1230" w:type="dxa"/>
            <w:noWrap/>
            <w:hideMark/>
          </w:tcPr>
          <w:p w14:paraId="1A875DC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472,517</w:t>
            </w:r>
          </w:p>
        </w:tc>
      </w:tr>
      <w:tr w:rsidR="00BF10A3" w:rsidRPr="0024308E" w14:paraId="7080455D" w14:textId="77777777" w:rsidTr="001F7400">
        <w:trPr>
          <w:trHeight w:val="305"/>
        </w:trPr>
        <w:tc>
          <w:tcPr>
            <w:tcW w:w="875" w:type="dxa"/>
            <w:vMerge/>
            <w:hideMark/>
          </w:tcPr>
          <w:p w14:paraId="612BBB70"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65C2ABD3"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7846AC5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Bachelor's</w:t>
            </w:r>
          </w:p>
        </w:tc>
        <w:tc>
          <w:tcPr>
            <w:tcW w:w="1048" w:type="dxa"/>
            <w:noWrap/>
            <w:hideMark/>
          </w:tcPr>
          <w:p w14:paraId="4A4DAA7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721</w:t>
            </w:r>
          </w:p>
        </w:tc>
        <w:tc>
          <w:tcPr>
            <w:tcW w:w="970" w:type="dxa"/>
            <w:noWrap/>
            <w:hideMark/>
          </w:tcPr>
          <w:p w14:paraId="2092826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679</w:t>
            </w:r>
          </w:p>
        </w:tc>
        <w:tc>
          <w:tcPr>
            <w:tcW w:w="970" w:type="dxa"/>
            <w:noWrap/>
            <w:hideMark/>
          </w:tcPr>
          <w:p w14:paraId="2FA1B96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42</w:t>
            </w:r>
          </w:p>
        </w:tc>
        <w:tc>
          <w:tcPr>
            <w:tcW w:w="1158" w:type="dxa"/>
            <w:noWrap/>
            <w:hideMark/>
          </w:tcPr>
          <w:p w14:paraId="6A538F2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737,414</w:t>
            </w:r>
          </w:p>
        </w:tc>
        <w:tc>
          <w:tcPr>
            <w:tcW w:w="1158" w:type="dxa"/>
            <w:noWrap/>
            <w:hideMark/>
          </w:tcPr>
          <w:p w14:paraId="22A764A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701,022</w:t>
            </w:r>
          </w:p>
        </w:tc>
        <w:tc>
          <w:tcPr>
            <w:tcW w:w="1230" w:type="dxa"/>
            <w:noWrap/>
            <w:hideMark/>
          </w:tcPr>
          <w:p w14:paraId="0ACCDE7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36,392</w:t>
            </w:r>
          </w:p>
        </w:tc>
      </w:tr>
      <w:tr w:rsidR="00BF10A3" w:rsidRPr="0024308E" w14:paraId="6BEA2DB6" w14:textId="77777777" w:rsidTr="001F7400">
        <w:trPr>
          <w:trHeight w:val="305"/>
        </w:trPr>
        <w:tc>
          <w:tcPr>
            <w:tcW w:w="875" w:type="dxa"/>
            <w:vMerge/>
            <w:hideMark/>
          </w:tcPr>
          <w:p w14:paraId="03F1E678"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7223296F"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49F98F1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Post-Bacc Certificate</w:t>
            </w:r>
          </w:p>
        </w:tc>
        <w:tc>
          <w:tcPr>
            <w:tcW w:w="1048" w:type="dxa"/>
            <w:noWrap/>
            <w:hideMark/>
          </w:tcPr>
          <w:p w14:paraId="05F36AA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w:t>
            </w:r>
          </w:p>
        </w:tc>
        <w:tc>
          <w:tcPr>
            <w:tcW w:w="970" w:type="dxa"/>
            <w:noWrap/>
            <w:hideMark/>
          </w:tcPr>
          <w:p w14:paraId="664F67D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26</w:t>
            </w:r>
          </w:p>
        </w:tc>
        <w:tc>
          <w:tcPr>
            <w:tcW w:w="970" w:type="dxa"/>
            <w:noWrap/>
            <w:hideMark/>
          </w:tcPr>
          <w:p w14:paraId="0F4EFDB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64683D2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3,960</w:t>
            </w:r>
          </w:p>
        </w:tc>
        <w:tc>
          <w:tcPr>
            <w:tcW w:w="1158" w:type="dxa"/>
            <w:noWrap/>
            <w:hideMark/>
          </w:tcPr>
          <w:p w14:paraId="0DFFF68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3,960</w:t>
            </w:r>
          </w:p>
        </w:tc>
        <w:tc>
          <w:tcPr>
            <w:tcW w:w="1230" w:type="dxa"/>
            <w:noWrap/>
            <w:hideMark/>
          </w:tcPr>
          <w:p w14:paraId="2FA1C40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4A4843FA" w14:textId="77777777" w:rsidTr="001F7400">
        <w:trPr>
          <w:trHeight w:val="305"/>
        </w:trPr>
        <w:tc>
          <w:tcPr>
            <w:tcW w:w="875" w:type="dxa"/>
            <w:vMerge/>
            <w:hideMark/>
          </w:tcPr>
          <w:p w14:paraId="11E891E9"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2232559D"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000B23D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Master's</w:t>
            </w:r>
          </w:p>
        </w:tc>
        <w:tc>
          <w:tcPr>
            <w:tcW w:w="1048" w:type="dxa"/>
            <w:noWrap/>
            <w:hideMark/>
          </w:tcPr>
          <w:p w14:paraId="466A53E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218</w:t>
            </w:r>
          </w:p>
        </w:tc>
        <w:tc>
          <w:tcPr>
            <w:tcW w:w="970" w:type="dxa"/>
            <w:noWrap/>
            <w:hideMark/>
          </w:tcPr>
          <w:p w14:paraId="7821C79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218</w:t>
            </w:r>
          </w:p>
        </w:tc>
        <w:tc>
          <w:tcPr>
            <w:tcW w:w="970" w:type="dxa"/>
            <w:noWrap/>
            <w:hideMark/>
          </w:tcPr>
          <w:p w14:paraId="42F2F14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7D20042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235,113</w:t>
            </w:r>
          </w:p>
        </w:tc>
        <w:tc>
          <w:tcPr>
            <w:tcW w:w="1158" w:type="dxa"/>
            <w:noWrap/>
            <w:hideMark/>
          </w:tcPr>
          <w:p w14:paraId="504BCBD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235,113</w:t>
            </w:r>
          </w:p>
        </w:tc>
        <w:tc>
          <w:tcPr>
            <w:tcW w:w="1230" w:type="dxa"/>
            <w:noWrap/>
            <w:hideMark/>
          </w:tcPr>
          <w:p w14:paraId="06D8E7F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1F80C5D6" w14:textId="77777777" w:rsidTr="001F7400">
        <w:trPr>
          <w:trHeight w:val="305"/>
        </w:trPr>
        <w:tc>
          <w:tcPr>
            <w:tcW w:w="875" w:type="dxa"/>
            <w:vMerge/>
            <w:hideMark/>
          </w:tcPr>
          <w:p w14:paraId="5164A5B6"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1D36136E"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3E94346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Doctoral</w:t>
            </w:r>
          </w:p>
        </w:tc>
        <w:tc>
          <w:tcPr>
            <w:tcW w:w="1048" w:type="dxa"/>
            <w:noWrap/>
            <w:hideMark/>
          </w:tcPr>
          <w:p w14:paraId="56AB64A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67</w:t>
            </w:r>
          </w:p>
        </w:tc>
        <w:tc>
          <w:tcPr>
            <w:tcW w:w="970" w:type="dxa"/>
            <w:noWrap/>
            <w:hideMark/>
          </w:tcPr>
          <w:p w14:paraId="08404F1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67</w:t>
            </w:r>
          </w:p>
        </w:tc>
        <w:tc>
          <w:tcPr>
            <w:tcW w:w="970" w:type="dxa"/>
            <w:noWrap/>
            <w:hideMark/>
          </w:tcPr>
          <w:p w14:paraId="26267CE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2D9233B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51,931</w:t>
            </w:r>
          </w:p>
        </w:tc>
        <w:tc>
          <w:tcPr>
            <w:tcW w:w="1158" w:type="dxa"/>
            <w:noWrap/>
            <w:hideMark/>
          </w:tcPr>
          <w:p w14:paraId="5CD7854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51,931</w:t>
            </w:r>
          </w:p>
        </w:tc>
        <w:tc>
          <w:tcPr>
            <w:tcW w:w="1230" w:type="dxa"/>
            <w:noWrap/>
            <w:hideMark/>
          </w:tcPr>
          <w:p w14:paraId="532076F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2CBB48B8" w14:textId="77777777" w:rsidTr="001F7400">
        <w:trPr>
          <w:trHeight w:val="305"/>
        </w:trPr>
        <w:tc>
          <w:tcPr>
            <w:tcW w:w="875" w:type="dxa"/>
            <w:vMerge/>
            <w:hideMark/>
          </w:tcPr>
          <w:p w14:paraId="2A326FFF" w14:textId="77777777" w:rsidR="00BF10A3" w:rsidRPr="0024308E" w:rsidRDefault="00BF10A3" w:rsidP="001F7400">
            <w:pPr>
              <w:rPr>
                <w:rFonts w:ascii="Courier New" w:eastAsiaTheme="minorHAnsi" w:hAnsi="Courier New" w:cstheme="minorBidi"/>
                <w:b/>
                <w:bCs/>
                <w:sz w:val="16"/>
              </w:rPr>
            </w:pPr>
          </w:p>
        </w:tc>
        <w:tc>
          <w:tcPr>
            <w:tcW w:w="654" w:type="dxa"/>
            <w:vMerge/>
            <w:hideMark/>
          </w:tcPr>
          <w:p w14:paraId="6BFF4786" w14:textId="77777777" w:rsidR="00BF10A3" w:rsidRPr="0024308E" w:rsidRDefault="00BF10A3" w:rsidP="001F7400">
            <w:pPr>
              <w:rPr>
                <w:rFonts w:ascii="Courier New" w:eastAsiaTheme="minorHAnsi" w:hAnsi="Courier New" w:cstheme="minorBidi"/>
                <w:sz w:val="16"/>
              </w:rPr>
            </w:pPr>
          </w:p>
        </w:tc>
        <w:tc>
          <w:tcPr>
            <w:tcW w:w="1585" w:type="dxa"/>
            <w:noWrap/>
            <w:hideMark/>
          </w:tcPr>
          <w:p w14:paraId="3B67E13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1st Professional Degree</w:t>
            </w:r>
          </w:p>
        </w:tc>
        <w:tc>
          <w:tcPr>
            <w:tcW w:w="1048" w:type="dxa"/>
            <w:noWrap/>
            <w:hideMark/>
          </w:tcPr>
          <w:p w14:paraId="1B38708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w:t>
            </w:r>
          </w:p>
        </w:tc>
        <w:tc>
          <w:tcPr>
            <w:tcW w:w="970" w:type="dxa"/>
            <w:noWrap/>
            <w:hideMark/>
          </w:tcPr>
          <w:p w14:paraId="5F41813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w:t>
            </w:r>
          </w:p>
        </w:tc>
        <w:tc>
          <w:tcPr>
            <w:tcW w:w="970" w:type="dxa"/>
            <w:noWrap/>
            <w:hideMark/>
          </w:tcPr>
          <w:p w14:paraId="6F07388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158" w:type="dxa"/>
            <w:noWrap/>
            <w:hideMark/>
          </w:tcPr>
          <w:p w14:paraId="0311790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6,874</w:t>
            </w:r>
          </w:p>
        </w:tc>
        <w:tc>
          <w:tcPr>
            <w:tcW w:w="1158" w:type="dxa"/>
            <w:noWrap/>
            <w:hideMark/>
          </w:tcPr>
          <w:p w14:paraId="505DBCE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6,874</w:t>
            </w:r>
          </w:p>
        </w:tc>
        <w:tc>
          <w:tcPr>
            <w:tcW w:w="1230" w:type="dxa"/>
            <w:noWrap/>
            <w:hideMark/>
          </w:tcPr>
          <w:p w14:paraId="37254B0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684B6474" w14:textId="77777777" w:rsidTr="001F7400">
        <w:trPr>
          <w:trHeight w:val="305"/>
        </w:trPr>
        <w:tc>
          <w:tcPr>
            <w:tcW w:w="3114" w:type="dxa"/>
            <w:gridSpan w:val="3"/>
            <w:noWrap/>
            <w:hideMark/>
          </w:tcPr>
          <w:p w14:paraId="27E18F2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Overall Total</w:t>
            </w:r>
          </w:p>
        </w:tc>
        <w:tc>
          <w:tcPr>
            <w:tcW w:w="1048" w:type="dxa"/>
            <w:noWrap/>
            <w:hideMark/>
          </w:tcPr>
          <w:p w14:paraId="133D18D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6,815</w:t>
            </w:r>
          </w:p>
        </w:tc>
        <w:tc>
          <w:tcPr>
            <w:tcW w:w="970" w:type="dxa"/>
            <w:noWrap/>
            <w:hideMark/>
          </w:tcPr>
          <w:p w14:paraId="29EDE15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5,872</w:t>
            </w:r>
          </w:p>
        </w:tc>
        <w:tc>
          <w:tcPr>
            <w:tcW w:w="970" w:type="dxa"/>
            <w:noWrap/>
            <w:hideMark/>
          </w:tcPr>
          <w:p w14:paraId="25EBAC0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943</w:t>
            </w:r>
          </w:p>
        </w:tc>
        <w:tc>
          <w:tcPr>
            <w:tcW w:w="1158" w:type="dxa"/>
            <w:noWrap/>
            <w:hideMark/>
          </w:tcPr>
          <w:p w14:paraId="5D32D94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2,745,077</w:t>
            </w:r>
          </w:p>
        </w:tc>
        <w:tc>
          <w:tcPr>
            <w:tcW w:w="1158" w:type="dxa"/>
            <w:noWrap/>
            <w:hideMark/>
          </w:tcPr>
          <w:p w14:paraId="02C5C7F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2,066,780</w:t>
            </w:r>
          </w:p>
        </w:tc>
        <w:tc>
          <w:tcPr>
            <w:tcW w:w="1230" w:type="dxa"/>
            <w:noWrap/>
            <w:hideMark/>
          </w:tcPr>
          <w:p w14:paraId="789431E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678,297</w:t>
            </w:r>
          </w:p>
        </w:tc>
      </w:tr>
    </w:tbl>
    <w:p w14:paraId="2F59985F" w14:textId="77777777" w:rsidR="00BF10A3" w:rsidRPr="0024308E" w:rsidRDefault="00BF10A3" w:rsidP="00BF10A3">
      <w:pPr>
        <w:rPr>
          <w:rFonts w:ascii="Courier New" w:eastAsiaTheme="minorHAnsi" w:hAnsi="Courier New"/>
          <w:sz w:val="16"/>
        </w:rPr>
      </w:pPr>
    </w:p>
    <w:p w14:paraId="1B375360" w14:textId="77777777" w:rsidR="00BF10A3" w:rsidRPr="00AA6DFD" w:rsidRDefault="00BF10A3" w:rsidP="00BF10A3">
      <w:pPr>
        <w:rPr>
          <w:rFonts w:ascii="Courier New" w:hAnsi="Courier New" w:cs="Courier New"/>
          <w:b/>
          <w:sz w:val="24"/>
          <w:szCs w:val="24"/>
        </w:rPr>
      </w:pPr>
    </w:p>
    <w:p w14:paraId="34863BB4" w14:textId="77777777" w:rsidR="00BF10A3" w:rsidRDefault="00BF10A3" w:rsidP="00BF10A3">
      <w:pPr>
        <w:spacing w:after="0" w:line="240" w:lineRule="auto"/>
        <w:rPr>
          <w:rFonts w:ascii="Courier New" w:hAnsi="Courier New" w:cs="Courier New"/>
          <w:b/>
          <w:sz w:val="24"/>
          <w:szCs w:val="24"/>
        </w:rPr>
        <w:sectPr w:rsidR="00BF10A3" w:rsidSect="00E63A6B">
          <w:pgSz w:w="12240" w:h="15840" w:code="1"/>
          <w:pgMar w:top="1440" w:right="1440" w:bottom="1440" w:left="1440" w:header="720" w:footer="720" w:gutter="0"/>
          <w:cols w:space="720"/>
          <w:docGrid w:linePitch="360"/>
        </w:sectPr>
      </w:pPr>
    </w:p>
    <w:p w14:paraId="1CAD3A37"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4.9: Estimated Results under D/E rates measure + pCDR measure</w:t>
      </w:r>
      <w:r>
        <w:rPr>
          <w:rFonts w:ascii="Courier New" w:hAnsi="Courier New" w:cs="Courier New"/>
          <w:b/>
          <w:sz w:val="24"/>
          <w:szCs w:val="24"/>
        </w:rPr>
        <w:br/>
      </w:r>
    </w:p>
    <w:tbl>
      <w:tblPr>
        <w:tblStyle w:val="TableGrid33"/>
        <w:tblW w:w="0" w:type="auto"/>
        <w:tblLook w:val="04A0" w:firstRow="1" w:lastRow="0" w:firstColumn="1" w:lastColumn="0" w:noHBand="0" w:noVBand="1"/>
      </w:tblPr>
      <w:tblGrid>
        <w:gridCol w:w="984"/>
        <w:gridCol w:w="811"/>
        <w:gridCol w:w="2225"/>
        <w:gridCol w:w="985"/>
        <w:gridCol w:w="985"/>
        <w:gridCol w:w="985"/>
        <w:gridCol w:w="985"/>
        <w:gridCol w:w="1177"/>
        <w:gridCol w:w="1177"/>
        <w:gridCol w:w="1177"/>
        <w:gridCol w:w="1177"/>
      </w:tblGrid>
      <w:tr w:rsidR="00BF10A3" w:rsidRPr="008D12DA" w14:paraId="70A4DF5E" w14:textId="77777777" w:rsidTr="001F7400">
        <w:trPr>
          <w:trHeight w:val="845"/>
        </w:trPr>
        <w:tc>
          <w:tcPr>
            <w:tcW w:w="984" w:type="dxa"/>
            <w:hideMark/>
          </w:tcPr>
          <w:p w14:paraId="3C9F10F2"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Sector</w:t>
            </w:r>
          </w:p>
        </w:tc>
        <w:tc>
          <w:tcPr>
            <w:tcW w:w="811" w:type="dxa"/>
            <w:hideMark/>
          </w:tcPr>
          <w:p w14:paraId="3D59D9E6"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IHE Type</w:t>
            </w:r>
          </w:p>
        </w:tc>
        <w:tc>
          <w:tcPr>
            <w:tcW w:w="2225" w:type="dxa"/>
            <w:hideMark/>
          </w:tcPr>
          <w:p w14:paraId="3B09190F"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Credential Level</w:t>
            </w:r>
          </w:p>
        </w:tc>
        <w:tc>
          <w:tcPr>
            <w:tcW w:w="985" w:type="dxa"/>
            <w:hideMark/>
          </w:tcPr>
          <w:p w14:paraId="67131962"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Programs</w:t>
            </w:r>
          </w:p>
        </w:tc>
        <w:tc>
          <w:tcPr>
            <w:tcW w:w="985" w:type="dxa"/>
            <w:hideMark/>
          </w:tcPr>
          <w:p w14:paraId="62C1A2A3"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Passing Programs</w:t>
            </w:r>
          </w:p>
        </w:tc>
        <w:tc>
          <w:tcPr>
            <w:tcW w:w="985" w:type="dxa"/>
            <w:hideMark/>
          </w:tcPr>
          <w:p w14:paraId="39891F7B"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Zone Programs</w:t>
            </w:r>
          </w:p>
        </w:tc>
        <w:tc>
          <w:tcPr>
            <w:tcW w:w="985" w:type="dxa"/>
            <w:hideMark/>
          </w:tcPr>
          <w:p w14:paraId="5C898A79"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Failing Programs</w:t>
            </w:r>
          </w:p>
        </w:tc>
        <w:tc>
          <w:tcPr>
            <w:tcW w:w="1177" w:type="dxa"/>
            <w:hideMark/>
          </w:tcPr>
          <w:p w14:paraId="2392272A"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Enrollment</w:t>
            </w:r>
          </w:p>
        </w:tc>
        <w:tc>
          <w:tcPr>
            <w:tcW w:w="1177" w:type="dxa"/>
            <w:hideMark/>
          </w:tcPr>
          <w:p w14:paraId="38F53C9E"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Enrollment in Passing Programs</w:t>
            </w:r>
          </w:p>
        </w:tc>
        <w:tc>
          <w:tcPr>
            <w:tcW w:w="1177" w:type="dxa"/>
            <w:hideMark/>
          </w:tcPr>
          <w:p w14:paraId="33234261"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Enrollment in Zone Programs</w:t>
            </w:r>
          </w:p>
        </w:tc>
        <w:tc>
          <w:tcPr>
            <w:tcW w:w="1177" w:type="dxa"/>
            <w:hideMark/>
          </w:tcPr>
          <w:p w14:paraId="6AB659EE"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Enrollment in Failing Programs</w:t>
            </w:r>
          </w:p>
        </w:tc>
      </w:tr>
      <w:tr w:rsidR="00BF10A3" w:rsidRPr="008D12DA" w14:paraId="3C49962B" w14:textId="77777777" w:rsidTr="001F7400">
        <w:trPr>
          <w:trHeight w:val="239"/>
        </w:trPr>
        <w:tc>
          <w:tcPr>
            <w:tcW w:w="984" w:type="dxa"/>
            <w:vMerge w:val="restart"/>
            <w:noWrap/>
            <w:hideMark/>
          </w:tcPr>
          <w:p w14:paraId="001A062C"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Public</w:t>
            </w:r>
          </w:p>
        </w:tc>
        <w:tc>
          <w:tcPr>
            <w:tcW w:w="3036" w:type="dxa"/>
            <w:gridSpan w:val="2"/>
            <w:noWrap/>
            <w:hideMark/>
          </w:tcPr>
          <w:p w14:paraId="016B848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Total</w:t>
            </w:r>
          </w:p>
        </w:tc>
        <w:tc>
          <w:tcPr>
            <w:tcW w:w="985" w:type="dxa"/>
            <w:noWrap/>
            <w:hideMark/>
          </w:tcPr>
          <w:p w14:paraId="14C8E26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1,507</w:t>
            </w:r>
          </w:p>
        </w:tc>
        <w:tc>
          <w:tcPr>
            <w:tcW w:w="985" w:type="dxa"/>
            <w:noWrap/>
            <w:hideMark/>
          </w:tcPr>
          <w:p w14:paraId="79A24EB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1,453</w:t>
            </w:r>
          </w:p>
        </w:tc>
        <w:tc>
          <w:tcPr>
            <w:tcW w:w="985" w:type="dxa"/>
            <w:noWrap/>
            <w:hideMark/>
          </w:tcPr>
          <w:p w14:paraId="62B2919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7788B9F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53</w:t>
            </w:r>
          </w:p>
        </w:tc>
        <w:tc>
          <w:tcPr>
            <w:tcW w:w="1177" w:type="dxa"/>
            <w:noWrap/>
            <w:hideMark/>
          </w:tcPr>
          <w:p w14:paraId="5352ACE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195,087</w:t>
            </w:r>
          </w:p>
        </w:tc>
        <w:tc>
          <w:tcPr>
            <w:tcW w:w="1177" w:type="dxa"/>
            <w:noWrap/>
            <w:hideMark/>
          </w:tcPr>
          <w:p w14:paraId="25BF8C3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182,165</w:t>
            </w:r>
          </w:p>
        </w:tc>
        <w:tc>
          <w:tcPr>
            <w:tcW w:w="1177" w:type="dxa"/>
            <w:noWrap/>
            <w:hideMark/>
          </w:tcPr>
          <w:p w14:paraId="40729DE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221</w:t>
            </w:r>
          </w:p>
        </w:tc>
        <w:tc>
          <w:tcPr>
            <w:tcW w:w="1177" w:type="dxa"/>
            <w:noWrap/>
            <w:hideMark/>
          </w:tcPr>
          <w:p w14:paraId="081F854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12,701</w:t>
            </w:r>
          </w:p>
        </w:tc>
      </w:tr>
      <w:tr w:rsidR="00BF10A3" w:rsidRPr="008D12DA" w14:paraId="1C629FB5" w14:textId="77777777" w:rsidTr="001F7400">
        <w:trPr>
          <w:trHeight w:val="239"/>
        </w:trPr>
        <w:tc>
          <w:tcPr>
            <w:tcW w:w="984" w:type="dxa"/>
            <w:vMerge/>
            <w:hideMark/>
          </w:tcPr>
          <w:p w14:paraId="6E12B620" w14:textId="77777777" w:rsidR="00BF10A3" w:rsidRPr="008D12DA" w:rsidRDefault="00BF10A3" w:rsidP="001F7400">
            <w:pPr>
              <w:rPr>
                <w:rFonts w:ascii="Courier New" w:eastAsiaTheme="minorHAnsi" w:hAnsi="Courier New" w:cstheme="minorBidi"/>
                <w:b/>
                <w:bCs/>
                <w:sz w:val="16"/>
              </w:rPr>
            </w:pPr>
          </w:p>
        </w:tc>
        <w:tc>
          <w:tcPr>
            <w:tcW w:w="811" w:type="dxa"/>
            <w:noWrap/>
            <w:hideMark/>
          </w:tcPr>
          <w:p w14:paraId="5EE1E6E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&lt; 2 year</w:t>
            </w:r>
          </w:p>
        </w:tc>
        <w:tc>
          <w:tcPr>
            <w:tcW w:w="2225" w:type="dxa"/>
            <w:noWrap/>
            <w:hideMark/>
          </w:tcPr>
          <w:p w14:paraId="1B6420B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6B48869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179</w:t>
            </w:r>
          </w:p>
        </w:tc>
        <w:tc>
          <w:tcPr>
            <w:tcW w:w="985" w:type="dxa"/>
            <w:noWrap/>
            <w:hideMark/>
          </w:tcPr>
          <w:p w14:paraId="586034D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175</w:t>
            </w:r>
          </w:p>
        </w:tc>
        <w:tc>
          <w:tcPr>
            <w:tcW w:w="985" w:type="dxa"/>
            <w:noWrap/>
            <w:hideMark/>
          </w:tcPr>
          <w:p w14:paraId="7DD7B17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56BFCCC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w:t>
            </w:r>
          </w:p>
        </w:tc>
        <w:tc>
          <w:tcPr>
            <w:tcW w:w="1177" w:type="dxa"/>
            <w:noWrap/>
            <w:hideMark/>
          </w:tcPr>
          <w:p w14:paraId="172041D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12,203</w:t>
            </w:r>
          </w:p>
        </w:tc>
        <w:tc>
          <w:tcPr>
            <w:tcW w:w="1177" w:type="dxa"/>
            <w:noWrap/>
            <w:hideMark/>
          </w:tcPr>
          <w:p w14:paraId="4B89BFF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12,007</w:t>
            </w:r>
          </w:p>
        </w:tc>
        <w:tc>
          <w:tcPr>
            <w:tcW w:w="1177" w:type="dxa"/>
            <w:noWrap/>
            <w:hideMark/>
          </w:tcPr>
          <w:p w14:paraId="7E97880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16497D8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196</w:t>
            </w:r>
          </w:p>
        </w:tc>
      </w:tr>
      <w:tr w:rsidR="00BF10A3" w:rsidRPr="008D12DA" w14:paraId="1C31A67B" w14:textId="77777777" w:rsidTr="001F7400">
        <w:trPr>
          <w:trHeight w:val="239"/>
        </w:trPr>
        <w:tc>
          <w:tcPr>
            <w:tcW w:w="984" w:type="dxa"/>
            <w:vMerge/>
            <w:hideMark/>
          </w:tcPr>
          <w:p w14:paraId="0E95A48B" w14:textId="77777777" w:rsidR="00BF10A3" w:rsidRPr="008D12DA" w:rsidRDefault="00BF10A3" w:rsidP="001F7400">
            <w:pPr>
              <w:rPr>
                <w:rFonts w:ascii="Courier New" w:eastAsiaTheme="minorHAnsi" w:hAnsi="Courier New" w:cstheme="minorBidi"/>
                <w:b/>
                <w:bCs/>
                <w:sz w:val="16"/>
              </w:rPr>
            </w:pPr>
          </w:p>
        </w:tc>
        <w:tc>
          <w:tcPr>
            <w:tcW w:w="811" w:type="dxa"/>
            <w:noWrap/>
            <w:hideMark/>
          </w:tcPr>
          <w:p w14:paraId="1DD62E6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2-3 year</w:t>
            </w:r>
          </w:p>
        </w:tc>
        <w:tc>
          <w:tcPr>
            <w:tcW w:w="2225" w:type="dxa"/>
            <w:noWrap/>
            <w:hideMark/>
          </w:tcPr>
          <w:p w14:paraId="3CBF115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0908197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1,178</w:t>
            </w:r>
          </w:p>
        </w:tc>
        <w:tc>
          <w:tcPr>
            <w:tcW w:w="985" w:type="dxa"/>
            <w:noWrap/>
            <w:hideMark/>
          </w:tcPr>
          <w:p w14:paraId="16C6615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1,132</w:t>
            </w:r>
          </w:p>
        </w:tc>
        <w:tc>
          <w:tcPr>
            <w:tcW w:w="985" w:type="dxa"/>
            <w:noWrap/>
            <w:hideMark/>
          </w:tcPr>
          <w:p w14:paraId="539148C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07A1018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46</w:t>
            </w:r>
          </w:p>
        </w:tc>
        <w:tc>
          <w:tcPr>
            <w:tcW w:w="1177" w:type="dxa"/>
            <w:noWrap/>
            <w:hideMark/>
          </w:tcPr>
          <w:p w14:paraId="46C3B98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169,275</w:t>
            </w:r>
          </w:p>
        </w:tc>
        <w:tc>
          <w:tcPr>
            <w:tcW w:w="1177" w:type="dxa"/>
            <w:noWrap/>
            <w:hideMark/>
          </w:tcPr>
          <w:p w14:paraId="5DB27AE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156,966</w:t>
            </w:r>
          </w:p>
        </w:tc>
        <w:tc>
          <w:tcPr>
            <w:tcW w:w="1177" w:type="dxa"/>
            <w:noWrap/>
            <w:hideMark/>
          </w:tcPr>
          <w:p w14:paraId="2322464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74EF523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12,309</w:t>
            </w:r>
          </w:p>
        </w:tc>
      </w:tr>
      <w:tr w:rsidR="00BF10A3" w:rsidRPr="008D12DA" w14:paraId="38B114DB" w14:textId="77777777" w:rsidTr="001F7400">
        <w:trPr>
          <w:trHeight w:val="239"/>
        </w:trPr>
        <w:tc>
          <w:tcPr>
            <w:tcW w:w="984" w:type="dxa"/>
            <w:vMerge/>
            <w:hideMark/>
          </w:tcPr>
          <w:p w14:paraId="37CC6D76"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38902B3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4-year</w:t>
            </w:r>
          </w:p>
        </w:tc>
        <w:tc>
          <w:tcPr>
            <w:tcW w:w="2225" w:type="dxa"/>
            <w:noWrap/>
            <w:hideMark/>
          </w:tcPr>
          <w:p w14:paraId="0DD6FE0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0BDB2D1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115</w:t>
            </w:r>
          </w:p>
        </w:tc>
        <w:tc>
          <w:tcPr>
            <w:tcW w:w="985" w:type="dxa"/>
            <w:noWrap/>
            <w:hideMark/>
          </w:tcPr>
          <w:p w14:paraId="725E15E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111</w:t>
            </w:r>
          </w:p>
        </w:tc>
        <w:tc>
          <w:tcPr>
            <w:tcW w:w="985" w:type="dxa"/>
            <w:noWrap/>
            <w:hideMark/>
          </w:tcPr>
          <w:p w14:paraId="1E7A7E5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5C4D46B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1177" w:type="dxa"/>
            <w:noWrap/>
            <w:hideMark/>
          </w:tcPr>
          <w:p w14:paraId="1B9DB68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9,955</w:t>
            </w:r>
          </w:p>
        </w:tc>
        <w:tc>
          <w:tcPr>
            <w:tcW w:w="1177" w:type="dxa"/>
            <w:noWrap/>
            <w:hideMark/>
          </w:tcPr>
          <w:p w14:paraId="0C70957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9,538</w:t>
            </w:r>
          </w:p>
        </w:tc>
        <w:tc>
          <w:tcPr>
            <w:tcW w:w="1177" w:type="dxa"/>
            <w:noWrap/>
            <w:hideMark/>
          </w:tcPr>
          <w:p w14:paraId="5623AF9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221</w:t>
            </w:r>
          </w:p>
        </w:tc>
        <w:tc>
          <w:tcPr>
            <w:tcW w:w="1177" w:type="dxa"/>
            <w:noWrap/>
            <w:hideMark/>
          </w:tcPr>
          <w:p w14:paraId="3213B26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196</w:t>
            </w:r>
          </w:p>
        </w:tc>
      </w:tr>
      <w:tr w:rsidR="00BF10A3" w:rsidRPr="008D12DA" w14:paraId="300790F9" w14:textId="77777777" w:rsidTr="001F7400">
        <w:trPr>
          <w:trHeight w:val="239"/>
        </w:trPr>
        <w:tc>
          <w:tcPr>
            <w:tcW w:w="984" w:type="dxa"/>
            <w:vMerge/>
            <w:hideMark/>
          </w:tcPr>
          <w:p w14:paraId="7C79E8CD"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6BE4F91B"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4A356B9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Post-Bacc Certificate</w:t>
            </w:r>
          </w:p>
        </w:tc>
        <w:tc>
          <w:tcPr>
            <w:tcW w:w="985" w:type="dxa"/>
            <w:noWrap/>
            <w:hideMark/>
          </w:tcPr>
          <w:p w14:paraId="7E6D06D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35</w:t>
            </w:r>
          </w:p>
        </w:tc>
        <w:tc>
          <w:tcPr>
            <w:tcW w:w="985" w:type="dxa"/>
            <w:noWrap/>
            <w:hideMark/>
          </w:tcPr>
          <w:p w14:paraId="37ABA25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35</w:t>
            </w:r>
          </w:p>
        </w:tc>
        <w:tc>
          <w:tcPr>
            <w:tcW w:w="985" w:type="dxa"/>
            <w:noWrap/>
            <w:hideMark/>
          </w:tcPr>
          <w:p w14:paraId="4E80E88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42668BD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730EB0E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3,654</w:t>
            </w:r>
          </w:p>
        </w:tc>
        <w:tc>
          <w:tcPr>
            <w:tcW w:w="1177" w:type="dxa"/>
            <w:noWrap/>
            <w:hideMark/>
          </w:tcPr>
          <w:p w14:paraId="15A5A84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3,654</w:t>
            </w:r>
          </w:p>
        </w:tc>
        <w:tc>
          <w:tcPr>
            <w:tcW w:w="1177" w:type="dxa"/>
            <w:noWrap/>
            <w:hideMark/>
          </w:tcPr>
          <w:p w14:paraId="0F353FC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08DD620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08BF9FBE" w14:textId="77777777" w:rsidTr="001F7400">
        <w:trPr>
          <w:trHeight w:val="239"/>
        </w:trPr>
        <w:tc>
          <w:tcPr>
            <w:tcW w:w="984" w:type="dxa"/>
            <w:vMerge w:val="restart"/>
            <w:noWrap/>
            <w:hideMark/>
          </w:tcPr>
          <w:p w14:paraId="2D516ACA"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Private</w:t>
            </w:r>
          </w:p>
        </w:tc>
        <w:tc>
          <w:tcPr>
            <w:tcW w:w="3036" w:type="dxa"/>
            <w:gridSpan w:val="2"/>
            <w:noWrap/>
            <w:hideMark/>
          </w:tcPr>
          <w:p w14:paraId="277A820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Total</w:t>
            </w:r>
          </w:p>
        </w:tc>
        <w:tc>
          <w:tcPr>
            <w:tcW w:w="985" w:type="dxa"/>
            <w:noWrap/>
            <w:hideMark/>
          </w:tcPr>
          <w:p w14:paraId="21DC0F2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345</w:t>
            </w:r>
          </w:p>
        </w:tc>
        <w:tc>
          <w:tcPr>
            <w:tcW w:w="985" w:type="dxa"/>
            <w:noWrap/>
            <w:hideMark/>
          </w:tcPr>
          <w:p w14:paraId="123F251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310</w:t>
            </w:r>
          </w:p>
        </w:tc>
        <w:tc>
          <w:tcPr>
            <w:tcW w:w="985" w:type="dxa"/>
            <w:noWrap/>
            <w:hideMark/>
          </w:tcPr>
          <w:p w14:paraId="1B7F955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w:t>
            </w:r>
          </w:p>
        </w:tc>
        <w:tc>
          <w:tcPr>
            <w:tcW w:w="985" w:type="dxa"/>
            <w:noWrap/>
            <w:hideMark/>
          </w:tcPr>
          <w:p w14:paraId="0891E3B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29</w:t>
            </w:r>
          </w:p>
        </w:tc>
        <w:tc>
          <w:tcPr>
            <w:tcW w:w="1177" w:type="dxa"/>
            <w:noWrap/>
            <w:hideMark/>
          </w:tcPr>
          <w:p w14:paraId="5FDA59B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52,305</w:t>
            </w:r>
          </w:p>
        </w:tc>
        <w:tc>
          <w:tcPr>
            <w:tcW w:w="1177" w:type="dxa"/>
            <w:noWrap/>
            <w:hideMark/>
          </w:tcPr>
          <w:p w14:paraId="56AFD68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43,776</w:t>
            </w:r>
          </w:p>
        </w:tc>
        <w:tc>
          <w:tcPr>
            <w:tcW w:w="1177" w:type="dxa"/>
            <w:noWrap/>
            <w:hideMark/>
          </w:tcPr>
          <w:p w14:paraId="32C6FE1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3,692</w:t>
            </w:r>
          </w:p>
        </w:tc>
        <w:tc>
          <w:tcPr>
            <w:tcW w:w="1177" w:type="dxa"/>
            <w:noWrap/>
            <w:hideMark/>
          </w:tcPr>
          <w:p w14:paraId="170DD56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4,837</w:t>
            </w:r>
          </w:p>
        </w:tc>
      </w:tr>
      <w:tr w:rsidR="00BF10A3" w:rsidRPr="008D12DA" w14:paraId="4C081817" w14:textId="77777777" w:rsidTr="001F7400">
        <w:trPr>
          <w:trHeight w:val="239"/>
        </w:trPr>
        <w:tc>
          <w:tcPr>
            <w:tcW w:w="984" w:type="dxa"/>
            <w:vMerge/>
            <w:hideMark/>
          </w:tcPr>
          <w:p w14:paraId="3A5FE3A9" w14:textId="77777777" w:rsidR="00BF10A3" w:rsidRPr="008D12DA" w:rsidRDefault="00BF10A3" w:rsidP="001F7400">
            <w:pPr>
              <w:rPr>
                <w:rFonts w:ascii="Courier New" w:eastAsiaTheme="minorHAnsi" w:hAnsi="Courier New" w:cstheme="minorBidi"/>
                <w:b/>
                <w:bCs/>
                <w:sz w:val="16"/>
              </w:rPr>
            </w:pPr>
          </w:p>
        </w:tc>
        <w:tc>
          <w:tcPr>
            <w:tcW w:w="811" w:type="dxa"/>
            <w:noWrap/>
            <w:hideMark/>
          </w:tcPr>
          <w:p w14:paraId="0BADA79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&lt; 2 year</w:t>
            </w:r>
          </w:p>
        </w:tc>
        <w:tc>
          <w:tcPr>
            <w:tcW w:w="2225" w:type="dxa"/>
            <w:noWrap/>
            <w:hideMark/>
          </w:tcPr>
          <w:p w14:paraId="2003BDA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4A8F691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54</w:t>
            </w:r>
          </w:p>
        </w:tc>
        <w:tc>
          <w:tcPr>
            <w:tcW w:w="985" w:type="dxa"/>
            <w:noWrap/>
            <w:hideMark/>
          </w:tcPr>
          <w:p w14:paraId="7ABE69E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45</w:t>
            </w:r>
          </w:p>
        </w:tc>
        <w:tc>
          <w:tcPr>
            <w:tcW w:w="985" w:type="dxa"/>
            <w:noWrap/>
            <w:hideMark/>
          </w:tcPr>
          <w:p w14:paraId="75F1634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487AD35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w:t>
            </w:r>
          </w:p>
        </w:tc>
        <w:tc>
          <w:tcPr>
            <w:tcW w:w="1177" w:type="dxa"/>
            <w:noWrap/>
            <w:hideMark/>
          </w:tcPr>
          <w:p w14:paraId="2B0A992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9,796</w:t>
            </w:r>
          </w:p>
        </w:tc>
        <w:tc>
          <w:tcPr>
            <w:tcW w:w="1177" w:type="dxa"/>
            <w:noWrap/>
            <w:hideMark/>
          </w:tcPr>
          <w:p w14:paraId="50A16FB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8,172</w:t>
            </w:r>
          </w:p>
        </w:tc>
        <w:tc>
          <w:tcPr>
            <w:tcW w:w="1177" w:type="dxa"/>
            <w:noWrap/>
            <w:hideMark/>
          </w:tcPr>
          <w:p w14:paraId="5C487CF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396</w:t>
            </w:r>
          </w:p>
        </w:tc>
        <w:tc>
          <w:tcPr>
            <w:tcW w:w="1177" w:type="dxa"/>
            <w:noWrap/>
            <w:hideMark/>
          </w:tcPr>
          <w:p w14:paraId="63EE679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1,228</w:t>
            </w:r>
          </w:p>
        </w:tc>
      </w:tr>
      <w:tr w:rsidR="00BF10A3" w:rsidRPr="008D12DA" w14:paraId="21E73545" w14:textId="77777777" w:rsidTr="001F7400">
        <w:trPr>
          <w:trHeight w:val="239"/>
        </w:trPr>
        <w:tc>
          <w:tcPr>
            <w:tcW w:w="984" w:type="dxa"/>
            <w:vMerge/>
            <w:hideMark/>
          </w:tcPr>
          <w:p w14:paraId="6D911234"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71744BA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2-3 year</w:t>
            </w:r>
          </w:p>
        </w:tc>
        <w:tc>
          <w:tcPr>
            <w:tcW w:w="2225" w:type="dxa"/>
            <w:noWrap/>
            <w:hideMark/>
          </w:tcPr>
          <w:p w14:paraId="15871BC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7B40D67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86</w:t>
            </w:r>
          </w:p>
        </w:tc>
        <w:tc>
          <w:tcPr>
            <w:tcW w:w="985" w:type="dxa"/>
            <w:noWrap/>
            <w:hideMark/>
          </w:tcPr>
          <w:p w14:paraId="016F754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81</w:t>
            </w:r>
          </w:p>
        </w:tc>
        <w:tc>
          <w:tcPr>
            <w:tcW w:w="985" w:type="dxa"/>
            <w:noWrap/>
            <w:hideMark/>
          </w:tcPr>
          <w:p w14:paraId="2BF328E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w:t>
            </w:r>
          </w:p>
        </w:tc>
        <w:tc>
          <w:tcPr>
            <w:tcW w:w="985" w:type="dxa"/>
            <w:noWrap/>
            <w:hideMark/>
          </w:tcPr>
          <w:p w14:paraId="2A74959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1177" w:type="dxa"/>
            <w:noWrap/>
            <w:hideMark/>
          </w:tcPr>
          <w:p w14:paraId="559B69E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10,952</w:t>
            </w:r>
          </w:p>
        </w:tc>
        <w:tc>
          <w:tcPr>
            <w:tcW w:w="1177" w:type="dxa"/>
            <w:noWrap/>
            <w:hideMark/>
          </w:tcPr>
          <w:p w14:paraId="463AB34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9,374</w:t>
            </w:r>
          </w:p>
        </w:tc>
        <w:tc>
          <w:tcPr>
            <w:tcW w:w="1177" w:type="dxa"/>
            <w:noWrap/>
            <w:hideMark/>
          </w:tcPr>
          <w:p w14:paraId="54FC595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1,304</w:t>
            </w:r>
          </w:p>
        </w:tc>
        <w:tc>
          <w:tcPr>
            <w:tcW w:w="1177" w:type="dxa"/>
            <w:noWrap/>
            <w:hideMark/>
          </w:tcPr>
          <w:p w14:paraId="6FFB974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274</w:t>
            </w:r>
          </w:p>
        </w:tc>
      </w:tr>
      <w:tr w:rsidR="00BF10A3" w:rsidRPr="008D12DA" w14:paraId="650CFB90" w14:textId="77777777" w:rsidTr="001F7400">
        <w:trPr>
          <w:trHeight w:val="239"/>
        </w:trPr>
        <w:tc>
          <w:tcPr>
            <w:tcW w:w="984" w:type="dxa"/>
            <w:vMerge/>
            <w:hideMark/>
          </w:tcPr>
          <w:p w14:paraId="3DF34DA4"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39F6618C"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3C0910F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Post-Bacc Certificate</w:t>
            </w:r>
          </w:p>
        </w:tc>
        <w:tc>
          <w:tcPr>
            <w:tcW w:w="985" w:type="dxa"/>
            <w:noWrap/>
            <w:hideMark/>
          </w:tcPr>
          <w:p w14:paraId="42DC12F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0FD1768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71BC4A1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5F725D2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416C2EB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w:t>
            </w:r>
          </w:p>
        </w:tc>
        <w:tc>
          <w:tcPr>
            <w:tcW w:w="1177" w:type="dxa"/>
            <w:noWrap/>
            <w:hideMark/>
          </w:tcPr>
          <w:p w14:paraId="6E49910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w:t>
            </w:r>
          </w:p>
        </w:tc>
        <w:tc>
          <w:tcPr>
            <w:tcW w:w="1177" w:type="dxa"/>
            <w:noWrap/>
            <w:hideMark/>
          </w:tcPr>
          <w:p w14:paraId="174E86C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3A94444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6C2DAF1D" w14:textId="77777777" w:rsidTr="001F7400">
        <w:trPr>
          <w:trHeight w:val="239"/>
        </w:trPr>
        <w:tc>
          <w:tcPr>
            <w:tcW w:w="984" w:type="dxa"/>
            <w:vMerge/>
            <w:hideMark/>
          </w:tcPr>
          <w:p w14:paraId="3E1BA8FE"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462EDE6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4-year</w:t>
            </w:r>
          </w:p>
        </w:tc>
        <w:tc>
          <w:tcPr>
            <w:tcW w:w="2225" w:type="dxa"/>
            <w:noWrap/>
            <w:hideMark/>
          </w:tcPr>
          <w:p w14:paraId="0F17163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03BC456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127</w:t>
            </w:r>
          </w:p>
        </w:tc>
        <w:tc>
          <w:tcPr>
            <w:tcW w:w="985" w:type="dxa"/>
            <w:noWrap/>
            <w:hideMark/>
          </w:tcPr>
          <w:p w14:paraId="68BF38D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107</w:t>
            </w:r>
          </w:p>
        </w:tc>
        <w:tc>
          <w:tcPr>
            <w:tcW w:w="985" w:type="dxa"/>
            <w:noWrap/>
            <w:hideMark/>
          </w:tcPr>
          <w:p w14:paraId="0AF4615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985" w:type="dxa"/>
            <w:noWrap/>
            <w:hideMark/>
          </w:tcPr>
          <w:p w14:paraId="5C46A97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w:t>
            </w:r>
          </w:p>
        </w:tc>
        <w:tc>
          <w:tcPr>
            <w:tcW w:w="1177" w:type="dxa"/>
            <w:noWrap/>
            <w:hideMark/>
          </w:tcPr>
          <w:p w14:paraId="1DDFD47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24,706</w:t>
            </w:r>
          </w:p>
        </w:tc>
        <w:tc>
          <w:tcPr>
            <w:tcW w:w="1177" w:type="dxa"/>
            <w:noWrap/>
            <w:hideMark/>
          </w:tcPr>
          <w:p w14:paraId="2EE6560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19,499</w:t>
            </w:r>
          </w:p>
        </w:tc>
        <w:tc>
          <w:tcPr>
            <w:tcW w:w="1177" w:type="dxa"/>
            <w:noWrap/>
            <w:hideMark/>
          </w:tcPr>
          <w:p w14:paraId="557E6BD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1,992</w:t>
            </w:r>
          </w:p>
        </w:tc>
        <w:tc>
          <w:tcPr>
            <w:tcW w:w="1177" w:type="dxa"/>
            <w:noWrap/>
            <w:hideMark/>
          </w:tcPr>
          <w:p w14:paraId="6DFBB3C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3,215</w:t>
            </w:r>
          </w:p>
        </w:tc>
      </w:tr>
      <w:tr w:rsidR="00BF10A3" w:rsidRPr="008D12DA" w14:paraId="7216D2DA" w14:textId="77777777" w:rsidTr="001F7400">
        <w:trPr>
          <w:trHeight w:val="239"/>
        </w:trPr>
        <w:tc>
          <w:tcPr>
            <w:tcW w:w="984" w:type="dxa"/>
            <w:vMerge/>
            <w:hideMark/>
          </w:tcPr>
          <w:p w14:paraId="2FA3DE1A"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3C8C5AF2"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6F89C50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Post-Bacc Certificate</w:t>
            </w:r>
          </w:p>
        </w:tc>
        <w:tc>
          <w:tcPr>
            <w:tcW w:w="985" w:type="dxa"/>
            <w:noWrap/>
            <w:hideMark/>
          </w:tcPr>
          <w:p w14:paraId="1358E34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77</w:t>
            </w:r>
          </w:p>
        </w:tc>
        <w:tc>
          <w:tcPr>
            <w:tcW w:w="985" w:type="dxa"/>
            <w:noWrap/>
            <w:hideMark/>
          </w:tcPr>
          <w:p w14:paraId="5414021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76</w:t>
            </w:r>
          </w:p>
        </w:tc>
        <w:tc>
          <w:tcPr>
            <w:tcW w:w="985" w:type="dxa"/>
            <w:noWrap/>
            <w:hideMark/>
          </w:tcPr>
          <w:p w14:paraId="1EA2253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4D7BAE6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1177" w:type="dxa"/>
            <w:noWrap/>
            <w:hideMark/>
          </w:tcPr>
          <w:p w14:paraId="1CDDF74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6,834</w:t>
            </w:r>
          </w:p>
        </w:tc>
        <w:tc>
          <w:tcPr>
            <w:tcW w:w="1177" w:type="dxa"/>
            <w:noWrap/>
            <w:hideMark/>
          </w:tcPr>
          <w:p w14:paraId="0A63A36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6,714</w:t>
            </w:r>
          </w:p>
        </w:tc>
        <w:tc>
          <w:tcPr>
            <w:tcW w:w="1177" w:type="dxa"/>
            <w:noWrap/>
            <w:hideMark/>
          </w:tcPr>
          <w:p w14:paraId="2B7F722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534AA7D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120</w:t>
            </w:r>
          </w:p>
        </w:tc>
      </w:tr>
      <w:tr w:rsidR="00BF10A3" w:rsidRPr="008D12DA" w14:paraId="3C751059" w14:textId="77777777" w:rsidTr="001F7400">
        <w:trPr>
          <w:trHeight w:val="239"/>
        </w:trPr>
        <w:tc>
          <w:tcPr>
            <w:tcW w:w="984" w:type="dxa"/>
            <w:vMerge w:val="restart"/>
            <w:noWrap/>
            <w:hideMark/>
          </w:tcPr>
          <w:p w14:paraId="70A3E1EA" w14:textId="77777777" w:rsidR="00BF10A3" w:rsidRPr="008D12DA" w:rsidRDefault="00BF10A3" w:rsidP="001F7400">
            <w:pPr>
              <w:rPr>
                <w:rFonts w:ascii="Courier New" w:eastAsiaTheme="minorHAnsi" w:hAnsi="Courier New" w:cstheme="minorBidi"/>
                <w:b/>
                <w:bCs/>
                <w:sz w:val="16"/>
              </w:rPr>
            </w:pPr>
            <w:r w:rsidRPr="008D12DA">
              <w:rPr>
                <w:rFonts w:ascii="Courier New" w:eastAsiaTheme="minorHAnsi" w:hAnsi="Courier New" w:cstheme="minorBidi"/>
                <w:b/>
                <w:bCs/>
                <w:sz w:val="16"/>
              </w:rPr>
              <w:t>For-Profit</w:t>
            </w:r>
          </w:p>
        </w:tc>
        <w:tc>
          <w:tcPr>
            <w:tcW w:w="3036" w:type="dxa"/>
            <w:gridSpan w:val="2"/>
            <w:noWrap/>
            <w:hideMark/>
          </w:tcPr>
          <w:p w14:paraId="5A1EBD6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Total</w:t>
            </w:r>
          </w:p>
        </w:tc>
        <w:tc>
          <w:tcPr>
            <w:tcW w:w="985" w:type="dxa"/>
            <w:noWrap/>
            <w:hideMark/>
          </w:tcPr>
          <w:p w14:paraId="6855DC5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6,082</w:t>
            </w:r>
          </w:p>
        </w:tc>
        <w:tc>
          <w:tcPr>
            <w:tcW w:w="985" w:type="dxa"/>
            <w:noWrap/>
            <w:hideMark/>
          </w:tcPr>
          <w:p w14:paraId="40F28BA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4,071</w:t>
            </w:r>
          </w:p>
        </w:tc>
        <w:tc>
          <w:tcPr>
            <w:tcW w:w="985" w:type="dxa"/>
            <w:noWrap/>
            <w:hideMark/>
          </w:tcPr>
          <w:p w14:paraId="33E3AF2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748</w:t>
            </w:r>
          </w:p>
        </w:tc>
        <w:tc>
          <w:tcPr>
            <w:tcW w:w="985" w:type="dxa"/>
            <w:noWrap/>
            <w:hideMark/>
          </w:tcPr>
          <w:p w14:paraId="40C2405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1,263</w:t>
            </w:r>
          </w:p>
        </w:tc>
        <w:tc>
          <w:tcPr>
            <w:tcW w:w="1177" w:type="dxa"/>
            <w:noWrap/>
            <w:hideMark/>
          </w:tcPr>
          <w:p w14:paraId="772AD15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2,666,984</w:t>
            </w:r>
          </w:p>
        </w:tc>
        <w:tc>
          <w:tcPr>
            <w:tcW w:w="1177" w:type="dxa"/>
            <w:noWrap/>
            <w:hideMark/>
          </w:tcPr>
          <w:p w14:paraId="40AD2BD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1,517,809</w:t>
            </w:r>
          </w:p>
        </w:tc>
        <w:tc>
          <w:tcPr>
            <w:tcW w:w="1177" w:type="dxa"/>
            <w:noWrap/>
            <w:hideMark/>
          </w:tcPr>
          <w:p w14:paraId="4E77333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301,309</w:t>
            </w:r>
          </w:p>
        </w:tc>
        <w:tc>
          <w:tcPr>
            <w:tcW w:w="1177" w:type="dxa"/>
            <w:noWrap/>
            <w:hideMark/>
          </w:tcPr>
          <w:p w14:paraId="4DF49E9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847,866</w:t>
            </w:r>
          </w:p>
        </w:tc>
      </w:tr>
      <w:tr w:rsidR="00BF10A3" w:rsidRPr="008D12DA" w14:paraId="74B16BB4" w14:textId="77777777" w:rsidTr="001F7400">
        <w:trPr>
          <w:trHeight w:val="239"/>
        </w:trPr>
        <w:tc>
          <w:tcPr>
            <w:tcW w:w="984" w:type="dxa"/>
            <w:vMerge/>
            <w:hideMark/>
          </w:tcPr>
          <w:p w14:paraId="72010C15"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2D39751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&lt; 2 year</w:t>
            </w:r>
          </w:p>
        </w:tc>
        <w:tc>
          <w:tcPr>
            <w:tcW w:w="2225" w:type="dxa"/>
            <w:noWrap/>
            <w:hideMark/>
          </w:tcPr>
          <w:p w14:paraId="104DF01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19014C9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1,275</w:t>
            </w:r>
          </w:p>
        </w:tc>
        <w:tc>
          <w:tcPr>
            <w:tcW w:w="985" w:type="dxa"/>
            <w:noWrap/>
            <w:hideMark/>
          </w:tcPr>
          <w:p w14:paraId="61E3542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938</w:t>
            </w:r>
          </w:p>
        </w:tc>
        <w:tc>
          <w:tcPr>
            <w:tcW w:w="985" w:type="dxa"/>
            <w:noWrap/>
            <w:hideMark/>
          </w:tcPr>
          <w:p w14:paraId="69214C1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151</w:t>
            </w:r>
          </w:p>
        </w:tc>
        <w:tc>
          <w:tcPr>
            <w:tcW w:w="985" w:type="dxa"/>
            <w:noWrap/>
            <w:hideMark/>
          </w:tcPr>
          <w:p w14:paraId="3D6FFC7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186</w:t>
            </w:r>
          </w:p>
        </w:tc>
        <w:tc>
          <w:tcPr>
            <w:tcW w:w="1177" w:type="dxa"/>
            <w:noWrap/>
            <w:hideMark/>
          </w:tcPr>
          <w:p w14:paraId="0C356EB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224,500</w:t>
            </w:r>
          </w:p>
        </w:tc>
        <w:tc>
          <w:tcPr>
            <w:tcW w:w="1177" w:type="dxa"/>
            <w:noWrap/>
            <w:hideMark/>
          </w:tcPr>
          <w:p w14:paraId="78E47A1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138,444</w:t>
            </w:r>
          </w:p>
        </w:tc>
        <w:tc>
          <w:tcPr>
            <w:tcW w:w="1177" w:type="dxa"/>
            <w:noWrap/>
            <w:hideMark/>
          </w:tcPr>
          <w:p w14:paraId="702D36A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38,452</w:t>
            </w:r>
          </w:p>
        </w:tc>
        <w:tc>
          <w:tcPr>
            <w:tcW w:w="1177" w:type="dxa"/>
            <w:noWrap/>
            <w:hideMark/>
          </w:tcPr>
          <w:p w14:paraId="11974EA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47,604</w:t>
            </w:r>
          </w:p>
        </w:tc>
      </w:tr>
      <w:tr w:rsidR="00BF10A3" w:rsidRPr="008D12DA" w14:paraId="6BFCB1F8" w14:textId="77777777" w:rsidTr="001F7400">
        <w:trPr>
          <w:trHeight w:val="239"/>
        </w:trPr>
        <w:tc>
          <w:tcPr>
            <w:tcW w:w="984" w:type="dxa"/>
            <w:vMerge/>
            <w:hideMark/>
          </w:tcPr>
          <w:p w14:paraId="557DCF13"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567E0150"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3B054C1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Associate's</w:t>
            </w:r>
          </w:p>
        </w:tc>
        <w:tc>
          <w:tcPr>
            <w:tcW w:w="985" w:type="dxa"/>
            <w:noWrap/>
            <w:hideMark/>
          </w:tcPr>
          <w:p w14:paraId="55456CD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w:t>
            </w:r>
          </w:p>
        </w:tc>
        <w:tc>
          <w:tcPr>
            <w:tcW w:w="985" w:type="dxa"/>
            <w:noWrap/>
            <w:hideMark/>
          </w:tcPr>
          <w:p w14:paraId="636C72E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985" w:type="dxa"/>
            <w:noWrap/>
            <w:hideMark/>
          </w:tcPr>
          <w:p w14:paraId="5281E89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985" w:type="dxa"/>
            <w:noWrap/>
            <w:hideMark/>
          </w:tcPr>
          <w:p w14:paraId="5CC55B7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1177" w:type="dxa"/>
            <w:noWrap/>
            <w:hideMark/>
          </w:tcPr>
          <w:p w14:paraId="1A5310A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195</w:t>
            </w:r>
          </w:p>
        </w:tc>
        <w:tc>
          <w:tcPr>
            <w:tcW w:w="1177" w:type="dxa"/>
            <w:noWrap/>
            <w:hideMark/>
          </w:tcPr>
          <w:p w14:paraId="7FB23BB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142</w:t>
            </w:r>
          </w:p>
        </w:tc>
        <w:tc>
          <w:tcPr>
            <w:tcW w:w="1177" w:type="dxa"/>
            <w:noWrap/>
            <w:hideMark/>
          </w:tcPr>
          <w:p w14:paraId="73A8E68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31A0417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53</w:t>
            </w:r>
          </w:p>
        </w:tc>
      </w:tr>
      <w:tr w:rsidR="00BF10A3" w:rsidRPr="008D12DA" w14:paraId="796199BD" w14:textId="77777777" w:rsidTr="001F7400">
        <w:trPr>
          <w:trHeight w:val="239"/>
        </w:trPr>
        <w:tc>
          <w:tcPr>
            <w:tcW w:w="984" w:type="dxa"/>
            <w:vMerge/>
            <w:hideMark/>
          </w:tcPr>
          <w:p w14:paraId="58447054"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54961C4F"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1DC8DBB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1st Professional Degree</w:t>
            </w:r>
          </w:p>
        </w:tc>
        <w:tc>
          <w:tcPr>
            <w:tcW w:w="985" w:type="dxa"/>
            <w:noWrap/>
            <w:hideMark/>
          </w:tcPr>
          <w:p w14:paraId="3DA1CD3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w:t>
            </w:r>
          </w:p>
        </w:tc>
        <w:tc>
          <w:tcPr>
            <w:tcW w:w="985" w:type="dxa"/>
            <w:noWrap/>
            <w:hideMark/>
          </w:tcPr>
          <w:p w14:paraId="034B0A6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985" w:type="dxa"/>
            <w:noWrap/>
            <w:hideMark/>
          </w:tcPr>
          <w:p w14:paraId="70DBE81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3F62A04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w:t>
            </w:r>
          </w:p>
        </w:tc>
        <w:tc>
          <w:tcPr>
            <w:tcW w:w="1177" w:type="dxa"/>
            <w:noWrap/>
            <w:hideMark/>
          </w:tcPr>
          <w:p w14:paraId="45ACAFB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312</w:t>
            </w:r>
          </w:p>
        </w:tc>
        <w:tc>
          <w:tcPr>
            <w:tcW w:w="1177" w:type="dxa"/>
            <w:noWrap/>
            <w:hideMark/>
          </w:tcPr>
          <w:p w14:paraId="0CDE087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312</w:t>
            </w:r>
          </w:p>
        </w:tc>
        <w:tc>
          <w:tcPr>
            <w:tcW w:w="1177" w:type="dxa"/>
            <w:noWrap/>
            <w:hideMark/>
          </w:tcPr>
          <w:p w14:paraId="3CF6FF1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6AA5E57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4962B4D8" w14:textId="77777777" w:rsidTr="001F7400">
        <w:trPr>
          <w:trHeight w:val="239"/>
        </w:trPr>
        <w:tc>
          <w:tcPr>
            <w:tcW w:w="984" w:type="dxa"/>
            <w:vMerge/>
            <w:hideMark/>
          </w:tcPr>
          <w:p w14:paraId="3053E3BE"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1D54C21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2-3 year</w:t>
            </w:r>
          </w:p>
        </w:tc>
        <w:tc>
          <w:tcPr>
            <w:tcW w:w="2225" w:type="dxa"/>
            <w:noWrap/>
            <w:hideMark/>
          </w:tcPr>
          <w:p w14:paraId="57A6026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16B72FC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1,505</w:t>
            </w:r>
          </w:p>
        </w:tc>
        <w:tc>
          <w:tcPr>
            <w:tcW w:w="985" w:type="dxa"/>
            <w:noWrap/>
            <w:hideMark/>
          </w:tcPr>
          <w:p w14:paraId="0CB03FD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1,010</w:t>
            </w:r>
          </w:p>
        </w:tc>
        <w:tc>
          <w:tcPr>
            <w:tcW w:w="985" w:type="dxa"/>
            <w:noWrap/>
            <w:hideMark/>
          </w:tcPr>
          <w:p w14:paraId="608D88B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195</w:t>
            </w:r>
          </w:p>
        </w:tc>
        <w:tc>
          <w:tcPr>
            <w:tcW w:w="985" w:type="dxa"/>
            <w:noWrap/>
            <w:hideMark/>
          </w:tcPr>
          <w:p w14:paraId="30C3F45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300</w:t>
            </w:r>
          </w:p>
        </w:tc>
        <w:tc>
          <w:tcPr>
            <w:tcW w:w="1177" w:type="dxa"/>
            <w:noWrap/>
            <w:hideMark/>
          </w:tcPr>
          <w:p w14:paraId="68813EC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379,498</w:t>
            </w:r>
          </w:p>
        </w:tc>
        <w:tc>
          <w:tcPr>
            <w:tcW w:w="1177" w:type="dxa"/>
            <w:noWrap/>
            <w:hideMark/>
          </w:tcPr>
          <w:p w14:paraId="4151AF8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220,076</w:t>
            </w:r>
          </w:p>
        </w:tc>
        <w:tc>
          <w:tcPr>
            <w:tcW w:w="1177" w:type="dxa"/>
            <w:noWrap/>
            <w:hideMark/>
          </w:tcPr>
          <w:p w14:paraId="75C7D56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71,970</w:t>
            </w:r>
          </w:p>
        </w:tc>
        <w:tc>
          <w:tcPr>
            <w:tcW w:w="1177" w:type="dxa"/>
            <w:noWrap/>
            <w:hideMark/>
          </w:tcPr>
          <w:p w14:paraId="0E540C2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87,452</w:t>
            </w:r>
          </w:p>
        </w:tc>
      </w:tr>
      <w:tr w:rsidR="00BF10A3" w:rsidRPr="008D12DA" w14:paraId="4D4ADE5D" w14:textId="77777777" w:rsidTr="001F7400">
        <w:trPr>
          <w:trHeight w:val="239"/>
        </w:trPr>
        <w:tc>
          <w:tcPr>
            <w:tcW w:w="984" w:type="dxa"/>
            <w:vMerge/>
            <w:hideMark/>
          </w:tcPr>
          <w:p w14:paraId="6AC08E4B"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781FCC8D"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76F7405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Associate's</w:t>
            </w:r>
          </w:p>
        </w:tc>
        <w:tc>
          <w:tcPr>
            <w:tcW w:w="985" w:type="dxa"/>
            <w:noWrap/>
            <w:hideMark/>
          </w:tcPr>
          <w:p w14:paraId="066C6B3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839</w:t>
            </w:r>
          </w:p>
        </w:tc>
        <w:tc>
          <w:tcPr>
            <w:tcW w:w="985" w:type="dxa"/>
            <w:noWrap/>
            <w:hideMark/>
          </w:tcPr>
          <w:p w14:paraId="085A624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513</w:t>
            </w:r>
          </w:p>
        </w:tc>
        <w:tc>
          <w:tcPr>
            <w:tcW w:w="985" w:type="dxa"/>
            <w:noWrap/>
            <w:hideMark/>
          </w:tcPr>
          <w:p w14:paraId="0E78AE8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137</w:t>
            </w:r>
          </w:p>
        </w:tc>
        <w:tc>
          <w:tcPr>
            <w:tcW w:w="985" w:type="dxa"/>
            <w:noWrap/>
            <w:hideMark/>
          </w:tcPr>
          <w:p w14:paraId="46CB88F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189</w:t>
            </w:r>
          </w:p>
        </w:tc>
        <w:tc>
          <w:tcPr>
            <w:tcW w:w="1177" w:type="dxa"/>
            <w:noWrap/>
            <w:hideMark/>
          </w:tcPr>
          <w:p w14:paraId="0952607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139,033</w:t>
            </w:r>
          </w:p>
        </w:tc>
        <w:tc>
          <w:tcPr>
            <w:tcW w:w="1177" w:type="dxa"/>
            <w:noWrap/>
            <w:hideMark/>
          </w:tcPr>
          <w:p w14:paraId="384BB54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63,153</w:t>
            </w:r>
          </w:p>
        </w:tc>
        <w:tc>
          <w:tcPr>
            <w:tcW w:w="1177" w:type="dxa"/>
            <w:noWrap/>
            <w:hideMark/>
          </w:tcPr>
          <w:p w14:paraId="4B76754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30,337</w:t>
            </w:r>
          </w:p>
        </w:tc>
        <w:tc>
          <w:tcPr>
            <w:tcW w:w="1177" w:type="dxa"/>
            <w:noWrap/>
            <w:hideMark/>
          </w:tcPr>
          <w:p w14:paraId="1A7D203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45,543</w:t>
            </w:r>
          </w:p>
        </w:tc>
      </w:tr>
      <w:tr w:rsidR="00BF10A3" w:rsidRPr="008D12DA" w14:paraId="13C45106" w14:textId="77777777" w:rsidTr="001F7400">
        <w:trPr>
          <w:trHeight w:val="239"/>
        </w:trPr>
        <w:tc>
          <w:tcPr>
            <w:tcW w:w="984" w:type="dxa"/>
            <w:vMerge/>
            <w:hideMark/>
          </w:tcPr>
          <w:p w14:paraId="4C416895"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0455EAF5"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6F236FC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Post-Bacc Certificate</w:t>
            </w:r>
          </w:p>
        </w:tc>
        <w:tc>
          <w:tcPr>
            <w:tcW w:w="985" w:type="dxa"/>
            <w:noWrap/>
            <w:hideMark/>
          </w:tcPr>
          <w:p w14:paraId="3D83F6A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w:t>
            </w:r>
          </w:p>
        </w:tc>
        <w:tc>
          <w:tcPr>
            <w:tcW w:w="985" w:type="dxa"/>
            <w:noWrap/>
            <w:hideMark/>
          </w:tcPr>
          <w:p w14:paraId="0A9ABBA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w:t>
            </w:r>
          </w:p>
        </w:tc>
        <w:tc>
          <w:tcPr>
            <w:tcW w:w="985" w:type="dxa"/>
            <w:noWrap/>
            <w:hideMark/>
          </w:tcPr>
          <w:p w14:paraId="6D1D3AE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156A605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2CFF36D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156</w:t>
            </w:r>
          </w:p>
        </w:tc>
        <w:tc>
          <w:tcPr>
            <w:tcW w:w="1177" w:type="dxa"/>
            <w:noWrap/>
            <w:hideMark/>
          </w:tcPr>
          <w:p w14:paraId="55E776E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156</w:t>
            </w:r>
          </w:p>
        </w:tc>
        <w:tc>
          <w:tcPr>
            <w:tcW w:w="1177" w:type="dxa"/>
            <w:noWrap/>
            <w:hideMark/>
          </w:tcPr>
          <w:p w14:paraId="2BCA2B01"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05E0951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74C4E9D9" w14:textId="77777777" w:rsidTr="001F7400">
        <w:trPr>
          <w:trHeight w:val="239"/>
        </w:trPr>
        <w:tc>
          <w:tcPr>
            <w:tcW w:w="984" w:type="dxa"/>
            <w:vMerge/>
            <w:hideMark/>
          </w:tcPr>
          <w:p w14:paraId="6D651976" w14:textId="77777777" w:rsidR="00BF10A3" w:rsidRPr="008D12DA" w:rsidRDefault="00BF10A3" w:rsidP="001F7400">
            <w:pPr>
              <w:rPr>
                <w:rFonts w:ascii="Courier New" w:eastAsiaTheme="minorHAnsi" w:hAnsi="Courier New" w:cstheme="minorBidi"/>
                <w:b/>
                <w:bCs/>
                <w:sz w:val="16"/>
              </w:rPr>
            </w:pPr>
          </w:p>
        </w:tc>
        <w:tc>
          <w:tcPr>
            <w:tcW w:w="811" w:type="dxa"/>
            <w:vMerge w:val="restart"/>
            <w:noWrap/>
            <w:hideMark/>
          </w:tcPr>
          <w:p w14:paraId="5A8EAC3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4-year</w:t>
            </w:r>
          </w:p>
        </w:tc>
        <w:tc>
          <w:tcPr>
            <w:tcW w:w="2225" w:type="dxa"/>
            <w:noWrap/>
            <w:hideMark/>
          </w:tcPr>
          <w:p w14:paraId="2E72A16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Certificate</w:t>
            </w:r>
          </w:p>
        </w:tc>
        <w:tc>
          <w:tcPr>
            <w:tcW w:w="985" w:type="dxa"/>
            <w:noWrap/>
            <w:hideMark/>
          </w:tcPr>
          <w:p w14:paraId="7EA71FA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412</w:t>
            </w:r>
          </w:p>
        </w:tc>
        <w:tc>
          <w:tcPr>
            <w:tcW w:w="985" w:type="dxa"/>
            <w:noWrap/>
            <w:hideMark/>
          </w:tcPr>
          <w:p w14:paraId="6C75E95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274</w:t>
            </w:r>
          </w:p>
        </w:tc>
        <w:tc>
          <w:tcPr>
            <w:tcW w:w="985" w:type="dxa"/>
            <w:noWrap/>
            <w:hideMark/>
          </w:tcPr>
          <w:p w14:paraId="0286685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57</w:t>
            </w:r>
          </w:p>
        </w:tc>
        <w:tc>
          <w:tcPr>
            <w:tcW w:w="985" w:type="dxa"/>
            <w:noWrap/>
            <w:hideMark/>
          </w:tcPr>
          <w:p w14:paraId="795D4CB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81</w:t>
            </w:r>
          </w:p>
        </w:tc>
        <w:tc>
          <w:tcPr>
            <w:tcW w:w="1177" w:type="dxa"/>
            <w:noWrap/>
            <w:hideMark/>
          </w:tcPr>
          <w:p w14:paraId="0B55A98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93,097</w:t>
            </w:r>
          </w:p>
        </w:tc>
        <w:tc>
          <w:tcPr>
            <w:tcW w:w="1177" w:type="dxa"/>
            <w:noWrap/>
            <w:hideMark/>
          </w:tcPr>
          <w:p w14:paraId="7056948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52,045</w:t>
            </w:r>
          </w:p>
        </w:tc>
        <w:tc>
          <w:tcPr>
            <w:tcW w:w="1177" w:type="dxa"/>
            <w:noWrap/>
            <w:hideMark/>
          </w:tcPr>
          <w:p w14:paraId="448C3CF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27,557</w:t>
            </w:r>
          </w:p>
        </w:tc>
        <w:tc>
          <w:tcPr>
            <w:tcW w:w="1177" w:type="dxa"/>
            <w:noWrap/>
            <w:hideMark/>
          </w:tcPr>
          <w:p w14:paraId="530B54E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13,495</w:t>
            </w:r>
          </w:p>
        </w:tc>
      </w:tr>
      <w:tr w:rsidR="00BF10A3" w:rsidRPr="008D12DA" w14:paraId="7EE0F809" w14:textId="77777777" w:rsidTr="001F7400">
        <w:trPr>
          <w:trHeight w:val="239"/>
        </w:trPr>
        <w:tc>
          <w:tcPr>
            <w:tcW w:w="984" w:type="dxa"/>
            <w:vMerge/>
            <w:hideMark/>
          </w:tcPr>
          <w:p w14:paraId="414C120F"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1E5D9667"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075FB5C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Associate's</w:t>
            </w:r>
          </w:p>
        </w:tc>
        <w:tc>
          <w:tcPr>
            <w:tcW w:w="985" w:type="dxa"/>
            <w:noWrap/>
            <w:hideMark/>
          </w:tcPr>
          <w:p w14:paraId="7DCE3EC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971</w:t>
            </w:r>
          </w:p>
        </w:tc>
        <w:tc>
          <w:tcPr>
            <w:tcW w:w="985" w:type="dxa"/>
            <w:noWrap/>
            <w:hideMark/>
          </w:tcPr>
          <w:p w14:paraId="6C4B592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510</w:t>
            </w:r>
          </w:p>
        </w:tc>
        <w:tc>
          <w:tcPr>
            <w:tcW w:w="985" w:type="dxa"/>
            <w:noWrap/>
            <w:hideMark/>
          </w:tcPr>
          <w:p w14:paraId="21A8B0A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140</w:t>
            </w:r>
          </w:p>
        </w:tc>
        <w:tc>
          <w:tcPr>
            <w:tcW w:w="985" w:type="dxa"/>
            <w:noWrap/>
            <w:hideMark/>
          </w:tcPr>
          <w:p w14:paraId="5F8D84A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321</w:t>
            </w:r>
          </w:p>
        </w:tc>
        <w:tc>
          <w:tcPr>
            <w:tcW w:w="1177" w:type="dxa"/>
            <w:noWrap/>
            <w:hideMark/>
          </w:tcPr>
          <w:p w14:paraId="5327DFC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781,846</w:t>
            </w:r>
          </w:p>
        </w:tc>
        <w:tc>
          <w:tcPr>
            <w:tcW w:w="1177" w:type="dxa"/>
            <w:noWrap/>
            <w:hideMark/>
          </w:tcPr>
          <w:p w14:paraId="3BC0A39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148,293</w:t>
            </w:r>
          </w:p>
        </w:tc>
        <w:tc>
          <w:tcPr>
            <w:tcW w:w="1177" w:type="dxa"/>
            <w:noWrap/>
            <w:hideMark/>
          </w:tcPr>
          <w:p w14:paraId="6850D0F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81,531</w:t>
            </w:r>
          </w:p>
        </w:tc>
        <w:tc>
          <w:tcPr>
            <w:tcW w:w="1177" w:type="dxa"/>
            <w:noWrap/>
            <w:hideMark/>
          </w:tcPr>
          <w:p w14:paraId="7F6C756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552,022</w:t>
            </w:r>
          </w:p>
        </w:tc>
      </w:tr>
      <w:tr w:rsidR="00BF10A3" w:rsidRPr="008D12DA" w14:paraId="6C29FF17" w14:textId="77777777" w:rsidTr="001F7400">
        <w:trPr>
          <w:trHeight w:val="239"/>
        </w:trPr>
        <w:tc>
          <w:tcPr>
            <w:tcW w:w="984" w:type="dxa"/>
            <w:vMerge/>
            <w:hideMark/>
          </w:tcPr>
          <w:p w14:paraId="179868A2"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4CF2CFF7"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1A210AA7"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Bachelor's</w:t>
            </w:r>
          </w:p>
        </w:tc>
        <w:tc>
          <w:tcPr>
            <w:tcW w:w="985" w:type="dxa"/>
            <w:noWrap/>
            <w:hideMark/>
          </w:tcPr>
          <w:p w14:paraId="00A26CE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738</w:t>
            </w:r>
          </w:p>
        </w:tc>
        <w:tc>
          <w:tcPr>
            <w:tcW w:w="985" w:type="dxa"/>
            <w:noWrap/>
            <w:hideMark/>
          </w:tcPr>
          <w:p w14:paraId="7239AC2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509</w:t>
            </w:r>
          </w:p>
        </w:tc>
        <w:tc>
          <w:tcPr>
            <w:tcW w:w="985" w:type="dxa"/>
            <w:noWrap/>
            <w:hideMark/>
          </w:tcPr>
          <w:p w14:paraId="298DDE7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58</w:t>
            </w:r>
          </w:p>
        </w:tc>
        <w:tc>
          <w:tcPr>
            <w:tcW w:w="985" w:type="dxa"/>
            <w:noWrap/>
            <w:hideMark/>
          </w:tcPr>
          <w:p w14:paraId="429B293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171</w:t>
            </w:r>
          </w:p>
        </w:tc>
        <w:tc>
          <w:tcPr>
            <w:tcW w:w="1177" w:type="dxa"/>
            <w:noWrap/>
            <w:hideMark/>
          </w:tcPr>
          <w:p w14:paraId="5588AAC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746,345</w:t>
            </w:r>
          </w:p>
        </w:tc>
        <w:tc>
          <w:tcPr>
            <w:tcW w:w="1177" w:type="dxa"/>
            <w:noWrap/>
            <w:hideMark/>
          </w:tcPr>
          <w:p w14:paraId="770C439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602,143</w:t>
            </w:r>
          </w:p>
        </w:tc>
        <w:tc>
          <w:tcPr>
            <w:tcW w:w="1177" w:type="dxa"/>
            <w:noWrap/>
            <w:hideMark/>
          </w:tcPr>
          <w:p w14:paraId="2C89297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46,313</w:t>
            </w:r>
          </w:p>
        </w:tc>
        <w:tc>
          <w:tcPr>
            <w:tcW w:w="1177" w:type="dxa"/>
            <w:noWrap/>
            <w:hideMark/>
          </w:tcPr>
          <w:p w14:paraId="25092DA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97,889</w:t>
            </w:r>
          </w:p>
        </w:tc>
      </w:tr>
      <w:tr w:rsidR="00BF10A3" w:rsidRPr="008D12DA" w14:paraId="01A26E6E" w14:textId="77777777" w:rsidTr="001F7400">
        <w:trPr>
          <w:trHeight w:val="239"/>
        </w:trPr>
        <w:tc>
          <w:tcPr>
            <w:tcW w:w="984" w:type="dxa"/>
            <w:vMerge/>
            <w:hideMark/>
          </w:tcPr>
          <w:p w14:paraId="222C0CDE"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0EF66FB3"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1F27F1B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Post-Bacc Certificate</w:t>
            </w:r>
          </w:p>
        </w:tc>
        <w:tc>
          <w:tcPr>
            <w:tcW w:w="985" w:type="dxa"/>
            <w:noWrap/>
            <w:hideMark/>
          </w:tcPr>
          <w:p w14:paraId="5A7071C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w:t>
            </w:r>
          </w:p>
        </w:tc>
        <w:tc>
          <w:tcPr>
            <w:tcW w:w="985" w:type="dxa"/>
            <w:noWrap/>
            <w:hideMark/>
          </w:tcPr>
          <w:p w14:paraId="26C92AD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w:t>
            </w:r>
          </w:p>
        </w:tc>
        <w:tc>
          <w:tcPr>
            <w:tcW w:w="985" w:type="dxa"/>
            <w:noWrap/>
            <w:hideMark/>
          </w:tcPr>
          <w:p w14:paraId="0E7D749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985" w:type="dxa"/>
            <w:noWrap/>
            <w:hideMark/>
          </w:tcPr>
          <w:p w14:paraId="7DEF8432"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68AF783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3,999</w:t>
            </w:r>
          </w:p>
        </w:tc>
        <w:tc>
          <w:tcPr>
            <w:tcW w:w="1177" w:type="dxa"/>
            <w:noWrap/>
            <w:hideMark/>
          </w:tcPr>
          <w:p w14:paraId="2EA387C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3,999</w:t>
            </w:r>
          </w:p>
        </w:tc>
        <w:tc>
          <w:tcPr>
            <w:tcW w:w="1177" w:type="dxa"/>
            <w:noWrap/>
            <w:hideMark/>
          </w:tcPr>
          <w:p w14:paraId="529DE20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0DF4C12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58BDB6CD" w14:textId="77777777" w:rsidTr="001F7400">
        <w:trPr>
          <w:trHeight w:val="239"/>
        </w:trPr>
        <w:tc>
          <w:tcPr>
            <w:tcW w:w="984" w:type="dxa"/>
            <w:vMerge/>
            <w:hideMark/>
          </w:tcPr>
          <w:p w14:paraId="4F731819"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0D706262"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2B7B0CB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Master's</w:t>
            </w:r>
          </w:p>
        </w:tc>
        <w:tc>
          <w:tcPr>
            <w:tcW w:w="985" w:type="dxa"/>
            <w:noWrap/>
            <w:hideMark/>
          </w:tcPr>
          <w:p w14:paraId="2AA47EE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227</w:t>
            </w:r>
          </w:p>
        </w:tc>
        <w:tc>
          <w:tcPr>
            <w:tcW w:w="985" w:type="dxa"/>
            <w:noWrap/>
            <w:hideMark/>
          </w:tcPr>
          <w:p w14:paraId="03A578B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213</w:t>
            </w:r>
          </w:p>
        </w:tc>
        <w:tc>
          <w:tcPr>
            <w:tcW w:w="985" w:type="dxa"/>
            <w:noWrap/>
            <w:hideMark/>
          </w:tcPr>
          <w:p w14:paraId="7E15475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w:t>
            </w:r>
          </w:p>
        </w:tc>
        <w:tc>
          <w:tcPr>
            <w:tcW w:w="985" w:type="dxa"/>
            <w:noWrap/>
            <w:hideMark/>
          </w:tcPr>
          <w:p w14:paraId="115FCC26"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10</w:t>
            </w:r>
          </w:p>
        </w:tc>
        <w:tc>
          <w:tcPr>
            <w:tcW w:w="1177" w:type="dxa"/>
            <w:noWrap/>
            <w:hideMark/>
          </w:tcPr>
          <w:p w14:paraId="23278FF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238,863</w:t>
            </w:r>
          </w:p>
        </w:tc>
        <w:tc>
          <w:tcPr>
            <w:tcW w:w="1177" w:type="dxa"/>
            <w:noWrap/>
            <w:hideMark/>
          </w:tcPr>
          <w:p w14:paraId="3FCADF7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234,930</w:t>
            </w:r>
          </w:p>
        </w:tc>
        <w:tc>
          <w:tcPr>
            <w:tcW w:w="1177" w:type="dxa"/>
            <w:noWrap/>
            <w:hideMark/>
          </w:tcPr>
          <w:p w14:paraId="64EC48F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1,511</w:t>
            </w:r>
          </w:p>
        </w:tc>
        <w:tc>
          <w:tcPr>
            <w:tcW w:w="1177" w:type="dxa"/>
            <w:noWrap/>
            <w:hideMark/>
          </w:tcPr>
          <w:p w14:paraId="57B869B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2,422</w:t>
            </w:r>
          </w:p>
        </w:tc>
      </w:tr>
      <w:tr w:rsidR="00BF10A3" w:rsidRPr="008D12DA" w14:paraId="6DC5820D" w14:textId="77777777" w:rsidTr="001F7400">
        <w:trPr>
          <w:trHeight w:val="239"/>
        </w:trPr>
        <w:tc>
          <w:tcPr>
            <w:tcW w:w="984" w:type="dxa"/>
            <w:vMerge/>
            <w:hideMark/>
          </w:tcPr>
          <w:p w14:paraId="011ABE54"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7A04468C"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1113653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Doctoral</w:t>
            </w:r>
          </w:p>
        </w:tc>
        <w:tc>
          <w:tcPr>
            <w:tcW w:w="985" w:type="dxa"/>
            <w:noWrap/>
            <w:hideMark/>
          </w:tcPr>
          <w:p w14:paraId="301FCE9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67</w:t>
            </w:r>
          </w:p>
        </w:tc>
        <w:tc>
          <w:tcPr>
            <w:tcW w:w="985" w:type="dxa"/>
            <w:noWrap/>
            <w:hideMark/>
          </w:tcPr>
          <w:p w14:paraId="4F466E1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65</w:t>
            </w:r>
          </w:p>
        </w:tc>
        <w:tc>
          <w:tcPr>
            <w:tcW w:w="985" w:type="dxa"/>
            <w:noWrap/>
            <w:hideMark/>
          </w:tcPr>
          <w:p w14:paraId="5BFA81B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w:t>
            </w:r>
          </w:p>
        </w:tc>
        <w:tc>
          <w:tcPr>
            <w:tcW w:w="985" w:type="dxa"/>
            <w:noWrap/>
            <w:hideMark/>
          </w:tcPr>
          <w:p w14:paraId="344FDC2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c>
          <w:tcPr>
            <w:tcW w:w="1177" w:type="dxa"/>
            <w:noWrap/>
            <w:hideMark/>
          </w:tcPr>
          <w:p w14:paraId="76BE336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51,931</w:t>
            </w:r>
          </w:p>
        </w:tc>
        <w:tc>
          <w:tcPr>
            <w:tcW w:w="1177" w:type="dxa"/>
            <w:noWrap/>
            <w:hideMark/>
          </w:tcPr>
          <w:p w14:paraId="79C7428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51,009</w:t>
            </w:r>
          </w:p>
        </w:tc>
        <w:tc>
          <w:tcPr>
            <w:tcW w:w="1177" w:type="dxa"/>
            <w:noWrap/>
            <w:hideMark/>
          </w:tcPr>
          <w:p w14:paraId="6C4FE06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922</w:t>
            </w:r>
          </w:p>
        </w:tc>
        <w:tc>
          <w:tcPr>
            <w:tcW w:w="1177" w:type="dxa"/>
            <w:noWrap/>
            <w:hideMark/>
          </w:tcPr>
          <w:p w14:paraId="4F61960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0</w:t>
            </w:r>
          </w:p>
        </w:tc>
      </w:tr>
      <w:tr w:rsidR="00BF10A3" w:rsidRPr="008D12DA" w14:paraId="0739C99B" w14:textId="77777777" w:rsidTr="001F7400">
        <w:trPr>
          <w:trHeight w:val="239"/>
        </w:trPr>
        <w:tc>
          <w:tcPr>
            <w:tcW w:w="984" w:type="dxa"/>
            <w:vMerge/>
            <w:hideMark/>
          </w:tcPr>
          <w:p w14:paraId="4D1B220F" w14:textId="77777777" w:rsidR="00BF10A3" w:rsidRPr="008D12DA" w:rsidRDefault="00BF10A3" w:rsidP="001F7400">
            <w:pPr>
              <w:rPr>
                <w:rFonts w:ascii="Courier New" w:eastAsiaTheme="minorHAnsi" w:hAnsi="Courier New" w:cstheme="minorBidi"/>
                <w:b/>
                <w:bCs/>
                <w:sz w:val="16"/>
              </w:rPr>
            </w:pPr>
          </w:p>
        </w:tc>
        <w:tc>
          <w:tcPr>
            <w:tcW w:w="811" w:type="dxa"/>
            <w:vMerge/>
            <w:hideMark/>
          </w:tcPr>
          <w:p w14:paraId="24F68486" w14:textId="77777777" w:rsidR="00BF10A3" w:rsidRPr="008D12DA" w:rsidRDefault="00BF10A3" w:rsidP="001F7400">
            <w:pPr>
              <w:rPr>
                <w:rFonts w:ascii="Courier New" w:eastAsiaTheme="minorHAnsi" w:hAnsi="Courier New" w:cstheme="minorBidi"/>
                <w:sz w:val="16"/>
              </w:rPr>
            </w:pPr>
          </w:p>
        </w:tc>
        <w:tc>
          <w:tcPr>
            <w:tcW w:w="2225" w:type="dxa"/>
            <w:noWrap/>
            <w:hideMark/>
          </w:tcPr>
          <w:p w14:paraId="2046D1D0"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1st Professional Degree</w:t>
            </w:r>
          </w:p>
        </w:tc>
        <w:tc>
          <w:tcPr>
            <w:tcW w:w="985" w:type="dxa"/>
            <w:noWrap/>
            <w:hideMark/>
          </w:tcPr>
          <w:p w14:paraId="57EBD6D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10</w:t>
            </w:r>
          </w:p>
        </w:tc>
        <w:tc>
          <w:tcPr>
            <w:tcW w:w="985" w:type="dxa"/>
            <w:noWrap/>
            <w:hideMark/>
          </w:tcPr>
          <w:p w14:paraId="0D9D5AA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4</w:t>
            </w:r>
          </w:p>
        </w:tc>
        <w:tc>
          <w:tcPr>
            <w:tcW w:w="985" w:type="dxa"/>
            <w:noWrap/>
            <w:hideMark/>
          </w:tcPr>
          <w:p w14:paraId="68ACB2FB"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985" w:type="dxa"/>
            <w:noWrap/>
            <w:hideMark/>
          </w:tcPr>
          <w:p w14:paraId="445B24F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w:t>
            </w:r>
          </w:p>
        </w:tc>
        <w:tc>
          <w:tcPr>
            <w:tcW w:w="1177" w:type="dxa"/>
            <w:noWrap/>
            <w:hideMark/>
          </w:tcPr>
          <w:p w14:paraId="77A70DF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7,209</w:t>
            </w:r>
          </w:p>
        </w:tc>
        <w:tc>
          <w:tcPr>
            <w:tcW w:w="1177" w:type="dxa"/>
            <w:noWrap/>
            <w:hideMark/>
          </w:tcPr>
          <w:p w14:paraId="5ED0D4CA"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3,107</w:t>
            </w:r>
          </w:p>
        </w:tc>
        <w:tc>
          <w:tcPr>
            <w:tcW w:w="1177" w:type="dxa"/>
            <w:noWrap/>
            <w:hideMark/>
          </w:tcPr>
          <w:p w14:paraId="0C802B7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2,716</w:t>
            </w:r>
          </w:p>
        </w:tc>
        <w:tc>
          <w:tcPr>
            <w:tcW w:w="1177" w:type="dxa"/>
            <w:noWrap/>
            <w:hideMark/>
          </w:tcPr>
          <w:p w14:paraId="2C104528"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1,386</w:t>
            </w:r>
          </w:p>
        </w:tc>
      </w:tr>
      <w:tr w:rsidR="00BF10A3" w:rsidRPr="008D12DA" w14:paraId="5845C532" w14:textId="77777777" w:rsidTr="001F7400">
        <w:trPr>
          <w:trHeight w:val="239"/>
        </w:trPr>
        <w:tc>
          <w:tcPr>
            <w:tcW w:w="4020" w:type="dxa"/>
            <w:gridSpan w:val="3"/>
            <w:noWrap/>
            <w:hideMark/>
          </w:tcPr>
          <w:p w14:paraId="4EF7EA04"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Overall Total</w:t>
            </w:r>
          </w:p>
        </w:tc>
        <w:tc>
          <w:tcPr>
            <w:tcW w:w="985" w:type="dxa"/>
            <w:noWrap/>
            <w:hideMark/>
          </w:tcPr>
          <w:p w14:paraId="17D989D3"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7,934</w:t>
            </w:r>
          </w:p>
        </w:tc>
        <w:tc>
          <w:tcPr>
            <w:tcW w:w="985" w:type="dxa"/>
            <w:noWrap/>
            <w:hideMark/>
          </w:tcPr>
          <w:p w14:paraId="0F892C7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5,834</w:t>
            </w:r>
          </w:p>
        </w:tc>
        <w:tc>
          <w:tcPr>
            <w:tcW w:w="985" w:type="dxa"/>
            <w:noWrap/>
            <w:hideMark/>
          </w:tcPr>
          <w:p w14:paraId="1C7C59CE"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755</w:t>
            </w:r>
          </w:p>
        </w:tc>
        <w:tc>
          <w:tcPr>
            <w:tcW w:w="985" w:type="dxa"/>
            <w:noWrap/>
            <w:hideMark/>
          </w:tcPr>
          <w:p w14:paraId="698DF59F"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1,345</w:t>
            </w:r>
          </w:p>
        </w:tc>
        <w:tc>
          <w:tcPr>
            <w:tcW w:w="1177" w:type="dxa"/>
            <w:noWrap/>
            <w:hideMark/>
          </w:tcPr>
          <w:p w14:paraId="0614C109"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2,914,376</w:t>
            </w:r>
          </w:p>
        </w:tc>
        <w:tc>
          <w:tcPr>
            <w:tcW w:w="1177" w:type="dxa"/>
            <w:noWrap/>
            <w:hideMark/>
          </w:tcPr>
          <w:p w14:paraId="653E3BCD"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1,743,750</w:t>
            </w:r>
          </w:p>
        </w:tc>
        <w:tc>
          <w:tcPr>
            <w:tcW w:w="1177" w:type="dxa"/>
            <w:noWrap/>
            <w:hideMark/>
          </w:tcPr>
          <w:p w14:paraId="1F8916E5"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305,222</w:t>
            </w:r>
          </w:p>
        </w:tc>
        <w:tc>
          <w:tcPr>
            <w:tcW w:w="1177" w:type="dxa"/>
            <w:noWrap/>
            <w:hideMark/>
          </w:tcPr>
          <w:p w14:paraId="6940067C" w14:textId="77777777" w:rsidR="00BF10A3" w:rsidRPr="008D12DA" w:rsidRDefault="00BF10A3" w:rsidP="001F7400">
            <w:pPr>
              <w:rPr>
                <w:rFonts w:ascii="Courier New" w:eastAsiaTheme="minorHAnsi" w:hAnsi="Courier New" w:cstheme="minorBidi"/>
                <w:sz w:val="16"/>
              </w:rPr>
            </w:pPr>
            <w:r w:rsidRPr="008D12DA">
              <w:rPr>
                <w:rFonts w:ascii="Courier New" w:eastAsiaTheme="minorHAnsi" w:hAnsi="Courier New" w:cstheme="minorBidi"/>
                <w:sz w:val="16"/>
              </w:rPr>
              <w:t>865,404</w:t>
            </w:r>
          </w:p>
        </w:tc>
      </w:tr>
    </w:tbl>
    <w:p w14:paraId="07AAFC90" w14:textId="77777777" w:rsidR="00BF10A3" w:rsidRDefault="00BF10A3" w:rsidP="00BF10A3">
      <w:pPr>
        <w:pStyle w:val="riaheader3"/>
        <w:sectPr w:rsidR="00BF10A3" w:rsidSect="008D12DA">
          <w:pgSz w:w="15840" w:h="12240" w:orient="landscape" w:code="1"/>
          <w:pgMar w:top="1440" w:right="1440" w:bottom="1440" w:left="1440" w:header="720" w:footer="720" w:gutter="0"/>
          <w:cols w:space="720"/>
          <w:docGrid w:linePitch="360"/>
        </w:sectPr>
      </w:pPr>
    </w:p>
    <w:p w14:paraId="45A7DB48" w14:textId="77777777" w:rsidR="00BF10A3" w:rsidRPr="00B53B21" w:rsidRDefault="00BF10A3" w:rsidP="00BF10A3">
      <w:pPr>
        <w:pStyle w:val="riaheader3"/>
      </w:pPr>
      <w:r w:rsidRPr="00B53B21">
        <w:t>pCDR Thresholds</w:t>
      </w:r>
    </w:p>
    <w:p w14:paraId="5394311F" w14:textId="77777777" w:rsidR="00BF10A3" w:rsidRPr="00AA6DFD" w:rsidRDefault="00BF10A3" w:rsidP="00BF10A3">
      <w:pPr>
        <w:tabs>
          <w:tab w:val="left" w:pos="6210"/>
        </w:tabs>
        <w:spacing w:after="0" w:line="240" w:lineRule="auto"/>
        <w:ind w:firstLine="720"/>
        <w:rPr>
          <w:rFonts w:ascii="Courier New" w:hAnsi="Courier New" w:cs="Courier New"/>
          <w:sz w:val="24"/>
          <w:szCs w:val="24"/>
        </w:rPr>
      </w:pPr>
    </w:p>
    <w:p w14:paraId="772D558A" w14:textId="77777777" w:rsidR="00BF10A3" w:rsidRPr="00AA6DFD" w:rsidRDefault="00BF10A3" w:rsidP="00BF10A3">
      <w:pPr>
        <w:tabs>
          <w:tab w:val="left" w:pos="6210"/>
        </w:tabs>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described above, we modeled the proposed pCDR measure on the iCDR measure that is currently used to determine institutional eligibility to participate in title IV, HEA programs.  In addition to adopting the iCDR threshold under which an institution loses eligibility if it has three consecutive fiscal years of an iCDR of 30 percent or greater, we considered adopting the second iCDR threshold, pursuant to which an institution loses eligibility if it has one year of an iCDR of 40 percent or greater.  Of the 6,815 programs in the 2012 GE informational rates sample with pCDR data, 233 have a default rate of 40 percent or more.    </w:t>
      </w:r>
    </w:p>
    <w:p w14:paraId="213782D3" w14:textId="77777777" w:rsidR="00BF10A3" w:rsidRPr="00B53B21" w:rsidRDefault="00BF10A3" w:rsidP="00BF10A3">
      <w:pPr>
        <w:pStyle w:val="riaheader2"/>
      </w:pPr>
      <w:r w:rsidRPr="00B53B21">
        <w:t>Negative Amortization</w:t>
      </w:r>
    </w:p>
    <w:p w14:paraId="69A29D82"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Department also considered in its design of the NPRM a variation on a repayment metric that would compare the total amounts that borrowers, both students who completed a program and students who did not, owed on their FFEL and Direct Loans at the beginning and end of their third year of repayment to determine if borrower payments reduced the balance on their loans over the course of that year.  Different variations of this measure were considered, including a comparison of total balances and a comparison of principal balances.  We considered using this metric in addition to the D/E rates measure to measure the performance of students who did not complete the program as well as those that did.  Ultimately, the Department decided not to propose negative amortization as an eligibility metric in the proposed regulations because we were unable to draw clear conclusions at this time from the data available.  </w:t>
      </w:r>
    </w:p>
    <w:p w14:paraId="1E8181A9" w14:textId="77777777" w:rsidR="00BF10A3" w:rsidRPr="00B53B21" w:rsidRDefault="00BF10A3" w:rsidP="00BF10A3">
      <w:pPr>
        <w:pStyle w:val="riaheader2"/>
      </w:pPr>
      <w:r w:rsidRPr="00B53B21">
        <w:t>Programs with Low Rates of Borrowing</w:t>
      </w:r>
    </w:p>
    <w:p w14:paraId="6957E66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Several negotiators and, as discussed in the preamble, many commenters argued that programs for which a majority of students do not borrow should not be subject to the D/E rates measure or should be considered to be passing the measure because results would not accurately reflect the level of borrowing by individuals enrolled in the program and the low cost of the program.  They contended that low rates of borrowing indicate that a program is low cost and, therefore, of low financial risk to students, prospective students, and taxpayers.  </w:t>
      </w:r>
    </w:p>
    <w:p w14:paraId="6C2F6F49"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In the NPRM, institutions would have been permitted to demonstrate that a program with D/E rates that are failing or in the zone should instead be deemed to be passing the D/E rates measure because less than 50 percent of all individuals who completed the program, both those who received title IV, HEA program funds, and those who did not, had to assume any debt to enroll in the program.  </w:t>
      </w:r>
    </w:p>
    <w:p w14:paraId="72CD2A3E"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As discussed in detail in “668.401  Scope and Purpose,” we have not retained these provisions for the final regulations.  We do not believe the commenters presented an adequate justification for us to depart from the purpose of the regulations--to evaluate the outcomes of students receiving title IV, HEA program funds and a program’s continuing eligibility to receive title IV, HEA program funds based solely on those outcomes--even for the limited purpose of demonstrating that a program is “low risk.”  Further, we agree with the commenters who suggested that a program for which fewer than 50 percent of individuals borrow is not necessarily low risk to students and taxpayers.  Because the proposed showing of mitigating circumstances would be available to large programs with many students, and therefore there may be significant title IV, HEA program funds borrowed for a program, it is not clear that the program poses less risk simply because those students, when considered together with individuals who do not receive title IV, HEA program funds, comprise no more than 49 percent of all students.  We also note that, if a program is indeed “low cost” or does not have a significant number of borrowers, it is very likely that the program will pass the D/E rates measure.  </w:t>
      </w:r>
    </w:p>
    <w:p w14:paraId="43DA8DED" w14:textId="77777777" w:rsidR="00BF10A3" w:rsidRPr="00B53B21" w:rsidRDefault="00BF10A3" w:rsidP="00BF10A3">
      <w:pPr>
        <w:pStyle w:val="riaheader2"/>
      </w:pPr>
      <w:r w:rsidRPr="00B53B21">
        <w:t>Borrower Protections</w:t>
      </w:r>
    </w:p>
    <w:p w14:paraId="32838B40"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During the negotiated rulemaking sessions, members of the negotiated rulemaking committee offered various proposals to provide relief to students in programs that become ineligible, for example, requiring institutions to make arrangements to reduce student debt.  Although we developed a debt reduction proposal for consideration by the rulemaking committee, we did not include any borrower relief provisions in the NPRM and have not done so in the final regulations.</w:t>
      </w:r>
    </w:p>
    <w:p w14:paraId="7B81DB08"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We developed our debt reduction proposal in response to suggestions from negotiators representing consumer advocates and students.  We presented regulatory provisions that would have required an institution with a program that could lose eligibility the following year to make sufficient funds available to enable the Department, if the program became ineligible, to reduce the debt burden of students who attended the program during that year.  The amount of funds would have been approximately the amount needed to reduce the debt burden of students to the level necessary for the program to pass the D/E rates measure and pCDR measure.  If the program were to lose eligibility, the Department would use the funds provided by the institution to pay down the loans of students who were enrolled at that time or who attended the program during the following year.  We also included provisions that, during the transition period, would have alternatively allowed an institution to offer to every enrolled student for the duration of their program, and every student who subsequently enrolled while the program’s eligibility remained in jeopardy, institutional grants in the amounts necessary to reduce loan debt to a level that would result in the program passing the D/E rates and pCDR measures.  If an institution took advantage of this option, a program that would otherwise lose eligibility would avoid that consequence during the transition period. </w:t>
      </w:r>
    </w:p>
    <w:p w14:paraId="3FBCB85E" w14:textId="77777777" w:rsidR="00BF10A3" w:rsidRPr="00AA6DFD" w:rsidRDefault="00BF10A3" w:rsidP="00BF10A3">
      <w:pPr>
        <w:spacing w:after="0" w:line="480" w:lineRule="auto"/>
        <w:contextualSpacing/>
        <w:rPr>
          <w:rFonts w:ascii="Courier New" w:hAnsi="Courier New" w:cs="Courier New"/>
          <w:sz w:val="24"/>
          <w:szCs w:val="24"/>
        </w:rPr>
      </w:pPr>
      <w:r w:rsidRPr="00AA6DFD">
        <w:rPr>
          <w:rFonts w:ascii="Courier New" w:hAnsi="Courier New" w:cs="Courier New"/>
          <w:sz w:val="24"/>
          <w:szCs w:val="24"/>
        </w:rPr>
        <w:tab/>
        <w:t xml:space="preserve">We acknowledge the desire to ease the debt burden of students attending programs that become ineligible and to shift the risk to the institutions that are enrolling students in these programs.  We also recognize that the loan reduction plan proposal would give institutions with the means to institute such a program more control over their performance under the D/E rates measure.  However, the discussions among the negotiators made it clear that the issues remain extremely complex, as negotiators raised concerns about the extent to which relief would be provided, what cohort of students would receive relief, and whether the proposals made by negotiators would be sufficient.  The Department is not prepared to address these concerns in these regulations at this time, but we will continue to explore options to address these concerns.  However, we note that under these regulations, the student warnings and disclosure template will provide students with resources to compare programs where they may continue their training and potentially apply academic credits they have earned toward completion of another program.  </w:t>
      </w:r>
    </w:p>
    <w:p w14:paraId="45F9CEBB" w14:textId="77777777" w:rsidR="00BF10A3" w:rsidRPr="00B53B21" w:rsidRDefault="00BF10A3" w:rsidP="00BF10A3">
      <w:pPr>
        <w:pStyle w:val="riaheader1"/>
      </w:pPr>
      <w:r w:rsidRPr="00B53B21">
        <w:t xml:space="preserve">5.  Final Regulatory Flexibility Analysis </w:t>
      </w:r>
    </w:p>
    <w:p w14:paraId="1B7CBAF2"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This Final Regulatory Flexibility Analysis presents an estimate of the effect on small entities of the regulations.  The U.S. Small Business Administration Size Standards define “for-profit institutions” as “small businesses” if they are independently owned and operated and not dominant in their field of operation with total annual revenue below $7,000,000, and defines “non-profit institutions” as small organizations if they are independently owned and operated and not dominant in their field of operation, or as small entities if they are institutions controlled by governmental entities with populations below 50,000.  In the NPRM, the Secretary invited comments from small entities as to whether they believe the proposed changes would have a significant economic impact on them and requested evidence to support that belief.  This final analysis responds to and addresses comments that were received.</w:t>
      </w:r>
    </w:p>
    <w:p w14:paraId="1B1C95AE" w14:textId="77777777" w:rsidR="00BF10A3" w:rsidRPr="00B53B21" w:rsidRDefault="00BF10A3" w:rsidP="00BF10A3">
      <w:pPr>
        <w:pStyle w:val="riaheader2"/>
      </w:pPr>
      <w:r w:rsidRPr="00B53B21">
        <w:t>Description of the Reasons that Action by the Agency Is Being Considered</w:t>
      </w:r>
    </w:p>
    <w:p w14:paraId="32A6FDCB" w14:textId="77777777" w:rsidR="00BF10A3" w:rsidRPr="00AA6DFD" w:rsidRDefault="00BF10A3" w:rsidP="00BF10A3">
      <w:pPr>
        <w:spacing w:after="0" w:line="480" w:lineRule="auto"/>
        <w:rPr>
          <w:rFonts w:ascii="Courier New" w:hAnsi="Courier New" w:cs="Courier New"/>
          <w:sz w:val="24"/>
          <w:szCs w:val="24"/>
        </w:rPr>
      </w:pPr>
      <w:r w:rsidRPr="00AA6DFD">
        <w:rPr>
          <w:rFonts w:ascii="Courier New" w:hAnsi="Courier New" w:cs="Courier New"/>
          <w:sz w:val="24"/>
          <w:szCs w:val="24"/>
        </w:rPr>
        <w:tab/>
        <w:t xml:space="preserve">The Secretary is creating through these final regulations a definition of “gainful employment in a recognized occupation” by establishing what we consider, for purposes of meeting the requirements of section 102 of the HEA, to be a reasonable relationship between the loan debt incurred by students in a training program and income earned from employment after the student completes the training.  </w:t>
      </w:r>
    </w:p>
    <w:p w14:paraId="4B631675"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 xml:space="preserve">As described in this RIA, the trends in graduates’ earnings, student loan debt, defaults, and repayment underscore the need for the Department to act.  The gainful employment accountability framework takes into consideration the relationship between total student loan debt and earnings after completion of a postsecondary program.  </w:t>
      </w:r>
    </w:p>
    <w:p w14:paraId="33616BCF" w14:textId="77777777" w:rsidR="00BF10A3" w:rsidRPr="00B53B21" w:rsidRDefault="00BF10A3" w:rsidP="00BF10A3">
      <w:pPr>
        <w:pStyle w:val="riaheader2"/>
      </w:pPr>
      <w:r w:rsidRPr="00B53B21">
        <w:t>Succinct Statement of the Objectives of, and Legal Basis for, the Regulations</w:t>
      </w:r>
    </w:p>
    <w:p w14:paraId="3B71ADDB" w14:textId="77777777" w:rsidR="00BF10A3" w:rsidRPr="00AA6DFD" w:rsidRDefault="00BF10A3" w:rsidP="00BF10A3">
      <w:pPr>
        <w:spacing w:after="0" w:line="240" w:lineRule="auto"/>
        <w:ind w:firstLine="720"/>
        <w:rPr>
          <w:rFonts w:ascii="Courier New" w:hAnsi="Courier New" w:cs="Courier New"/>
          <w:sz w:val="24"/>
          <w:szCs w:val="24"/>
        </w:rPr>
      </w:pPr>
    </w:p>
    <w:p w14:paraId="1327733E" w14:textId="77777777" w:rsidR="00BF10A3" w:rsidRPr="00AA6DFD" w:rsidRDefault="00BF10A3" w:rsidP="00BF10A3">
      <w:pPr>
        <w:spacing w:after="0" w:line="480" w:lineRule="auto"/>
        <w:ind w:firstLine="720"/>
        <w:rPr>
          <w:rFonts w:ascii="Courier New" w:hAnsi="Courier New" w:cs="Courier New"/>
          <w:sz w:val="24"/>
          <w:szCs w:val="24"/>
          <w:u w:val="single"/>
        </w:rPr>
      </w:pPr>
      <w:r w:rsidRPr="00AA6DFD">
        <w:rPr>
          <w:rFonts w:ascii="Courier New" w:hAnsi="Courier New" w:cs="Courier New"/>
          <w:sz w:val="24"/>
          <w:szCs w:val="24"/>
        </w:rPr>
        <w:t xml:space="preserve">As discussed in the NPRM, these final regulations are intended to address growing concerns about high levels of loan debt for students enrolled in postsecondary education programs that presumptively provide training that leads to gainful employment in a recognized occupation.  The HEA applies different criteria for determining the eligibility of these programs to participate in the title IV, HEA programs.  In the case of shorter programs and programs of any length at for-profit institutions, eligibility is restricted to programs that “prepare students for gainful employment in a recognized occupation.”  Generally, the HEA does not require degree programs greater than one year in length at public and non-profit institutions to meet this gainful employment requirement in order to be eligible for title IV, HEA program funds.  This difference in eligibility is longstanding and has been retained through many amendments to the HEA.  As recently as August 14, 2008, when the HEOA was enacted, Congress again adopted the distinct treatment of for-profit institutions while adding an exception for certain liberal arts baccalaureate programs at some for-profit institutions.  </w:t>
      </w:r>
    </w:p>
    <w:p w14:paraId="6B7CCC57" w14:textId="77777777" w:rsidR="00BF10A3" w:rsidRPr="00B53B21" w:rsidRDefault="00BF10A3" w:rsidP="00BF10A3">
      <w:pPr>
        <w:pStyle w:val="riaheader2"/>
      </w:pPr>
      <w:r w:rsidRPr="00B53B21">
        <w:t>Description of and, Where Feasible, an Estimate of the Number of Small Entities to which the Regulations Will Apply</w:t>
      </w:r>
    </w:p>
    <w:p w14:paraId="2DB81600" w14:textId="77777777" w:rsidR="00BF10A3" w:rsidRPr="00AA6DFD" w:rsidRDefault="00BF10A3" w:rsidP="00BF10A3">
      <w:pPr>
        <w:spacing w:after="0" w:line="240" w:lineRule="auto"/>
        <w:ind w:firstLine="720"/>
        <w:rPr>
          <w:rFonts w:ascii="Courier New" w:hAnsi="Courier New" w:cs="Courier New"/>
          <w:sz w:val="24"/>
          <w:szCs w:val="24"/>
        </w:rPr>
      </w:pPr>
    </w:p>
    <w:p w14:paraId="0A30C32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The regulations will apply to programs that, as discussed above, must prepare students for gainful employment in a recognized occupation to be eligible for title IV, HEA program funds.  The Department</w:t>
      </w:r>
      <w:r w:rsidRPr="00AA6DFD">
        <w:rPr>
          <w:rFonts w:ascii="Courier New" w:hAnsi="Courier New" w:cs="Courier New"/>
          <w:bCs/>
          <w:sz w:val="24"/>
          <w:szCs w:val="24"/>
        </w:rPr>
        <w:t xml:space="preserve"> estimates that significant number of programs offered by small entities will be subject to the regulations.  As stated in connection with the 2011 Prior Rule, given private non-profit institutions are considered small entities regardless of revenues, a wide range of institutions will be covered by the regulations.</w:t>
      </w:r>
      <w:r w:rsidRPr="00AA6DFD">
        <w:rPr>
          <w:rFonts w:ascii="Courier New" w:hAnsi="Courier New" w:cs="Courier New"/>
          <w:sz w:val="24"/>
          <w:szCs w:val="24"/>
        </w:rPr>
        <w:t xml:space="preserve">  These entities </w:t>
      </w:r>
      <w:r w:rsidRPr="00AA6DFD">
        <w:rPr>
          <w:rFonts w:ascii="Courier New" w:hAnsi="Courier New" w:cs="Courier New"/>
          <w:bCs/>
          <w:sz w:val="24"/>
          <w:szCs w:val="24"/>
        </w:rPr>
        <w:t xml:space="preserve">may include institutions with multiple programs, a few of which are covered by the regulations, as well as single-program institutions with well-established ties to a local employer base.  </w:t>
      </w:r>
      <w:r w:rsidRPr="00AA6DFD">
        <w:rPr>
          <w:rFonts w:ascii="Courier New" w:hAnsi="Courier New" w:cs="Courier New"/>
          <w:sz w:val="24"/>
          <w:szCs w:val="24"/>
        </w:rPr>
        <w:t xml:space="preserve">Many of the programs that will be subject to the regulations are offered by for-profit institutions and public and private non-profit institutions with programs less than two years in length.  We expect that small entities with a high percentage of programs that are failing or in the zone under the D/E rates measure will be more likely to discontinue operations than will large entities.  </w:t>
      </w:r>
    </w:p>
    <w:p w14:paraId="0BBBC87A"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structure of the regulations and the n-size provisions reduce the effect of the regulations on small entities but complicate the analysis.  The regulations provide for the evaluation of individual GE programs offered by postsecondary institutions, but these programs are administered by the institution, either at the branch level or on a system-wide basis, so the status as a small entity is determined at the institutional level.  Table 5.1 presents the distribution of programs and enrollment at small entities by performance on the 2012 informational rates.  </w:t>
      </w:r>
    </w:p>
    <w:p w14:paraId="3E0695DC" w14:textId="77777777" w:rsidR="00BF10A3" w:rsidRPr="00AA6DFD" w:rsidRDefault="00BF10A3" w:rsidP="00BF10A3">
      <w:pPr>
        <w:spacing w:after="0" w:line="480" w:lineRule="auto"/>
        <w:ind w:firstLine="720"/>
        <w:rPr>
          <w:rFonts w:ascii="Courier New" w:hAnsi="Courier New" w:cs="Courier New"/>
          <w:sz w:val="24"/>
          <w:szCs w:val="24"/>
        </w:rPr>
      </w:pPr>
    </w:p>
    <w:p w14:paraId="1DAFF2D7"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5.1: Performance on D/E Rates Measure by Programs at Small Entities</w:t>
      </w:r>
    </w:p>
    <w:p w14:paraId="0203D463" w14:textId="77777777" w:rsidR="00BF10A3" w:rsidRPr="00AA6DFD" w:rsidRDefault="00BF10A3" w:rsidP="00BF10A3">
      <w:pPr>
        <w:spacing w:after="0" w:line="240" w:lineRule="auto"/>
        <w:rPr>
          <w:rFonts w:ascii="Courier New" w:hAnsi="Courier New" w:cs="Courier New"/>
          <w:b/>
          <w:sz w:val="24"/>
          <w:szCs w:val="24"/>
        </w:rPr>
      </w:pPr>
    </w:p>
    <w:p w14:paraId="67F788DE" w14:textId="77777777" w:rsidR="00BF10A3" w:rsidRPr="0024308E" w:rsidRDefault="00BF10A3" w:rsidP="00BF10A3">
      <w:pPr>
        <w:rPr>
          <w:rFonts w:ascii="Courier New" w:eastAsiaTheme="minorHAnsi" w:hAnsi="Courier New" w:cstheme="minorBidi"/>
          <w:sz w:val="16"/>
        </w:rPr>
      </w:pPr>
    </w:p>
    <w:tbl>
      <w:tblPr>
        <w:tblStyle w:val="TableGrid30"/>
        <w:tblW w:w="0" w:type="auto"/>
        <w:tblLook w:val="04A0" w:firstRow="1" w:lastRow="0" w:firstColumn="1" w:lastColumn="0" w:noHBand="0" w:noVBand="1"/>
      </w:tblPr>
      <w:tblGrid>
        <w:gridCol w:w="1146"/>
        <w:gridCol w:w="876"/>
        <w:gridCol w:w="957"/>
        <w:gridCol w:w="840"/>
        <w:gridCol w:w="942"/>
        <w:gridCol w:w="678"/>
        <w:gridCol w:w="957"/>
        <w:gridCol w:w="820"/>
        <w:gridCol w:w="820"/>
        <w:gridCol w:w="820"/>
      </w:tblGrid>
      <w:tr w:rsidR="00BF10A3" w:rsidRPr="0024308E" w14:paraId="715D1F92" w14:textId="77777777" w:rsidTr="001F7400">
        <w:trPr>
          <w:trHeight w:val="300"/>
        </w:trPr>
        <w:tc>
          <w:tcPr>
            <w:tcW w:w="1300" w:type="dxa"/>
            <w:vMerge w:val="restart"/>
            <w:noWrap/>
            <w:hideMark/>
          </w:tcPr>
          <w:p w14:paraId="1E4AA19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Sector</w:t>
            </w:r>
          </w:p>
        </w:tc>
        <w:tc>
          <w:tcPr>
            <w:tcW w:w="960" w:type="dxa"/>
            <w:vMerge w:val="restart"/>
            <w:noWrap/>
            <w:hideMark/>
          </w:tcPr>
          <w:p w14:paraId="3026E34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IHE_type</w:t>
            </w:r>
          </w:p>
        </w:tc>
        <w:tc>
          <w:tcPr>
            <w:tcW w:w="3840" w:type="dxa"/>
            <w:gridSpan w:val="4"/>
            <w:noWrap/>
            <w:hideMark/>
          </w:tcPr>
          <w:p w14:paraId="5EE9A2B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Program count</w:t>
            </w:r>
          </w:p>
        </w:tc>
        <w:tc>
          <w:tcPr>
            <w:tcW w:w="3840" w:type="dxa"/>
            <w:gridSpan w:val="4"/>
            <w:noWrap/>
            <w:hideMark/>
          </w:tcPr>
          <w:p w14:paraId="4414E9E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Enrollment count</w:t>
            </w:r>
          </w:p>
        </w:tc>
      </w:tr>
      <w:tr w:rsidR="00BF10A3" w:rsidRPr="0024308E" w14:paraId="2AA5FAD1" w14:textId="77777777" w:rsidTr="001F7400">
        <w:trPr>
          <w:trHeight w:val="300"/>
        </w:trPr>
        <w:tc>
          <w:tcPr>
            <w:tcW w:w="1300" w:type="dxa"/>
            <w:vMerge/>
            <w:hideMark/>
          </w:tcPr>
          <w:p w14:paraId="1C912525" w14:textId="77777777" w:rsidR="00BF10A3" w:rsidRPr="0024308E" w:rsidRDefault="00BF10A3" w:rsidP="001F7400">
            <w:pPr>
              <w:rPr>
                <w:rFonts w:ascii="Courier New" w:eastAsiaTheme="minorHAnsi" w:hAnsi="Courier New" w:cstheme="minorBidi"/>
                <w:sz w:val="16"/>
              </w:rPr>
            </w:pPr>
          </w:p>
        </w:tc>
        <w:tc>
          <w:tcPr>
            <w:tcW w:w="960" w:type="dxa"/>
            <w:vMerge/>
            <w:hideMark/>
          </w:tcPr>
          <w:p w14:paraId="074AAEB9" w14:textId="77777777" w:rsidR="00BF10A3" w:rsidRPr="0024308E" w:rsidRDefault="00BF10A3" w:rsidP="001F7400">
            <w:pPr>
              <w:rPr>
                <w:rFonts w:ascii="Courier New" w:eastAsiaTheme="minorHAnsi" w:hAnsi="Courier New" w:cstheme="minorBidi"/>
                <w:sz w:val="16"/>
              </w:rPr>
            </w:pPr>
          </w:p>
        </w:tc>
        <w:tc>
          <w:tcPr>
            <w:tcW w:w="1080" w:type="dxa"/>
            <w:noWrap/>
            <w:hideMark/>
          </w:tcPr>
          <w:p w14:paraId="571D9E1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Total</w:t>
            </w:r>
          </w:p>
        </w:tc>
        <w:tc>
          <w:tcPr>
            <w:tcW w:w="943" w:type="dxa"/>
            <w:noWrap/>
            <w:hideMark/>
          </w:tcPr>
          <w:p w14:paraId="26478D2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Pass</w:t>
            </w:r>
          </w:p>
        </w:tc>
        <w:tc>
          <w:tcPr>
            <w:tcW w:w="1062" w:type="dxa"/>
            <w:noWrap/>
            <w:hideMark/>
          </w:tcPr>
          <w:p w14:paraId="21FE3FF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Zone</w:t>
            </w:r>
          </w:p>
        </w:tc>
        <w:tc>
          <w:tcPr>
            <w:tcW w:w="755" w:type="dxa"/>
            <w:noWrap/>
            <w:hideMark/>
          </w:tcPr>
          <w:p w14:paraId="31E804A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Fail</w:t>
            </w:r>
          </w:p>
        </w:tc>
        <w:tc>
          <w:tcPr>
            <w:tcW w:w="1080" w:type="dxa"/>
            <w:noWrap/>
            <w:hideMark/>
          </w:tcPr>
          <w:p w14:paraId="2D07371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Total</w:t>
            </w:r>
          </w:p>
        </w:tc>
        <w:tc>
          <w:tcPr>
            <w:tcW w:w="920" w:type="dxa"/>
            <w:noWrap/>
            <w:hideMark/>
          </w:tcPr>
          <w:p w14:paraId="08D823B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Pass</w:t>
            </w:r>
          </w:p>
        </w:tc>
        <w:tc>
          <w:tcPr>
            <w:tcW w:w="920" w:type="dxa"/>
            <w:noWrap/>
            <w:hideMark/>
          </w:tcPr>
          <w:p w14:paraId="66DF51E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Zone</w:t>
            </w:r>
          </w:p>
        </w:tc>
        <w:tc>
          <w:tcPr>
            <w:tcW w:w="920" w:type="dxa"/>
            <w:noWrap/>
            <w:hideMark/>
          </w:tcPr>
          <w:p w14:paraId="2056527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Fail</w:t>
            </w:r>
          </w:p>
        </w:tc>
      </w:tr>
      <w:tr w:rsidR="00BF10A3" w:rsidRPr="0024308E" w14:paraId="391C0D5B" w14:textId="77777777" w:rsidTr="001F7400">
        <w:trPr>
          <w:trHeight w:val="300"/>
        </w:trPr>
        <w:tc>
          <w:tcPr>
            <w:tcW w:w="1300" w:type="dxa"/>
            <w:vMerge w:val="restart"/>
            <w:noWrap/>
            <w:hideMark/>
          </w:tcPr>
          <w:p w14:paraId="3C93F32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Private</w:t>
            </w:r>
          </w:p>
        </w:tc>
        <w:tc>
          <w:tcPr>
            <w:tcW w:w="960" w:type="dxa"/>
            <w:noWrap/>
            <w:hideMark/>
          </w:tcPr>
          <w:p w14:paraId="12E2EC3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&lt; 2 year</w:t>
            </w:r>
          </w:p>
        </w:tc>
        <w:tc>
          <w:tcPr>
            <w:tcW w:w="1080" w:type="dxa"/>
            <w:noWrap/>
            <w:hideMark/>
          </w:tcPr>
          <w:p w14:paraId="268DC34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49</w:t>
            </w:r>
          </w:p>
        </w:tc>
        <w:tc>
          <w:tcPr>
            <w:tcW w:w="943" w:type="dxa"/>
            <w:noWrap/>
            <w:hideMark/>
          </w:tcPr>
          <w:p w14:paraId="2789D3A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47</w:t>
            </w:r>
          </w:p>
        </w:tc>
        <w:tc>
          <w:tcPr>
            <w:tcW w:w="1062" w:type="dxa"/>
            <w:noWrap/>
            <w:hideMark/>
          </w:tcPr>
          <w:p w14:paraId="6D88E15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755" w:type="dxa"/>
            <w:noWrap/>
            <w:hideMark/>
          </w:tcPr>
          <w:p w14:paraId="3738B6B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080" w:type="dxa"/>
            <w:noWrap/>
            <w:hideMark/>
          </w:tcPr>
          <w:p w14:paraId="15C77A7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9,609</w:t>
            </w:r>
          </w:p>
        </w:tc>
        <w:tc>
          <w:tcPr>
            <w:tcW w:w="920" w:type="dxa"/>
            <w:noWrap/>
            <w:hideMark/>
          </w:tcPr>
          <w:p w14:paraId="20B18F6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9,147</w:t>
            </w:r>
          </w:p>
        </w:tc>
        <w:tc>
          <w:tcPr>
            <w:tcW w:w="920" w:type="dxa"/>
            <w:noWrap/>
            <w:hideMark/>
          </w:tcPr>
          <w:p w14:paraId="56D7456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462</w:t>
            </w:r>
          </w:p>
        </w:tc>
        <w:tc>
          <w:tcPr>
            <w:tcW w:w="920" w:type="dxa"/>
            <w:noWrap/>
            <w:hideMark/>
          </w:tcPr>
          <w:p w14:paraId="1B8E31E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462</w:t>
            </w:r>
          </w:p>
        </w:tc>
      </w:tr>
      <w:tr w:rsidR="00BF10A3" w:rsidRPr="0024308E" w14:paraId="04AE3096" w14:textId="77777777" w:rsidTr="001F7400">
        <w:trPr>
          <w:trHeight w:val="300"/>
        </w:trPr>
        <w:tc>
          <w:tcPr>
            <w:tcW w:w="1300" w:type="dxa"/>
            <w:vMerge/>
            <w:hideMark/>
          </w:tcPr>
          <w:p w14:paraId="043931A1" w14:textId="77777777" w:rsidR="00BF10A3" w:rsidRPr="0024308E" w:rsidRDefault="00BF10A3" w:rsidP="001F7400">
            <w:pPr>
              <w:rPr>
                <w:rFonts w:ascii="Courier New" w:eastAsiaTheme="minorHAnsi" w:hAnsi="Courier New" w:cstheme="minorBidi"/>
                <w:sz w:val="16"/>
              </w:rPr>
            </w:pPr>
          </w:p>
        </w:tc>
        <w:tc>
          <w:tcPr>
            <w:tcW w:w="960" w:type="dxa"/>
            <w:noWrap/>
            <w:hideMark/>
          </w:tcPr>
          <w:p w14:paraId="2131B19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 year</w:t>
            </w:r>
          </w:p>
        </w:tc>
        <w:tc>
          <w:tcPr>
            <w:tcW w:w="1080" w:type="dxa"/>
            <w:noWrap/>
            <w:hideMark/>
          </w:tcPr>
          <w:p w14:paraId="0A7718B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74</w:t>
            </w:r>
          </w:p>
        </w:tc>
        <w:tc>
          <w:tcPr>
            <w:tcW w:w="943" w:type="dxa"/>
            <w:noWrap/>
            <w:hideMark/>
          </w:tcPr>
          <w:p w14:paraId="15FB1D8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71</w:t>
            </w:r>
          </w:p>
        </w:tc>
        <w:tc>
          <w:tcPr>
            <w:tcW w:w="1062" w:type="dxa"/>
            <w:noWrap/>
            <w:hideMark/>
          </w:tcPr>
          <w:p w14:paraId="5DA8E57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755" w:type="dxa"/>
            <w:noWrap/>
            <w:hideMark/>
          </w:tcPr>
          <w:p w14:paraId="3376DD4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080" w:type="dxa"/>
            <w:noWrap/>
            <w:hideMark/>
          </w:tcPr>
          <w:p w14:paraId="721362E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10,324</w:t>
            </w:r>
          </w:p>
        </w:tc>
        <w:tc>
          <w:tcPr>
            <w:tcW w:w="920" w:type="dxa"/>
            <w:noWrap/>
            <w:hideMark/>
          </w:tcPr>
          <w:p w14:paraId="6CC612A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8,892</w:t>
            </w:r>
          </w:p>
        </w:tc>
        <w:tc>
          <w:tcPr>
            <w:tcW w:w="920" w:type="dxa"/>
            <w:noWrap/>
            <w:hideMark/>
          </w:tcPr>
          <w:p w14:paraId="05C68FA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1,432</w:t>
            </w:r>
          </w:p>
        </w:tc>
        <w:tc>
          <w:tcPr>
            <w:tcW w:w="920" w:type="dxa"/>
            <w:noWrap/>
            <w:hideMark/>
          </w:tcPr>
          <w:p w14:paraId="2D828ED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1,432</w:t>
            </w:r>
          </w:p>
        </w:tc>
      </w:tr>
      <w:tr w:rsidR="00BF10A3" w:rsidRPr="0024308E" w14:paraId="0C37ACEC" w14:textId="77777777" w:rsidTr="001F7400">
        <w:trPr>
          <w:trHeight w:val="300"/>
        </w:trPr>
        <w:tc>
          <w:tcPr>
            <w:tcW w:w="1300" w:type="dxa"/>
            <w:vMerge/>
            <w:hideMark/>
          </w:tcPr>
          <w:p w14:paraId="298AAE9B" w14:textId="77777777" w:rsidR="00BF10A3" w:rsidRPr="0024308E" w:rsidRDefault="00BF10A3" w:rsidP="001F7400">
            <w:pPr>
              <w:rPr>
                <w:rFonts w:ascii="Courier New" w:eastAsiaTheme="minorHAnsi" w:hAnsi="Courier New" w:cstheme="minorBidi"/>
                <w:sz w:val="16"/>
              </w:rPr>
            </w:pPr>
          </w:p>
        </w:tc>
        <w:tc>
          <w:tcPr>
            <w:tcW w:w="960" w:type="dxa"/>
            <w:noWrap/>
            <w:hideMark/>
          </w:tcPr>
          <w:p w14:paraId="4859280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 year</w:t>
            </w:r>
          </w:p>
        </w:tc>
        <w:tc>
          <w:tcPr>
            <w:tcW w:w="1080" w:type="dxa"/>
            <w:noWrap/>
            <w:hideMark/>
          </w:tcPr>
          <w:p w14:paraId="1F628052"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130</w:t>
            </w:r>
          </w:p>
        </w:tc>
        <w:tc>
          <w:tcPr>
            <w:tcW w:w="943" w:type="dxa"/>
            <w:noWrap/>
            <w:hideMark/>
          </w:tcPr>
          <w:p w14:paraId="20E19E7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124</w:t>
            </w:r>
          </w:p>
        </w:tc>
        <w:tc>
          <w:tcPr>
            <w:tcW w:w="1062" w:type="dxa"/>
            <w:noWrap/>
            <w:hideMark/>
          </w:tcPr>
          <w:p w14:paraId="0A88D21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755" w:type="dxa"/>
            <w:noWrap/>
            <w:hideMark/>
          </w:tcPr>
          <w:p w14:paraId="3DF058D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1080" w:type="dxa"/>
            <w:noWrap/>
            <w:hideMark/>
          </w:tcPr>
          <w:p w14:paraId="488C97C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25,763</w:t>
            </w:r>
          </w:p>
        </w:tc>
        <w:tc>
          <w:tcPr>
            <w:tcW w:w="920" w:type="dxa"/>
            <w:noWrap/>
            <w:hideMark/>
          </w:tcPr>
          <w:p w14:paraId="54A69FA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22,656</w:t>
            </w:r>
          </w:p>
        </w:tc>
        <w:tc>
          <w:tcPr>
            <w:tcW w:w="920" w:type="dxa"/>
            <w:noWrap/>
            <w:hideMark/>
          </w:tcPr>
          <w:p w14:paraId="1748A48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1,992</w:t>
            </w:r>
          </w:p>
        </w:tc>
        <w:tc>
          <w:tcPr>
            <w:tcW w:w="920" w:type="dxa"/>
            <w:noWrap/>
            <w:hideMark/>
          </w:tcPr>
          <w:p w14:paraId="58DC084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1,992</w:t>
            </w:r>
          </w:p>
        </w:tc>
      </w:tr>
      <w:tr w:rsidR="00BF10A3" w:rsidRPr="0024308E" w14:paraId="21ABE3AC" w14:textId="77777777" w:rsidTr="001F7400">
        <w:trPr>
          <w:trHeight w:val="300"/>
        </w:trPr>
        <w:tc>
          <w:tcPr>
            <w:tcW w:w="1300" w:type="dxa"/>
            <w:vMerge w:val="restart"/>
            <w:noWrap/>
            <w:hideMark/>
          </w:tcPr>
          <w:p w14:paraId="4EF194A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For-Profit</w:t>
            </w:r>
          </w:p>
        </w:tc>
        <w:tc>
          <w:tcPr>
            <w:tcW w:w="960" w:type="dxa"/>
            <w:noWrap/>
            <w:hideMark/>
          </w:tcPr>
          <w:p w14:paraId="24DFB57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&lt; 2 year</w:t>
            </w:r>
          </w:p>
        </w:tc>
        <w:tc>
          <w:tcPr>
            <w:tcW w:w="1080" w:type="dxa"/>
            <w:noWrap/>
            <w:hideMark/>
          </w:tcPr>
          <w:p w14:paraId="35423D7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767</w:t>
            </w:r>
          </w:p>
        </w:tc>
        <w:tc>
          <w:tcPr>
            <w:tcW w:w="943" w:type="dxa"/>
            <w:noWrap/>
            <w:hideMark/>
          </w:tcPr>
          <w:p w14:paraId="493C31B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613</w:t>
            </w:r>
          </w:p>
        </w:tc>
        <w:tc>
          <w:tcPr>
            <w:tcW w:w="1062" w:type="dxa"/>
            <w:noWrap/>
            <w:hideMark/>
          </w:tcPr>
          <w:p w14:paraId="254C9B5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125</w:t>
            </w:r>
          </w:p>
        </w:tc>
        <w:tc>
          <w:tcPr>
            <w:tcW w:w="755" w:type="dxa"/>
            <w:noWrap/>
            <w:hideMark/>
          </w:tcPr>
          <w:p w14:paraId="06EF37B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29</w:t>
            </w:r>
          </w:p>
        </w:tc>
        <w:tc>
          <w:tcPr>
            <w:tcW w:w="1080" w:type="dxa"/>
            <w:noWrap/>
            <w:hideMark/>
          </w:tcPr>
          <w:p w14:paraId="223A01D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107,304</w:t>
            </w:r>
          </w:p>
        </w:tc>
        <w:tc>
          <w:tcPr>
            <w:tcW w:w="920" w:type="dxa"/>
            <w:noWrap/>
            <w:hideMark/>
          </w:tcPr>
          <w:p w14:paraId="26644C3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77,498</w:t>
            </w:r>
          </w:p>
        </w:tc>
        <w:tc>
          <w:tcPr>
            <w:tcW w:w="920" w:type="dxa"/>
            <w:noWrap/>
            <w:hideMark/>
          </w:tcPr>
          <w:p w14:paraId="70CD015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24,710</w:t>
            </w:r>
          </w:p>
        </w:tc>
        <w:tc>
          <w:tcPr>
            <w:tcW w:w="920" w:type="dxa"/>
            <w:noWrap/>
            <w:hideMark/>
          </w:tcPr>
          <w:p w14:paraId="03BA6B1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24,710</w:t>
            </w:r>
          </w:p>
        </w:tc>
      </w:tr>
      <w:tr w:rsidR="00BF10A3" w:rsidRPr="0024308E" w14:paraId="2CCA2F21" w14:textId="77777777" w:rsidTr="001F7400">
        <w:trPr>
          <w:trHeight w:val="300"/>
        </w:trPr>
        <w:tc>
          <w:tcPr>
            <w:tcW w:w="1300" w:type="dxa"/>
            <w:vMerge/>
            <w:hideMark/>
          </w:tcPr>
          <w:p w14:paraId="5A49F06F" w14:textId="77777777" w:rsidR="00BF10A3" w:rsidRPr="0024308E" w:rsidRDefault="00BF10A3" w:rsidP="001F7400">
            <w:pPr>
              <w:rPr>
                <w:rFonts w:ascii="Courier New" w:eastAsiaTheme="minorHAnsi" w:hAnsi="Courier New" w:cstheme="minorBidi"/>
                <w:sz w:val="16"/>
              </w:rPr>
            </w:pPr>
          </w:p>
        </w:tc>
        <w:tc>
          <w:tcPr>
            <w:tcW w:w="960" w:type="dxa"/>
            <w:noWrap/>
            <w:hideMark/>
          </w:tcPr>
          <w:p w14:paraId="6199BFF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2-3 year</w:t>
            </w:r>
          </w:p>
        </w:tc>
        <w:tc>
          <w:tcPr>
            <w:tcW w:w="1080" w:type="dxa"/>
            <w:noWrap/>
            <w:hideMark/>
          </w:tcPr>
          <w:p w14:paraId="626576C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435</w:t>
            </w:r>
          </w:p>
        </w:tc>
        <w:tc>
          <w:tcPr>
            <w:tcW w:w="943" w:type="dxa"/>
            <w:noWrap/>
            <w:hideMark/>
          </w:tcPr>
          <w:p w14:paraId="698AEEF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313</w:t>
            </w:r>
          </w:p>
        </w:tc>
        <w:tc>
          <w:tcPr>
            <w:tcW w:w="1062" w:type="dxa"/>
            <w:noWrap/>
            <w:hideMark/>
          </w:tcPr>
          <w:p w14:paraId="11FF1DF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85</w:t>
            </w:r>
          </w:p>
        </w:tc>
        <w:tc>
          <w:tcPr>
            <w:tcW w:w="755" w:type="dxa"/>
            <w:noWrap/>
            <w:hideMark/>
          </w:tcPr>
          <w:p w14:paraId="032CDC6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37</w:t>
            </w:r>
          </w:p>
        </w:tc>
        <w:tc>
          <w:tcPr>
            <w:tcW w:w="1080" w:type="dxa"/>
            <w:noWrap/>
            <w:hideMark/>
          </w:tcPr>
          <w:p w14:paraId="6B102F2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48,142</w:t>
            </w:r>
          </w:p>
        </w:tc>
        <w:tc>
          <w:tcPr>
            <w:tcW w:w="920" w:type="dxa"/>
            <w:noWrap/>
            <w:hideMark/>
          </w:tcPr>
          <w:p w14:paraId="66EF212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32,473</w:t>
            </w:r>
          </w:p>
        </w:tc>
        <w:tc>
          <w:tcPr>
            <w:tcW w:w="920" w:type="dxa"/>
            <w:noWrap/>
            <w:hideMark/>
          </w:tcPr>
          <w:p w14:paraId="7ED6AD8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11,148</w:t>
            </w:r>
          </w:p>
        </w:tc>
        <w:tc>
          <w:tcPr>
            <w:tcW w:w="920" w:type="dxa"/>
            <w:noWrap/>
            <w:hideMark/>
          </w:tcPr>
          <w:p w14:paraId="0CCCEDC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11,148</w:t>
            </w:r>
          </w:p>
        </w:tc>
      </w:tr>
      <w:tr w:rsidR="00BF10A3" w:rsidRPr="0024308E" w14:paraId="3A024A18" w14:textId="77777777" w:rsidTr="001F7400">
        <w:trPr>
          <w:trHeight w:val="300"/>
        </w:trPr>
        <w:tc>
          <w:tcPr>
            <w:tcW w:w="1300" w:type="dxa"/>
            <w:vMerge/>
            <w:hideMark/>
          </w:tcPr>
          <w:p w14:paraId="637EBDEF" w14:textId="77777777" w:rsidR="00BF10A3" w:rsidRPr="0024308E" w:rsidRDefault="00BF10A3" w:rsidP="001F7400">
            <w:pPr>
              <w:rPr>
                <w:rFonts w:ascii="Courier New" w:eastAsiaTheme="minorHAnsi" w:hAnsi="Courier New" w:cstheme="minorBidi"/>
                <w:sz w:val="16"/>
              </w:rPr>
            </w:pPr>
          </w:p>
        </w:tc>
        <w:tc>
          <w:tcPr>
            <w:tcW w:w="960" w:type="dxa"/>
            <w:noWrap/>
            <w:hideMark/>
          </w:tcPr>
          <w:p w14:paraId="1049557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 year</w:t>
            </w:r>
          </w:p>
        </w:tc>
        <w:tc>
          <w:tcPr>
            <w:tcW w:w="1080" w:type="dxa"/>
            <w:noWrap/>
            <w:hideMark/>
          </w:tcPr>
          <w:p w14:paraId="68606F5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51</w:t>
            </w:r>
          </w:p>
        </w:tc>
        <w:tc>
          <w:tcPr>
            <w:tcW w:w="943" w:type="dxa"/>
            <w:noWrap/>
            <w:hideMark/>
          </w:tcPr>
          <w:p w14:paraId="569BACB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30</w:t>
            </w:r>
          </w:p>
        </w:tc>
        <w:tc>
          <w:tcPr>
            <w:tcW w:w="1062" w:type="dxa"/>
            <w:noWrap/>
            <w:hideMark/>
          </w:tcPr>
          <w:p w14:paraId="2D3E32C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10</w:t>
            </w:r>
          </w:p>
        </w:tc>
        <w:tc>
          <w:tcPr>
            <w:tcW w:w="755" w:type="dxa"/>
            <w:noWrap/>
            <w:hideMark/>
          </w:tcPr>
          <w:p w14:paraId="462F335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11</w:t>
            </w:r>
          </w:p>
        </w:tc>
        <w:tc>
          <w:tcPr>
            <w:tcW w:w="1080" w:type="dxa"/>
            <w:noWrap/>
            <w:hideMark/>
          </w:tcPr>
          <w:p w14:paraId="1BD1872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6,532</w:t>
            </w:r>
          </w:p>
        </w:tc>
        <w:tc>
          <w:tcPr>
            <w:tcW w:w="920" w:type="dxa"/>
            <w:noWrap/>
            <w:hideMark/>
          </w:tcPr>
          <w:p w14:paraId="503A578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4,128</w:t>
            </w:r>
          </w:p>
        </w:tc>
        <w:tc>
          <w:tcPr>
            <w:tcW w:w="920" w:type="dxa"/>
            <w:noWrap/>
            <w:hideMark/>
          </w:tcPr>
          <w:p w14:paraId="693DB68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846</w:t>
            </w:r>
          </w:p>
        </w:tc>
        <w:tc>
          <w:tcPr>
            <w:tcW w:w="920" w:type="dxa"/>
            <w:noWrap/>
            <w:hideMark/>
          </w:tcPr>
          <w:p w14:paraId="7F8F5D7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846</w:t>
            </w:r>
          </w:p>
        </w:tc>
      </w:tr>
    </w:tbl>
    <w:p w14:paraId="04E151B7" w14:textId="77777777" w:rsidR="00BF10A3" w:rsidRPr="0024308E" w:rsidRDefault="00BF10A3" w:rsidP="00BF10A3">
      <w:pPr>
        <w:rPr>
          <w:rFonts w:ascii="Courier New" w:eastAsiaTheme="minorHAnsi" w:hAnsi="Courier New" w:cstheme="minorBidi"/>
          <w:sz w:val="16"/>
        </w:rPr>
      </w:pPr>
    </w:p>
    <w:p w14:paraId="53088889" w14:textId="77777777" w:rsidR="00BF10A3" w:rsidRPr="00AA6DFD" w:rsidRDefault="00BF10A3" w:rsidP="00BF10A3">
      <w:pPr>
        <w:spacing w:after="0" w:line="480" w:lineRule="auto"/>
        <w:ind w:firstLine="720"/>
        <w:rPr>
          <w:rFonts w:ascii="Courier New" w:hAnsi="Courier New" w:cs="Courier New"/>
          <w:i/>
          <w:sz w:val="24"/>
          <w:szCs w:val="24"/>
        </w:rPr>
      </w:pPr>
    </w:p>
    <w:p w14:paraId="096ACC4F"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One factor that could contribute to the effect of the regulations on a small entity is the number of programs it offers that are covered by the regulations and how those programs perform.  If an institution only has a limited number of programs, the effect on the institution could be greater.  Table 5.2 provides an estimate of the number of small entities that offer a limited number of GE programs and the number of these small entities where 50 percent or more of their programs could fail or fall in the zone under the D/E rates measure.  </w:t>
      </w:r>
    </w:p>
    <w:p w14:paraId="612CB2B0" w14:textId="77777777" w:rsidR="00BF10A3" w:rsidRPr="00AA6DFD" w:rsidRDefault="00BF10A3" w:rsidP="00BF10A3">
      <w:pPr>
        <w:spacing w:after="0" w:line="240" w:lineRule="auto"/>
        <w:rPr>
          <w:rFonts w:ascii="Courier New" w:hAnsi="Courier New" w:cs="Courier New"/>
          <w:b/>
          <w:sz w:val="24"/>
          <w:szCs w:val="24"/>
        </w:rPr>
      </w:pPr>
    </w:p>
    <w:p w14:paraId="0ACFE86D" w14:textId="77777777" w:rsidR="00BF10A3" w:rsidRPr="00AA6DFD" w:rsidRDefault="00BF10A3" w:rsidP="00BF10A3">
      <w:pPr>
        <w:spacing w:after="0" w:line="240" w:lineRule="auto"/>
        <w:rPr>
          <w:rFonts w:ascii="Courier New" w:hAnsi="Courier New" w:cs="Courier New"/>
          <w:b/>
          <w:sz w:val="24"/>
          <w:szCs w:val="24"/>
        </w:rPr>
      </w:pPr>
    </w:p>
    <w:p w14:paraId="651452F2" w14:textId="77777777" w:rsidR="00BF10A3" w:rsidRPr="00AA6DFD" w:rsidRDefault="00BF10A3" w:rsidP="00BF10A3">
      <w:pPr>
        <w:spacing w:after="0" w:line="240" w:lineRule="auto"/>
        <w:rPr>
          <w:rFonts w:ascii="Courier New" w:hAnsi="Courier New" w:cs="Courier New"/>
          <w:b/>
          <w:sz w:val="24"/>
          <w:szCs w:val="24"/>
        </w:rPr>
      </w:pPr>
      <w:r w:rsidRPr="00AA6DFD">
        <w:rPr>
          <w:rFonts w:ascii="Courier New" w:hAnsi="Courier New" w:cs="Courier New"/>
          <w:b/>
          <w:sz w:val="24"/>
          <w:szCs w:val="24"/>
        </w:rPr>
        <w:t>Table 5.2: Distribution and D/E Rates Measure Performance of Small Entities by Number of Programs</w:t>
      </w:r>
    </w:p>
    <w:p w14:paraId="57BEF457" w14:textId="77777777" w:rsidR="00BF10A3" w:rsidRPr="0024308E" w:rsidRDefault="00BF10A3" w:rsidP="00BF10A3">
      <w:pPr>
        <w:rPr>
          <w:rFonts w:ascii="Courier New" w:eastAsiaTheme="minorHAnsi" w:hAnsi="Courier New"/>
          <w:sz w:val="16"/>
        </w:rPr>
      </w:pPr>
    </w:p>
    <w:tbl>
      <w:tblPr>
        <w:tblStyle w:val="TableGrid31"/>
        <w:tblW w:w="0" w:type="auto"/>
        <w:tblLook w:val="04A0" w:firstRow="1" w:lastRow="0" w:firstColumn="1" w:lastColumn="0" w:noHBand="0" w:noVBand="1"/>
      </w:tblPr>
      <w:tblGrid>
        <w:gridCol w:w="1534"/>
        <w:gridCol w:w="1534"/>
        <w:gridCol w:w="1534"/>
        <w:gridCol w:w="1534"/>
      </w:tblGrid>
      <w:tr w:rsidR="00BF10A3" w:rsidRPr="0024308E" w14:paraId="54942709" w14:textId="77777777" w:rsidTr="001F7400">
        <w:trPr>
          <w:trHeight w:val="991"/>
        </w:trPr>
        <w:tc>
          <w:tcPr>
            <w:tcW w:w="1534" w:type="dxa"/>
            <w:hideMark/>
          </w:tcPr>
          <w:p w14:paraId="53B0930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Number of Programs per Small Entity</w:t>
            </w:r>
          </w:p>
        </w:tc>
        <w:tc>
          <w:tcPr>
            <w:tcW w:w="1534" w:type="dxa"/>
            <w:hideMark/>
          </w:tcPr>
          <w:p w14:paraId="38067E0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Number of Small Entities</w:t>
            </w:r>
          </w:p>
        </w:tc>
        <w:tc>
          <w:tcPr>
            <w:tcW w:w="1534" w:type="dxa"/>
            <w:hideMark/>
          </w:tcPr>
          <w:p w14:paraId="6C1E2C6F"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Number of Small Entities with More Than 50% Failing</w:t>
            </w:r>
          </w:p>
        </w:tc>
        <w:tc>
          <w:tcPr>
            <w:tcW w:w="1534" w:type="dxa"/>
            <w:hideMark/>
          </w:tcPr>
          <w:p w14:paraId="5C9B804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Number of small entities with more than 50% of zone or failing</w:t>
            </w:r>
          </w:p>
        </w:tc>
      </w:tr>
      <w:tr w:rsidR="00BF10A3" w:rsidRPr="0024308E" w14:paraId="239D37F0" w14:textId="77777777" w:rsidTr="001F7400">
        <w:trPr>
          <w:trHeight w:val="190"/>
        </w:trPr>
        <w:tc>
          <w:tcPr>
            <w:tcW w:w="1534" w:type="dxa"/>
            <w:noWrap/>
            <w:hideMark/>
          </w:tcPr>
          <w:p w14:paraId="52AA73E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702DA43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709</w:t>
            </w:r>
          </w:p>
        </w:tc>
        <w:tc>
          <w:tcPr>
            <w:tcW w:w="1534" w:type="dxa"/>
            <w:noWrap/>
            <w:hideMark/>
          </w:tcPr>
          <w:p w14:paraId="22017B0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58</w:t>
            </w:r>
          </w:p>
        </w:tc>
        <w:tc>
          <w:tcPr>
            <w:tcW w:w="1534" w:type="dxa"/>
            <w:noWrap/>
            <w:hideMark/>
          </w:tcPr>
          <w:p w14:paraId="2DDA1D2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186</w:t>
            </w:r>
          </w:p>
        </w:tc>
      </w:tr>
      <w:tr w:rsidR="00BF10A3" w:rsidRPr="0024308E" w14:paraId="523C56B1" w14:textId="77777777" w:rsidTr="001F7400">
        <w:trPr>
          <w:trHeight w:val="190"/>
        </w:trPr>
        <w:tc>
          <w:tcPr>
            <w:tcW w:w="1534" w:type="dxa"/>
            <w:noWrap/>
            <w:hideMark/>
          </w:tcPr>
          <w:p w14:paraId="6177B2B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1534" w:type="dxa"/>
            <w:noWrap/>
            <w:hideMark/>
          </w:tcPr>
          <w:p w14:paraId="480F65E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179</w:t>
            </w:r>
          </w:p>
        </w:tc>
        <w:tc>
          <w:tcPr>
            <w:tcW w:w="1534" w:type="dxa"/>
            <w:noWrap/>
            <w:hideMark/>
          </w:tcPr>
          <w:p w14:paraId="11C61A54"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77ECCB3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w:t>
            </w:r>
          </w:p>
        </w:tc>
      </w:tr>
      <w:tr w:rsidR="00BF10A3" w:rsidRPr="0024308E" w14:paraId="6DBAFAC6" w14:textId="77777777" w:rsidTr="001F7400">
        <w:trPr>
          <w:trHeight w:val="190"/>
        </w:trPr>
        <w:tc>
          <w:tcPr>
            <w:tcW w:w="1534" w:type="dxa"/>
            <w:noWrap/>
            <w:hideMark/>
          </w:tcPr>
          <w:p w14:paraId="6FD6A52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w:t>
            </w:r>
          </w:p>
        </w:tc>
        <w:tc>
          <w:tcPr>
            <w:tcW w:w="1534" w:type="dxa"/>
            <w:noWrap/>
            <w:hideMark/>
          </w:tcPr>
          <w:p w14:paraId="188BD09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47</w:t>
            </w:r>
          </w:p>
        </w:tc>
        <w:tc>
          <w:tcPr>
            <w:tcW w:w="1534" w:type="dxa"/>
            <w:noWrap/>
            <w:hideMark/>
          </w:tcPr>
          <w:p w14:paraId="46CE2CD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6E9BE55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w:t>
            </w:r>
          </w:p>
        </w:tc>
      </w:tr>
      <w:tr w:rsidR="00BF10A3" w:rsidRPr="0024308E" w14:paraId="56FD3F84" w14:textId="77777777" w:rsidTr="001F7400">
        <w:trPr>
          <w:trHeight w:val="190"/>
        </w:trPr>
        <w:tc>
          <w:tcPr>
            <w:tcW w:w="1534" w:type="dxa"/>
            <w:noWrap/>
            <w:hideMark/>
          </w:tcPr>
          <w:p w14:paraId="39335D9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w:t>
            </w:r>
          </w:p>
        </w:tc>
        <w:tc>
          <w:tcPr>
            <w:tcW w:w="1534" w:type="dxa"/>
            <w:noWrap/>
            <w:hideMark/>
          </w:tcPr>
          <w:p w14:paraId="029B283B"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32</w:t>
            </w:r>
          </w:p>
        </w:tc>
        <w:tc>
          <w:tcPr>
            <w:tcW w:w="1534" w:type="dxa"/>
            <w:noWrap/>
            <w:hideMark/>
          </w:tcPr>
          <w:p w14:paraId="15630AE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13A5B42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4</w:t>
            </w:r>
          </w:p>
        </w:tc>
      </w:tr>
      <w:tr w:rsidR="00BF10A3" w:rsidRPr="0024308E" w14:paraId="667B9706" w14:textId="77777777" w:rsidTr="001F7400">
        <w:trPr>
          <w:trHeight w:val="190"/>
        </w:trPr>
        <w:tc>
          <w:tcPr>
            <w:tcW w:w="1534" w:type="dxa"/>
            <w:noWrap/>
            <w:hideMark/>
          </w:tcPr>
          <w:p w14:paraId="4C7A94C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5</w:t>
            </w:r>
          </w:p>
        </w:tc>
        <w:tc>
          <w:tcPr>
            <w:tcW w:w="1534" w:type="dxa"/>
            <w:noWrap/>
            <w:hideMark/>
          </w:tcPr>
          <w:p w14:paraId="15A975E0"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w:t>
            </w:r>
          </w:p>
        </w:tc>
        <w:tc>
          <w:tcPr>
            <w:tcW w:w="1534" w:type="dxa"/>
            <w:noWrap/>
            <w:hideMark/>
          </w:tcPr>
          <w:p w14:paraId="211BC9F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422026C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r>
      <w:tr w:rsidR="00BF10A3" w:rsidRPr="0024308E" w14:paraId="1AA3D510" w14:textId="77777777" w:rsidTr="001F7400">
        <w:trPr>
          <w:trHeight w:val="190"/>
        </w:trPr>
        <w:tc>
          <w:tcPr>
            <w:tcW w:w="1534" w:type="dxa"/>
            <w:noWrap/>
            <w:hideMark/>
          </w:tcPr>
          <w:p w14:paraId="2E5DA40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w:t>
            </w:r>
          </w:p>
        </w:tc>
        <w:tc>
          <w:tcPr>
            <w:tcW w:w="1534" w:type="dxa"/>
            <w:noWrap/>
            <w:hideMark/>
          </w:tcPr>
          <w:p w14:paraId="5969D0F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6</w:t>
            </w:r>
          </w:p>
        </w:tc>
        <w:tc>
          <w:tcPr>
            <w:tcW w:w="1534" w:type="dxa"/>
            <w:noWrap/>
            <w:hideMark/>
          </w:tcPr>
          <w:p w14:paraId="4B8297AE"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6C01C30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r>
      <w:tr w:rsidR="00BF10A3" w:rsidRPr="0024308E" w14:paraId="45808E7B" w14:textId="77777777" w:rsidTr="001F7400">
        <w:trPr>
          <w:trHeight w:val="190"/>
        </w:trPr>
        <w:tc>
          <w:tcPr>
            <w:tcW w:w="1534" w:type="dxa"/>
            <w:noWrap/>
            <w:hideMark/>
          </w:tcPr>
          <w:p w14:paraId="1A31817C"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7</w:t>
            </w:r>
          </w:p>
        </w:tc>
        <w:tc>
          <w:tcPr>
            <w:tcW w:w="1534" w:type="dxa"/>
            <w:noWrap/>
            <w:hideMark/>
          </w:tcPr>
          <w:p w14:paraId="78412E23"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7793E87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004A829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68FB3C54" w14:textId="77777777" w:rsidTr="001F7400">
        <w:trPr>
          <w:trHeight w:val="190"/>
        </w:trPr>
        <w:tc>
          <w:tcPr>
            <w:tcW w:w="1534" w:type="dxa"/>
            <w:noWrap/>
            <w:hideMark/>
          </w:tcPr>
          <w:p w14:paraId="6FE6E44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8</w:t>
            </w:r>
          </w:p>
        </w:tc>
        <w:tc>
          <w:tcPr>
            <w:tcW w:w="1534" w:type="dxa"/>
            <w:noWrap/>
            <w:hideMark/>
          </w:tcPr>
          <w:p w14:paraId="07D0F0C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2</w:t>
            </w:r>
          </w:p>
        </w:tc>
        <w:tc>
          <w:tcPr>
            <w:tcW w:w="1534" w:type="dxa"/>
            <w:noWrap/>
            <w:hideMark/>
          </w:tcPr>
          <w:p w14:paraId="75B1F2E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46C0AEB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0A1312D2" w14:textId="77777777" w:rsidTr="001F7400">
        <w:trPr>
          <w:trHeight w:val="190"/>
        </w:trPr>
        <w:tc>
          <w:tcPr>
            <w:tcW w:w="1534" w:type="dxa"/>
            <w:noWrap/>
            <w:hideMark/>
          </w:tcPr>
          <w:p w14:paraId="094655E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9</w:t>
            </w:r>
          </w:p>
        </w:tc>
        <w:tc>
          <w:tcPr>
            <w:tcW w:w="1534" w:type="dxa"/>
            <w:noWrap/>
            <w:hideMark/>
          </w:tcPr>
          <w:p w14:paraId="6A5A74A1"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2B392C0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4B5B568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4C331318" w14:textId="77777777" w:rsidTr="001F7400">
        <w:trPr>
          <w:trHeight w:val="190"/>
        </w:trPr>
        <w:tc>
          <w:tcPr>
            <w:tcW w:w="1534" w:type="dxa"/>
            <w:noWrap/>
            <w:hideMark/>
          </w:tcPr>
          <w:p w14:paraId="18C5C85A"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12</w:t>
            </w:r>
          </w:p>
        </w:tc>
        <w:tc>
          <w:tcPr>
            <w:tcW w:w="1534" w:type="dxa"/>
            <w:noWrap/>
            <w:hideMark/>
          </w:tcPr>
          <w:p w14:paraId="76A3D1CD"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05B48CA7"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7A849AC9"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r w:rsidR="00BF10A3" w:rsidRPr="0024308E" w14:paraId="29034B70" w14:textId="77777777" w:rsidTr="001F7400">
        <w:trPr>
          <w:trHeight w:val="190"/>
        </w:trPr>
        <w:tc>
          <w:tcPr>
            <w:tcW w:w="1534" w:type="dxa"/>
            <w:noWrap/>
            <w:hideMark/>
          </w:tcPr>
          <w:p w14:paraId="5E706625"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15</w:t>
            </w:r>
          </w:p>
        </w:tc>
        <w:tc>
          <w:tcPr>
            <w:tcW w:w="1534" w:type="dxa"/>
            <w:noWrap/>
            <w:hideMark/>
          </w:tcPr>
          <w:p w14:paraId="190B7EE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1</w:t>
            </w:r>
          </w:p>
        </w:tc>
        <w:tc>
          <w:tcPr>
            <w:tcW w:w="1534" w:type="dxa"/>
            <w:noWrap/>
            <w:hideMark/>
          </w:tcPr>
          <w:p w14:paraId="690FEEC8"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c>
          <w:tcPr>
            <w:tcW w:w="1534" w:type="dxa"/>
            <w:noWrap/>
            <w:hideMark/>
          </w:tcPr>
          <w:p w14:paraId="23485576" w14:textId="77777777" w:rsidR="00BF10A3" w:rsidRPr="0024308E" w:rsidRDefault="00BF10A3" w:rsidP="001F7400">
            <w:pPr>
              <w:rPr>
                <w:rFonts w:ascii="Courier New" w:eastAsiaTheme="minorHAnsi" w:hAnsi="Courier New" w:cstheme="minorBidi"/>
                <w:sz w:val="16"/>
              </w:rPr>
            </w:pPr>
            <w:r w:rsidRPr="0024308E">
              <w:rPr>
                <w:rFonts w:ascii="Courier New" w:eastAsiaTheme="minorHAnsi" w:hAnsi="Courier New" w:cstheme="minorBidi"/>
                <w:sz w:val="16"/>
              </w:rPr>
              <w:t>0</w:t>
            </w:r>
          </w:p>
        </w:tc>
      </w:tr>
    </w:tbl>
    <w:p w14:paraId="7E71CAAB" w14:textId="77777777" w:rsidR="00BF10A3" w:rsidRPr="0024308E" w:rsidRDefault="00BF10A3" w:rsidP="00BF10A3">
      <w:pPr>
        <w:rPr>
          <w:rFonts w:ascii="Courier New" w:eastAsiaTheme="minorHAnsi" w:hAnsi="Courier New" w:cstheme="minorBidi"/>
          <w:sz w:val="16"/>
        </w:rPr>
      </w:pPr>
    </w:p>
    <w:p w14:paraId="6E791128" w14:textId="77777777" w:rsidR="00BF10A3" w:rsidRPr="00AA6DFD" w:rsidRDefault="00BF10A3" w:rsidP="00BF10A3">
      <w:pPr>
        <w:spacing w:after="0" w:line="480" w:lineRule="auto"/>
        <w:ind w:firstLine="720"/>
        <w:rPr>
          <w:rFonts w:ascii="Courier New" w:hAnsi="Courier New" w:cs="Courier New"/>
          <w:sz w:val="24"/>
          <w:szCs w:val="24"/>
        </w:rPr>
      </w:pPr>
    </w:p>
    <w:p w14:paraId="3594224B"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While private non-profit institutions are classified as small entities, our estimates indicate that very few programs at those institutions are likely to fail the D/E rates measure, with an even smaller number likely to be found ineligible.  The governmental entities controlling public sector institutions are not expected to fall below the 50,000 population threshold for small status under the Small Business Administration’s Size Standards, but, even if they do, programs at public sector institutions are highly unlikely to fail the D/E rates measure.  Accordingly, our analysis of the effects on small entities focuses on the for-profit sector.  </w:t>
      </w:r>
    </w:p>
    <w:p w14:paraId="0EF46D58" w14:textId="77777777" w:rsidR="00BF10A3" w:rsidRPr="00B53B21" w:rsidRDefault="00BF10A3" w:rsidP="00BF10A3">
      <w:pPr>
        <w:pStyle w:val="riaheader2"/>
      </w:pPr>
      <w:r w:rsidRPr="00B53B21">
        <w:t>Description of the Projected Reporting, Recordkeeping, and Other Compliance Requirements of the Regulations, Including an Estimate of the Classes of Small Entities that Will Be Subject to the Requirements and the Type of Professional Skills Necessary for Preparation of the Report or Record</w:t>
      </w:r>
    </w:p>
    <w:p w14:paraId="52137121" w14:textId="77777777" w:rsidR="00BF10A3" w:rsidRPr="00AA6DF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Table 5.3 relates the estimated burden of each information collection requirement to the hours and costs estimated in </w:t>
      </w:r>
      <w:r w:rsidRPr="00AA6DFD">
        <w:rPr>
          <w:rFonts w:ascii="Courier New" w:hAnsi="Courier New" w:cs="Courier New"/>
          <w:sz w:val="24"/>
          <w:szCs w:val="24"/>
          <w:u w:val="single"/>
        </w:rPr>
        <w:t>Paperwork Reduction Act of 1995</w:t>
      </w:r>
      <w:r w:rsidRPr="00AA6DFD">
        <w:rPr>
          <w:rFonts w:ascii="Courier New" w:hAnsi="Courier New" w:cs="Courier New"/>
          <w:sz w:val="24"/>
          <w:szCs w:val="24"/>
        </w:rPr>
        <w:t xml:space="preserve">.  This additional workload is discussed in more detail under </w:t>
      </w:r>
      <w:r w:rsidRPr="00AA6DFD">
        <w:rPr>
          <w:rFonts w:ascii="Courier New" w:hAnsi="Courier New" w:cs="Courier New"/>
          <w:sz w:val="24"/>
          <w:szCs w:val="24"/>
          <w:u w:val="single"/>
        </w:rPr>
        <w:t>Paperwork Reduction Act of 1995</w:t>
      </w:r>
      <w:r w:rsidRPr="00AA6DFD">
        <w:rPr>
          <w:rFonts w:ascii="Courier New" w:hAnsi="Courier New" w:cs="Courier New"/>
          <w:sz w:val="24"/>
          <w:szCs w:val="24"/>
        </w:rPr>
        <w:t>.  Additional workload would normally be expected to result in estimated costs associated with either the hiring of additional employees or opportunity costs related to the reassignment of existing staff from other activities.  In total, these regulations are estimated to increase burden on small entities participating in the title IV, HEA programs by 1,947,273</w:t>
      </w:r>
      <w:r w:rsidRPr="00AA6DFD">
        <w:rPr>
          <w:rFonts w:ascii="Courier New" w:hAnsi="Courier New" w:cs="Courier New"/>
          <w:b/>
          <w:bCs/>
          <w:color w:val="000000"/>
          <w:sz w:val="24"/>
          <w:szCs w:val="24"/>
        </w:rPr>
        <w:t xml:space="preserve"> </w:t>
      </w:r>
      <w:r w:rsidRPr="00AA6DFD">
        <w:rPr>
          <w:rFonts w:ascii="Courier New" w:hAnsi="Courier New" w:cs="Courier New"/>
          <w:sz w:val="24"/>
          <w:szCs w:val="24"/>
        </w:rPr>
        <w:t xml:space="preserve">hours in the initial year of reporting.  The monetized cost of this additional burden on institutions, using wage data developed using BLS data available at </w:t>
      </w:r>
      <w:hyperlink r:id="rId76" w:history="1">
        <w:r w:rsidRPr="00AA6DFD">
          <w:rPr>
            <w:rStyle w:val="Hyperlink"/>
            <w:rFonts w:ascii="Courier New" w:hAnsi="Courier New" w:cs="Courier New"/>
            <w:sz w:val="24"/>
            <w:szCs w:val="24"/>
          </w:rPr>
          <w:t>www.bls.gov/ncs/ect/sp/ecsuphst.pdf</w:t>
        </w:r>
      </w:hyperlink>
      <w:r w:rsidRPr="00AA6DFD">
        <w:rPr>
          <w:rFonts w:ascii="Courier New" w:hAnsi="Courier New" w:cs="Courier New"/>
          <w:sz w:val="24"/>
          <w:szCs w:val="24"/>
        </w:rPr>
        <w:t>, is $71,172,816.  In subsequent years, this burden would be reduced as institutions would only be reporting for a single year and we would expect the annual cost to be approximately $18 million.  This cost was based on an hourly rate of $36.55.</w:t>
      </w:r>
    </w:p>
    <w:p w14:paraId="4EE7E69D" w14:textId="77777777" w:rsidR="00BF10A3" w:rsidRPr="00AA6DFD" w:rsidRDefault="00BF10A3" w:rsidP="00BF10A3">
      <w:pPr>
        <w:spacing w:after="0" w:line="240" w:lineRule="auto"/>
        <w:rPr>
          <w:rFonts w:ascii="Courier New" w:hAnsi="Courier New" w:cs="Courier New"/>
          <w:b/>
          <w:sz w:val="24"/>
          <w:szCs w:val="24"/>
        </w:rPr>
      </w:pPr>
    </w:p>
    <w:p w14:paraId="3186F6E5" w14:textId="77777777" w:rsidR="00BF10A3" w:rsidRPr="00AA6DFD" w:rsidRDefault="00BF10A3" w:rsidP="00BF10A3">
      <w:pPr>
        <w:spacing w:after="0" w:line="240" w:lineRule="auto"/>
        <w:rPr>
          <w:rFonts w:ascii="Courier New" w:hAnsi="Courier New" w:cs="Courier New"/>
          <w:b/>
          <w:sz w:val="24"/>
          <w:szCs w:val="24"/>
        </w:rPr>
      </w:pPr>
    </w:p>
    <w:p w14:paraId="21BA6B36" w14:textId="77777777" w:rsidR="00BF10A3" w:rsidRPr="00AA6DFD" w:rsidRDefault="00BF10A3" w:rsidP="00BF10A3">
      <w:pPr>
        <w:spacing w:after="0" w:line="240" w:lineRule="auto"/>
        <w:rPr>
          <w:rFonts w:ascii="Courier New" w:hAnsi="Courier New" w:cs="Courier New"/>
          <w:sz w:val="24"/>
          <w:szCs w:val="24"/>
        </w:rPr>
      </w:pPr>
      <w:r w:rsidRPr="00AA6DFD">
        <w:rPr>
          <w:rFonts w:ascii="Courier New" w:hAnsi="Courier New" w:cs="Courier New"/>
          <w:b/>
          <w:sz w:val="24"/>
          <w:szCs w:val="24"/>
        </w:rPr>
        <w:t>Table 5.3: Paperwork Reduction Act</w:t>
      </w:r>
    </w:p>
    <w:p w14:paraId="07AFBD0E" w14:textId="77777777" w:rsidR="00BF10A3" w:rsidRPr="00AA6DFD" w:rsidRDefault="00BF10A3" w:rsidP="00BF10A3">
      <w:pPr>
        <w:spacing w:after="0" w:line="240" w:lineRule="auto"/>
        <w:rPr>
          <w:rFonts w:ascii="Courier New" w:hAnsi="Courier New" w:cs="Courier New"/>
          <w:b/>
          <w:sz w:val="24"/>
          <w:szCs w:val="24"/>
        </w:rPr>
      </w:pPr>
    </w:p>
    <w:tbl>
      <w:tblPr>
        <w:tblStyle w:val="TableGrid32"/>
        <w:tblW w:w="0" w:type="auto"/>
        <w:tblLook w:val="04A0" w:firstRow="1" w:lastRow="0" w:firstColumn="1" w:lastColumn="0" w:noHBand="0" w:noVBand="1"/>
      </w:tblPr>
      <w:tblGrid>
        <w:gridCol w:w="1967"/>
        <w:gridCol w:w="1078"/>
        <w:gridCol w:w="2257"/>
        <w:gridCol w:w="1777"/>
        <w:gridCol w:w="1777"/>
      </w:tblGrid>
      <w:tr w:rsidR="00BF10A3" w:rsidRPr="00BF19BA" w14:paraId="366E758F" w14:textId="77777777" w:rsidTr="001F7400">
        <w:trPr>
          <w:trHeight w:val="375"/>
        </w:trPr>
        <w:tc>
          <w:tcPr>
            <w:tcW w:w="4513" w:type="dxa"/>
            <w:hideMark/>
          </w:tcPr>
          <w:p w14:paraId="7BF46BAB"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Provision</w:t>
            </w:r>
          </w:p>
        </w:tc>
        <w:tc>
          <w:tcPr>
            <w:tcW w:w="1078" w:type="dxa"/>
            <w:hideMark/>
          </w:tcPr>
          <w:p w14:paraId="6AD3780E"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Reg Section</w:t>
            </w:r>
          </w:p>
        </w:tc>
        <w:tc>
          <w:tcPr>
            <w:tcW w:w="2257" w:type="dxa"/>
            <w:hideMark/>
          </w:tcPr>
          <w:p w14:paraId="4DB1915E"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OMB Control Number</w:t>
            </w:r>
          </w:p>
        </w:tc>
        <w:tc>
          <w:tcPr>
            <w:tcW w:w="1777" w:type="dxa"/>
            <w:hideMark/>
          </w:tcPr>
          <w:p w14:paraId="3022ACB9"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Hours</w:t>
            </w:r>
          </w:p>
        </w:tc>
        <w:tc>
          <w:tcPr>
            <w:tcW w:w="1777" w:type="dxa"/>
            <w:hideMark/>
          </w:tcPr>
          <w:p w14:paraId="3D490C6D"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 xml:space="preserve"> Costs </w:t>
            </w:r>
          </w:p>
        </w:tc>
      </w:tr>
      <w:tr w:rsidR="00BF10A3" w:rsidRPr="00BF19BA" w14:paraId="1B6E7916" w14:textId="77777777" w:rsidTr="001F7400">
        <w:trPr>
          <w:trHeight w:val="464"/>
        </w:trPr>
        <w:tc>
          <w:tcPr>
            <w:tcW w:w="4513" w:type="dxa"/>
            <w:hideMark/>
          </w:tcPr>
          <w:p w14:paraId="46A0BF1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Issuing and Challenging D/E Rates</w:t>
            </w:r>
          </w:p>
        </w:tc>
        <w:tc>
          <w:tcPr>
            <w:tcW w:w="1078" w:type="dxa"/>
            <w:noWrap/>
            <w:hideMark/>
          </w:tcPr>
          <w:p w14:paraId="1FD0EFB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668.405</w:t>
            </w:r>
          </w:p>
        </w:tc>
        <w:tc>
          <w:tcPr>
            <w:tcW w:w="2257" w:type="dxa"/>
            <w:noWrap/>
            <w:hideMark/>
          </w:tcPr>
          <w:p w14:paraId="2D89F995"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21388D64"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80,670 </w:t>
            </w:r>
          </w:p>
        </w:tc>
        <w:tc>
          <w:tcPr>
            <w:tcW w:w="1777" w:type="dxa"/>
            <w:noWrap/>
            <w:hideMark/>
          </w:tcPr>
          <w:p w14:paraId="1194FB04"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2,948,481 </w:t>
            </w:r>
          </w:p>
        </w:tc>
      </w:tr>
      <w:tr w:rsidR="00BF10A3" w:rsidRPr="00BF19BA" w14:paraId="672C4CD2" w14:textId="77777777" w:rsidTr="001F7400">
        <w:trPr>
          <w:trHeight w:val="232"/>
        </w:trPr>
        <w:tc>
          <w:tcPr>
            <w:tcW w:w="4513" w:type="dxa"/>
            <w:hideMark/>
          </w:tcPr>
          <w:p w14:paraId="7827F00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Alternate Earnings Appeal</w:t>
            </w:r>
          </w:p>
        </w:tc>
        <w:tc>
          <w:tcPr>
            <w:tcW w:w="1078" w:type="dxa"/>
            <w:noWrap/>
            <w:hideMark/>
          </w:tcPr>
          <w:p w14:paraId="2F30D8E6"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668.406</w:t>
            </w:r>
          </w:p>
        </w:tc>
        <w:tc>
          <w:tcPr>
            <w:tcW w:w="2257" w:type="dxa"/>
            <w:noWrap/>
            <w:hideMark/>
          </w:tcPr>
          <w:p w14:paraId="7FFDAF9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1845-0122</w:t>
            </w:r>
          </w:p>
        </w:tc>
        <w:tc>
          <w:tcPr>
            <w:tcW w:w="1777" w:type="dxa"/>
            <w:noWrap/>
            <w:hideMark/>
          </w:tcPr>
          <w:p w14:paraId="424725D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9,736 </w:t>
            </w:r>
          </w:p>
        </w:tc>
        <w:tc>
          <w:tcPr>
            <w:tcW w:w="1777" w:type="dxa"/>
            <w:noWrap/>
            <w:hideMark/>
          </w:tcPr>
          <w:p w14:paraId="3E83F3C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355,857 </w:t>
            </w:r>
          </w:p>
        </w:tc>
      </w:tr>
      <w:tr w:rsidR="00BF10A3" w:rsidRPr="00BF19BA" w14:paraId="4BA04957" w14:textId="77777777" w:rsidTr="001F7400">
        <w:trPr>
          <w:trHeight w:val="464"/>
        </w:trPr>
        <w:tc>
          <w:tcPr>
            <w:tcW w:w="4513" w:type="dxa"/>
            <w:hideMark/>
          </w:tcPr>
          <w:p w14:paraId="298BF63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Consequences of GE Measures</w:t>
            </w:r>
          </w:p>
        </w:tc>
        <w:tc>
          <w:tcPr>
            <w:tcW w:w="1078" w:type="dxa"/>
            <w:noWrap/>
            <w:hideMark/>
          </w:tcPr>
          <w:p w14:paraId="7971ABB1"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668.410</w:t>
            </w:r>
          </w:p>
        </w:tc>
        <w:tc>
          <w:tcPr>
            <w:tcW w:w="2257" w:type="dxa"/>
            <w:noWrap/>
            <w:hideMark/>
          </w:tcPr>
          <w:p w14:paraId="18D48DF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2D57803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427,091 </w:t>
            </w:r>
          </w:p>
        </w:tc>
        <w:tc>
          <w:tcPr>
            <w:tcW w:w="1777" w:type="dxa"/>
            <w:noWrap/>
            <w:hideMark/>
          </w:tcPr>
          <w:p w14:paraId="10DEBA5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15,610,175 </w:t>
            </w:r>
          </w:p>
        </w:tc>
      </w:tr>
      <w:tr w:rsidR="00BF10A3" w:rsidRPr="00BF19BA" w14:paraId="2349B50E" w14:textId="77777777" w:rsidTr="001F7400">
        <w:trPr>
          <w:trHeight w:val="464"/>
        </w:trPr>
        <w:tc>
          <w:tcPr>
            <w:tcW w:w="4513" w:type="dxa"/>
            <w:hideMark/>
          </w:tcPr>
          <w:p w14:paraId="5F2A7A5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Reporting Requirements of GE Programs</w:t>
            </w:r>
          </w:p>
        </w:tc>
        <w:tc>
          <w:tcPr>
            <w:tcW w:w="1078" w:type="dxa"/>
            <w:noWrap/>
            <w:hideMark/>
          </w:tcPr>
          <w:p w14:paraId="7BA4B02C"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668.411</w:t>
            </w:r>
          </w:p>
        </w:tc>
        <w:tc>
          <w:tcPr>
            <w:tcW w:w="2257" w:type="dxa"/>
            <w:noWrap/>
            <w:hideMark/>
          </w:tcPr>
          <w:p w14:paraId="7807943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55CF364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475,424 </w:t>
            </w:r>
          </w:p>
        </w:tc>
        <w:tc>
          <w:tcPr>
            <w:tcW w:w="1777" w:type="dxa"/>
            <w:noWrap/>
            <w:hideMark/>
          </w:tcPr>
          <w:p w14:paraId="0962830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17,376,731 </w:t>
            </w:r>
          </w:p>
        </w:tc>
      </w:tr>
      <w:tr w:rsidR="00BF10A3" w:rsidRPr="00BF19BA" w14:paraId="49039994" w14:textId="77777777" w:rsidTr="001F7400">
        <w:trPr>
          <w:trHeight w:val="464"/>
        </w:trPr>
        <w:tc>
          <w:tcPr>
            <w:tcW w:w="4513" w:type="dxa"/>
            <w:hideMark/>
          </w:tcPr>
          <w:p w14:paraId="5DB3AA2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Disclosure Requirements for GE Programs</w:t>
            </w:r>
          </w:p>
        </w:tc>
        <w:tc>
          <w:tcPr>
            <w:tcW w:w="1078" w:type="dxa"/>
            <w:noWrap/>
            <w:hideMark/>
          </w:tcPr>
          <w:p w14:paraId="5094AD95"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668.412</w:t>
            </w:r>
          </w:p>
        </w:tc>
        <w:tc>
          <w:tcPr>
            <w:tcW w:w="2257" w:type="dxa"/>
            <w:noWrap/>
            <w:hideMark/>
          </w:tcPr>
          <w:p w14:paraId="72D4052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4AD72CDE"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748,282 </w:t>
            </w:r>
          </w:p>
        </w:tc>
        <w:tc>
          <w:tcPr>
            <w:tcW w:w="1777" w:type="dxa"/>
            <w:noWrap/>
            <w:hideMark/>
          </w:tcPr>
          <w:p w14:paraId="3BE1303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27,349,710 </w:t>
            </w:r>
          </w:p>
        </w:tc>
      </w:tr>
      <w:tr w:rsidR="00BF10A3" w:rsidRPr="00BF19BA" w14:paraId="05D5D05D" w14:textId="77777777" w:rsidTr="001F7400">
        <w:trPr>
          <w:trHeight w:val="696"/>
        </w:trPr>
        <w:tc>
          <w:tcPr>
            <w:tcW w:w="4513" w:type="dxa"/>
            <w:hideMark/>
          </w:tcPr>
          <w:p w14:paraId="2A279650"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Calculating, Issuing, and Challenging Completion, Withdrawal, and Repayment Rates</w:t>
            </w:r>
          </w:p>
        </w:tc>
        <w:tc>
          <w:tcPr>
            <w:tcW w:w="1078" w:type="dxa"/>
            <w:noWrap/>
            <w:hideMark/>
          </w:tcPr>
          <w:p w14:paraId="4BBE42D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668.413</w:t>
            </w:r>
          </w:p>
        </w:tc>
        <w:tc>
          <w:tcPr>
            <w:tcW w:w="2257" w:type="dxa"/>
            <w:noWrap/>
            <w:hideMark/>
          </w:tcPr>
          <w:p w14:paraId="5D1732C2"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5E03119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203,147 </w:t>
            </w:r>
          </w:p>
        </w:tc>
        <w:tc>
          <w:tcPr>
            <w:tcW w:w="1777" w:type="dxa"/>
            <w:noWrap/>
            <w:hideMark/>
          </w:tcPr>
          <w:p w14:paraId="36C6DB3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7,425,023 </w:t>
            </w:r>
          </w:p>
        </w:tc>
      </w:tr>
      <w:tr w:rsidR="00BF10A3" w:rsidRPr="00BF19BA" w14:paraId="3B1C981A" w14:textId="77777777" w:rsidTr="001F7400">
        <w:trPr>
          <w:trHeight w:val="464"/>
        </w:trPr>
        <w:tc>
          <w:tcPr>
            <w:tcW w:w="4513" w:type="dxa"/>
            <w:hideMark/>
          </w:tcPr>
          <w:p w14:paraId="76A7366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Certification and Application Requirement for GE Programs</w:t>
            </w:r>
          </w:p>
        </w:tc>
        <w:tc>
          <w:tcPr>
            <w:tcW w:w="1078" w:type="dxa"/>
            <w:noWrap/>
            <w:hideMark/>
          </w:tcPr>
          <w:p w14:paraId="07DF1D95"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668.414</w:t>
            </w:r>
          </w:p>
        </w:tc>
        <w:tc>
          <w:tcPr>
            <w:tcW w:w="2257" w:type="dxa"/>
            <w:noWrap/>
            <w:hideMark/>
          </w:tcPr>
          <w:p w14:paraId="157EA2E4"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OMB 1845-0123</w:t>
            </w:r>
          </w:p>
        </w:tc>
        <w:tc>
          <w:tcPr>
            <w:tcW w:w="1777" w:type="dxa"/>
            <w:noWrap/>
            <w:hideMark/>
          </w:tcPr>
          <w:p w14:paraId="363BBC6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665 </w:t>
            </w:r>
          </w:p>
        </w:tc>
        <w:tc>
          <w:tcPr>
            <w:tcW w:w="1777" w:type="dxa"/>
            <w:noWrap/>
            <w:hideMark/>
          </w:tcPr>
          <w:p w14:paraId="2CB872E5"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24,323 </w:t>
            </w:r>
          </w:p>
        </w:tc>
      </w:tr>
      <w:tr w:rsidR="00BF10A3" w:rsidRPr="00BF19BA" w14:paraId="2E2EDC5C" w14:textId="77777777" w:rsidTr="001F7400">
        <w:trPr>
          <w:trHeight w:val="464"/>
        </w:trPr>
        <w:tc>
          <w:tcPr>
            <w:tcW w:w="4513" w:type="dxa"/>
            <w:hideMark/>
          </w:tcPr>
          <w:p w14:paraId="53040046"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Draft Program Cohort Default Rates and Challenges</w:t>
            </w:r>
          </w:p>
        </w:tc>
        <w:tc>
          <w:tcPr>
            <w:tcW w:w="1078" w:type="dxa"/>
            <w:noWrap/>
            <w:hideMark/>
          </w:tcPr>
          <w:p w14:paraId="5B8B6DAC"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668.504</w:t>
            </w:r>
          </w:p>
        </w:tc>
        <w:tc>
          <w:tcPr>
            <w:tcW w:w="2257" w:type="dxa"/>
            <w:noWrap/>
            <w:hideMark/>
          </w:tcPr>
          <w:p w14:paraId="0EFB3D13"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1845-0121</w:t>
            </w:r>
          </w:p>
        </w:tc>
        <w:tc>
          <w:tcPr>
            <w:tcW w:w="1777" w:type="dxa"/>
            <w:noWrap/>
            <w:hideMark/>
          </w:tcPr>
          <w:p w14:paraId="5762B05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2,052 </w:t>
            </w:r>
          </w:p>
        </w:tc>
        <w:tc>
          <w:tcPr>
            <w:tcW w:w="1777" w:type="dxa"/>
            <w:noWrap/>
            <w:hideMark/>
          </w:tcPr>
          <w:p w14:paraId="00148494"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74,998 </w:t>
            </w:r>
          </w:p>
        </w:tc>
      </w:tr>
      <w:tr w:rsidR="00BF10A3" w:rsidRPr="00BF19BA" w14:paraId="4FEAA721" w14:textId="77777777" w:rsidTr="001F7400">
        <w:trPr>
          <w:trHeight w:val="464"/>
        </w:trPr>
        <w:tc>
          <w:tcPr>
            <w:tcW w:w="4513" w:type="dxa"/>
            <w:hideMark/>
          </w:tcPr>
          <w:p w14:paraId="56C890E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Program CDR - Uncorrected Data Adjustments</w:t>
            </w:r>
          </w:p>
        </w:tc>
        <w:tc>
          <w:tcPr>
            <w:tcW w:w="1078" w:type="dxa"/>
            <w:noWrap/>
            <w:hideMark/>
          </w:tcPr>
          <w:p w14:paraId="676C19C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668.509</w:t>
            </w:r>
          </w:p>
        </w:tc>
        <w:tc>
          <w:tcPr>
            <w:tcW w:w="2257" w:type="dxa"/>
            <w:noWrap/>
            <w:hideMark/>
          </w:tcPr>
          <w:p w14:paraId="3926C18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1845-0121</w:t>
            </w:r>
          </w:p>
        </w:tc>
        <w:tc>
          <w:tcPr>
            <w:tcW w:w="1777" w:type="dxa"/>
            <w:noWrap/>
            <w:hideMark/>
          </w:tcPr>
          <w:p w14:paraId="1EDB8C79"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129 </w:t>
            </w:r>
          </w:p>
        </w:tc>
        <w:tc>
          <w:tcPr>
            <w:tcW w:w="1777" w:type="dxa"/>
            <w:noWrap/>
            <w:hideMark/>
          </w:tcPr>
          <w:p w14:paraId="67A8C06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4,726 </w:t>
            </w:r>
          </w:p>
        </w:tc>
      </w:tr>
      <w:tr w:rsidR="00BF10A3" w:rsidRPr="00BF19BA" w14:paraId="0C471523" w14:textId="77777777" w:rsidTr="001F7400">
        <w:trPr>
          <w:trHeight w:val="464"/>
        </w:trPr>
        <w:tc>
          <w:tcPr>
            <w:tcW w:w="4513" w:type="dxa"/>
            <w:hideMark/>
          </w:tcPr>
          <w:p w14:paraId="781A8A28"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Program CDR - New Data Adjustments</w:t>
            </w:r>
          </w:p>
        </w:tc>
        <w:tc>
          <w:tcPr>
            <w:tcW w:w="1078" w:type="dxa"/>
            <w:noWrap/>
            <w:hideMark/>
          </w:tcPr>
          <w:p w14:paraId="2D331353"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668.510</w:t>
            </w:r>
          </w:p>
        </w:tc>
        <w:tc>
          <w:tcPr>
            <w:tcW w:w="2257" w:type="dxa"/>
            <w:noWrap/>
            <w:hideMark/>
          </w:tcPr>
          <w:p w14:paraId="1B79151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1845-0121</w:t>
            </w:r>
          </w:p>
        </w:tc>
        <w:tc>
          <w:tcPr>
            <w:tcW w:w="1777" w:type="dxa"/>
            <w:noWrap/>
            <w:hideMark/>
          </w:tcPr>
          <w:p w14:paraId="0F2C020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31 </w:t>
            </w:r>
          </w:p>
        </w:tc>
        <w:tc>
          <w:tcPr>
            <w:tcW w:w="1777" w:type="dxa"/>
            <w:noWrap/>
            <w:hideMark/>
          </w:tcPr>
          <w:p w14:paraId="2657AAF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1,143 </w:t>
            </w:r>
          </w:p>
        </w:tc>
      </w:tr>
      <w:tr w:rsidR="00BF10A3" w:rsidRPr="00BF19BA" w14:paraId="5966EFD8" w14:textId="77777777" w:rsidTr="001F7400">
        <w:trPr>
          <w:trHeight w:val="464"/>
        </w:trPr>
        <w:tc>
          <w:tcPr>
            <w:tcW w:w="4513" w:type="dxa"/>
            <w:hideMark/>
          </w:tcPr>
          <w:p w14:paraId="1E028ACD"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Program CDR -Erroneous Data Appeals</w:t>
            </w:r>
          </w:p>
        </w:tc>
        <w:tc>
          <w:tcPr>
            <w:tcW w:w="1078" w:type="dxa"/>
            <w:noWrap/>
            <w:hideMark/>
          </w:tcPr>
          <w:p w14:paraId="62939EF5"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668.511</w:t>
            </w:r>
          </w:p>
        </w:tc>
        <w:tc>
          <w:tcPr>
            <w:tcW w:w="2257" w:type="dxa"/>
            <w:noWrap/>
            <w:hideMark/>
          </w:tcPr>
          <w:p w14:paraId="5445F797"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1845-0121</w:t>
            </w:r>
          </w:p>
        </w:tc>
        <w:tc>
          <w:tcPr>
            <w:tcW w:w="1777" w:type="dxa"/>
            <w:noWrap/>
            <w:hideMark/>
          </w:tcPr>
          <w:p w14:paraId="1B384CD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   </w:t>
            </w:r>
          </w:p>
        </w:tc>
        <w:tc>
          <w:tcPr>
            <w:tcW w:w="1777" w:type="dxa"/>
            <w:noWrap/>
            <w:hideMark/>
          </w:tcPr>
          <w:p w14:paraId="59E8F75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   </w:t>
            </w:r>
          </w:p>
        </w:tc>
      </w:tr>
      <w:tr w:rsidR="00BF10A3" w:rsidRPr="00BF19BA" w14:paraId="1AB618E7" w14:textId="77777777" w:rsidTr="001F7400">
        <w:trPr>
          <w:trHeight w:val="464"/>
        </w:trPr>
        <w:tc>
          <w:tcPr>
            <w:tcW w:w="4513" w:type="dxa"/>
            <w:hideMark/>
          </w:tcPr>
          <w:p w14:paraId="5D0C26B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Program CDR -Loan Servicing Appeals</w:t>
            </w:r>
          </w:p>
        </w:tc>
        <w:tc>
          <w:tcPr>
            <w:tcW w:w="1078" w:type="dxa"/>
            <w:noWrap/>
            <w:hideMark/>
          </w:tcPr>
          <w:p w14:paraId="3636B80A"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668.512</w:t>
            </w:r>
          </w:p>
        </w:tc>
        <w:tc>
          <w:tcPr>
            <w:tcW w:w="2257" w:type="dxa"/>
            <w:noWrap/>
            <w:hideMark/>
          </w:tcPr>
          <w:p w14:paraId="6C3F24E2"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OMB 1845-0121</w:t>
            </w:r>
          </w:p>
        </w:tc>
        <w:tc>
          <w:tcPr>
            <w:tcW w:w="1777" w:type="dxa"/>
            <w:noWrap/>
            <w:hideMark/>
          </w:tcPr>
          <w:p w14:paraId="4D76D65B"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45 </w:t>
            </w:r>
          </w:p>
        </w:tc>
        <w:tc>
          <w:tcPr>
            <w:tcW w:w="1777" w:type="dxa"/>
            <w:noWrap/>
            <w:hideMark/>
          </w:tcPr>
          <w:p w14:paraId="630A3C3F" w14:textId="77777777" w:rsidR="00BF10A3" w:rsidRPr="00BF19BA" w:rsidRDefault="00BF10A3" w:rsidP="001F7400">
            <w:pPr>
              <w:rPr>
                <w:rFonts w:ascii="Courier New" w:eastAsiaTheme="minorHAnsi" w:hAnsi="Courier New" w:cstheme="minorBidi"/>
                <w:sz w:val="16"/>
              </w:rPr>
            </w:pPr>
            <w:r w:rsidRPr="00BF19BA">
              <w:rPr>
                <w:rFonts w:ascii="Courier New" w:eastAsiaTheme="minorHAnsi" w:hAnsi="Courier New" w:cstheme="minorBidi"/>
                <w:sz w:val="16"/>
              </w:rPr>
              <w:t xml:space="preserve">      1,649 </w:t>
            </w:r>
          </w:p>
        </w:tc>
      </w:tr>
      <w:tr w:rsidR="00BF10A3" w:rsidRPr="00BF19BA" w14:paraId="320E24E4" w14:textId="77777777" w:rsidTr="001F7400">
        <w:trPr>
          <w:trHeight w:val="244"/>
        </w:trPr>
        <w:tc>
          <w:tcPr>
            <w:tcW w:w="4513" w:type="dxa"/>
            <w:hideMark/>
          </w:tcPr>
          <w:p w14:paraId="56E60B7E"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Total</w:t>
            </w:r>
          </w:p>
        </w:tc>
        <w:tc>
          <w:tcPr>
            <w:tcW w:w="1078" w:type="dxa"/>
            <w:noWrap/>
            <w:hideMark/>
          </w:tcPr>
          <w:p w14:paraId="5253B5BE"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 </w:t>
            </w:r>
          </w:p>
        </w:tc>
        <w:tc>
          <w:tcPr>
            <w:tcW w:w="2257" w:type="dxa"/>
            <w:noWrap/>
            <w:hideMark/>
          </w:tcPr>
          <w:p w14:paraId="7070131C"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 </w:t>
            </w:r>
          </w:p>
        </w:tc>
        <w:tc>
          <w:tcPr>
            <w:tcW w:w="1777" w:type="dxa"/>
            <w:noWrap/>
            <w:hideMark/>
          </w:tcPr>
          <w:p w14:paraId="169A1841"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 xml:space="preserve">  1,947,273 </w:t>
            </w:r>
          </w:p>
        </w:tc>
        <w:tc>
          <w:tcPr>
            <w:tcW w:w="1777" w:type="dxa"/>
            <w:noWrap/>
            <w:hideMark/>
          </w:tcPr>
          <w:p w14:paraId="30A12B7D" w14:textId="77777777" w:rsidR="00BF10A3" w:rsidRPr="00BF19BA" w:rsidRDefault="00BF10A3" w:rsidP="001F7400">
            <w:pPr>
              <w:rPr>
                <w:rFonts w:ascii="Courier New" w:eastAsiaTheme="minorHAnsi" w:hAnsi="Courier New" w:cstheme="minorBidi"/>
                <w:b/>
                <w:bCs/>
                <w:sz w:val="16"/>
              </w:rPr>
            </w:pPr>
            <w:r w:rsidRPr="00BF19BA">
              <w:rPr>
                <w:rFonts w:ascii="Courier New" w:eastAsiaTheme="minorHAnsi" w:hAnsi="Courier New" w:cstheme="minorBidi"/>
                <w:b/>
                <w:bCs/>
                <w:sz w:val="16"/>
              </w:rPr>
              <w:t xml:space="preserve"> 71,172,816 </w:t>
            </w:r>
          </w:p>
        </w:tc>
      </w:tr>
    </w:tbl>
    <w:p w14:paraId="63AA076F" w14:textId="77777777" w:rsidR="00BF10A3" w:rsidRPr="00BF19BA" w:rsidRDefault="00BF10A3" w:rsidP="00BF10A3">
      <w:pPr>
        <w:rPr>
          <w:rFonts w:ascii="Courier New" w:eastAsiaTheme="minorHAnsi" w:hAnsi="Courier New" w:cstheme="minorBidi"/>
          <w:sz w:val="16"/>
        </w:rPr>
      </w:pPr>
    </w:p>
    <w:p w14:paraId="0CEC078B" w14:textId="77777777" w:rsidR="00BF10A3" w:rsidRPr="00AA6DFD" w:rsidRDefault="00BF10A3" w:rsidP="00BF10A3">
      <w:pPr>
        <w:spacing w:after="0" w:line="240" w:lineRule="auto"/>
        <w:ind w:firstLine="720"/>
        <w:rPr>
          <w:rFonts w:ascii="Courier New" w:hAnsi="Courier New" w:cs="Courier New"/>
          <w:i/>
          <w:sz w:val="24"/>
          <w:szCs w:val="24"/>
        </w:rPr>
      </w:pPr>
    </w:p>
    <w:p w14:paraId="55EA0748" w14:textId="77777777" w:rsidR="00BF10A3" w:rsidRPr="00AA6DFD" w:rsidRDefault="00BF10A3" w:rsidP="00BF10A3">
      <w:pPr>
        <w:spacing w:after="0" w:line="240" w:lineRule="auto"/>
        <w:rPr>
          <w:rFonts w:ascii="Courier New" w:hAnsi="Courier New" w:cs="Courier New"/>
          <w:b/>
          <w:sz w:val="24"/>
          <w:szCs w:val="24"/>
        </w:rPr>
      </w:pPr>
    </w:p>
    <w:p w14:paraId="0E26404F" w14:textId="77777777" w:rsidR="00BF10A3" w:rsidRPr="00AA6DFD" w:rsidRDefault="00BF10A3" w:rsidP="00BF10A3">
      <w:pPr>
        <w:spacing w:after="0" w:line="240" w:lineRule="auto"/>
        <w:rPr>
          <w:rFonts w:ascii="Courier New" w:hAnsi="Courier New" w:cs="Courier New"/>
          <w:b/>
          <w:sz w:val="24"/>
          <w:szCs w:val="24"/>
        </w:rPr>
      </w:pPr>
    </w:p>
    <w:p w14:paraId="6C7DC06F" w14:textId="77777777" w:rsidR="00BF10A3" w:rsidRPr="00B53B21" w:rsidRDefault="00BF10A3" w:rsidP="00BF10A3">
      <w:pPr>
        <w:pStyle w:val="riaheader2"/>
      </w:pPr>
      <w:r w:rsidRPr="00B53B21">
        <w:t>Identification, to the Extent Practicable, of All Relevant Federal Regulations that May Duplicate, Overlap, or Conflict with the Regulations</w:t>
      </w:r>
    </w:p>
    <w:p w14:paraId="2F4C42D5" w14:textId="77777777" w:rsidR="00BF10A3" w:rsidRPr="00AA6DFD" w:rsidRDefault="00BF10A3" w:rsidP="00BF10A3">
      <w:pPr>
        <w:autoSpaceDE w:val="0"/>
        <w:autoSpaceDN w:val="0"/>
        <w:adjustRightInd w:val="0"/>
        <w:spacing w:after="0" w:line="480" w:lineRule="auto"/>
        <w:ind w:firstLine="720"/>
        <w:rPr>
          <w:rFonts w:ascii="Courier New" w:hAnsi="Courier New" w:cs="Courier New"/>
          <w:sz w:val="24"/>
          <w:szCs w:val="24"/>
        </w:rPr>
      </w:pPr>
      <w:r w:rsidRPr="00AA6DFD">
        <w:rPr>
          <w:rFonts w:ascii="Courier New" w:hAnsi="Courier New" w:cs="Courier New"/>
          <w:sz w:val="24"/>
          <w:szCs w:val="24"/>
        </w:rPr>
        <w:t xml:space="preserve">The regulations are unlikely to conflict with or duplicate existing Federal regulations.  Under existing law and regulations, institutions are required to disclose data in a number of areas related to the regulations.  </w:t>
      </w:r>
    </w:p>
    <w:p w14:paraId="1BACBD6C" w14:textId="77777777" w:rsidR="00BF10A3" w:rsidRPr="00B53B21" w:rsidRDefault="00BF10A3" w:rsidP="00BF10A3">
      <w:pPr>
        <w:pStyle w:val="riaheader2"/>
      </w:pPr>
      <w:r w:rsidRPr="00B53B21">
        <w:t>Alternatives Considered</w:t>
      </w:r>
    </w:p>
    <w:p w14:paraId="4CEB9C1E" w14:textId="77777777" w:rsidR="00BF10A3" w:rsidRPr="00F828BD" w:rsidRDefault="00BF10A3" w:rsidP="00BF10A3">
      <w:pPr>
        <w:spacing w:after="0" w:line="480" w:lineRule="auto"/>
        <w:ind w:firstLine="720"/>
        <w:rPr>
          <w:rFonts w:ascii="Courier New" w:hAnsi="Courier New" w:cs="Courier New"/>
          <w:sz w:val="24"/>
          <w:szCs w:val="24"/>
        </w:rPr>
      </w:pPr>
      <w:r w:rsidRPr="00AA6DFD">
        <w:rPr>
          <w:rFonts w:ascii="Courier New" w:hAnsi="Courier New" w:cs="Courier New"/>
          <w:sz w:val="24"/>
          <w:szCs w:val="24"/>
        </w:rPr>
        <w:t>As previously described, we evaluated several alternative provisions for the regulations and their effect on different types of institutions, including small entities.  As discussed in “Regulatory Alternatives Considered,” several different approaches were analyzed, including, regarding the D/E rates measure, the use of different interest rates, amortization periods, and minimum n-size for programs to be evaluated, and additional or alternative metrics such as pCDR, placement rates, pre- and post-program earnings comparison, and a negative amortization test.  These alternatives are not specifically targeted at small entities, but the n-size alternative of 10 students completing a program may have had a larger effect on programs at small entities.</w:t>
      </w:r>
    </w:p>
    <w:p w14:paraId="05D11A78" w14:textId="77777777" w:rsidR="00BF10A3" w:rsidRPr="00F828BD" w:rsidRDefault="00BF10A3" w:rsidP="00BF10A3">
      <w:pPr>
        <w:spacing w:after="0" w:line="480" w:lineRule="auto"/>
        <w:ind w:firstLine="720"/>
        <w:rPr>
          <w:rFonts w:ascii="Courier New" w:hAnsi="Courier New" w:cs="Courier New"/>
          <w:sz w:val="24"/>
          <w:szCs w:val="24"/>
        </w:rPr>
      </w:pPr>
    </w:p>
    <w:p w14:paraId="41F132D4" w14:textId="77777777" w:rsidR="00BF10A3" w:rsidRPr="00771AFC" w:rsidRDefault="00BF10A3" w:rsidP="00BF10A3">
      <w:pPr>
        <w:rPr>
          <w:rFonts w:ascii="Courier New" w:hAnsi="Courier New" w:cs="Courier New"/>
          <w:sz w:val="24"/>
          <w:szCs w:val="24"/>
        </w:rPr>
      </w:pPr>
    </w:p>
    <w:p w14:paraId="724B11A2" w14:textId="77777777" w:rsidR="00DE3FA7" w:rsidRPr="00A93D71" w:rsidRDefault="00DE3FA7" w:rsidP="00A93D71">
      <w:pPr>
        <w:spacing w:after="0" w:line="480" w:lineRule="auto"/>
        <w:rPr>
          <w:rFonts w:ascii="Courier New" w:hAnsi="Courier New" w:cs="Courier New"/>
          <w:sz w:val="24"/>
          <w:szCs w:val="24"/>
        </w:rPr>
      </w:pPr>
    </w:p>
    <w:sectPr w:rsidR="00DE3FA7" w:rsidRPr="00A93D71" w:rsidSect="004D408A">
      <w:footerReference w:type="default" r:id="rId77"/>
      <w:pgSz w:w="12240" w:h="15840"/>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52664" w15:done="0"/>
  <w15:commentEx w15:paraId="19D0D93B" w15:done="0"/>
  <w15:commentEx w15:paraId="7146DD86" w15:done="0"/>
  <w15:commentEx w15:paraId="22E82307" w15:done="0"/>
  <w15:commentEx w15:paraId="2E67EC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A3622" w14:textId="77777777" w:rsidR="00CE5052" w:rsidRDefault="00CE5052" w:rsidP="001D71D1">
      <w:pPr>
        <w:spacing w:after="0" w:line="240" w:lineRule="auto"/>
      </w:pPr>
      <w:r>
        <w:separator/>
      </w:r>
    </w:p>
  </w:endnote>
  <w:endnote w:type="continuationSeparator" w:id="0">
    <w:p w14:paraId="4AF9D0A9" w14:textId="77777777" w:rsidR="00CE5052" w:rsidRDefault="00CE5052" w:rsidP="001D71D1">
      <w:pPr>
        <w:spacing w:after="0" w:line="240" w:lineRule="auto"/>
      </w:pPr>
      <w:r>
        <w:continuationSeparator/>
      </w:r>
    </w:p>
  </w:endnote>
  <w:endnote w:type="continuationNotice" w:id="1">
    <w:p w14:paraId="2244B6B8" w14:textId="77777777" w:rsidR="00CE5052" w:rsidRDefault="00CE5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ari Bod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20801"/>
      <w:docPartObj>
        <w:docPartGallery w:val="Page Numbers (Bottom of Page)"/>
        <w:docPartUnique/>
      </w:docPartObj>
    </w:sdtPr>
    <w:sdtEndPr>
      <w:rPr>
        <w:noProof/>
      </w:rPr>
    </w:sdtEndPr>
    <w:sdtContent>
      <w:p w14:paraId="3DBE50D7" w14:textId="77777777" w:rsidR="00BF10A3" w:rsidRDefault="00BF10A3">
        <w:pPr>
          <w:pStyle w:val="Footer"/>
          <w:jc w:val="center"/>
        </w:pPr>
        <w:r>
          <w:fldChar w:fldCharType="begin"/>
        </w:r>
        <w:r>
          <w:instrText xml:space="preserve"> PAGE   \* MERGEFORMAT </w:instrText>
        </w:r>
        <w:r>
          <w:fldChar w:fldCharType="separate"/>
        </w:r>
        <w:r w:rsidR="00375750">
          <w:rPr>
            <w:noProof/>
          </w:rPr>
          <w:t>1</w:t>
        </w:r>
        <w:r>
          <w:rPr>
            <w:noProof/>
          </w:rPr>
          <w:fldChar w:fldCharType="end"/>
        </w:r>
      </w:p>
    </w:sdtContent>
  </w:sdt>
  <w:p w14:paraId="49300F70" w14:textId="77777777" w:rsidR="00BF10A3" w:rsidRDefault="00BF1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448510"/>
      <w:docPartObj>
        <w:docPartGallery w:val="Page Numbers (Bottom of Page)"/>
        <w:docPartUnique/>
      </w:docPartObj>
    </w:sdtPr>
    <w:sdtEndPr>
      <w:rPr>
        <w:noProof/>
      </w:rPr>
    </w:sdtEndPr>
    <w:sdtContent>
      <w:p w14:paraId="497340BE" w14:textId="1FFF9898" w:rsidR="00A85766" w:rsidRDefault="00A85766">
        <w:pPr>
          <w:pStyle w:val="Footer"/>
          <w:jc w:val="center"/>
        </w:pPr>
        <w:r>
          <w:fldChar w:fldCharType="begin"/>
        </w:r>
        <w:r>
          <w:instrText xml:space="preserve"> PAGE   \* MERGEFORMAT </w:instrText>
        </w:r>
        <w:r>
          <w:fldChar w:fldCharType="separate"/>
        </w:r>
        <w:r w:rsidR="00CA7678">
          <w:rPr>
            <w:noProof/>
          </w:rPr>
          <w:t>918</w:t>
        </w:r>
        <w:r>
          <w:rPr>
            <w:noProof/>
          </w:rPr>
          <w:fldChar w:fldCharType="end"/>
        </w:r>
      </w:p>
    </w:sdtContent>
  </w:sdt>
  <w:p w14:paraId="06F2EE8C" w14:textId="77777777" w:rsidR="00A85766" w:rsidRDefault="00A85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BDE08" w14:textId="77777777" w:rsidR="00CE5052" w:rsidRDefault="00CE5052" w:rsidP="001D71D1">
      <w:pPr>
        <w:spacing w:after="0" w:line="240" w:lineRule="auto"/>
      </w:pPr>
      <w:r>
        <w:separator/>
      </w:r>
    </w:p>
  </w:footnote>
  <w:footnote w:type="continuationSeparator" w:id="0">
    <w:p w14:paraId="71E952ED" w14:textId="77777777" w:rsidR="00CE5052" w:rsidRDefault="00CE5052" w:rsidP="001D71D1">
      <w:pPr>
        <w:spacing w:after="0" w:line="240" w:lineRule="auto"/>
      </w:pPr>
      <w:r>
        <w:continuationSeparator/>
      </w:r>
    </w:p>
  </w:footnote>
  <w:footnote w:type="continuationNotice" w:id="1">
    <w:p w14:paraId="0B9099D0" w14:textId="77777777" w:rsidR="00CE5052" w:rsidRDefault="00CE5052">
      <w:pPr>
        <w:spacing w:after="0" w:line="240" w:lineRule="auto"/>
      </w:pPr>
    </w:p>
  </w:footnote>
  <w:footnote w:id="2">
    <w:p w14:paraId="5E757C3F" w14:textId="32DFF90B"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Please see “§668.404  Calculating D/E Rates” for details about the calculation of the D/E rates</w:t>
      </w:r>
      <w:r>
        <w:rPr>
          <w:rFonts w:ascii="Courier New" w:hAnsi="Courier New" w:cs="Courier New"/>
        </w:rPr>
        <w:t>.</w:t>
      </w:r>
    </w:p>
  </w:footnote>
  <w:footnote w:id="3">
    <w:p w14:paraId="7CA3CFC3" w14:textId="49F675F9"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Please see §668.404(a)(1) for the definition of the discretionary income rate.</w:t>
      </w:r>
    </w:p>
  </w:footnote>
  <w:footnote w:id="4">
    <w:p w14:paraId="31501A77" w14:textId="436CF1E1"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Please see §668.404(a)(2) for the definition of the annual earnings rate.</w:t>
      </w:r>
    </w:p>
  </w:footnote>
  <w:footnote w:id="5">
    <w:p w14:paraId="420726B6" w14:textId="6F428C34"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Please see the “Analysis of the Regulations: </w:t>
      </w:r>
      <w:r>
        <w:rPr>
          <w:rFonts w:ascii="Courier New" w:hAnsi="Courier New" w:cs="Courier New"/>
        </w:rPr>
        <w:t xml:space="preserve"> </w:t>
      </w:r>
      <w:r w:rsidRPr="002B5E80">
        <w:rPr>
          <w:rFonts w:ascii="Courier New" w:hAnsi="Courier New" w:cs="Courier New"/>
        </w:rPr>
        <w:t>Methodology for pCDR Calculations” in the Regulatory Impact Analysis</w:t>
      </w:r>
      <w:r>
        <w:rPr>
          <w:rFonts w:ascii="Courier New" w:hAnsi="Courier New" w:cs="Courier New"/>
        </w:rPr>
        <w:t>.</w:t>
      </w:r>
    </w:p>
  </w:footnote>
  <w:footnote w:id="6">
    <w:p w14:paraId="1E6E56FF" w14:textId="1F635E82"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NPSAS:2012</w:t>
      </w:r>
    </w:p>
  </w:footnote>
  <w:footnote w:id="7">
    <w:p w14:paraId="56FC12A2" w14:textId="2EA22D31"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lang w:val="de-DE"/>
        </w:rPr>
        <w:t xml:space="preserve"> Schneider, M. (2014). American Enterprise Institute. </w:t>
      </w:r>
      <w:r w:rsidRPr="002B5E80">
        <w:rPr>
          <w:rFonts w:ascii="Courier New" w:hAnsi="Courier New" w:cs="Courier New"/>
          <w:i/>
        </w:rPr>
        <w:t>Are Graduates from Public Universities Gainfully Employed? Analyzing Student Loan Debt and Gainful Employment.</w:t>
      </w:r>
      <w:r w:rsidRPr="002B5E80">
        <w:rPr>
          <w:rFonts w:ascii="Courier New" w:hAnsi="Courier New" w:cs="Courier New"/>
        </w:rPr>
        <w:t xml:space="preserve"> </w:t>
      </w:r>
    </w:p>
  </w:footnote>
  <w:footnote w:id="8">
    <w:p w14:paraId="1FFA5F28"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Kantrowitz, M. (2014). Edvisors Network Inc., Student Aid Policy Analysis. </w:t>
      </w:r>
      <w:r w:rsidRPr="002B5E80" w:rsidDel="00B73017">
        <w:rPr>
          <w:rFonts w:ascii="Courier New" w:hAnsi="Courier New" w:cs="Courier New"/>
          <w:i/>
        </w:rPr>
        <w:t>U.S. Department of Education Proposes Stricter Gainful Employment Rule.</w:t>
      </w:r>
      <w:r w:rsidRPr="002B5E80" w:rsidDel="00B73017">
        <w:rPr>
          <w:rFonts w:ascii="Courier New" w:hAnsi="Courier New" w:cs="Courier New"/>
        </w:rPr>
        <w:t xml:space="preserve"> </w:t>
      </w:r>
    </w:p>
  </w:footnote>
  <w:footnote w:id="9">
    <w:p w14:paraId="50D1233E" w14:textId="4E408183" w:rsidR="00A85766" w:rsidRPr="002B5E80" w:rsidRDefault="00A85766" w:rsidP="0072431B">
      <w:pPr>
        <w:pStyle w:val="Comment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National Postsecondary Student Aid Study (NPSAS) 2012. </w:t>
      </w:r>
      <w:r>
        <w:rPr>
          <w:rFonts w:ascii="Courier New" w:hAnsi="Courier New" w:cs="Courier New"/>
        </w:rPr>
        <w:t xml:space="preserve"> </w:t>
      </w:r>
      <w:r w:rsidRPr="002B5E80">
        <w:rPr>
          <w:rFonts w:ascii="Courier New" w:hAnsi="Courier New" w:cs="Courier New"/>
        </w:rPr>
        <w:t>Unpublished analysis of restricted-use data.</w:t>
      </w:r>
    </w:p>
    <w:p w14:paraId="0241DCA4" w14:textId="77777777" w:rsidR="00A85766" w:rsidRPr="002B5E80" w:rsidRDefault="00A85766" w:rsidP="0072431B">
      <w:pPr>
        <w:pStyle w:val="FootnoteText"/>
        <w:rPr>
          <w:rFonts w:ascii="Courier New" w:hAnsi="Courier New" w:cs="Courier New"/>
        </w:rPr>
      </w:pPr>
    </w:p>
  </w:footnote>
  <w:footnote w:id="10">
    <w:p w14:paraId="33BA2E42" w14:textId="77777777" w:rsidR="00A85766" w:rsidRPr="00A27954"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2B5E80" w:rsidDel="00B73017">
        <w:rPr>
          <w:rFonts w:ascii="Courier New" w:hAnsi="Courier New" w:cs="Courier New"/>
          <w:i/>
        </w:rPr>
        <w:t>Postsecondary Education: Student Outcomes Vary at For-Profit, Nonprofit, and Public Schools</w:t>
      </w:r>
      <w:r w:rsidRPr="002B5E80" w:rsidDel="00B73017">
        <w:rPr>
          <w:rFonts w:ascii="Courier New" w:hAnsi="Courier New" w:cs="Courier New"/>
        </w:rPr>
        <w:t xml:space="preserve"> (GAO-12-143), GAO, December 7, 2011.</w:t>
      </w:r>
    </w:p>
  </w:footnote>
  <w:footnote w:id="11">
    <w:p w14:paraId="0C34DCD1" w14:textId="77777777" w:rsidR="00A85766" w:rsidRPr="00A27954"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“For Profit Higher Education: The Failure to Safeguard the Federal Investment and Ensure Student Success,” Senate HELP Committee, July 30, 2012.</w:t>
      </w:r>
    </w:p>
  </w:footnote>
  <w:footnote w:id="12">
    <w:p w14:paraId="368F96DE" w14:textId="292B349A" w:rsidR="00A85766" w:rsidRPr="001D659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National Center for Education Statistics</w:t>
      </w:r>
      <w:r w:rsidRPr="002B5E80">
        <w:rPr>
          <w:rFonts w:ascii="Courier New" w:hAnsi="Courier New" w:cs="Courier New"/>
        </w:rPr>
        <w:t xml:space="preserve"> (NCES) (2014). Digest of Education Statistics (Table 222). Available at: </w:t>
      </w:r>
      <w:hyperlink r:id="rId1" w:history="1">
        <w:r w:rsidRPr="001D6595">
          <w:rPr>
            <w:rStyle w:val="Hyperlink"/>
            <w:rFonts w:ascii="Courier New" w:hAnsi="Courier New" w:cs="Courier New"/>
          </w:rPr>
          <w:t>http://nces.ed.gov/programs/digest/d12/tables/dt12_222.asp</w:t>
        </w:r>
      </w:hyperlink>
      <w:r w:rsidRPr="001D6595">
        <w:rPr>
          <w:rFonts w:ascii="Courier New" w:hAnsi="Courier New" w:cs="Courier New"/>
        </w:rPr>
        <w:t>.  This table provides evidence of the growth in fall enrollment.  For evidence of the growth in the number of institutions, please see the Digest of Education Statistics (Table 306) available at http://nces.ed.gov/programs/digest/d12/tables/dt12_306.asp.</w:t>
      </w:r>
    </w:p>
  </w:footnote>
  <w:footnote w:id="13">
    <w:p w14:paraId="3D9B9632" w14:textId="77777777" w:rsidR="00A85766" w:rsidRPr="001D6595" w:rsidRDefault="00A85766" w:rsidP="0072431B">
      <w:pPr>
        <w:pStyle w:val="FootnoteText"/>
        <w:rPr>
          <w:rFonts w:ascii="Courier New" w:hAnsi="Courier New" w:cs="Courier New"/>
        </w:rPr>
      </w:pPr>
      <w:r w:rsidRPr="001D6595">
        <w:rPr>
          <w:rStyle w:val="FootnoteReference"/>
          <w:rFonts w:ascii="Courier New" w:hAnsi="Courier New" w:cs="Courier New"/>
        </w:rPr>
        <w:footnoteRef/>
      </w:r>
      <w:r w:rsidRPr="001D6595">
        <w:rPr>
          <w:rFonts w:ascii="Courier New" w:hAnsi="Courier New" w:cs="Courier New"/>
        </w:rPr>
        <w:t xml:space="preserve"> Deming, D., Goldin, C., and Katz, L. (2012). </w:t>
      </w:r>
      <w:r w:rsidRPr="001D6595">
        <w:rPr>
          <w:rFonts w:ascii="Courier New" w:hAnsi="Courier New" w:cs="Courier New"/>
          <w:iCs/>
        </w:rPr>
        <w:t>The For-Profit Postsecondary School Sector: Nimble Critters or Agile Predators?</w:t>
      </w:r>
      <w:r w:rsidRPr="001D6595">
        <w:rPr>
          <w:rFonts w:ascii="Courier New" w:hAnsi="Courier New" w:cs="Courier New"/>
          <w:i/>
          <w:iCs/>
        </w:rPr>
        <w:t xml:space="preserve"> </w:t>
      </w:r>
      <w:r w:rsidRPr="001D6595">
        <w:rPr>
          <w:rFonts w:ascii="Courier New" w:hAnsi="Courier New" w:cs="Courier New"/>
          <w:i/>
        </w:rPr>
        <w:t>Journal of Economic Perspectives</w:t>
      </w:r>
      <w:r w:rsidRPr="001D6595">
        <w:rPr>
          <w:rFonts w:ascii="Courier New" w:hAnsi="Courier New" w:cs="Courier New"/>
        </w:rPr>
        <w:t>, 26(1), 139-164.</w:t>
      </w:r>
    </w:p>
  </w:footnote>
  <w:footnote w:id="14">
    <w:p w14:paraId="1AB2F535" w14:textId="798DB190" w:rsidR="00A85766" w:rsidRPr="001D6595" w:rsidRDefault="00A85766" w:rsidP="0072431B">
      <w:pPr>
        <w:pStyle w:val="FootnoteText"/>
        <w:rPr>
          <w:rFonts w:ascii="Courier New" w:hAnsi="Courier New" w:cs="Courier New"/>
        </w:rPr>
      </w:pPr>
      <w:r w:rsidRPr="001D6595">
        <w:rPr>
          <w:rStyle w:val="FootnoteReference"/>
          <w:rFonts w:ascii="Courier New" w:hAnsi="Courier New" w:cs="Courier New"/>
        </w:rPr>
        <w:footnoteRef/>
      </w:r>
      <w:r w:rsidRPr="001D6595">
        <w:rPr>
          <w:rFonts w:ascii="Courier New" w:hAnsi="Courier New" w:cs="Courier New"/>
        </w:rPr>
        <w:t xml:space="preserve"> U.S. Department of Education, Federal Student Aid, </w:t>
      </w:r>
      <w:r w:rsidRPr="001D6595">
        <w:rPr>
          <w:rFonts w:ascii="Courier New" w:hAnsi="Courier New" w:cs="Courier New"/>
          <w:i/>
        </w:rPr>
        <w:t xml:space="preserve">Title IV Program Volume Reports, </w:t>
      </w:r>
      <w:r w:rsidRPr="001D6595">
        <w:rPr>
          <w:rFonts w:ascii="Courier New" w:hAnsi="Courier New" w:cs="Courier New"/>
        </w:rPr>
        <w:t xml:space="preserve">available at </w:t>
      </w:r>
      <w:hyperlink r:id="rId2" w:history="1">
        <w:r w:rsidRPr="001D6595">
          <w:rPr>
            <w:rStyle w:val="Hyperlink"/>
            <w:rFonts w:ascii="Courier New" w:hAnsi="Courier New" w:cs="Courier New"/>
          </w:rPr>
          <w:t>https://studentaid.ed.gov/about/data-center/student/title-iv</w:t>
        </w:r>
      </w:hyperlink>
      <w:r w:rsidRPr="001D6595">
        <w:rPr>
          <w:rFonts w:ascii="Courier New" w:hAnsi="Courier New" w:cs="Courier New"/>
        </w:rPr>
        <w:t xml:space="preserve">.  The Department calculated the percentage of Federal Grants and FFEL and Direct student loans (excluding Parent PLUS) originated at for-profit institutions (including foreign) for award year 2000-2001 and award year 2013-2014.  </w:t>
      </w:r>
    </w:p>
  </w:footnote>
  <w:footnote w:id="15">
    <w:p w14:paraId="5D9ABEA3"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Deming, D., Goldin, C., and Katz, L. (2012). </w:t>
      </w:r>
      <w:r w:rsidRPr="002B5E80" w:rsidDel="00B73017">
        <w:rPr>
          <w:rFonts w:ascii="Courier New" w:hAnsi="Courier New" w:cs="Courier New"/>
          <w:iCs/>
        </w:rPr>
        <w:t>The For-Profit Postsecondary School Sector: Nimble Critters or Agile Predators?</w:t>
      </w:r>
      <w:r w:rsidRPr="002B5E80" w:rsidDel="00B73017">
        <w:rPr>
          <w:rFonts w:ascii="Courier New" w:hAnsi="Courier New" w:cs="Courier New"/>
          <w:i/>
          <w:iCs/>
        </w:rPr>
        <w:t xml:space="preserve"> </w:t>
      </w:r>
      <w:r w:rsidRPr="002B5E80" w:rsidDel="00B73017">
        <w:rPr>
          <w:rFonts w:ascii="Courier New" w:hAnsi="Courier New" w:cs="Courier New"/>
          <w:i/>
        </w:rPr>
        <w:t>Journal of Economic Perspectives</w:t>
      </w:r>
      <w:r w:rsidRPr="002B5E80" w:rsidDel="00B73017">
        <w:rPr>
          <w:rFonts w:ascii="Courier New" w:hAnsi="Courier New" w:cs="Courier New"/>
        </w:rPr>
        <w:t xml:space="preserve">, 26(1), 139-164. </w:t>
      </w:r>
    </w:p>
  </w:footnote>
  <w:footnote w:id="16">
    <w:p w14:paraId="1490603D"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1D6595" w:rsidDel="00B73017">
        <w:rPr>
          <w:rFonts w:ascii="Courier New" w:hAnsi="Courier New" w:cs="Courier New"/>
          <w:u w:val="single"/>
        </w:rPr>
        <w:t>Id</w:t>
      </w:r>
      <w:r w:rsidRPr="002B5E80" w:rsidDel="00B73017">
        <w:rPr>
          <w:rFonts w:ascii="Courier New" w:hAnsi="Courier New" w:cs="Courier New"/>
        </w:rPr>
        <w:t xml:space="preserve">. </w:t>
      </w:r>
    </w:p>
  </w:footnote>
  <w:footnote w:id="17">
    <w:p w14:paraId="05BFAC97" w14:textId="4BE1D54D" w:rsidR="00A85766" w:rsidRPr="00F166C3"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w:t>
      </w:r>
      <w:r w:rsidRPr="001D6595">
        <w:rPr>
          <w:rFonts w:ascii="Courier New" w:hAnsi="Courier New" w:cs="Courier New"/>
          <w:u w:val="single"/>
        </w:rPr>
        <w:t>Id</w:t>
      </w:r>
      <w:r w:rsidRPr="002B5E80">
        <w:rPr>
          <w:rFonts w:ascii="Courier New" w:hAnsi="Courier New" w:cs="Courier New"/>
        </w:rPr>
        <w:t>.</w:t>
      </w:r>
    </w:p>
  </w:footnote>
  <w:footnote w:id="18">
    <w:p w14:paraId="0DE046E1"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1D6595" w:rsidDel="00B73017">
        <w:rPr>
          <w:rFonts w:ascii="Courier New" w:hAnsi="Courier New" w:cs="Courier New"/>
          <w:u w:val="single"/>
        </w:rPr>
        <w:t>Id</w:t>
      </w:r>
      <w:r w:rsidRPr="002B5E80" w:rsidDel="00B73017">
        <w:rPr>
          <w:rFonts w:ascii="Courier New" w:hAnsi="Courier New" w:cs="Courier New"/>
        </w:rPr>
        <w:t>.</w:t>
      </w:r>
    </w:p>
  </w:footnote>
  <w:footnote w:id="19">
    <w:p w14:paraId="700BE0C8" w14:textId="77777777" w:rsidR="00A85766" w:rsidRPr="002B5E80" w:rsidDel="00B73017" w:rsidRDefault="00A85766" w:rsidP="0096107B">
      <w:pPr>
        <w:pStyle w:val="FootnoteText"/>
        <w:rPr>
          <w:rFonts w:ascii="Courier New" w:hAnsi="Courier New" w:cs="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Keller, J. (2011, January 13). Facing new cuts, California's colleges are shrinking their enrollments. </w:t>
      </w:r>
      <w:r w:rsidRPr="002B5E80" w:rsidDel="00B73017">
        <w:rPr>
          <w:rFonts w:ascii="Courier New" w:hAnsi="Courier New" w:cs="Courier New"/>
          <w:i/>
          <w:iCs/>
        </w:rPr>
        <w:t>Chronicle of Higher Education</w:t>
      </w:r>
      <w:r w:rsidRPr="002B5E80" w:rsidDel="00B73017">
        <w:rPr>
          <w:rFonts w:ascii="Courier New" w:hAnsi="Courier New" w:cs="Courier New"/>
        </w:rPr>
        <w:t>. Retrieved from http://chronicle.com/article/Facing-New-Cuts-</w:t>
      </w:r>
    </w:p>
    <w:p w14:paraId="12BB4E99" w14:textId="77777777" w:rsidR="00A85766" w:rsidRPr="002A50CA" w:rsidDel="00B73017" w:rsidRDefault="00A85766" w:rsidP="0096107B">
      <w:pPr>
        <w:pStyle w:val="FootnoteText"/>
        <w:rPr>
          <w:rFonts w:ascii="Courier New" w:hAnsi="Courier New"/>
        </w:rPr>
      </w:pPr>
      <w:r w:rsidRPr="002B5E80" w:rsidDel="00B73017">
        <w:rPr>
          <w:rFonts w:ascii="Courier New" w:hAnsi="Courier New" w:cs="Courier New"/>
        </w:rPr>
        <w:t>Californias/125945/.</w:t>
      </w:r>
    </w:p>
  </w:footnote>
  <w:footnote w:id="20">
    <w:p w14:paraId="5003DDC7" w14:textId="63144EC4" w:rsidR="00A85766" w:rsidRPr="00F166C3"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Cellini, S. R. (2009). Crowded Colleges and College Crowd-Out: The Impact of Public Subsidies on the Two-Year College Market. </w:t>
      </w:r>
      <w:r w:rsidRPr="002B5E80">
        <w:rPr>
          <w:rFonts w:ascii="Courier New" w:hAnsi="Courier New" w:cs="Courier New"/>
          <w:i/>
          <w:iCs/>
        </w:rPr>
        <w:t>American Economic Journal: Economic Policy</w:t>
      </w:r>
      <w:r w:rsidRPr="002B5E80">
        <w:rPr>
          <w:rFonts w:ascii="Courier New" w:hAnsi="Courier New" w:cs="Courier New"/>
        </w:rPr>
        <w:t>, 1(2): 1-30.</w:t>
      </w:r>
    </w:p>
  </w:footnote>
  <w:footnote w:id="21">
    <w:p w14:paraId="7002D253"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Deming, D.J., Goldin, C., and Katz, L.F. (2012). The For-Profit Postsecondary School Sector: Nimble Critters or Agile Predators? </w:t>
      </w:r>
      <w:r w:rsidRPr="002B5E80" w:rsidDel="00B73017">
        <w:rPr>
          <w:rFonts w:ascii="Courier New" w:hAnsi="Courier New" w:cs="Courier New"/>
          <w:i/>
        </w:rPr>
        <w:t>Journal of Economic Perspectives</w:t>
      </w:r>
      <w:r w:rsidRPr="002B5E80" w:rsidDel="00B73017">
        <w:rPr>
          <w:rFonts w:ascii="Courier New" w:hAnsi="Courier New" w:cs="Courier New"/>
        </w:rPr>
        <w:t>, 26(1), 139-164.</w:t>
      </w:r>
    </w:p>
  </w:footnote>
  <w:footnote w:id="22">
    <w:p w14:paraId="5E0439C4" w14:textId="617970B6" w:rsidR="00A85766" w:rsidRPr="001D6595" w:rsidRDefault="00A85766" w:rsidP="001D6595">
      <w:pPr>
        <w:rPr>
          <w:rFonts w:ascii="Courier New" w:hAnsi="Courier New"/>
          <w:sz w:val="20"/>
          <w:szCs w:val="20"/>
        </w:rPr>
      </w:pPr>
      <w:r w:rsidRPr="001D6595">
        <w:rPr>
          <w:rStyle w:val="FootnoteReference"/>
          <w:rFonts w:ascii="Courier New" w:hAnsi="Courier New"/>
          <w:sz w:val="20"/>
          <w:szCs w:val="20"/>
        </w:rPr>
        <w:footnoteRef/>
      </w:r>
      <w:r w:rsidRPr="001D6595">
        <w:rPr>
          <w:rFonts w:ascii="Courier New" w:hAnsi="Courier New"/>
          <w:sz w:val="20"/>
          <w:szCs w:val="20"/>
        </w:rPr>
        <w:t xml:space="preserve"> Apollo Group, Inc. (2013). Form 10-K</w:t>
      </w:r>
      <w:r w:rsidRPr="001D6595">
        <w:rPr>
          <w:rFonts w:ascii="Courier New" w:hAnsi="Courier New" w:cs="Courier New"/>
          <w:sz w:val="20"/>
          <w:szCs w:val="20"/>
        </w:rPr>
        <w:t xml:space="preserve"> for the fiscal year ended August 31, 2013.</w:t>
      </w:r>
      <w:r w:rsidRPr="001D6595">
        <w:rPr>
          <w:rFonts w:ascii="Courier New" w:hAnsi="Courier New"/>
          <w:sz w:val="20"/>
          <w:szCs w:val="20"/>
        </w:rPr>
        <w:t xml:space="preserve">  Available at </w:t>
      </w:r>
      <w:r w:rsidRPr="001D6595">
        <w:rPr>
          <w:rFonts w:ascii="Courier New" w:hAnsi="Courier New" w:cs="Courier New"/>
          <w:sz w:val="20"/>
          <w:szCs w:val="20"/>
        </w:rPr>
        <w:t>www.</w:t>
      </w:r>
      <w:r w:rsidRPr="001D6595">
        <w:rPr>
          <w:rFonts w:ascii="Courier New" w:hAnsi="Courier New"/>
          <w:sz w:val="20"/>
          <w:szCs w:val="20"/>
        </w:rPr>
        <w:t>sec.</w:t>
      </w:r>
      <w:r w:rsidRPr="001D6595">
        <w:rPr>
          <w:rFonts w:ascii="Courier New" w:hAnsi="Courier New" w:cs="Courier New"/>
          <w:sz w:val="20"/>
          <w:szCs w:val="20"/>
        </w:rPr>
        <w:t>gov/Archives/edgar/data/929887/000092988713000150/apol-aug312013x10k.htm.</w:t>
      </w:r>
    </w:p>
  </w:footnote>
  <w:footnote w:id="23">
    <w:p w14:paraId="3599DE26" w14:textId="77777777" w:rsidR="00A85766" w:rsidRPr="001D6595" w:rsidRDefault="00A85766" w:rsidP="0072431B">
      <w:pPr>
        <w:pStyle w:val="FootnoteText"/>
        <w:rPr>
          <w:rFonts w:ascii="Courier New" w:hAnsi="Courier New" w:cs="Courier New"/>
        </w:rPr>
      </w:pPr>
    </w:p>
  </w:footnote>
  <w:footnote w:id="24">
    <w:p w14:paraId="6AEC3563" w14:textId="77777777" w:rsidR="00A85766" w:rsidRPr="001D6595" w:rsidRDefault="00A85766" w:rsidP="0072431B">
      <w:pPr>
        <w:pStyle w:val="FootnoteText"/>
        <w:rPr>
          <w:rFonts w:ascii="Courier New" w:hAnsi="Courier New" w:cs="Courier New"/>
        </w:rPr>
      </w:pPr>
      <w:r w:rsidRPr="001D6595">
        <w:rPr>
          <w:rStyle w:val="FootnoteReference"/>
          <w:rFonts w:ascii="Courier New" w:hAnsi="Courier New" w:cs="Courier New"/>
        </w:rPr>
        <w:footnoteRef/>
      </w:r>
      <w:r w:rsidRPr="001D6595">
        <w:rPr>
          <w:rFonts w:ascii="Courier New" w:hAnsi="Courier New" w:cs="Courier New"/>
        </w:rPr>
        <w:t xml:space="preserve"> </w:t>
      </w:r>
      <w:r w:rsidRPr="001D6595">
        <w:rPr>
          <w:rFonts w:ascii="Courier New" w:hAnsi="Courier New" w:cs="Courier New"/>
          <w:u w:val="single"/>
        </w:rPr>
        <w:t>Id</w:t>
      </w:r>
      <w:r w:rsidRPr="001D6595">
        <w:rPr>
          <w:rFonts w:ascii="Courier New" w:hAnsi="Courier New" w:cs="Courier New"/>
        </w:rPr>
        <w:t>.</w:t>
      </w:r>
    </w:p>
  </w:footnote>
  <w:footnote w:id="25">
    <w:p w14:paraId="02C91227" w14:textId="75C1A4A7" w:rsidR="00A85766" w:rsidRPr="001D6595" w:rsidRDefault="00A85766" w:rsidP="0072431B">
      <w:pPr>
        <w:pStyle w:val="FootnoteText"/>
        <w:rPr>
          <w:rFonts w:ascii="Courier New" w:hAnsi="Courier New" w:cs="Courier New"/>
        </w:rPr>
      </w:pPr>
      <w:r w:rsidRPr="001D6595">
        <w:rPr>
          <w:rStyle w:val="FootnoteReference"/>
          <w:rFonts w:ascii="Courier New" w:hAnsi="Courier New" w:cs="Courier New"/>
        </w:rPr>
        <w:footnoteRef/>
      </w:r>
      <w:r w:rsidRPr="001D6595">
        <w:rPr>
          <w:rFonts w:ascii="Courier New" w:hAnsi="Courier New" w:cs="Courier New"/>
        </w:rPr>
        <w:t xml:space="preserve"> NCES, Digest of Education Statistics 2013 (Table 318.40) available at </w:t>
      </w:r>
      <w:hyperlink r:id="rId3" w:history="1">
        <w:r w:rsidRPr="001D6595">
          <w:rPr>
            <w:rStyle w:val="Hyperlink"/>
            <w:rFonts w:ascii="Courier New" w:hAnsi="Courier New" w:cs="Courier New"/>
          </w:rPr>
          <w:t>http://nces.ed.gov/programs/digest/d13/tables/dt13_318.40.asp</w:t>
        </w:r>
      </w:hyperlink>
      <w:r w:rsidRPr="001D6595">
        <w:rPr>
          <w:rFonts w:ascii="Courier New" w:hAnsi="Courier New" w:cs="Courier New"/>
        </w:rPr>
        <w:t>.  Indicates that in 2011-12, of 855,562 degrees and certificates awarded at for-profit institutions, approximately 75% (637,565)_were certificates or associate degrees.  At public institutions in 2011-12, approximately 45%, or 1,280,470 of 2,846,394 degrees and cert</w:t>
      </w:r>
      <w:r>
        <w:rPr>
          <w:rFonts w:ascii="Courier New" w:hAnsi="Courier New" w:cs="Courier New"/>
        </w:rPr>
        <w:t>i</w:t>
      </w:r>
      <w:r w:rsidRPr="001D6595">
        <w:rPr>
          <w:rFonts w:ascii="Courier New" w:hAnsi="Courier New" w:cs="Courier New"/>
        </w:rPr>
        <w:t>ficates awarded, were certificates or associate degrees.</w:t>
      </w:r>
    </w:p>
  </w:footnote>
  <w:footnote w:id="26">
    <w:p w14:paraId="76CA06F4"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1D6595">
        <w:rPr>
          <w:rFonts w:ascii="Courier New" w:hAnsi="Courier New" w:cs="Courier New"/>
          <w:u w:val="single"/>
        </w:rPr>
        <w:t>Id</w:t>
      </w:r>
      <w:r w:rsidRPr="002B5E80">
        <w:rPr>
          <w:rFonts w:ascii="Courier New" w:hAnsi="Courier New" w:cs="Courier New"/>
        </w:rPr>
        <w:t>.</w:t>
      </w:r>
    </w:p>
  </w:footnote>
  <w:footnote w:id="27">
    <w:p w14:paraId="3F79C5F7"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Cellini, S. R., and Darolia, R. (2013). College Costs and Financial Constraints: Student Borrowing at For-Profit Institutions. Unpublished manuscript. Available at www.upjohn.org/stuloanconf/Cellini_Darolia.pdf.</w:t>
      </w:r>
    </w:p>
  </w:footnote>
  <w:footnote w:id="28">
    <w:p w14:paraId="3DAC60C8"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u w:val="single"/>
        </w:rPr>
        <w:t>Id</w:t>
      </w:r>
      <w:r w:rsidRPr="002B5E80">
        <w:rPr>
          <w:rFonts w:ascii="Courier New" w:hAnsi="Courier New" w:cs="Courier New"/>
        </w:rPr>
        <w:t>.</w:t>
      </w:r>
    </w:p>
  </w:footnote>
  <w:footnote w:id="29">
    <w:p w14:paraId="1909C082"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Deming, D.J., Goldin, C., and Katz, L.F. (2012). The For-Profit Postsecondary School Sector: Nimble Critters or Agile Predators? </w:t>
      </w:r>
      <w:r w:rsidRPr="002B5E80">
        <w:rPr>
          <w:rFonts w:ascii="Courier New" w:hAnsi="Courier New" w:cs="Courier New"/>
          <w:i/>
        </w:rPr>
        <w:t>Journal of Economic Perspectives</w:t>
      </w:r>
      <w:r w:rsidRPr="002B5E80">
        <w:rPr>
          <w:rFonts w:ascii="Courier New" w:hAnsi="Courier New" w:cs="Courier New"/>
        </w:rPr>
        <w:t>, 26(1), 139-164.</w:t>
      </w:r>
    </w:p>
  </w:footnote>
  <w:footnote w:id="30">
    <w:p w14:paraId="262B0BA0"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National Postsecondary Student Aid Study (NPSAS) 2012. Unpublished analysis of restricted-use data using the NCES PowerStats tool available at http://nces.ed.gov/datalab/postsecondary/index.aspx.</w:t>
      </w:r>
    </w:p>
  </w:footnote>
  <w:footnote w:id="31">
    <w:p w14:paraId="5C69CF24"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8819B1">
        <w:rPr>
          <w:rFonts w:ascii="Courier New" w:hAnsi="Courier New"/>
          <w:u w:val="single"/>
        </w:rPr>
        <w:t>Id</w:t>
      </w:r>
      <w:r w:rsidRPr="002B5E80">
        <w:rPr>
          <w:rFonts w:ascii="Courier New" w:hAnsi="Courier New" w:cs="Courier New"/>
        </w:rPr>
        <w:t>.</w:t>
      </w:r>
    </w:p>
  </w:footnote>
  <w:footnote w:id="32">
    <w:p w14:paraId="623C85FF" w14:textId="6FB884D0" w:rsidR="00A85766" w:rsidRPr="00F55DF5" w:rsidRDefault="00A85766" w:rsidP="0072431B">
      <w:pPr>
        <w:pStyle w:val="FootnoteText"/>
        <w:rPr>
          <w:rFonts w:ascii="Courier New" w:hAnsi="Courier New"/>
        </w:rPr>
      </w:pPr>
    </w:p>
  </w:footnote>
  <w:footnote w:id="33">
    <w:p w14:paraId="46ED7362" w14:textId="72C977F4" w:rsidR="00A85766" w:rsidRPr="00A27954" w:rsidRDefault="00A85766" w:rsidP="0072431B">
      <w:pPr>
        <w:pStyle w:val="FootnoteText"/>
        <w:rPr>
          <w:rFonts w:ascii="Courier New" w:hAnsi="Courier New"/>
        </w:rPr>
      </w:pPr>
    </w:p>
  </w:footnote>
  <w:footnote w:id="34">
    <w:p w14:paraId="1E705816"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Darolia, R. (2013). Student Loan Repayment and College Accountability. Federal Reserve Bank of Philadelphia.  </w:t>
      </w:r>
    </w:p>
  </w:footnote>
  <w:footnote w:id="35">
    <w:p w14:paraId="56F00388"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Deming, D.J., Goldin, C., and Katz, L.F. (2012). The For-Profit Postsecondary School Sector: Nimble Critters or Agile Predators? </w:t>
      </w:r>
      <w:r w:rsidRPr="002B5E80">
        <w:rPr>
          <w:rFonts w:ascii="Courier New" w:hAnsi="Courier New" w:cs="Courier New"/>
          <w:i/>
        </w:rPr>
        <w:t>Journal of Economic Perspectives</w:t>
      </w:r>
      <w:r w:rsidRPr="002B5E80">
        <w:rPr>
          <w:rFonts w:ascii="Courier New" w:hAnsi="Courier New" w:cs="Courier New"/>
        </w:rPr>
        <w:t>, 26(1), 139-164.</w:t>
      </w:r>
    </w:p>
  </w:footnote>
  <w:footnote w:id="36">
    <w:p w14:paraId="50C45372" w14:textId="3CF761C4"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Based on the Department’s analysis of the three-year cohort default rates for fiscal year 2011, U.S. Department of Education, available at http://www2.ed.gov/offices/OSFAP/defaultmanagement/schooltyperates.pdf.</w:t>
      </w:r>
    </w:p>
  </w:footnote>
  <w:footnote w:id="37">
    <w:p w14:paraId="2D194197" w14:textId="77777777" w:rsidR="00A85766" w:rsidRPr="00D24E75" w:rsidRDefault="00A85766" w:rsidP="0072431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Federal Student Aid, </w:t>
      </w:r>
      <w:r w:rsidRPr="002B5E80">
        <w:rPr>
          <w:rFonts w:ascii="Courier New" w:hAnsi="Courier New" w:cs="Courier New"/>
          <w:i/>
        </w:rPr>
        <w:t>Default Rates for Cohort Years 2007-2011</w:t>
      </w:r>
      <w:r w:rsidRPr="002B5E80">
        <w:rPr>
          <w:rFonts w:ascii="Courier New" w:hAnsi="Courier New" w:cs="Courier New"/>
        </w:rPr>
        <w:t>,</w:t>
      </w:r>
      <w:r w:rsidRPr="002B5E80">
        <w:rPr>
          <w:rFonts w:ascii="Courier New" w:hAnsi="Courier New" w:cs="Courier New"/>
          <w:i/>
        </w:rPr>
        <w:t xml:space="preserve"> </w:t>
      </w:r>
      <w:r w:rsidRPr="002B5E80">
        <w:rPr>
          <w:rFonts w:ascii="Courier New" w:hAnsi="Courier New" w:cs="Courier New"/>
        </w:rPr>
        <w:t>www.ifap.ed.gov/eannouncements/attachments/060614DefaultRatesforCohortYears20072011.pdf.</w:t>
      </w:r>
      <w:r w:rsidRPr="002B5E80" w:rsidDel="00B31F97">
        <w:rPr>
          <w:rFonts w:ascii="Courier New" w:hAnsi="Courier New" w:cs="Courier New"/>
        </w:rPr>
        <w:t xml:space="preserve"> </w:t>
      </w:r>
    </w:p>
  </w:footnote>
  <w:footnote w:id="38">
    <w:p w14:paraId="175A19E6"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Postsecondary Education: Student Outcomes Vary at For-Profit, Nonprofit, and Public Schools (GAO-12-143), GAO, December 7, 2011.</w:t>
      </w:r>
    </w:p>
  </w:footnote>
  <w:footnote w:id="39">
    <w:p w14:paraId="76A037A3"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For Profit Higher Education: The Failure to Safeguard the Federal Investment and Ensure Student Success, Senate HELP Committee, July 30, 2012.</w:t>
      </w:r>
    </w:p>
  </w:footnote>
  <w:footnote w:id="40">
    <w:p w14:paraId="7B83530F"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8819B1" w:rsidDel="00B73017">
        <w:rPr>
          <w:rFonts w:ascii="Courier New" w:hAnsi="Courier New"/>
          <w:u w:val="single"/>
        </w:rPr>
        <w:t>Id</w:t>
      </w:r>
      <w:r w:rsidRPr="002B5E80" w:rsidDel="00B73017">
        <w:rPr>
          <w:rFonts w:ascii="Courier New" w:hAnsi="Courier New" w:cs="Courier New"/>
        </w:rPr>
        <w:t>.</w:t>
      </w:r>
    </w:p>
  </w:footnote>
  <w:footnote w:id="41">
    <w:p w14:paraId="7816678C"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8819B1" w:rsidDel="00B73017">
        <w:rPr>
          <w:rFonts w:ascii="Courier New" w:hAnsi="Courier New"/>
          <w:u w:val="single"/>
        </w:rPr>
        <w:t>Id</w:t>
      </w:r>
      <w:r w:rsidRPr="002B5E80" w:rsidDel="00B73017">
        <w:rPr>
          <w:rFonts w:ascii="Courier New" w:hAnsi="Courier New" w:cs="Courier New"/>
        </w:rPr>
        <w:t>.</w:t>
      </w:r>
    </w:p>
  </w:footnote>
  <w:footnote w:id="42">
    <w:p w14:paraId="76E72C57" w14:textId="5C30BB2B" w:rsidR="00A85766" w:rsidRPr="002B5E80" w:rsidDel="00B73017" w:rsidRDefault="00A85766" w:rsidP="0096107B">
      <w:pPr>
        <w:pStyle w:val="FootnoteText"/>
        <w:rPr>
          <w:rFonts w:ascii="Courier New" w:hAnsi="Courier New" w:cs="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The commenter suggests that the fact that the report was not “voted on” by the committee renders the report suspect.  The commenter cites no rule that requires reports issued “by the committee” or even by committee staff to be voted on.  The report states that it is “Prepared </w:t>
      </w:r>
      <w:r w:rsidRPr="002B5E80">
        <w:rPr>
          <w:rFonts w:ascii="Courier New" w:hAnsi="Courier New" w:cs="Courier New"/>
          <w:i/>
        </w:rPr>
        <w:t>by</w:t>
      </w:r>
      <w:r w:rsidRPr="002B5E80">
        <w:rPr>
          <w:rFonts w:ascii="Courier New" w:hAnsi="Courier New" w:cs="Courier New"/>
        </w:rPr>
        <w:t xml:space="preserve"> the Committee on Health, Education, Labor, and Pensions, United States Senate.” S. Prt. No. 112-37.  Because no bill accompanied the report, it is not clear why any vote would be in order. </w:t>
      </w:r>
    </w:p>
  </w:footnote>
  <w:footnote w:id="43">
    <w:p w14:paraId="1D9D02D0" w14:textId="39905D31"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We cite findings in the HELP report in three paragraphs on two pages of the preamble of the NPRM. 79 FR 16434, 16435 (virtually identical language is repeated in the Regulatory Impact Analysis at 79 FR 16937, 16938).  Two of those paragraphs also cite to the GAO report.  We note that the same commenter asserts that Congress has already “addressed” these abuses by banning incentive compensation for recruiters, proscriptions that an industry trade group has vigorously opposed in litigation.  </w:t>
      </w:r>
      <w:r w:rsidRPr="002B5E80">
        <w:rPr>
          <w:rFonts w:ascii="Courier New" w:hAnsi="Courier New" w:cs="Courier New"/>
          <w:u w:val="single"/>
        </w:rPr>
        <w:t>APSCU v. Duncan</w:t>
      </w:r>
      <w:r w:rsidRPr="002B5E80">
        <w:rPr>
          <w:rFonts w:ascii="Courier New" w:hAnsi="Courier New" w:cs="Courier New"/>
        </w:rPr>
        <w:t xml:space="preserve">, 681 F.3d 427 (D.C. Cir. 2012).  </w:t>
      </w:r>
    </w:p>
  </w:footnote>
  <w:footnote w:id="44">
    <w:p w14:paraId="2B81AD1F" w14:textId="34F73FD6" w:rsidR="00A85766" w:rsidRPr="002B5E80" w:rsidDel="00B73017" w:rsidRDefault="00A85766" w:rsidP="0053510E">
      <w:pPr>
        <w:pStyle w:val="FootnoteText"/>
        <w:tabs>
          <w:tab w:val="left" w:pos="1171"/>
        </w:tabs>
        <w:rPr>
          <w:rFonts w:ascii="Courier New" w:hAnsi="Courier New" w:cs="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53510E" w:rsidDel="00B73017">
        <w:rPr>
          <w:rFonts w:ascii="Courier New" w:hAnsi="Courier New" w:cs="Courier New"/>
          <w:u w:val="single"/>
        </w:rPr>
        <w:t>Id</w:t>
      </w:r>
      <w:r w:rsidRPr="002B5E80" w:rsidDel="00B73017">
        <w:rPr>
          <w:rFonts w:ascii="Courier New" w:hAnsi="Courier New" w:cs="Courier New"/>
        </w:rPr>
        <w:t xml:space="preserve">. </w:t>
      </w:r>
    </w:p>
  </w:footnote>
  <w:footnote w:id="45">
    <w:p w14:paraId="3AB8296D" w14:textId="77777777" w:rsidR="00A85766" w:rsidRPr="00D24E75" w:rsidRDefault="00A85766" w:rsidP="006377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“Students Attending For-Profit Postsecondary Institutions: Demographics, Enrollment Characteristics, and 6-Year Outcomes” (NCES 2012-173). Available at: http://nces.ed.gov/pubsearch/pubsinfo.asp?pubid=2012173</w:t>
      </w:r>
    </w:p>
  </w:footnote>
  <w:footnote w:id="46">
    <w:p w14:paraId="28DB43A6" w14:textId="1B214940"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w:t>
      </w:r>
      <w:r w:rsidRPr="00AA0B3C">
        <w:rPr>
          <w:rFonts w:ascii="Courier New" w:hAnsi="Courier New" w:cs="Courier New"/>
          <w:color w:val="000000"/>
          <w:u w:val="single"/>
          <w:shd w:val="clear" w:color="auto" w:fill="FFFFFF"/>
        </w:rPr>
        <w:t>Id</w:t>
      </w:r>
      <w:r>
        <w:rPr>
          <w:rFonts w:ascii="Courier New" w:hAnsi="Courier New" w:cs="Courier New"/>
          <w:color w:val="000000"/>
          <w:shd w:val="clear" w:color="auto" w:fill="FFFFFF"/>
        </w:rPr>
        <w:t>.</w:t>
      </w:r>
    </w:p>
  </w:footnote>
  <w:footnote w:id="47">
    <w:p w14:paraId="7EBEF26B" w14:textId="48BA0138" w:rsidR="00A85766" w:rsidRPr="00AA0B3C" w:rsidRDefault="00A85766" w:rsidP="00AA0B3C"/>
  </w:footnote>
  <w:footnote w:id="48">
    <w:p w14:paraId="7E66FF22" w14:textId="3AA703D2" w:rsidR="00A85766" w:rsidRPr="00F24A9F" w:rsidRDefault="00A85766" w:rsidP="0072431B">
      <w:pPr>
        <w:pStyle w:val="FootnoteText"/>
        <w:rPr>
          <w:rFonts w:ascii="Courier New" w:hAnsi="Courier New"/>
        </w:rPr>
      </w:pPr>
    </w:p>
  </w:footnote>
  <w:footnote w:id="49">
    <w:p w14:paraId="5056BCC1" w14:textId="344A598C" w:rsidR="00A85766" w:rsidRPr="00F166C3"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NCES, “Transferability of Postsecondary Credit Following Student Transfer or Coenrollment,” NCES 2014-163, table 8.</w:t>
      </w:r>
      <w:r w:rsidRPr="002B5E80">
        <w:rPr>
          <w:rStyle w:val="Hyperlink"/>
          <w:color w:val="000000"/>
          <w:shd w:val="clear" w:color="auto" w:fill="FFFFFF"/>
        </w:rPr>
        <w:t xml:space="preserve"> </w:t>
      </w:r>
    </w:p>
  </w:footnote>
  <w:footnote w:id="50">
    <w:p w14:paraId="2A940644" w14:textId="5F7A991D"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lang w:val="it-IT"/>
        </w:rPr>
        <w:t xml:space="preserve"> Cellini, S. R., and Darolia, R. (2013). </w:t>
      </w:r>
      <w:r w:rsidRPr="002B5E80">
        <w:rPr>
          <w:rFonts w:ascii="Courier New" w:hAnsi="Courier New" w:cs="Courier New"/>
        </w:rPr>
        <w:t>College Costs and Financial Constraints: Student Borrowing at For-Profit Institutions. Unpublished manuscript. Available at www.upjohn.org/stuloanconf/Cellini_Darolia.pdf.</w:t>
      </w:r>
    </w:p>
  </w:footnote>
  <w:footnote w:id="51">
    <w:p w14:paraId="0BC1237E" w14:textId="77777777"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Darolia, R. (2013). Student Loan Repayment and College Accountability. Federal Reserve Bank of Philadelphia.  </w:t>
      </w:r>
    </w:p>
  </w:footnote>
  <w:footnote w:id="52">
    <w:p w14:paraId="0B7B4283" w14:textId="7D50E471" w:rsidR="00A85766" w:rsidRPr="00D24E75"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D24E75">
        <w:rPr>
          <w:rFonts w:ascii="Courier New" w:hAnsi="Courier New" w:cs="Courier New"/>
          <w:lang w:val="it-IT"/>
        </w:rPr>
        <w:t xml:space="preserve"> Cellini, S. R., and Darolia, R. (2013). </w:t>
      </w:r>
      <w:r w:rsidRPr="002B5E80">
        <w:rPr>
          <w:rFonts w:ascii="Courier New" w:hAnsi="Courier New" w:cs="Courier New"/>
        </w:rPr>
        <w:t>College Costs and Financial Constraints: Student Borrowing at For-Profit Institutions. Unpublished manuscript. Available at www.upjohn.org/stuloanconf/Cellini_Darolia.pdf.</w:t>
      </w:r>
    </w:p>
  </w:footnote>
  <w:footnote w:id="53">
    <w:p w14:paraId="480FA88D"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A50CA" w:rsidDel="00B73017">
        <w:rPr>
          <w:rFonts w:ascii="Courier New" w:hAnsi="Courier New"/>
          <w:lang w:val="de-DE"/>
        </w:rPr>
        <w:t xml:space="preserve"> Lang, K., and Weinstein, R. (2013). </w:t>
      </w:r>
      <w:r w:rsidRPr="002B5E80" w:rsidDel="00B73017">
        <w:rPr>
          <w:rFonts w:ascii="Courier New" w:hAnsi="Courier New" w:cs="Courier New"/>
        </w:rPr>
        <w:t xml:space="preserve">“The Wage Effects of Not-for-Profit and For-Profit Certifications: Better Data, Somewhat Different Results.” NBER Working Paper. </w:t>
      </w:r>
    </w:p>
  </w:footnote>
  <w:footnote w:id="54">
    <w:p w14:paraId="1BC1FDAB"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Deming, D., Goldin, C., and Katz, L. The For-Profit Postsecondary School Sector:  Nimble Critters or Agile Predators? </w:t>
      </w:r>
      <w:r w:rsidRPr="002B5E80" w:rsidDel="00B73017">
        <w:rPr>
          <w:rFonts w:ascii="Courier New" w:hAnsi="Courier New" w:cs="Courier New"/>
          <w:i/>
        </w:rPr>
        <w:t>Journal of Economic Perspectives</w:t>
      </w:r>
      <w:r w:rsidRPr="002B5E80" w:rsidDel="00B73017">
        <w:rPr>
          <w:rFonts w:ascii="Courier New" w:hAnsi="Courier New" w:cs="Courier New"/>
        </w:rPr>
        <w:t>, vol. 26, no. 1, Winter 2012.</w:t>
      </w:r>
    </w:p>
  </w:footnote>
  <w:footnote w:id="55">
    <w:p w14:paraId="7C2D57CB" w14:textId="77777777" w:rsidR="00A85766" w:rsidRPr="002B5E80" w:rsidDel="00B73017" w:rsidRDefault="00A85766" w:rsidP="0096107B">
      <w:pPr>
        <w:rPr>
          <w:rFonts w:ascii="Courier New" w:hAnsi="Courier New" w:cs="Courier New"/>
          <w:sz w:val="20"/>
          <w:szCs w:val="20"/>
        </w:rPr>
      </w:pPr>
    </w:p>
    <w:p w14:paraId="728DFC4E" w14:textId="77777777" w:rsidR="00A85766" w:rsidRPr="00BF5898" w:rsidDel="00B73017" w:rsidRDefault="00A85766" w:rsidP="0096107B">
      <w:pPr>
        <w:rPr>
          <w:rFonts w:ascii="Courier New" w:hAnsi="Courier New" w:cs="Courier New"/>
          <w:sz w:val="20"/>
          <w:szCs w:val="20"/>
        </w:rPr>
      </w:pPr>
    </w:p>
  </w:footnote>
  <w:footnote w:id="56">
    <w:p w14:paraId="4C153C63"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For-Profit Colleges:  Undercover Testing Finds Colleges Encouraged Fraud and Engaged in Deceptive and Questionable Marketing Practices (GAO-10-948T), GAO, August 4, 2010 (reissued November 30, 2010).</w:t>
      </w:r>
    </w:p>
  </w:footnote>
  <w:footnote w:id="57">
    <w:p w14:paraId="65BA8C23"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BF5898" w:rsidDel="00B73017">
        <w:rPr>
          <w:rFonts w:ascii="Courier New" w:hAnsi="Courier New" w:cs="Courier New"/>
          <w:u w:val="single"/>
        </w:rPr>
        <w:t>Id</w:t>
      </w:r>
      <w:r w:rsidRPr="002B5E80" w:rsidDel="00B73017">
        <w:rPr>
          <w:rFonts w:ascii="Courier New" w:hAnsi="Courier New" w:cs="Courier New"/>
        </w:rPr>
        <w:t>.</w:t>
      </w:r>
    </w:p>
  </w:footnote>
  <w:footnote w:id="58">
    <w:p w14:paraId="409F0351"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For Profit Higher Education:  The Failure to Safeguard the Federal Investment and Ensure Student Success, Senate HELP Committee, July 30, 2012.</w:t>
      </w:r>
    </w:p>
  </w:footnote>
  <w:footnote w:id="59">
    <w:p w14:paraId="2F4F03C8" w14:textId="77777777" w:rsidR="00A85766" w:rsidRPr="002A50CA"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sidDel="00B73017">
        <w:rPr>
          <w:rFonts w:ascii="Courier New" w:hAnsi="Courier New" w:cs="Courier New"/>
        </w:rPr>
        <w:t xml:space="preserve"> </w:t>
      </w:r>
      <w:r w:rsidRPr="00BF5898" w:rsidDel="00B73017">
        <w:rPr>
          <w:rFonts w:ascii="Courier New" w:hAnsi="Courier New" w:cs="Courier New"/>
          <w:u w:val="single"/>
        </w:rPr>
        <w:t>Id</w:t>
      </w:r>
      <w:r w:rsidRPr="002B5E80" w:rsidDel="00B73017">
        <w:rPr>
          <w:rFonts w:ascii="Courier New" w:hAnsi="Courier New" w:cs="Courier New"/>
        </w:rPr>
        <w:t>.</w:t>
      </w:r>
    </w:p>
  </w:footnote>
  <w:footnote w:id="60">
    <w:p w14:paraId="2DEC659D" w14:textId="542026AD" w:rsidR="00A85766" w:rsidRPr="00455855" w:rsidDel="00B73017" w:rsidRDefault="00A85766" w:rsidP="00455855">
      <w:pPr>
        <w:pStyle w:val="Heading1"/>
        <w:shd w:val="clear" w:color="auto" w:fill="FFFFFF"/>
        <w:spacing w:line="240" w:lineRule="auto"/>
        <w:rPr>
          <w:sz w:val="20"/>
          <w:szCs w:val="20"/>
        </w:rPr>
      </w:pPr>
      <w:r w:rsidRPr="00455855" w:rsidDel="00B73017">
        <w:rPr>
          <w:rStyle w:val="FootnoteReference"/>
          <w:rFonts w:cs="Courier New"/>
          <w:sz w:val="20"/>
          <w:szCs w:val="20"/>
        </w:rPr>
        <w:footnoteRef/>
      </w:r>
      <w:r w:rsidRPr="00455855" w:rsidDel="00B73017">
        <w:rPr>
          <w:sz w:val="20"/>
          <w:szCs w:val="20"/>
        </w:rPr>
        <w:t xml:space="preserve"> </w:t>
      </w:r>
      <w:r w:rsidDel="00B73017">
        <w:rPr>
          <w:sz w:val="20"/>
          <w:szCs w:val="20"/>
        </w:rPr>
        <w:t>“</w:t>
      </w:r>
      <w:r w:rsidRPr="00455855" w:rsidDel="00B73017">
        <w:rPr>
          <w:bCs/>
          <w:sz w:val="20"/>
          <w:szCs w:val="20"/>
        </w:rPr>
        <w:t>U.S. to Join Suit Against For-Profit College Chain</w:t>
      </w:r>
      <w:r w:rsidDel="00B73017">
        <w:rPr>
          <w:bCs/>
          <w:sz w:val="20"/>
          <w:szCs w:val="20"/>
        </w:rPr>
        <w:t xml:space="preserve">,” The New York Times, May 2, 2011.  Available at: </w:t>
      </w:r>
      <w:r w:rsidRPr="00455855" w:rsidDel="00B73017">
        <w:rPr>
          <w:sz w:val="20"/>
          <w:szCs w:val="20"/>
        </w:rPr>
        <w:t>http://www.nytimes.com/2011/05/03/education/03edmc.html?_r=0</w:t>
      </w:r>
      <w:r w:rsidDel="00B73017">
        <w:rPr>
          <w:sz w:val="20"/>
          <w:szCs w:val="20"/>
        </w:rPr>
        <w:t>.</w:t>
      </w:r>
    </w:p>
  </w:footnote>
  <w:footnote w:id="61">
    <w:p w14:paraId="0550E2D5" w14:textId="77777777" w:rsidR="00A85766" w:rsidRPr="00BF5898" w:rsidDel="00B73017" w:rsidRDefault="00A85766" w:rsidP="0096107B">
      <w:pPr>
        <w:pStyle w:val="FootnoteText"/>
        <w:contextualSpacing/>
        <w:rPr>
          <w:rFonts w:ascii="Courier New" w:hAnsi="Courier New" w:cs="Courier New"/>
        </w:rPr>
      </w:pPr>
      <w:r w:rsidRPr="00BF5898" w:rsidDel="00B73017">
        <w:rPr>
          <w:rStyle w:val="FootnoteReference"/>
          <w:rFonts w:ascii="Courier New" w:hAnsi="Courier New" w:cs="Courier New"/>
        </w:rPr>
        <w:footnoteRef/>
      </w:r>
      <w:r w:rsidRPr="00BF5898" w:rsidDel="00B73017">
        <w:rPr>
          <w:rFonts w:ascii="Courier New" w:hAnsi="Courier New" w:cs="Courier New"/>
        </w:rPr>
        <w:t xml:space="preserve"> “A.G. Schneiderman Announces Groundbreaking $10.25 Million Dollar Settlement with For-Profit Education Company That Inflated Job Placement Rates to Attract Students,” press release, Aug. 19, 2013.  Available at: </w:t>
      </w:r>
      <w:hyperlink r:id="rId4" w:history="1">
        <w:r w:rsidRPr="00BF5898" w:rsidDel="00B73017">
          <w:rPr>
            <w:rStyle w:val="Hyperlink"/>
            <w:rFonts w:ascii="Courier New" w:hAnsi="Courier New" w:cs="Courier New"/>
          </w:rPr>
          <w:t>www.ag.ny.gov/press-release/ag-schneiderman-announces-groundbreaking-1025-million-dollar-settlement-profit</w:t>
        </w:r>
      </w:hyperlink>
      <w:r w:rsidRPr="00BF5898" w:rsidDel="00B73017">
        <w:rPr>
          <w:rFonts w:ascii="Courier New" w:hAnsi="Courier New" w:cs="Courier New"/>
        </w:rPr>
        <w:t xml:space="preserve">. </w:t>
      </w:r>
    </w:p>
  </w:footnote>
  <w:footnote w:id="62">
    <w:p w14:paraId="0B1AAA52" w14:textId="77777777" w:rsidR="00A85766" w:rsidRPr="00BF5898" w:rsidDel="00B73017" w:rsidRDefault="00A85766" w:rsidP="0096107B">
      <w:pPr>
        <w:pStyle w:val="FootnoteText"/>
        <w:contextualSpacing/>
        <w:rPr>
          <w:rFonts w:ascii="Courier New" w:hAnsi="Courier New" w:cs="Courier New"/>
        </w:rPr>
      </w:pPr>
      <w:r w:rsidRPr="00BF5898" w:rsidDel="00B73017">
        <w:rPr>
          <w:rStyle w:val="FootnoteReference"/>
          <w:rFonts w:ascii="Courier New" w:hAnsi="Courier New" w:cs="Courier New"/>
        </w:rPr>
        <w:footnoteRef/>
      </w:r>
      <w:r w:rsidRPr="00BF5898" w:rsidDel="00B73017">
        <w:rPr>
          <w:rFonts w:ascii="Courier New" w:hAnsi="Courier New" w:cs="Courier New"/>
        </w:rPr>
        <w:t xml:space="preserve"> “Attorneys General Take Aim at For-Profit Colleges’ Institutional Loan Programs,” The Chronicle of Higher Education, March 20, 2012.  Available at: </w:t>
      </w:r>
      <w:hyperlink r:id="rId5" w:history="1">
        <w:r w:rsidRPr="00BF5898" w:rsidDel="00B73017">
          <w:rPr>
            <w:rStyle w:val="Hyperlink"/>
            <w:rFonts w:ascii="Courier New" w:hAnsi="Courier New" w:cs="Courier New"/>
          </w:rPr>
          <w:t>http://chronicle.com/article/Attorneys-General-Take-Aim-at/131254/</w:t>
        </w:r>
      </w:hyperlink>
      <w:r w:rsidRPr="00BF5898" w:rsidDel="00B73017">
        <w:rPr>
          <w:rFonts w:ascii="Courier New" w:hAnsi="Courier New" w:cs="Courier New"/>
        </w:rPr>
        <w:t xml:space="preserve">. </w:t>
      </w:r>
    </w:p>
  </w:footnote>
  <w:footnote w:id="63">
    <w:p w14:paraId="1904D453" w14:textId="77777777" w:rsidR="00A85766" w:rsidRPr="00BF5898" w:rsidDel="00B73017" w:rsidRDefault="00A85766" w:rsidP="0096107B">
      <w:pPr>
        <w:pStyle w:val="FootnoteText"/>
        <w:contextualSpacing/>
        <w:rPr>
          <w:rFonts w:ascii="Courier New" w:hAnsi="Courier New" w:cs="Courier New"/>
        </w:rPr>
      </w:pPr>
      <w:r w:rsidRPr="00BF5898" w:rsidDel="00B73017">
        <w:rPr>
          <w:rStyle w:val="FootnoteReference"/>
          <w:rFonts w:ascii="Courier New" w:hAnsi="Courier New" w:cs="Courier New"/>
        </w:rPr>
        <w:footnoteRef/>
      </w:r>
      <w:r w:rsidRPr="00BF5898" w:rsidDel="00B73017">
        <w:rPr>
          <w:rFonts w:ascii="Courier New" w:hAnsi="Courier New" w:cs="Courier New"/>
        </w:rPr>
        <w:t xml:space="preserve"> “Kentucky Showdown,” Inside Higher Ed, Nov. 3, 2011.  Available at: </w:t>
      </w:r>
      <w:hyperlink r:id="rId6" w:history="1">
        <w:r w:rsidRPr="00BF5898" w:rsidDel="00B73017">
          <w:rPr>
            <w:rStyle w:val="Hyperlink"/>
            <w:rFonts w:ascii="Courier New" w:hAnsi="Courier New" w:cs="Courier New"/>
          </w:rPr>
          <w:t>www.insidehighered.com/news/2011/11/03/ky-attorney-general-jack-conway-battles-profits</w:t>
        </w:r>
      </w:hyperlink>
      <w:r w:rsidRPr="00BF5898" w:rsidDel="00B73017">
        <w:rPr>
          <w:rFonts w:ascii="Courier New" w:hAnsi="Courier New" w:cs="Courier New"/>
        </w:rPr>
        <w:t xml:space="preserve">. </w:t>
      </w:r>
    </w:p>
  </w:footnote>
  <w:footnote w:id="64">
    <w:p w14:paraId="79D21879" w14:textId="7F7CA490" w:rsidR="00A85766" w:rsidRPr="00BF5898" w:rsidDel="00B73017" w:rsidRDefault="00A85766">
      <w:pPr>
        <w:pStyle w:val="FootnoteText"/>
        <w:rPr>
          <w:rFonts w:ascii="Courier New" w:hAnsi="Courier New" w:cs="Courier New"/>
        </w:rPr>
      </w:pPr>
      <w:r w:rsidRPr="00BF5898" w:rsidDel="00B73017">
        <w:rPr>
          <w:rStyle w:val="FootnoteReference"/>
          <w:rFonts w:ascii="Courier New" w:hAnsi="Courier New" w:cs="Courier New"/>
        </w:rPr>
        <w:footnoteRef/>
      </w:r>
      <w:r w:rsidRPr="00BF5898" w:rsidDel="00B73017">
        <w:rPr>
          <w:rFonts w:ascii="Courier New" w:hAnsi="Courier New" w:cs="Courier New"/>
        </w:rPr>
        <w:t xml:space="preserve">  “For Profit Colleges Face New Wave of State Investigations,” Bloomberg, Jan. 29, 2014.  Available at:  </w:t>
      </w:r>
      <w:hyperlink r:id="rId7" w:history="1">
        <w:r w:rsidRPr="00BF5898" w:rsidDel="00B73017">
          <w:rPr>
            <w:rStyle w:val="Hyperlink"/>
            <w:rFonts w:ascii="Courier New" w:hAnsi="Courier New" w:cs="Courier New"/>
          </w:rPr>
          <w:t>www.bloomberg.com/news/2014-01-29/for-profit-colleges-face-new-wave-of-coordinated-state-probes.html</w:t>
        </w:r>
      </w:hyperlink>
      <w:r w:rsidRPr="00BF5898" w:rsidDel="00B73017">
        <w:rPr>
          <w:rFonts w:ascii="Courier New" w:hAnsi="Courier New" w:cs="Courier New"/>
        </w:rPr>
        <w:t>.</w:t>
      </w:r>
    </w:p>
  </w:footnote>
  <w:footnote w:id="65">
    <w:p w14:paraId="02571C13" w14:textId="2BFEA3A9" w:rsidR="00A85766" w:rsidRPr="00BF5898" w:rsidDel="00B73017" w:rsidRDefault="00A85766" w:rsidP="0096107B">
      <w:pPr>
        <w:pStyle w:val="FootnoteText"/>
        <w:rPr>
          <w:rFonts w:ascii="Courier New" w:hAnsi="Courier New" w:cs="Courier New"/>
        </w:rPr>
      </w:pPr>
      <w:r w:rsidRPr="00BF5898" w:rsidDel="00B73017">
        <w:rPr>
          <w:rStyle w:val="FootnoteReference"/>
          <w:rFonts w:ascii="Courier New" w:hAnsi="Courier New" w:cs="Courier New"/>
        </w:rPr>
        <w:footnoteRef/>
      </w:r>
      <w:r w:rsidRPr="00BF5898">
        <w:rPr>
          <w:rFonts w:ascii="Courier New" w:hAnsi="Courier New" w:cs="Courier New"/>
        </w:rPr>
        <w:t xml:space="preserve"> </w:t>
      </w:r>
      <w:r w:rsidRPr="00BF5898">
        <w:rPr>
          <w:rFonts w:ascii="Courier New" w:hAnsi="Courier New" w:cs="Courier New"/>
          <w:u w:val="single"/>
        </w:rPr>
        <w:t>Id</w:t>
      </w:r>
      <w:r w:rsidRPr="00BF5898">
        <w:rPr>
          <w:rFonts w:ascii="Courier New" w:hAnsi="Courier New" w:cs="Courier New"/>
        </w:rPr>
        <w:t xml:space="preserve">.  </w:t>
      </w:r>
    </w:p>
  </w:footnote>
  <w:footnote w:id="66">
    <w:p w14:paraId="0ECA288B" w14:textId="77777777" w:rsidR="00A85766" w:rsidRPr="00BF5898" w:rsidDel="00B73017" w:rsidRDefault="00A85766" w:rsidP="0096107B">
      <w:pPr>
        <w:pStyle w:val="FootnoteText"/>
        <w:rPr>
          <w:rFonts w:ascii="Courier New" w:hAnsi="Courier New" w:cs="Courier New"/>
        </w:rPr>
      </w:pPr>
      <w:r w:rsidRPr="00BF5898" w:rsidDel="00B73017">
        <w:rPr>
          <w:rStyle w:val="FootnoteReference"/>
          <w:rFonts w:ascii="Courier New" w:hAnsi="Courier New" w:cs="Courier New"/>
        </w:rPr>
        <w:footnoteRef/>
      </w:r>
      <w:r w:rsidRPr="00BF5898" w:rsidDel="00B73017">
        <w:rPr>
          <w:rFonts w:ascii="Courier New" w:hAnsi="Courier New" w:cs="Courier New"/>
        </w:rPr>
        <w:t xml:space="preserve"> “Corinthian Colleges Crumbles 14% on SEC probe,” Fox Business, June 11, 2013.  Available at: </w:t>
      </w:r>
      <w:hyperlink r:id="rId8" w:history="1">
        <w:r w:rsidRPr="00BF5898" w:rsidDel="00B73017">
          <w:rPr>
            <w:rStyle w:val="Hyperlink"/>
            <w:rFonts w:ascii="Courier New" w:hAnsi="Courier New" w:cs="Courier New"/>
          </w:rPr>
          <w:t>www.foxbusiness.com/government/2013/06/11/corinthian-colleges-crumbles-14-on-sec-probe/</w:t>
        </w:r>
      </w:hyperlink>
      <w:r w:rsidRPr="00BF5898" w:rsidDel="00B73017">
        <w:rPr>
          <w:rFonts w:ascii="Courier New" w:hAnsi="Courier New" w:cs="Courier New"/>
        </w:rPr>
        <w:t xml:space="preserve">. </w:t>
      </w:r>
    </w:p>
  </w:footnote>
  <w:footnote w:id="67">
    <w:p w14:paraId="48B131E1" w14:textId="7D09B058" w:rsidR="00A85766" w:rsidRPr="00BF5898" w:rsidDel="00B73017" w:rsidRDefault="00A85766" w:rsidP="0096107B">
      <w:pPr>
        <w:pStyle w:val="FootnoteText"/>
        <w:rPr>
          <w:rFonts w:ascii="Courier New" w:hAnsi="Courier New" w:cs="Courier New"/>
        </w:rPr>
      </w:pPr>
      <w:r w:rsidRPr="00BF5898" w:rsidDel="00B73017">
        <w:rPr>
          <w:rStyle w:val="FootnoteReference"/>
          <w:rFonts w:ascii="Courier New" w:hAnsi="Courier New" w:cs="Courier New"/>
        </w:rPr>
        <w:footnoteRef/>
      </w:r>
      <w:r w:rsidRPr="00BF5898">
        <w:rPr>
          <w:rFonts w:ascii="Courier New" w:hAnsi="Courier New" w:cs="Courier New"/>
        </w:rPr>
        <w:t xml:space="preserve"> U.S. Department of Education, Press Release, “Education Department Names Seasoned Team to Monitor Corinthian Colleges,” July 18, 2014. Available at: www.ed.gov/news/press-releases/education-department-names-seasoned-team-monitor-corinthian-colleges.</w:t>
      </w:r>
    </w:p>
  </w:footnote>
  <w:footnote w:id="68">
    <w:p w14:paraId="5650976A" w14:textId="5B3494C9" w:rsidR="00A85766" w:rsidRPr="00F166C3" w:rsidDel="00B73017" w:rsidRDefault="00A85766" w:rsidP="0096107B">
      <w:pPr>
        <w:pStyle w:val="FootnoteText"/>
        <w:rPr>
          <w:rFonts w:ascii="Courier New" w:hAnsi="Courier New"/>
        </w:rPr>
      </w:pPr>
      <w:r w:rsidRPr="002B5E80" w:rsidDel="00B73017">
        <w:rPr>
          <w:rStyle w:val="FootnoteReference"/>
          <w:rFonts w:ascii="Courier New" w:hAnsi="Courier New" w:cs="Courier New"/>
        </w:rPr>
        <w:footnoteRef/>
      </w:r>
      <w:r w:rsidRPr="002B5E80">
        <w:rPr>
          <w:rFonts w:ascii="Courier New" w:hAnsi="Courier New" w:cs="Courier New"/>
        </w:rPr>
        <w:t xml:space="preserve"> Cellini, S. R. (2012). For Profit Higher Education:  An Assessment of Costs and Benefits.  </w:t>
      </w:r>
      <w:r w:rsidRPr="002B5E80">
        <w:rPr>
          <w:rFonts w:ascii="Courier New" w:hAnsi="Courier New" w:cs="Courier New"/>
          <w:i/>
        </w:rPr>
        <w:t>National Tax Journal</w:t>
      </w:r>
      <w:r w:rsidRPr="002B5E80">
        <w:rPr>
          <w:rFonts w:ascii="Courier New" w:hAnsi="Courier New" w:cs="Courier New"/>
        </w:rPr>
        <w:t>, 65 (1): 153-180.</w:t>
      </w:r>
    </w:p>
  </w:footnote>
  <w:footnote w:id="69">
    <w:p w14:paraId="20CBE14A" w14:textId="77777777" w:rsidR="00A85766" w:rsidRPr="005A330B" w:rsidRDefault="00A85766" w:rsidP="0096107B">
      <w:pPr>
        <w:pStyle w:val="FootnoteText"/>
        <w:contextualSpacing/>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Guryan, J., and Thompson, M. Charles River Associates. (2014). </w:t>
      </w:r>
      <w:r w:rsidRPr="002B5E80">
        <w:rPr>
          <w:rFonts w:ascii="Courier New" w:hAnsi="Courier New" w:cs="Courier New"/>
          <w:i/>
        </w:rPr>
        <w:t>Report on the Proposed Gainful Employment Regulation</w:t>
      </w:r>
      <w:r w:rsidRPr="002B5E80">
        <w:rPr>
          <w:rFonts w:ascii="Courier New" w:hAnsi="Courier New" w:cs="Courier New"/>
        </w:rPr>
        <w:t xml:space="preserve">. </w:t>
      </w:r>
    </w:p>
  </w:footnote>
  <w:footnote w:id="70">
    <w:p w14:paraId="488EA960" w14:textId="77777777" w:rsidR="00A85766" w:rsidRPr="005A330B" w:rsidRDefault="00A85766" w:rsidP="0096107B">
      <w:pPr>
        <w:pStyle w:val="FootnoteText"/>
        <w:contextualSpacing/>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Guryan, J., and Thompson, M. Charles River Associates. (2014). </w:t>
      </w:r>
      <w:r w:rsidRPr="002B5E80">
        <w:rPr>
          <w:rFonts w:ascii="Courier New" w:hAnsi="Courier New" w:cs="Courier New"/>
          <w:i/>
        </w:rPr>
        <w:t>Report on the Proposed Gainful Employment Regulation</w:t>
      </w:r>
      <w:r w:rsidRPr="002B5E80">
        <w:rPr>
          <w:rFonts w:ascii="Courier New" w:hAnsi="Courier New" w:cs="Courier New"/>
        </w:rPr>
        <w:t xml:space="preserve">. </w:t>
      </w:r>
    </w:p>
  </w:footnote>
  <w:footnote w:id="71">
    <w:p w14:paraId="7C11B1B4" w14:textId="51F76123" w:rsidR="00A85766" w:rsidRPr="005F462F" w:rsidRDefault="00A85766" w:rsidP="00BA4016">
      <w:pPr>
        <w:pStyle w:val="FootnoteText"/>
        <w:contextualSpacing/>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Pr>
          <w:rFonts w:ascii="Courier New" w:hAnsi="Courier New" w:cs="Courier New"/>
        </w:rPr>
        <w:t xml:space="preserve">Please note that race and ethnicity status was derived from data reported by institutions to IPEDS.  See the Regulatory Impact Analysis for additional details on methodology. </w:t>
      </w:r>
      <w:r w:rsidRPr="002B5E80">
        <w:rPr>
          <w:rFonts w:ascii="Courier New" w:hAnsi="Courier New" w:cs="Courier New"/>
        </w:rPr>
        <w:t xml:space="preserve"> </w:t>
      </w:r>
    </w:p>
  </w:footnote>
  <w:footnote w:id="72">
    <w:p w14:paraId="2404AB62" w14:textId="08E41D24" w:rsidR="00A85766" w:rsidRPr="00A27954"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Bowen, W, Chingos, M., and McPherson, M. Crossing the Finish Line: Completing College at America's Public Universities. Princeton, NJ: Princeton UP, 2009.</w:t>
      </w:r>
    </w:p>
  </w:footnote>
  <w:footnote w:id="73">
    <w:p w14:paraId="622F8A78" w14:textId="66212AB4" w:rsidR="00A85766" w:rsidRPr="00A27954"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967F43">
        <w:rPr>
          <w:rFonts w:ascii="Courier New" w:hAnsi="Courier New"/>
        </w:rPr>
        <w:t>Bound, J</w:t>
      </w:r>
      <w:r w:rsidRPr="002B5E80">
        <w:rPr>
          <w:rFonts w:ascii="Courier New" w:hAnsi="Courier New" w:cs="Courier New"/>
          <w:color w:val="000000"/>
          <w:shd w:val="clear" w:color="auto" w:fill="FFFFFF"/>
        </w:rPr>
        <w:t>., Lovenheim, M., and</w:t>
      </w:r>
      <w:r w:rsidRPr="002B5E80">
        <w:rPr>
          <w:rStyle w:val="apple-converted-space"/>
          <w:rFonts w:ascii="Courier New" w:hAnsi="Courier New" w:cs="Courier New"/>
          <w:color w:val="000000"/>
          <w:shd w:val="clear" w:color="auto" w:fill="FFFFFF"/>
        </w:rPr>
        <w:t> </w:t>
      </w:r>
      <w:hyperlink r:id="rId9" w:history="1">
        <w:r w:rsidRPr="002B5E80">
          <w:rPr>
            <w:rStyle w:val="Hyperlink"/>
            <w:rFonts w:ascii="Courier New" w:hAnsi="Courier New" w:cs="Courier New"/>
            <w:color w:val="800080"/>
            <w:shd w:val="clear" w:color="auto" w:fill="FFFFFF"/>
          </w:rPr>
          <w:t>Turner</w:t>
        </w:r>
      </w:hyperlink>
      <w:r w:rsidRPr="002B5E80">
        <w:rPr>
          <w:rFonts w:ascii="Courier New" w:hAnsi="Courier New" w:cs="Courier New"/>
        </w:rPr>
        <w:t>, S</w:t>
      </w:r>
      <w:r w:rsidRPr="002B5E80">
        <w:rPr>
          <w:rFonts w:ascii="Courier New" w:hAnsi="Courier New" w:cs="Courier New"/>
          <w:color w:val="000000"/>
          <w:shd w:val="clear" w:color="auto" w:fill="FFFFFF"/>
        </w:rPr>
        <w:t xml:space="preserve">. 2007. “Understanding the Decrease in College Completion Rates and the Increased Time to the Baccalaureate Degree.” PSC Research Report No. 07-626. November 2007. </w:t>
      </w:r>
    </w:p>
  </w:footnote>
  <w:footnote w:id="74">
    <w:p w14:paraId="54DFFC74" w14:textId="77777777" w:rsidR="00A85766" w:rsidRPr="00A27954"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U.S. Senate, Committee on Health, Education, Labor and Pensions, For Profit Higher Education: The Failure to Safeguard the Federal Investment and Ensure Student Success, Washington: Government Printing Office, July 30, 2012.</w:t>
      </w:r>
    </w:p>
  </w:footnote>
  <w:footnote w:id="75">
    <w:p w14:paraId="2FE4C655" w14:textId="28404C9F"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Gicheva, D. “In Debt and Alone? Examining the Causal Link between Student Loans and Marriage.” Working Paper (2012).</w:t>
      </w:r>
    </w:p>
  </w:footnote>
  <w:footnote w:id="76">
    <w:p w14:paraId="76997CB3" w14:textId="45C833B9" w:rsidR="00A85766" w:rsidRPr="002446C1" w:rsidRDefault="00A85766" w:rsidP="0096107B">
      <w:pPr>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Gicheva, D., and U. N. C. Greensboro. “The Effects of Student Loans on Long-Term Household Financial Stability.” Working Paper (2013).</w:t>
      </w:r>
    </w:p>
  </w:footnote>
  <w:footnote w:id="77">
    <w:p w14:paraId="7951C65A" w14:textId="77777777"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446C1">
        <w:rPr>
          <w:rFonts w:ascii="Courier New" w:hAnsi="Courier New" w:cs="Courier New"/>
          <w:u w:val="single"/>
        </w:rPr>
        <w:t>Id</w:t>
      </w:r>
      <w:r w:rsidRPr="002B5E80">
        <w:rPr>
          <w:rFonts w:ascii="Courier New" w:hAnsi="Courier New" w:cs="Courier New"/>
        </w:rPr>
        <w:t>.</w:t>
      </w:r>
    </w:p>
  </w:footnote>
  <w:footnote w:id="78">
    <w:p w14:paraId="5133571E" w14:textId="77777777" w:rsidR="00A85766" w:rsidRPr="002446C1" w:rsidRDefault="00A85766" w:rsidP="0096107B">
      <w:pPr>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Shand, J. M. (2007). “The Impact of Early-Life Debt on the Homeownership Rates of Young Households:  An Empirical Investigation.” Federal Deposit Insurance Corporation Center for Financial Research.</w:t>
      </w:r>
    </w:p>
  </w:footnote>
  <w:footnote w:id="79">
    <w:p w14:paraId="39A1ED72" w14:textId="77777777"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Brown, </w:t>
      </w:r>
      <w:r w:rsidRPr="002B5E80">
        <w:rPr>
          <w:rFonts w:ascii="Courier New" w:hAnsi="Courier New" w:cs="Courier New"/>
          <w:iCs/>
        </w:rPr>
        <w:t>M., and Sydnee, C.</w:t>
      </w:r>
      <w:r w:rsidRPr="002B5E80">
        <w:rPr>
          <w:rFonts w:ascii="Courier New" w:hAnsi="Courier New" w:cs="Courier New"/>
        </w:rPr>
        <w:t xml:space="preserve"> (2013). Young Student Loan Borrowers Retreat from Housing and Auto Markets. </w:t>
      </w:r>
      <w:r w:rsidRPr="002B5E80">
        <w:rPr>
          <w:rFonts w:ascii="Courier New" w:hAnsi="Courier New" w:cs="Courier New"/>
          <w:i/>
        </w:rPr>
        <w:t xml:space="preserve">Liberty Street Economics, </w:t>
      </w:r>
      <w:r w:rsidRPr="002B5E80">
        <w:rPr>
          <w:rFonts w:ascii="Courier New" w:hAnsi="Courier New" w:cs="Courier New"/>
        </w:rPr>
        <w:t>retrieved from: http://libertystreeteconomics.newyorkfed.org/2013/04/young-student-loan-borrowers-retreat-from-housing-and-auto-markets.html.</w:t>
      </w:r>
    </w:p>
  </w:footnote>
  <w:footnote w:id="80">
    <w:p w14:paraId="141EF633" w14:textId="77777777"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https://studentaid.ed.gov/repay-loans/default.</w:t>
      </w:r>
    </w:p>
  </w:footnote>
  <w:footnote w:id="81">
    <w:p w14:paraId="02D7B675" w14:textId="6D067A0D"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www.asa.org/for-students/student-loans/managing-default/</w:t>
      </w:r>
    </w:p>
  </w:footnote>
  <w:footnote w:id="82">
    <w:p w14:paraId="0D3189D8" w14:textId="77777777"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Avery, C., and Turner, S. (2013). Student Loans: Do College Students Borrow Too Much-Or Not Enough? </w:t>
      </w:r>
      <w:r w:rsidRPr="002B5E80">
        <w:rPr>
          <w:rFonts w:ascii="Courier New" w:hAnsi="Courier New" w:cs="Courier New"/>
          <w:i/>
        </w:rPr>
        <w:t>Journal of Economic Perspectives</w:t>
      </w:r>
      <w:r w:rsidRPr="002B5E80">
        <w:rPr>
          <w:rFonts w:ascii="Courier New" w:hAnsi="Courier New" w:cs="Courier New"/>
        </w:rPr>
        <w:t>, 26(1), 165-192.</w:t>
      </w:r>
    </w:p>
  </w:footnote>
  <w:footnote w:id="83">
    <w:p w14:paraId="4F3CBDCD" w14:textId="5EFAAA7B"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Moretti, E. (2004). Estimating the Social Return to Higher Education: Evidence from Longitudinal and Repeated Cross-Sectional Data. </w:t>
      </w:r>
      <w:r w:rsidRPr="002B5E80">
        <w:rPr>
          <w:rFonts w:ascii="Courier New" w:hAnsi="Courier New" w:cs="Courier New"/>
          <w:i/>
        </w:rPr>
        <w:t>Journal of Econometrics</w:t>
      </w:r>
      <w:r w:rsidRPr="002B5E80">
        <w:rPr>
          <w:rFonts w:ascii="Courier New" w:hAnsi="Courier New" w:cs="Courier New"/>
        </w:rPr>
        <w:t>, 121(1), 175-212.</w:t>
      </w:r>
    </w:p>
  </w:footnote>
  <w:footnote w:id="84">
    <w:p w14:paraId="684A4D84" w14:textId="1F34E57E"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Kane, T</w:t>
      </w:r>
      <w:r w:rsidRPr="002B5E80" w:rsidDel="009A525E">
        <w:rPr>
          <w:rFonts w:ascii="Courier New" w:hAnsi="Courier New" w:cs="Courier New"/>
        </w:rPr>
        <w:t>homas</w:t>
      </w:r>
      <w:r w:rsidRPr="002B5E80">
        <w:rPr>
          <w:rFonts w:ascii="Courier New" w:hAnsi="Courier New" w:cs="Courier New"/>
        </w:rPr>
        <w:t xml:space="preserve"> J., and Rouse, C. E. (1995). Labor Market Returns to Two- and Four-Year College. </w:t>
      </w:r>
      <w:r w:rsidRPr="002B5E80" w:rsidDel="009A525E">
        <w:rPr>
          <w:rFonts w:ascii="Courier New" w:hAnsi="Courier New" w:cs="Courier New"/>
        </w:rPr>
        <w:t xml:space="preserve"> </w:t>
      </w:r>
      <w:r w:rsidRPr="002B5E80">
        <w:rPr>
          <w:rFonts w:ascii="Courier New" w:hAnsi="Courier New" w:cs="Courier New"/>
          <w:i/>
        </w:rPr>
        <w:t>The American Economic Review</w:t>
      </w:r>
      <w:r w:rsidRPr="002B5E80">
        <w:rPr>
          <w:rFonts w:ascii="Courier New" w:hAnsi="Courier New" w:cs="Courier New"/>
        </w:rPr>
        <w:t xml:space="preserve">, </w:t>
      </w:r>
      <w:r w:rsidRPr="002B5E80" w:rsidDel="009A525E">
        <w:rPr>
          <w:rFonts w:ascii="Courier New" w:hAnsi="Courier New" w:cs="Courier New"/>
        </w:rPr>
        <w:t xml:space="preserve"> </w:t>
      </w:r>
      <w:r w:rsidRPr="002B5E80">
        <w:rPr>
          <w:rFonts w:ascii="Courier New" w:hAnsi="Courier New" w:cs="Courier New"/>
        </w:rPr>
        <w:t>85 (3), 600-614.</w:t>
      </w:r>
    </w:p>
  </w:footnote>
  <w:footnote w:id="85">
    <w:p w14:paraId="058CBE50" w14:textId="1ECEA0E8"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Cellini, </w:t>
      </w:r>
      <w:r w:rsidR="00437200">
        <w:rPr>
          <w:rFonts w:ascii="Courier New" w:hAnsi="Courier New" w:cs="Courier New"/>
        </w:rPr>
        <w:t>S</w:t>
      </w:r>
      <w:r w:rsidRPr="002B5E80" w:rsidDel="009A525E">
        <w:rPr>
          <w:rFonts w:ascii="Courier New" w:hAnsi="Courier New" w:cs="Courier New"/>
        </w:rPr>
        <w:t>tephanie</w:t>
      </w:r>
      <w:r w:rsidR="00437200">
        <w:rPr>
          <w:rFonts w:ascii="Courier New" w:hAnsi="Courier New" w:cs="Courier New"/>
        </w:rPr>
        <w:t xml:space="preserve"> R. </w:t>
      </w:r>
      <w:r w:rsidRPr="002B5E80">
        <w:rPr>
          <w:rFonts w:ascii="Courier New" w:hAnsi="Courier New" w:cs="Courier New"/>
        </w:rPr>
        <w:t xml:space="preserve">and Chaudhary, L. (2012). “The Labor Market Returns to For-Profit College Education.” Working paper.   </w:t>
      </w:r>
    </w:p>
  </w:footnote>
  <w:footnote w:id="86">
    <w:p w14:paraId="74288974" w14:textId="4C567E5E" w:rsidR="00A85766" w:rsidRPr="002B5E80" w:rsidRDefault="00A85766" w:rsidP="00FD2B22">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Baum, S., Ma, J., and Payea, K. (2013) “Education Pays 2013: The Benefits of Education to Individuals and Society”  College Board.  Available at  http://trends.collegeboard.org/.</w:t>
      </w:r>
    </w:p>
  </w:footnote>
  <w:footnote w:id="87">
    <w:p w14:paraId="036DB21F" w14:textId="77777777" w:rsidR="00A85766" w:rsidRPr="002446C1"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Avery, C., and Turner, S. (2013). Student Loans: Do College Students Borrow Too Much-Or Not Enough? </w:t>
      </w:r>
      <w:r w:rsidRPr="002B5E80">
        <w:rPr>
          <w:rFonts w:ascii="Courier New" w:hAnsi="Courier New" w:cs="Courier New"/>
          <w:i/>
        </w:rPr>
        <w:t>Journal of Economic Perspectives</w:t>
      </w:r>
      <w:r w:rsidRPr="002B5E80">
        <w:rPr>
          <w:rFonts w:ascii="Courier New" w:hAnsi="Courier New" w:cs="Courier New"/>
        </w:rPr>
        <w:t xml:space="preserve">, 26(1), 165-192. </w:t>
      </w:r>
    </w:p>
  </w:footnote>
  <w:footnote w:id="88">
    <w:p w14:paraId="0864E65B" w14:textId="77777777" w:rsidR="00A85766" w:rsidRPr="002B5E80" w:rsidRDefault="00A85766" w:rsidP="009F7269">
      <w:pPr>
        <w:rPr>
          <w:rFonts w:ascii="Courier New" w:hAnsi="Courier New" w:cs="Courier New"/>
          <w:sz w:val="20"/>
          <w:szCs w:val="20"/>
        </w:rPr>
      </w:pPr>
    </w:p>
    <w:p w14:paraId="21E5F82B" w14:textId="77777777" w:rsidR="00A85766" w:rsidRPr="002B5E80" w:rsidRDefault="00A85766" w:rsidP="009F7269">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Baum, S. &amp; O’Malley, M. (2003). College on credit: How borrowers perceive their education debt. Results of the 2002 National Loan Survey (Final Report). Braintree, MA: Nellie Mae.</w:t>
      </w:r>
    </w:p>
  </w:footnote>
  <w:footnote w:id="89">
    <w:p w14:paraId="5187FDC8" w14:textId="77777777" w:rsidR="00A85766" w:rsidRPr="002B5E80" w:rsidRDefault="00A85766" w:rsidP="00554C87">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NCES, “Degrees of Debt,” NCES 2014-11.</w:t>
      </w:r>
    </w:p>
  </w:footnote>
  <w:footnote w:id="90">
    <w:p w14:paraId="47152055" w14:textId="77777777" w:rsidR="00A85766" w:rsidRPr="00D21D75"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Avery, C., and Turner, S. (2013). Student Loans: Do College Students Borrow Too Much-Or Not Enough? </w:t>
      </w:r>
      <w:r w:rsidRPr="002B5E80">
        <w:rPr>
          <w:rFonts w:ascii="Courier New" w:hAnsi="Courier New" w:cs="Courier New"/>
          <w:i/>
        </w:rPr>
        <w:t>Journal of Economic Perspectives</w:t>
      </w:r>
      <w:r w:rsidRPr="002B5E80">
        <w:rPr>
          <w:rFonts w:ascii="Courier New" w:hAnsi="Courier New" w:cs="Courier New"/>
        </w:rPr>
        <w:t xml:space="preserve">, 26(1), 165-192. </w:t>
      </w:r>
    </w:p>
  </w:footnote>
  <w:footnote w:id="91">
    <w:p w14:paraId="0211F5A7" w14:textId="77EAC632" w:rsidR="00A85766" w:rsidRPr="00D21D75"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Kantrowitz, M</w:t>
      </w:r>
      <w:r w:rsidRPr="002B5E80">
        <w:rPr>
          <w:rFonts w:ascii="Courier New" w:hAnsi="Courier New" w:cs="Courier New"/>
          <w:iCs/>
        </w:rPr>
        <w:t>.</w:t>
      </w:r>
      <w:r w:rsidRPr="002B5E80">
        <w:rPr>
          <w:rFonts w:ascii="Courier New" w:hAnsi="Courier New" w:cs="Courier New"/>
        </w:rPr>
        <w:t xml:space="preserve"> (2010). Finaid.com. </w:t>
      </w:r>
      <w:r w:rsidRPr="002B5E80">
        <w:rPr>
          <w:rFonts w:ascii="Courier New" w:hAnsi="Courier New" w:cs="Courier New"/>
          <w:i/>
        </w:rPr>
        <w:t xml:space="preserve">What is Gainful Employment? What is Affordable Debt?, </w:t>
      </w:r>
      <w:r w:rsidRPr="002B5E80">
        <w:rPr>
          <w:rFonts w:ascii="Courier New" w:hAnsi="Courier New" w:cs="Courier New"/>
        </w:rPr>
        <w:t>available at www.finaid.org/educators/20100301gainfulemployment.pdf.</w:t>
      </w:r>
    </w:p>
  </w:footnote>
  <w:footnote w:id="92">
    <w:p w14:paraId="5442F639" w14:textId="77777777" w:rsidR="00A85766" w:rsidRPr="002B5E80" w:rsidRDefault="00A85766" w:rsidP="00FF0FD9">
      <w:pPr>
        <w:pStyle w:val="xmsoplaintext"/>
        <w:spacing w:before="0" w:beforeAutospacing="0" w:after="0" w:afterAutospacing="0"/>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lang w:val="de-DE"/>
        </w:rPr>
        <w:t xml:space="preserve"> Baum, S., and Schwartz, S. (2006).  </w:t>
      </w:r>
      <w:r w:rsidRPr="002B5E80">
        <w:rPr>
          <w:rFonts w:ascii="Courier New" w:hAnsi="Courier New" w:cs="Courier New"/>
          <w:sz w:val="20"/>
          <w:szCs w:val="20"/>
        </w:rPr>
        <w:t xml:space="preserve">How Much Debt is Too Much?  Defining Benchmarks for Managing Student Debt.  </w:t>
      </w:r>
    </w:p>
  </w:footnote>
  <w:footnote w:id="93">
    <w:p w14:paraId="040A1C81" w14:textId="7CAE115A" w:rsidR="00A85766" w:rsidRPr="00D21D75" w:rsidRDefault="00A85766" w:rsidP="00D21D75">
      <w:pPr>
        <w:autoSpaceDE w:val="0"/>
        <w:autoSpaceDN w:val="0"/>
        <w:adjustRightInd w:val="0"/>
        <w:spacing w:after="0" w:line="240" w:lineRule="auto"/>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The GAO report was not undertaken to determine acceptable debt burdens, but rather, as stated in the report, “to determine how often students who were federal financial aid recipients received aid that was greater than their federally defined financial need.” GAO-03-508 at 19.  The report contains neither an analysis of debt burden nor reference to the 10 percent debt burden rate as a “generally-agreed upon” standard; the GAO report merely cites, without comment, the 10 percent figure as a Department performance indicator.  </w:t>
      </w:r>
    </w:p>
  </w:footnote>
  <w:footnote w:id="94">
    <w:p w14:paraId="12F43278" w14:textId="2BA322BC"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Style w:val="headerslevel11"/>
          <w:rFonts w:ascii="Courier New" w:hAnsi="Courier New" w:cs="Courier New"/>
          <w:b w:val="0"/>
          <w:sz w:val="20"/>
        </w:rPr>
        <w:t xml:space="preserve">The Department used the 10 percent debt/income indicator without elaboration. The stated purpose of the indicator was for the Department to assess its own progress in meeting certain standards, including the debt-to-earnings ratios of students. </w:t>
      </w:r>
      <w:r w:rsidRPr="002B5E80">
        <w:rPr>
          <w:rFonts w:ascii="Courier New" w:hAnsi="Courier New" w:cs="Courier New"/>
        </w:rPr>
        <w:t xml:space="preserve">See </w:t>
      </w:r>
      <w:r w:rsidRPr="002B5E80">
        <w:rPr>
          <w:rStyle w:val="headerslevel11"/>
          <w:rFonts w:ascii="Courier New" w:hAnsi="Courier New" w:cs="Courier New"/>
          <w:b w:val="0"/>
          <w:sz w:val="20"/>
        </w:rPr>
        <w:t xml:space="preserve">page 165, available at   </w:t>
      </w:r>
      <w:hyperlink r:id="rId10" w:history="1">
        <w:r w:rsidRPr="002B5E80">
          <w:rPr>
            <w:rStyle w:val="Hyperlink"/>
            <w:rFonts w:ascii="Courier New" w:hAnsi="Courier New" w:cs="Courier New"/>
          </w:rPr>
          <w:t>http://www2.ed.gov/about/reports/annual/2002report/index.html</w:t>
        </w:r>
      </w:hyperlink>
      <w:r w:rsidRPr="002B5E80">
        <w:rPr>
          <w:rStyle w:val="headerslevel11"/>
          <w:rFonts w:ascii="Courier New" w:hAnsi="Courier New" w:cs="Courier New"/>
          <w:b w:val="0"/>
          <w:sz w:val="20"/>
        </w:rPr>
        <w:t>.</w:t>
      </w:r>
    </w:p>
  </w:footnote>
  <w:footnote w:id="95">
    <w:p w14:paraId="1C690A1E" w14:textId="77777777" w:rsidR="00A85766" w:rsidRPr="002B5E80" w:rsidRDefault="00A85766" w:rsidP="00D4784E">
      <w:pPr>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Healthcare and Education Reconciliation Act of 2010, PL 111-152, §2213, March 30, 2010, 124 Stat 1029, 1081.</w:t>
      </w:r>
    </w:p>
    <w:p w14:paraId="04B5EF34" w14:textId="77777777" w:rsidR="00A85766" w:rsidRPr="002B5E80" w:rsidRDefault="00A85766" w:rsidP="00D4784E">
      <w:pPr>
        <w:rPr>
          <w:rFonts w:ascii="Courier New" w:hAnsi="Courier New" w:cs="Courier New"/>
          <w:sz w:val="20"/>
          <w:szCs w:val="20"/>
        </w:rPr>
      </w:pPr>
    </w:p>
  </w:footnote>
  <w:footnote w:id="96">
    <w:p w14:paraId="6317643A" w14:textId="0724CAFE"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Indeed, in the notice of proposed rulemaking for the 2011 Prior Rule, the Department proposed counting the full amount of loan debt for calculating the debt-to-earnings ratios.  75 FR 43639.  In response to comments, in the 2011 Prior Rule, the Department capped the loan debt at the lesser of tuition and fees or the total amount borrowed.  76 FR 34450.   </w:t>
      </w:r>
    </w:p>
  </w:footnote>
  <w:footnote w:id="97">
    <w:p w14:paraId="136D0294" w14:textId="1B48E5ED"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D21D75">
        <w:rPr>
          <w:rFonts w:ascii="Courier New" w:hAnsi="Courier New" w:cs="Courier New"/>
          <w:u w:val="single"/>
        </w:rPr>
        <w:t>See</w:t>
      </w:r>
      <w:r w:rsidRPr="002B5E80">
        <w:rPr>
          <w:rFonts w:ascii="Courier New" w:hAnsi="Courier New" w:cs="Courier New"/>
        </w:rPr>
        <w:t xml:space="preserve">, </w:t>
      </w:r>
      <w:r w:rsidRPr="00D21D75">
        <w:rPr>
          <w:rFonts w:ascii="Courier New" w:hAnsi="Courier New" w:cs="Courier New"/>
          <w:u w:val="single"/>
        </w:rPr>
        <w:t>e.g.</w:t>
      </w:r>
      <w:r w:rsidRPr="002B5E80">
        <w:rPr>
          <w:rFonts w:ascii="Courier New" w:hAnsi="Courier New" w:cs="Courier New"/>
        </w:rPr>
        <w:t>, Kantrowitz, M</w:t>
      </w:r>
      <w:r w:rsidRPr="002B5E80">
        <w:rPr>
          <w:rFonts w:ascii="Courier New" w:hAnsi="Courier New" w:cs="Courier New"/>
          <w:iCs/>
        </w:rPr>
        <w:t>.</w:t>
      </w:r>
      <w:r w:rsidRPr="002B5E80">
        <w:rPr>
          <w:rFonts w:ascii="Courier New" w:hAnsi="Courier New" w:cs="Courier New"/>
        </w:rPr>
        <w:t xml:space="preserve"> (2010). Finaid.com. </w:t>
      </w:r>
      <w:r w:rsidRPr="002B5E80">
        <w:rPr>
          <w:rFonts w:ascii="Courier New" w:hAnsi="Courier New" w:cs="Courier New"/>
          <w:i/>
        </w:rPr>
        <w:t xml:space="preserve">What is Gainful Employment? What is Affordable Debt?, </w:t>
      </w:r>
      <w:r w:rsidRPr="002B5E80">
        <w:rPr>
          <w:rFonts w:ascii="Courier New" w:hAnsi="Courier New" w:cs="Courier New"/>
        </w:rPr>
        <w:t xml:space="preserve">available at </w:t>
      </w:r>
      <w:hyperlink r:id="rId11" w:history="1">
        <w:r w:rsidRPr="002B5E80">
          <w:rPr>
            <w:rStyle w:val="Hyperlink"/>
            <w:rFonts w:ascii="Courier New" w:hAnsi="Courier New" w:cs="Courier New"/>
          </w:rPr>
          <w:t>www.finaid.org/educators/20100301gainfulemployment.pdf</w:t>
        </w:r>
      </w:hyperlink>
      <w:r w:rsidRPr="002B5E80">
        <w:rPr>
          <w:rFonts w:ascii="Courier New" w:hAnsi="Courier New" w:cs="Courier New"/>
        </w:rPr>
        <w:t>.  The article addresses the proposed standard included in the notice of proposed rulemaking for the 2011 Prior Rule, which included all debt, and states “The most common standards promoted by personal finance experts are 10</w:t>
      </w:r>
      <w:r>
        <w:rPr>
          <w:rFonts w:ascii="Courier New" w:hAnsi="Courier New" w:cs="Courier New"/>
        </w:rPr>
        <w:t>% and 15% of [gross] income.”  A</w:t>
      </w:r>
      <w:r w:rsidRPr="002B5E80">
        <w:rPr>
          <w:rFonts w:ascii="Courier New" w:hAnsi="Courier New" w:cs="Courier New"/>
        </w:rPr>
        <w:t>t 10.</w:t>
      </w:r>
    </w:p>
    <w:p w14:paraId="5808A4C2" w14:textId="77777777" w:rsidR="00A85766" w:rsidRPr="00915FCF" w:rsidRDefault="00A85766" w:rsidP="0096107B">
      <w:pPr>
        <w:pStyle w:val="FootnoteText"/>
        <w:rPr>
          <w:rFonts w:ascii="Courier New" w:hAnsi="Courier New"/>
        </w:rPr>
      </w:pPr>
    </w:p>
  </w:footnote>
  <w:footnote w:id="98">
    <w:p w14:paraId="5EA57AC5" w14:textId="77777777" w:rsidR="00A85766" w:rsidRPr="002B5E80" w:rsidRDefault="00A85766" w:rsidP="0096107B">
      <w:pPr>
        <w:pStyle w:val="xmsoplaintext"/>
        <w:spacing w:before="0" w:beforeAutospacing="0" w:after="0" w:afterAutospacing="0"/>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Baum, S., and Schwartz, S. (2006).  How Much Debt is Too Much?  Defining Benchmarks for Managing Student Debt.  See also S. Baum, “</w:t>
      </w:r>
      <w:r w:rsidRPr="002B5E80">
        <w:rPr>
          <w:rFonts w:ascii="Courier New" w:hAnsi="Courier New" w:cs="Courier New"/>
          <w:iCs/>
          <w:sz w:val="20"/>
          <w:szCs w:val="20"/>
        </w:rPr>
        <w:t>Gainful Employment</w:t>
      </w:r>
      <w:r w:rsidRPr="002B5E80">
        <w:rPr>
          <w:rFonts w:ascii="Courier New" w:hAnsi="Courier New" w:cs="Courier New"/>
          <w:sz w:val="20"/>
          <w:szCs w:val="20"/>
        </w:rPr>
        <w:t xml:space="preserve">,” posting to The Chronicle of Higher Education, </w:t>
      </w:r>
      <w:hyperlink r:id="rId12" w:tgtFrame="_blank" w:history="1">
        <w:r w:rsidRPr="002B5E80">
          <w:rPr>
            <w:rStyle w:val="Hyperlink"/>
            <w:rFonts w:ascii="Courier New" w:hAnsi="Courier New" w:cs="Courier New"/>
            <w:sz w:val="20"/>
            <w:szCs w:val="20"/>
          </w:rPr>
          <w:t>http://chronicle.com/blogs/innovations/gainful-employment/26770</w:t>
        </w:r>
      </w:hyperlink>
      <w:r w:rsidRPr="002B5E80">
        <w:rPr>
          <w:rFonts w:ascii="Courier New" w:hAnsi="Courier New" w:cs="Courier New"/>
          <w:sz w:val="20"/>
          <w:szCs w:val="20"/>
        </w:rPr>
        <w:t xml:space="preserve">, in which Baum described the 2006 study:  </w:t>
      </w:r>
    </w:p>
    <w:p w14:paraId="0D63BEAC" w14:textId="77777777" w:rsidR="00A85766" w:rsidRPr="00915FCF" w:rsidRDefault="00A85766" w:rsidP="0096107B">
      <w:pPr>
        <w:pStyle w:val="xmsoplaintext"/>
        <w:spacing w:before="0" w:beforeAutospacing="0" w:after="0" w:afterAutospacing="0"/>
        <w:ind w:left="720" w:right="720"/>
        <w:rPr>
          <w:rFonts w:ascii="Courier New" w:hAnsi="Courier New"/>
          <w:sz w:val="20"/>
        </w:rPr>
      </w:pPr>
      <w:r w:rsidRPr="002B5E80">
        <w:rPr>
          <w:rFonts w:ascii="Courier New" w:hAnsi="Courier New" w:cs="Courier New"/>
          <w:sz w:val="20"/>
          <w:szCs w:val="20"/>
        </w:rPr>
        <w:t>This paper traced the history of the long-time rule of thumb that students who had to pay more than 8% of their incomes for student loans might face difficulties and looked for better guidelines.  It concluded that manageable payment-to-income ratios increase with incomes, but that no former student should have to pay more than 20% of their discretionary income for all student loans from all sources.</w:t>
      </w:r>
    </w:p>
  </w:footnote>
  <w:footnote w:id="99">
    <w:p w14:paraId="46967D90" w14:textId="77777777" w:rsidR="00A85766" w:rsidRPr="00915FCF" w:rsidRDefault="00A85766" w:rsidP="0096107B">
      <w:pPr>
        <w:pStyle w:val="FootnoteText"/>
        <w:rPr>
          <w:rFonts w:ascii="Courier New" w:hAnsi="Courier New"/>
          <w:lang w:val="nb-NO"/>
        </w:rPr>
      </w:pPr>
      <w:r w:rsidRPr="002B5E80">
        <w:rPr>
          <w:rStyle w:val="FootnoteReference"/>
          <w:rFonts w:ascii="Courier New" w:hAnsi="Courier New" w:cs="Courier New"/>
        </w:rPr>
        <w:footnoteRef/>
      </w:r>
      <w:r w:rsidRPr="002B5E80">
        <w:rPr>
          <w:rFonts w:ascii="Courier New" w:hAnsi="Courier New" w:cs="Courier New"/>
          <w:lang w:val="nb-NO"/>
        </w:rPr>
        <w:t xml:space="preserve"> </w:t>
      </w:r>
      <w:r w:rsidRPr="003C7879">
        <w:rPr>
          <w:rFonts w:ascii="Courier New" w:hAnsi="Courier New"/>
          <w:u w:val="single"/>
          <w:lang w:val="nb-NO"/>
        </w:rPr>
        <w:t>Id</w:t>
      </w:r>
      <w:r w:rsidRPr="002B5E80">
        <w:rPr>
          <w:rFonts w:ascii="Courier New" w:hAnsi="Courier New" w:cs="Courier New"/>
          <w:lang w:val="nb-NO"/>
        </w:rPr>
        <w:t>.</w:t>
      </w:r>
    </w:p>
  </w:footnote>
  <w:footnote w:id="100">
    <w:p w14:paraId="165BD62E" w14:textId="77777777" w:rsidR="00A85766" w:rsidRPr="00915FCF" w:rsidRDefault="00A85766" w:rsidP="0096107B">
      <w:pPr>
        <w:pStyle w:val="FootnoteText"/>
        <w:rPr>
          <w:rFonts w:ascii="Courier New" w:hAnsi="Courier New"/>
          <w:lang w:val="nb-NO"/>
        </w:rPr>
      </w:pPr>
      <w:r w:rsidRPr="002B5E80">
        <w:rPr>
          <w:rStyle w:val="FootnoteReference"/>
          <w:rFonts w:ascii="Courier New" w:hAnsi="Courier New" w:cs="Courier New"/>
        </w:rPr>
        <w:footnoteRef/>
      </w:r>
      <w:r w:rsidRPr="002B5E80">
        <w:rPr>
          <w:rFonts w:ascii="Courier New" w:hAnsi="Courier New" w:cs="Courier New"/>
          <w:lang w:val="nb-NO"/>
        </w:rPr>
        <w:t xml:space="preserve"> </w:t>
      </w:r>
      <w:r w:rsidRPr="003C7879">
        <w:rPr>
          <w:rFonts w:ascii="Courier New" w:hAnsi="Courier New"/>
          <w:u w:val="single"/>
          <w:lang w:val="nb-NO"/>
        </w:rPr>
        <w:t>Id</w:t>
      </w:r>
      <w:r w:rsidRPr="002B5E80">
        <w:rPr>
          <w:rFonts w:ascii="Courier New" w:hAnsi="Courier New" w:cs="Courier New"/>
          <w:lang w:val="nb-NO"/>
        </w:rPr>
        <w:t>. at 2-3.</w:t>
      </w:r>
    </w:p>
  </w:footnote>
  <w:footnote w:id="101">
    <w:p w14:paraId="5C346685" w14:textId="3563AFD1" w:rsidR="00A85766" w:rsidRPr="00915FCF" w:rsidRDefault="00A85766" w:rsidP="0096107B">
      <w:pPr>
        <w:pStyle w:val="EndnoteText"/>
        <w:spacing w:line="276" w:lineRule="auto"/>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lang w:val="nb-NO"/>
        </w:rPr>
        <w:t xml:space="preserve"> </w:t>
      </w:r>
      <w:r w:rsidRPr="002B5E80">
        <w:rPr>
          <w:rFonts w:ascii="Courier New" w:hAnsi="Courier New" w:cs="Courier New"/>
          <w:color w:val="221E1F"/>
          <w:lang w:val="nb-NO"/>
        </w:rPr>
        <w:t xml:space="preserve">Greiner, K. (1996). </w:t>
      </w:r>
      <w:r w:rsidRPr="002B5E80">
        <w:rPr>
          <w:rFonts w:ascii="Courier New" w:hAnsi="Courier New" w:cs="Courier New"/>
          <w:color w:val="221E1F"/>
        </w:rPr>
        <w:t xml:space="preserve">How Much Student Loan Debt Is Too Much? </w:t>
      </w:r>
      <w:r w:rsidRPr="002B5E80">
        <w:rPr>
          <w:rFonts w:ascii="Courier New" w:hAnsi="Courier New" w:cs="Courier New"/>
          <w:i/>
          <w:iCs/>
          <w:color w:val="221E1F"/>
        </w:rPr>
        <w:t>Journal of Student Financial Aid</w:t>
      </w:r>
      <w:r w:rsidRPr="002B5E80">
        <w:rPr>
          <w:rFonts w:ascii="Courier New" w:hAnsi="Courier New" w:cs="Courier New"/>
          <w:color w:val="221E1F"/>
        </w:rPr>
        <w:t xml:space="preserve">, </w:t>
      </w:r>
      <w:r w:rsidRPr="002B5E80">
        <w:rPr>
          <w:rFonts w:ascii="Courier New" w:hAnsi="Courier New" w:cs="Courier New"/>
          <w:i/>
          <w:iCs/>
          <w:color w:val="221E1F"/>
        </w:rPr>
        <w:t>26</w:t>
      </w:r>
      <w:r w:rsidRPr="002B5E80">
        <w:rPr>
          <w:rFonts w:ascii="Courier New" w:hAnsi="Courier New" w:cs="Courier New"/>
          <w:color w:val="221E1F"/>
        </w:rPr>
        <w:t>(1), 7–19.</w:t>
      </w:r>
    </w:p>
  </w:footnote>
  <w:footnote w:id="102">
    <w:p w14:paraId="614DE4EA" w14:textId="558D3774" w:rsidR="00A85766" w:rsidRPr="00821C66" w:rsidRDefault="00A85766" w:rsidP="0096107B">
      <w:pPr>
        <w:pStyle w:val="EndnoteText"/>
        <w:spacing w:line="276" w:lineRule="auto"/>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Scherschel, P. (1998). Student Indebtedness: Are Borrowers Pushing the Limits? USA Group Foundation.</w:t>
      </w:r>
    </w:p>
  </w:footnote>
  <w:footnote w:id="103">
    <w:p w14:paraId="0453D4BB" w14:textId="02AF3639" w:rsidR="00A85766" w:rsidRPr="00821C66"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 xml:space="preserve">Harrast, S.A. (2004). Undergraduate Borrowing: A Study of Debtor Students and their Ability to Retire Undergraduate Loans. </w:t>
      </w:r>
      <w:r w:rsidRPr="002B5E80">
        <w:rPr>
          <w:rFonts w:ascii="Courier New" w:hAnsi="Courier New" w:cs="Courier New"/>
          <w:i/>
          <w:iCs/>
          <w:color w:val="221E1F"/>
        </w:rPr>
        <w:t>NASFAA Journal of Student Financial Aid</w:t>
      </w:r>
      <w:r w:rsidRPr="002B5E80">
        <w:rPr>
          <w:rFonts w:ascii="Courier New" w:hAnsi="Courier New" w:cs="Courier New"/>
          <w:color w:val="221E1F"/>
        </w:rPr>
        <w:t xml:space="preserve">, </w:t>
      </w:r>
      <w:r w:rsidRPr="002B5E80">
        <w:rPr>
          <w:rFonts w:ascii="Courier New" w:hAnsi="Courier New" w:cs="Courier New"/>
          <w:i/>
          <w:iCs/>
          <w:color w:val="221E1F"/>
        </w:rPr>
        <w:t>34</w:t>
      </w:r>
      <w:r w:rsidRPr="002B5E80">
        <w:rPr>
          <w:rFonts w:ascii="Courier New" w:hAnsi="Courier New" w:cs="Courier New"/>
          <w:color w:val="221E1F"/>
        </w:rPr>
        <w:t>(1), 21–37.</w:t>
      </w:r>
    </w:p>
  </w:footnote>
  <w:footnote w:id="104">
    <w:p w14:paraId="1F14B6BE" w14:textId="6CA85015" w:rsidR="00A85766" w:rsidRPr="00821C66"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 xml:space="preserve">King, T., &amp; Frishberg, I. (2001). </w:t>
      </w:r>
      <w:r w:rsidRPr="002B5E80">
        <w:rPr>
          <w:rFonts w:ascii="Courier New" w:hAnsi="Courier New" w:cs="Courier New"/>
          <w:i/>
          <w:iCs/>
          <w:color w:val="221E1F"/>
        </w:rPr>
        <w:t xml:space="preserve">Big Loans, Bigger Problems: A Report on the Sticker Shock of Student Loans. </w:t>
      </w:r>
      <w:r w:rsidRPr="002B5E80">
        <w:rPr>
          <w:rFonts w:ascii="Courier New" w:hAnsi="Courier New" w:cs="Courier New"/>
          <w:color w:val="221E1F"/>
        </w:rPr>
        <w:t>Washington, DC: The State PIRG’s Higher Education Project. Available at www.pirg.org/highered/highered.asp?id2=7973.</w:t>
      </w:r>
    </w:p>
  </w:footnote>
  <w:footnote w:id="105">
    <w:p w14:paraId="78B36253" w14:textId="10151983"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Illinois Student Assistance Commission (2001). Increasing College Access . . . or Just Increasing Debt? A Discussion about Raising Student Loan Limits and the Impact on Illinois Students.</w:t>
      </w:r>
    </w:p>
  </w:footnote>
  <w:footnote w:id="106">
    <w:p w14:paraId="14CFF90D" w14:textId="390DE292"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Baum, S., and O’Malley, M. (2002, February 6). College on Credit: How Borrowers Perceive their Education Debt: Results of the 2002 National Student Loan Survey.  Final Report.  Braintree, MA: Nellie Mae Corporation.</w:t>
      </w:r>
    </w:p>
  </w:footnote>
  <w:footnote w:id="107">
    <w:p w14:paraId="18374529" w14:textId="0EC83334" w:rsidR="00A85766" w:rsidRPr="00A763F0" w:rsidRDefault="00A85766">
      <w:pPr>
        <w:pStyle w:val="FootnoteText"/>
        <w:rPr>
          <w:rFonts w:ascii="Courier New" w:hAnsi="Courier New" w:cs="Courier New"/>
        </w:rPr>
      </w:pPr>
      <w:r w:rsidRPr="00A763F0">
        <w:rPr>
          <w:rStyle w:val="FootnoteReference"/>
          <w:rFonts w:ascii="Courier New" w:hAnsi="Courier New" w:cs="Courier New"/>
        </w:rPr>
        <w:footnoteRef/>
      </w:r>
      <w:r w:rsidRPr="00A763F0">
        <w:rPr>
          <w:rFonts w:ascii="Courier New" w:hAnsi="Courier New" w:cs="Courier New"/>
        </w:rPr>
        <w:t xml:space="preserve"> Baum, S., and Schwartz, S. (2006).  How Much Debt is Too Much?  Defining Benchmarks for Managing Student Debt.  </w:t>
      </w:r>
    </w:p>
  </w:footnote>
  <w:footnote w:id="108">
    <w:p w14:paraId="11BF6027" w14:textId="03658E79" w:rsidR="00A85766" w:rsidRPr="00A763F0" w:rsidRDefault="00A85766" w:rsidP="00F96EBD">
      <w:pPr>
        <w:pStyle w:val="FootnoteText"/>
        <w:tabs>
          <w:tab w:val="left" w:pos="1320"/>
        </w:tabs>
        <w:rPr>
          <w:rFonts w:ascii="Courier New" w:hAnsi="Courier New" w:cs="Courier New"/>
        </w:rPr>
      </w:pPr>
      <w:r w:rsidRPr="00A763F0">
        <w:rPr>
          <w:rStyle w:val="FootnoteReference"/>
          <w:rFonts w:ascii="Courier New" w:hAnsi="Courier New" w:cs="Courier New"/>
        </w:rPr>
        <w:footnoteRef/>
      </w:r>
      <w:r w:rsidRPr="00A763F0">
        <w:rPr>
          <w:rFonts w:ascii="Courier New" w:hAnsi="Courier New" w:cs="Courier New"/>
        </w:rPr>
        <w:t xml:space="preserve"> </w:t>
      </w:r>
      <w:r w:rsidRPr="00277CB8">
        <w:rPr>
          <w:rFonts w:ascii="Courier New" w:hAnsi="Courier New"/>
          <w:u w:val="single"/>
        </w:rPr>
        <w:t>Id</w:t>
      </w:r>
      <w:r w:rsidRPr="00A763F0">
        <w:rPr>
          <w:rFonts w:ascii="Courier New" w:hAnsi="Courier New" w:cs="Courier New"/>
        </w:rPr>
        <w:t>.</w:t>
      </w:r>
      <w:r>
        <w:rPr>
          <w:rFonts w:ascii="Courier New" w:hAnsi="Courier New" w:cs="Courier New"/>
        </w:rPr>
        <w:t>, at 3</w:t>
      </w:r>
      <w:r w:rsidRPr="00A763F0">
        <w:rPr>
          <w:rFonts w:ascii="Courier New" w:hAnsi="Courier New" w:cs="Courier New"/>
        </w:rPr>
        <w:t>.</w:t>
      </w:r>
    </w:p>
  </w:footnote>
  <w:footnote w:id="109">
    <w:p w14:paraId="7A134F90" w14:textId="63095BF8" w:rsidR="00A85766" w:rsidRDefault="00A85766">
      <w:pPr>
        <w:pStyle w:val="FootnoteText"/>
      </w:pPr>
      <w:r w:rsidRPr="00A763F0">
        <w:rPr>
          <w:rStyle w:val="FootnoteReference"/>
          <w:rFonts w:ascii="Courier New" w:hAnsi="Courier New" w:cs="Courier New"/>
        </w:rPr>
        <w:footnoteRef/>
      </w:r>
      <w:r w:rsidRPr="00A763F0">
        <w:rPr>
          <w:rFonts w:ascii="Courier New" w:hAnsi="Courier New" w:cs="Courier New"/>
        </w:rPr>
        <w:t xml:space="preserve"> </w:t>
      </w:r>
      <w:r w:rsidRPr="00277CB8">
        <w:rPr>
          <w:rFonts w:ascii="Courier New" w:hAnsi="Courier New"/>
          <w:u w:val="single"/>
        </w:rPr>
        <w:t>Id</w:t>
      </w:r>
      <w:r w:rsidRPr="00A763F0">
        <w:rPr>
          <w:rFonts w:ascii="Courier New" w:hAnsi="Courier New" w:cs="Courier New"/>
        </w:rPr>
        <w:t>.</w:t>
      </w:r>
      <w:r>
        <w:rPr>
          <w:rFonts w:ascii="Courier New" w:hAnsi="Courier New" w:cs="Courier New"/>
        </w:rPr>
        <w:t>, at 12, Table 10</w:t>
      </w:r>
    </w:p>
  </w:footnote>
  <w:footnote w:id="110">
    <w:p w14:paraId="0992149C" w14:textId="77777777"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FHA, Risk Management Initiatives: New Manual Underwriting Requirements, 78 FR 75238, 75239 (December 11, 2013).  </w:t>
      </w:r>
    </w:p>
  </w:footnote>
  <w:footnote w:id="111">
    <w:p w14:paraId="179F6351" w14:textId="77777777" w:rsidR="00A85766" w:rsidRPr="002B5E80" w:rsidRDefault="00A85766" w:rsidP="000360ED">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Vornovytskyy, M., Gottschalck, A., and Smith, A., </w:t>
      </w:r>
      <w:r w:rsidRPr="002B5E80">
        <w:rPr>
          <w:rFonts w:ascii="Courier New" w:hAnsi="Courier New" w:cs="Courier New"/>
          <w:i/>
        </w:rPr>
        <w:t>Household Debt in the U.S.: 2000 to 2011</w:t>
      </w:r>
      <w:r w:rsidRPr="002B5E80">
        <w:rPr>
          <w:rFonts w:ascii="Courier New" w:hAnsi="Courier New" w:cs="Courier New"/>
        </w:rPr>
        <w:t xml:space="preserve">, U.S. Census Bureau, Survey of Income and Program Participation Panels.  Available at </w:t>
      </w:r>
      <w:hyperlink r:id="rId13" w:history="1">
        <w:r w:rsidRPr="002B5E80">
          <w:rPr>
            <w:rStyle w:val="Hyperlink"/>
            <w:rFonts w:ascii="Courier New" w:hAnsi="Courier New" w:cs="Courier New"/>
          </w:rPr>
          <w:t>www.census.gov/people/wealth/files/Debt%20Highlights%202011.pdf</w:t>
        </w:r>
      </w:hyperlink>
      <w:r w:rsidRPr="002B5E80">
        <w:rPr>
          <w:rFonts w:ascii="Courier New" w:hAnsi="Courier New" w:cs="Courier New"/>
        </w:rPr>
        <w:t xml:space="preserve">. </w:t>
      </w:r>
      <w:r w:rsidRPr="002B5E80">
        <w:rPr>
          <w:rFonts w:ascii="Courier New" w:hAnsi="Courier New" w:cs="Courier New"/>
          <w:i/>
        </w:rPr>
        <w:t xml:space="preserve"> </w:t>
      </w:r>
      <w:r w:rsidRPr="002B5E80">
        <w:rPr>
          <w:rFonts w:ascii="Courier New" w:hAnsi="Courier New" w:cs="Courier New"/>
        </w:rPr>
        <w:t>Table A-2 shows that median credit card debt of households under 35 years of age as of 2011 was $3,000, and median other unsecured debt for that same cohort, including student loans and other unsecured debt, was $13,000.  The “other” debt accounts for 81 percent of unsecured household debt.  Assuming that the lending standards described here allocate 12 percent to non-housing debt, and 81 percent of that allocation is 9.75 percent allocable to non-credit card debt, which includes student loan debt, the 8 percent annual earnings rate appears to fall within this range.</w:t>
      </w:r>
    </w:p>
  </w:footnote>
  <w:footnote w:id="112">
    <w:p w14:paraId="442D5094" w14:textId="1FDBEBF1"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D816A5">
        <w:rPr>
          <w:rFonts w:ascii="Courier New" w:hAnsi="Courier New"/>
          <w:lang w:val="de-DE"/>
        </w:rPr>
        <w:t xml:space="preserve"> Bricker, J., Kennickell, A., Moore, K., and Sabelhaus, J. (2012</w:t>
      </w:r>
      <w:r w:rsidRPr="00277CB8">
        <w:rPr>
          <w:rFonts w:ascii="Courier New" w:hAnsi="Courier New" w:cs="Courier New"/>
          <w:lang w:val="de-DE"/>
        </w:rPr>
        <w:t>).</w:t>
      </w:r>
      <w:r w:rsidRPr="00D816A5">
        <w:rPr>
          <w:rFonts w:ascii="Courier New" w:hAnsi="Courier New"/>
          <w:lang w:val="de-DE"/>
        </w:rPr>
        <w:t xml:space="preserve"> </w:t>
      </w:r>
      <w:r w:rsidRPr="002B5E80">
        <w:rPr>
          <w:rFonts w:ascii="Courier New" w:hAnsi="Courier New" w:cs="Courier New"/>
        </w:rPr>
        <w:t xml:space="preserve">“Changes in U.S. Family Finances from 2007 to 2010: Evidence from the Survey of Consumer Finances,” </w:t>
      </w:r>
      <w:r w:rsidRPr="002B5E80">
        <w:rPr>
          <w:rFonts w:ascii="Courier New" w:hAnsi="Courier New" w:cs="Courier New"/>
          <w:i/>
        </w:rPr>
        <w:t>Federal Reserve Bulletin</w:t>
      </w:r>
      <w:r w:rsidRPr="002B5E80">
        <w:rPr>
          <w:rFonts w:ascii="Courier New" w:hAnsi="Courier New" w:cs="Courier New"/>
        </w:rPr>
        <w:t>, 98(2).  Available at www.federalreserve.gov/pubs/bulletin/2012/pdf/scf12.pdf.</w:t>
      </w:r>
    </w:p>
  </w:footnote>
  <w:footnote w:id="113">
    <w:p w14:paraId="1979288B" w14:textId="255B3E80"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Vornovytskyy, M., Gottschalck, A., and Smith, A., </w:t>
      </w:r>
      <w:r w:rsidRPr="002B5E80">
        <w:rPr>
          <w:rFonts w:ascii="Courier New" w:hAnsi="Courier New" w:cs="Courier New"/>
          <w:i/>
        </w:rPr>
        <w:t>Household Debt in the U.S.: 2000 to 2011</w:t>
      </w:r>
      <w:r w:rsidRPr="002B5E80">
        <w:rPr>
          <w:rFonts w:ascii="Courier New" w:hAnsi="Courier New" w:cs="Courier New"/>
        </w:rPr>
        <w:t xml:space="preserve">, U.S. Census Bureau, Survey of Income and Program Participation Panels.  Available at </w:t>
      </w:r>
      <w:hyperlink r:id="rId14" w:history="1">
        <w:r w:rsidRPr="002B5E80">
          <w:rPr>
            <w:rStyle w:val="Hyperlink"/>
            <w:rFonts w:ascii="Courier New" w:hAnsi="Courier New" w:cs="Courier New"/>
          </w:rPr>
          <w:t>www.census.gov/people/wealth/files/Debt%20Highlights%202011.pdf</w:t>
        </w:r>
      </w:hyperlink>
      <w:r w:rsidRPr="002B5E80">
        <w:rPr>
          <w:rFonts w:ascii="Courier New" w:hAnsi="Courier New" w:cs="Courier New"/>
        </w:rPr>
        <w:t xml:space="preserve">. </w:t>
      </w:r>
      <w:r w:rsidRPr="002B5E80">
        <w:rPr>
          <w:rFonts w:ascii="Courier New" w:hAnsi="Courier New" w:cs="Courier New"/>
          <w:i/>
        </w:rPr>
        <w:t xml:space="preserve"> </w:t>
      </w:r>
      <w:r w:rsidRPr="002B5E80">
        <w:rPr>
          <w:rFonts w:ascii="Courier New" w:hAnsi="Courier New" w:cs="Courier New"/>
        </w:rPr>
        <w:t>Table A-2 shows that median credit card debt of households under 35 years of age as of 2011 was $3,000, and median other unsecured debt for that same cohort, including student loans and other unsecured debt, was $13,000.  The “other” debt accounts for 81 percent of unsecured household debt.  Assuming that the lending standards described here allocate 12 percent to non-housing debt, and 81 percent of that allocation is 9.75 percent allocable to non-credit card debt, which includes student loan debt, the 8 percent annual earnings rate appears to fall within this range.</w:t>
      </w:r>
    </w:p>
  </w:footnote>
  <w:footnote w:id="114">
    <w:p w14:paraId="581509C0" w14:textId="27988C61" w:rsidR="00A85766" w:rsidRPr="002B5E80" w:rsidRDefault="00A85766" w:rsidP="0096107B">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77CB8">
        <w:rPr>
          <w:rFonts w:ascii="Courier New" w:hAnsi="Courier New"/>
        </w:rPr>
        <w:t>2012 GE informational D/E rates.</w:t>
      </w:r>
    </w:p>
  </w:footnote>
  <w:footnote w:id="115">
    <w:p w14:paraId="3A23FFDD" w14:textId="77777777" w:rsidR="00A85766" w:rsidRPr="00D816A5"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77CB8">
        <w:rPr>
          <w:rFonts w:ascii="Courier New" w:hAnsi="Courier New"/>
          <w:u w:val="single"/>
        </w:rPr>
        <w:t>Id</w:t>
      </w:r>
      <w:r w:rsidRPr="002B5E80">
        <w:rPr>
          <w:rFonts w:ascii="Courier New" w:hAnsi="Courier New" w:cs="Courier New"/>
        </w:rPr>
        <w:t>.</w:t>
      </w:r>
    </w:p>
  </w:footnote>
  <w:footnote w:id="116">
    <w:p w14:paraId="121B9775" w14:textId="77777777" w:rsidR="00A85766" w:rsidRPr="00D816A5"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77CB8">
        <w:rPr>
          <w:rFonts w:ascii="Courier New" w:hAnsi="Courier New"/>
          <w:u w:val="single"/>
        </w:rPr>
        <w:t>Id</w:t>
      </w:r>
      <w:r w:rsidRPr="002B5E80">
        <w:rPr>
          <w:rFonts w:ascii="Courier New" w:hAnsi="Courier New" w:cs="Courier New"/>
        </w:rPr>
        <w:t>.</w:t>
      </w:r>
    </w:p>
  </w:footnote>
  <w:footnote w:id="117">
    <w:p w14:paraId="478E12A2" w14:textId="77777777" w:rsidR="00A85766" w:rsidRPr="00D816A5"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77CB8">
        <w:rPr>
          <w:rFonts w:ascii="Courier New" w:hAnsi="Courier New"/>
          <w:u w:val="single"/>
        </w:rPr>
        <w:t>Id</w:t>
      </w:r>
      <w:r w:rsidRPr="002B5E80">
        <w:rPr>
          <w:rFonts w:ascii="Courier New" w:hAnsi="Courier New" w:cs="Courier New"/>
        </w:rPr>
        <w:t>.</w:t>
      </w:r>
    </w:p>
  </w:footnote>
  <w:footnote w:id="118">
    <w:p w14:paraId="7BACE949" w14:textId="04E6D3E7" w:rsidR="00A85766" w:rsidRPr="00D816A5"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National Bureau of Economic Research (2014), US Business Cycle Expansions and Contractions, </w:t>
      </w:r>
      <w:r w:rsidR="005E71ED">
        <w:rPr>
          <w:rFonts w:ascii="Courier New" w:hAnsi="Courier New" w:cs="Courier New"/>
        </w:rPr>
        <w:t>a</w:t>
      </w:r>
      <w:r w:rsidRPr="002B5E80">
        <w:rPr>
          <w:rFonts w:ascii="Courier New" w:hAnsi="Courier New" w:cs="Courier New"/>
        </w:rPr>
        <w:t>vailable at www.nber.org/cycles.html.</w:t>
      </w:r>
    </w:p>
  </w:footnote>
  <w:footnote w:id="119">
    <w:p w14:paraId="337E9ABE" w14:textId="7B4CB288"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lang w:val="de-DE"/>
        </w:rPr>
        <w:t xml:space="preserve"> Baum, S., and Schwartz, S. (2006). </w:t>
      </w:r>
      <w:r w:rsidRPr="002B5E80">
        <w:rPr>
          <w:rFonts w:ascii="Courier New" w:hAnsi="Courier New" w:cs="Courier New"/>
        </w:rPr>
        <w:t>How Much Debt Is Too Much?  Defining Benchmarks for Managing Student Debt.</w:t>
      </w:r>
    </w:p>
  </w:footnote>
  <w:footnote w:id="120">
    <w:p w14:paraId="1B03435E" w14:textId="3957F66E" w:rsidR="00A85766" w:rsidRPr="00915FCF" w:rsidRDefault="00A85766" w:rsidP="0096107B">
      <w:pPr>
        <w:pStyle w:val="EndnoteText"/>
        <w:spacing w:line="276" w:lineRule="auto"/>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 xml:space="preserve">Greiner, K. (1996). How Much Student Loan Debt Is Too Much? </w:t>
      </w:r>
      <w:r w:rsidRPr="002B5E80">
        <w:rPr>
          <w:rFonts w:ascii="Courier New" w:hAnsi="Courier New" w:cs="Courier New"/>
          <w:i/>
          <w:iCs/>
          <w:color w:val="221E1F"/>
        </w:rPr>
        <w:t>Journal of Student Financial Aid</w:t>
      </w:r>
      <w:r w:rsidRPr="002B5E80">
        <w:rPr>
          <w:rFonts w:ascii="Courier New" w:hAnsi="Courier New" w:cs="Courier New"/>
          <w:color w:val="221E1F"/>
        </w:rPr>
        <w:t xml:space="preserve">, </w:t>
      </w:r>
      <w:r w:rsidRPr="002B5E80">
        <w:rPr>
          <w:rFonts w:ascii="Courier New" w:hAnsi="Courier New" w:cs="Courier New"/>
          <w:i/>
          <w:iCs/>
          <w:color w:val="221E1F"/>
        </w:rPr>
        <w:t>26</w:t>
      </w:r>
      <w:r w:rsidRPr="002B5E80">
        <w:rPr>
          <w:rFonts w:ascii="Courier New" w:hAnsi="Courier New" w:cs="Courier New"/>
          <w:color w:val="221E1F"/>
        </w:rPr>
        <w:t>(1), 7–19.</w:t>
      </w:r>
    </w:p>
  </w:footnote>
  <w:footnote w:id="121">
    <w:p w14:paraId="673C268B" w14:textId="072EF6C1" w:rsidR="00A85766" w:rsidRPr="00915FCF" w:rsidRDefault="00A85766" w:rsidP="0096107B">
      <w:pPr>
        <w:pStyle w:val="EndnoteText"/>
        <w:spacing w:line="276" w:lineRule="auto"/>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Scherschel, P. (1998). Student Indebtedness: Are Borrowers Pushing the Limits? USA Group Foundation.</w:t>
      </w:r>
    </w:p>
  </w:footnote>
  <w:footnote w:id="122">
    <w:p w14:paraId="099F8195" w14:textId="01FF880C"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 xml:space="preserve">Harrast, S.A. (2004). Undergraduate Borrowing: A Study of Debtor Students and their Ability to Retire Undergraduate Loans. </w:t>
      </w:r>
      <w:r w:rsidRPr="002B5E80">
        <w:rPr>
          <w:rFonts w:ascii="Courier New" w:hAnsi="Courier New" w:cs="Courier New"/>
          <w:i/>
          <w:iCs/>
          <w:color w:val="221E1F"/>
        </w:rPr>
        <w:t>NASFAA Journal of Student Financial Aid</w:t>
      </w:r>
      <w:r w:rsidRPr="002B5E80">
        <w:rPr>
          <w:rFonts w:ascii="Courier New" w:hAnsi="Courier New" w:cs="Courier New"/>
          <w:color w:val="221E1F"/>
        </w:rPr>
        <w:t xml:space="preserve">, </w:t>
      </w:r>
      <w:r w:rsidRPr="002B5E80">
        <w:rPr>
          <w:rFonts w:ascii="Courier New" w:hAnsi="Courier New" w:cs="Courier New"/>
          <w:i/>
          <w:iCs/>
          <w:color w:val="221E1F"/>
        </w:rPr>
        <w:t>34</w:t>
      </w:r>
      <w:r w:rsidRPr="002B5E80">
        <w:rPr>
          <w:rFonts w:ascii="Courier New" w:hAnsi="Courier New" w:cs="Courier New"/>
          <w:color w:val="221E1F"/>
        </w:rPr>
        <w:t>(1), 21–37.</w:t>
      </w:r>
    </w:p>
  </w:footnote>
  <w:footnote w:id="123">
    <w:p w14:paraId="473AF7DC" w14:textId="32A4FC75"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221E1F"/>
        </w:rPr>
        <w:t xml:space="preserve">King, T., &amp; Frishberg, I. (2001). </w:t>
      </w:r>
      <w:r w:rsidRPr="002B5E80">
        <w:rPr>
          <w:rFonts w:ascii="Courier New" w:hAnsi="Courier New" w:cs="Courier New"/>
          <w:i/>
          <w:iCs/>
          <w:color w:val="221E1F"/>
        </w:rPr>
        <w:t xml:space="preserve">Big Loans, Bigger Problems: A Report on the Sticker Shock of Student Loans. </w:t>
      </w:r>
      <w:r w:rsidRPr="002B5E80">
        <w:rPr>
          <w:rFonts w:ascii="Courier New" w:hAnsi="Courier New" w:cs="Courier New"/>
          <w:color w:val="221E1F"/>
        </w:rPr>
        <w:t>Washington, DC: The State PIRG’s Higher Education Project. Available at www.pirg.org/highered/highered.asp?id2=7973.</w:t>
      </w:r>
    </w:p>
  </w:footnote>
  <w:footnote w:id="124">
    <w:p w14:paraId="3C439EBF" w14:textId="0AD89394"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Kantrowitz, M</w:t>
      </w:r>
      <w:r w:rsidRPr="002B5E80">
        <w:rPr>
          <w:rFonts w:ascii="Courier New" w:hAnsi="Courier New" w:cs="Courier New"/>
          <w:iCs/>
        </w:rPr>
        <w:t>.</w:t>
      </w:r>
      <w:r w:rsidRPr="002B5E80">
        <w:rPr>
          <w:rFonts w:ascii="Courier New" w:hAnsi="Courier New" w:cs="Courier New"/>
        </w:rPr>
        <w:t xml:space="preserve"> (2010). Finaid.com. </w:t>
      </w:r>
      <w:r w:rsidRPr="002B5E80">
        <w:rPr>
          <w:rFonts w:ascii="Courier New" w:hAnsi="Courier New" w:cs="Courier New"/>
          <w:i/>
        </w:rPr>
        <w:t xml:space="preserve">What is Gainful Employment? What is Affordable Debt?, </w:t>
      </w:r>
      <w:r w:rsidRPr="002B5E80">
        <w:rPr>
          <w:rFonts w:ascii="Courier New" w:hAnsi="Courier New" w:cs="Courier New"/>
        </w:rPr>
        <w:t>available at</w:t>
      </w:r>
      <w:r w:rsidRPr="002B5E80" w:rsidDel="00F06CD0">
        <w:rPr>
          <w:rFonts w:ascii="Courier New" w:hAnsi="Courier New" w:cs="Courier New"/>
        </w:rPr>
        <w:t xml:space="preserve"> </w:t>
      </w:r>
      <w:r w:rsidRPr="002B5E80">
        <w:rPr>
          <w:rFonts w:ascii="Courier New" w:hAnsi="Courier New" w:cs="Courier New"/>
        </w:rPr>
        <w:t>www.finaid.org/educators/20100301gainfulemployment.pdf.</w:t>
      </w:r>
    </w:p>
  </w:footnote>
  <w:footnote w:id="125">
    <w:p w14:paraId="092DC77A" w14:textId="4A6B5DCD" w:rsidR="00A85766" w:rsidRPr="00D816A5"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NCES, “Degrees of Debt,” NCES 2014-11.</w:t>
      </w:r>
    </w:p>
  </w:footnote>
  <w:footnote w:id="126">
    <w:p w14:paraId="53242AFE" w14:textId="17FB3883"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6F76F0">
        <w:rPr>
          <w:rFonts w:ascii="Courier New" w:hAnsi="Courier New"/>
        </w:rPr>
        <w:t>NCES, Degrees of Debt (2014).  See Figure 1 for percent of bachelor’s degree recipients who did not borrow and Figure 7 for the ratio of monthly loan payments to monthly income.  The analysis uses data from U.S. Department of Education, National Center for Education Statistics, 1993/94, 2000/01, and 2008/09 Baccalaureate and Beyond Longitudinal Studies (B&amp;B:93/94, B&amp;B:2000/01, and B&amp;B:08/09).</w:t>
      </w:r>
      <w:r w:rsidRPr="002B5E80">
        <w:rPr>
          <w:rFonts w:ascii="Courier New" w:hAnsi="Courier New" w:cs="Courier New"/>
        </w:rPr>
        <w:t xml:space="preserve">  </w:t>
      </w:r>
    </w:p>
  </w:footnote>
  <w:footnote w:id="127">
    <w:p w14:paraId="3C4A4EBD" w14:textId="4D092015"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Cellini, S., and Chaudhary, L. (2012). “The Labor Market Returns to For-Profit College Education.” Working paper.   </w:t>
      </w:r>
    </w:p>
  </w:footnote>
  <w:footnote w:id="128">
    <w:p w14:paraId="09BB8414" w14:textId="1E385A0A"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Kane, T., and Rouse, C. E. (1995). Labor Market Returns to Two- and Four-Year College.  </w:t>
      </w:r>
      <w:r w:rsidRPr="002B5E80">
        <w:rPr>
          <w:rFonts w:ascii="Courier New" w:hAnsi="Courier New" w:cs="Courier New"/>
          <w:i/>
        </w:rPr>
        <w:t>The American Economic Review</w:t>
      </w:r>
      <w:r w:rsidRPr="002B5E80">
        <w:rPr>
          <w:rFonts w:ascii="Courier New" w:hAnsi="Courier New" w:cs="Courier New"/>
        </w:rPr>
        <w:t>, 85(3), 600-614.</w:t>
      </w:r>
    </w:p>
  </w:footnote>
  <w:footnote w:id="129">
    <w:p w14:paraId="79C69774" w14:textId="77777777"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Avery, C., and Turner, S. (2013). Student Loans: Do College Students Borrow Too Much-Or Not Enough? </w:t>
      </w:r>
      <w:r w:rsidRPr="002B5E80">
        <w:rPr>
          <w:rFonts w:ascii="Courier New" w:hAnsi="Courier New" w:cs="Courier New"/>
          <w:i/>
        </w:rPr>
        <w:t>Journal of Economic Perspectives</w:t>
      </w:r>
      <w:r w:rsidRPr="002B5E80">
        <w:rPr>
          <w:rFonts w:ascii="Courier New" w:hAnsi="Courier New" w:cs="Courier New"/>
        </w:rPr>
        <w:t xml:space="preserve">, 26(1), 165-192. </w:t>
      </w:r>
    </w:p>
  </w:footnote>
  <w:footnote w:id="130">
    <w:p w14:paraId="52AD3314" w14:textId="77777777"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Deming, D., Goldin, C., and Katz, L. (2013). </w:t>
      </w:r>
      <w:r w:rsidRPr="002B5E80">
        <w:rPr>
          <w:rFonts w:ascii="Courier New" w:hAnsi="Courier New" w:cs="Courier New"/>
          <w:i/>
        </w:rPr>
        <w:t>For Profit Colleges</w:t>
      </w:r>
      <w:r w:rsidRPr="002B5E80">
        <w:rPr>
          <w:rFonts w:ascii="Courier New" w:hAnsi="Courier New" w:cs="Courier New"/>
        </w:rPr>
        <w:t xml:space="preserve">. </w:t>
      </w:r>
      <w:r w:rsidRPr="002B5E80">
        <w:rPr>
          <w:rFonts w:ascii="Courier New" w:hAnsi="Courier New" w:cs="Courier New"/>
          <w:i/>
        </w:rPr>
        <w:t>Future of Children</w:t>
      </w:r>
      <w:r w:rsidRPr="002B5E80">
        <w:rPr>
          <w:rFonts w:ascii="Courier New" w:hAnsi="Courier New" w:cs="Courier New"/>
        </w:rPr>
        <w:t>, 23(1), 137-164.</w:t>
      </w:r>
    </w:p>
  </w:footnote>
  <w:footnote w:id="131">
    <w:p w14:paraId="598D5C82" w14:textId="77777777"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lang w:val="de-DE"/>
        </w:rPr>
        <w:t xml:space="preserve"> Schneider, M. (2014). American Enterprise Institute. </w:t>
      </w:r>
      <w:r w:rsidRPr="002B5E80">
        <w:rPr>
          <w:rFonts w:ascii="Courier New" w:hAnsi="Courier New" w:cs="Courier New"/>
          <w:i/>
        </w:rPr>
        <w:t>Are Graduates from public Universities Gainfully Employed?  Analyzing Student Loan Debt and Gainful Employment.</w:t>
      </w:r>
      <w:r w:rsidRPr="002B5E80">
        <w:rPr>
          <w:rFonts w:ascii="Courier New" w:hAnsi="Courier New" w:cs="Courier New"/>
        </w:rPr>
        <w:t xml:space="preserve"> </w:t>
      </w:r>
    </w:p>
  </w:footnote>
  <w:footnote w:id="132">
    <w:p w14:paraId="1F22C3B1" w14:textId="2AAB1CE3"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National Bureau of Economic Research (2014). US Business Cycle Expansions and Contractions, available at www.nber.org/cycles.html.</w:t>
      </w:r>
    </w:p>
  </w:footnote>
  <w:footnote w:id="133">
    <w:p w14:paraId="13BA1653" w14:textId="77777777" w:rsidR="00A85766" w:rsidRPr="00915FCF" w:rsidRDefault="00A85766" w:rsidP="0096107B">
      <w:pPr>
        <w:pStyle w:val="FootnoteText"/>
        <w:rPr>
          <w:rFonts w:ascii="Courier New" w:hAnsi="Courier New"/>
        </w:rPr>
      </w:pPr>
      <w:r w:rsidRPr="002B5E80">
        <w:rPr>
          <w:rStyle w:val="FootnoteReference"/>
          <w:rFonts w:ascii="Courier New" w:hAnsi="Courier New" w:cs="Courier New"/>
        </w:rPr>
        <w:footnoteRef/>
      </w:r>
      <w:r w:rsidRPr="002B5E80">
        <w:rPr>
          <w:rFonts w:ascii="Courier New" w:hAnsi="Courier New" w:cs="Courier New"/>
        </w:rPr>
        <w:t xml:space="preserve"> National Bureau of Economic Research (2014). U.S. Business Cycle Expansions and Contractions, available at www.nber.org/cycles.html.</w:t>
      </w:r>
    </w:p>
  </w:footnote>
  <w:footnote w:id="134">
    <w:p w14:paraId="485B7DEB"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two-digit CIP code, 13, is the classification for the education programs including Early Childhood Education and Training, Elementary Education and Teaching, and many other types of programs related to education.</w:t>
      </w:r>
    </w:p>
  </w:footnote>
  <w:footnote w:id="135">
    <w:p w14:paraId="2E4985D4" w14:textId="790EF206"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Available at http://aspe.hhs.gov/poverty/faq.cfm.</w:t>
      </w:r>
    </w:p>
  </w:footnote>
  <w:footnote w:id="136">
    <w:p w14:paraId="172A1D9A" w14:textId="763C205F" w:rsidR="00A85766" w:rsidRPr="002B5E80" w:rsidRDefault="00A85766" w:rsidP="0065265F">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We note that, because the D/E rates are calculated based on a 100 percent sample of the students in the cohort, the median of debt is the value at the 50</w:t>
      </w:r>
      <w:r w:rsidRPr="002B5E80">
        <w:rPr>
          <w:rFonts w:ascii="Courier New" w:hAnsi="Courier New" w:cs="Courier New"/>
          <w:vertAlign w:val="superscript"/>
        </w:rPr>
        <w:t>th</w:t>
      </w:r>
      <w:r w:rsidRPr="002B5E80">
        <w:rPr>
          <w:rFonts w:ascii="Courier New" w:hAnsi="Courier New" w:cs="Courier New"/>
        </w:rPr>
        <w:t xml:space="preserve"> percentile (i.e., the midpoint of the distribution of debt) and the values on either side of the median do not influence the value of the median. </w:t>
      </w:r>
    </w:p>
  </w:footnote>
  <w:footnote w:id="137">
    <w:p w14:paraId="559FEF67"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Available at www.ifap.ed.gov/fsahandbook/attachments/1415FSAHbkVol3Ch2.pdf.</w:t>
      </w:r>
    </w:p>
  </w:footnote>
  <w:footnote w:id="138">
    <w:p w14:paraId="73B03701"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Department of Education analysis of NSLDS data.</w:t>
      </w:r>
    </w:p>
  </w:footnote>
  <w:footnote w:id="139">
    <w:p w14:paraId="4A3B137B"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shd w:val="clear" w:color="auto" w:fill="FFFFFF"/>
        </w:rPr>
        <w:t xml:space="preserve">The best private student loans will have interest rates of LIBOR + 2.0% or PRIME - 0.50% with no fees.  Such loans will be competitive with the Federal PLUS Loan.  Unfortunately, these rates often will be available only to borrowers with good credit who also have a creditworthy cosigner.  It is unclear how many borrowers qualify for the best rates, although the top credit tier typically encompasses about 20 percent of borrowers. </w:t>
      </w:r>
      <w:r w:rsidRPr="002B5E80">
        <w:rPr>
          <w:rFonts w:ascii="Courier New" w:hAnsi="Courier New" w:cs="Courier New"/>
        </w:rPr>
        <w:t xml:space="preserve"> See Private Student Loans, Finaid.Org, </w:t>
      </w:r>
      <w:r w:rsidRPr="002B5E80">
        <w:rPr>
          <w:rFonts w:ascii="Courier New" w:hAnsi="Courier New" w:cs="Courier New"/>
          <w:shd w:val="clear" w:color="auto" w:fill="FFFFFF"/>
        </w:rPr>
        <w:t>available at www.finaid.org/loans/privatestudentloans.phtml.</w:t>
      </w:r>
    </w:p>
  </w:footnote>
  <w:footnote w:id="140">
    <w:p w14:paraId="576721BC" w14:textId="33A76ACA"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3F0AA6">
        <w:rPr>
          <w:rFonts w:ascii="Courier New" w:hAnsi="Courier New" w:cs="Courier New"/>
          <w:u w:val="single"/>
        </w:rPr>
        <w:t>Id</w:t>
      </w:r>
      <w:r w:rsidRPr="002B5E80">
        <w:rPr>
          <w:rFonts w:ascii="Courier New" w:hAnsi="Courier New" w:cs="Courier New"/>
          <w:color w:val="666666"/>
          <w:shd w:val="clear" w:color="auto" w:fill="FFFFFF"/>
        </w:rPr>
        <w:t>.</w:t>
      </w:r>
    </w:p>
    <w:p w14:paraId="2A861126" w14:textId="77777777" w:rsidR="00A85766" w:rsidRPr="002B5E80" w:rsidRDefault="00A85766" w:rsidP="00E144CA">
      <w:pPr>
        <w:pStyle w:val="FootnoteText"/>
        <w:rPr>
          <w:rFonts w:ascii="Courier New" w:hAnsi="Courier New" w:cs="Courier New"/>
        </w:rPr>
      </w:pPr>
    </w:p>
  </w:footnote>
  <w:footnote w:id="141">
    <w:p w14:paraId="5ADDD2A8" w14:textId="342CBD6A" w:rsidR="00A85766" w:rsidRPr="002B5E80" w:rsidRDefault="00A85766">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Private Student Loans, Finaid.Org, </w:t>
      </w:r>
      <w:r w:rsidRPr="002B5E80">
        <w:rPr>
          <w:rFonts w:ascii="Courier New" w:hAnsi="Courier New" w:cs="Courier New"/>
          <w:shd w:val="clear" w:color="auto" w:fill="FFFFFF"/>
        </w:rPr>
        <w:t>available at www.finaid.org/loans/privatestudentloans.phtml.</w:t>
      </w:r>
    </w:p>
  </w:footnote>
  <w:footnote w:id="142">
    <w:p w14:paraId="744CAF33"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We are unable to provide more precise probabilities for the scenario of a program that fails the D/E rates measure in two out of three years.  Because some students are common to consecutive two-year cohort periods for the D/E rates calculations, we cannot rely on the assumption that each year's D/E rates are statistically independent from the previous and subsequent year’s D/E rates.  Without the assumption of independence between years, there is no widely accepted method for calculating the probability of a program failing the D/E rates measure in two out of three years.</w:t>
      </w:r>
    </w:p>
  </w:footnote>
  <w:footnote w:id="143">
    <w:p w14:paraId="3CEA33E9" w14:textId="5BF55981"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United States Government Accountability Office, “For Profit Schools:  Large Schools and Schools that Specialize in Healthcare Are More Likely to Rely Heavily on Federal Student Aid,” October 2010, available at www.gao.gov/new.items/d114.pdf.</w:t>
      </w:r>
    </w:p>
  </w:footnote>
  <w:footnote w:id="144">
    <w:p w14:paraId="7FD63933" w14:textId="77777777" w:rsidR="00A85766" w:rsidRPr="002B5E80" w:rsidRDefault="00A85766" w:rsidP="00E144CA">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Available at </w:t>
      </w:r>
      <w:hyperlink r:id="rId15" w:history="1">
        <w:r w:rsidRPr="002B5E80">
          <w:rPr>
            <w:rStyle w:val="Hyperlink"/>
            <w:rFonts w:ascii="Courier New" w:hAnsi="Courier New" w:cs="Courier New"/>
          </w:rPr>
          <w:t>http://federalstudentaid.ed.gov/datacenter/proprietary.html</w:t>
        </w:r>
      </w:hyperlink>
      <w:r w:rsidRPr="002B5E80">
        <w:rPr>
          <w:rStyle w:val="Hyperlink"/>
          <w:rFonts w:ascii="Courier New" w:hAnsi="Courier New" w:cs="Courier New"/>
        </w:rPr>
        <w:t>.</w:t>
      </w:r>
    </w:p>
  </w:footnote>
  <w:footnote w:id="145">
    <w:p w14:paraId="4269B3F3" w14:textId="440AA2C1"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bCs/>
        </w:rPr>
        <w:t xml:space="preserve">Introduction To State And Local Coverage And Section 218, available at </w:t>
      </w:r>
      <w:r w:rsidRPr="002B5E80">
        <w:rPr>
          <w:rFonts w:ascii="Courier New" w:hAnsi="Courier New" w:cs="Courier New"/>
        </w:rPr>
        <w:t xml:space="preserve">www.ssa.gov/section218training/basic_course_4.htm#8. </w:t>
      </w:r>
    </w:p>
  </w:footnote>
  <w:footnote w:id="146">
    <w:p w14:paraId="4269B3F4" w14:textId="304C6CDF"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Office of Data Exchange and Policy Publications, SSA; </w:t>
      </w:r>
      <w:r>
        <w:rPr>
          <w:rFonts w:ascii="Courier New" w:hAnsi="Courier New" w:cs="Courier New"/>
        </w:rPr>
        <w:t>s</w:t>
      </w:r>
      <w:r w:rsidRPr="002B5E80">
        <w:rPr>
          <w:rFonts w:ascii="Courier New" w:hAnsi="Courier New" w:cs="Courier New"/>
        </w:rPr>
        <w:t xml:space="preserve">ee </w:t>
      </w:r>
      <w:r w:rsidRPr="002B5E80">
        <w:rPr>
          <w:rFonts w:ascii="Courier New" w:hAnsi="Courier New" w:cs="Courier New"/>
          <w:bCs/>
        </w:rPr>
        <w:t>2014 General Instructions for Forms W-2 and W-3, Department of Treasury, Internal Revenue Service, December 17, 2013</w:t>
      </w:r>
      <w:r>
        <w:rPr>
          <w:rFonts w:ascii="Courier New" w:hAnsi="Courier New" w:cs="Courier New"/>
          <w:bCs/>
        </w:rPr>
        <w:t xml:space="preserve">, available at </w:t>
      </w:r>
      <w:r w:rsidRPr="00B461CD">
        <w:rPr>
          <w:rFonts w:ascii="Courier New" w:hAnsi="Courier New" w:cs="Courier New"/>
          <w:bCs/>
        </w:rPr>
        <w:t>www.irs.gov/pub/irs-pdf/iw2w3.pdf</w:t>
      </w:r>
      <w:r w:rsidRPr="002B5E80">
        <w:rPr>
          <w:rFonts w:ascii="Courier New" w:hAnsi="Courier New" w:cs="Courier New"/>
          <w:bCs/>
        </w:rPr>
        <w:t xml:space="preserve">.  </w:t>
      </w:r>
    </w:p>
  </w:footnote>
  <w:footnote w:id="147">
    <w:p w14:paraId="5DE34A9B" w14:textId="77777777" w:rsidR="00A85766" w:rsidRPr="002B5E80" w:rsidRDefault="00A85766" w:rsidP="006F15AC">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Office of Data Exchange and Policy Publications, SSA</w:t>
      </w:r>
    </w:p>
  </w:footnote>
  <w:footnote w:id="148">
    <w:p w14:paraId="5945018A" w14:textId="77777777" w:rsidR="00A85766" w:rsidRPr="002B5E80" w:rsidRDefault="00A85766" w:rsidP="00664128">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 xml:space="preserve">Internal Revenue Service, </w:t>
      </w:r>
      <w:r w:rsidRPr="002B5E80">
        <w:rPr>
          <w:rFonts w:ascii="Courier New" w:hAnsi="Courier New" w:cs="Courier New"/>
        </w:rPr>
        <w:t>Wage Compensation for S Corporation Officers,</w:t>
      </w:r>
      <w:r w:rsidRPr="002B5E80">
        <w:rPr>
          <w:rFonts w:ascii="Courier New" w:hAnsi="Courier New" w:cs="Courier New"/>
          <w:color w:val="666666"/>
        </w:rPr>
        <w:t xml:space="preserve"> </w:t>
      </w:r>
      <w:r w:rsidRPr="002B5E80">
        <w:rPr>
          <w:rFonts w:ascii="Courier New" w:hAnsi="Courier New" w:cs="Courier New"/>
          <w:color w:val="000000"/>
        </w:rPr>
        <w:t xml:space="preserve">FS-2008-25, August 2008, available at </w:t>
      </w:r>
      <w:hyperlink r:id="rId16" w:history="1">
        <w:r w:rsidRPr="002B5E80">
          <w:rPr>
            <w:rStyle w:val="Hyperlink"/>
            <w:rFonts w:ascii="Courier New" w:hAnsi="Courier New" w:cs="Courier New"/>
          </w:rPr>
          <w:t>www.irs.gov/uac/Wage-Compensation-for-S-Corporation-Officers</w:t>
        </w:r>
      </w:hyperlink>
      <w:r w:rsidRPr="002B5E80">
        <w:rPr>
          <w:rFonts w:ascii="Courier New" w:hAnsi="Courier New" w:cs="Courier New"/>
          <w:color w:val="000000"/>
        </w:rPr>
        <w:t xml:space="preserve">.  </w:t>
      </w:r>
    </w:p>
  </w:footnote>
  <w:footnote w:id="149">
    <w:p w14:paraId="64E3A471" w14:textId="08D473CE" w:rsidR="00A85766" w:rsidRPr="002B5E80" w:rsidRDefault="00A85766" w:rsidP="00D50930">
      <w:pPr>
        <w:pStyle w:val="FootnoteText"/>
        <w:rPr>
          <w:rFonts w:ascii="Courier New" w:hAnsi="Courier New" w:cs="Courier New"/>
          <w:color w:val="000000"/>
          <w:shd w:val="clear" w:color="auto" w:fill="FFFFFF"/>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Approximately 90 percent of the wage reports received by SSA</w:t>
      </w:r>
      <w:r w:rsidRPr="002B5E80">
        <w:rPr>
          <w:rFonts w:ascii="Courier New" w:hAnsi="Courier New" w:cs="Courier New"/>
        </w:rPr>
        <w:t xml:space="preserve"> </w:t>
      </w:r>
      <w:r w:rsidRPr="002B5E80">
        <w:rPr>
          <w:rFonts w:ascii="Courier New" w:hAnsi="Courier New" w:cs="Courier New"/>
          <w:color w:val="000000"/>
          <w:shd w:val="clear" w:color="auto" w:fill="FFFFFF"/>
        </w:rPr>
        <w:t>each year are posted to the </w:t>
      </w:r>
      <w:r w:rsidRPr="002B5E80">
        <w:rPr>
          <w:rFonts w:ascii="Courier New" w:hAnsi="Courier New" w:cs="Courier New"/>
        </w:rPr>
        <w:t>MEF</w:t>
      </w:r>
      <w:r w:rsidRPr="002B5E80">
        <w:rPr>
          <w:rFonts w:ascii="Courier New" w:hAnsi="Courier New" w:cs="Courier New"/>
          <w:color w:val="000000"/>
          <w:shd w:val="clear" w:color="auto" w:fill="FFFFFF"/>
        </w:rPr>
        <w:t> without difficulty.  After the computerized routines are applied, approximately 96 percent of wage items are successfully posted to the </w:t>
      </w:r>
      <w:r w:rsidRPr="002B5E80">
        <w:rPr>
          <w:rFonts w:ascii="Courier New" w:hAnsi="Courier New" w:cs="Courier New"/>
        </w:rPr>
        <w:t>MEF</w:t>
      </w:r>
      <w:r w:rsidRPr="002B5E80">
        <w:rPr>
          <w:rFonts w:ascii="Courier New" w:hAnsi="Courier New" w:cs="Courier New"/>
          <w:color w:val="000000"/>
          <w:shd w:val="clear" w:color="auto" w:fill="FFFFFF"/>
        </w:rPr>
        <w:t> (</w:t>
      </w:r>
      <w:r w:rsidRPr="002B5E80">
        <w:rPr>
          <w:rFonts w:ascii="Courier New" w:hAnsi="Courier New" w:cs="Courier New"/>
        </w:rPr>
        <w:t>GAO</w:t>
      </w:r>
      <w:r w:rsidRPr="002B5E80">
        <w:rPr>
          <w:rFonts w:ascii="Courier New" w:hAnsi="Courier New" w:cs="Courier New"/>
          <w:color w:val="000000"/>
          <w:shd w:val="clear" w:color="auto" w:fill="FFFFFF"/>
        </w:rPr>
        <w:t> 2005).”  Anya Olsen and Russell Hudson.  “Social Security Administration’s Master Earnings File:  Background Information.”  Social Security Bulletin, Vol</w:t>
      </w:r>
      <w:r w:rsidR="005E71ED">
        <w:rPr>
          <w:rFonts w:ascii="Courier New" w:hAnsi="Courier New" w:cs="Courier New"/>
          <w:color w:val="000000"/>
          <w:shd w:val="clear" w:color="auto" w:fill="FFFFFF"/>
        </w:rPr>
        <w:t>.</w:t>
      </w:r>
      <w:r w:rsidRPr="002B5E80">
        <w:rPr>
          <w:rFonts w:ascii="Courier New" w:hAnsi="Courier New" w:cs="Courier New"/>
          <w:color w:val="000000"/>
          <w:shd w:val="clear" w:color="auto" w:fill="FFFFFF"/>
        </w:rPr>
        <w:t xml:space="preserve"> 69, No. 3, 2009, www.ssa.gov/policy/docs/ssb/v69n3/v69n3p29.html.</w:t>
      </w:r>
    </w:p>
    <w:p w14:paraId="3A88410D" w14:textId="585F24AF" w:rsidR="00A85766" w:rsidRPr="002B5E80" w:rsidRDefault="00A85766" w:rsidP="00BA22BD">
      <w:pPr>
        <w:pStyle w:val="FootnoteText"/>
        <w:rPr>
          <w:rFonts w:ascii="Courier New" w:hAnsi="Courier New" w:cs="Courier New"/>
        </w:rPr>
      </w:pPr>
      <w:r w:rsidRPr="002B5E80">
        <w:rPr>
          <w:rFonts w:ascii="Courier New" w:hAnsi="Courier New" w:cs="Courier New"/>
          <w:i/>
          <w:color w:val="FFFFFF"/>
        </w:rPr>
        <w:t>Social Security Administration's Master Earnings File: Background Information</w:t>
      </w:r>
      <w:r w:rsidRPr="002B5E80">
        <w:rPr>
          <w:rFonts w:ascii="Courier New" w:hAnsi="Courier New" w:cs="Courier New"/>
          <w:bCs/>
          <w:color w:val="FFFFFF"/>
        </w:rPr>
        <w:t>, available at www.ssa.gov/policy/docs/ssb/v69n3/v69n3p29.html.</w:t>
      </w:r>
    </w:p>
  </w:footnote>
  <w:footnote w:id="150">
    <w:p w14:paraId="4269B3F7" w14:textId="423AE731"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“In previous reports,</w:t>
      </w:r>
      <w:r w:rsidRPr="002B5E80">
        <w:rPr>
          <w:rFonts w:ascii="Courier New" w:hAnsi="Courier New" w:cs="Courier New"/>
          <w:position w:val="8"/>
          <w:vertAlign w:val="superscript"/>
        </w:rPr>
        <w:t xml:space="preserve"> </w:t>
      </w:r>
      <w:r w:rsidRPr="002B5E80">
        <w:rPr>
          <w:rFonts w:ascii="Courier New" w:hAnsi="Courier New" w:cs="Courier New"/>
        </w:rPr>
        <w:t>SSA acknowledged that unauthorized noncitizens’</w:t>
      </w:r>
      <w:r w:rsidRPr="002B5E80">
        <w:rPr>
          <w:rFonts w:ascii="Courier New" w:hAnsi="Courier New" w:cs="Courier New"/>
          <w:position w:val="8"/>
          <w:vertAlign w:val="superscript"/>
        </w:rPr>
        <w:t xml:space="preserve"> </w:t>
      </w:r>
      <w:r w:rsidRPr="002B5E80">
        <w:rPr>
          <w:rFonts w:ascii="Courier New" w:hAnsi="Courier New" w:cs="Courier New"/>
        </w:rPr>
        <w:t xml:space="preserve">intentional misuse of SSNs has been a major contributor to the ESF’s growth.”  </w:t>
      </w:r>
      <w:r w:rsidRPr="002B5E80">
        <w:rPr>
          <w:rFonts w:ascii="Courier New" w:hAnsi="Courier New" w:cs="Courier New"/>
          <w:bCs/>
          <w:i/>
          <w:iCs/>
        </w:rPr>
        <w:t>Employers Who Report Wages with Significant Errors in the Employee Name and SSN (A-08-12-13036)</w:t>
      </w:r>
      <w:r w:rsidRPr="002B5E80">
        <w:rPr>
          <w:rFonts w:ascii="Courier New" w:hAnsi="Courier New" w:cs="Courier New"/>
          <w:bCs/>
          <w:iCs/>
        </w:rPr>
        <w:t xml:space="preserve">, </w:t>
      </w:r>
      <w:r w:rsidRPr="002B5E80">
        <w:rPr>
          <w:rFonts w:ascii="Courier New" w:hAnsi="Courier New" w:cs="Courier New"/>
        </w:rPr>
        <w:t>Office of Inspector General, Department of Health and Human Services, at 4.</w:t>
      </w:r>
    </w:p>
  </w:footnote>
  <w:footnote w:id="151">
    <w:p w14:paraId="4269B3F8" w14:textId="73DD10D8" w:rsidR="00A85766" w:rsidRPr="002B5E80" w:rsidRDefault="00A85766" w:rsidP="001D71D1">
      <w:pPr>
        <w:autoSpaceDE w:val="0"/>
        <w:autoSpaceDN w:val="0"/>
        <w:adjustRightInd w:val="0"/>
        <w:spacing w:after="0" w:line="240" w:lineRule="auto"/>
        <w:rPr>
          <w:rFonts w:ascii="Courier New" w:hAnsi="Courier New" w:cs="Courier New"/>
          <w:bCs/>
          <w:i/>
          <w:sz w:val="20"/>
          <w:szCs w:val="20"/>
        </w:rPr>
      </w:pPr>
      <w:r w:rsidRPr="002B5E80">
        <w:rPr>
          <w:rStyle w:val="FootnoteReference"/>
          <w:rFonts w:ascii="Courier New" w:eastAsia="SimSun" w:hAnsi="Courier New" w:cs="Courier New"/>
          <w:sz w:val="20"/>
          <w:szCs w:val="20"/>
        </w:rPr>
        <w:footnoteRef/>
      </w:r>
      <w:r w:rsidRPr="002B5E80">
        <w:rPr>
          <w:rFonts w:ascii="Courier New" w:hAnsi="Courier New" w:cs="Courier New"/>
          <w:sz w:val="20"/>
          <w:szCs w:val="20"/>
        </w:rPr>
        <w:t xml:space="preserve"> Source: internal programming statistics, SSA, Office of Deputy Commissioner for Systems; see also Johnson, M., </w:t>
      </w:r>
      <w:r w:rsidRPr="002B5E80">
        <w:rPr>
          <w:rFonts w:ascii="Courier New" w:hAnsi="Courier New" w:cs="Courier New"/>
          <w:bCs/>
          <w:i/>
          <w:sz w:val="20"/>
          <w:szCs w:val="20"/>
        </w:rPr>
        <w:t>Growth of the Social Security Earnings Suspense File Points to the Rising Potential Cost of Unauthorized Work To Social Security</w:t>
      </w:r>
      <w:r w:rsidRPr="002B5E80">
        <w:rPr>
          <w:rFonts w:ascii="Courier New" w:hAnsi="Courier New" w:cs="Courier New"/>
          <w:bCs/>
          <w:sz w:val="20"/>
          <w:szCs w:val="20"/>
        </w:rPr>
        <w:t xml:space="preserve">, </w:t>
      </w:r>
      <w:r w:rsidRPr="002B5E80">
        <w:rPr>
          <w:rFonts w:ascii="Courier New" w:hAnsi="Courier New" w:cs="Courier New"/>
          <w:sz w:val="20"/>
          <w:szCs w:val="20"/>
        </w:rPr>
        <w:t>The Senior Citizens League, Feb. 2013, table 2, available at http://seniorsleague.org/2013/growth-of-the-social-security-earnings-suspense-file-points-to-the-rising-potential-cost-of-unauthorized-work-to-social-security-2/</w:t>
      </w:r>
      <w:r w:rsidRPr="002B5E80">
        <w:rPr>
          <w:rFonts w:ascii="Courier New" w:hAnsi="Courier New" w:cs="Courier New"/>
          <w:color w:val="1F497D"/>
          <w:sz w:val="20"/>
          <w:szCs w:val="20"/>
        </w:rPr>
        <w:t>.</w:t>
      </w:r>
    </w:p>
    <w:p w14:paraId="4269B3F9" w14:textId="77777777" w:rsidR="00A85766" w:rsidRPr="002B5E80" w:rsidRDefault="00A85766" w:rsidP="001D71D1">
      <w:pPr>
        <w:autoSpaceDE w:val="0"/>
        <w:autoSpaceDN w:val="0"/>
        <w:adjustRightInd w:val="0"/>
        <w:spacing w:after="0" w:line="240" w:lineRule="auto"/>
        <w:rPr>
          <w:rFonts w:ascii="Courier New" w:hAnsi="Courier New" w:cs="Courier New"/>
          <w:sz w:val="20"/>
          <w:szCs w:val="20"/>
        </w:rPr>
      </w:pPr>
    </w:p>
  </w:footnote>
  <w:footnote w:id="152">
    <w:p w14:paraId="4269B3FA" w14:textId="77777777" w:rsidR="00A85766" w:rsidRPr="002B5E80" w:rsidRDefault="00A85766" w:rsidP="001D71D1">
      <w:pPr>
        <w:pStyle w:val="Default"/>
        <w:rPr>
          <w:rFonts w:ascii="Courier New" w:hAnsi="Courier New" w:cs="Courier New"/>
          <w:sz w:val="20"/>
          <w:szCs w:val="20"/>
        </w:rPr>
      </w:pPr>
      <w:r w:rsidRPr="002B5E80">
        <w:rPr>
          <w:rStyle w:val="FootnoteReference"/>
          <w:rFonts w:ascii="Courier New" w:hAnsi="Courier New" w:cs="Courier New"/>
          <w:color w:val="auto"/>
          <w:sz w:val="20"/>
          <w:szCs w:val="20"/>
        </w:rPr>
        <w:footnoteRef/>
      </w:r>
      <w:r w:rsidRPr="002B5E80">
        <w:rPr>
          <w:rFonts w:ascii="Courier New" w:hAnsi="Courier New" w:cs="Courier New"/>
          <w:color w:val="auto"/>
          <w:sz w:val="20"/>
          <w:szCs w:val="20"/>
        </w:rPr>
        <w:t xml:space="preserve"> Household Employer’s Tax Guide, IRS Publication 926, available at www.irs.gov/publications/p926/ar02.html#en_US_2014_publink100086732.</w:t>
      </w:r>
    </w:p>
  </w:footnote>
  <w:footnote w:id="153">
    <w:p w14:paraId="4269B3FB" w14:textId="2A43357E"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Source: ED records from response files received from SSA as refined based on additional SSA explanations of its exclusion from verified individuals of those verified individuals whose records show an indication that the wage earner died.  Where an exchange consisted of multiple component data sets, each has been listed separately and then totaled.  Data on all but the first of these exchanges was provided to the commenter pursuant to a FOIA request.  </w:t>
      </w:r>
      <w:r w:rsidRPr="002B5E80">
        <w:rPr>
          <w:rStyle w:val="FootnoteReference"/>
          <w:rFonts w:ascii="Courier New" w:hAnsi="Courier New" w:cs="Courier New"/>
        </w:rPr>
        <w:t xml:space="preserve"> </w:t>
      </w:r>
    </w:p>
  </w:footnote>
  <w:footnote w:id="154">
    <w:p w14:paraId="4269B3FF" w14:textId="6F67F485" w:rsidR="00A85766" w:rsidRPr="002B5E80" w:rsidRDefault="00A85766" w:rsidP="00E84945">
      <w:pPr>
        <w:pStyle w:val="Heading1"/>
        <w:spacing w:line="240" w:lineRule="auto"/>
        <w:rPr>
          <w:sz w:val="20"/>
          <w:szCs w:val="20"/>
          <w:u w:val="none"/>
        </w:rPr>
      </w:pPr>
      <w:r w:rsidRPr="002B5E80">
        <w:rPr>
          <w:rStyle w:val="FootnoteReference"/>
          <w:rFonts w:cs="Courier New"/>
          <w:sz w:val="20"/>
          <w:szCs w:val="20"/>
          <w:u w:val="none"/>
        </w:rPr>
        <w:footnoteRef/>
      </w:r>
      <w:r w:rsidRPr="002B5E80">
        <w:rPr>
          <w:sz w:val="20"/>
          <w:szCs w:val="20"/>
          <w:u w:val="none"/>
        </w:rPr>
        <w:t xml:space="preserve"> BLS, </w:t>
      </w:r>
      <w:r w:rsidRPr="002B5E80">
        <w:rPr>
          <w:i/>
          <w:sz w:val="20"/>
          <w:szCs w:val="20"/>
          <w:u w:val="none"/>
        </w:rPr>
        <w:t>Databases, Tables &amp; Calculators by Subject</w:t>
      </w:r>
      <w:r w:rsidRPr="002B5E80">
        <w:rPr>
          <w:sz w:val="20"/>
          <w:szCs w:val="20"/>
          <w:u w:val="none"/>
        </w:rPr>
        <w:t>, available at http://data.bls.gov/timeseries/LNU04000000?years_option=all_years&amp;periods_option=specific_periods&amp;periods=Annual+Data.</w:t>
      </w:r>
    </w:p>
  </w:footnote>
  <w:footnote w:id="155">
    <w:p w14:paraId="4269B400" w14:textId="021C72AE" w:rsidR="00A85766" w:rsidRPr="002B5E80" w:rsidRDefault="00A85766" w:rsidP="00E84945">
      <w:pPr>
        <w:pStyle w:val="Heading1"/>
        <w:spacing w:line="240" w:lineRule="auto"/>
        <w:rPr>
          <w:sz w:val="20"/>
          <w:szCs w:val="20"/>
        </w:rPr>
      </w:pPr>
      <w:r w:rsidRPr="002B5E80">
        <w:rPr>
          <w:rStyle w:val="FootnoteReference"/>
          <w:rFonts w:cs="Courier New"/>
          <w:sz w:val="20"/>
          <w:szCs w:val="20"/>
          <w:u w:val="none"/>
        </w:rPr>
        <w:footnoteRef/>
      </w:r>
      <w:r w:rsidRPr="002B5E80">
        <w:rPr>
          <w:sz w:val="20"/>
          <w:szCs w:val="20"/>
          <w:u w:val="none"/>
        </w:rPr>
        <w:t xml:space="preserve"> BLS, Labor Force Statistics from the Current Population Survey, Frequently Asked Questions, available at www.bls.gov/cps/faq.htm#Ques5.</w:t>
      </w:r>
    </w:p>
  </w:footnote>
  <w:footnote w:id="156">
    <w:p w14:paraId="247C7554" w14:textId="15AEC4CF"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NCES, </w:t>
      </w:r>
      <w:r w:rsidRPr="002B5E80">
        <w:rPr>
          <w:rFonts w:ascii="Courier New" w:hAnsi="Courier New" w:cs="Courier New"/>
          <w:bCs/>
          <w:i/>
          <w:shd w:val="clear" w:color="auto" w:fill="FFFFFF"/>
        </w:rPr>
        <w:t>Unemployment rates of persons 16 to 64 years old, by age group and educational attainment: Selected years, 1975 through 2013</w:t>
      </w:r>
      <w:r w:rsidRPr="002B5E80">
        <w:rPr>
          <w:rFonts w:ascii="Courier New" w:hAnsi="Courier New" w:cs="Courier New"/>
          <w:bCs/>
          <w:shd w:val="clear" w:color="auto" w:fill="FFFFFF"/>
        </w:rPr>
        <w:t xml:space="preserve"> (derived from </w:t>
      </w:r>
      <w:r w:rsidRPr="002B5E80">
        <w:rPr>
          <w:rFonts w:ascii="Courier New" w:hAnsi="Courier New" w:cs="Courier New"/>
        </w:rPr>
        <w:t xml:space="preserve">BLS, Office of Employment and Unemployment Statistics, unpublished annual average data from the Current Population Survey (CPS), selected years, 1975 through 2013), </w:t>
      </w:r>
      <w:r w:rsidRPr="002B5E80">
        <w:rPr>
          <w:rFonts w:ascii="Courier New" w:hAnsi="Courier New" w:cs="Courier New"/>
          <w:bCs/>
          <w:shd w:val="clear" w:color="auto" w:fill="FFFFFF"/>
        </w:rPr>
        <w:t>available at http://nces.ed.gov/programs/digest/d13/tables/dt13_501.80.asp</w:t>
      </w:r>
      <w:r w:rsidRPr="002B5E80">
        <w:rPr>
          <w:rFonts w:ascii="Courier New" w:hAnsi="Courier New" w:cs="Courier New"/>
        </w:rPr>
        <w:t xml:space="preserve">.  </w:t>
      </w:r>
    </w:p>
    <w:p w14:paraId="0B8E8A86" w14:textId="55ADCCDD" w:rsidR="00A85766" w:rsidRPr="002B5E80" w:rsidRDefault="00A85766" w:rsidP="001D71D1">
      <w:pPr>
        <w:pStyle w:val="FootnoteText"/>
        <w:rPr>
          <w:rFonts w:ascii="Courier New" w:hAnsi="Courier New" w:cs="Courier New"/>
        </w:rPr>
      </w:pPr>
      <w:r w:rsidRPr="002B5E80">
        <w:rPr>
          <w:rFonts w:ascii="Courier New" w:hAnsi="Courier New" w:cs="Courier New"/>
        </w:rPr>
        <w:t xml:space="preserve">For the purposes of this report:  </w:t>
      </w:r>
    </w:p>
    <w:p w14:paraId="4269B401" w14:textId="2DD369DF" w:rsidR="00A85766" w:rsidRPr="002B5E80" w:rsidRDefault="00A85766" w:rsidP="00C92C54">
      <w:pPr>
        <w:pStyle w:val="FootnoteText"/>
        <w:ind w:right="720"/>
        <w:jc w:val="both"/>
        <w:rPr>
          <w:rFonts w:ascii="Courier New" w:hAnsi="Courier New" w:cs="Courier New"/>
        </w:rPr>
      </w:pPr>
      <w:r w:rsidRPr="002B5E80">
        <w:rPr>
          <w:rFonts w:ascii="Courier New" w:hAnsi="Courier New" w:cs="Courier New"/>
        </w:rPr>
        <w:t>The unemployment rate is the percentage of persons in the civilian labor force who are not working and who made specific efforts to find employment sometime during the prior 4 weeks. The civilian labor force consists of all civilians who are employed or seeking employment.</w:t>
      </w:r>
      <w:r w:rsidRPr="002B5E80">
        <w:rPr>
          <w:rFonts w:ascii="Courier New" w:hAnsi="Courier New"/>
          <w:shd w:val="clear" w:color="auto" w:fill="FFFFFF"/>
        </w:rPr>
        <w:t xml:space="preserve"> </w:t>
      </w:r>
    </w:p>
  </w:footnote>
  <w:footnote w:id="157">
    <w:p w14:paraId="4269B402" w14:textId="77777777"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Mark Kantrowitz, </w:t>
      </w:r>
      <w:r w:rsidRPr="002B5E80">
        <w:rPr>
          <w:rFonts w:ascii="Courier New" w:hAnsi="Courier New" w:cs="Courier New"/>
          <w:i/>
        </w:rPr>
        <w:t>Student Aid Policy Analysis - Analysis of FY2011 Gainful Employment Data</w:t>
      </w:r>
      <w:r w:rsidRPr="002B5E80">
        <w:rPr>
          <w:rFonts w:ascii="Courier New" w:hAnsi="Courier New" w:cs="Courier New"/>
        </w:rPr>
        <w:t>, July 13, 2012, available at www.finaid.org/educators/20120713gainfulemploymentdata.pdf.</w:t>
      </w:r>
    </w:p>
  </w:footnote>
  <w:footnote w:id="158">
    <w:p w14:paraId="4269B403" w14:textId="28203896" w:rsidR="00A85766" w:rsidRPr="002B5E80" w:rsidRDefault="00A85766" w:rsidP="001D71D1">
      <w:pPr>
        <w:tabs>
          <w:tab w:val="left" w:pos="3570"/>
        </w:tabs>
        <w:spacing w:after="0" w:line="240" w:lineRule="auto"/>
        <w:rPr>
          <w:rFonts w:ascii="Courier New" w:hAnsi="Courier New" w:cs="Courier New"/>
          <w:sz w:val="20"/>
          <w:szCs w:val="20"/>
        </w:rPr>
      </w:pPr>
      <w:r w:rsidRPr="002B5E80">
        <w:rPr>
          <w:rStyle w:val="FootnoteReference"/>
          <w:rFonts w:ascii="Courier New" w:eastAsia="SimSun" w:hAnsi="Courier New" w:cs="Courier New"/>
          <w:sz w:val="20"/>
          <w:szCs w:val="20"/>
          <w:lang w:eastAsia="zh-CN"/>
        </w:rPr>
        <w:footnoteRef/>
      </w:r>
      <w:r w:rsidRPr="002B5E80">
        <w:rPr>
          <w:rFonts w:ascii="Courier New" w:hAnsi="Courier New" w:cs="Courier New"/>
          <w:sz w:val="20"/>
          <w:szCs w:val="20"/>
        </w:rPr>
        <w:t xml:space="preserve"> The duration of unemployment for those unemployed during 2010 and 2011 grew as well: 1</w:t>
      </w:r>
      <w:r>
        <w:rPr>
          <w:rFonts w:ascii="Courier New" w:hAnsi="Courier New" w:cs="Courier New"/>
          <w:sz w:val="20"/>
          <w:szCs w:val="20"/>
        </w:rPr>
        <w:t>5.3</w:t>
      </w:r>
      <w:r w:rsidRPr="002B5E80">
        <w:rPr>
          <w:rFonts w:ascii="Courier New" w:hAnsi="Courier New" w:cs="Courier New"/>
          <w:sz w:val="20"/>
          <w:szCs w:val="20"/>
        </w:rPr>
        <w:t xml:space="preserve"> percent of those unemployed who found work during 2010, and 13.</w:t>
      </w:r>
      <w:r>
        <w:rPr>
          <w:rFonts w:ascii="Courier New" w:hAnsi="Courier New" w:cs="Courier New"/>
          <w:sz w:val="20"/>
          <w:szCs w:val="20"/>
        </w:rPr>
        <w:t>8</w:t>
      </w:r>
      <w:r w:rsidRPr="002B5E80">
        <w:rPr>
          <w:rFonts w:ascii="Courier New" w:hAnsi="Courier New" w:cs="Courier New"/>
          <w:sz w:val="20"/>
          <w:szCs w:val="20"/>
        </w:rPr>
        <w:t xml:space="preserve"> percent of the unemployed who found work during 2011, had been unemployed for 27 to 52 weeks [; in addition, of those unemployed who found work during 2010, 11 percent had been unemployed for a year or more, and of those reemployed during 2011, 12.9 percent had been unemployed for a year or more.  Ilg, Randy E., and Theodossiou, Eleni, </w:t>
      </w:r>
      <w:r w:rsidRPr="002B5E80">
        <w:rPr>
          <w:rFonts w:ascii="Courier New" w:hAnsi="Courier New" w:cs="Courier New"/>
          <w:i/>
          <w:sz w:val="20"/>
          <w:szCs w:val="20"/>
        </w:rPr>
        <w:t>Job search of the unemployed by duration of unemployment</w:t>
      </w:r>
      <w:r w:rsidRPr="002B5E80">
        <w:rPr>
          <w:rFonts w:ascii="Courier New" w:hAnsi="Courier New" w:cs="Courier New"/>
          <w:sz w:val="20"/>
          <w:szCs w:val="20"/>
        </w:rPr>
        <w:t xml:space="preserve">, Monthly Labor Review, March 2012, available at www.bls.gov/opub/mlr/2012/03/art3full.pdf. </w:t>
      </w:r>
    </w:p>
    <w:p w14:paraId="4269B404" w14:textId="77777777" w:rsidR="00A85766" w:rsidRPr="002B5E80" w:rsidRDefault="00A85766" w:rsidP="001D71D1">
      <w:pPr>
        <w:tabs>
          <w:tab w:val="left" w:pos="3570"/>
        </w:tabs>
        <w:spacing w:after="0" w:line="240" w:lineRule="auto"/>
        <w:rPr>
          <w:rFonts w:ascii="Courier New" w:hAnsi="Courier New" w:cs="Courier New"/>
          <w:sz w:val="20"/>
          <w:szCs w:val="20"/>
        </w:rPr>
      </w:pPr>
    </w:p>
  </w:footnote>
  <w:footnote w:id="159">
    <w:p w14:paraId="78C9A44D" w14:textId="5F1AFE84" w:rsidR="00A85766" w:rsidRPr="002B5E80" w:rsidRDefault="00A85766" w:rsidP="00397C19">
      <w:pPr>
        <w:pStyle w:val="Heading1"/>
        <w:spacing w:line="240" w:lineRule="auto"/>
        <w:rPr>
          <w:sz w:val="20"/>
          <w:szCs w:val="20"/>
          <w:u w:val="none"/>
        </w:rPr>
      </w:pPr>
      <w:r w:rsidRPr="002B5E80">
        <w:rPr>
          <w:rStyle w:val="FootnoteReference"/>
          <w:rFonts w:cs="Courier New"/>
          <w:sz w:val="20"/>
          <w:szCs w:val="20"/>
          <w:u w:val="none"/>
        </w:rPr>
        <w:footnoteRef/>
      </w:r>
      <w:r w:rsidRPr="002B5E80">
        <w:rPr>
          <w:sz w:val="20"/>
          <w:szCs w:val="20"/>
          <w:u w:val="none"/>
        </w:rPr>
        <w:t xml:space="preserve"> IRS Guidance, Reporting Tip Income-Restaurant Tax Tips, available at www.irs.gov/Businesses/Small-Businesses-&amp;-Self-Employed/Reporting-Tip-Income-Restaurant-Tax-Tips</w:t>
      </w:r>
      <w:r w:rsidRPr="002B5E80">
        <w:rPr>
          <w:rStyle w:val="apple-converted-space"/>
          <w:rFonts w:eastAsia="MS ??" w:cs="Courier New"/>
          <w:color w:val="666666"/>
          <w:sz w:val="20"/>
          <w:szCs w:val="20"/>
          <w:u w:val="none"/>
        </w:rPr>
        <w:t> (“</w:t>
      </w:r>
      <w:r w:rsidRPr="002B5E80">
        <w:rPr>
          <w:color w:val="000000"/>
          <w:sz w:val="20"/>
          <w:szCs w:val="20"/>
          <w:u w:val="none"/>
          <w:shd w:val="clear" w:color="auto" w:fill="FFFFFF"/>
        </w:rPr>
        <w:t xml:space="preserve">Tips your employees receive from customers are generally subject to withholding.  Employees are required to claim all tip income received.  This includes tips you paid over to the employee for charge customers and tips the employee received directly from customers. . . .  </w:t>
      </w:r>
      <w:r w:rsidRPr="002B5E80">
        <w:rPr>
          <w:color w:val="000000"/>
          <w:sz w:val="20"/>
          <w:szCs w:val="20"/>
          <w:u w:val="none"/>
        </w:rPr>
        <w:t>Employees must report tip income on </w:t>
      </w:r>
      <w:hyperlink r:id="rId17" w:history="1">
        <w:r w:rsidRPr="002B5E80">
          <w:rPr>
            <w:sz w:val="20"/>
            <w:szCs w:val="20"/>
            <w:u w:val="none"/>
          </w:rPr>
          <w:t>Form 4070, Employee's Report of Tips to Employer</w:t>
        </w:r>
      </w:hyperlink>
      <w:r w:rsidRPr="002B5E80">
        <w:rPr>
          <w:color w:val="000000"/>
          <w:sz w:val="20"/>
          <w:szCs w:val="20"/>
          <w:u w:val="none"/>
        </w:rPr>
        <w:t xml:space="preserve">, (PDF) or on a similar statement.  This report is due on the 10th day of the month after the month the tips are received. . . . </w:t>
      </w:r>
      <w:r w:rsidRPr="002B5E80">
        <w:rPr>
          <w:sz w:val="20"/>
          <w:szCs w:val="20"/>
          <w:u w:val="none"/>
        </w:rPr>
        <w:t>No report is required from an employee for months when tips are less than $20.”).</w:t>
      </w:r>
    </w:p>
    <w:p w14:paraId="6AB1249E" w14:textId="77777777" w:rsidR="00A85766" w:rsidRPr="002B5E80" w:rsidRDefault="00A85766" w:rsidP="00070D22">
      <w:pPr>
        <w:shd w:val="clear" w:color="auto" w:fill="FFFFFF"/>
        <w:spacing w:before="225" w:after="0" w:line="218" w:lineRule="atLeast"/>
        <w:textAlignment w:val="baseline"/>
        <w:rPr>
          <w:rFonts w:ascii="Courier New" w:eastAsia="Times New Roman" w:hAnsi="Courier New" w:cs="Courier New"/>
          <w:color w:val="000000"/>
          <w:sz w:val="20"/>
          <w:szCs w:val="20"/>
        </w:rPr>
      </w:pPr>
    </w:p>
    <w:p w14:paraId="28D6B65D" w14:textId="77777777" w:rsidR="00A85766" w:rsidRPr="002B5E80" w:rsidRDefault="00A85766">
      <w:pPr>
        <w:pStyle w:val="FootnoteText"/>
        <w:rPr>
          <w:rFonts w:ascii="Courier New" w:hAnsi="Courier New" w:cs="Courier New"/>
        </w:rPr>
      </w:pPr>
    </w:p>
  </w:footnote>
  <w:footnote w:id="160">
    <w:p w14:paraId="4269B408" w14:textId="5196A4C2"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u w:val="single"/>
        </w:rPr>
        <w:t>See</w:t>
      </w:r>
      <w:r w:rsidRPr="002B5E80">
        <w:rPr>
          <w:rFonts w:ascii="Courier New" w:hAnsi="Courier New" w:cs="Courier New"/>
        </w:rPr>
        <w:t xml:space="preserve"> </w:t>
      </w:r>
      <w:r w:rsidRPr="002B5E80">
        <w:rPr>
          <w:rFonts w:ascii="Courier New" w:hAnsi="Courier New" w:cs="Courier New"/>
          <w:u w:val="single"/>
        </w:rPr>
        <w:t>Baystate Medical Center v. Leavitt</w:t>
      </w:r>
      <w:r w:rsidRPr="002B5E80">
        <w:rPr>
          <w:rFonts w:ascii="Courier New" w:hAnsi="Courier New" w:cs="Courier New"/>
        </w:rPr>
        <w:t xml:space="preserve">, 545 F.Supp.2d 20 (D.D.C. 2008), on which the commenter chiefly relies, describes the “repeated recognition in case law that the agency must use ‘the most reliable data available’ to produce figures that can be considered sufficiently ‘accurate.’” </w:t>
      </w:r>
      <w:r w:rsidRPr="002B5E80">
        <w:rPr>
          <w:rFonts w:ascii="Courier New" w:hAnsi="Courier New" w:cs="Courier New"/>
          <w:u w:val="single"/>
        </w:rPr>
        <w:t>Baystate</w:t>
      </w:r>
      <w:r w:rsidRPr="002B5E80">
        <w:rPr>
          <w:rFonts w:ascii="Courier New" w:hAnsi="Courier New" w:cs="Courier New"/>
        </w:rPr>
        <w:t xml:space="preserve">, 545 F.Supp.2d at 41 (citation omitted).  The accuracy of the determination “cannot be weighed in a vacuum, but instead must be evaluated by reference to the data that was available to the agency at the relevant time.”  </w:t>
      </w:r>
      <w:r w:rsidRPr="002B5E80">
        <w:rPr>
          <w:rFonts w:ascii="Courier New" w:hAnsi="Courier New" w:cs="Courier New"/>
          <w:u w:val="single"/>
        </w:rPr>
        <w:t>Id</w:t>
      </w:r>
      <w:r w:rsidRPr="002B5E80">
        <w:rPr>
          <w:rFonts w:ascii="Courier New" w:hAnsi="Courier New" w:cs="Courier New"/>
        </w:rPr>
        <w:t xml:space="preserve">.  An agency that used the most reliable data available in making a determination need not “recalculate” based on “subsequently corrected data” or where, for instance, “the data failed to account for part-time workers.” </w:t>
      </w:r>
      <w:r w:rsidRPr="002B5E80">
        <w:rPr>
          <w:rFonts w:ascii="Courier New" w:hAnsi="Courier New" w:cs="Courier New"/>
          <w:u w:val="single"/>
        </w:rPr>
        <w:t>Id</w:t>
      </w:r>
      <w:r w:rsidRPr="002B5E80">
        <w:rPr>
          <w:rFonts w:ascii="Courier New" w:hAnsi="Courier New" w:cs="Courier New"/>
        </w:rPr>
        <w:t xml:space="preserve">. (internal citations omitted).  </w:t>
      </w:r>
    </w:p>
  </w:footnote>
  <w:footnote w:id="161">
    <w:p w14:paraId="006638D7" w14:textId="2B01BD9D" w:rsidR="00A85766" w:rsidRPr="002B5E80" w:rsidRDefault="00A85766" w:rsidP="00054D99">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See: SSA,</w:t>
      </w:r>
      <w:r w:rsidRPr="002B5E80">
        <w:rPr>
          <w:rFonts w:ascii="Courier New" w:hAnsi="Courier New" w:cs="Courier New"/>
          <w:i/>
        </w:rPr>
        <w:t xml:space="preserve"> </w:t>
      </w:r>
      <w:r w:rsidRPr="002B5E80">
        <w:rPr>
          <w:rFonts w:ascii="Courier New" w:hAnsi="Courier New" w:cs="Courier New"/>
          <w:bCs/>
          <w:i/>
          <w:color w:val="333333"/>
          <w:shd w:val="clear" w:color="auto" w:fill="FFFFFF"/>
        </w:rPr>
        <w:t>Annual benefits paid from the OASI Trust Fund, by type of benefit, calendar years 1937-2013</w:t>
      </w:r>
      <w:r w:rsidRPr="002B5E80">
        <w:rPr>
          <w:rFonts w:ascii="Courier New" w:hAnsi="Courier New" w:cs="Courier New"/>
        </w:rPr>
        <w:t xml:space="preserve">, available at www.ssa.gov/oact/STATS/table4a5.html; The Board of Trustees, Federal Hospital Insurance and Federal Supplementary Medical Insurance Trust Funds, </w:t>
      </w:r>
      <w:r w:rsidRPr="002B5E80">
        <w:rPr>
          <w:rFonts w:ascii="Courier New" w:hAnsi="Courier New" w:cs="Courier New"/>
          <w:i/>
        </w:rPr>
        <w:t xml:space="preserve">2014 Annual Report, </w:t>
      </w:r>
      <w:r w:rsidRPr="002B5E80">
        <w:rPr>
          <w:rFonts w:ascii="Courier New" w:hAnsi="Courier New" w:cs="Courier New"/>
        </w:rPr>
        <w:t xml:space="preserve">available at </w:t>
      </w:r>
    </w:p>
    <w:p w14:paraId="6C9F52DD" w14:textId="77777777" w:rsidR="00A85766" w:rsidRPr="002B5E80" w:rsidRDefault="00A85766" w:rsidP="00054D99">
      <w:pPr>
        <w:pStyle w:val="FootnoteText"/>
        <w:rPr>
          <w:rFonts w:ascii="Courier New" w:hAnsi="Courier New" w:cs="Courier New"/>
        </w:rPr>
      </w:pPr>
      <w:r w:rsidRPr="002B5E80">
        <w:rPr>
          <w:rFonts w:ascii="Courier New" w:hAnsi="Courier New" w:cs="Courier New"/>
        </w:rPr>
        <w:t>www.cms.gov/Research-Statistics-Data-and-Systems/Statistics-Trends-and-Reports/ReportsTrustFunds/downloads/tr2014.pdf.</w:t>
      </w:r>
    </w:p>
  </w:footnote>
  <w:footnote w:id="162">
    <w:p w14:paraId="470269B3" w14:textId="77777777" w:rsidR="00A85766" w:rsidRPr="00D27C88" w:rsidRDefault="00A85766" w:rsidP="00D27C88">
      <w:pPr>
        <w:spacing w:after="0" w:line="240" w:lineRule="auto"/>
      </w:pPr>
      <w:r w:rsidRPr="002B5E80">
        <w:rPr>
          <w:rStyle w:val="FootnoteReference"/>
          <w:rFonts w:ascii="Courier New" w:hAnsi="Courier New" w:cs="Courier New"/>
        </w:rPr>
        <w:footnoteRef/>
      </w:r>
      <w:r w:rsidRPr="002B5E80">
        <w:rPr>
          <w:rFonts w:ascii="Courier New" w:hAnsi="Courier New" w:cs="Courier New"/>
        </w:rPr>
        <w:t xml:space="preserve"> </w:t>
      </w:r>
      <w:r w:rsidRPr="00DA1353">
        <w:rPr>
          <w:rFonts w:ascii="Courier New" w:hAnsi="Courier New"/>
          <w:sz w:val="20"/>
        </w:rPr>
        <w:t xml:space="preserve">The commenters do not challenge the regulations by contending that they could be read to bar a challenge based on actual return information were the institution able to secure such information by, for example, obtaining copies of IRS earnings records with the consent of each of the students in the cohort.  </w:t>
      </w:r>
      <w:r w:rsidRPr="00D27C88">
        <w:rPr>
          <w:rFonts w:ascii="Courier New" w:hAnsi="Courier New"/>
          <w:sz w:val="20"/>
        </w:rPr>
        <w:t xml:space="preserve">This option would be highly impractical, however, and therefore we did not consider it to be viable for purposes of these regulations.  We also are unaware of any comments that suggested that we adopt such an option.  </w:t>
      </w:r>
    </w:p>
    <w:p w14:paraId="429DD9A9" w14:textId="77777777" w:rsidR="00A85766" w:rsidRPr="00D27C88" w:rsidRDefault="00A85766" w:rsidP="00DA1353"/>
    <w:p w14:paraId="6B507309" w14:textId="132C94F2" w:rsidR="00A85766" w:rsidRPr="002B5E80" w:rsidRDefault="00A85766">
      <w:pPr>
        <w:pStyle w:val="FootnoteText"/>
        <w:rPr>
          <w:rFonts w:ascii="Courier New" w:hAnsi="Courier New" w:cs="Courier New"/>
        </w:rPr>
      </w:pPr>
    </w:p>
  </w:footnote>
  <w:footnote w:id="163">
    <w:p w14:paraId="4269B409" w14:textId="77777777"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hyperlink r:id="rId18" w:history="1">
        <w:r w:rsidRPr="002B5E80">
          <w:rPr>
            <w:rStyle w:val="Hyperlink"/>
            <w:rFonts w:ascii="Courier New" w:hAnsi="Courier New" w:cs="Courier New"/>
          </w:rPr>
          <w:t>www.census.gov/cps/methodology/unreported.html</w:t>
        </w:r>
      </w:hyperlink>
    </w:p>
  </w:footnote>
  <w:footnote w:id="164">
    <w:p w14:paraId="4269B40A" w14:textId="77777777"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hyperlink r:id="rId19" w:history="1">
        <w:r w:rsidRPr="002B5E80">
          <w:rPr>
            <w:rStyle w:val="Hyperlink"/>
            <w:rFonts w:ascii="Courier New" w:hAnsi="Courier New" w:cs="Courier New"/>
          </w:rPr>
          <w:t>www.bls.gov/news.release/ocwage.tn.htm</w:t>
        </w:r>
      </w:hyperlink>
    </w:p>
  </w:footnote>
  <w:footnote w:id="165">
    <w:p w14:paraId="4269B40B" w14:textId="77777777"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hyperlink r:id="rId20" w:anchor="cross-sectional" w:history="1">
        <w:r w:rsidRPr="002B5E80">
          <w:rPr>
            <w:rStyle w:val="Hyperlink"/>
            <w:rFonts w:ascii="Courier New" w:hAnsi="Courier New" w:cs="Courier New"/>
          </w:rPr>
          <w:t>http://nces.ed.gov/statprog/2002/glossary.asp#cross-sectional</w:t>
        </w:r>
      </w:hyperlink>
    </w:p>
  </w:footnote>
  <w:footnote w:id="166">
    <w:p w14:paraId="4269B40C" w14:textId="77777777"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For example, BLS uses these data to produce the occupational earnings analysis that the Department does not now consider to be a sufficiently precise measure to justify its continued use as a source of earnings for the purpose of calculating D/E rates, for the reasons already explained.   </w:t>
      </w:r>
    </w:p>
  </w:footnote>
  <w:footnote w:id="167">
    <w:p w14:paraId="4269B40D" w14:textId="513032BB" w:rsidR="00A85766" w:rsidRPr="002B5E80" w:rsidRDefault="00A85766" w:rsidP="00B04F63">
      <w:pPr>
        <w:spacing w:after="0" w:line="240" w:lineRule="auto"/>
        <w:rPr>
          <w:rFonts w:ascii="Courier New" w:hAnsi="Courier New" w:cs="Courier New"/>
          <w:sz w:val="20"/>
          <w:szCs w:val="20"/>
        </w:rPr>
      </w:pPr>
      <w:r w:rsidRPr="002B5E80">
        <w:rPr>
          <w:rStyle w:val="FootnoteReference"/>
          <w:rFonts w:ascii="Courier New" w:eastAsia="SimSun" w:hAnsi="Courier New" w:cs="Courier New"/>
          <w:sz w:val="20"/>
          <w:szCs w:val="20"/>
        </w:rPr>
        <w:footnoteRef/>
      </w:r>
      <w:r w:rsidRPr="002B5E80">
        <w:rPr>
          <w:rFonts w:ascii="Courier New" w:hAnsi="Courier New" w:cs="Courier New"/>
          <w:sz w:val="20"/>
          <w:szCs w:val="20"/>
        </w:rPr>
        <w:t xml:space="preserve">“The establishment of orders for child support enforcement cases . . . occurs through either judicial or administrative processes. . . .      In 30 States, imputation is practiced if the non-custodial parent fails to provide relevant information or is currently unemployed or underemployed.  Five States impute income only if the non-custodial parent fails to provide relevant information such as pay stubs, income tax returns or financial affidavits. Thirteen States impute income only if the non-custodial parent is unemployed or underemployed.  </w:t>
      </w:r>
    </w:p>
    <w:p w14:paraId="4269B40E" w14:textId="77777777" w:rsidR="00A85766" w:rsidRPr="002B5E80" w:rsidRDefault="00A85766" w:rsidP="001D71D1">
      <w:pPr>
        <w:tabs>
          <w:tab w:val="left" w:pos="2525"/>
        </w:tabs>
        <w:spacing w:after="0" w:line="240" w:lineRule="auto"/>
        <w:ind w:left="720" w:hanging="720"/>
        <w:rPr>
          <w:rFonts w:ascii="Courier New" w:hAnsi="Courier New" w:cs="Courier New"/>
          <w:sz w:val="20"/>
          <w:szCs w:val="20"/>
        </w:rPr>
      </w:pPr>
      <w:r w:rsidRPr="002B5E80">
        <w:rPr>
          <w:rFonts w:ascii="Courier New" w:hAnsi="Courier New" w:cs="Courier New"/>
          <w:sz w:val="20"/>
          <w:szCs w:val="20"/>
        </w:rPr>
        <w:tab/>
      </w:r>
      <w:r w:rsidRPr="002B5E80">
        <w:rPr>
          <w:rFonts w:ascii="Courier New" w:hAnsi="Courier New" w:cs="Courier New"/>
          <w:sz w:val="20"/>
          <w:szCs w:val="20"/>
        </w:rPr>
        <w:tab/>
      </w:r>
    </w:p>
    <w:p w14:paraId="4269B40F" w14:textId="735141F4" w:rsidR="00A85766" w:rsidRPr="002B5E80" w:rsidRDefault="00A85766" w:rsidP="00B04F63">
      <w:pPr>
        <w:spacing w:after="0" w:line="240" w:lineRule="auto"/>
        <w:rPr>
          <w:rFonts w:ascii="Courier New" w:hAnsi="Courier New" w:cs="Courier New"/>
          <w:sz w:val="20"/>
          <w:szCs w:val="20"/>
        </w:rPr>
      </w:pPr>
      <w:r w:rsidRPr="002B5E80">
        <w:rPr>
          <w:rFonts w:ascii="Courier New" w:hAnsi="Courier New" w:cs="Courier New"/>
          <w:sz w:val="20"/>
          <w:szCs w:val="20"/>
        </w:rPr>
        <w:t>Most of the 48 States that impute income consider a combination of factors in determining the amount of income to be imputed to the non-custodial parent.  Thirty-five States base imputed awards on the premise that the non-custodial parent should be able to work a minimum wage job for 40 hours per week.  Fifteen of the States consider the area wage rate and 10 of the States look at the area employment rate to determine imputed income.  Seventeen States consider the non-custodial parent’s level of education while 14 account for disabilities hindering full employment.  Thirty-five States evaluate the non-custodial parent’s skills and experience and thirty-one base imputations on most recent employment, where information is available.”</w:t>
      </w:r>
    </w:p>
    <w:p w14:paraId="4269B410" w14:textId="77777777" w:rsidR="00A85766" w:rsidRPr="002B5E80" w:rsidRDefault="00A85766" w:rsidP="001D71D1">
      <w:pPr>
        <w:spacing w:after="0" w:line="240" w:lineRule="auto"/>
        <w:ind w:left="720" w:hanging="720"/>
        <w:rPr>
          <w:rFonts w:ascii="Courier New" w:hAnsi="Courier New" w:cs="Courier New"/>
          <w:sz w:val="20"/>
          <w:szCs w:val="20"/>
        </w:rPr>
      </w:pPr>
    </w:p>
    <w:p w14:paraId="4269B411" w14:textId="4F62516C" w:rsidR="00A85766" w:rsidRPr="002B5E80" w:rsidRDefault="00A85766" w:rsidP="001D71D1">
      <w:pPr>
        <w:pStyle w:val="FootnoteText"/>
        <w:rPr>
          <w:rFonts w:ascii="Courier New" w:hAnsi="Courier New" w:cs="Courier New"/>
        </w:rPr>
      </w:pPr>
      <w:r w:rsidRPr="002B5E80">
        <w:rPr>
          <w:rFonts w:ascii="Courier New" w:hAnsi="Courier New" w:cs="Courier New"/>
        </w:rPr>
        <w:t xml:space="preserve">Office of Inspector General, Department of Health and Human Services (2000), </w:t>
      </w:r>
      <w:r w:rsidRPr="002B5E80">
        <w:rPr>
          <w:rFonts w:ascii="Courier New" w:hAnsi="Courier New" w:cs="Courier New"/>
          <w:i/>
        </w:rPr>
        <w:t>State policies used to establish child support orders for low-income non-custodial parents</w:t>
      </w:r>
      <w:r w:rsidRPr="002B5E80">
        <w:rPr>
          <w:rFonts w:ascii="Courier New" w:hAnsi="Courier New" w:cs="Courier New"/>
        </w:rPr>
        <w:t xml:space="preserve">, at 5, 15.  Available at </w:t>
      </w:r>
      <w:hyperlink r:id="rId21" w:history="1">
        <w:r w:rsidRPr="002B5E80">
          <w:rPr>
            <w:rStyle w:val="Hyperlink"/>
            <w:rFonts w:ascii="Courier New" w:hAnsi="Courier New" w:cs="Courier New"/>
          </w:rPr>
          <w:t>https://oig.hhs.gov/oei/reports/oei-05-99-00391.pdf</w:t>
        </w:r>
      </w:hyperlink>
      <w:hyperlink r:id="rId22" w:history="1">
        <w:r w:rsidRPr="002B5E80">
          <w:rPr>
            <w:rStyle w:val="Hyperlink"/>
            <w:rFonts w:ascii="Courier New" w:hAnsi="Courier New" w:cs="Courier New"/>
          </w:rPr>
          <w:t>https://oig.hhs.gov/oei/reports/oei-05-99-00391.pdf</w:t>
        </w:r>
      </w:hyperlink>
      <w:r w:rsidRPr="002B5E80">
        <w:rPr>
          <w:rFonts w:ascii="Courier New" w:hAnsi="Courier New" w:cs="Courier New"/>
        </w:rPr>
        <w:t xml:space="preserve">.  </w:t>
      </w:r>
    </w:p>
  </w:footnote>
  <w:footnote w:id="168">
    <w:p w14:paraId="4269B412" w14:textId="60DBDBB5" w:rsidR="00A85766" w:rsidRPr="002B5E80" w:rsidRDefault="00A85766" w:rsidP="001D71D1">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National Conference of State Legislatures, </w:t>
      </w:r>
      <w:r w:rsidRPr="002B5E80">
        <w:rPr>
          <w:rFonts w:ascii="Courier New" w:hAnsi="Courier New" w:cs="Courier New"/>
          <w:i/>
        </w:rPr>
        <w:t>Child Support Digest</w:t>
      </w:r>
      <w:r w:rsidRPr="002B5E80">
        <w:rPr>
          <w:rFonts w:ascii="Courier New" w:hAnsi="Courier New" w:cs="Courier New"/>
        </w:rPr>
        <w:t xml:space="preserve"> (Volume 1, Number 3) www.ncsl.org/research/military-and-veterans-affairs/child-support-digest-volume-1-number-3.aspx.</w:t>
      </w:r>
    </w:p>
  </w:footnote>
  <w:footnote w:id="169">
    <w:p w14:paraId="4269B414" w14:textId="33E49066" w:rsidR="00A85766" w:rsidRPr="002B5E80" w:rsidRDefault="00A85766" w:rsidP="00B04F63">
      <w:pPr>
        <w:pStyle w:val="NormalWeb"/>
        <w:shd w:val="clear" w:color="auto" w:fill="FFFFFF"/>
        <w:spacing w:before="0" w:beforeAutospacing="0" w:after="0" w:afterAutospacing="0"/>
        <w:ind w:right="720"/>
        <w:textAlignment w:val="baseline"/>
        <w:rPr>
          <w:rFonts w:ascii="Courier New" w:hAnsi="Courier New" w:cs="Courier New"/>
          <w:i/>
          <w:sz w:val="20"/>
          <w:szCs w:val="20"/>
        </w:rPr>
      </w:pPr>
      <w:r w:rsidRPr="002B5E80">
        <w:rPr>
          <w:rStyle w:val="FootnoteReference"/>
          <w:rFonts w:ascii="Courier New" w:eastAsia="SimSun" w:hAnsi="Courier New" w:cs="Courier New"/>
          <w:sz w:val="20"/>
          <w:szCs w:val="20"/>
        </w:rPr>
        <w:footnoteRef/>
      </w:r>
      <w:r w:rsidRPr="002B5E80">
        <w:rPr>
          <w:rFonts w:ascii="Courier New" w:hAnsi="Courier New" w:cs="Courier New"/>
          <w:sz w:val="20"/>
          <w:szCs w:val="20"/>
        </w:rPr>
        <w:t xml:space="preserve"> In order to impute income to a parent who has demonstrated an inability to pay the specified amount, courts must determine that the party is voluntarily unemployed or underemployed. States allow for exceptions to the general rule regarding voluntary income decreases if the party can demonstrate that the decrease was based on a “good faith reason” (e.g., taking a lower paying job that has greater long-term job security and potential for future earnings).</w:t>
      </w:r>
    </w:p>
    <w:p w14:paraId="4269B415" w14:textId="15F00688" w:rsidR="00A85766" w:rsidRPr="002B5E80" w:rsidRDefault="00A85766" w:rsidP="001D71D1">
      <w:pPr>
        <w:spacing w:after="0" w:line="240" w:lineRule="auto"/>
        <w:rPr>
          <w:rFonts w:ascii="Courier New" w:hAnsi="Courier New" w:cs="Courier New"/>
          <w:bCs/>
          <w:sz w:val="20"/>
          <w:szCs w:val="20"/>
        </w:rPr>
      </w:pPr>
      <w:r w:rsidRPr="002B5E80">
        <w:rPr>
          <w:rFonts w:ascii="Courier New" w:hAnsi="Courier New" w:cs="Courier New"/>
          <w:bCs/>
          <w:sz w:val="20"/>
          <w:szCs w:val="20"/>
        </w:rPr>
        <w:t xml:space="preserve">National Conference of State Legislatures, </w:t>
      </w:r>
      <w:r w:rsidRPr="002B5E80">
        <w:rPr>
          <w:rFonts w:ascii="Courier New" w:hAnsi="Courier New" w:cs="Courier New"/>
          <w:bCs/>
          <w:i/>
          <w:sz w:val="20"/>
          <w:szCs w:val="20"/>
        </w:rPr>
        <w:t>Child Support 101.2: Establishing and modifying support orders</w:t>
      </w:r>
      <w:r w:rsidRPr="002B5E80">
        <w:rPr>
          <w:rFonts w:ascii="Courier New" w:hAnsi="Courier New" w:cs="Courier New"/>
          <w:bCs/>
          <w:sz w:val="20"/>
          <w:szCs w:val="20"/>
        </w:rPr>
        <w:t xml:space="preserve"> , available at www.NCSL.Org/research/human-services/enforcement-establishing-and-modifying-orders.aspx.</w:t>
      </w:r>
    </w:p>
    <w:p w14:paraId="4269B416" w14:textId="77777777" w:rsidR="00A85766" w:rsidRPr="002B5E80" w:rsidRDefault="00A85766" w:rsidP="001D71D1">
      <w:pPr>
        <w:spacing w:after="0" w:line="240" w:lineRule="auto"/>
        <w:rPr>
          <w:rFonts w:ascii="Courier New" w:hAnsi="Courier New" w:cs="Courier New"/>
          <w:b/>
          <w:i/>
          <w:sz w:val="20"/>
          <w:szCs w:val="20"/>
        </w:rPr>
      </w:pPr>
    </w:p>
    <w:p w14:paraId="4269B417" w14:textId="77777777" w:rsidR="00A85766" w:rsidRPr="002B5E80" w:rsidRDefault="00A85766" w:rsidP="001D71D1">
      <w:pPr>
        <w:spacing w:after="0" w:line="240" w:lineRule="auto"/>
        <w:rPr>
          <w:rFonts w:ascii="Courier New" w:hAnsi="Courier New" w:cs="Courier New"/>
          <w:sz w:val="20"/>
          <w:szCs w:val="20"/>
        </w:rPr>
      </w:pPr>
    </w:p>
  </w:footnote>
  <w:footnote w:id="170">
    <w:p w14:paraId="6FF7B751" w14:textId="2F56AB50" w:rsidR="00A85766" w:rsidRPr="002B5E80" w:rsidRDefault="00A85766" w:rsidP="00AA25A4">
      <w:pPr>
        <w:spacing w:after="240"/>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Disclosures may be “appropriately required ... in order to dissipate the possibility of consumer confusion or deception.”  </w:t>
      </w:r>
      <w:r w:rsidRPr="002B5E80">
        <w:rPr>
          <w:rFonts w:ascii="Courier New" w:hAnsi="Courier New" w:cs="Courier New"/>
          <w:sz w:val="20"/>
          <w:szCs w:val="20"/>
          <w:u w:val="single"/>
        </w:rPr>
        <w:t>Zauderer v. Office of Disciplinary Counsel of Supreme Court of Ohio</w:t>
      </w:r>
      <w:r w:rsidRPr="002B5E80">
        <w:rPr>
          <w:rFonts w:ascii="Courier New" w:hAnsi="Courier New" w:cs="Courier New"/>
          <w:i/>
          <w:sz w:val="20"/>
          <w:szCs w:val="20"/>
        </w:rPr>
        <w:t>,</w:t>
      </w:r>
      <w:r w:rsidRPr="002B5E80">
        <w:rPr>
          <w:rFonts w:ascii="Courier New" w:hAnsi="Courier New" w:cs="Courier New"/>
          <w:sz w:val="20"/>
          <w:szCs w:val="20"/>
        </w:rPr>
        <w:t xml:space="preserve"> 471 U.S. 626, 651 (1985).  If a requirement is “directed at misleading commercial speech and imposes only a disclosure requirement rather than an affirmative limitation on speech, the less exacting scrutiny set out in </w:t>
      </w:r>
      <w:r w:rsidRPr="002B5E80">
        <w:rPr>
          <w:rFonts w:ascii="Courier New" w:hAnsi="Courier New" w:cs="Courier New"/>
          <w:iCs/>
          <w:sz w:val="20"/>
          <w:szCs w:val="20"/>
          <w:u w:val="single"/>
        </w:rPr>
        <w:t>Zauderer v. Office of Disciplinary Counsel of Supreme Court of Ohio</w:t>
      </w:r>
      <w:r w:rsidRPr="002B5E80">
        <w:rPr>
          <w:rFonts w:ascii="Courier New" w:hAnsi="Courier New" w:cs="Courier New"/>
          <w:iCs/>
          <w:sz w:val="20"/>
          <w:szCs w:val="20"/>
        </w:rPr>
        <w:t>,</w:t>
      </w:r>
      <w:r w:rsidRPr="002B5E80">
        <w:rPr>
          <w:rFonts w:ascii="Courier New" w:hAnsi="Courier New" w:cs="Courier New"/>
          <w:sz w:val="20"/>
          <w:szCs w:val="20"/>
        </w:rPr>
        <w:t xml:space="preserve"> 471 U.S. 626, 105 S.Ct. 2265, 85 L.Ed.2d 652, governs.”  </w:t>
      </w:r>
      <w:r w:rsidRPr="002B5E80">
        <w:rPr>
          <w:rFonts w:ascii="Courier New" w:hAnsi="Courier New" w:cs="Courier New"/>
          <w:sz w:val="20"/>
          <w:szCs w:val="20"/>
          <w:u w:val="single"/>
        </w:rPr>
        <w:t>Milavetz, Gallop &amp; Milavetz, P.A. v. United States</w:t>
      </w:r>
      <w:r w:rsidRPr="002B5E80">
        <w:rPr>
          <w:rFonts w:ascii="Courier New" w:hAnsi="Courier New" w:cs="Courier New"/>
          <w:sz w:val="20"/>
          <w:szCs w:val="20"/>
        </w:rPr>
        <w:t>, 559 U.S. 229, 230 2010).</w:t>
      </w:r>
    </w:p>
    <w:p w14:paraId="0D409B2F" w14:textId="77777777" w:rsidR="00A85766" w:rsidRPr="002B5E80" w:rsidRDefault="00A85766" w:rsidP="00AA25A4">
      <w:pPr>
        <w:spacing w:after="240"/>
        <w:rPr>
          <w:rFonts w:ascii="Courier New" w:hAnsi="Courier New" w:cs="Courier New"/>
          <w:sz w:val="20"/>
          <w:szCs w:val="20"/>
        </w:rPr>
      </w:pPr>
    </w:p>
  </w:footnote>
  <w:footnote w:id="171">
    <w:p w14:paraId="028E1E30" w14:textId="6AF572BD"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Section 485 of the HEA was enacted in 1980 and has been repeatedly amended, most recently in 2013.  Section 485 requires an institution to disclose to employees and current and prospective students myriad details regarding campus security policies and statistics on crimes committed on or near campuses, 20 U.S.C. 1092(f); statistics regarding the number and costs of, and revenue from, its athletic programs, 20 U.S.C. 1092(g); and some 23 categories of information about the educational programs and student outcomes, including disclosures of some of the very kinds of information--for the institution as a whole--as required for GE programs in these regulations, including completion rate, placement rate, and retention rate.  20 U.S.C. 1092(a)(1)(L), (R), (U).  Not only does the HEA require these disclosures, but the HEA also specifies the manner in which the rate is to be calculated.  </w:t>
      </w:r>
      <w:r w:rsidRPr="002B5E80">
        <w:rPr>
          <w:rFonts w:ascii="Courier New" w:hAnsi="Courier New" w:cs="Courier New"/>
          <w:i/>
        </w:rPr>
        <w:t>See</w:t>
      </w:r>
      <w:r w:rsidRPr="002B5E80">
        <w:rPr>
          <w:rFonts w:ascii="Courier New" w:hAnsi="Courier New" w:cs="Courier New"/>
        </w:rPr>
        <w:t xml:space="preserve">, </w:t>
      </w:r>
      <w:r w:rsidRPr="002B5E80">
        <w:rPr>
          <w:rFonts w:ascii="Courier New" w:hAnsi="Courier New" w:cs="Courier New"/>
          <w:i/>
        </w:rPr>
        <w:t>e.g.</w:t>
      </w:r>
      <w:r w:rsidRPr="002B5E80">
        <w:rPr>
          <w:rFonts w:ascii="Courier New" w:hAnsi="Courier New" w:cs="Courier New"/>
        </w:rPr>
        <w:t>, 20 U.S.C. 1092(a)(3) (completion rate).  These disclosures must be made through various media, including “electronic media.”  See 20 U.S.C. 1092(a)(1).  In addition, section 487(a)(8) of the HEA requires an institution that advertises job placement rates as a means of attracting students to enroll to make available to prospective students “the most recent data concerning employment statistics, graduation statistics, and any other information necessary to substantiate the truthfulness of the advertisements.”  20 U.S.C. 1094(a)(8).</w:t>
      </w:r>
    </w:p>
  </w:footnote>
  <w:footnote w:id="172">
    <w:p w14:paraId="2128CF30" w14:textId="2435ED71"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warning is required only after the Department has issued a notice of determination informing the institution of its final D/E rates and that the institution is subject to the student warning requirements.  That determination is the outcome of an administrative appeal process and, as final agency action, is subject to review by a Federal court under the Administrative Procedure Act.  By the time the warning is required, therefore, the institution’s opportunity to controvert the determination is over.    </w:t>
      </w:r>
    </w:p>
  </w:footnote>
  <w:footnote w:id="173">
    <w:p w14:paraId="35A11D50" w14:textId="0B542015"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congressional findings state that “education is fundamental to the development of individual citizens and the progress of the Nation as a whole” and that student consumers and their parents must be able to obtain information to make an “informed judgment about the educational benefits available at a given institution.”  Pub. L. 101–542, §102, November 8, 1990, 104 Stat 2381.</w:t>
      </w:r>
    </w:p>
  </w:footnote>
  <w:footnote w:id="174">
    <w:p w14:paraId="00EE4B60" w14:textId="77777777"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Congress demonstrated this most recently in Pub. L. 110-315, §110, August 8, 2008, enacting section 132 of the Higher Education Act, which in subsection (h) requires institutions to disclose on their own Web sites a “net price calculator” regarding their programs, while subsection (a) requires the Department to implement a “College Navigator” Web site displaying a wide range of data, including some similar data.  20 U.S.C. 1015a(a), (h).  In that same law, Congress also amended section 485 of the HEA to add at least seven new disclosures to those already required of the institution itself.  20 U.S.C. 1085(a), as amended by Pub. L. 110-315, §488(a), 122 Stat. 3293.</w:t>
      </w:r>
    </w:p>
  </w:footnote>
  <w:footnote w:id="175">
    <w:p w14:paraId="50CE5606" w14:textId="77777777"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regulations also require even more detailed counseling by the institution for students exiting the institution.  34 CFR 685.304(b).</w:t>
      </w:r>
    </w:p>
  </w:footnote>
  <w:footnote w:id="176">
    <w:p w14:paraId="16C70E35" w14:textId="77777777" w:rsidR="00A85766" w:rsidRPr="002B5E80" w:rsidRDefault="00A85766" w:rsidP="00DB4E46">
      <w:pPr>
        <w:spacing w:after="0" w:line="240" w:lineRule="auto"/>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w:t>
      </w:r>
      <w:r w:rsidRPr="002B5E80">
        <w:rPr>
          <w:rFonts w:ascii="Courier New" w:hAnsi="Courier New" w:cs="Courier New"/>
          <w:sz w:val="20"/>
          <w:szCs w:val="20"/>
          <w:u w:val="single"/>
        </w:rPr>
        <w:t>See</w:t>
      </w:r>
      <w:r w:rsidRPr="002B5E80">
        <w:rPr>
          <w:rFonts w:ascii="Courier New" w:hAnsi="Courier New" w:cs="Courier New"/>
          <w:sz w:val="20"/>
          <w:szCs w:val="20"/>
        </w:rPr>
        <w:t xml:space="preserve">, </w:t>
      </w:r>
      <w:r w:rsidRPr="002B5E80">
        <w:rPr>
          <w:rFonts w:ascii="Courier New" w:hAnsi="Courier New" w:cs="Courier New"/>
          <w:sz w:val="20"/>
          <w:szCs w:val="20"/>
          <w:u w:val="single"/>
        </w:rPr>
        <w:t>e.g.</w:t>
      </w:r>
      <w:r w:rsidRPr="002B5E80">
        <w:rPr>
          <w:rFonts w:ascii="Courier New" w:hAnsi="Courier New" w:cs="Courier New"/>
          <w:sz w:val="20"/>
          <w:szCs w:val="20"/>
        </w:rPr>
        <w:t xml:space="preserve">, 16 CFR 14.9, </w:t>
      </w:r>
      <w:r w:rsidRPr="002B5E80">
        <w:rPr>
          <w:rStyle w:val="subject"/>
          <w:rFonts w:ascii="Courier New" w:hAnsi="Courier New" w:cs="Courier New"/>
          <w:color w:val="333333"/>
          <w:sz w:val="20"/>
          <w:szCs w:val="20"/>
          <w:shd w:val="clear" w:color="auto" w:fill="FFFFFF"/>
        </w:rPr>
        <w:t>Requirements concerning clear and conspicuous disclosures in foreign language advertising and sales materials</w:t>
      </w:r>
      <w:r w:rsidRPr="002B5E80">
        <w:rPr>
          <w:rFonts w:ascii="Courier New" w:hAnsi="Courier New" w:cs="Courier New"/>
          <w:sz w:val="20"/>
          <w:szCs w:val="20"/>
        </w:rPr>
        <w:t xml:space="preserve">:  Where “clear and conspicuous disclosures are required,” </w:t>
      </w:r>
      <w:r w:rsidRPr="002B5E80">
        <w:rPr>
          <w:rFonts w:ascii="Courier New" w:eastAsia="Times New Roman" w:hAnsi="Courier New" w:cs="Courier New"/>
          <w:sz w:val="20"/>
          <w:szCs w:val="20"/>
        </w:rPr>
        <w:t xml:space="preserve">the disclosure shall appear in the “predominant language of the publication in which the advertisement or sales material appears.”  See also FTC Final Rule, Free Annual File Disclosures, 75 FR 9726, 9733 (Mar. 3, 2010) (noting “the Commission’s belief that a disclosure in a language different from that which is principally used in an advertisement would be deceptive”). </w:t>
      </w:r>
      <w:r w:rsidRPr="002B5E80" w:rsidDel="00601959">
        <w:rPr>
          <w:rFonts w:ascii="Courier New" w:eastAsia="Times New Roman" w:hAnsi="Courier New" w:cs="Courier New"/>
          <w:sz w:val="20"/>
          <w:szCs w:val="20"/>
        </w:rPr>
        <w:t xml:space="preserve"> </w:t>
      </w:r>
    </w:p>
  </w:footnote>
  <w:footnote w:id="177">
    <w:p w14:paraId="6D78C704" w14:textId="77777777"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u w:val="single"/>
        </w:rPr>
        <w:t>See</w:t>
      </w:r>
      <w:r w:rsidRPr="002B5E80">
        <w:rPr>
          <w:rFonts w:ascii="Courier New" w:hAnsi="Courier New" w:cs="Courier New"/>
        </w:rPr>
        <w:t xml:space="preserve"> For-Profit Colleges:  Undercover Testing Finds Colleges Encouraged Fraud and Engaged in Deceptive and Questionable Marketing Practices (GAO-10-948T), GAO, August 4, 2010 (reissued November 30, 2010); For Profit Higher Education:  The Failure to Safeguard the Federal Investment and Ensure Student Success, Senate HELP Committee, July 30, 2012.</w:t>
      </w:r>
    </w:p>
  </w:footnote>
  <w:footnote w:id="178">
    <w:p w14:paraId="4D77D465" w14:textId="540DA022" w:rsidR="00A85766" w:rsidRPr="002B5E80" w:rsidRDefault="00A85766" w:rsidP="00AA25A4">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As noted in the NPRM, the Department has previously expressly interpreted section 437(c) of the HEA in controlling regulations to provide no relief for a claim that the loan was arranged for enrollment in an institution that was ineligible, or that the institution arranged the loan for enrollment in an “ineligible program.”  34 CFR 682.402(e); 59 FR 22462, 22470 (April 29, 1994), 59 FR 2486, 2490 (Jan. 14, 1994).</w:t>
      </w:r>
    </w:p>
  </w:footnote>
  <w:footnote w:id="179">
    <w:p w14:paraId="091C0EEC" w14:textId="77777777" w:rsidR="00A85766" w:rsidRPr="002B5E80" w:rsidRDefault="00A85766" w:rsidP="00DB4E46">
      <w:pPr>
        <w:spacing w:after="0" w:line="240" w:lineRule="auto"/>
        <w:contextualSpacing/>
        <w:rPr>
          <w:rFonts w:ascii="Courier New" w:eastAsia="Times New Roman"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Loans and grants are treated similarly, but slightly differently, under §668.26(d).   With respect to Direct Loans, t</w:t>
      </w:r>
      <w:r w:rsidRPr="002B5E80">
        <w:rPr>
          <w:rFonts w:ascii="Courier New" w:eastAsia="Times New Roman" w:hAnsi="Courier New" w:cs="Courier New"/>
          <w:sz w:val="20"/>
          <w:szCs w:val="20"/>
        </w:rPr>
        <w:t>he loss of eligibility will be expected to occur during a “period of enrollment”--a term defined as a period that--</w:t>
      </w:r>
    </w:p>
    <w:p w14:paraId="14751A40" w14:textId="77777777" w:rsidR="00A85766" w:rsidRPr="002B5E80" w:rsidRDefault="00A85766" w:rsidP="00DB4E46">
      <w:pPr>
        <w:spacing w:after="0" w:line="240" w:lineRule="auto"/>
        <w:ind w:firstLine="720"/>
        <w:contextualSpacing/>
        <w:rPr>
          <w:rFonts w:ascii="Courier New" w:eastAsia="Times New Roman" w:hAnsi="Courier New" w:cs="Courier New"/>
          <w:sz w:val="20"/>
          <w:szCs w:val="20"/>
        </w:rPr>
      </w:pPr>
    </w:p>
    <w:p w14:paraId="6B7CCAA9" w14:textId="77777777" w:rsidR="00A85766" w:rsidRPr="002B5E80" w:rsidRDefault="00A85766" w:rsidP="00DB4E46">
      <w:pPr>
        <w:spacing w:after="0" w:line="240" w:lineRule="auto"/>
        <w:ind w:left="720" w:right="720"/>
        <w:contextualSpacing/>
        <w:jc w:val="both"/>
        <w:rPr>
          <w:rFonts w:ascii="Courier New" w:eastAsia="Times New Roman" w:hAnsi="Courier New" w:cs="Courier New"/>
          <w:sz w:val="20"/>
          <w:szCs w:val="20"/>
        </w:rPr>
      </w:pPr>
      <w:r w:rsidRPr="002B5E80">
        <w:rPr>
          <w:rFonts w:ascii="Courier New" w:eastAsia="Times New Roman" w:hAnsi="Courier New" w:cs="Courier New"/>
          <w:sz w:val="20"/>
          <w:szCs w:val="20"/>
        </w:rPr>
        <w:t>must coincide with one or more bona fide academic terms established by the school for which institutional charges are generally assessed (e.g., a semester, trimester, or quarter in weeks of instructional time; an academic year; or the length of the program of study in weeks of instructional time).</w:t>
      </w:r>
    </w:p>
    <w:p w14:paraId="2D77A530" w14:textId="77777777" w:rsidR="00A85766" w:rsidRPr="002B5E80" w:rsidRDefault="00A85766" w:rsidP="00DB4E46">
      <w:pPr>
        <w:spacing w:after="0" w:line="240" w:lineRule="auto"/>
        <w:ind w:left="720" w:right="720"/>
        <w:contextualSpacing/>
        <w:jc w:val="both"/>
        <w:rPr>
          <w:rFonts w:ascii="Courier New" w:eastAsia="Times New Roman" w:hAnsi="Courier New" w:cs="Courier New"/>
          <w:sz w:val="20"/>
          <w:szCs w:val="20"/>
        </w:rPr>
      </w:pPr>
    </w:p>
    <w:p w14:paraId="6208FC93" w14:textId="310BEE18" w:rsidR="00A85766" w:rsidRPr="002B5E80" w:rsidRDefault="00A85766" w:rsidP="00DB4E46">
      <w:pPr>
        <w:spacing w:after="0" w:line="240" w:lineRule="auto"/>
        <w:contextualSpacing/>
        <w:rPr>
          <w:rFonts w:ascii="Courier New" w:eastAsia="Times New Roman" w:hAnsi="Courier New" w:cs="Courier New"/>
          <w:sz w:val="20"/>
          <w:szCs w:val="20"/>
        </w:rPr>
      </w:pPr>
      <w:r w:rsidRPr="002B5E80">
        <w:rPr>
          <w:rFonts w:ascii="Courier New" w:eastAsia="Times New Roman" w:hAnsi="Courier New" w:cs="Courier New"/>
          <w:sz w:val="20"/>
          <w:szCs w:val="20"/>
        </w:rPr>
        <w:t xml:space="preserve">34 CFR 685.102.  The period of enrollment is referred to as the “loan period.”  The maximum period for which a Direct Loan may be made is an academic year, 34 CFR §685.203, and therefore the “loan period” for a loan cannot exceed an academic year even if the program of study is longer than an academic year.  Section 668.26(d)(3) limits the disbursements that may be made after loss of eligibility to those made on “a loan,” if all of the following conditions are met: the borrower must be enrolled on the date on which eligibility is lost; the loss of eligibility must take place during a loan period; a first disbursement on the loan has already been made before the date on which eligibility is lost; and the institution must continue to provide training in that GE program at least through the scheduled completion date of the academic year for which the loan was scheduled, or the length of the program, whichever falls earlier.  With respect to Pell Grants, the institution may disburse Pell Grant funds under similar conditions: the student is enrolled on the date program eligibility ceases, the institution has already received a valid output record for the student, the requested Pell Grant is intended to be disbursed for the “payment period” [academic term or portion of a term, see: 34 CFR 668.4] during which the loss of eligibility occurs, or a prior payment period, and the institution continues to provide training in the program until at least the completion of the payment period.  34 CFR 668.26(d)(1). </w:t>
      </w:r>
    </w:p>
  </w:footnote>
  <w:footnote w:id="180">
    <w:p w14:paraId="7740B65C" w14:textId="0C8788B3" w:rsidR="00A85766" w:rsidRPr="002B5E80" w:rsidRDefault="00A85766" w:rsidP="003528E5">
      <w:pPr>
        <w:spacing w:after="0" w:line="240" w:lineRule="auto"/>
        <w:ind w:left="720" w:hanging="720"/>
        <w:rPr>
          <w:rFonts w:ascii="Courier New" w:hAnsi="Courier New" w:cs="Courier New"/>
          <w:color w:val="000000"/>
          <w:sz w:val="20"/>
          <w:szCs w:val="20"/>
        </w:rPr>
      </w:pPr>
      <w:r w:rsidRPr="002B5E80">
        <w:rPr>
          <w:rStyle w:val="FootnoteReference"/>
          <w:rFonts w:ascii="Courier New" w:hAnsi="Courier New" w:cs="Courier New"/>
          <w:sz w:val="20"/>
          <w:szCs w:val="20"/>
        </w:rPr>
        <w:footnoteRef/>
      </w:r>
      <w:r w:rsidRPr="002B5E80">
        <w:rPr>
          <w:rFonts w:ascii="Courier New" w:hAnsi="Courier New" w:cs="Courier New"/>
          <w:color w:val="000000"/>
          <w:sz w:val="20"/>
          <w:szCs w:val="20"/>
        </w:rPr>
        <w:t xml:space="preserve">[NSLDS’s] “overall purpose” has never included the collection of information on students who do not receive and have not applied for either federal grants or federal loans.  To expand it in that way would make the database no longer “a system (or a successor system) that ... was in use by the Secretary, directly or through a contractor, as of the day before August 14, 2008.”  </w:t>
      </w:r>
      <w:hyperlink r:id="rId23" w:anchor="co_pp_a83b000018c76" w:history="1">
        <w:r w:rsidRPr="007A3425">
          <w:rPr>
            <w:rFonts w:ascii="Courier New" w:hAnsi="Courier New"/>
            <w:sz w:val="20"/>
          </w:rPr>
          <w:t>20 U.S.C. 1015c(b)(2)</w:t>
        </w:r>
      </w:hyperlink>
      <w:r w:rsidRPr="002B5E80">
        <w:rPr>
          <w:rFonts w:ascii="Courier New" w:hAnsi="Courier New" w:cs="Courier New"/>
          <w:color w:val="000000"/>
          <w:sz w:val="20"/>
          <w:szCs w:val="20"/>
        </w:rPr>
        <w:t xml:space="preserve">.  The Department could not create a student unit record system of information on all students in gainful employment programs; nor can it graft such a system onto a pre-existing database of students who have applied for or received Title IV assistance.  </w:t>
      </w:r>
      <w:r w:rsidRPr="002B5E80">
        <w:rPr>
          <w:rFonts w:ascii="Courier New" w:hAnsi="Courier New" w:cs="Courier New"/>
          <w:i/>
          <w:color w:val="000000"/>
          <w:sz w:val="20"/>
          <w:szCs w:val="20"/>
        </w:rPr>
        <w:t>For that reason--and not, as the court previously held, because the added information is unnecessary for the operation of any Title IV program</w:t>
      </w:r>
      <w:r w:rsidRPr="002B5E80">
        <w:rPr>
          <w:rFonts w:ascii="Courier New" w:hAnsi="Courier New" w:cs="Courier New"/>
          <w:color w:val="000000"/>
          <w:sz w:val="20"/>
          <w:szCs w:val="20"/>
        </w:rPr>
        <w:t xml:space="preserve">--the expansion is barred by the statutory prohibition on new databases of personally identifiable student information. </w:t>
      </w:r>
    </w:p>
    <w:p w14:paraId="08A0D3C6" w14:textId="77777777" w:rsidR="00A85766" w:rsidRPr="002B5E80" w:rsidRDefault="00A85766" w:rsidP="003528E5">
      <w:pPr>
        <w:spacing w:after="0" w:line="240" w:lineRule="auto"/>
        <w:ind w:left="720" w:hanging="720"/>
        <w:rPr>
          <w:rFonts w:ascii="Courier New" w:hAnsi="Courier New" w:cs="Courier New"/>
          <w:color w:val="000000"/>
          <w:sz w:val="20"/>
          <w:szCs w:val="20"/>
        </w:rPr>
      </w:pPr>
    </w:p>
    <w:p w14:paraId="1CE8F938" w14:textId="77777777" w:rsidR="00A85766" w:rsidRPr="002B5E80" w:rsidRDefault="00A85766" w:rsidP="003528E5">
      <w:pPr>
        <w:pStyle w:val="FootnoteText"/>
        <w:rPr>
          <w:rFonts w:ascii="Courier New" w:hAnsi="Courier New" w:cs="Courier New"/>
        </w:rPr>
      </w:pPr>
      <w:r w:rsidRPr="002B5E80">
        <w:rPr>
          <w:rFonts w:ascii="Courier New" w:hAnsi="Courier New" w:cs="Courier New"/>
          <w:u w:val="single"/>
        </w:rPr>
        <w:t>APSCU v. Duncan</w:t>
      </w:r>
      <w:r w:rsidRPr="002B5E80">
        <w:rPr>
          <w:rFonts w:ascii="Courier New" w:hAnsi="Courier New" w:cs="Courier New"/>
        </w:rPr>
        <w:t>, 930 F.Supp.2d at 221 (emphasis added).</w:t>
      </w:r>
    </w:p>
  </w:footnote>
  <w:footnote w:id="181">
    <w:p w14:paraId="30ADAC37" w14:textId="77777777" w:rsidR="00A85766" w:rsidRPr="002B5E80" w:rsidRDefault="00A85766" w:rsidP="003528E5">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NSLDS is currently renumbered as 18-11-06.  </w:t>
      </w:r>
    </w:p>
  </w:footnote>
  <w:footnote w:id="182">
    <w:p w14:paraId="2368C1B4" w14:textId="77777777" w:rsidR="00A85766" w:rsidRPr="002B5E80" w:rsidRDefault="00A85766" w:rsidP="001168B5">
      <w:pPr>
        <w:spacing w:after="0" w:line="240" w:lineRule="auto"/>
        <w:ind w:left="720" w:hanging="720"/>
        <w:rPr>
          <w:rFonts w:ascii="Courier New" w:hAnsi="Courier New" w:cs="Courier New"/>
          <w:sz w:val="20"/>
          <w:szCs w:val="20"/>
        </w:rPr>
      </w:pPr>
      <w:r w:rsidRPr="002B5E80">
        <w:rPr>
          <w:rStyle w:val="FootnoteReference"/>
          <w:rFonts w:ascii="Courier New" w:hAnsi="Courier New" w:cs="Courier New"/>
          <w:sz w:val="20"/>
          <w:szCs w:val="20"/>
        </w:rPr>
        <w:footnoteRef/>
      </w:r>
      <w:r w:rsidRPr="002B5E80">
        <w:rPr>
          <w:rFonts w:ascii="Courier New" w:hAnsi="Courier New" w:cs="Courier New"/>
          <w:sz w:val="20"/>
          <w:szCs w:val="20"/>
        </w:rPr>
        <w:t xml:space="preserve"> </w:t>
      </w:r>
      <w:r w:rsidRPr="002B5E80">
        <w:rPr>
          <w:rFonts w:ascii="Courier New" w:hAnsi="Courier New" w:cs="Courier New"/>
          <w:sz w:val="20"/>
          <w:szCs w:val="20"/>
        </w:rPr>
        <w:tab/>
        <w:t>(4) Disclaimer. Estimates of an individual net price determined using a net price calculator required under paragraph (3) shall be accompanied by a clear and conspicuous notice--      (A) stating that the estimate--</w:t>
      </w:r>
      <w:r w:rsidRPr="002B5E80">
        <w:rPr>
          <w:rFonts w:ascii="Courier New" w:hAnsi="Courier New" w:cs="Courier New"/>
          <w:sz w:val="20"/>
          <w:szCs w:val="20"/>
        </w:rPr>
        <w:br/>
        <w:t xml:space="preserve">         (i) does not represent a final determination, or actual award, of financial assistance;</w:t>
      </w:r>
      <w:r w:rsidRPr="002B5E80">
        <w:rPr>
          <w:rFonts w:ascii="Courier New" w:hAnsi="Courier New" w:cs="Courier New"/>
          <w:sz w:val="20"/>
          <w:szCs w:val="20"/>
        </w:rPr>
        <w:br/>
        <w:t xml:space="preserve">         (ii) shall not be binding on the Secretary, the institution of higher education, or the State; and</w:t>
      </w:r>
      <w:r w:rsidRPr="002B5E80">
        <w:rPr>
          <w:rFonts w:ascii="Courier New" w:hAnsi="Courier New" w:cs="Courier New"/>
          <w:sz w:val="20"/>
          <w:szCs w:val="20"/>
        </w:rPr>
        <w:br/>
        <w:t xml:space="preserve">         (iii) may change;</w:t>
      </w:r>
      <w:r w:rsidRPr="002B5E80">
        <w:rPr>
          <w:rFonts w:ascii="Courier New" w:hAnsi="Courier New" w:cs="Courier New"/>
          <w:sz w:val="20"/>
          <w:szCs w:val="20"/>
        </w:rPr>
        <w:tab/>
      </w:r>
    </w:p>
    <w:p w14:paraId="04DBE60B" w14:textId="77777777" w:rsidR="00A85766" w:rsidRPr="002B5E80" w:rsidRDefault="00A85766" w:rsidP="001168B5">
      <w:pPr>
        <w:pStyle w:val="FootnoteText"/>
        <w:rPr>
          <w:rFonts w:ascii="Courier New" w:hAnsi="Courier New" w:cs="Courier New"/>
        </w:rPr>
      </w:pPr>
      <w:r w:rsidRPr="002B5E80">
        <w:rPr>
          <w:rFonts w:ascii="Courier New" w:hAnsi="Courier New" w:cs="Courier New"/>
        </w:rPr>
        <w:t xml:space="preserve">20 U.S.C. 1015a(h).  Institutions must also make available, directly or indirectly through Department sites, not only tuition and fees for the three most recent academic years for which data are available, but a statement of the percentage changes in those costs over that period.  20 U.S.C. 1015a(i)(5).  </w:t>
      </w:r>
    </w:p>
  </w:footnote>
  <w:footnote w:id="183">
    <w:p w14:paraId="0314EAB3" w14:textId="047EFE88" w:rsidR="00A85766" w:rsidRPr="002B5E80" w:rsidRDefault="00A85766" w:rsidP="001168B5">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Pr>
          <w:rFonts w:ascii="Courier New" w:hAnsi="Courier New" w:cs="Courier New"/>
        </w:rPr>
        <w:t>See n. 242, supra.</w:t>
      </w:r>
      <w:r w:rsidRPr="002B5E80">
        <w:rPr>
          <w:rFonts w:ascii="Courier New" w:hAnsi="Courier New" w:cs="Courier New"/>
        </w:rPr>
        <w:t>.</w:t>
      </w:r>
    </w:p>
  </w:footnote>
  <w:footnote w:id="184">
    <w:p w14:paraId="547C7911" w14:textId="77777777" w:rsidR="00A85766" w:rsidRPr="002B5E80" w:rsidRDefault="00A85766" w:rsidP="001168B5">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The disclosures required by §668.412(a) consist of either statistical data elements--for example, dollar amounts, ratios, time periods--and simple facts, such as whether the program meets any educational prerequisites for obtaining a license in a given State.  The disclosures are required under §668.412 only after the institution itself has calculated the data, or the Department has calculated the data and given the institution an opportunity to challenge each such determination under §668.413.</w:t>
      </w:r>
    </w:p>
  </w:footnote>
  <w:footnote w:id="185">
    <w:p w14:paraId="463D692E" w14:textId="16F75EDC" w:rsidR="00A85766" w:rsidRPr="002B5E80" w:rsidRDefault="00A85766" w:rsidP="001168B5">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eastAsia="Times New Roman" w:hAnsi="Courier New" w:cs="Courier New"/>
        </w:rPr>
        <w:t xml:space="preserve">FTC, .com Disclosures, March 2013.  </w:t>
      </w:r>
      <w:r w:rsidRPr="002B5E80">
        <w:rPr>
          <w:rFonts w:ascii="Courier New" w:hAnsi="Courier New" w:cs="Courier New"/>
        </w:rPr>
        <w:t>The FTC advises a party, when using a hyperlink to lead to a disclosure, to--</w:t>
      </w:r>
    </w:p>
    <w:p w14:paraId="3CF8D8B0" w14:textId="77777777" w:rsidR="00A85766" w:rsidRPr="002B5E80" w:rsidRDefault="00A85766" w:rsidP="001168B5">
      <w:pPr>
        <w:pStyle w:val="FootnoteText"/>
        <w:ind w:left="720"/>
        <w:rPr>
          <w:rFonts w:ascii="Courier New" w:hAnsi="Courier New" w:cs="Courier New"/>
        </w:rPr>
      </w:pPr>
      <w:r w:rsidRPr="002B5E80">
        <w:rPr>
          <w:rFonts w:ascii="Courier New" w:hAnsi="Courier New" w:cs="Courier New"/>
        </w:rPr>
        <w:t>- Make the link obvious;</w:t>
      </w:r>
      <w:r w:rsidRPr="002B5E80">
        <w:rPr>
          <w:rFonts w:ascii="Courier New" w:hAnsi="Courier New" w:cs="Courier New"/>
        </w:rPr>
        <w:br/>
        <w:t>- Label the hyperlink appropriately to convey the importance, nature, and relevance of the information it leads to;</w:t>
      </w:r>
      <w:r w:rsidRPr="002B5E80">
        <w:rPr>
          <w:rFonts w:ascii="Courier New" w:hAnsi="Courier New" w:cs="Courier New"/>
        </w:rPr>
        <w:br/>
        <w:t>- Use hyperlink styles consistently, so consumers know when a link is available;</w:t>
      </w:r>
      <w:r w:rsidRPr="002B5E80">
        <w:rPr>
          <w:rFonts w:ascii="Courier New" w:hAnsi="Courier New" w:cs="Courier New"/>
        </w:rPr>
        <w:br/>
        <w:t>- Place the hyperlink as close as possible to the relevant information it qualifies and make it noticeable;</w:t>
      </w:r>
      <w:r w:rsidRPr="002B5E80">
        <w:rPr>
          <w:rFonts w:ascii="Courier New" w:hAnsi="Courier New" w:cs="Courier New"/>
        </w:rPr>
        <w:br/>
        <w:t>- Take consumers directly to the disclosure on the click-through page;</w:t>
      </w:r>
      <w:r w:rsidRPr="002B5E80">
        <w:rPr>
          <w:rFonts w:ascii="Courier New" w:hAnsi="Courier New" w:cs="Courier New"/>
        </w:rPr>
        <w:br/>
        <w:t>- Assess the effectiveness of the hyperlink by monitoring click-through rates and other information about consumer use and make changes accordingly.</w:t>
      </w:r>
    </w:p>
    <w:p w14:paraId="319D9CA6" w14:textId="77777777" w:rsidR="00A85766" w:rsidRPr="002B5E80" w:rsidRDefault="00A85766" w:rsidP="001168B5">
      <w:pPr>
        <w:pStyle w:val="FootnoteText"/>
        <w:rPr>
          <w:rFonts w:ascii="Courier New" w:hAnsi="Courier New" w:cs="Courier New"/>
        </w:rPr>
      </w:pPr>
      <w:r w:rsidRPr="002B5E80">
        <w:rPr>
          <w:rFonts w:ascii="Courier New" w:hAnsi="Courier New" w:cs="Courier New"/>
        </w:rPr>
        <w:t xml:space="preserve">Id. at ii.  </w:t>
      </w:r>
      <w:r w:rsidRPr="002B5E80">
        <w:rPr>
          <w:rFonts w:ascii="Courier New" w:eastAsia="Times New Roman" w:hAnsi="Courier New" w:cs="Courier New"/>
        </w:rPr>
        <w:t>Available at www.ftc.gov/sites/default/files/attachments/press-releases/ftc-staff-revises-online-advertising-disclosure-guidelines/130312dotcomdisclosures.pdf</w:t>
      </w:r>
    </w:p>
  </w:footnote>
  <w:footnote w:id="186">
    <w:p w14:paraId="37B3949A" w14:textId="28564F56" w:rsidR="00A85766" w:rsidRPr="002B5E80" w:rsidRDefault="00A85766" w:rsidP="00915790">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rPr>
        <w:t>“Whether an administrative agency’s order or regulation is severable, permitting a court to affirm it in part and reverse it in part, depends on the issuing agency’s intent.” </w:t>
      </w:r>
      <w:r w:rsidRPr="002B5E80">
        <w:rPr>
          <w:rStyle w:val="apple-converted-space"/>
          <w:rFonts w:ascii="Courier New" w:hAnsi="Courier New" w:cs="Courier New"/>
          <w:color w:val="000000"/>
        </w:rPr>
        <w:t> </w:t>
      </w:r>
      <w:r w:rsidRPr="002B5E80">
        <w:rPr>
          <w:rStyle w:val="Emphasis"/>
          <w:rFonts w:ascii="Courier New" w:hAnsi="Courier New" w:cs="Courier New"/>
          <w:i w:val="0"/>
          <w:color w:val="000000"/>
          <w:u w:val="single"/>
        </w:rPr>
        <w:t>Davis Cty. Solid Waste Mgmt. v. EPA</w:t>
      </w:r>
      <w:r w:rsidRPr="002B5E80">
        <w:rPr>
          <w:rStyle w:val="Emphasis"/>
          <w:rFonts w:ascii="Courier New" w:hAnsi="Courier New" w:cs="Courier New"/>
          <w:color w:val="000000"/>
        </w:rPr>
        <w:t>,</w:t>
      </w:r>
      <w:r w:rsidRPr="002B5E80">
        <w:rPr>
          <w:rStyle w:val="apple-converted-space"/>
          <w:rFonts w:ascii="Courier New" w:hAnsi="Courier New" w:cs="Courier New"/>
          <w:color w:val="000000"/>
        </w:rPr>
        <w:t> </w:t>
      </w:r>
      <w:r w:rsidRPr="002B5E80">
        <w:rPr>
          <w:rFonts w:ascii="Courier New" w:hAnsi="Courier New" w:cs="Courier New"/>
          <w:color w:val="000000"/>
        </w:rPr>
        <w:t>108 F.3d 1454, 1459 (D.C. Cir. 1997) (</w:t>
      </w:r>
      <w:r w:rsidRPr="002B5E80">
        <w:rPr>
          <w:rFonts w:ascii="Courier New" w:hAnsi="Courier New" w:cs="Courier New"/>
          <w:color w:val="000000"/>
          <w:u w:val="single"/>
        </w:rPr>
        <w:t>quoting</w:t>
      </w:r>
      <w:r w:rsidRPr="002B5E80">
        <w:rPr>
          <w:rFonts w:ascii="Courier New" w:hAnsi="Courier New" w:cs="Courier New"/>
          <w:color w:val="000000"/>
        </w:rPr>
        <w:t xml:space="preserve"> </w:t>
      </w:r>
      <w:r w:rsidRPr="002B5E80">
        <w:rPr>
          <w:rFonts w:ascii="Courier New" w:hAnsi="Courier New" w:cs="Courier New"/>
          <w:color w:val="000000"/>
          <w:u w:val="single"/>
        </w:rPr>
        <w:t>North Carolina v. FERC</w:t>
      </w:r>
      <w:r w:rsidRPr="002B5E80">
        <w:rPr>
          <w:rFonts w:ascii="Courier New" w:hAnsi="Courier New" w:cs="Courier New"/>
          <w:color w:val="000000"/>
        </w:rPr>
        <w:t>, 730 F.2d 790, 795-96 (D.C. Cir. 1984).  “Severance and affirmance of a portion of an administrative regulation is improper if there is ‘substantial doubt’ that the agency would have adopted the severed portion on its own.” </w:t>
      </w:r>
      <w:r w:rsidRPr="002B5E80">
        <w:rPr>
          <w:rStyle w:val="apple-converted-space"/>
          <w:rFonts w:ascii="Courier New" w:hAnsi="Courier New" w:cs="Courier New"/>
          <w:color w:val="000000"/>
        </w:rPr>
        <w:t> </w:t>
      </w:r>
      <w:r w:rsidRPr="002B5E80">
        <w:rPr>
          <w:rFonts w:ascii="Courier New" w:hAnsi="Courier New" w:cs="Courier New"/>
          <w:color w:val="000000"/>
        </w:rPr>
        <w:t>Davis, 108 F.3d at 1459</w:t>
      </w:r>
      <w:r>
        <w:rPr>
          <w:rFonts w:ascii="Courier New" w:hAnsi="Courier New" w:cs="Courier New"/>
          <w:color w:val="000000"/>
        </w:rPr>
        <w:t>.</w:t>
      </w:r>
      <w:r w:rsidRPr="002B5E80">
        <w:rPr>
          <w:rFonts w:ascii="Courier New" w:hAnsi="Courier New" w:cs="Courier New"/>
          <w:color w:val="000000"/>
        </w:rPr>
        <w:t>  Additionally, a court looks to whether a rule can function as designed if a portion is severed.  “Whether the offending portion of a regulation is severable depends upon the intent of the agency and upon whether the remainder of the regulation  could function sensibly without the stricken provision.” </w:t>
      </w:r>
      <w:r w:rsidRPr="002B5E80">
        <w:rPr>
          <w:rStyle w:val="apple-converted-space"/>
          <w:rFonts w:ascii="Courier New" w:hAnsi="Courier New" w:cs="Courier New"/>
          <w:color w:val="000000"/>
        </w:rPr>
        <w:t> </w:t>
      </w:r>
      <w:r w:rsidRPr="002B5E80">
        <w:rPr>
          <w:rFonts w:ascii="Courier New" w:hAnsi="Courier New" w:cs="Courier New"/>
          <w:iCs/>
          <w:color w:val="000000"/>
          <w:u w:val="single"/>
        </w:rPr>
        <w:t>MD/DC/DE Broadcasters Ass’n v. FCC</w:t>
      </w:r>
      <w:r w:rsidRPr="002B5E80">
        <w:rPr>
          <w:rFonts w:ascii="Courier New" w:hAnsi="Courier New" w:cs="Courier New"/>
          <w:color w:val="000000"/>
        </w:rPr>
        <w:t xml:space="preserve">, 236 F.3d 13, 22 (D.C. Cir. 2001) (citations omitted).  </w:t>
      </w:r>
    </w:p>
  </w:footnote>
  <w:footnote w:id="187">
    <w:p w14:paraId="7F4AC209" w14:textId="77777777" w:rsidR="00BF10A3" w:rsidRPr="00112FAA"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NSLDS. </w:t>
      </w:r>
    </w:p>
    <w:p w14:paraId="7202BCFE" w14:textId="77777777" w:rsidR="00BF10A3" w:rsidRPr="00112FAA" w:rsidRDefault="00BF10A3" w:rsidP="00BF10A3">
      <w:pPr>
        <w:pStyle w:val="FootnoteText"/>
        <w:rPr>
          <w:rFonts w:ascii="Courier New" w:hAnsi="Courier New" w:cs="Courier New"/>
        </w:rPr>
      </w:pPr>
    </w:p>
    <w:p w14:paraId="6E194180" w14:textId="77777777" w:rsidR="00BF10A3" w:rsidRPr="00B53B21" w:rsidRDefault="00BF10A3" w:rsidP="00BF10A3">
      <w:pPr>
        <w:pStyle w:val="FootnoteText"/>
        <w:rPr>
          <w:rFonts w:ascii="Courier New" w:hAnsi="Courier New" w:cs="Courier New"/>
        </w:rPr>
      </w:pPr>
    </w:p>
  </w:footnote>
  <w:footnote w:id="188">
    <w:p w14:paraId="59F2B4A0"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 xml:space="preserve">Pell grant recipient percentages </w:t>
      </w:r>
      <w:r>
        <w:rPr>
          <w:rFonts w:ascii="Courier New" w:hAnsi="Courier New"/>
        </w:rPr>
        <w:t xml:space="preserve">are </w:t>
      </w:r>
      <w:r w:rsidRPr="002C2AE4">
        <w:rPr>
          <w:rFonts w:ascii="Courier New" w:hAnsi="Courier New"/>
        </w:rPr>
        <w:t xml:space="preserve">based on students at </w:t>
      </w:r>
      <w:r>
        <w:rPr>
          <w:rFonts w:ascii="Courier New" w:hAnsi="Courier New"/>
        </w:rPr>
        <w:t>undergraduate GE</w:t>
      </w:r>
      <w:r w:rsidRPr="002C2AE4">
        <w:rPr>
          <w:rFonts w:ascii="Courier New" w:hAnsi="Courier New"/>
        </w:rPr>
        <w:t xml:space="preserve"> programs who entered repayment </w:t>
      </w:r>
      <w:r>
        <w:rPr>
          <w:rFonts w:ascii="Courier New" w:hAnsi="Courier New"/>
        </w:rPr>
        <w:t xml:space="preserve">on title IV, HEA program loans </w:t>
      </w:r>
      <w:r w:rsidRPr="002C2AE4">
        <w:rPr>
          <w:rFonts w:ascii="Courier New" w:hAnsi="Courier New"/>
        </w:rPr>
        <w:t xml:space="preserve">between October 1, 2007 and September 30, 2009 and received a Pell </w:t>
      </w:r>
      <w:r>
        <w:rPr>
          <w:rFonts w:ascii="Courier New" w:hAnsi="Courier New"/>
        </w:rPr>
        <w:t>g</w:t>
      </w:r>
      <w:r w:rsidRPr="002C2AE4">
        <w:rPr>
          <w:rFonts w:ascii="Courier New" w:hAnsi="Courier New"/>
        </w:rPr>
        <w:t xml:space="preserve">rant </w:t>
      </w:r>
      <w:r>
        <w:rPr>
          <w:rFonts w:ascii="Courier New" w:hAnsi="Courier New"/>
        </w:rPr>
        <w:t>for</w:t>
      </w:r>
      <w:r w:rsidRPr="002C2AE4">
        <w:rPr>
          <w:rFonts w:ascii="Courier New" w:hAnsi="Courier New"/>
        </w:rPr>
        <w:t xml:space="preserve"> </w:t>
      </w:r>
      <w:r>
        <w:rPr>
          <w:rFonts w:ascii="Courier New" w:hAnsi="Courier New"/>
        </w:rPr>
        <w:t>attendance at the institution</w:t>
      </w:r>
      <w:r w:rsidRPr="002C2AE4">
        <w:rPr>
          <w:rFonts w:ascii="Courier New" w:hAnsi="Courier New"/>
        </w:rPr>
        <w:t xml:space="preserve"> between July 1, 2004 to June 30, 2009.  </w:t>
      </w:r>
      <w:r>
        <w:rPr>
          <w:rFonts w:ascii="Courier New" w:hAnsi="Courier New"/>
        </w:rPr>
        <w:t xml:space="preserve">Graduate programs are not included in calculation of </w:t>
      </w:r>
      <w:r w:rsidRPr="002C2AE4">
        <w:rPr>
          <w:rFonts w:ascii="Courier New" w:hAnsi="Courier New"/>
        </w:rPr>
        <w:t xml:space="preserve">Pell </w:t>
      </w:r>
      <w:r>
        <w:rPr>
          <w:rFonts w:ascii="Courier New" w:hAnsi="Courier New"/>
        </w:rPr>
        <w:t xml:space="preserve">recipient </w:t>
      </w:r>
      <w:r w:rsidRPr="002C2AE4">
        <w:rPr>
          <w:rFonts w:ascii="Courier New" w:hAnsi="Courier New"/>
        </w:rPr>
        <w:t xml:space="preserve">percentages.  Other percentages </w:t>
      </w:r>
      <w:r>
        <w:rPr>
          <w:rFonts w:ascii="Courier New" w:hAnsi="Courier New"/>
        </w:rPr>
        <w:t>are</w:t>
      </w:r>
      <w:r w:rsidRPr="002C2AE4">
        <w:rPr>
          <w:rFonts w:ascii="Courier New" w:hAnsi="Courier New"/>
        </w:rPr>
        <w:t xml:space="preserve"> based on students at </w:t>
      </w:r>
      <w:r>
        <w:rPr>
          <w:rFonts w:ascii="Courier New" w:hAnsi="Courier New"/>
        </w:rPr>
        <w:t>GE</w:t>
      </w:r>
      <w:r w:rsidRPr="002C2AE4">
        <w:rPr>
          <w:rFonts w:ascii="Courier New" w:hAnsi="Courier New"/>
        </w:rPr>
        <w:t xml:space="preserve"> programs who entered repayment </w:t>
      </w:r>
      <w:r>
        <w:rPr>
          <w:rFonts w:ascii="Courier New" w:hAnsi="Courier New"/>
        </w:rPr>
        <w:t xml:space="preserve">on title IV, HEA program loans </w:t>
      </w:r>
      <w:r w:rsidRPr="002C2AE4">
        <w:rPr>
          <w:rFonts w:ascii="Courier New" w:hAnsi="Courier New"/>
        </w:rPr>
        <w:t xml:space="preserve">between October 1, 2007 and September 30, 2009 and had a demographic record in NSLDS in 2008. </w:t>
      </w:r>
      <w:r>
        <w:rPr>
          <w:rFonts w:ascii="Courier New" w:hAnsi="Courier New"/>
        </w:rPr>
        <w:t xml:space="preserve"> </w:t>
      </w:r>
      <w:r w:rsidRPr="002C2AE4">
        <w:rPr>
          <w:rFonts w:ascii="Courier New" w:hAnsi="Courier New"/>
        </w:rPr>
        <w:t xml:space="preserve">Sector and credential averages </w:t>
      </w:r>
      <w:r>
        <w:rPr>
          <w:rFonts w:ascii="Courier New" w:hAnsi="Courier New"/>
        </w:rPr>
        <w:t xml:space="preserve">are </w:t>
      </w:r>
      <w:r w:rsidRPr="002C2AE4">
        <w:rPr>
          <w:rFonts w:ascii="Courier New" w:hAnsi="Courier New"/>
        </w:rPr>
        <w:t>generated by weighting program results by FY</w:t>
      </w:r>
      <w:r>
        <w:rPr>
          <w:rFonts w:ascii="Courier New" w:hAnsi="Courier New"/>
        </w:rPr>
        <w:t xml:space="preserve"> </w:t>
      </w:r>
      <w:r w:rsidRPr="002C2AE4">
        <w:rPr>
          <w:rFonts w:ascii="Courier New" w:hAnsi="Courier New"/>
        </w:rPr>
        <w:t>2010 enrollment.</w:t>
      </w:r>
    </w:p>
  </w:footnote>
  <w:footnote w:id="189">
    <w:p w14:paraId="4F0831F8"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Avery, C., and Turner, S. (2013). </w:t>
      </w:r>
      <w:r w:rsidRPr="004721AA">
        <w:rPr>
          <w:rFonts w:ascii="Courier New" w:hAnsi="Courier New"/>
        </w:rPr>
        <w:t xml:space="preserve">Student </w:t>
      </w:r>
      <w:r w:rsidRPr="001D2B1E">
        <w:rPr>
          <w:rFonts w:ascii="Courier New" w:hAnsi="Courier New"/>
        </w:rPr>
        <w:t>L</w:t>
      </w:r>
      <w:r w:rsidRPr="004721AA">
        <w:rPr>
          <w:rFonts w:ascii="Courier New" w:hAnsi="Courier New"/>
        </w:rPr>
        <w:t xml:space="preserve">oans: Do </w:t>
      </w:r>
      <w:r w:rsidRPr="001D2B1E">
        <w:rPr>
          <w:rFonts w:ascii="Courier New" w:hAnsi="Courier New"/>
        </w:rPr>
        <w:t>C</w:t>
      </w:r>
      <w:r w:rsidRPr="004721AA">
        <w:rPr>
          <w:rFonts w:ascii="Courier New" w:hAnsi="Courier New"/>
        </w:rPr>
        <w:t xml:space="preserve">ollege </w:t>
      </w:r>
      <w:r w:rsidRPr="001D2B1E">
        <w:rPr>
          <w:rFonts w:ascii="Courier New" w:hAnsi="Courier New"/>
        </w:rPr>
        <w:t>S</w:t>
      </w:r>
      <w:r w:rsidRPr="004721AA">
        <w:rPr>
          <w:rFonts w:ascii="Courier New" w:hAnsi="Courier New"/>
        </w:rPr>
        <w:t xml:space="preserve">tudents </w:t>
      </w:r>
      <w:r w:rsidRPr="001D2B1E">
        <w:rPr>
          <w:rFonts w:ascii="Courier New" w:hAnsi="Courier New"/>
        </w:rPr>
        <w:t>B</w:t>
      </w:r>
      <w:r w:rsidRPr="004721AA">
        <w:rPr>
          <w:rFonts w:ascii="Courier New" w:hAnsi="Courier New"/>
        </w:rPr>
        <w:t xml:space="preserve">orrow </w:t>
      </w:r>
      <w:r w:rsidRPr="001D2B1E">
        <w:rPr>
          <w:rFonts w:ascii="Courier New" w:hAnsi="Courier New"/>
        </w:rPr>
        <w:t>T</w:t>
      </w:r>
      <w:r w:rsidRPr="004721AA">
        <w:rPr>
          <w:rFonts w:ascii="Courier New" w:hAnsi="Courier New"/>
        </w:rPr>
        <w:t xml:space="preserve">oo </w:t>
      </w:r>
      <w:r w:rsidRPr="001D2B1E">
        <w:rPr>
          <w:rFonts w:ascii="Courier New" w:hAnsi="Courier New"/>
        </w:rPr>
        <w:t>M</w:t>
      </w:r>
      <w:r w:rsidRPr="004721AA">
        <w:rPr>
          <w:rFonts w:ascii="Courier New" w:hAnsi="Courier New"/>
        </w:rPr>
        <w:t>uch-</w:t>
      </w:r>
      <w:r w:rsidRPr="001D2B1E">
        <w:rPr>
          <w:rFonts w:ascii="Courier New" w:hAnsi="Courier New"/>
        </w:rPr>
        <w:t>O</w:t>
      </w:r>
      <w:r w:rsidRPr="004721AA">
        <w:rPr>
          <w:rFonts w:ascii="Courier New" w:hAnsi="Courier New"/>
        </w:rPr>
        <w:t xml:space="preserve">r </w:t>
      </w:r>
      <w:r w:rsidRPr="001D2B1E">
        <w:rPr>
          <w:rFonts w:ascii="Courier New" w:hAnsi="Courier New"/>
        </w:rPr>
        <w:t>N</w:t>
      </w:r>
      <w:r w:rsidRPr="004721AA">
        <w:rPr>
          <w:rFonts w:ascii="Courier New" w:hAnsi="Courier New"/>
        </w:rPr>
        <w:t xml:space="preserve">ot </w:t>
      </w:r>
      <w:r w:rsidRPr="001D2B1E">
        <w:rPr>
          <w:rFonts w:ascii="Courier New" w:hAnsi="Courier New"/>
        </w:rPr>
        <w:t>E</w:t>
      </w:r>
      <w:r w:rsidRPr="004721AA">
        <w:rPr>
          <w:rFonts w:ascii="Courier New" w:hAnsi="Courier New"/>
        </w:rPr>
        <w:t xml:space="preserve">nough? </w:t>
      </w:r>
      <w:r w:rsidRPr="004721AA">
        <w:rPr>
          <w:rFonts w:ascii="Courier New" w:hAnsi="Courier New"/>
          <w:i/>
        </w:rPr>
        <w:t>Journal of Economic Perspectives</w:t>
      </w:r>
      <w:r w:rsidRPr="004721AA">
        <w:rPr>
          <w:rFonts w:ascii="Courier New" w:hAnsi="Courier New"/>
        </w:rPr>
        <w:t>, 26(1), 165-192.</w:t>
      </w:r>
    </w:p>
  </w:footnote>
  <w:footnote w:id="190">
    <w:p w14:paraId="0871DAC1"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Moretti, E. (2004). Estimating the Social Return to Higher Education: Evidence from Longitudinal and </w:t>
      </w:r>
      <w:r w:rsidRPr="001D2B1E">
        <w:rPr>
          <w:rFonts w:ascii="Courier New" w:hAnsi="Courier New"/>
        </w:rPr>
        <w:t>R</w:t>
      </w:r>
      <w:r w:rsidRPr="004721AA">
        <w:rPr>
          <w:rFonts w:ascii="Courier New" w:hAnsi="Courier New"/>
        </w:rPr>
        <w:t xml:space="preserve">epeated </w:t>
      </w:r>
      <w:r w:rsidRPr="001D2B1E">
        <w:rPr>
          <w:rFonts w:ascii="Courier New" w:hAnsi="Courier New"/>
        </w:rPr>
        <w:t>C</w:t>
      </w:r>
      <w:r w:rsidRPr="004721AA">
        <w:rPr>
          <w:rFonts w:ascii="Courier New" w:hAnsi="Courier New"/>
        </w:rPr>
        <w:t>ross-</w:t>
      </w:r>
      <w:r w:rsidRPr="001D2B1E">
        <w:rPr>
          <w:rFonts w:ascii="Courier New" w:hAnsi="Courier New"/>
        </w:rPr>
        <w:t>S</w:t>
      </w:r>
      <w:r w:rsidRPr="004721AA">
        <w:rPr>
          <w:rFonts w:ascii="Courier New" w:hAnsi="Courier New"/>
        </w:rPr>
        <w:t xml:space="preserve">ectional </w:t>
      </w:r>
      <w:r w:rsidRPr="001D2B1E">
        <w:rPr>
          <w:rFonts w:ascii="Courier New" w:hAnsi="Courier New"/>
        </w:rPr>
        <w:t>D</w:t>
      </w:r>
      <w:r w:rsidRPr="004721AA">
        <w:rPr>
          <w:rFonts w:ascii="Courier New" w:hAnsi="Courier New"/>
        </w:rPr>
        <w:t xml:space="preserve">ata. </w:t>
      </w:r>
      <w:r w:rsidRPr="004721AA">
        <w:rPr>
          <w:rFonts w:ascii="Courier New" w:hAnsi="Courier New"/>
          <w:i/>
        </w:rPr>
        <w:t>Journal of Econometrics</w:t>
      </w:r>
      <w:r w:rsidRPr="004721AA">
        <w:rPr>
          <w:rFonts w:ascii="Courier New" w:hAnsi="Courier New"/>
        </w:rPr>
        <w:t>,</w:t>
      </w:r>
      <w:r w:rsidRPr="001D2B1E">
        <w:rPr>
          <w:rFonts w:ascii="Courier New" w:hAnsi="Courier New"/>
        </w:rPr>
        <w:t xml:space="preserve"> </w:t>
      </w:r>
      <w:r w:rsidRPr="004721AA">
        <w:rPr>
          <w:rFonts w:ascii="Courier New" w:hAnsi="Courier New"/>
        </w:rPr>
        <w:t>121(1), 175-212.</w:t>
      </w:r>
    </w:p>
  </w:footnote>
  <w:footnote w:id="191">
    <w:p w14:paraId="12E1C18F"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Kane, T.</w:t>
      </w:r>
      <w:r w:rsidRPr="009F1322">
        <w:rPr>
          <w:rFonts w:ascii="Courier New" w:hAnsi="Courier New"/>
        </w:rPr>
        <w:t xml:space="preserve"> J</w:t>
      </w:r>
      <w:r w:rsidRPr="00C968E4">
        <w:rPr>
          <w:rFonts w:ascii="Courier New" w:hAnsi="Courier New"/>
        </w:rPr>
        <w:t>.</w:t>
      </w:r>
      <w:r w:rsidRPr="007D5DFE">
        <w:rPr>
          <w:rFonts w:ascii="Courier New" w:hAnsi="Courier New"/>
        </w:rPr>
        <w:t>,</w:t>
      </w:r>
      <w:r w:rsidRPr="009F1322">
        <w:rPr>
          <w:rFonts w:ascii="Courier New" w:hAnsi="Courier New"/>
        </w:rPr>
        <w:t xml:space="preserve"> and Rouse, C. E. (1995). Labor Market Returns to Two- and Four-Year College. </w:t>
      </w:r>
      <w:r w:rsidRPr="009F1322">
        <w:rPr>
          <w:rFonts w:ascii="Courier New" w:hAnsi="Courier New"/>
          <w:i/>
        </w:rPr>
        <w:t>The American Economic Review</w:t>
      </w:r>
      <w:r w:rsidRPr="009F1322">
        <w:rPr>
          <w:rFonts w:ascii="Courier New" w:hAnsi="Courier New"/>
        </w:rPr>
        <w:t>, 85 (3), 600-614.</w:t>
      </w:r>
    </w:p>
  </w:footnote>
  <w:footnote w:id="192">
    <w:p w14:paraId="79CB3B33"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Cellini, S.,</w:t>
      </w:r>
      <w:r w:rsidRPr="009F1322">
        <w:rPr>
          <w:rFonts w:ascii="Courier New" w:hAnsi="Courier New"/>
        </w:rPr>
        <w:t xml:space="preserve"> and Chaudhary</w:t>
      </w:r>
      <w:r w:rsidRPr="00C968E4">
        <w:rPr>
          <w:rFonts w:ascii="Courier New" w:hAnsi="Courier New"/>
        </w:rPr>
        <w:t>, L</w:t>
      </w:r>
      <w:r w:rsidRPr="007D5DFE">
        <w:rPr>
          <w:rFonts w:ascii="Courier New" w:hAnsi="Courier New"/>
        </w:rPr>
        <w:t>. (</w:t>
      </w:r>
      <w:r w:rsidRPr="004F4C8D">
        <w:rPr>
          <w:rFonts w:ascii="Courier New" w:hAnsi="Courier New" w:cs="Courier New"/>
        </w:rPr>
        <w:t>201</w:t>
      </w:r>
      <w:r>
        <w:rPr>
          <w:rFonts w:ascii="Courier New" w:hAnsi="Courier New" w:cs="Courier New"/>
        </w:rPr>
        <w:t>2</w:t>
      </w:r>
      <w:r w:rsidRPr="00C968E4">
        <w:rPr>
          <w:rFonts w:ascii="Courier New" w:hAnsi="Courier New"/>
        </w:rPr>
        <w:t>)</w:t>
      </w:r>
      <w:r w:rsidRPr="007D5DFE">
        <w:rPr>
          <w:rFonts w:ascii="Courier New" w:hAnsi="Courier New"/>
        </w:rPr>
        <w:t>.</w:t>
      </w:r>
      <w:r w:rsidRPr="009F1322">
        <w:rPr>
          <w:rFonts w:ascii="Courier New" w:hAnsi="Courier New"/>
        </w:rPr>
        <w:t xml:space="preserve"> “The Labor Market Returns to For-Profit College Education.” Working paper.   </w:t>
      </w:r>
    </w:p>
  </w:footnote>
  <w:footnote w:id="193">
    <w:p w14:paraId="04AB12D6" w14:textId="77777777" w:rsidR="00BF10A3" w:rsidRPr="00B53B21" w:rsidRDefault="00BF10A3" w:rsidP="00BF10A3">
      <w:pPr>
        <w:pStyle w:val="FootnoteText"/>
        <w:rPr>
          <w:rFonts w:ascii="Courier New" w:hAnsi="Courier New"/>
        </w:rPr>
      </w:pPr>
      <w:r w:rsidRPr="00B53B21">
        <w:rPr>
          <w:rStyle w:val="FootnoteReference"/>
          <w:rFonts w:ascii="Courier New" w:hAnsi="Courier New"/>
        </w:rPr>
        <w:footnoteRef/>
      </w:r>
      <w:r>
        <w:rPr>
          <w:rFonts w:ascii="Courier New" w:hAnsi="Courier New"/>
        </w:rPr>
        <w:t xml:space="preserve"> </w:t>
      </w:r>
      <w:r w:rsidRPr="00B53B21">
        <w:rPr>
          <w:rFonts w:ascii="Courier New" w:hAnsi="Courier New"/>
        </w:rPr>
        <w:t>Baum, S., Ma, J., and Payea, K. (2013) “Education Pays 2013: The Benefits of Education to Individuals and Society”  College Board.  Available at  http://trends.collegeboard.org/.</w:t>
      </w:r>
    </w:p>
  </w:footnote>
  <w:footnote w:id="194">
    <w:p w14:paraId="31FE403C"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Avery, C., and Turner, S. (2013). Student Loans: Do College Students Borrow Too Much-Or Not Enough? </w:t>
      </w:r>
      <w:r w:rsidRPr="004721AA">
        <w:rPr>
          <w:rFonts w:ascii="Courier New" w:hAnsi="Courier New"/>
          <w:i/>
        </w:rPr>
        <w:t>Journal of Economic Perspectives</w:t>
      </w:r>
      <w:r w:rsidRPr="004721AA">
        <w:rPr>
          <w:rFonts w:ascii="Courier New" w:hAnsi="Courier New"/>
        </w:rPr>
        <w:t xml:space="preserve">, 26(1), 165-192. </w:t>
      </w:r>
    </w:p>
  </w:footnote>
  <w:footnote w:id="195">
    <w:p w14:paraId="01F302E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At the Federal minimum wage of $7.25 per hour (</w:t>
      </w:r>
      <w:hyperlink r:id="rId24" w:history="1">
        <w:r w:rsidRPr="00CE712F">
          <w:rPr>
            <w:rStyle w:val="Hyperlink"/>
            <w:rFonts w:ascii="Courier New" w:hAnsi="Courier New"/>
          </w:rPr>
          <w:t>www.dol.gov/whd/minimumwage.htm</w:t>
        </w:r>
      </w:hyperlink>
      <w:r w:rsidRPr="00112FAA">
        <w:rPr>
          <w:rFonts w:ascii="Courier New" w:hAnsi="Courier New" w:cs="Courier New"/>
        </w:rPr>
        <w:t>), an individual working 40 hours per week for 52 weeks per year would have annual earnings of $15,080.</w:t>
      </w:r>
    </w:p>
  </w:footnote>
  <w:footnote w:id="196">
    <w:p w14:paraId="62C25DB5"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2012 GE informational </w:t>
      </w:r>
      <w:r>
        <w:rPr>
          <w:rFonts w:ascii="Courier New" w:hAnsi="Courier New" w:cs="Courier New"/>
        </w:rPr>
        <w:t xml:space="preserve">D/E </w:t>
      </w:r>
      <w:r w:rsidRPr="00112FAA">
        <w:rPr>
          <w:rFonts w:ascii="Courier New" w:hAnsi="Courier New" w:cs="Courier New"/>
        </w:rPr>
        <w:t xml:space="preserve">rates.  </w:t>
      </w:r>
    </w:p>
  </w:footnote>
  <w:footnote w:id="197">
    <w:p w14:paraId="5591DF2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2012 GE informati</w:t>
      </w:r>
      <w:r>
        <w:rPr>
          <w:rFonts w:ascii="Courier New" w:hAnsi="Courier New"/>
        </w:rPr>
        <w:t xml:space="preserve">onal D/E rates. </w:t>
      </w:r>
      <w:r w:rsidRPr="00C968E4">
        <w:rPr>
          <w:rFonts w:ascii="Courier New" w:hAnsi="Courier New"/>
        </w:rPr>
        <w:t>The p</w:t>
      </w:r>
      <w:r>
        <w:rPr>
          <w:rFonts w:ascii="Courier New" w:hAnsi="Courier New"/>
        </w:rPr>
        <w:t xml:space="preserve">ercent of </w:t>
      </w:r>
      <w:r w:rsidRPr="00C968E4">
        <w:rPr>
          <w:rFonts w:ascii="Courier New" w:hAnsi="Courier New"/>
        </w:rPr>
        <w:t xml:space="preserve">borrowers who </w:t>
      </w:r>
      <w:r w:rsidRPr="007D5DFE">
        <w:rPr>
          <w:rFonts w:ascii="Courier New" w:hAnsi="Courier New"/>
        </w:rPr>
        <w:t>default is</w:t>
      </w:r>
      <w:r>
        <w:rPr>
          <w:rFonts w:ascii="Courier New" w:hAnsi="Courier New"/>
        </w:rPr>
        <w:t xml:space="preserve"> calculated based on pCDR data </w:t>
      </w:r>
    </w:p>
  </w:footnote>
  <w:footnote w:id="198">
    <w:p w14:paraId="582A589F"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Dunlop, E. “What Do Student Loans Actually Buy You? The Effect of</w:t>
      </w:r>
      <w:r w:rsidRPr="004721AA">
        <w:rPr>
          <w:rFonts w:ascii="Courier New" w:hAnsi="Courier New"/>
        </w:rPr>
        <w:t xml:space="preserve"> Stafford Loan Access on Community College Students,” Working Paper (2013)</w:t>
      </w:r>
      <w:r w:rsidRPr="001D2B1E">
        <w:rPr>
          <w:rFonts w:ascii="Courier New" w:hAnsi="Courier New"/>
        </w:rPr>
        <w:t>.</w:t>
      </w:r>
    </w:p>
  </w:footnote>
  <w:footnote w:id="199">
    <w:p w14:paraId="6B969EDB"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Martin, A., and Andrew L., “A Generation Hobbled by the Soaring Cost of College,” New York Times, May 12, 2012.</w:t>
      </w:r>
    </w:p>
  </w:footnote>
  <w:footnote w:id="200">
    <w:p w14:paraId="0C59224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 Goldin, C., and Katz, L. (2013). </w:t>
      </w:r>
      <w:r w:rsidRPr="004721AA">
        <w:rPr>
          <w:rFonts w:ascii="Courier New" w:hAnsi="Courier New"/>
          <w:i/>
        </w:rPr>
        <w:t>For Profit Colleges.</w:t>
      </w:r>
      <w:r w:rsidRPr="004721AA">
        <w:rPr>
          <w:rFonts w:ascii="Courier New" w:hAnsi="Courier New"/>
        </w:rPr>
        <w:t xml:space="preserve"> </w:t>
      </w:r>
      <w:r w:rsidRPr="004721AA">
        <w:rPr>
          <w:rFonts w:ascii="Courier New" w:hAnsi="Courier New"/>
          <w:i/>
        </w:rPr>
        <w:t>Future of Children</w:t>
      </w:r>
      <w:r w:rsidRPr="004721AA">
        <w:rPr>
          <w:rFonts w:ascii="Courier New" w:hAnsi="Courier New"/>
        </w:rPr>
        <w:t>, 23(1), 137-164</w:t>
      </w:r>
      <w:r>
        <w:rPr>
          <w:rFonts w:ascii="Courier New" w:hAnsi="Courier New"/>
        </w:rPr>
        <w:t>.</w:t>
      </w:r>
    </w:p>
  </w:footnote>
  <w:footnote w:id="201">
    <w:p w14:paraId="52840AA1"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Id.</w:t>
      </w:r>
    </w:p>
  </w:footnote>
  <w:footnote w:id="202">
    <w:p w14:paraId="2E98955C"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Akers, B., and Chingos, M. (2014). Is a Student Loan Crisis on the Horizon. Brookings Institution.</w:t>
      </w:r>
    </w:p>
  </w:footnote>
  <w:footnote w:id="203">
    <w:p w14:paraId="2EA6C037"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U.S. Department of Education, </w:t>
      </w:r>
      <w:r w:rsidRPr="00B53B21">
        <w:rPr>
          <w:rFonts w:ascii="Courier New" w:hAnsi="Courier New" w:cs="Courier New"/>
          <w:i/>
        </w:rPr>
        <w:t>Federal Student Aid Portfolio Summary</w:t>
      </w:r>
      <w:r w:rsidRPr="00B53B21">
        <w:rPr>
          <w:rFonts w:ascii="Courier New" w:hAnsi="Courier New" w:cs="Courier New"/>
        </w:rPr>
        <w:t>, National Student Loan Data System available at https:/studentaid.ed.gov/about/data-center/student/portfolio.</w:t>
      </w:r>
    </w:p>
  </w:footnote>
  <w:footnote w:id="204">
    <w:p w14:paraId="4E28D6FF"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Federal Reserve Bank of New York (2012, November). </w:t>
      </w:r>
      <w:r w:rsidRPr="00112FAA">
        <w:rPr>
          <w:rFonts w:ascii="Courier New" w:hAnsi="Courier New" w:cs="Courier New"/>
          <w:i/>
        </w:rPr>
        <w:t>Quarterly Report on Household Debt and Credit.</w:t>
      </w:r>
      <w:r w:rsidRPr="004721AA">
        <w:rPr>
          <w:rFonts w:ascii="Courier New" w:hAnsi="Courier New"/>
        </w:rPr>
        <w:t xml:space="preserve"> </w:t>
      </w:r>
      <w:r w:rsidRPr="001D2B1E">
        <w:rPr>
          <w:rFonts w:ascii="Courier New" w:hAnsi="Courier New"/>
        </w:rPr>
        <w:t xml:space="preserve"> </w:t>
      </w:r>
      <w:r w:rsidRPr="004721AA">
        <w:rPr>
          <w:rFonts w:ascii="Courier New" w:hAnsi="Courier New"/>
        </w:rPr>
        <w:t>Retrieved from www.newyorkfed.org/research/national economy/household credit/DistrictReport_Q32012.pdf</w:t>
      </w:r>
      <w:r w:rsidRPr="001D2B1E">
        <w:rPr>
          <w:rFonts w:ascii="Courier New" w:hAnsi="Courier New"/>
        </w:rPr>
        <w:t>.</w:t>
      </w:r>
    </w:p>
  </w:footnote>
  <w:footnote w:id="205">
    <w:p w14:paraId="0FCCC66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Brown, </w:t>
      </w:r>
      <w:r w:rsidRPr="00112FAA">
        <w:rPr>
          <w:rFonts w:ascii="Courier New" w:hAnsi="Courier New" w:cs="Courier New"/>
          <w:iCs/>
        </w:rPr>
        <w:t>M., and Sydnee</w:t>
      </w:r>
      <w:r>
        <w:rPr>
          <w:rFonts w:ascii="Courier New" w:hAnsi="Courier New"/>
        </w:rPr>
        <w:t>,</w:t>
      </w:r>
      <w:r w:rsidRPr="004721AA">
        <w:rPr>
          <w:rFonts w:ascii="Courier New" w:hAnsi="Courier New"/>
        </w:rPr>
        <w:t xml:space="preserve"> C.</w:t>
      </w:r>
      <w:r w:rsidRPr="001D2B1E">
        <w:rPr>
          <w:rFonts w:ascii="Courier New" w:hAnsi="Courier New"/>
        </w:rPr>
        <w:t> </w:t>
      </w:r>
      <w:r w:rsidRPr="004721AA">
        <w:rPr>
          <w:rFonts w:ascii="Courier New" w:hAnsi="Courier New"/>
        </w:rPr>
        <w:t xml:space="preserve">(2013). Young Student Loan Borrowers Retreat from Housing and Auto Markets. </w:t>
      </w:r>
      <w:r w:rsidRPr="004721AA">
        <w:rPr>
          <w:rFonts w:ascii="Courier New" w:hAnsi="Courier New"/>
          <w:i/>
        </w:rPr>
        <w:t xml:space="preserve">Liberty Street Economics, </w:t>
      </w:r>
      <w:r w:rsidRPr="004721AA">
        <w:rPr>
          <w:rFonts w:ascii="Courier New" w:hAnsi="Courier New"/>
        </w:rPr>
        <w:t>retrieved from: http://libertystreeteconomics.newyorkfed.org/2013/04/young-student-loan-borrowers-retreat-from-housing-and-auto-markets.html</w:t>
      </w:r>
      <w:r w:rsidRPr="001D2B1E">
        <w:rPr>
          <w:rFonts w:ascii="Courier New" w:hAnsi="Courier New"/>
        </w:rPr>
        <w:t>.</w:t>
      </w:r>
    </w:p>
  </w:footnote>
  <w:footnote w:id="206">
    <w:p w14:paraId="3DE37DF6"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rPr>
            <w:t>Id.</w:t>
          </w:r>
        </w:smartTag>
      </w:smartTag>
    </w:p>
  </w:footnote>
  <w:footnote w:id="207">
    <w:p w14:paraId="5B641078"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 Goldin, C., and Katz, L. (2013). </w:t>
      </w:r>
      <w:r w:rsidRPr="004721AA">
        <w:rPr>
          <w:rFonts w:ascii="Courier New" w:hAnsi="Courier New"/>
          <w:i/>
        </w:rPr>
        <w:t>For Profit Colleges</w:t>
      </w:r>
      <w:r w:rsidRPr="004721AA">
        <w:rPr>
          <w:rFonts w:ascii="Courier New" w:hAnsi="Courier New"/>
        </w:rPr>
        <w:t xml:space="preserve">. </w:t>
      </w:r>
      <w:r w:rsidRPr="004721AA">
        <w:rPr>
          <w:rFonts w:ascii="Courier New" w:hAnsi="Courier New"/>
          <w:i/>
        </w:rPr>
        <w:t>Future of Children</w:t>
      </w:r>
      <w:r w:rsidRPr="004721AA">
        <w:rPr>
          <w:rFonts w:ascii="Courier New" w:hAnsi="Courier New"/>
        </w:rPr>
        <w:t>, 23(1), 137-164</w:t>
      </w:r>
      <w:r w:rsidRPr="001D2B1E">
        <w:rPr>
          <w:rFonts w:ascii="Courier New" w:hAnsi="Courier New"/>
        </w:rPr>
        <w:t>.</w:t>
      </w:r>
    </w:p>
  </w:footnote>
  <w:footnote w:id="208">
    <w:p w14:paraId="28D8BE16" w14:textId="77777777" w:rsidR="00BF10A3" w:rsidRPr="00CD4159"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U.S. Department of Education, Federal Student Aid, </w:t>
      </w:r>
      <w:r w:rsidRPr="00112FAA">
        <w:rPr>
          <w:rFonts w:ascii="Courier New" w:hAnsi="Courier New" w:cs="Courier New"/>
          <w:i/>
        </w:rPr>
        <w:t xml:space="preserve">Title IV Program Volume Reports, </w:t>
      </w:r>
      <w:r w:rsidRPr="00112FAA">
        <w:rPr>
          <w:rFonts w:ascii="Courier New" w:hAnsi="Courier New" w:cs="Courier New"/>
        </w:rPr>
        <w:t xml:space="preserve">available at </w:t>
      </w:r>
      <w:hyperlink r:id="rId25" w:history="1">
        <w:r w:rsidRPr="00AE1E9B">
          <w:rPr>
            <w:rStyle w:val="Hyperlink"/>
            <w:rFonts w:ascii="Courier New" w:hAnsi="Courier New"/>
          </w:rPr>
          <w:t>https://studentaid.ed.gov/about/data-center/student/title-iv</w:t>
        </w:r>
      </w:hyperlink>
      <w:r w:rsidRPr="00112FAA">
        <w:rPr>
          <w:rFonts w:ascii="Courier New" w:hAnsi="Courier New" w:cs="Courier New"/>
        </w:rPr>
        <w:t>..</w:t>
      </w:r>
      <w:r>
        <w:rPr>
          <w:rFonts w:ascii="Courier New" w:hAnsi="Courier New" w:cs="Courier New"/>
        </w:rPr>
        <w:t xml:space="preserve">  Stafford Loan comparison based on FFEL and Direct Loan student volume excluding Graduate PLUS loans that did not exist in 2000-01.</w:t>
      </w:r>
    </w:p>
  </w:footnote>
  <w:footnote w:id="209">
    <w:p w14:paraId="1E011A73"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Baum,</w:t>
      </w:r>
      <w:r w:rsidRPr="000D49FE">
        <w:rPr>
          <w:rFonts w:ascii="Courier New" w:hAnsi="Courier New"/>
        </w:rPr>
        <w:t xml:space="preserve"> </w:t>
      </w:r>
      <w:r>
        <w:rPr>
          <w:rFonts w:ascii="Courier New" w:hAnsi="Courier New" w:cs="Courier New"/>
        </w:rPr>
        <w:t>S and</w:t>
      </w:r>
      <w:r w:rsidRPr="00B53B21">
        <w:rPr>
          <w:rFonts w:ascii="Courier New" w:hAnsi="Courier New" w:cs="Courier New"/>
        </w:rPr>
        <w:t xml:space="preserve"> P</w:t>
      </w:r>
      <w:r>
        <w:rPr>
          <w:rFonts w:ascii="Courier New" w:hAnsi="Courier New" w:cs="Courier New"/>
        </w:rPr>
        <w:t>ayea, K</w:t>
      </w:r>
      <w:r w:rsidRPr="00112FAA">
        <w:rPr>
          <w:rFonts w:ascii="Courier New" w:hAnsi="Courier New" w:cs="Courier New"/>
        </w:rPr>
        <w:t>.</w:t>
      </w:r>
      <w:r w:rsidRPr="00B53B21">
        <w:rPr>
          <w:rFonts w:ascii="Courier New" w:hAnsi="Courier New" w:cs="Courier New"/>
        </w:rPr>
        <w:t xml:space="preserve"> (2013)</w:t>
      </w:r>
      <w:r w:rsidRPr="00112FAA">
        <w:rPr>
          <w:rFonts w:ascii="Courier New" w:hAnsi="Courier New" w:cs="Courier New"/>
        </w:rPr>
        <w:t>.</w:t>
      </w:r>
      <w:r w:rsidRPr="00B53B21">
        <w:rPr>
          <w:rFonts w:ascii="Courier New" w:hAnsi="Courier New" w:cs="Courier New"/>
        </w:rPr>
        <w:t xml:space="preserve"> Trends in Student Aid, College Board</w:t>
      </w:r>
      <w:r w:rsidRPr="00112FAA">
        <w:rPr>
          <w:rFonts w:ascii="Courier New" w:hAnsi="Courier New" w:cs="Courier New"/>
        </w:rPr>
        <w:t>.</w:t>
      </w:r>
    </w:p>
  </w:footnote>
  <w:footnote w:id="210">
    <w:p w14:paraId="2B607A0E"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Avery, C., and Turner, S. Student Loans: D</w:t>
      </w:r>
      <w:r w:rsidRPr="004721AA">
        <w:rPr>
          <w:rFonts w:ascii="Courier New" w:hAnsi="Courier New"/>
        </w:rPr>
        <w:t xml:space="preserve">o College Students Borrow Too Much Or Not Enough? </w:t>
      </w:r>
      <w:r w:rsidRPr="004721AA">
        <w:rPr>
          <w:rFonts w:ascii="Courier New" w:hAnsi="Courier New"/>
          <w:i/>
        </w:rPr>
        <w:t>The Journal of Economic Perspectives</w:t>
      </w:r>
      <w:r w:rsidRPr="004721AA">
        <w:rPr>
          <w:rFonts w:ascii="Courier New" w:hAnsi="Courier New"/>
        </w:rPr>
        <w:t xml:space="preserve"> 26, no. 1 (2012): 189</w:t>
      </w:r>
      <w:r w:rsidRPr="001D2B1E">
        <w:rPr>
          <w:rFonts w:ascii="Courier New" w:hAnsi="Courier New"/>
        </w:rPr>
        <w:t>.</w:t>
      </w:r>
    </w:p>
  </w:footnote>
  <w:footnote w:id="211">
    <w:p w14:paraId="2F37417B"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r w:rsidRPr="00112FAA">
        <w:rPr>
          <w:rFonts w:ascii="Courier New" w:hAnsi="Courier New" w:cs="Courier New"/>
        </w:rPr>
        <w:t xml:space="preserve"> at 165-192.</w:t>
      </w:r>
    </w:p>
  </w:footnote>
  <w:footnote w:id="212">
    <w:p w14:paraId="75D7CFB7"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r w:rsidRPr="00112FAA">
        <w:rPr>
          <w:rFonts w:ascii="Courier New" w:hAnsi="Courier New" w:cs="Courier New"/>
        </w:rPr>
        <w:t xml:space="preserve"> </w:t>
      </w:r>
    </w:p>
  </w:footnote>
  <w:footnote w:id="213">
    <w:p w14:paraId="73489CFC"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Gicheva, D. “Student Loans </w:t>
      </w:r>
      <w:r>
        <w:rPr>
          <w:rFonts w:ascii="Courier New" w:hAnsi="Courier New"/>
        </w:rPr>
        <w:t>or</w:t>
      </w:r>
      <w:r w:rsidRPr="00867CB6">
        <w:rPr>
          <w:rFonts w:ascii="Courier New" w:hAnsi="Courier New"/>
        </w:rPr>
        <w:t xml:space="preserve"> Marriage? A </w:t>
      </w:r>
      <w:r>
        <w:rPr>
          <w:rFonts w:ascii="Courier New" w:hAnsi="Courier New"/>
        </w:rPr>
        <w:t>L</w:t>
      </w:r>
      <w:r w:rsidRPr="00867CB6">
        <w:rPr>
          <w:rFonts w:ascii="Courier New" w:hAnsi="Courier New"/>
        </w:rPr>
        <w:t xml:space="preserve">ook at the </w:t>
      </w:r>
      <w:r>
        <w:rPr>
          <w:rFonts w:ascii="Courier New" w:hAnsi="Courier New"/>
        </w:rPr>
        <w:t>H</w:t>
      </w:r>
      <w:r w:rsidRPr="00867CB6">
        <w:rPr>
          <w:rFonts w:ascii="Courier New" w:hAnsi="Courier New"/>
        </w:rPr>
        <w:t xml:space="preserve">ighly </w:t>
      </w:r>
      <w:r>
        <w:rPr>
          <w:rFonts w:ascii="Courier New" w:hAnsi="Courier New"/>
        </w:rPr>
        <w:t>E</w:t>
      </w:r>
      <w:r w:rsidRPr="00867CB6">
        <w:rPr>
          <w:rFonts w:ascii="Courier New" w:hAnsi="Courier New"/>
        </w:rPr>
        <w:t>ducated</w:t>
      </w:r>
      <w:r>
        <w:rPr>
          <w:rFonts w:ascii="Courier New" w:hAnsi="Courier New"/>
        </w:rPr>
        <w:t>,</w:t>
      </w:r>
      <w:r w:rsidRPr="00867CB6">
        <w:rPr>
          <w:rFonts w:ascii="Courier New" w:hAnsi="Courier New"/>
        </w:rPr>
        <w:t>” Working paper(2014)</w:t>
      </w:r>
      <w:r>
        <w:rPr>
          <w:rFonts w:ascii="Courier New" w:hAnsi="Courier New"/>
        </w:rPr>
        <w:t>.</w:t>
      </w:r>
    </w:p>
  </w:footnote>
  <w:footnote w:id="214">
    <w:p w14:paraId="43BB52FA" w14:textId="77777777" w:rsidR="00BF10A3" w:rsidRPr="00B53B21" w:rsidRDefault="00BF10A3" w:rsidP="00BF10A3">
      <w:pPr>
        <w:spacing w:after="0"/>
        <w:rPr>
          <w:rFonts w:ascii="Courier New" w:hAnsi="Courier New" w:cs="Courier New"/>
          <w:sz w:val="20"/>
        </w:rPr>
      </w:pPr>
      <w:r w:rsidRPr="00B53B21">
        <w:rPr>
          <w:rStyle w:val="FootnoteReference"/>
          <w:rFonts w:ascii="Courier New" w:hAnsi="Courier New" w:cs="Courier New"/>
          <w:sz w:val="20"/>
        </w:rPr>
        <w:footnoteRef/>
      </w:r>
      <w:r w:rsidRPr="00112FAA">
        <w:rPr>
          <w:rFonts w:ascii="Courier New" w:hAnsi="Courier New" w:cs="Courier New"/>
          <w:sz w:val="20"/>
          <w:szCs w:val="20"/>
        </w:rPr>
        <w:t xml:space="preserve"> Gicheva, D., and U. N. C. Greensboro. “The Effects of Student Loans on Long-Term Household Financial Stability.” Working Paper (</w:t>
      </w:r>
      <w:r w:rsidRPr="004F4C8D">
        <w:rPr>
          <w:rFonts w:ascii="Courier New" w:hAnsi="Courier New" w:cs="Courier New"/>
          <w:sz w:val="20"/>
          <w:szCs w:val="20"/>
        </w:rPr>
        <w:t>201</w:t>
      </w:r>
      <w:r>
        <w:rPr>
          <w:rFonts w:ascii="Courier New" w:hAnsi="Courier New" w:cs="Courier New"/>
          <w:sz w:val="20"/>
          <w:szCs w:val="20"/>
        </w:rPr>
        <w:t>3</w:t>
      </w:r>
      <w:r w:rsidRPr="00112FAA">
        <w:rPr>
          <w:rFonts w:ascii="Courier New" w:hAnsi="Courier New" w:cs="Courier New"/>
          <w:sz w:val="20"/>
          <w:szCs w:val="20"/>
        </w:rPr>
        <w:t>).</w:t>
      </w:r>
    </w:p>
  </w:footnote>
  <w:footnote w:id="215">
    <w:p w14:paraId="046B1C29"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rPr>
            <w:t>Id.</w:t>
          </w:r>
        </w:smartTag>
      </w:smartTag>
    </w:p>
  </w:footnote>
  <w:footnote w:id="216">
    <w:p w14:paraId="1C24147B" w14:textId="77777777" w:rsidR="00BF10A3" w:rsidRPr="00B53B21" w:rsidRDefault="00BF10A3" w:rsidP="00BF10A3">
      <w:pPr>
        <w:spacing w:after="0"/>
        <w:rPr>
          <w:rFonts w:ascii="Courier New" w:hAnsi="Courier New" w:cs="Courier New"/>
          <w:sz w:val="20"/>
        </w:rPr>
      </w:pPr>
      <w:r w:rsidRPr="00B53B21">
        <w:rPr>
          <w:rStyle w:val="FootnoteReference"/>
          <w:rFonts w:ascii="Courier New" w:hAnsi="Courier New" w:cs="Courier New"/>
          <w:sz w:val="20"/>
        </w:rPr>
        <w:footnoteRef/>
      </w:r>
      <w:r w:rsidRPr="00112FAA">
        <w:rPr>
          <w:rFonts w:ascii="Courier New" w:hAnsi="Courier New" w:cs="Courier New"/>
          <w:sz w:val="20"/>
          <w:szCs w:val="20"/>
        </w:rPr>
        <w:t xml:space="preserve"> Shand, J. M. (2007). “The I</w:t>
      </w:r>
      <w:r w:rsidRPr="004721AA">
        <w:rPr>
          <w:rFonts w:ascii="Courier New" w:hAnsi="Courier New"/>
          <w:sz w:val="20"/>
        </w:rPr>
        <w:t xml:space="preserve">mpact of Early-Life Debt on the Homeownership Rates of Young Households: </w:t>
      </w:r>
      <w:r w:rsidRPr="001D2B1E">
        <w:rPr>
          <w:rFonts w:ascii="Courier New" w:hAnsi="Courier New"/>
          <w:sz w:val="20"/>
        </w:rPr>
        <w:t xml:space="preserve"> </w:t>
      </w:r>
      <w:r w:rsidRPr="004721AA">
        <w:rPr>
          <w:rFonts w:ascii="Courier New" w:hAnsi="Courier New"/>
          <w:sz w:val="20"/>
        </w:rPr>
        <w:t>An Empirical Investigation.</w:t>
      </w:r>
      <w:r w:rsidRPr="001D2B1E">
        <w:rPr>
          <w:rFonts w:ascii="Courier New" w:hAnsi="Courier New"/>
          <w:sz w:val="20"/>
        </w:rPr>
        <w:t>”</w:t>
      </w:r>
      <w:r w:rsidRPr="004721AA">
        <w:rPr>
          <w:rFonts w:ascii="Courier New" w:hAnsi="Courier New"/>
          <w:sz w:val="20"/>
        </w:rPr>
        <w:t xml:space="preserve"> Federal Deposit Insurance Corporation Center for Financial Research</w:t>
      </w:r>
      <w:r w:rsidRPr="001D2B1E">
        <w:rPr>
          <w:rFonts w:ascii="Courier New" w:hAnsi="Courier New"/>
          <w:sz w:val="20"/>
        </w:rPr>
        <w:t>.</w:t>
      </w:r>
    </w:p>
  </w:footnote>
  <w:footnote w:id="217">
    <w:p w14:paraId="2F328661"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Brown, </w:t>
      </w:r>
      <w:r w:rsidRPr="00112FAA">
        <w:rPr>
          <w:rFonts w:ascii="Courier New" w:hAnsi="Courier New" w:cs="Courier New"/>
          <w:iCs/>
        </w:rPr>
        <w:t>M., and Sydnee</w:t>
      </w:r>
      <w:r>
        <w:rPr>
          <w:rFonts w:ascii="Courier New" w:hAnsi="Courier New"/>
        </w:rPr>
        <w:t>,</w:t>
      </w:r>
      <w:r w:rsidRPr="004721AA">
        <w:rPr>
          <w:rFonts w:ascii="Courier New" w:hAnsi="Courier New"/>
        </w:rPr>
        <w:t xml:space="preserve"> C.</w:t>
      </w:r>
      <w:r w:rsidRPr="001D2B1E">
        <w:rPr>
          <w:rFonts w:ascii="Courier New" w:hAnsi="Courier New"/>
        </w:rPr>
        <w:t> </w:t>
      </w:r>
      <w:r w:rsidRPr="004721AA">
        <w:rPr>
          <w:rFonts w:ascii="Courier New" w:hAnsi="Courier New"/>
        </w:rPr>
        <w:t xml:space="preserve">(2013). Young Student Loan Borrowers Retreat from Housing and Auto Markets. </w:t>
      </w:r>
      <w:r w:rsidRPr="004721AA">
        <w:rPr>
          <w:rFonts w:ascii="Courier New" w:hAnsi="Courier New"/>
          <w:i/>
        </w:rPr>
        <w:t xml:space="preserve">Liberty Street Economics, </w:t>
      </w:r>
      <w:r>
        <w:rPr>
          <w:rFonts w:ascii="Courier New" w:hAnsi="Courier New"/>
        </w:rPr>
        <w:t>available at</w:t>
      </w:r>
      <w:r w:rsidRPr="004721AA">
        <w:rPr>
          <w:rFonts w:ascii="Courier New" w:hAnsi="Courier New"/>
        </w:rPr>
        <w:t>: http://libertystreeteconomics.newyorkfed.org/2013/04/young-student-loan-borrowers-retreat-from-housing-and-auto-markets.html</w:t>
      </w:r>
      <w:r w:rsidRPr="001D2B1E">
        <w:rPr>
          <w:rFonts w:ascii="Courier New" w:hAnsi="Courier New"/>
        </w:rPr>
        <w:t>.</w:t>
      </w:r>
    </w:p>
  </w:footnote>
  <w:footnote w:id="218">
    <w:p w14:paraId="405A0CF5"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112FAA">
        <w:rPr>
          <w:rFonts w:ascii="Courier New" w:hAnsi="Courier New" w:cs="Courier New"/>
        </w:rPr>
        <w:t xml:space="preserve"> https://studentaid.ed.gov/repay-loans/default.</w:t>
      </w:r>
    </w:p>
  </w:footnote>
  <w:footnote w:id="219">
    <w:p w14:paraId="59AFE50D" w14:textId="77777777" w:rsidR="00BF10A3" w:rsidRPr="00AD65C9" w:rsidRDefault="00BF10A3" w:rsidP="00BF10A3">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https://studentaid.ed.gov/repay-loans/default.</w:t>
      </w:r>
    </w:p>
  </w:footnote>
  <w:footnote w:id="220">
    <w:p w14:paraId="4BF2F997" w14:textId="1B9AA728"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hyperlink r:id="rId26" w:history="1">
        <w:r w:rsidRPr="00291B57">
          <w:rPr>
            <w:rStyle w:val="Hyperlink"/>
            <w:rFonts w:ascii="Courier New" w:hAnsi="Courier New"/>
          </w:rPr>
          <w:t>www.asa.org/in-default/consequences/</w:t>
        </w:r>
      </w:hyperlink>
      <w:r w:rsidRPr="00112FAA">
        <w:rPr>
          <w:rFonts w:ascii="Courier New" w:hAnsi="Courier New" w:cs="Courier New"/>
        </w:rPr>
        <w:t>.</w:t>
      </w:r>
    </w:p>
  </w:footnote>
  <w:footnote w:id="221">
    <w:p w14:paraId="435DF5D7"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U.S. Department of Education (2014). 2-year official national student loan default rates. </w:t>
      </w:r>
      <w:r w:rsidRPr="00112FAA">
        <w:rPr>
          <w:rFonts w:ascii="Courier New" w:hAnsi="Courier New" w:cs="Courier New"/>
          <w:i/>
        </w:rPr>
        <w:t>Federal Student Aid.</w:t>
      </w:r>
      <w:r w:rsidRPr="00112FAA">
        <w:rPr>
          <w:rFonts w:ascii="Courier New" w:hAnsi="Courier New" w:cs="Courier New"/>
        </w:rPr>
        <w:t xml:space="preserve"> Retrieved from http://www2.ed.gov/offices/OSFAP/d</w:t>
      </w:r>
      <w:r w:rsidRPr="004721AA">
        <w:rPr>
          <w:rFonts w:ascii="Courier New" w:hAnsi="Courier New"/>
        </w:rPr>
        <w:t>efaultmanagement/defaultrates.html</w:t>
      </w:r>
      <w:r w:rsidRPr="0055164C">
        <w:rPr>
          <w:rFonts w:ascii="Courier New" w:hAnsi="Courier New" w:cs="Courier New"/>
        </w:rPr>
        <w:t>.</w:t>
      </w:r>
    </w:p>
  </w:footnote>
  <w:footnote w:id="222">
    <w:p w14:paraId="06AD06BC"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Martin, A., “Debt Collectors Cashing In on Student Loans,” </w:t>
      </w:r>
      <w:smartTag w:uri="urn:schemas-microsoft-com:office:smarttags" w:element="State">
        <w:smartTag w:uri="urn:schemas-microsoft-com:office:smarttags" w:element="place">
          <w:r w:rsidRPr="00112FAA">
            <w:rPr>
              <w:rFonts w:ascii="Courier New" w:hAnsi="Courier New" w:cs="Courier New"/>
            </w:rPr>
            <w:t>New York</w:t>
          </w:r>
        </w:smartTag>
      </w:smartTag>
      <w:r w:rsidRPr="00112FAA">
        <w:rPr>
          <w:rFonts w:ascii="Courier New" w:hAnsi="Courier New" w:cs="Courier New"/>
        </w:rPr>
        <w:t xml:space="preserve"> Times, September 8, 2012.</w:t>
      </w:r>
    </w:p>
  </w:footnote>
  <w:footnote w:id="223">
    <w:p w14:paraId="36E814AB" w14:textId="77777777" w:rsidR="00BF10A3" w:rsidRPr="00B53B21" w:rsidRDefault="00BF10A3" w:rsidP="00BF10A3">
      <w:pPr>
        <w:pStyle w:val="Plain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szCs w:val="20"/>
        </w:rPr>
        <w:t xml:space="preserve"> Gross, J. P., Cekic, O., Hossler, D., &amp; Hillman, N. (2009). What Matters in Student Loan Default:  A Review of the Research Literature. </w:t>
      </w:r>
      <w:r w:rsidRPr="00B22784">
        <w:rPr>
          <w:rFonts w:ascii="Courier New" w:hAnsi="Courier New"/>
          <w:i/>
        </w:rPr>
        <w:t>Journal of Student Financial Aid</w:t>
      </w:r>
      <w:r w:rsidRPr="00B22784">
        <w:rPr>
          <w:rFonts w:ascii="Courier New" w:hAnsi="Courier New"/>
        </w:rPr>
        <w:t>, 39(1), 19–29.</w:t>
      </w:r>
    </w:p>
  </w:footnote>
  <w:footnote w:id="224">
    <w:p w14:paraId="006DAAB5"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Lochner, L., and Monge-Naranjo, A. (2014). “Default and Repayment Among Baccalaureate Degree Earners.” NBER Working Paper No. w19882.</w:t>
      </w:r>
    </w:p>
  </w:footnote>
  <w:footnote w:id="225">
    <w:p w14:paraId="0A3A9948"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r w:rsidRPr="00112FAA">
        <w:rPr>
          <w:rFonts w:ascii="Courier New" w:hAnsi="Courier New" w:cs="Courier New"/>
          <w:bCs/>
        </w:rPr>
        <w:t xml:space="preserve">Belfield, C. R. (2013). “Student Loans and Repayment Rates: The Role of For-Profit Colleges.” </w:t>
      </w:r>
      <w:r w:rsidRPr="004721AA">
        <w:rPr>
          <w:rFonts w:ascii="Courier New" w:hAnsi="Courier New"/>
          <w:i/>
        </w:rPr>
        <w:t>Research in Higher Education</w:t>
      </w:r>
      <w:r w:rsidRPr="004721AA">
        <w:rPr>
          <w:rFonts w:ascii="Courier New" w:hAnsi="Courier New"/>
        </w:rPr>
        <w:t>, 54(1): 1-29</w:t>
      </w:r>
      <w:r w:rsidRPr="00B22784">
        <w:rPr>
          <w:rFonts w:ascii="Courier New" w:hAnsi="Courier New"/>
        </w:rPr>
        <w:t>.</w:t>
      </w:r>
    </w:p>
  </w:footnote>
  <w:footnote w:id="226">
    <w:p w14:paraId="05170320"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bCs/>
            </w:rPr>
            <w:t>Id</w:t>
          </w:r>
          <w:r w:rsidRPr="00112FAA">
            <w:rPr>
              <w:rFonts w:ascii="Courier New" w:hAnsi="Courier New" w:cs="Courier New"/>
            </w:rPr>
            <w:t>.</w:t>
          </w:r>
        </w:smartTag>
      </w:smartTag>
    </w:p>
  </w:footnote>
  <w:footnote w:id="227">
    <w:p w14:paraId="5EDFA8CB"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 Goldin, C., and Katz, L. (2012). </w:t>
      </w:r>
      <w:r w:rsidRPr="004721AA">
        <w:rPr>
          <w:rFonts w:ascii="Courier New" w:hAnsi="Courier New"/>
        </w:rPr>
        <w:t>The For-</w:t>
      </w:r>
      <w:r w:rsidRPr="00B22784">
        <w:rPr>
          <w:rFonts w:ascii="Courier New" w:hAnsi="Courier New"/>
        </w:rPr>
        <w:t>P</w:t>
      </w:r>
      <w:r w:rsidRPr="004721AA">
        <w:rPr>
          <w:rFonts w:ascii="Courier New" w:hAnsi="Courier New"/>
        </w:rPr>
        <w:t xml:space="preserve">rofit </w:t>
      </w:r>
      <w:smartTag w:uri="urn:schemas-microsoft-com:office:smarttags" w:element="place">
        <w:smartTag w:uri="urn:schemas-microsoft-com:office:smarttags" w:element="PlaceName">
          <w:r w:rsidRPr="004721AA">
            <w:rPr>
              <w:rFonts w:ascii="Courier New" w:hAnsi="Courier New"/>
            </w:rPr>
            <w:t>Postsecondary</w:t>
          </w:r>
        </w:smartTag>
        <w:r w:rsidRPr="004721AA">
          <w:rPr>
            <w:rFonts w:ascii="Courier New" w:hAnsi="Courier New"/>
          </w:rPr>
          <w:t xml:space="preserve"> </w:t>
        </w:r>
        <w:smartTag w:uri="urn:schemas-microsoft-com:office:smarttags" w:element="PlaceType">
          <w:r w:rsidRPr="004721AA">
            <w:rPr>
              <w:rFonts w:ascii="Courier New" w:hAnsi="Courier New"/>
            </w:rPr>
            <w:t>School</w:t>
          </w:r>
        </w:smartTag>
      </w:smartTag>
      <w:r w:rsidRPr="004721AA">
        <w:rPr>
          <w:rFonts w:ascii="Courier New" w:hAnsi="Courier New"/>
        </w:rPr>
        <w:t xml:space="preserve"> Sector: Nimble Critters or Agile Predators</w:t>
      </w:r>
      <w:r>
        <w:rPr>
          <w:rFonts w:ascii="Courier New" w:hAnsi="Courier New"/>
        </w:rPr>
        <w:t>?</w:t>
      </w:r>
      <w:r w:rsidRPr="004721AA">
        <w:rPr>
          <w:rFonts w:ascii="Courier New" w:hAnsi="Courier New"/>
          <w:i/>
        </w:rPr>
        <w:t xml:space="preserve"> Journal of Economic Perspectives</w:t>
      </w:r>
      <w:r w:rsidRPr="004721AA">
        <w:rPr>
          <w:rFonts w:ascii="Courier New" w:hAnsi="Courier New"/>
        </w:rPr>
        <w:t>, 26(1), 139-164</w:t>
      </w:r>
      <w:r w:rsidRPr="00B22784">
        <w:rPr>
          <w:rFonts w:ascii="Courier New" w:hAnsi="Courier New"/>
        </w:rPr>
        <w:t>.</w:t>
      </w:r>
    </w:p>
  </w:footnote>
  <w:footnote w:id="228">
    <w:p w14:paraId="455B64DA"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Hillman, N. W. “College on Credit: A Multilevel Analysis of Student Loan Default.” </w:t>
      </w:r>
      <w:r w:rsidRPr="008E3CB7">
        <w:rPr>
          <w:rFonts w:ascii="Courier New" w:hAnsi="Courier New"/>
          <w:u w:val="single"/>
        </w:rPr>
        <w:t>The Review of Higher Education</w:t>
      </w:r>
      <w:r w:rsidRPr="008E3CB7">
        <w:rPr>
          <w:rFonts w:ascii="Courier New" w:hAnsi="Courier New"/>
        </w:rPr>
        <w:t> 37.2 (2014): 169-195. </w:t>
      </w:r>
      <w:r w:rsidRPr="008E3CB7">
        <w:rPr>
          <w:rFonts w:ascii="Courier New" w:hAnsi="Courier New"/>
          <w:i/>
        </w:rPr>
        <w:t>Project MUSE</w:t>
      </w:r>
      <w:r w:rsidRPr="008E3CB7">
        <w:rPr>
          <w:rFonts w:ascii="Courier New" w:hAnsi="Courier New"/>
        </w:rPr>
        <w:t>. Web. 12 Mar. 2014.</w:t>
      </w:r>
    </w:p>
  </w:footnote>
  <w:footnote w:id="229">
    <w:p w14:paraId="5E38CD0B" w14:textId="77777777" w:rsidR="00BF10A3" w:rsidRPr="00280B83"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w:t>
      </w:r>
      <w:r w:rsidRPr="00280B83">
        <w:rPr>
          <w:rFonts w:ascii="Courier New" w:hAnsi="Courier New"/>
        </w:rPr>
        <w:t xml:space="preserve">NCES. (2014). Digest of Education Statistics (Table 222).  Available at: </w:t>
      </w:r>
      <w:hyperlink r:id="rId27" w:history="1">
        <w:r w:rsidRPr="00280B83">
          <w:rPr>
            <w:rStyle w:val="Hyperlink"/>
            <w:rFonts w:ascii="Courier New" w:hAnsi="Courier New"/>
          </w:rPr>
          <w:t>http://nces.ed.gov/programs/digest/d12/tables/dt12_222.asp</w:t>
        </w:r>
      </w:hyperlink>
      <w:r w:rsidRPr="00280B83">
        <w:rPr>
          <w:rFonts w:ascii="Courier New" w:hAnsi="Courier New"/>
        </w:rPr>
        <w:t xml:space="preserve">. </w:t>
      </w:r>
      <w:r w:rsidRPr="00112FAA">
        <w:rPr>
          <w:rFonts w:ascii="Courier New" w:hAnsi="Courier New" w:cs="Courier New"/>
        </w:rPr>
        <w:t>This table provides evidence of the growth in fall enrollment.  For evidence of the growth in the number of institutions, please see the Digest of Education Statistics (Table 306) available at http://nces.ed.gov/programs/digest/d12/tables/dt12_306.asp.</w:t>
      </w:r>
    </w:p>
  </w:footnote>
  <w:footnote w:id="230">
    <w:p w14:paraId="441F14A2" w14:textId="77777777" w:rsidR="00BF10A3" w:rsidRPr="00B53B21" w:rsidRDefault="00BF10A3" w:rsidP="00BF10A3">
      <w:pPr>
        <w:pStyle w:val="FootnoteText"/>
        <w:rPr>
          <w:rFonts w:ascii="Courier New" w:hAnsi="Courier New" w:cs="Courier New"/>
        </w:rPr>
      </w:pPr>
      <w:r w:rsidRPr="00280B83">
        <w:rPr>
          <w:rStyle w:val="FootnoteReference"/>
          <w:rFonts w:ascii="Courier New" w:hAnsi="Courier New"/>
        </w:rPr>
        <w:footnoteRef/>
      </w:r>
      <w:r w:rsidRPr="00280B83">
        <w:rPr>
          <w:rFonts w:ascii="Courier New" w:hAnsi="Courier New"/>
        </w:rPr>
        <w:t xml:space="preserve"> Deming, D., Goldin, C., and Katz, L. (2012). The For-Profit </w:t>
      </w:r>
      <w:smartTag w:uri="urn:schemas-microsoft-com:office:smarttags" w:element="place">
        <w:smartTag w:uri="urn:schemas-microsoft-com:office:smarttags" w:element="PlaceName">
          <w:r w:rsidRPr="00280B83">
            <w:rPr>
              <w:rFonts w:ascii="Courier New" w:hAnsi="Courier New"/>
            </w:rPr>
            <w:t>Postsecondary</w:t>
          </w:r>
        </w:smartTag>
        <w:r w:rsidRPr="00280B83">
          <w:rPr>
            <w:rFonts w:ascii="Courier New" w:hAnsi="Courier New"/>
          </w:rPr>
          <w:t xml:space="preserve"> </w:t>
        </w:r>
        <w:smartTag w:uri="urn:schemas-microsoft-com:office:smarttags" w:element="PlaceType">
          <w:r w:rsidRPr="00280B83">
            <w:rPr>
              <w:rFonts w:ascii="Courier New" w:hAnsi="Courier New"/>
            </w:rPr>
            <w:t>School</w:t>
          </w:r>
        </w:smartTag>
      </w:smartTag>
      <w:r w:rsidRPr="00280B83">
        <w:rPr>
          <w:rFonts w:ascii="Courier New" w:hAnsi="Courier New"/>
        </w:rPr>
        <w:t xml:space="preserve"> Sector: Nimble Critters or Agile Predators?</w:t>
      </w:r>
      <w:r w:rsidRPr="00280B83">
        <w:rPr>
          <w:rFonts w:ascii="Courier New" w:hAnsi="Courier New"/>
          <w:i/>
        </w:rPr>
        <w:t xml:space="preserve"> Journal of Economic Perspectives</w:t>
      </w:r>
      <w:r w:rsidRPr="00280B83">
        <w:rPr>
          <w:rFonts w:ascii="Courier New" w:hAnsi="Courier New"/>
        </w:rPr>
        <w:t>, 26(1), 139-164.</w:t>
      </w:r>
    </w:p>
  </w:footnote>
  <w:footnote w:id="231">
    <w:p w14:paraId="77676B6E"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U.S. Department of Education, Federal Student Aid, </w:t>
      </w:r>
      <w:r w:rsidRPr="00112FAA">
        <w:rPr>
          <w:rFonts w:ascii="Courier New" w:hAnsi="Courier New" w:cs="Courier New"/>
          <w:i/>
        </w:rPr>
        <w:t xml:space="preserve">Title IV Program Volume Reports, </w:t>
      </w:r>
      <w:r w:rsidRPr="00112FAA">
        <w:rPr>
          <w:rFonts w:ascii="Courier New" w:hAnsi="Courier New" w:cs="Courier New"/>
        </w:rPr>
        <w:t xml:space="preserve">available at </w:t>
      </w:r>
      <w:hyperlink r:id="rId28" w:history="1">
        <w:r w:rsidRPr="007639FC">
          <w:rPr>
            <w:rStyle w:val="Hyperlink"/>
            <w:rFonts w:ascii="Courier New" w:hAnsi="Courier New"/>
          </w:rPr>
          <w:t>https://studentaid.ed.gov/about/data-center/student/title-iv</w:t>
        </w:r>
      </w:hyperlink>
      <w:r w:rsidRPr="00112FAA">
        <w:rPr>
          <w:rFonts w:ascii="Courier New" w:hAnsi="Courier New" w:cs="Courier New"/>
        </w:rPr>
        <w:t xml:space="preserve">.  The Department calculated the percentage of Federal Grants and FFEL and Direct student loans (excluding Parent PLUS) originated at for-profit institutions (including foreign) for </w:t>
      </w:r>
      <w:r>
        <w:rPr>
          <w:rFonts w:ascii="Courier New" w:hAnsi="Courier New" w:cs="Courier New"/>
        </w:rPr>
        <w:t xml:space="preserve">award year </w:t>
      </w:r>
      <w:r w:rsidRPr="00112FAA">
        <w:rPr>
          <w:rFonts w:ascii="Courier New" w:hAnsi="Courier New" w:cs="Courier New"/>
        </w:rPr>
        <w:t>2000-</w:t>
      </w:r>
      <w:r>
        <w:rPr>
          <w:rFonts w:ascii="Courier New" w:hAnsi="Courier New" w:cs="Courier New"/>
        </w:rPr>
        <w:t>20</w:t>
      </w:r>
      <w:r w:rsidRPr="00112FAA">
        <w:rPr>
          <w:rFonts w:ascii="Courier New" w:hAnsi="Courier New" w:cs="Courier New"/>
        </w:rPr>
        <w:t xml:space="preserve">01 and </w:t>
      </w:r>
      <w:r>
        <w:rPr>
          <w:rFonts w:ascii="Courier New" w:hAnsi="Courier New" w:cs="Courier New"/>
        </w:rPr>
        <w:t xml:space="preserve">award year </w:t>
      </w:r>
      <w:r w:rsidRPr="00112FAA">
        <w:rPr>
          <w:rFonts w:ascii="Courier New" w:hAnsi="Courier New" w:cs="Courier New"/>
        </w:rPr>
        <w:t>2013-</w:t>
      </w:r>
      <w:r>
        <w:rPr>
          <w:rFonts w:ascii="Courier New" w:hAnsi="Courier New" w:cs="Courier New"/>
        </w:rPr>
        <w:t>20</w:t>
      </w:r>
      <w:r w:rsidRPr="00112FAA">
        <w:rPr>
          <w:rFonts w:ascii="Courier New" w:hAnsi="Courier New" w:cs="Courier New"/>
        </w:rPr>
        <w:t xml:space="preserve">14.  </w:t>
      </w:r>
    </w:p>
  </w:footnote>
  <w:footnote w:id="232">
    <w:p w14:paraId="55916055"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 Goldin, C., and Katz, L. (2012). </w:t>
      </w:r>
      <w:r w:rsidRPr="00112FAA">
        <w:rPr>
          <w:rFonts w:ascii="Courier New" w:hAnsi="Courier New" w:cs="Courier New"/>
          <w:iCs/>
        </w:rPr>
        <w:t xml:space="preserve">The For-Profit </w:t>
      </w:r>
      <w:smartTag w:uri="urn:schemas-microsoft-com:office:smarttags" w:element="place">
        <w:smartTag w:uri="urn:schemas-microsoft-com:office:smarttags" w:element="PlaceName">
          <w:r w:rsidRPr="00112FAA">
            <w:rPr>
              <w:rFonts w:ascii="Courier New" w:hAnsi="Courier New" w:cs="Courier New"/>
              <w:iCs/>
            </w:rPr>
            <w:t>Postsecondary</w:t>
          </w:r>
        </w:smartTag>
        <w:r w:rsidRPr="00112FAA">
          <w:rPr>
            <w:rFonts w:ascii="Courier New" w:hAnsi="Courier New" w:cs="Courier New"/>
            <w:iCs/>
          </w:rPr>
          <w:t xml:space="preserve"> </w:t>
        </w:r>
        <w:smartTag w:uri="urn:schemas-microsoft-com:office:smarttags" w:element="PlaceType">
          <w:r w:rsidRPr="00112FAA">
            <w:rPr>
              <w:rFonts w:ascii="Courier New" w:hAnsi="Courier New" w:cs="Courier New"/>
              <w:iCs/>
            </w:rPr>
            <w:t>School</w:t>
          </w:r>
        </w:smartTag>
      </w:smartTag>
      <w:r w:rsidRPr="00112FAA">
        <w:rPr>
          <w:rFonts w:ascii="Courier New" w:hAnsi="Courier New" w:cs="Courier New"/>
          <w:iCs/>
        </w:rPr>
        <w:t xml:space="preserve"> Sector: Nimble Critters or Agile Predators?</w:t>
      </w:r>
      <w:r w:rsidRPr="004721AA">
        <w:rPr>
          <w:rFonts w:ascii="Courier New" w:hAnsi="Courier New"/>
          <w:i/>
        </w:rPr>
        <w:t xml:space="preserve"> Journal of Economic Perspectives</w:t>
      </w:r>
      <w:r w:rsidRPr="004721AA">
        <w:rPr>
          <w:rFonts w:ascii="Courier New" w:hAnsi="Courier New"/>
        </w:rPr>
        <w:t xml:space="preserve">, 26(1), 139-164. </w:t>
      </w:r>
    </w:p>
  </w:footnote>
  <w:footnote w:id="233">
    <w:p w14:paraId="45298302"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rPr>
            <w:t>Id.</w:t>
          </w:r>
        </w:smartTag>
      </w:smartTag>
      <w:r w:rsidRPr="00112FAA">
        <w:rPr>
          <w:rFonts w:ascii="Courier New" w:hAnsi="Courier New" w:cs="Courier New"/>
        </w:rPr>
        <w:t xml:space="preserve"> </w:t>
      </w:r>
    </w:p>
  </w:footnote>
  <w:footnote w:id="234">
    <w:p w14:paraId="6493AD4E"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Id.</w:t>
      </w:r>
    </w:p>
  </w:footnote>
  <w:footnote w:id="235">
    <w:p w14:paraId="106C716A"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 xml:space="preserve">Deming, D., Goldin, C., and Katz, L. (2012). </w:t>
      </w:r>
      <w:r w:rsidRPr="00112FAA">
        <w:rPr>
          <w:rFonts w:ascii="Courier New" w:hAnsi="Courier New" w:cs="Courier New"/>
          <w:iCs/>
        </w:rPr>
        <w:t xml:space="preserve">The For-Profit </w:t>
      </w:r>
      <w:smartTag w:uri="urn:schemas-microsoft-com:office:smarttags" w:element="place">
        <w:smartTag w:uri="urn:schemas-microsoft-com:office:smarttags" w:element="PlaceName">
          <w:r w:rsidRPr="00112FAA">
            <w:rPr>
              <w:rFonts w:ascii="Courier New" w:hAnsi="Courier New" w:cs="Courier New"/>
              <w:iCs/>
            </w:rPr>
            <w:t>Postsecondary</w:t>
          </w:r>
        </w:smartTag>
        <w:r w:rsidRPr="00112FAA">
          <w:rPr>
            <w:rFonts w:ascii="Courier New" w:hAnsi="Courier New" w:cs="Courier New"/>
            <w:iCs/>
          </w:rPr>
          <w:t xml:space="preserve"> </w:t>
        </w:r>
        <w:smartTag w:uri="urn:schemas-microsoft-com:office:smarttags" w:element="PlaceType">
          <w:r w:rsidRPr="00112FAA">
            <w:rPr>
              <w:rFonts w:ascii="Courier New" w:hAnsi="Courier New" w:cs="Courier New"/>
              <w:iCs/>
            </w:rPr>
            <w:t>School</w:t>
          </w:r>
        </w:smartTag>
      </w:smartTag>
      <w:r w:rsidRPr="00112FAA">
        <w:rPr>
          <w:rFonts w:ascii="Courier New" w:hAnsi="Courier New" w:cs="Courier New"/>
          <w:iCs/>
        </w:rPr>
        <w:t xml:space="preserve"> Sector: Nimble Critters or Agile Predators?</w:t>
      </w:r>
      <w:r w:rsidRPr="004721AA">
        <w:rPr>
          <w:rFonts w:ascii="Courier New" w:hAnsi="Courier New"/>
          <w:i/>
        </w:rPr>
        <w:t xml:space="preserve"> Journal of Economic Perspectives</w:t>
      </w:r>
      <w:r w:rsidRPr="004721AA">
        <w:rPr>
          <w:rFonts w:ascii="Courier New" w:hAnsi="Courier New"/>
        </w:rPr>
        <w:t>, 26(1), 139-164.</w:t>
      </w:r>
    </w:p>
  </w:footnote>
  <w:footnote w:id="236">
    <w:p w14:paraId="2B47AE7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Keller, J. (2011, January 13). Facing </w:t>
      </w:r>
      <w:r>
        <w:rPr>
          <w:rFonts w:ascii="Courier New" w:hAnsi="Courier New" w:cs="Courier New"/>
        </w:rPr>
        <w:t>N</w:t>
      </w:r>
      <w:r w:rsidRPr="00112FAA">
        <w:rPr>
          <w:rFonts w:ascii="Courier New" w:hAnsi="Courier New" w:cs="Courier New"/>
        </w:rPr>
        <w:t xml:space="preserve">ew </w:t>
      </w:r>
      <w:r>
        <w:rPr>
          <w:rFonts w:ascii="Courier New" w:hAnsi="Courier New" w:cs="Courier New"/>
        </w:rPr>
        <w:t>C</w:t>
      </w:r>
      <w:r w:rsidRPr="00112FAA">
        <w:rPr>
          <w:rFonts w:ascii="Courier New" w:hAnsi="Courier New" w:cs="Courier New"/>
        </w:rPr>
        <w:t>ut</w:t>
      </w:r>
      <w:r w:rsidRPr="001F5701">
        <w:rPr>
          <w:rFonts w:ascii="Courier New" w:hAnsi="Courier New"/>
        </w:rPr>
        <w:t>s, California</w:t>
      </w:r>
      <w:r w:rsidRPr="00AE1E9B">
        <w:rPr>
          <w:rFonts w:ascii="Courier New" w:hAnsi="Courier New"/>
        </w:rPr>
        <w:t xml:space="preserve">’s Colleges Are Shrinking Their Enrollments. </w:t>
      </w:r>
      <w:r w:rsidRPr="001F5701">
        <w:rPr>
          <w:rFonts w:ascii="Courier New" w:hAnsi="Courier New"/>
          <w:i/>
        </w:rPr>
        <w:t>Chronicle of Higher Education</w:t>
      </w:r>
      <w:r w:rsidRPr="001F5701">
        <w:rPr>
          <w:rFonts w:ascii="Courier New" w:hAnsi="Courier New"/>
        </w:rPr>
        <w:t xml:space="preserve">. </w:t>
      </w:r>
      <w:r w:rsidRPr="00AE1E9B">
        <w:rPr>
          <w:rFonts w:ascii="Courier New" w:hAnsi="Courier New"/>
        </w:rPr>
        <w:t>Available at</w:t>
      </w:r>
      <w:r w:rsidRPr="001F5701">
        <w:rPr>
          <w:rFonts w:ascii="Courier New" w:hAnsi="Courier New"/>
        </w:rPr>
        <w:t xml:space="preserve"> http://chronicle.com/article/Facing-New-Cuts-Californias/125945/.</w:t>
      </w:r>
    </w:p>
  </w:footnote>
  <w:footnote w:id="237">
    <w:p w14:paraId="77FC3B6E"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Cellini, S</w:t>
      </w:r>
      <w:r>
        <w:rPr>
          <w:rFonts w:ascii="Courier New" w:hAnsi="Courier New" w:cs="Courier New"/>
        </w:rPr>
        <w:t>.</w:t>
      </w:r>
      <w:r w:rsidRPr="00112FAA">
        <w:rPr>
          <w:rFonts w:ascii="Courier New" w:hAnsi="Courier New" w:cs="Courier New"/>
        </w:rPr>
        <w:t xml:space="preserve"> R</w:t>
      </w:r>
      <w:r>
        <w:rPr>
          <w:rFonts w:ascii="Courier New" w:hAnsi="Courier New" w:cs="Courier New"/>
        </w:rPr>
        <w:t>.</w:t>
      </w:r>
      <w:r w:rsidRPr="00112FAA">
        <w:rPr>
          <w:rFonts w:ascii="Courier New" w:hAnsi="Courier New" w:cs="Courier New"/>
        </w:rPr>
        <w:t>. (</w:t>
      </w:r>
      <w:r w:rsidRPr="004721AA">
        <w:rPr>
          <w:rFonts w:ascii="Courier New" w:hAnsi="Courier New"/>
        </w:rPr>
        <w:t>2009</w:t>
      </w:r>
      <w:r>
        <w:rPr>
          <w:rFonts w:ascii="Courier New" w:hAnsi="Courier New"/>
        </w:rPr>
        <w:t>)</w:t>
      </w:r>
      <w:r w:rsidRPr="004721AA">
        <w:rPr>
          <w:rFonts w:ascii="Courier New" w:hAnsi="Courier New"/>
        </w:rPr>
        <w:t xml:space="preserve">. Crowded Colleges and College Crowd-Out: The Impact of Public Subsidies on the </w:t>
      </w:r>
      <w:smartTag w:uri="urn:schemas-microsoft-com:office:smarttags" w:element="place">
        <w:smartTag w:uri="urn:schemas-microsoft-com:office:smarttags" w:element="PlaceName">
          <w:r w:rsidRPr="004721AA">
            <w:rPr>
              <w:rFonts w:ascii="Courier New" w:hAnsi="Courier New"/>
            </w:rPr>
            <w:t>Two-Year</w:t>
          </w:r>
        </w:smartTag>
        <w:r w:rsidRPr="004721AA">
          <w:rPr>
            <w:rFonts w:ascii="Courier New" w:hAnsi="Courier New"/>
          </w:rPr>
          <w:t xml:space="preserve"> </w:t>
        </w:r>
        <w:smartTag w:uri="urn:schemas-microsoft-com:office:smarttags" w:element="PlaceType">
          <w:r w:rsidRPr="004721AA">
            <w:rPr>
              <w:rFonts w:ascii="Courier New" w:hAnsi="Courier New"/>
            </w:rPr>
            <w:t>College</w:t>
          </w:r>
        </w:smartTag>
      </w:smartTag>
      <w:r w:rsidRPr="004721AA">
        <w:rPr>
          <w:rFonts w:ascii="Courier New" w:hAnsi="Courier New"/>
        </w:rPr>
        <w:t xml:space="preserve"> Market.</w:t>
      </w:r>
      <w:r w:rsidRPr="004F4449">
        <w:rPr>
          <w:rFonts w:ascii="Courier New" w:hAnsi="Courier New"/>
        </w:rPr>
        <w:t> </w:t>
      </w:r>
      <w:r w:rsidRPr="004721AA">
        <w:rPr>
          <w:rFonts w:ascii="Courier New" w:hAnsi="Courier New"/>
          <w:i/>
        </w:rPr>
        <w:t>American Economic Journal: Economic Policy</w:t>
      </w:r>
      <w:r w:rsidRPr="004721AA">
        <w:rPr>
          <w:rFonts w:ascii="Courier New" w:hAnsi="Courier New"/>
        </w:rPr>
        <w:t>, 1(2): 1-30.</w:t>
      </w:r>
    </w:p>
  </w:footnote>
  <w:footnote w:id="238">
    <w:p w14:paraId="2280DA02"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D.J., Goldin, C., and</w:t>
      </w:r>
      <w:r w:rsidRPr="009E598E">
        <w:rPr>
          <w:rFonts w:ascii="Courier New" w:hAnsi="Courier New"/>
        </w:rPr>
        <w:t xml:space="preserve"> Katz, L.F. (2012). The </w:t>
      </w:r>
      <w:r>
        <w:rPr>
          <w:rFonts w:ascii="Courier New" w:hAnsi="Courier New"/>
        </w:rPr>
        <w:t>F</w:t>
      </w:r>
      <w:r w:rsidRPr="009E598E">
        <w:rPr>
          <w:rFonts w:ascii="Courier New" w:hAnsi="Courier New"/>
        </w:rPr>
        <w:t>or-</w:t>
      </w:r>
      <w:r>
        <w:rPr>
          <w:rFonts w:ascii="Courier New" w:hAnsi="Courier New"/>
        </w:rPr>
        <w:t>P</w:t>
      </w:r>
      <w:r w:rsidRPr="009E598E">
        <w:rPr>
          <w:rFonts w:ascii="Courier New" w:hAnsi="Courier New"/>
        </w:rPr>
        <w:t xml:space="preserve">rofit </w:t>
      </w:r>
      <w:smartTag w:uri="urn:schemas-microsoft-com:office:smarttags" w:element="place">
        <w:smartTag w:uri="urn:schemas-microsoft-com:office:smarttags" w:element="PlaceName">
          <w:r>
            <w:rPr>
              <w:rFonts w:ascii="Courier New" w:hAnsi="Courier New"/>
            </w:rPr>
            <w:t>P</w:t>
          </w:r>
          <w:r w:rsidRPr="009E598E">
            <w:rPr>
              <w:rFonts w:ascii="Courier New" w:hAnsi="Courier New"/>
            </w:rPr>
            <w:t>ostsecondary</w:t>
          </w:r>
        </w:smartTag>
        <w:r w:rsidRPr="009E598E">
          <w:rPr>
            <w:rFonts w:ascii="Courier New" w:hAnsi="Courier New"/>
          </w:rPr>
          <w:t xml:space="preserve"> </w:t>
        </w:r>
        <w:smartTag w:uri="urn:schemas-microsoft-com:office:smarttags" w:element="PlaceType">
          <w:r>
            <w:rPr>
              <w:rFonts w:ascii="Courier New" w:hAnsi="Courier New"/>
            </w:rPr>
            <w:t>S</w:t>
          </w:r>
          <w:r w:rsidRPr="009E598E">
            <w:rPr>
              <w:rFonts w:ascii="Courier New" w:hAnsi="Courier New"/>
            </w:rPr>
            <w:t>chool</w:t>
          </w:r>
        </w:smartTag>
      </w:smartTag>
      <w:r w:rsidRPr="009E598E">
        <w:rPr>
          <w:rFonts w:ascii="Courier New" w:hAnsi="Courier New"/>
        </w:rPr>
        <w:t xml:space="preserve"> </w:t>
      </w:r>
      <w:r>
        <w:rPr>
          <w:rFonts w:ascii="Courier New" w:hAnsi="Courier New"/>
        </w:rPr>
        <w:t>S</w:t>
      </w:r>
      <w:r w:rsidRPr="009E598E">
        <w:rPr>
          <w:rFonts w:ascii="Courier New" w:hAnsi="Courier New"/>
        </w:rPr>
        <w:t xml:space="preserve">ector: Nimble </w:t>
      </w:r>
      <w:r>
        <w:rPr>
          <w:rFonts w:ascii="Courier New" w:hAnsi="Courier New"/>
        </w:rPr>
        <w:t>C</w:t>
      </w:r>
      <w:r w:rsidRPr="009E598E">
        <w:rPr>
          <w:rFonts w:ascii="Courier New" w:hAnsi="Courier New"/>
        </w:rPr>
        <w:t xml:space="preserve">ritters or </w:t>
      </w:r>
      <w:r>
        <w:rPr>
          <w:rFonts w:ascii="Courier New" w:hAnsi="Courier New"/>
        </w:rPr>
        <w:t>A</w:t>
      </w:r>
      <w:r w:rsidRPr="009E598E">
        <w:rPr>
          <w:rFonts w:ascii="Courier New" w:hAnsi="Courier New"/>
        </w:rPr>
        <w:t xml:space="preserve">gile </w:t>
      </w:r>
      <w:r>
        <w:rPr>
          <w:rFonts w:ascii="Courier New" w:hAnsi="Courier New"/>
        </w:rPr>
        <w:t>P</w:t>
      </w:r>
      <w:r w:rsidRPr="009E598E">
        <w:rPr>
          <w:rFonts w:ascii="Courier New" w:hAnsi="Courier New"/>
        </w:rPr>
        <w:t xml:space="preserve">redators? </w:t>
      </w:r>
      <w:r w:rsidRPr="009E598E">
        <w:rPr>
          <w:rFonts w:ascii="Courier New" w:hAnsi="Courier New"/>
          <w:i/>
        </w:rPr>
        <w:t>Journal of Economic Perspectives</w:t>
      </w:r>
      <w:r w:rsidRPr="009E598E">
        <w:rPr>
          <w:rFonts w:ascii="Courier New" w:hAnsi="Courier New"/>
        </w:rPr>
        <w:t>, 26(1), 139-164.</w:t>
      </w:r>
    </w:p>
  </w:footnote>
  <w:footnote w:id="239">
    <w:p w14:paraId="4438398C"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Apollo Group, Inc. (2013). </w:t>
      </w:r>
      <w:r w:rsidRPr="00286A12">
        <w:rPr>
          <w:rFonts w:ascii="Courier New" w:hAnsi="Courier New" w:cs="Courier New"/>
        </w:rPr>
        <w:t>Form 10-K for the fiscal year ended August 31, 2013.  Available at www.sec.gov/Archives/edgar/data/929887/000092988713000150/apol-aug312013x10k.htm.</w:t>
      </w:r>
    </w:p>
  </w:footnote>
  <w:footnote w:id="240">
    <w:p w14:paraId="3C0479E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IPEDS First-Look (July 2013), table 2.  Average costs (in constant 2012-13 dollars) associated with a</w:t>
      </w:r>
      <w:r>
        <w:rPr>
          <w:rFonts w:ascii="Courier New" w:hAnsi="Courier New"/>
        </w:rPr>
        <w:t xml:space="preserve">ttendance for full-time, first-time degree/certificate-seeking undergraduates at Title IV institutions operating on an academic year calendar system, and percentage change, by level of institution, type of cost, and other selected characteristics: United States, academic years 2010-11 and 2012-13.    </w:t>
      </w:r>
    </w:p>
  </w:footnote>
  <w:footnote w:id="241">
    <w:p w14:paraId="12C4E4FD"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42">
    <w:p w14:paraId="26918A7D"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112FAA">
        <w:rPr>
          <w:rFonts w:ascii="Courier New" w:hAnsi="Courier New" w:cs="Courier New"/>
        </w:rPr>
        <w:t xml:space="preserve"> Cellini, S</w:t>
      </w:r>
      <w:r>
        <w:rPr>
          <w:rFonts w:ascii="Courier New" w:hAnsi="Courier New" w:cs="Courier New"/>
        </w:rPr>
        <w:t>.</w:t>
      </w:r>
      <w:r w:rsidRPr="00112FAA">
        <w:rPr>
          <w:rFonts w:ascii="Courier New" w:hAnsi="Courier New" w:cs="Courier New"/>
        </w:rPr>
        <w:t xml:space="preserve"> R</w:t>
      </w:r>
      <w:r>
        <w:rPr>
          <w:rFonts w:ascii="Courier New" w:hAnsi="Courier New"/>
        </w:rPr>
        <w:t>. (</w:t>
      </w:r>
      <w:r w:rsidRPr="00B44EDF">
        <w:rPr>
          <w:rFonts w:ascii="Courier New" w:hAnsi="Courier New"/>
        </w:rPr>
        <w:t>2012</w:t>
      </w:r>
      <w:r>
        <w:rPr>
          <w:rFonts w:ascii="Courier New" w:hAnsi="Courier New"/>
        </w:rPr>
        <w:t>)</w:t>
      </w:r>
      <w:r w:rsidRPr="00AC6FCE">
        <w:rPr>
          <w:rFonts w:ascii="Courier New" w:hAnsi="Courier New"/>
        </w:rPr>
        <w:t xml:space="preserve">. </w:t>
      </w:r>
      <w:r w:rsidRPr="00B44EDF">
        <w:rPr>
          <w:rFonts w:ascii="Courier New" w:hAnsi="Courier New"/>
        </w:rPr>
        <w:t xml:space="preserve">For Profit Higher Education:  An </w:t>
      </w:r>
      <w:r w:rsidRPr="00AE1E9B">
        <w:rPr>
          <w:rFonts w:ascii="Courier New" w:hAnsi="Courier New"/>
        </w:rPr>
        <w:t>A</w:t>
      </w:r>
      <w:r w:rsidRPr="00B44EDF">
        <w:rPr>
          <w:rFonts w:ascii="Courier New" w:hAnsi="Courier New"/>
        </w:rPr>
        <w:t>s</w:t>
      </w:r>
      <w:r w:rsidRPr="00AC6FCE">
        <w:rPr>
          <w:rFonts w:ascii="Courier New" w:hAnsi="Courier New"/>
        </w:rPr>
        <w:t xml:space="preserve">sessment of </w:t>
      </w:r>
      <w:r w:rsidRPr="00AE1E9B">
        <w:rPr>
          <w:rFonts w:ascii="Courier New" w:hAnsi="Courier New"/>
        </w:rPr>
        <w:t>C</w:t>
      </w:r>
      <w:r w:rsidRPr="00AC6FCE">
        <w:rPr>
          <w:rFonts w:ascii="Courier New" w:hAnsi="Courier New"/>
        </w:rPr>
        <w:t xml:space="preserve">osts and </w:t>
      </w:r>
      <w:r w:rsidRPr="00AE1E9B">
        <w:rPr>
          <w:rFonts w:ascii="Courier New" w:hAnsi="Courier New"/>
        </w:rPr>
        <w:t>B</w:t>
      </w:r>
      <w:r w:rsidRPr="00AC6FCE">
        <w:rPr>
          <w:rFonts w:ascii="Courier New" w:hAnsi="Courier New"/>
        </w:rPr>
        <w:t>enefits.</w:t>
      </w:r>
      <w:r w:rsidRPr="00B44EDF">
        <w:rPr>
          <w:rFonts w:ascii="Courier New" w:hAnsi="Courier New"/>
        </w:rPr>
        <w:t xml:space="preserve">  </w:t>
      </w:r>
      <w:r w:rsidRPr="00B44EDF">
        <w:rPr>
          <w:rFonts w:ascii="Courier New" w:hAnsi="Courier New"/>
          <w:i/>
        </w:rPr>
        <w:t>National Tax Journal</w:t>
      </w:r>
      <w:r>
        <w:rPr>
          <w:rFonts w:ascii="Courier New" w:hAnsi="Courier New"/>
        </w:rPr>
        <w:t>,</w:t>
      </w:r>
      <w:r w:rsidRPr="00B44EDF">
        <w:rPr>
          <w:rFonts w:ascii="Courier New" w:hAnsi="Courier New"/>
        </w:rPr>
        <w:t xml:space="preserve"> 65 (1)</w:t>
      </w:r>
      <w:r>
        <w:rPr>
          <w:rFonts w:ascii="Courier New" w:hAnsi="Courier New"/>
        </w:rPr>
        <w:t xml:space="preserve">: </w:t>
      </w:r>
      <w:r w:rsidRPr="00B44EDF">
        <w:rPr>
          <w:rFonts w:ascii="Courier New" w:hAnsi="Courier New"/>
        </w:rPr>
        <w:t>153-180</w:t>
      </w:r>
      <w:r>
        <w:rPr>
          <w:rFonts w:ascii="Courier New" w:hAnsi="Courier New"/>
        </w:rPr>
        <w:t>.</w:t>
      </w:r>
    </w:p>
  </w:footnote>
  <w:footnote w:id="243">
    <w:p w14:paraId="387AA950"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Cellini,</w:t>
      </w:r>
      <w:r w:rsidRPr="008E3CB7">
        <w:rPr>
          <w:rFonts w:ascii="Courier New" w:hAnsi="Courier New"/>
        </w:rPr>
        <w:t xml:space="preserve"> S. R.</w:t>
      </w:r>
      <w:r>
        <w:rPr>
          <w:rFonts w:ascii="Courier New" w:hAnsi="Courier New"/>
        </w:rPr>
        <w:t>,</w:t>
      </w:r>
      <w:r w:rsidRPr="008E3CB7">
        <w:rPr>
          <w:rFonts w:ascii="Courier New" w:hAnsi="Courier New"/>
        </w:rPr>
        <w:t xml:space="preserve"> </w:t>
      </w:r>
      <w:r>
        <w:rPr>
          <w:rFonts w:ascii="Courier New" w:hAnsi="Courier New"/>
        </w:rPr>
        <w:t>and</w:t>
      </w:r>
      <w:r w:rsidRPr="008E3CB7">
        <w:rPr>
          <w:rFonts w:ascii="Courier New" w:hAnsi="Courier New"/>
        </w:rPr>
        <w:t xml:space="preserve"> Darolia, R. (2013)</w:t>
      </w:r>
      <w:r>
        <w:rPr>
          <w:rFonts w:ascii="Courier New" w:hAnsi="Courier New"/>
        </w:rPr>
        <w:t>.</w:t>
      </w:r>
      <w:r w:rsidRPr="008E3CB7">
        <w:rPr>
          <w:rFonts w:ascii="Courier New" w:hAnsi="Courier New"/>
        </w:rPr>
        <w:t xml:space="preserve"> College Costs and Financial Constraints: Student Borrowing at For-Profit Institutions. Unpublished manuscript.</w:t>
      </w:r>
    </w:p>
  </w:footnote>
  <w:footnote w:id="244">
    <w:p w14:paraId="54BE3BFA"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4721AA">
            <w:rPr>
              <w:rFonts w:ascii="Courier New" w:hAnsi="Courier New"/>
            </w:rPr>
            <w:t>.</w:t>
          </w:r>
        </w:smartTag>
      </w:smartTag>
    </w:p>
  </w:footnote>
  <w:footnote w:id="245">
    <w:p w14:paraId="210FBE76"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D.J., Goldin, C., and</w:t>
      </w:r>
      <w:r w:rsidRPr="009E598E">
        <w:rPr>
          <w:rFonts w:ascii="Courier New" w:hAnsi="Courier New"/>
        </w:rPr>
        <w:t xml:space="preserve"> Katz, L.F. (2012). The </w:t>
      </w:r>
      <w:r>
        <w:rPr>
          <w:rFonts w:ascii="Courier New" w:hAnsi="Courier New"/>
        </w:rPr>
        <w:t>F</w:t>
      </w:r>
      <w:r w:rsidRPr="009E598E">
        <w:rPr>
          <w:rFonts w:ascii="Courier New" w:hAnsi="Courier New"/>
        </w:rPr>
        <w:t>or-</w:t>
      </w:r>
      <w:r>
        <w:rPr>
          <w:rFonts w:ascii="Courier New" w:hAnsi="Courier New"/>
        </w:rPr>
        <w:t>P</w:t>
      </w:r>
      <w:r w:rsidRPr="009E598E">
        <w:rPr>
          <w:rFonts w:ascii="Courier New" w:hAnsi="Courier New"/>
        </w:rPr>
        <w:t xml:space="preserve">rofit </w:t>
      </w:r>
      <w:r>
        <w:rPr>
          <w:rFonts w:ascii="Courier New" w:hAnsi="Courier New"/>
        </w:rPr>
        <w:t>P</w:t>
      </w:r>
      <w:r w:rsidRPr="009E598E">
        <w:rPr>
          <w:rFonts w:ascii="Courier New" w:hAnsi="Courier New"/>
        </w:rPr>
        <w:t xml:space="preserve">ostsecondary </w:t>
      </w:r>
      <w:r>
        <w:rPr>
          <w:rFonts w:ascii="Courier New" w:hAnsi="Courier New"/>
        </w:rPr>
        <w:t>S</w:t>
      </w:r>
      <w:r w:rsidRPr="009E598E">
        <w:rPr>
          <w:rFonts w:ascii="Courier New" w:hAnsi="Courier New"/>
        </w:rPr>
        <w:t xml:space="preserve">chool </w:t>
      </w:r>
      <w:r>
        <w:rPr>
          <w:rFonts w:ascii="Courier New" w:hAnsi="Courier New"/>
        </w:rPr>
        <w:t>S</w:t>
      </w:r>
      <w:r w:rsidRPr="009E598E">
        <w:rPr>
          <w:rFonts w:ascii="Courier New" w:hAnsi="Courier New"/>
        </w:rPr>
        <w:t xml:space="preserve">ector: Nimble </w:t>
      </w:r>
      <w:r>
        <w:rPr>
          <w:rFonts w:ascii="Courier New" w:hAnsi="Courier New"/>
        </w:rPr>
        <w:t>C</w:t>
      </w:r>
      <w:r w:rsidRPr="009E598E">
        <w:rPr>
          <w:rFonts w:ascii="Courier New" w:hAnsi="Courier New"/>
        </w:rPr>
        <w:t xml:space="preserve">ritters or </w:t>
      </w:r>
      <w:r>
        <w:rPr>
          <w:rFonts w:ascii="Courier New" w:hAnsi="Courier New"/>
        </w:rPr>
        <w:t>A</w:t>
      </w:r>
      <w:r w:rsidRPr="009E598E">
        <w:rPr>
          <w:rFonts w:ascii="Courier New" w:hAnsi="Courier New"/>
        </w:rPr>
        <w:t xml:space="preserve">gile </w:t>
      </w:r>
      <w:r>
        <w:rPr>
          <w:rFonts w:ascii="Courier New" w:hAnsi="Courier New"/>
        </w:rPr>
        <w:t>P</w:t>
      </w:r>
      <w:r w:rsidRPr="009E598E">
        <w:rPr>
          <w:rFonts w:ascii="Courier New" w:hAnsi="Courier New"/>
        </w:rPr>
        <w:t xml:space="preserve">redators? </w:t>
      </w:r>
      <w:r w:rsidRPr="009E598E">
        <w:rPr>
          <w:rFonts w:ascii="Courier New" w:hAnsi="Courier New"/>
          <w:i/>
        </w:rPr>
        <w:t>Journal of Economic Perspectives</w:t>
      </w:r>
      <w:r w:rsidRPr="009E598E">
        <w:rPr>
          <w:rFonts w:ascii="Courier New" w:hAnsi="Courier New"/>
        </w:rPr>
        <w:t>, 26(1), 139-164.</w:t>
      </w:r>
    </w:p>
  </w:footnote>
  <w:footnote w:id="246">
    <w:p w14:paraId="740A8A22"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National Postsecondary Student Aid Study 2012.</w:t>
      </w:r>
    </w:p>
  </w:footnote>
  <w:footnote w:id="247">
    <w:p w14:paraId="53622F50"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48">
    <w:p w14:paraId="78BDFEBA"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49">
    <w:p w14:paraId="2BE230A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r w:rsidRPr="00112FAA">
        <w:rPr>
          <w:rFonts w:ascii="Courier New" w:hAnsi="Courier New" w:cs="Courier New"/>
        </w:rPr>
        <w:t xml:space="preserve">  </w:t>
      </w:r>
    </w:p>
  </w:footnote>
  <w:footnote w:id="250">
    <w:p w14:paraId="1F70BBDA"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Darolia, R. (2013). Student Loan Repayment and College Accountability. Federal Reserve Bank of Philadelphia.  </w:t>
      </w:r>
    </w:p>
  </w:footnote>
  <w:footnote w:id="251">
    <w:p w14:paraId="42E35D7B"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D.J., Goldin, C., and</w:t>
      </w:r>
      <w:r w:rsidRPr="009E598E">
        <w:rPr>
          <w:rFonts w:ascii="Courier New" w:hAnsi="Courier New"/>
        </w:rPr>
        <w:t xml:space="preserve"> Katz, L.F. (2012). The </w:t>
      </w:r>
      <w:r>
        <w:rPr>
          <w:rFonts w:ascii="Courier New" w:hAnsi="Courier New"/>
        </w:rPr>
        <w:t>F</w:t>
      </w:r>
      <w:r w:rsidRPr="009E598E">
        <w:rPr>
          <w:rFonts w:ascii="Courier New" w:hAnsi="Courier New"/>
        </w:rPr>
        <w:t>or-</w:t>
      </w:r>
      <w:r>
        <w:rPr>
          <w:rFonts w:ascii="Courier New" w:hAnsi="Courier New"/>
        </w:rPr>
        <w:t>P</w:t>
      </w:r>
      <w:r w:rsidRPr="009E598E">
        <w:rPr>
          <w:rFonts w:ascii="Courier New" w:hAnsi="Courier New"/>
        </w:rPr>
        <w:t xml:space="preserve">rofit </w:t>
      </w:r>
      <w:smartTag w:uri="urn:schemas-microsoft-com:office:smarttags" w:element="place">
        <w:smartTag w:uri="urn:schemas-microsoft-com:office:smarttags" w:element="PlaceName">
          <w:r>
            <w:rPr>
              <w:rFonts w:ascii="Courier New" w:hAnsi="Courier New"/>
            </w:rPr>
            <w:t>P</w:t>
          </w:r>
          <w:r w:rsidRPr="009E598E">
            <w:rPr>
              <w:rFonts w:ascii="Courier New" w:hAnsi="Courier New"/>
            </w:rPr>
            <w:t>ostsecondary</w:t>
          </w:r>
        </w:smartTag>
        <w:r w:rsidRPr="009E598E">
          <w:rPr>
            <w:rFonts w:ascii="Courier New" w:hAnsi="Courier New"/>
          </w:rPr>
          <w:t xml:space="preserve"> </w:t>
        </w:r>
        <w:smartTag w:uri="urn:schemas-microsoft-com:office:smarttags" w:element="PlaceType">
          <w:r>
            <w:rPr>
              <w:rFonts w:ascii="Courier New" w:hAnsi="Courier New"/>
            </w:rPr>
            <w:t>S</w:t>
          </w:r>
          <w:r w:rsidRPr="009E598E">
            <w:rPr>
              <w:rFonts w:ascii="Courier New" w:hAnsi="Courier New"/>
            </w:rPr>
            <w:t>chool</w:t>
          </w:r>
        </w:smartTag>
      </w:smartTag>
      <w:r w:rsidRPr="009E598E">
        <w:rPr>
          <w:rFonts w:ascii="Courier New" w:hAnsi="Courier New"/>
        </w:rPr>
        <w:t xml:space="preserve"> </w:t>
      </w:r>
      <w:r>
        <w:rPr>
          <w:rFonts w:ascii="Courier New" w:hAnsi="Courier New"/>
        </w:rPr>
        <w:t>S</w:t>
      </w:r>
      <w:r w:rsidRPr="009E598E">
        <w:rPr>
          <w:rFonts w:ascii="Courier New" w:hAnsi="Courier New"/>
        </w:rPr>
        <w:t xml:space="preserve">ector: Nimble </w:t>
      </w:r>
      <w:r>
        <w:rPr>
          <w:rFonts w:ascii="Courier New" w:hAnsi="Courier New"/>
        </w:rPr>
        <w:t>C</w:t>
      </w:r>
      <w:r w:rsidRPr="009E598E">
        <w:rPr>
          <w:rFonts w:ascii="Courier New" w:hAnsi="Courier New"/>
        </w:rPr>
        <w:t xml:space="preserve">ritters or </w:t>
      </w:r>
      <w:r>
        <w:rPr>
          <w:rFonts w:ascii="Courier New" w:hAnsi="Courier New"/>
        </w:rPr>
        <w:t>A</w:t>
      </w:r>
      <w:r w:rsidRPr="009E598E">
        <w:rPr>
          <w:rFonts w:ascii="Courier New" w:hAnsi="Courier New"/>
        </w:rPr>
        <w:t xml:space="preserve">gile </w:t>
      </w:r>
      <w:r>
        <w:rPr>
          <w:rFonts w:ascii="Courier New" w:hAnsi="Courier New"/>
        </w:rPr>
        <w:t>P</w:t>
      </w:r>
      <w:r w:rsidRPr="009E598E">
        <w:rPr>
          <w:rFonts w:ascii="Courier New" w:hAnsi="Courier New"/>
        </w:rPr>
        <w:t xml:space="preserve">redators? </w:t>
      </w:r>
      <w:r w:rsidRPr="009E598E">
        <w:rPr>
          <w:rFonts w:ascii="Courier New" w:hAnsi="Courier New"/>
          <w:i/>
        </w:rPr>
        <w:t>Journal of Economic Perspectives</w:t>
      </w:r>
      <w:r w:rsidRPr="009E598E">
        <w:rPr>
          <w:rFonts w:ascii="Courier New" w:hAnsi="Courier New"/>
        </w:rPr>
        <w:t>, 26(1), 139-164.</w:t>
      </w:r>
    </w:p>
  </w:footnote>
  <w:footnote w:id="252">
    <w:p w14:paraId="278615DF"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Based on the Department’s analysis of the three-year cohort default rates for fiscal year 201</w:t>
      </w:r>
      <w:r>
        <w:rPr>
          <w:rFonts w:ascii="Courier New" w:hAnsi="Courier New" w:cs="Courier New"/>
        </w:rPr>
        <w:t>1</w:t>
      </w:r>
      <w:r w:rsidRPr="00112FAA">
        <w:rPr>
          <w:rFonts w:ascii="Courier New" w:hAnsi="Courier New" w:cs="Courier New"/>
        </w:rPr>
        <w:t xml:space="preserve">, U.S. Department of Education, available at </w:t>
      </w:r>
      <w:r w:rsidRPr="00591ABC">
        <w:rPr>
          <w:rFonts w:ascii="Courier New" w:hAnsi="Courier New" w:cs="Courier New"/>
        </w:rPr>
        <w:t>http://www2.ed.gov/offices/OSFAP/defaultmanagement/schooltyperates.pdf</w:t>
      </w:r>
      <w:r w:rsidRPr="00112FAA">
        <w:rPr>
          <w:rFonts w:ascii="Courier New" w:hAnsi="Courier New" w:cs="Courier New"/>
        </w:rPr>
        <w:t>.</w:t>
      </w:r>
    </w:p>
  </w:footnote>
  <w:footnote w:id="253">
    <w:p w14:paraId="5E01CBD9"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r w:rsidRPr="00B53B21">
        <w:rPr>
          <w:rFonts w:ascii="Courier New" w:hAnsi="Courier New" w:cs="Courier New"/>
        </w:rPr>
        <w:t xml:space="preserve"> </w:t>
      </w:r>
      <w:r w:rsidRPr="00112FAA">
        <w:rPr>
          <w:rFonts w:ascii="Courier New" w:hAnsi="Courier New" w:cs="Courier New"/>
        </w:rPr>
        <w:t>Federal Student Aid, Default Rates for Cohort Years 2007-2011</w:t>
      </w:r>
      <w:r>
        <w:rPr>
          <w:rFonts w:ascii="Courier New" w:hAnsi="Courier New" w:cs="Courier New"/>
        </w:rPr>
        <w:t xml:space="preserve">, available at </w:t>
      </w:r>
      <w:r w:rsidRPr="00675F12">
        <w:rPr>
          <w:rFonts w:ascii="Courier New" w:hAnsi="Courier New"/>
        </w:rPr>
        <w:t>www.ifap.ed.gov/eannouncements/060614DefaultRatesforCohortYears20072011.html</w:t>
      </w:r>
      <w:r>
        <w:rPr>
          <w:rFonts w:ascii="Courier New" w:hAnsi="Courier New"/>
        </w:rPr>
        <w:t>.</w:t>
      </w:r>
    </w:p>
  </w:footnote>
  <w:footnote w:id="254">
    <w:p w14:paraId="05F63ABF"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Postsecondary Education: Student Outcomes Vary at For-Profit</w:t>
      </w:r>
      <w:r>
        <w:rPr>
          <w:rFonts w:ascii="Courier New" w:hAnsi="Courier New"/>
        </w:rPr>
        <w:t>,</w:t>
      </w:r>
      <w:r w:rsidRPr="00AE6BFB">
        <w:rPr>
          <w:rFonts w:ascii="Courier New" w:hAnsi="Courier New"/>
        </w:rPr>
        <w:t xml:space="preserve"> Nonprofit, and Public Schools (GAO-12-143), GAO, Decembe</w:t>
      </w:r>
      <w:r>
        <w:rPr>
          <w:rFonts w:ascii="Courier New" w:hAnsi="Courier New"/>
        </w:rPr>
        <w:t>r 7, 2011.</w:t>
      </w:r>
    </w:p>
  </w:footnote>
  <w:footnote w:id="255">
    <w:p w14:paraId="52386EFA"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For Profit Higher Education: The Failure to Safeguard the Federal Investment and Ensure Student Success, Senate HELP Committee, July 30, 2012.</w:t>
      </w:r>
    </w:p>
  </w:footnote>
  <w:footnote w:id="256">
    <w:p w14:paraId="5A06527F"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57">
    <w:p w14:paraId="3F97BEA2"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58">
    <w:p w14:paraId="3B79274A" w14:textId="77777777" w:rsidR="00BF10A3" w:rsidRPr="00D24E75" w:rsidRDefault="00BF10A3" w:rsidP="00BF10A3">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2B5E80">
        <w:rPr>
          <w:rFonts w:ascii="Courier New" w:hAnsi="Courier New" w:cs="Courier New"/>
          <w:color w:val="000000"/>
          <w:shd w:val="clear" w:color="auto" w:fill="FFFFFF"/>
        </w:rPr>
        <w:t>“Students Attending For-Profit Postsecondary Institutions: Demographics, Enrollment Characteristics, and 6-Year Outcomes” (NCES 2012-173). Available at: http://nces.ed.gov/pubsearch/pubsinfo.asp?pubid=2012173</w:t>
      </w:r>
    </w:p>
  </w:footnote>
  <w:footnote w:id="259">
    <w:p w14:paraId="31E524F0" w14:textId="77777777" w:rsidR="00BF10A3" w:rsidRPr="00D24E75" w:rsidRDefault="00BF10A3" w:rsidP="00BF10A3">
      <w:pPr>
        <w:pStyle w:val="FootnoteText"/>
        <w:rPr>
          <w:rFonts w:ascii="Courier New" w:hAnsi="Courier New" w:cs="Courier New"/>
        </w:rPr>
      </w:pPr>
      <w:r w:rsidRPr="002B5E80">
        <w:rPr>
          <w:rStyle w:val="FootnoteReference"/>
          <w:rFonts w:ascii="Courier New" w:hAnsi="Courier New" w:cs="Courier New"/>
        </w:rPr>
        <w:footnoteRef/>
      </w:r>
      <w:r w:rsidRPr="002B5E80">
        <w:rPr>
          <w:rFonts w:ascii="Courier New" w:hAnsi="Courier New" w:cs="Courier New"/>
        </w:rPr>
        <w:t xml:space="preserve"> </w:t>
      </w:r>
      <w:r w:rsidRPr="007657F9">
        <w:rPr>
          <w:rFonts w:ascii="Courier New" w:hAnsi="Courier New" w:cs="Courier New"/>
          <w:color w:val="000000"/>
          <w:u w:val="single"/>
          <w:shd w:val="clear" w:color="auto" w:fill="FFFFFF"/>
        </w:rPr>
        <w:t>Id</w:t>
      </w:r>
      <w:r>
        <w:rPr>
          <w:rFonts w:ascii="Courier New" w:hAnsi="Courier New" w:cs="Courier New"/>
          <w:color w:val="000000"/>
          <w:shd w:val="clear" w:color="auto" w:fill="FFFFFF"/>
        </w:rPr>
        <w:t>.</w:t>
      </w:r>
    </w:p>
  </w:footnote>
  <w:footnote w:id="260">
    <w:p w14:paraId="3EC6E9F9" w14:textId="77777777" w:rsidR="00BF10A3" w:rsidRPr="00AD65C9" w:rsidRDefault="00BF10A3" w:rsidP="00BF10A3"/>
  </w:footnote>
  <w:footnote w:id="261">
    <w:p w14:paraId="700AC6AD" w14:textId="77777777" w:rsidR="00BF10A3" w:rsidRDefault="00BF10A3" w:rsidP="00BF10A3"/>
  </w:footnote>
  <w:footnote w:id="262">
    <w:p w14:paraId="6874D727"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r w:rsidRPr="003B58A0">
        <w:rPr>
          <w:rFonts w:ascii="Courier New" w:hAnsi="Courier New"/>
          <w:color w:val="000000"/>
          <w:shd w:val="clear" w:color="auto" w:fill="FFFFFF"/>
        </w:rPr>
        <w:t>NCES,</w:t>
      </w:r>
      <w:r w:rsidRPr="00C068CA">
        <w:rPr>
          <w:rFonts w:ascii="Courier New" w:hAnsi="Courier New"/>
          <w:color w:val="000000"/>
          <w:shd w:val="clear" w:color="auto" w:fill="FFFFFF"/>
        </w:rPr>
        <w:t xml:space="preserve"> </w:t>
      </w:r>
      <w:r>
        <w:rPr>
          <w:rFonts w:ascii="Courier New" w:hAnsi="Courier New"/>
          <w:color w:val="000000"/>
          <w:shd w:val="clear" w:color="auto" w:fill="FFFFFF"/>
        </w:rPr>
        <w:t>Transferability of Postsecondary Credit Following Student Transfer or Coenrollment, NCES 2014-163, table 8.</w:t>
      </w:r>
      <w:r>
        <w:rPr>
          <w:rStyle w:val="Hyperlink"/>
          <w:rFonts w:ascii="Courier New" w:hAnsi="Courier New"/>
          <w:color w:val="000000"/>
          <w:shd w:val="clear" w:color="auto" w:fill="FFFFFF"/>
        </w:rPr>
        <w:t xml:space="preserve"> </w:t>
      </w:r>
    </w:p>
  </w:footnote>
  <w:footnote w:id="263">
    <w:p w14:paraId="656EDA31"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Cellini</w:t>
      </w:r>
      <w:r>
        <w:rPr>
          <w:rFonts w:ascii="Courier New" w:hAnsi="Courier New" w:cs="Courier New"/>
        </w:rPr>
        <w:t>,</w:t>
      </w:r>
      <w:r w:rsidRPr="00112FAA">
        <w:rPr>
          <w:rFonts w:ascii="Courier New" w:hAnsi="Courier New" w:cs="Courier New"/>
        </w:rPr>
        <w:t xml:space="preserve"> S. R., and Darolia, R. (2013). College Costs and Financial Constraints: Student Borrowing at For-Profit Institution</w:t>
      </w:r>
      <w:r w:rsidRPr="006666B6">
        <w:rPr>
          <w:rFonts w:ascii="Courier New" w:hAnsi="Courier New"/>
        </w:rPr>
        <w:t>s. Unpublished manuscript.</w:t>
      </w:r>
      <w:r w:rsidRPr="00FF785C">
        <w:rPr>
          <w:rFonts w:ascii="Courier New" w:hAnsi="Courier New"/>
        </w:rPr>
        <w:t xml:space="preserve">  </w:t>
      </w:r>
      <w:r w:rsidRPr="00286A12">
        <w:rPr>
          <w:rFonts w:ascii="Courier New" w:hAnsi="Courier New" w:cs="Courier New"/>
        </w:rPr>
        <w:t xml:space="preserve">Available at </w:t>
      </w:r>
      <w:r w:rsidRPr="00FF785C">
        <w:rPr>
          <w:rFonts w:ascii="Courier New" w:hAnsi="Courier New"/>
        </w:rPr>
        <w:t>www.upjohn.org/stuloanconf/Cellini_Darolia.pdf.</w:t>
      </w:r>
    </w:p>
  </w:footnote>
  <w:footnote w:id="264">
    <w:p w14:paraId="68B580A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Darolia, R. (2013). Student Loan Repayment and College Accountability. Federal Reserve Bank of Philadelphia.  </w:t>
      </w:r>
    </w:p>
  </w:footnote>
  <w:footnote w:id="265">
    <w:p w14:paraId="1614CA34"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Cellini</w:t>
      </w:r>
      <w:r>
        <w:rPr>
          <w:rFonts w:ascii="Courier New" w:hAnsi="Courier New" w:cs="Courier New"/>
        </w:rPr>
        <w:t>,</w:t>
      </w:r>
      <w:r w:rsidRPr="00112FAA">
        <w:rPr>
          <w:rFonts w:ascii="Courier New" w:hAnsi="Courier New" w:cs="Courier New"/>
        </w:rPr>
        <w:t xml:space="preserve"> S. R., and Darolia, R. (2013). College Costs and Financial Constraints: Student Borrowing at For-Profit Institution</w:t>
      </w:r>
      <w:r w:rsidRPr="006666B6">
        <w:rPr>
          <w:rFonts w:ascii="Courier New" w:hAnsi="Courier New"/>
        </w:rPr>
        <w:t>s. Unpublished manuscript.</w:t>
      </w:r>
      <w:r w:rsidRPr="00FF785C">
        <w:rPr>
          <w:rFonts w:ascii="Courier New" w:hAnsi="Courier New"/>
        </w:rPr>
        <w:t xml:space="preserve">  www.upjohn.org/stuloanconf/Cellini_Darolia.pdf.</w:t>
      </w:r>
    </w:p>
  </w:footnote>
  <w:footnote w:id="266">
    <w:p w14:paraId="369DF05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Lang, K.,</w:t>
      </w:r>
      <w:r w:rsidRPr="009E598E">
        <w:rPr>
          <w:rFonts w:ascii="Courier New" w:hAnsi="Courier New"/>
        </w:rPr>
        <w:t xml:space="preserve"> and Weinstein</w:t>
      </w:r>
      <w:r w:rsidRPr="00AE1E9B">
        <w:rPr>
          <w:rFonts w:ascii="Courier New" w:hAnsi="Courier New"/>
        </w:rPr>
        <w:t>,</w:t>
      </w:r>
      <w:r>
        <w:rPr>
          <w:rFonts w:ascii="Courier New" w:hAnsi="Courier New"/>
        </w:rPr>
        <w:t xml:space="preserve"> R.</w:t>
      </w:r>
      <w:r w:rsidRPr="009E598E">
        <w:rPr>
          <w:rFonts w:ascii="Courier New" w:hAnsi="Courier New"/>
        </w:rPr>
        <w:t xml:space="preserve"> (2013). “The Wage Effects of Not-for-Profit and For-Profit Certifications: Better Data, Somewhat Different Results.” NBER Working Paper</w:t>
      </w:r>
      <w:r>
        <w:rPr>
          <w:rFonts w:ascii="Courier New" w:hAnsi="Courier New"/>
        </w:rPr>
        <w:t>.</w:t>
      </w:r>
      <w:r w:rsidRPr="009E598E">
        <w:rPr>
          <w:rFonts w:ascii="Courier New" w:hAnsi="Courier New"/>
        </w:rPr>
        <w:t xml:space="preserve"> </w:t>
      </w:r>
    </w:p>
  </w:footnote>
  <w:footnote w:id="267">
    <w:p w14:paraId="64198C46"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Deming, D., Goldin, C., and</w:t>
      </w:r>
      <w:r w:rsidRPr="00AE6BFB">
        <w:rPr>
          <w:rFonts w:ascii="Courier New" w:hAnsi="Courier New"/>
        </w:rPr>
        <w:t xml:space="preserve"> Katz, L. The For-Profit </w:t>
      </w:r>
      <w:smartTag w:uri="urn:schemas-microsoft-com:office:smarttags" w:element="place">
        <w:smartTag w:uri="urn:schemas-microsoft-com:office:smarttags" w:element="PlaceName">
          <w:r w:rsidRPr="00AE6BFB">
            <w:rPr>
              <w:rFonts w:ascii="Courier New" w:hAnsi="Courier New"/>
            </w:rPr>
            <w:t>Postsecondary</w:t>
          </w:r>
        </w:smartTag>
        <w:r w:rsidRPr="00AE6BFB">
          <w:rPr>
            <w:rFonts w:ascii="Courier New" w:hAnsi="Courier New"/>
          </w:rPr>
          <w:t xml:space="preserve"> </w:t>
        </w:r>
        <w:smartTag w:uri="urn:schemas-microsoft-com:office:smarttags" w:element="PlaceType">
          <w:r w:rsidRPr="00AE6BFB">
            <w:rPr>
              <w:rFonts w:ascii="Courier New" w:hAnsi="Courier New"/>
            </w:rPr>
            <w:t>School</w:t>
          </w:r>
        </w:smartTag>
      </w:smartTag>
      <w:r w:rsidRPr="00AE6BFB">
        <w:rPr>
          <w:rFonts w:ascii="Courier New" w:hAnsi="Courier New"/>
        </w:rPr>
        <w:t xml:space="preserve"> Sector:  Nimble Critters or Agile Predators? </w:t>
      </w:r>
      <w:r>
        <w:rPr>
          <w:rFonts w:ascii="Courier New" w:hAnsi="Courier New"/>
          <w:i/>
        </w:rPr>
        <w:t>Journal of Economic Perspectives</w:t>
      </w:r>
      <w:r>
        <w:rPr>
          <w:rFonts w:ascii="Courier New" w:hAnsi="Courier New"/>
        </w:rPr>
        <w:t>, vol. 26, no. 1, Winter 2012.</w:t>
      </w:r>
    </w:p>
  </w:footnote>
  <w:footnote w:id="268">
    <w:p w14:paraId="4327376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rPr>
            <w:t>Id.</w:t>
          </w:r>
        </w:smartTag>
      </w:smartTag>
    </w:p>
  </w:footnote>
  <w:footnote w:id="269">
    <w:p w14:paraId="5284C8A0" w14:textId="77777777" w:rsidR="00BF10A3" w:rsidRPr="00B53B21" w:rsidRDefault="00BF10A3" w:rsidP="00BF10A3">
      <w:pPr>
        <w:widowControl w:val="0"/>
        <w:autoSpaceDE w:val="0"/>
        <w:autoSpaceDN w:val="0"/>
        <w:adjustRightInd w:val="0"/>
        <w:spacing w:after="0" w:line="240" w:lineRule="auto"/>
        <w:rPr>
          <w:rFonts w:ascii="Courier New" w:hAnsi="Courier New" w:cs="Courier New"/>
          <w:sz w:val="20"/>
        </w:rPr>
      </w:pPr>
      <w:r w:rsidRPr="00B53B21">
        <w:rPr>
          <w:rStyle w:val="FootnoteReference"/>
          <w:rFonts w:ascii="Courier New" w:hAnsi="Courier New" w:cs="Courier New"/>
          <w:sz w:val="20"/>
        </w:rPr>
        <w:footnoteRef/>
      </w:r>
      <w:r w:rsidRPr="00112FAA">
        <w:rPr>
          <w:rFonts w:ascii="Courier New" w:hAnsi="Courier New" w:cs="Courier New"/>
          <w:sz w:val="20"/>
          <w:szCs w:val="20"/>
        </w:rPr>
        <w:t xml:space="preserve"> See section 401(c)(5) of the HEA, 20 U.S.C. 1070a(c)(5), for Pell Grant limitation; see section 455(q) of the HEA, 20 U.S.C. 1087e(q), </w:t>
      </w:r>
      <w:r w:rsidRPr="00AE6BFB">
        <w:rPr>
          <w:rFonts w:ascii="Courier New" w:hAnsi="Courier New"/>
          <w:sz w:val="20"/>
        </w:rPr>
        <w:t>for the 150 percent limitation.</w:t>
      </w:r>
      <w:r>
        <w:rPr>
          <w:rFonts w:ascii="Courier New" w:hAnsi="Courier New"/>
          <w:sz w:val="20"/>
        </w:rPr>
        <w:t xml:space="preserve">  </w:t>
      </w:r>
      <w:r w:rsidRPr="00771AFC">
        <w:rPr>
          <w:rFonts w:ascii="Courier New" w:hAnsi="Courier New"/>
          <w:sz w:val="20"/>
        </w:rPr>
        <w:t>Specifically, Federal law sets lifetime limits on the amount of grant and subsidized loan assistance students may receive:  Federal Pell Grants may be received only for the equivalent of 12 semesters of full-time attendance, and Federal subsidized loans may be received for no longer than 150 percent of the published program length.</w:t>
      </w:r>
    </w:p>
  </w:footnote>
  <w:footnote w:id="270">
    <w:p w14:paraId="4B117F09"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For-Profit Colleges:  Undercover Testing Finds Colleges Encouraged Fraud and Engaged in Deceptive and Questionable Marketing Practices (GAO-10-</w:t>
      </w:r>
      <w:r w:rsidRPr="00AE6BFB">
        <w:rPr>
          <w:rFonts w:ascii="Courier New" w:hAnsi="Courier New"/>
        </w:rPr>
        <w:t>948T),</w:t>
      </w:r>
      <w:r>
        <w:rPr>
          <w:rFonts w:ascii="Courier New" w:hAnsi="Courier New"/>
        </w:rPr>
        <w:t xml:space="preserve"> GAO, August 4, 2010 (reissued November 30, 2010).</w:t>
      </w:r>
    </w:p>
  </w:footnote>
  <w:footnote w:id="271">
    <w:p w14:paraId="79435F19"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72">
    <w:p w14:paraId="28A43254"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For Profit Higher Education:  The Failure to Safeguard the Federal Investment and Ensure Student Success, Senate </w:t>
      </w:r>
      <w:r>
        <w:rPr>
          <w:rFonts w:ascii="Courier New" w:hAnsi="Courier New"/>
        </w:rPr>
        <w:t>HELP Committee, July 30, 2012.</w:t>
      </w:r>
    </w:p>
  </w:footnote>
  <w:footnote w:id="273">
    <w:p w14:paraId="3E2B77BD"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847C5C">
            <w:rPr>
              <w:rFonts w:ascii="Courier New" w:hAnsi="Courier New" w:cs="Courier New"/>
            </w:rPr>
            <w:t>.</w:t>
          </w:r>
        </w:smartTag>
      </w:smartTag>
    </w:p>
  </w:footnote>
  <w:footnote w:id="274">
    <w:p w14:paraId="249D627B" w14:textId="77777777" w:rsidR="00BF10A3" w:rsidRPr="007657F9" w:rsidRDefault="00BF10A3" w:rsidP="007657F9">
      <w:pPr>
        <w:pStyle w:val="Heading1"/>
        <w:shd w:val="clear" w:color="auto" w:fill="FFFFFF"/>
        <w:spacing w:line="240" w:lineRule="auto"/>
        <w:rPr>
          <w:b/>
          <w:sz w:val="20"/>
          <w:szCs w:val="20"/>
          <w:u w:val="none"/>
        </w:rPr>
      </w:pPr>
      <w:r w:rsidRPr="007657F9">
        <w:rPr>
          <w:rStyle w:val="FootnoteReference"/>
          <w:rFonts w:cs="Courier New"/>
          <w:sz w:val="20"/>
          <w:szCs w:val="20"/>
          <w:u w:val="none"/>
        </w:rPr>
        <w:footnoteRef/>
      </w:r>
      <w:r w:rsidRPr="007657F9">
        <w:rPr>
          <w:sz w:val="20"/>
          <w:szCs w:val="20"/>
          <w:u w:val="none"/>
        </w:rPr>
        <w:t xml:space="preserve"> “U.S. to Join Suit Against For-Profit College Chain,” The New York Times, May 2, 2011.  Available at: http://www.nytimes.com/2011/05/03/education/03edmc.html?_r=0.</w:t>
      </w:r>
    </w:p>
  </w:footnote>
  <w:footnote w:id="275">
    <w:p w14:paraId="44D7D3D6"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r>
        <w:rPr>
          <w:rFonts w:ascii="Courier New" w:hAnsi="Courier New"/>
        </w:rPr>
        <w:t xml:space="preserve">“A.G. Schneiderman Announces Groundbreaking $10.25 Million Dollar Settlement with For-Profit Education Company That Inflated Job Placement Rates to Attract Students,” press release, Aug. 19, 2013.  Available at: </w:t>
      </w:r>
      <w:hyperlink r:id="rId29" w:history="1">
        <w:r>
          <w:rPr>
            <w:rStyle w:val="Hyperlink"/>
            <w:rFonts w:ascii="Courier New" w:hAnsi="Courier New"/>
          </w:rPr>
          <w:t>www.ag.ny.gov/press-release/ag-schneiderman-announces-groundbreaking-1025-million-dollar-settlement-profit</w:t>
        </w:r>
      </w:hyperlink>
      <w:r w:rsidRPr="00112FAA">
        <w:rPr>
          <w:rFonts w:ascii="Courier New" w:hAnsi="Courier New" w:cs="Courier New"/>
        </w:rPr>
        <w:t xml:space="preserve">. </w:t>
      </w:r>
    </w:p>
  </w:footnote>
  <w:footnote w:id="276">
    <w:p w14:paraId="26E699B4"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“Attorneys General Take Aim at For-Profit Colleges’ Institutional Loan P</w:t>
      </w:r>
      <w:r>
        <w:rPr>
          <w:rFonts w:ascii="Courier New" w:hAnsi="Courier New"/>
        </w:rPr>
        <w:t xml:space="preserve">rograms,” The Chronicle of Higher Education, March 20, 2012.  Available at: </w:t>
      </w:r>
      <w:hyperlink r:id="rId30" w:history="1">
        <w:r>
          <w:rPr>
            <w:rStyle w:val="Hyperlink"/>
            <w:rFonts w:ascii="Courier New" w:hAnsi="Courier New"/>
          </w:rPr>
          <w:t>http://chronicle.com/article/Attorneys-General-Take-Aim-at/131254/</w:t>
        </w:r>
      </w:hyperlink>
      <w:r w:rsidRPr="00112FAA">
        <w:rPr>
          <w:rFonts w:ascii="Courier New" w:hAnsi="Courier New" w:cs="Courier New"/>
        </w:rPr>
        <w:t xml:space="preserve">. </w:t>
      </w:r>
    </w:p>
  </w:footnote>
  <w:footnote w:id="277">
    <w:p w14:paraId="77A34383"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112FAA">
            <w:rPr>
              <w:rFonts w:ascii="Courier New" w:hAnsi="Courier New" w:cs="Courier New"/>
            </w:rPr>
            <w:t>Kentucky</w:t>
          </w:r>
        </w:smartTag>
      </w:smartTag>
      <w:r w:rsidRPr="00112FAA">
        <w:rPr>
          <w:rFonts w:ascii="Courier New" w:hAnsi="Courier New" w:cs="Courier New"/>
        </w:rPr>
        <w:t xml:space="preserve"> Showdown,” Insid</w:t>
      </w:r>
      <w:r>
        <w:rPr>
          <w:rFonts w:ascii="Courier New" w:hAnsi="Courier New"/>
        </w:rPr>
        <w:t xml:space="preserve">e Higher Ed, Nov. 3, 2011.  Available at: </w:t>
      </w:r>
      <w:hyperlink r:id="rId31" w:history="1">
        <w:r>
          <w:rPr>
            <w:rStyle w:val="Hyperlink"/>
            <w:rFonts w:ascii="Courier New" w:hAnsi="Courier New"/>
          </w:rPr>
          <w:t>www.insidehighered.com/news/2011/11/03/ky-attorney-general-jack-conway-battles-profits</w:t>
        </w:r>
      </w:hyperlink>
      <w:r w:rsidRPr="00112FAA">
        <w:rPr>
          <w:rFonts w:ascii="Courier New" w:hAnsi="Courier New" w:cs="Courier New"/>
        </w:rPr>
        <w:t xml:space="preserve">. </w:t>
      </w:r>
    </w:p>
  </w:footnote>
  <w:footnote w:id="278">
    <w:p w14:paraId="4D61F07A" w14:textId="77777777" w:rsidR="00BF10A3" w:rsidRPr="00280B83" w:rsidRDefault="00BF10A3" w:rsidP="00BF10A3">
      <w:pPr>
        <w:pStyle w:val="FootnoteText"/>
        <w:rPr>
          <w:rFonts w:ascii="Courier New" w:hAnsi="Courier New"/>
        </w:rPr>
      </w:pPr>
      <w:r w:rsidRPr="00280B83">
        <w:rPr>
          <w:rStyle w:val="FootnoteReference"/>
          <w:rFonts w:ascii="Courier New" w:hAnsi="Courier New"/>
        </w:rPr>
        <w:footnoteRef/>
      </w:r>
      <w:r w:rsidRPr="00280B83">
        <w:rPr>
          <w:rFonts w:ascii="Courier New" w:hAnsi="Courier New"/>
        </w:rPr>
        <w:t xml:space="preserve"> </w:t>
      </w:r>
      <w:r w:rsidRPr="002B5E80">
        <w:rPr>
          <w:rFonts w:ascii="Courier New" w:hAnsi="Courier New" w:cs="Courier New"/>
        </w:rPr>
        <w:t xml:space="preserve">“For Profit Colleges Face New Wave of State Investigations,” Bloomberg, Jan. 29, 2014.  Available at:  </w:t>
      </w:r>
      <w:hyperlink r:id="rId32" w:history="1">
        <w:r w:rsidRPr="002B5E80">
          <w:rPr>
            <w:rStyle w:val="Hyperlink"/>
            <w:rFonts w:ascii="Courier New" w:hAnsi="Courier New" w:cs="Courier New"/>
          </w:rPr>
          <w:t>www.bloomberg.com/news/2014-01-29/for-profit-colleges-face-new-wave-of-coordinated-state-probes.html</w:t>
        </w:r>
      </w:hyperlink>
      <w:r>
        <w:rPr>
          <w:rFonts w:ascii="Courier New" w:hAnsi="Courier New" w:cs="Courier New"/>
        </w:rPr>
        <w:t>.</w:t>
      </w:r>
    </w:p>
  </w:footnote>
  <w:footnote w:id="279">
    <w:p w14:paraId="415343C6"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“For Profit Colleges Face New Wave of State Investigations, Bloomberg, Jan. 29, 2014. </w:t>
      </w:r>
      <w:r>
        <w:rPr>
          <w:rFonts w:ascii="Courier New" w:hAnsi="Courier New"/>
        </w:rPr>
        <w:t xml:space="preserve"> </w:t>
      </w:r>
      <w:r w:rsidRPr="00AE6BFB">
        <w:rPr>
          <w:rFonts w:ascii="Courier New" w:hAnsi="Courier New"/>
        </w:rPr>
        <w:t xml:space="preserve">Available at:  </w:t>
      </w:r>
      <w:hyperlink r:id="rId33" w:history="1">
        <w:r>
          <w:rPr>
            <w:rStyle w:val="Hyperlink"/>
            <w:rFonts w:ascii="Courier New" w:hAnsi="Courier New"/>
          </w:rPr>
          <w:t>www.bloomberg.com/news/2014-01-29/for-profit-colleges-face-new-wave-of-coordinated-state-probes.html</w:t>
        </w:r>
      </w:hyperlink>
      <w:r w:rsidRPr="00112FAA">
        <w:rPr>
          <w:rFonts w:ascii="Courier New" w:hAnsi="Courier New" w:cs="Courier New"/>
        </w:rPr>
        <w:t xml:space="preserve">.  </w:t>
      </w:r>
    </w:p>
  </w:footnote>
  <w:footnote w:id="280">
    <w:p w14:paraId="325BD966"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“Corinthia</w:t>
      </w:r>
      <w:r w:rsidRPr="00AE6BFB">
        <w:rPr>
          <w:rFonts w:ascii="Courier New" w:hAnsi="Courier New"/>
        </w:rPr>
        <w:t xml:space="preserve">n Colleges Crumbles 14% on SEC probe,” Fox Business, June 11, 2013. </w:t>
      </w:r>
      <w:r>
        <w:rPr>
          <w:rFonts w:ascii="Courier New" w:hAnsi="Courier New"/>
        </w:rPr>
        <w:t xml:space="preserve"> </w:t>
      </w:r>
      <w:r w:rsidRPr="00AE6BFB">
        <w:rPr>
          <w:rFonts w:ascii="Courier New" w:hAnsi="Courier New"/>
        </w:rPr>
        <w:t>Availab</w:t>
      </w:r>
      <w:r>
        <w:rPr>
          <w:rFonts w:ascii="Courier New" w:hAnsi="Courier New"/>
        </w:rPr>
        <w:t xml:space="preserve">le at: </w:t>
      </w:r>
      <w:hyperlink r:id="rId34" w:history="1">
        <w:r>
          <w:rPr>
            <w:rStyle w:val="Hyperlink"/>
            <w:rFonts w:ascii="Courier New" w:hAnsi="Courier New"/>
          </w:rPr>
          <w:t>www.foxbusiness.com/government/2013/06/11/corinthian-colleges-crumbles-14-on-sec-probe/</w:t>
        </w:r>
      </w:hyperlink>
      <w:r w:rsidRPr="00112FAA">
        <w:rPr>
          <w:rFonts w:ascii="Courier New" w:hAnsi="Courier New" w:cs="Courier New"/>
        </w:rPr>
        <w:t xml:space="preserve">. </w:t>
      </w:r>
    </w:p>
  </w:footnote>
  <w:footnote w:id="281">
    <w:p w14:paraId="08AFE910"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U.S. Department of Education,</w:t>
      </w:r>
      <w:r>
        <w:rPr>
          <w:rFonts w:ascii="Courier New" w:hAnsi="Courier New"/>
        </w:rPr>
        <w:t xml:space="preserve"> Press Release,</w:t>
      </w:r>
      <w:r w:rsidRPr="009F1322">
        <w:rPr>
          <w:rFonts w:ascii="Courier New" w:hAnsi="Courier New"/>
        </w:rPr>
        <w:t xml:space="preserve"> “Education Department Names Seasoned Team to Monitor Corinthian Colleges</w:t>
      </w:r>
      <w:r>
        <w:rPr>
          <w:rFonts w:ascii="Courier New" w:hAnsi="Courier New"/>
        </w:rPr>
        <w:t>.</w:t>
      </w:r>
      <w:r w:rsidRPr="00AE1E9B">
        <w:rPr>
          <w:rFonts w:ascii="Courier New" w:hAnsi="Courier New"/>
        </w:rPr>
        <w:t>”</w:t>
      </w:r>
      <w:r>
        <w:rPr>
          <w:rFonts w:ascii="Courier New" w:hAnsi="Courier New"/>
        </w:rPr>
        <w:t xml:space="preserve"> Available at: </w:t>
      </w:r>
      <w:r w:rsidRPr="00B53B21">
        <w:rPr>
          <w:rFonts w:ascii="Courier New" w:hAnsi="Courier New" w:cs="Courier New"/>
        </w:rPr>
        <w:t>www.ed.gov/news/press-releases/education-department-names-seasoned-team-monitor-corinthian-colleges</w:t>
      </w:r>
      <w:r>
        <w:rPr>
          <w:rFonts w:ascii="Courier New" w:hAnsi="Courier New" w:cs="Courier New"/>
        </w:rPr>
        <w:t>.</w:t>
      </w:r>
    </w:p>
  </w:footnote>
  <w:footnote w:id="282">
    <w:p w14:paraId="5F8CB778"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“Dollar Signs In Uniform,” </w:t>
      </w:r>
      <w:smartTag w:uri="urn:schemas-microsoft-com:office:smarttags" w:element="place">
        <w:smartTag w:uri="urn:schemas-microsoft-com:office:smarttags" w:element="City">
          <w:r w:rsidRPr="00112FAA">
            <w:rPr>
              <w:rFonts w:ascii="Courier New" w:hAnsi="Courier New" w:cs="Courier New"/>
            </w:rPr>
            <w:t>Los Angeles</w:t>
          </w:r>
        </w:smartTag>
      </w:smartTag>
      <w:r w:rsidRPr="00112FAA">
        <w:rPr>
          <w:rFonts w:ascii="Courier New" w:hAnsi="Courier New" w:cs="Courier New"/>
        </w:rPr>
        <w:t xml:space="preserve"> Times, Nov. 12, 2012.  Available at: </w:t>
      </w:r>
      <w:hyperlink r:id="rId35" w:history="1">
        <w:r>
          <w:rPr>
            <w:rStyle w:val="Hyperlink"/>
            <w:rFonts w:ascii="Courier New" w:hAnsi="Courier New"/>
          </w:rPr>
          <w:t>http://articles.latimes.com/2012/nov/12/opinion/la-oe-shakely-veterans-college-profit-20121112</w:t>
        </w:r>
      </w:hyperlink>
      <w:r w:rsidRPr="00112FAA">
        <w:rPr>
          <w:rFonts w:ascii="Courier New" w:hAnsi="Courier New" w:cs="Courier New"/>
        </w:rPr>
        <w:t>; citing “Harkin Report,” S. Prt. 112-37, For Profit Higher</w:t>
      </w:r>
      <w:r w:rsidRPr="004721AA">
        <w:rPr>
          <w:rFonts w:ascii="Courier New" w:hAnsi="Courier New"/>
        </w:rPr>
        <w:t xml:space="preserve"> Education: The Failure to Safeguard the Federal Investment and Ensure Student Success, July 30, 2012. </w:t>
      </w:r>
    </w:p>
  </w:footnote>
  <w:footnote w:id="283">
    <w:p w14:paraId="34675A53"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84">
    <w:p w14:paraId="7C00F2EC"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p>
  </w:footnote>
  <w:footnote w:id="285">
    <w:p w14:paraId="4B744098"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t>
      </w:r>
      <w:smartTag w:uri="urn:schemas-microsoft-com:office:smarttags" w:element="State">
        <w:smartTag w:uri="urn:schemas-microsoft-com:office:smarttags" w:element="place">
          <w:r w:rsidRPr="007657F9">
            <w:rPr>
              <w:rFonts w:ascii="Courier New" w:hAnsi="Courier New" w:cs="Courier New"/>
              <w:u w:val="single"/>
            </w:rPr>
            <w:t>Id</w:t>
          </w:r>
          <w:r w:rsidRPr="00112FAA">
            <w:rPr>
              <w:rFonts w:ascii="Courier New" w:hAnsi="Courier New" w:cs="Courier New"/>
            </w:rPr>
            <w:t>.</w:t>
          </w:r>
        </w:smartTag>
      </w:smartTag>
      <w:r w:rsidRPr="00112FAA">
        <w:rPr>
          <w:rFonts w:ascii="Courier New" w:hAnsi="Courier New" w:cs="Courier New"/>
        </w:rPr>
        <w:t xml:space="preserve"> </w:t>
      </w:r>
    </w:p>
  </w:footnote>
  <w:footnote w:id="286">
    <w:p w14:paraId="45DEE09C"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“We Can’t Wait: President Obama</w:t>
      </w:r>
      <w:r>
        <w:rPr>
          <w:rFonts w:ascii="Courier New" w:hAnsi="Courier New"/>
        </w:rPr>
        <w:t xml:space="preserve"> Takes Action to Stop Deceptive and Misleading Practices by Educational Institutions that Target Veterans, Service Members and their Families,” White House Press Release, April 26, 2012.  Available at:  </w:t>
      </w:r>
      <w:hyperlink r:id="rId36" w:history="1">
        <w:r>
          <w:rPr>
            <w:rStyle w:val="Hyperlink"/>
            <w:rFonts w:ascii="Courier New" w:hAnsi="Courier New"/>
          </w:rPr>
          <w:t>www.whitehouse.gov/the-press-office/2012/04/26/we-can-t-wait-president-obama-takes-action-stop-deceptive-and-misleading</w:t>
        </w:r>
      </w:hyperlink>
      <w:r w:rsidRPr="00112FAA">
        <w:rPr>
          <w:rFonts w:ascii="Courier New" w:hAnsi="Courier New" w:cs="Courier New"/>
        </w:rPr>
        <w:t xml:space="preserve">. </w:t>
      </w:r>
    </w:p>
  </w:footnote>
  <w:footnote w:id="287">
    <w:p w14:paraId="125B8EE6" w14:textId="77777777" w:rsidR="00BF10A3" w:rsidRPr="00B53B21" w:rsidRDefault="00BF10A3" w:rsidP="00BF10A3">
      <w:pPr>
        <w:pStyle w:val="FootnoteText"/>
        <w:contextualSpacing/>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“$2.5M </w:t>
      </w:r>
      <w:r>
        <w:rPr>
          <w:rFonts w:ascii="Courier New" w:hAnsi="Courier New"/>
        </w:rPr>
        <w:t xml:space="preserve">Settlement over ‘GIBill.com’,” Inside Higher Ed, June 28, 2012.  Available at:  </w:t>
      </w:r>
      <w:hyperlink r:id="rId37" w:history="1">
        <w:r>
          <w:rPr>
            <w:rStyle w:val="Hyperlink"/>
            <w:rFonts w:ascii="Courier New" w:hAnsi="Courier New"/>
          </w:rPr>
          <w:t>www.insidehighered.com/news/2012/06/28/attorneys-general-announce-settlement-profit-college-marketer</w:t>
        </w:r>
      </w:hyperlink>
      <w:r w:rsidRPr="00112FAA">
        <w:rPr>
          <w:rFonts w:ascii="Courier New" w:hAnsi="Courier New" w:cs="Courier New"/>
        </w:rPr>
        <w:t xml:space="preserve">. </w:t>
      </w:r>
    </w:p>
  </w:footnote>
  <w:footnote w:id="288">
    <w:p w14:paraId="5D85D94E" w14:textId="77777777" w:rsidR="00BF10A3" w:rsidRPr="007657F9"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sz w:val="18"/>
        </w:rPr>
        <w:t xml:space="preserve">Baum, S., &amp; Schwartz, S. (2006). </w:t>
      </w:r>
      <w:r w:rsidRPr="007657F9">
        <w:rPr>
          <w:rFonts w:ascii="Courier New" w:hAnsi="Courier New"/>
          <w:i/>
          <w:sz w:val="18"/>
        </w:rPr>
        <w:t xml:space="preserve"> How Much is Debt is Too Much?  Defining Benchmarks for Manageable Student Debt.  </w:t>
      </w:r>
      <w:r w:rsidRPr="007657F9">
        <w:rPr>
          <w:rFonts w:ascii="Courier New" w:hAnsi="Courier New"/>
          <w:sz w:val="18"/>
        </w:rPr>
        <w:t>New York: The College Board.</w:t>
      </w:r>
    </w:p>
  </w:footnote>
  <w:footnote w:id="289">
    <w:p w14:paraId="72EE77AC" w14:textId="596B4FF2" w:rsidR="00BF10A3" w:rsidRPr="007657F9"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sz w:val="18"/>
        </w:rPr>
        <w:t>King, T., &amp; Frishberg, I. (2001). Big loans, bigger problems: A report on the sticker shock of student loans.</w:t>
      </w:r>
      <w:r w:rsidR="005E71ED">
        <w:rPr>
          <w:rFonts w:ascii="Courier New" w:hAnsi="Courier New"/>
          <w:sz w:val="18"/>
        </w:rPr>
        <w:t xml:space="preserve">  </w:t>
      </w:r>
      <w:r w:rsidRPr="007657F9">
        <w:rPr>
          <w:rFonts w:ascii="Courier New" w:hAnsi="Courier New"/>
          <w:sz w:val="18"/>
        </w:rPr>
        <w:t>Washington, DC: The State PIRG’s Higher Education Project.</w:t>
      </w:r>
    </w:p>
  </w:footnote>
  <w:footnote w:id="290">
    <w:p w14:paraId="417208BB" w14:textId="77777777" w:rsidR="00BF10A3" w:rsidRPr="00280B83"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color w:val="221E1F"/>
          <w:sz w:val="18"/>
        </w:rPr>
        <w:t xml:space="preserve">Harrast, S.A. (2004). Undergraduate borrowing: A study of debtor students and their ability to retire undergraduate loans. </w:t>
      </w:r>
      <w:r w:rsidRPr="007657F9">
        <w:rPr>
          <w:rFonts w:ascii="Courier New" w:hAnsi="Courier New"/>
          <w:i/>
          <w:color w:val="221E1F"/>
          <w:sz w:val="18"/>
        </w:rPr>
        <w:t>NASFAA Journal of Student Financial Aid</w:t>
      </w:r>
      <w:r w:rsidRPr="007657F9">
        <w:rPr>
          <w:rFonts w:ascii="Courier New" w:hAnsi="Courier New"/>
          <w:color w:val="221E1F"/>
          <w:sz w:val="18"/>
        </w:rPr>
        <w:t xml:space="preserve">, </w:t>
      </w:r>
      <w:r w:rsidRPr="007657F9">
        <w:rPr>
          <w:rFonts w:ascii="Courier New" w:hAnsi="Courier New"/>
          <w:i/>
          <w:color w:val="221E1F"/>
          <w:sz w:val="18"/>
        </w:rPr>
        <w:t>34</w:t>
      </w:r>
      <w:r w:rsidRPr="007657F9">
        <w:rPr>
          <w:rFonts w:ascii="Courier New" w:hAnsi="Courier New"/>
          <w:color w:val="221E1F"/>
          <w:sz w:val="18"/>
        </w:rPr>
        <w:t>(1), 21–37.</w:t>
      </w:r>
    </w:p>
  </w:footnote>
  <w:footnote w:id="291">
    <w:p w14:paraId="4EC5C287" w14:textId="77777777" w:rsidR="00BF10A3" w:rsidRPr="007657F9"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color w:val="221E1F"/>
          <w:sz w:val="18"/>
        </w:rPr>
        <w:t xml:space="preserve">King, T., &amp; Bannon, E. (2002). </w:t>
      </w:r>
      <w:r w:rsidRPr="007657F9">
        <w:rPr>
          <w:rFonts w:ascii="Courier New" w:hAnsi="Courier New"/>
          <w:i/>
          <w:color w:val="221E1F"/>
          <w:sz w:val="18"/>
        </w:rPr>
        <w:t xml:space="preserve">The burden of borrowing: A report on rising rates of student loan debt. </w:t>
      </w:r>
      <w:r w:rsidRPr="007657F9">
        <w:rPr>
          <w:rFonts w:ascii="Courier New" w:hAnsi="Courier New"/>
          <w:color w:val="221E1F"/>
          <w:sz w:val="18"/>
        </w:rPr>
        <w:t>Washington, DC: The State PIRG’s Higher Education Project.</w:t>
      </w:r>
    </w:p>
  </w:footnote>
  <w:footnote w:id="292">
    <w:p w14:paraId="13C491A8" w14:textId="77777777" w:rsidR="00BF10A3" w:rsidRPr="007657F9"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color w:val="221E1F"/>
          <w:sz w:val="18"/>
        </w:rPr>
        <w:t>Illinois Student Assistance Commission (2001). Increasing college access…or just increasing debt? A discussion about raising student loan limits and the impact on Illinois students. Available at: http://www.collegezone.com/media/research_access_web.pdf</w:t>
      </w:r>
    </w:p>
  </w:footnote>
  <w:footnote w:id="293">
    <w:p w14:paraId="7714A0FC" w14:textId="77777777" w:rsidR="00BF10A3" w:rsidRPr="007657F9"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u w:val="single"/>
        </w:rPr>
        <w:t>Id</w:t>
      </w:r>
      <w:r w:rsidRPr="007657F9">
        <w:rPr>
          <w:rFonts w:ascii="Courier New" w:hAnsi="Courier New"/>
        </w:rPr>
        <w:t>.</w:t>
      </w:r>
    </w:p>
  </w:footnote>
  <w:footnote w:id="294">
    <w:p w14:paraId="6D70E445" w14:textId="77777777" w:rsidR="00BF10A3" w:rsidRPr="00280B83" w:rsidRDefault="00BF10A3" w:rsidP="00BF10A3">
      <w:pPr>
        <w:pStyle w:val="FootnoteText"/>
        <w:rPr>
          <w:rFonts w:ascii="Courier New" w:hAnsi="Courier New"/>
        </w:rPr>
      </w:pPr>
      <w:r w:rsidRPr="007657F9">
        <w:rPr>
          <w:rStyle w:val="FootnoteReference"/>
          <w:rFonts w:ascii="Courier New" w:hAnsi="Courier New"/>
        </w:rPr>
        <w:footnoteRef/>
      </w:r>
      <w:r w:rsidRPr="007657F9">
        <w:rPr>
          <w:rFonts w:ascii="Courier New" w:hAnsi="Courier New"/>
        </w:rPr>
        <w:t xml:space="preserve"> </w:t>
      </w:r>
      <w:r w:rsidRPr="007657F9">
        <w:rPr>
          <w:rFonts w:ascii="Courier New" w:hAnsi="Courier New"/>
          <w:color w:val="221E1F"/>
          <w:sz w:val="18"/>
        </w:rPr>
        <w:t>Baum, S., &amp; O’Malley, M. (2003). College on credit: How borrowers perceive their education. The 2002 National Student Loan Survey. Boston: Nellie Mae Corporation.</w:t>
      </w:r>
    </w:p>
  </w:footnote>
  <w:footnote w:id="295">
    <w:p w14:paraId="1EF22D85" w14:textId="77777777" w:rsidR="00BF10A3" w:rsidRPr="007657F9" w:rsidRDefault="00BF10A3" w:rsidP="00BF10A3">
      <w:pPr>
        <w:pStyle w:val="FootnoteText"/>
        <w:rPr>
          <w:rFonts w:ascii="Courier New" w:hAnsi="Courier New" w:cs="Courier New"/>
        </w:rPr>
      </w:pPr>
      <w:r>
        <w:rPr>
          <w:rStyle w:val="FootnoteReference"/>
        </w:rPr>
        <w:footnoteRef/>
      </w:r>
      <w:r>
        <w:t xml:space="preserve"> </w:t>
      </w:r>
      <w:r w:rsidRPr="007657F9">
        <w:rPr>
          <w:rFonts w:ascii="Courier New" w:hAnsi="Courier New" w:cs="Courier New"/>
        </w:rPr>
        <w:t xml:space="preserve">Avery, C. &amp; Turner, S., (2012).  Student Loans: Do College Students Borrow Too Much—Or Not Enough?  </w:t>
      </w:r>
      <w:r w:rsidRPr="007657F9">
        <w:rPr>
          <w:rFonts w:ascii="Courier New" w:hAnsi="Courier New" w:cs="Courier New"/>
          <w:i/>
        </w:rPr>
        <w:t>Journal of Economic Perspectives</w:t>
      </w:r>
      <w:r w:rsidRPr="007657F9">
        <w:rPr>
          <w:rFonts w:ascii="Courier New" w:hAnsi="Courier New" w:cs="Courier New"/>
        </w:rPr>
        <w:t xml:space="preserve"> </w:t>
      </w:r>
      <w:r w:rsidRPr="007657F9">
        <w:rPr>
          <w:rFonts w:ascii="Courier New" w:hAnsi="Courier New" w:cs="Courier New"/>
          <w:i/>
        </w:rPr>
        <w:t>Vol 26(1).</w:t>
      </w:r>
    </w:p>
    <w:p w14:paraId="4BC903EF" w14:textId="77777777" w:rsidR="00BF10A3" w:rsidRDefault="00BF10A3" w:rsidP="00BF10A3">
      <w:pPr>
        <w:pStyle w:val="FootnoteText"/>
      </w:pPr>
    </w:p>
  </w:footnote>
  <w:footnote w:id="296">
    <w:p w14:paraId="79A8BFA3"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lang w:val="de-DE"/>
        </w:rPr>
        <w:t xml:space="preserve"> </w:t>
      </w:r>
      <w:r w:rsidRPr="009A7445">
        <w:rPr>
          <w:rFonts w:ascii="Courier New" w:hAnsi="Courier New"/>
        </w:rPr>
        <w:t>Baum, S</w:t>
      </w:r>
      <w:r w:rsidRPr="009A7445">
        <w:rPr>
          <w:rFonts w:ascii="Courier New" w:hAnsi="Courier New" w:cs="Courier New"/>
        </w:rPr>
        <w:t>. &amp; O’Malley, M. (2003). College on credit: How borrowers perceive their education debt. Results of th</w:t>
      </w:r>
      <w:r>
        <w:rPr>
          <w:rFonts w:ascii="Courier New" w:hAnsi="Courier New" w:cs="Courier New"/>
        </w:rPr>
        <w:t xml:space="preserve">e </w:t>
      </w:r>
      <w:r w:rsidRPr="009A7445">
        <w:rPr>
          <w:rFonts w:ascii="Courier New" w:hAnsi="Courier New" w:cs="Courier New"/>
        </w:rPr>
        <w:t>2002 National Loan Survey (Final Report). Braintree, MA: Nellie Mae.</w:t>
      </w:r>
    </w:p>
  </w:footnote>
  <w:footnote w:id="297">
    <w:p w14:paraId="59CCCBEC" w14:textId="77777777" w:rsidR="00BF10A3" w:rsidRPr="00280B83" w:rsidRDefault="00BF10A3" w:rsidP="00BF10A3">
      <w:pPr>
        <w:pStyle w:val="FootnoteText"/>
        <w:rPr>
          <w:rFonts w:ascii="Courier New" w:hAnsi="Courier New"/>
        </w:rPr>
      </w:pPr>
      <w:r w:rsidRPr="00280B83">
        <w:rPr>
          <w:rStyle w:val="FootnoteReference"/>
          <w:rFonts w:ascii="Courier New" w:hAnsi="Courier New"/>
        </w:rPr>
        <w:footnoteRef/>
      </w:r>
      <w:r w:rsidRPr="00280B83">
        <w:rPr>
          <w:rFonts w:ascii="Courier New" w:hAnsi="Courier New"/>
        </w:rPr>
        <w:t xml:space="preserve"> In the “Analysis of the Regulation” the term “students” for the most part, refers to individuals who receive title IV, HEA program funds for a GE program as defined in “§668.402  Definitions” The Department’s analysis of the effect of the rule is based on the defined term, but the references to commenters’ analysis and some background information may refer to students more generally. </w:t>
      </w:r>
    </w:p>
  </w:footnote>
  <w:footnote w:id="298">
    <w:p w14:paraId="20B7F261"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w:t>
      </w:r>
      <w:hyperlink r:id="rId38" w:history="1">
        <w:r w:rsidRPr="00CE712F">
          <w:rPr>
            <w:rStyle w:val="Hyperlink"/>
            <w:rFonts w:ascii="Courier New" w:hAnsi="Courier New"/>
          </w:rPr>
          <w:t>http://www2.ed.gov/policy/highered/reg/hearulemaking/2012/gainfulemployment.html</w:t>
        </w:r>
      </w:hyperlink>
      <w:r>
        <w:rPr>
          <w:rStyle w:val="Hyperlink"/>
          <w:rFonts w:ascii="Courier New" w:hAnsi="Courier New"/>
        </w:rPr>
        <w:t>.</w:t>
      </w:r>
      <w:r w:rsidRPr="00112FAA">
        <w:rPr>
          <w:rFonts w:ascii="Courier New" w:hAnsi="Courier New" w:cs="Courier New"/>
        </w:rPr>
        <w:t xml:space="preserve"> </w:t>
      </w:r>
    </w:p>
  </w:footnote>
  <w:footnote w:id="299">
    <w:p w14:paraId="4BDA3E51"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This cohort uses fiscal years</w:t>
      </w:r>
      <w:r>
        <w:rPr>
          <w:rFonts w:ascii="Courier New" w:hAnsi="Courier New" w:cs="Courier New"/>
        </w:rPr>
        <w:t>,</w:t>
      </w:r>
      <w:r w:rsidRPr="00112FAA">
        <w:rPr>
          <w:rFonts w:ascii="Courier New" w:hAnsi="Courier New" w:cs="Courier New"/>
        </w:rPr>
        <w:t xml:space="preserve"> </w:t>
      </w:r>
      <w:r>
        <w:rPr>
          <w:rFonts w:ascii="Courier New" w:hAnsi="Courier New" w:cs="Courier New"/>
        </w:rPr>
        <w:t>whereas</w:t>
      </w:r>
      <w:r w:rsidRPr="00112FAA">
        <w:rPr>
          <w:rFonts w:ascii="Courier New" w:hAnsi="Courier New" w:cs="Courier New"/>
        </w:rPr>
        <w:t xml:space="preserve"> the regulation</w:t>
      </w:r>
      <w:r>
        <w:rPr>
          <w:rFonts w:ascii="Courier New" w:hAnsi="Courier New" w:cs="Courier New"/>
        </w:rPr>
        <w:t>s</w:t>
      </w:r>
      <w:r w:rsidRPr="00112FAA">
        <w:rPr>
          <w:rFonts w:ascii="Courier New" w:hAnsi="Courier New" w:cs="Courier New"/>
        </w:rPr>
        <w:t xml:space="preserve"> use award year</w:t>
      </w:r>
      <w:r>
        <w:rPr>
          <w:rFonts w:ascii="Courier New" w:hAnsi="Courier New" w:cs="Courier New"/>
        </w:rPr>
        <w:t>s</w:t>
      </w:r>
      <w:r w:rsidRPr="00112FAA">
        <w:rPr>
          <w:rFonts w:ascii="Courier New" w:hAnsi="Courier New" w:cs="Courier New"/>
        </w:rPr>
        <w:t xml:space="preserve"> for the computation of the </w:t>
      </w:r>
      <w:r>
        <w:rPr>
          <w:rFonts w:ascii="Courier New" w:hAnsi="Courier New" w:cs="Courier New"/>
        </w:rPr>
        <w:t>D/E</w:t>
      </w:r>
      <w:r w:rsidRPr="00112FAA">
        <w:rPr>
          <w:rFonts w:ascii="Courier New" w:hAnsi="Courier New" w:cs="Courier New"/>
        </w:rPr>
        <w:t xml:space="preserve"> rates. </w:t>
      </w:r>
      <w:r>
        <w:rPr>
          <w:rFonts w:ascii="Courier New" w:hAnsi="Courier New" w:cs="Courier New"/>
        </w:rPr>
        <w:t xml:space="preserve"> </w:t>
      </w:r>
      <w:r w:rsidRPr="00112FAA">
        <w:rPr>
          <w:rFonts w:ascii="Courier New" w:hAnsi="Courier New" w:cs="Courier New"/>
        </w:rPr>
        <w:t xml:space="preserve">Since the earnings data available are tied to cohorts defined in terms of fiscal years, the 2012 </w:t>
      </w:r>
      <w:r>
        <w:rPr>
          <w:rFonts w:ascii="Courier New" w:hAnsi="Courier New" w:cs="Courier New"/>
        </w:rPr>
        <w:t xml:space="preserve">GE </w:t>
      </w:r>
      <w:r w:rsidRPr="00112FAA">
        <w:rPr>
          <w:rFonts w:ascii="Courier New" w:hAnsi="Courier New" w:cs="Courier New"/>
        </w:rPr>
        <w:t xml:space="preserve">informational </w:t>
      </w:r>
      <w:r>
        <w:rPr>
          <w:rFonts w:ascii="Courier New" w:hAnsi="Courier New" w:cs="Courier New"/>
        </w:rPr>
        <w:t>D/E</w:t>
      </w:r>
      <w:r w:rsidRPr="00112FAA">
        <w:rPr>
          <w:rFonts w:ascii="Courier New" w:hAnsi="Courier New" w:cs="Courier New"/>
        </w:rPr>
        <w:t xml:space="preserve"> rates are based on a fi</w:t>
      </w:r>
      <w:r w:rsidRPr="009F1322">
        <w:rPr>
          <w:rFonts w:ascii="Courier New" w:hAnsi="Courier New"/>
        </w:rPr>
        <w:t>scal year calendar.</w:t>
      </w:r>
    </w:p>
  </w:footnote>
  <w:footnote w:id="300">
    <w:p w14:paraId="0E95836B" w14:textId="77777777" w:rsidR="00BF10A3" w:rsidRPr="00112FAA"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In comparison, for programs that do not meet this minimum n-size, programs with 30 or more students who completed the program during a four-year cohort period will also be evaluated under the regulations.</w:t>
      </w:r>
    </w:p>
  </w:footnote>
  <w:footnote w:id="301">
    <w:p w14:paraId="18DF591E"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The 2012 GE informational </w:t>
      </w:r>
      <w:r>
        <w:rPr>
          <w:rFonts w:ascii="Courier New" w:hAnsi="Courier New"/>
        </w:rPr>
        <w:t xml:space="preserve">D/E </w:t>
      </w:r>
      <w:r w:rsidRPr="009F1322">
        <w:rPr>
          <w:rFonts w:ascii="Courier New" w:hAnsi="Courier New"/>
        </w:rPr>
        <w:t xml:space="preserve">rates files on the Department’s Web site also include debt-to-earnings rates for variations on n-size for comparative purposes.  </w:t>
      </w:r>
    </w:p>
  </w:footnote>
  <w:footnote w:id="302">
    <w:p w14:paraId="4B6AA50C"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280B83">
        <w:rPr>
          <w:rFonts w:ascii="Courier New" w:hAnsi="Courier New"/>
        </w:rPr>
        <w:t>FY 2010 enrollment is the most recent NSLDS data available to the Department regarding enrollment in GE programs</w:t>
      </w:r>
      <w:r>
        <w:rPr>
          <w:rFonts w:ascii="Courier New" w:hAnsi="Courier New" w:cs="Courier New"/>
        </w:rPr>
        <w:t>.</w:t>
      </w:r>
      <w:r w:rsidRPr="00B53B21">
        <w:rPr>
          <w:rFonts w:ascii="Courier New" w:hAnsi="Courier New" w:cs="Courier New"/>
        </w:rPr>
        <w:t xml:space="preserve"> </w:t>
      </w:r>
      <w:r>
        <w:rPr>
          <w:rFonts w:ascii="Courier New" w:hAnsi="Courier New" w:cs="Courier New"/>
        </w:rPr>
        <w:t>It is important to note that t</w:t>
      </w:r>
      <w:r w:rsidRPr="00B53B21">
        <w:rPr>
          <w:rFonts w:ascii="Courier New" w:hAnsi="Courier New" w:cs="Courier New"/>
        </w:rPr>
        <w:t xml:space="preserve">his </w:t>
      </w:r>
      <w:r>
        <w:rPr>
          <w:rFonts w:ascii="Courier New" w:hAnsi="Courier New" w:cs="Courier New"/>
        </w:rPr>
        <w:t>data</w:t>
      </w:r>
      <w:r w:rsidRPr="00B53B21">
        <w:rPr>
          <w:rFonts w:ascii="Courier New" w:hAnsi="Courier New" w:cs="Courier New"/>
        </w:rPr>
        <w:t xml:space="preserve"> </w:t>
      </w:r>
      <w:r>
        <w:rPr>
          <w:rFonts w:ascii="Courier New" w:hAnsi="Courier New" w:cs="Courier New"/>
        </w:rPr>
        <w:t>may</w:t>
      </w:r>
      <w:r w:rsidRPr="00B53B21">
        <w:rPr>
          <w:rFonts w:ascii="Courier New" w:hAnsi="Courier New" w:cs="Courier New"/>
        </w:rPr>
        <w:t xml:space="preserve"> not account </w:t>
      </w:r>
      <w:r>
        <w:rPr>
          <w:rFonts w:ascii="Courier New" w:hAnsi="Courier New" w:cs="Courier New"/>
        </w:rPr>
        <w:t>reflect</w:t>
      </w:r>
      <w:r w:rsidRPr="00B53B21">
        <w:rPr>
          <w:rFonts w:ascii="Courier New" w:hAnsi="Courier New" w:cs="Courier New"/>
        </w:rPr>
        <w:t xml:space="preserve"> the overall decline in postsecondary enrollment since FY 2010.</w:t>
      </w:r>
    </w:p>
  </w:footnote>
  <w:footnote w:id="303">
    <w:p w14:paraId="554A8C55"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A small number of </w:t>
      </w:r>
      <w:r w:rsidRPr="008506BD">
        <w:rPr>
          <w:rFonts w:ascii="Courier New" w:hAnsi="Courier New"/>
        </w:rPr>
        <w:t>programs in the 2012 GE informational D/E rates data set did not have FY 2010 enrollment data.</w:t>
      </w:r>
    </w:p>
  </w:footnote>
  <w:footnote w:id="304">
    <w:p w14:paraId="27F683F4"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November 2013 </w:t>
      </w:r>
      <w:r>
        <w:rPr>
          <w:rFonts w:ascii="Courier New" w:hAnsi="Courier New" w:cs="Courier New"/>
        </w:rPr>
        <w:t xml:space="preserve">NSLDS </w:t>
      </w:r>
      <w:r w:rsidRPr="00B53B21">
        <w:rPr>
          <w:rFonts w:ascii="Courier New" w:hAnsi="Courier New" w:cs="Courier New"/>
        </w:rPr>
        <w:t xml:space="preserve">data was the closest existing data capture </w:t>
      </w:r>
      <w:r>
        <w:rPr>
          <w:rFonts w:ascii="Courier New" w:hAnsi="Courier New" w:cs="Courier New"/>
        </w:rPr>
        <w:t xml:space="preserve">of sector and type </w:t>
      </w:r>
      <w:r w:rsidRPr="00B53B21">
        <w:rPr>
          <w:rFonts w:ascii="Courier New" w:hAnsi="Courier New" w:cs="Courier New"/>
        </w:rPr>
        <w:t xml:space="preserve">to the approximate time </w:t>
      </w:r>
      <w:r>
        <w:rPr>
          <w:rFonts w:ascii="Courier New" w:hAnsi="Courier New" w:cs="Courier New"/>
        </w:rPr>
        <w:t xml:space="preserve">for </w:t>
      </w:r>
      <w:r w:rsidRPr="00B53B21">
        <w:rPr>
          <w:rFonts w:ascii="Courier New" w:hAnsi="Courier New" w:cs="Courier New"/>
        </w:rPr>
        <w:t>which rates would have</w:t>
      </w:r>
      <w:r>
        <w:rPr>
          <w:rFonts w:ascii="Courier New" w:hAnsi="Courier New" w:cs="Courier New"/>
        </w:rPr>
        <w:t xml:space="preserve"> been</w:t>
      </w:r>
      <w:r w:rsidRPr="00286A12">
        <w:rPr>
          <w:rFonts w:ascii="Courier New" w:hAnsi="Courier New"/>
        </w:rPr>
        <w:t xml:space="preserve"> calculated for all measures evaluated in </w:t>
      </w:r>
      <w:r>
        <w:rPr>
          <w:rFonts w:ascii="Courier New" w:hAnsi="Courier New" w:cs="Courier New"/>
        </w:rPr>
        <w:t>this</w:t>
      </w:r>
      <w:r w:rsidRPr="00B53B21">
        <w:rPr>
          <w:rFonts w:ascii="Courier New" w:hAnsi="Courier New" w:cs="Courier New"/>
        </w:rPr>
        <w:t xml:space="preserve"> Regulatory Impact Analysis</w:t>
      </w:r>
      <w:r>
        <w:rPr>
          <w:rFonts w:ascii="Courier New" w:hAnsi="Courier New" w:cs="Courier New"/>
        </w:rPr>
        <w:t>.</w:t>
      </w:r>
    </w:p>
  </w:footnote>
  <w:footnote w:id="305">
    <w:p w14:paraId="3730F0C6"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In the final regulations the definition of “credential</w:t>
      </w:r>
      <w:r>
        <w:rPr>
          <w:rFonts w:ascii="Courier New" w:hAnsi="Courier New" w:cs="Courier New"/>
        </w:rPr>
        <w:t xml:space="preserve"> level</w:t>
      </w:r>
      <w:r w:rsidRPr="00112FAA">
        <w:rPr>
          <w:rFonts w:ascii="Courier New" w:hAnsi="Courier New" w:cs="Courier New"/>
        </w:rPr>
        <w:t xml:space="preserve">” </w:t>
      </w:r>
      <w:r>
        <w:rPr>
          <w:rFonts w:ascii="Courier New" w:hAnsi="Courier New"/>
        </w:rPr>
        <w:t>has been</w:t>
      </w:r>
      <w:r w:rsidRPr="009F1322">
        <w:rPr>
          <w:rFonts w:ascii="Courier New" w:hAnsi="Courier New"/>
        </w:rPr>
        <w:t xml:space="preserve"> revised to clarify that postgraduate certificates </w:t>
      </w:r>
      <w:r>
        <w:rPr>
          <w:rFonts w:ascii="Courier New" w:hAnsi="Courier New" w:cs="Courier New"/>
        </w:rPr>
        <w:t>are</w:t>
      </w:r>
      <w:r w:rsidRPr="009F1322">
        <w:rPr>
          <w:rFonts w:ascii="Courier New" w:hAnsi="Courier New"/>
        </w:rPr>
        <w:t xml:space="preserve"> included in the post-baccalaureate certificate credential level.</w:t>
      </w:r>
    </w:p>
    <w:p w14:paraId="6B919A31" w14:textId="77777777" w:rsidR="00BF10A3" w:rsidRPr="009F1322" w:rsidRDefault="00BF10A3" w:rsidP="00BF10A3">
      <w:pPr>
        <w:pStyle w:val="FootnoteText"/>
        <w:rPr>
          <w:rFonts w:ascii="Courier New" w:hAnsi="Courier New"/>
        </w:rPr>
      </w:pPr>
    </w:p>
  </w:footnote>
  <w:footnote w:id="306">
    <w:p w14:paraId="4BD547D4"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w:t>
      </w:r>
      <w:r>
        <w:rPr>
          <w:rFonts w:ascii="Courier New" w:hAnsi="Courier New" w:cs="Courier New"/>
        </w:rPr>
        <w:t>We used</w:t>
      </w:r>
      <w:r w:rsidRPr="00112FAA">
        <w:rPr>
          <w:rFonts w:ascii="Courier New" w:hAnsi="Courier New" w:cs="Courier New"/>
        </w:rPr>
        <w:t xml:space="preserve"> fiscal years for the computation of the </w:t>
      </w:r>
      <w:r>
        <w:rPr>
          <w:rFonts w:ascii="Courier New" w:hAnsi="Courier New" w:cs="Courier New"/>
        </w:rPr>
        <w:t xml:space="preserve">2012 GE informational </w:t>
      </w:r>
      <w:r w:rsidRPr="00112FAA">
        <w:rPr>
          <w:rFonts w:ascii="Courier New" w:hAnsi="Courier New" w:cs="Courier New"/>
        </w:rPr>
        <w:t xml:space="preserve">D/E rates, whereas the regulations use award years. </w:t>
      </w:r>
    </w:p>
  </w:footnote>
  <w:footnote w:id="307">
    <w:p w14:paraId="50317DC9" w14:textId="77777777" w:rsidR="00BF10A3" w:rsidRPr="00112FAA"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In comparison, under the regulations, Perkins loans will also be included in total loan debt</w:t>
      </w:r>
      <w:r w:rsidRPr="00280B83">
        <w:rPr>
          <w:rFonts w:ascii="Courier New" w:hAnsi="Courier New"/>
        </w:rPr>
        <w:t>.  As such, informational rates analysis results should be considered an approximation of the implementation of the GE regulation</w:t>
      </w:r>
      <w:r>
        <w:rPr>
          <w:rFonts w:ascii="Courier New" w:hAnsi="Courier New" w:cs="Courier New"/>
        </w:rPr>
        <w:t xml:space="preserve">. </w:t>
      </w:r>
    </w:p>
  </w:footnote>
  <w:footnote w:id="308">
    <w:p w14:paraId="15B365D5"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Under the regulations, loan debt is capped </w:t>
      </w:r>
      <w:r>
        <w:rPr>
          <w:rFonts w:ascii="Courier New" w:hAnsi="Courier New" w:cs="Courier New"/>
        </w:rPr>
        <w:t xml:space="preserve">for each student </w:t>
      </w:r>
      <w:r w:rsidRPr="00112FAA">
        <w:rPr>
          <w:rFonts w:ascii="Courier New" w:hAnsi="Courier New" w:cs="Courier New"/>
        </w:rPr>
        <w:t>at the amount charged</w:t>
      </w:r>
      <w:r w:rsidRPr="009F1322">
        <w:rPr>
          <w:rFonts w:ascii="Courier New" w:hAnsi="Courier New"/>
        </w:rPr>
        <w:t xml:space="preserve"> for tuition and fees, books, supplies, and equipment.</w:t>
      </w:r>
    </w:p>
  </w:footnote>
  <w:footnote w:id="309">
    <w:p w14:paraId="1E565FBE" w14:textId="77777777" w:rsidR="00BF10A3" w:rsidRPr="00112FAA"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The regulations clarify that postgraduate certificates would be included in the post-baccalaureate certificate credential level.</w:t>
      </w:r>
    </w:p>
  </w:footnote>
  <w:footnote w:id="310">
    <w:p w14:paraId="72A3BAD0"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The 2012 GE informational rates files also include debt-t</w:t>
      </w:r>
      <w:r w:rsidRPr="009F1322">
        <w:rPr>
          <w:rFonts w:ascii="Courier New" w:hAnsi="Courier New"/>
        </w:rPr>
        <w:t xml:space="preserve">o-earnings rates calculated using variations of the amortization schedule for comparative purposes.  </w:t>
      </w:r>
    </w:p>
  </w:footnote>
  <w:footnote w:id="311">
    <w:p w14:paraId="0E429FA6"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For the 2012 informational D/E rates cohort, the applicable average interest rates are the same for undergraduate and graduate programs.</w:t>
      </w:r>
      <w:r>
        <w:rPr>
          <w:rFonts w:ascii="Courier New" w:hAnsi="Courier New" w:cs="Courier New"/>
        </w:rPr>
        <w:t xml:space="preserve"> </w:t>
      </w:r>
      <w:r w:rsidRPr="00112FAA">
        <w:rPr>
          <w:rFonts w:ascii="Courier New" w:hAnsi="Courier New" w:cs="Courier New"/>
        </w:rPr>
        <w:t xml:space="preserve"> In comparison, </w:t>
      </w:r>
      <w:r w:rsidRPr="009F1322">
        <w:rPr>
          <w:rFonts w:ascii="Courier New" w:hAnsi="Courier New"/>
        </w:rPr>
        <w:t>undergraduate and graduate interest rates differ from each other in future cohort periods</w:t>
      </w:r>
      <w:r w:rsidRPr="00821031">
        <w:rPr>
          <w:rFonts w:ascii="Courier New" w:hAnsi="Courier New"/>
        </w:rPr>
        <w:t>.</w:t>
      </w:r>
    </w:p>
  </w:footnote>
  <w:footnote w:id="312">
    <w:p w14:paraId="2CF34DF1"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w:t>
      </w:r>
      <w:r>
        <w:rPr>
          <w:rFonts w:ascii="Courier New" w:hAnsi="Courier New"/>
        </w:rPr>
        <w:t xml:space="preserve">The </w:t>
      </w:r>
      <w:r w:rsidRPr="009F1322">
        <w:rPr>
          <w:rFonts w:ascii="Courier New" w:hAnsi="Courier New"/>
        </w:rPr>
        <w:t>Poverty Guideline is the Federal poverty guideline for an individual person in the continental United States as issued by the U.S. Department of Health and Human Services. The Department used the 201</w:t>
      </w:r>
      <w:r>
        <w:rPr>
          <w:rFonts w:ascii="Courier New" w:hAnsi="Courier New"/>
        </w:rPr>
        <w:t>1</w:t>
      </w:r>
      <w:r w:rsidRPr="009F1322">
        <w:rPr>
          <w:rFonts w:ascii="Courier New" w:hAnsi="Courier New"/>
        </w:rPr>
        <w:t xml:space="preserve"> </w:t>
      </w:r>
      <w:r w:rsidRPr="00AE1E9B">
        <w:rPr>
          <w:rFonts w:ascii="Courier New" w:hAnsi="Courier New"/>
        </w:rPr>
        <w:t xml:space="preserve">Poverty </w:t>
      </w:r>
      <w:r w:rsidRPr="009F1322">
        <w:rPr>
          <w:rFonts w:ascii="Courier New" w:hAnsi="Courier New"/>
        </w:rPr>
        <w:t>Guideline of $10,890 to conduct our analysis</w:t>
      </w:r>
    </w:p>
  </w:footnote>
  <w:footnote w:id="313">
    <w:p w14:paraId="0D01D798"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Informational rates published in the past may have used a different year’s </w:t>
      </w:r>
      <w:r>
        <w:rPr>
          <w:rFonts w:ascii="Courier New" w:hAnsi="Courier New"/>
        </w:rPr>
        <w:t>Poverty G</w:t>
      </w:r>
      <w:r w:rsidRPr="009F1322">
        <w:rPr>
          <w:rFonts w:ascii="Courier New" w:hAnsi="Courier New"/>
        </w:rPr>
        <w:t xml:space="preserve">uideline.  </w:t>
      </w:r>
    </w:p>
  </w:footnote>
  <w:footnote w:id="314">
    <w:p w14:paraId="1AB888CF"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 xml:space="preserve">The </w:t>
      </w:r>
      <w:r w:rsidRPr="00B53B21">
        <w:rPr>
          <w:rFonts w:ascii="Courier New" w:hAnsi="Courier New" w:cs="Courier New"/>
        </w:rPr>
        <w:t xml:space="preserve">pCDR n-size requirements apply to borrowers </w:t>
      </w:r>
      <w:r w:rsidRPr="00112FAA">
        <w:rPr>
          <w:rFonts w:ascii="Courier New" w:hAnsi="Courier New" w:cs="Courier New"/>
        </w:rPr>
        <w:t>while</w:t>
      </w:r>
      <w:r>
        <w:rPr>
          <w:rFonts w:ascii="Courier New" w:hAnsi="Courier New"/>
        </w:rPr>
        <w:t xml:space="preserve"> the</w:t>
      </w:r>
      <w:r w:rsidRPr="00B53B21">
        <w:rPr>
          <w:rFonts w:ascii="Courier New" w:hAnsi="Courier New" w:cs="Courier New"/>
        </w:rPr>
        <w:t xml:space="preserve"> D/E </w:t>
      </w:r>
      <w:r w:rsidRPr="00112FAA">
        <w:rPr>
          <w:rFonts w:ascii="Courier New" w:hAnsi="Courier New" w:cs="Courier New"/>
        </w:rPr>
        <w:t xml:space="preserve">rates </w:t>
      </w:r>
      <w:r w:rsidRPr="00B53B21">
        <w:rPr>
          <w:rFonts w:ascii="Courier New" w:hAnsi="Courier New" w:cs="Courier New"/>
        </w:rPr>
        <w:t>n-size</w:t>
      </w:r>
      <w:r w:rsidRPr="006F08D5">
        <w:rPr>
          <w:rFonts w:ascii="Courier New" w:hAnsi="Courier New"/>
        </w:rPr>
        <w:t xml:space="preserve"> </w:t>
      </w:r>
      <w:r>
        <w:rPr>
          <w:rFonts w:ascii="Courier New" w:hAnsi="Courier New" w:cs="Courier New"/>
        </w:rPr>
        <w:t>requirements</w:t>
      </w:r>
      <w:r w:rsidRPr="00286A12">
        <w:rPr>
          <w:rFonts w:ascii="Courier New" w:hAnsi="Courier New"/>
        </w:rPr>
        <w:t xml:space="preserve"> </w:t>
      </w:r>
      <w:r w:rsidRPr="00B53B21">
        <w:rPr>
          <w:rFonts w:ascii="Courier New" w:hAnsi="Courier New" w:cs="Courier New"/>
        </w:rPr>
        <w:t xml:space="preserve">apply to </w:t>
      </w:r>
      <w:r>
        <w:rPr>
          <w:rFonts w:ascii="Courier New" w:hAnsi="Courier New" w:cs="Courier New"/>
        </w:rPr>
        <w:t xml:space="preserve">students who </w:t>
      </w:r>
      <w:r w:rsidRPr="00B53B21">
        <w:rPr>
          <w:rFonts w:ascii="Courier New" w:hAnsi="Courier New" w:cs="Courier New"/>
        </w:rPr>
        <w:t>complete</w:t>
      </w:r>
      <w:r>
        <w:rPr>
          <w:rFonts w:ascii="Courier New" w:hAnsi="Courier New" w:cs="Courier New"/>
        </w:rPr>
        <w:t xml:space="preserve"> the program</w:t>
      </w:r>
      <w:r w:rsidRPr="00112FAA">
        <w:rPr>
          <w:rFonts w:ascii="Courier New" w:hAnsi="Courier New" w:cs="Courier New"/>
        </w:rPr>
        <w:t>.</w:t>
      </w:r>
    </w:p>
  </w:footnote>
  <w:footnote w:id="315">
    <w:p w14:paraId="34653595" w14:textId="77777777" w:rsidR="00BF10A3" w:rsidRPr="00AE1E9B"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IPEDS 2011 OPEIDs used becau</w:t>
      </w:r>
      <w:r w:rsidRPr="00CB6999">
        <w:rPr>
          <w:rFonts w:ascii="Courier New" w:hAnsi="Courier New"/>
        </w:rPr>
        <w:t>se that would be close to the time of calculation of rates for the cohort</w:t>
      </w:r>
      <w:r>
        <w:rPr>
          <w:rFonts w:ascii="Courier New" w:hAnsi="Courier New"/>
        </w:rPr>
        <w:t>.</w:t>
      </w:r>
    </w:p>
  </w:footnote>
  <w:footnote w:id="316">
    <w:p w14:paraId="29C55A70" w14:textId="77777777" w:rsidR="00BF10A3" w:rsidRPr="00280B83" w:rsidRDefault="00BF10A3" w:rsidP="00BF10A3">
      <w:pPr>
        <w:pStyle w:val="FootnoteText"/>
        <w:rPr>
          <w:rFonts w:ascii="Courier New" w:hAnsi="Courier New"/>
        </w:rPr>
      </w:pPr>
      <w:r w:rsidRPr="00280B83">
        <w:rPr>
          <w:rStyle w:val="FootnoteReference"/>
          <w:rFonts w:ascii="Courier New" w:hAnsi="Courier New"/>
        </w:rPr>
        <w:footnoteRef/>
      </w:r>
      <w:r w:rsidRPr="00280B83">
        <w:rPr>
          <w:rFonts w:ascii="Courier New" w:hAnsi="Courier New"/>
        </w:rPr>
        <w:t xml:space="preserve"> The denominator of percent minority includes all race categories including American Indian, Asian, Black, Hispanic, White, Two or More Races, Race Unknown, Nonresident Alien</w:t>
      </w:r>
    </w:p>
  </w:footnote>
  <w:footnote w:id="317">
    <w:p w14:paraId="132B5534"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The annual earnings rate for this analysis differs slightly from the annual earnings rate used in the NPRM in that it reflects interest rate changes made to the regulation</w:t>
      </w:r>
      <w:r>
        <w:rPr>
          <w:rFonts w:ascii="Courier New" w:hAnsi="Courier New" w:cs="Courier New"/>
        </w:rPr>
        <w:t>s</w:t>
      </w:r>
      <w:r w:rsidRPr="00B53B21">
        <w:rPr>
          <w:rFonts w:ascii="Courier New" w:hAnsi="Courier New" w:cs="Courier New"/>
        </w:rPr>
        <w:t xml:space="preserve"> since the NPRM</w:t>
      </w:r>
      <w:r>
        <w:rPr>
          <w:rFonts w:ascii="Courier New" w:hAnsi="Courier New" w:cs="Courier New"/>
        </w:rPr>
        <w:t>.</w:t>
      </w:r>
    </w:p>
  </w:footnote>
  <w:footnote w:id="318">
    <w:p w14:paraId="00706F8E" w14:textId="77777777" w:rsidR="00BF10A3" w:rsidRPr="00CB6999"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IPEDS 2011 OPEIDs used becau</w:t>
      </w:r>
      <w:r w:rsidRPr="00CB6999">
        <w:rPr>
          <w:rFonts w:ascii="Courier New" w:hAnsi="Courier New"/>
        </w:rPr>
        <w:t>se that would be close to the time of calculation of rates for the cohort</w:t>
      </w:r>
      <w:r>
        <w:rPr>
          <w:rFonts w:ascii="Courier New" w:hAnsi="Courier New"/>
        </w:rPr>
        <w:t>.</w:t>
      </w:r>
    </w:p>
  </w:footnote>
  <w:footnote w:id="319">
    <w:p w14:paraId="74744EE2" w14:textId="77777777" w:rsidR="00BF10A3" w:rsidRPr="00965C67" w:rsidRDefault="00BF10A3" w:rsidP="00BF10A3">
      <w:pPr>
        <w:rPr>
          <w:rFonts w:ascii="Courier New" w:hAnsi="Courier New"/>
          <w:sz w:val="20"/>
        </w:rPr>
      </w:pPr>
      <w:r w:rsidRPr="00965C67">
        <w:rPr>
          <w:rStyle w:val="FootnoteReference"/>
          <w:rFonts w:ascii="Courier New" w:hAnsi="Courier New"/>
          <w:sz w:val="20"/>
        </w:rPr>
        <w:footnoteRef/>
      </w:r>
      <w:r w:rsidRPr="00965C67">
        <w:rPr>
          <w:rFonts w:ascii="Courier New" w:hAnsi="Courier New"/>
          <w:sz w:val="20"/>
        </w:rPr>
        <w:t xml:space="preserve"> The proportion of students who completed programs in the race unknown and nonresident alien categories were not considered in the Department’s analysis</w:t>
      </w:r>
    </w:p>
  </w:footnote>
  <w:footnote w:id="320">
    <w:p w14:paraId="2D032C10" w14:textId="77777777" w:rsidR="00BF10A3" w:rsidRPr="00965C67" w:rsidRDefault="00BF10A3" w:rsidP="00BF10A3">
      <w:pPr>
        <w:rPr>
          <w:rFonts w:ascii="Courier New" w:hAnsi="Courier New"/>
          <w:sz w:val="20"/>
        </w:rPr>
      </w:pPr>
      <w:r w:rsidRPr="00965C67">
        <w:rPr>
          <w:rStyle w:val="FootnoteReference"/>
          <w:rFonts w:ascii="Courier New" w:hAnsi="Courier New"/>
          <w:sz w:val="20"/>
        </w:rPr>
        <w:footnoteRef/>
      </w:r>
      <w:r w:rsidRPr="00965C67">
        <w:rPr>
          <w:rFonts w:ascii="Courier New" w:hAnsi="Courier New"/>
          <w:sz w:val="20"/>
        </w:rPr>
        <w:t xml:space="preserve"> Unmatched programs may bias results that include race/ethnicity variables. The sample with matched programs had a mean annual earnings rate of 5.6 (standard deviation=5) in comparison to the sample that did not match which had a mean annual earnings rate of 6.4 (standard deviation=5)</w:t>
      </w:r>
    </w:p>
  </w:footnote>
  <w:footnote w:id="321">
    <w:p w14:paraId="6DBE3FB2" w14:textId="77777777" w:rsidR="00BF10A3" w:rsidRPr="00771AFC" w:rsidRDefault="00BF10A3" w:rsidP="00BF10A3">
      <w:pPr>
        <w:pStyle w:val="FootnoteText"/>
        <w:rPr>
          <w:rFonts w:ascii="Courier New" w:hAnsi="Courier New"/>
        </w:rPr>
      </w:pPr>
      <w:r w:rsidRPr="00112FAA">
        <w:rPr>
          <w:rStyle w:val="FootnoteReference"/>
          <w:rFonts w:ascii="Courier New" w:hAnsi="Courier New" w:cs="Courier New"/>
        </w:rPr>
        <w:footnoteRef/>
      </w:r>
      <w:r w:rsidRPr="00112FAA">
        <w:rPr>
          <w:rFonts w:ascii="Courier New" w:hAnsi="Courier New" w:cs="Courier New"/>
        </w:rPr>
        <w:t xml:space="preserve"> Details on determining dependence/indepe</w:t>
      </w:r>
      <w:r w:rsidRPr="00771AFC">
        <w:rPr>
          <w:rFonts w:ascii="Courier New" w:hAnsi="Courier New"/>
        </w:rPr>
        <w:t xml:space="preserve">ndence </w:t>
      </w:r>
      <w:r w:rsidRPr="00AE1E9B">
        <w:rPr>
          <w:rFonts w:ascii="Courier New" w:hAnsi="Courier New"/>
        </w:rPr>
        <w:t xml:space="preserve">are </w:t>
      </w:r>
      <w:r w:rsidRPr="00771AFC">
        <w:rPr>
          <w:rFonts w:ascii="Courier New" w:hAnsi="Courier New"/>
        </w:rPr>
        <w:t>available at https://studentaid.ed.gov/fafsa/filling-out/dependency#dependent-or-independent</w:t>
      </w:r>
      <w:r w:rsidRPr="00AE1E9B">
        <w:rPr>
          <w:rFonts w:ascii="Courier New" w:hAnsi="Courier New"/>
        </w:rPr>
        <w:t>.</w:t>
      </w:r>
    </w:p>
  </w:footnote>
  <w:footnote w:id="322">
    <w:p w14:paraId="369E805B"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112FAA">
        <w:rPr>
          <w:rFonts w:ascii="Courier New" w:hAnsi="Courier New" w:cs="Courier New"/>
        </w:rPr>
        <w:t xml:space="preserve"> Goldrick-Rab</w:t>
      </w:r>
      <w:r>
        <w:rPr>
          <w:rFonts w:ascii="Courier New" w:hAnsi="Courier New" w:cs="Courier New"/>
        </w:rPr>
        <w:t>, S., and</w:t>
      </w:r>
      <w:r w:rsidRPr="00112FAA">
        <w:rPr>
          <w:rFonts w:ascii="Courier New" w:hAnsi="Courier New" w:cs="Courier New"/>
        </w:rPr>
        <w:t xml:space="preserve"> Sorensen,</w:t>
      </w:r>
      <w:r>
        <w:rPr>
          <w:rFonts w:ascii="Courier New" w:hAnsi="Courier New" w:cs="Courier New"/>
        </w:rPr>
        <w:t xml:space="preserve"> K. (2010, Fall).</w:t>
      </w:r>
      <w:r w:rsidRPr="00112FAA">
        <w:rPr>
          <w:rFonts w:ascii="Courier New" w:hAnsi="Courier New" w:cs="Courier New"/>
        </w:rPr>
        <w:t xml:space="preserve"> Unmarried Parents in College, Future of Children</w:t>
      </w:r>
      <w:r>
        <w:rPr>
          <w:rFonts w:ascii="Courier New" w:hAnsi="Courier New" w:cs="Courier New"/>
        </w:rPr>
        <w:t>,</w:t>
      </w:r>
      <w:r w:rsidRPr="00112FAA">
        <w:rPr>
          <w:rFonts w:ascii="Courier New" w:hAnsi="Courier New" w:cs="Courier New"/>
        </w:rPr>
        <w:t xml:space="preserve"> Journal Issue: Fragile Families </w:t>
      </w:r>
      <w:r>
        <w:rPr>
          <w:rFonts w:ascii="Courier New" w:hAnsi="Courier New" w:cs="Courier New"/>
        </w:rPr>
        <w:t>(</w:t>
      </w:r>
      <w:r w:rsidRPr="00112FAA">
        <w:rPr>
          <w:rFonts w:ascii="Courier New" w:hAnsi="Courier New" w:cs="Courier New"/>
        </w:rPr>
        <w:t>20</w:t>
      </w:r>
      <w:r>
        <w:rPr>
          <w:rFonts w:ascii="Courier New" w:hAnsi="Courier New" w:cs="Courier New"/>
        </w:rPr>
        <w:t>).</w:t>
      </w:r>
    </w:p>
  </w:footnote>
  <w:footnote w:id="323">
    <w:p w14:paraId="79AF0416" w14:textId="77777777" w:rsidR="00BF10A3" w:rsidRPr="00965C67" w:rsidRDefault="00BF10A3" w:rsidP="00BF10A3">
      <w:pPr>
        <w:rPr>
          <w:rFonts w:ascii="Courier New" w:hAnsi="Courier New"/>
          <w:sz w:val="20"/>
        </w:rPr>
      </w:pPr>
      <w:r w:rsidRPr="00965C67">
        <w:rPr>
          <w:rStyle w:val="FootnoteReference"/>
          <w:rFonts w:ascii="Courier New" w:hAnsi="Courier New"/>
          <w:sz w:val="20"/>
        </w:rPr>
        <w:footnoteRef/>
      </w:r>
      <w:r w:rsidRPr="00965C67">
        <w:rPr>
          <w:rFonts w:ascii="Courier New" w:hAnsi="Courier New"/>
          <w:sz w:val="20"/>
        </w:rPr>
        <w:t xml:space="preserve"> Average percent Asian was similar across passing, zone, and failing programs (all categories between four and five percent), average percent American Indian was also similar across the categories (roughly one percent in all categories)</w:t>
      </w:r>
    </w:p>
  </w:footnote>
  <w:footnote w:id="324">
    <w:p w14:paraId="4A3CC8D0" w14:textId="77777777" w:rsidR="00BF10A3" w:rsidRPr="00965C67" w:rsidRDefault="00BF10A3" w:rsidP="00BF10A3">
      <w:pPr>
        <w:pStyle w:val="FootnoteText"/>
        <w:rPr>
          <w:rFonts w:ascii="Courier New" w:hAnsi="Courier New"/>
        </w:rPr>
      </w:pPr>
      <w:r w:rsidRPr="00965C67">
        <w:rPr>
          <w:rStyle w:val="FootnoteReference"/>
          <w:rFonts w:ascii="Courier New" w:hAnsi="Courier New"/>
        </w:rPr>
        <w:footnoteRef/>
      </w:r>
      <w:r w:rsidRPr="00965C67">
        <w:rPr>
          <w:rFonts w:ascii="Courier New" w:hAnsi="Courier New"/>
        </w:rPr>
        <w:t xml:space="preserve"> For purposes of this analysis, nonresident aliens and race unknown categories were excluded in the denominator in the calculation of percentages</w:t>
      </w:r>
    </w:p>
  </w:footnote>
  <w:footnote w:id="325">
    <w:p w14:paraId="18F0A0F7" w14:textId="3A354CF1" w:rsidR="00BF10A3" w:rsidRPr="00965C67" w:rsidRDefault="00BF10A3" w:rsidP="00BF10A3">
      <w:pPr>
        <w:pStyle w:val="FootnoteText"/>
        <w:rPr>
          <w:rFonts w:ascii="Courier New" w:hAnsi="Courier New"/>
        </w:rPr>
      </w:pPr>
      <w:r w:rsidRPr="00965C67">
        <w:rPr>
          <w:rStyle w:val="FootnoteReference"/>
          <w:rFonts w:ascii="Courier New" w:hAnsi="Courier New"/>
        </w:rPr>
        <w:footnoteRef/>
      </w:r>
      <w:r w:rsidRPr="00965C67">
        <w:rPr>
          <w:rFonts w:ascii="Courier New" w:hAnsi="Courier New"/>
        </w:rPr>
        <w:t xml:space="preserve"> Detailed results are not provided here</w:t>
      </w:r>
      <w:r w:rsidR="00F43746">
        <w:rPr>
          <w:rFonts w:ascii="Courier New" w:hAnsi="Courier New"/>
        </w:rPr>
        <w:t>.</w:t>
      </w:r>
    </w:p>
  </w:footnote>
  <w:footnote w:id="326">
    <w:p w14:paraId="625BEF8E"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A small number of informational rate programs did not have FY 2010 enrollment data</w:t>
      </w:r>
      <w:r>
        <w:rPr>
          <w:rFonts w:ascii="Courier New" w:hAnsi="Courier New" w:cs="Courier New"/>
        </w:rPr>
        <w:t>.</w:t>
      </w:r>
    </w:p>
  </w:footnote>
  <w:footnote w:id="327">
    <w:p w14:paraId="7C0213E4"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This program count includes either GE programs that reported FY 2010 title IV enrollment and/or reported 2012 informational D/E rates (n&gt;10)and/or had Department</w:t>
      </w:r>
      <w:r>
        <w:rPr>
          <w:rFonts w:ascii="Courier New" w:hAnsi="Courier New" w:cs="Courier New"/>
        </w:rPr>
        <w:t>-</w:t>
      </w:r>
      <w:r w:rsidRPr="00112FAA">
        <w:rPr>
          <w:rFonts w:ascii="Courier New" w:hAnsi="Courier New" w:cs="Courier New"/>
        </w:rPr>
        <w:t>calculated 2012 informational pCDR rates</w:t>
      </w:r>
      <w:r>
        <w:rPr>
          <w:rFonts w:ascii="Courier New" w:hAnsi="Courier New" w:cs="Courier New"/>
        </w:rPr>
        <w:t>.</w:t>
      </w:r>
    </w:p>
  </w:footnote>
  <w:footnote w:id="328">
    <w:p w14:paraId="76C214F3" w14:textId="77777777" w:rsidR="00BF10A3" w:rsidRPr="00965C67" w:rsidRDefault="00BF10A3" w:rsidP="00BF10A3">
      <w:pPr>
        <w:pStyle w:val="FootnoteText"/>
        <w:rPr>
          <w:rFonts w:ascii="Courier New" w:hAnsi="Courier New"/>
        </w:rPr>
      </w:pPr>
      <w:r w:rsidRPr="00965C67">
        <w:rPr>
          <w:rStyle w:val="FootnoteReference"/>
          <w:rFonts w:ascii="Courier New" w:hAnsi="Courier New"/>
        </w:rPr>
        <w:footnoteRef/>
      </w:r>
      <w:r w:rsidRPr="00965C67">
        <w:rPr>
          <w:rFonts w:ascii="Courier New" w:hAnsi="Courier New"/>
        </w:rPr>
        <w:t xml:space="preserve"> Percentages not provided in  table</w:t>
      </w:r>
    </w:p>
  </w:footnote>
  <w:footnote w:id="329">
    <w:p w14:paraId="0EAAA98A"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w:t>
      </w:r>
      <w:r w:rsidRPr="00112FAA">
        <w:rPr>
          <w:rFonts w:ascii="Courier New" w:hAnsi="Courier New" w:cs="Courier New"/>
        </w:rPr>
        <w:t>Defined as a unique six-digit OPEID</w:t>
      </w:r>
      <w:r>
        <w:rPr>
          <w:rFonts w:ascii="Courier New" w:hAnsi="Courier New" w:cs="Courier New"/>
        </w:rPr>
        <w:t>.</w:t>
      </w:r>
    </w:p>
  </w:footnote>
  <w:footnote w:id="330">
    <w:p w14:paraId="4436BEF7" w14:textId="77777777" w:rsidR="00BF10A3" w:rsidRPr="009F1322" w:rsidRDefault="00BF10A3" w:rsidP="00BF10A3">
      <w:pPr>
        <w:pStyle w:val="FootnoteText"/>
        <w:rPr>
          <w:rFonts w:ascii="Courier New" w:hAnsi="Courier New"/>
        </w:rPr>
      </w:pPr>
      <w:r w:rsidRPr="00112FAA">
        <w:rPr>
          <w:rStyle w:val="FootnoteReference"/>
          <w:rFonts w:ascii="Courier New" w:hAnsi="Courier New" w:cs="Courier New"/>
        </w:rPr>
        <w:footnoteRef/>
      </w:r>
      <w:r w:rsidRPr="009F1322">
        <w:rPr>
          <w:rFonts w:ascii="Courier New" w:hAnsi="Courier New"/>
        </w:rPr>
        <w:t xml:space="preserve"> </w:t>
      </w:r>
      <w:r>
        <w:rPr>
          <w:rFonts w:ascii="Courier New" w:hAnsi="Courier New"/>
        </w:rPr>
        <w:t>D</w:t>
      </w:r>
      <w:r w:rsidRPr="009F1322">
        <w:rPr>
          <w:rFonts w:ascii="Courier New" w:hAnsi="Courier New"/>
        </w:rPr>
        <w:t>efined as a unique six-digit OPEID</w:t>
      </w:r>
      <w:r w:rsidRPr="00AE1E9B">
        <w:rPr>
          <w:rFonts w:ascii="Courier New" w:hAnsi="Courier New"/>
        </w:rPr>
        <w:t>.</w:t>
      </w:r>
    </w:p>
  </w:footnote>
  <w:footnote w:id="331">
    <w:p w14:paraId="0348ED8A" w14:textId="77777777" w:rsidR="00BF10A3" w:rsidRPr="00B53B21" w:rsidRDefault="00BF10A3" w:rsidP="00BF10A3">
      <w:pPr>
        <w:pStyle w:val="FootnoteText"/>
        <w:rPr>
          <w:rFonts w:ascii="Courier New" w:hAnsi="Courier New" w:cs="Courier New"/>
        </w:rPr>
      </w:pPr>
      <w:r w:rsidRPr="009F1322">
        <w:rPr>
          <w:rStyle w:val="FootnoteReference"/>
          <w:rFonts w:ascii="Courier New" w:hAnsi="Courier New"/>
        </w:rPr>
        <w:footnoteRef/>
      </w:r>
      <w:r w:rsidRPr="009F1322">
        <w:rPr>
          <w:rFonts w:ascii="Courier New" w:hAnsi="Courier New"/>
        </w:rPr>
        <w:t xml:space="preserve"> </w:t>
      </w:r>
      <w:r>
        <w:rPr>
          <w:rFonts w:ascii="Courier New" w:hAnsi="Courier New"/>
        </w:rPr>
        <w:t>D</w:t>
      </w:r>
      <w:r w:rsidRPr="009F1322">
        <w:rPr>
          <w:rFonts w:ascii="Courier New" w:hAnsi="Courier New"/>
        </w:rPr>
        <w:t>efined as a unique six-digit OPEID</w:t>
      </w:r>
      <w:r w:rsidRPr="00AE1E9B">
        <w:rPr>
          <w:rFonts w:ascii="Courier New" w:hAnsi="Courier New"/>
        </w:rPr>
        <w:t>.</w:t>
      </w:r>
    </w:p>
  </w:footnote>
  <w:footnote w:id="332">
    <w:p w14:paraId="1FCD7883" w14:textId="77777777" w:rsidR="00BF10A3" w:rsidRDefault="00BF10A3" w:rsidP="00BF10A3">
      <w:pPr>
        <w:pStyle w:val="FootnoteText"/>
      </w:pPr>
      <w:r w:rsidRPr="00F43746">
        <w:rPr>
          <w:rStyle w:val="FootnoteReference"/>
        </w:rPr>
        <w:footnoteRef/>
      </w:r>
      <w:r w:rsidRPr="00F43746">
        <w:t xml:space="preserve"> </w:t>
      </w:r>
      <w:r w:rsidRPr="00F43746">
        <w:rPr>
          <w:rFonts w:ascii="Courier New" w:hAnsi="Courier New"/>
        </w:rPr>
        <w:t>Jonathan Guryan and Matthew Thompson, Charles River Associates, Report on the Proposed Gainful Employment Regulation, 76-85.</w:t>
      </w:r>
    </w:p>
  </w:footnote>
  <w:footnote w:id="333">
    <w:p w14:paraId="289507F8" w14:textId="77777777" w:rsidR="00BF10A3" w:rsidRPr="00CE1553" w:rsidRDefault="00BF10A3" w:rsidP="00BF10A3">
      <w:pPr>
        <w:pStyle w:val="FootnoteText"/>
        <w:rPr>
          <w:rFonts w:ascii="Courier New" w:hAnsi="Courier New"/>
        </w:rPr>
      </w:pPr>
      <w:r w:rsidRPr="00112FAA">
        <w:rPr>
          <w:rStyle w:val="FootnoteReference"/>
          <w:rFonts w:ascii="Courier New" w:hAnsi="Courier New" w:cs="Courier New"/>
        </w:rPr>
        <w:footnoteRef/>
      </w:r>
      <w:r w:rsidRPr="00CE1553">
        <w:rPr>
          <w:rFonts w:ascii="Courier New" w:hAnsi="Courier New"/>
        </w:rPr>
        <w:t xml:space="preserve"> Jonathan Guryan and Matthew Thompson, Charles River Associates,</w:t>
      </w:r>
      <w:r>
        <w:rPr>
          <w:rFonts w:ascii="Courier New" w:hAnsi="Courier New"/>
        </w:rPr>
        <w:t xml:space="preserve"> Report on the Proposed Gainful Employment Regulation</w:t>
      </w:r>
      <w:r w:rsidRPr="00AE1E9B">
        <w:rPr>
          <w:rFonts w:ascii="Courier New" w:hAnsi="Courier New"/>
        </w:rPr>
        <w:t>,</w:t>
      </w:r>
      <w:r w:rsidRPr="00CE1553">
        <w:rPr>
          <w:rFonts w:ascii="Courier New" w:hAnsi="Courier New"/>
        </w:rPr>
        <w:t xml:space="preserve"> 67-69</w:t>
      </w:r>
      <w:r>
        <w:rPr>
          <w:rFonts w:ascii="Courier New" w:hAnsi="Courier New"/>
        </w:rPr>
        <w:t>.</w:t>
      </w:r>
    </w:p>
  </w:footnote>
  <w:footnote w:id="334">
    <w:p w14:paraId="785F7F6B" w14:textId="77777777" w:rsidR="00BF10A3" w:rsidRPr="00B53B21" w:rsidRDefault="00BF10A3" w:rsidP="00BF10A3">
      <w:pPr>
        <w:pStyle w:val="NormalWeb"/>
        <w:spacing w:before="0" w:beforeAutospacing="0" w:after="0" w:afterAutospacing="0"/>
        <w:rPr>
          <w:rFonts w:ascii="Courier New" w:hAnsi="Courier New" w:cs="Courier New"/>
          <w:sz w:val="20"/>
        </w:rPr>
      </w:pPr>
      <w:r w:rsidRPr="00CE1553">
        <w:rPr>
          <w:rStyle w:val="FootnoteReference"/>
          <w:rFonts w:ascii="Courier New" w:hAnsi="Courier New"/>
          <w:sz w:val="20"/>
        </w:rPr>
        <w:footnoteRef/>
      </w:r>
      <w:r w:rsidRPr="00CE1553">
        <w:rPr>
          <w:rFonts w:ascii="Courier New" w:hAnsi="Courier New"/>
          <w:sz w:val="20"/>
        </w:rPr>
        <w:t xml:space="preserve"> U.S. Department of Education, Digest of Education Statistics 2013, Table 303.20</w:t>
      </w:r>
      <w:r w:rsidRPr="00AE1E9B">
        <w:rPr>
          <w:rFonts w:ascii="Courier New" w:hAnsi="Courier New"/>
          <w:sz w:val="20"/>
        </w:rPr>
        <w:t>,</w:t>
      </w:r>
      <w:r w:rsidRPr="00CE1553">
        <w:rPr>
          <w:rFonts w:ascii="Courier New" w:hAnsi="Courier New"/>
          <w:sz w:val="20"/>
        </w:rPr>
        <w:t xml:space="preserve"> “Total fall enrollment in all postsecondary institutions participating in Title IV programs and annual percentage change</w:t>
      </w:r>
      <w:r w:rsidRPr="00AE1E9B">
        <w:rPr>
          <w:rFonts w:ascii="Courier New" w:hAnsi="Courier New"/>
          <w:sz w:val="20"/>
        </w:rPr>
        <w:t>,”</w:t>
      </w:r>
      <w:r w:rsidRPr="00CE1553">
        <w:rPr>
          <w:rFonts w:ascii="Courier New" w:hAnsi="Courier New"/>
          <w:sz w:val="20"/>
        </w:rPr>
        <w:t xml:space="preserve"> available at </w:t>
      </w:r>
      <w:hyperlink r:id="rId39" w:history="1">
        <w:r w:rsidRPr="001D4BE0">
          <w:rPr>
            <w:rStyle w:val="Hyperlink"/>
            <w:rFonts w:ascii="Courier New" w:eastAsia="Calibri" w:hAnsi="Courier New"/>
          </w:rPr>
          <w:t>http://nces.ed.gov/programs/digest/d13/tables/dt13_303.20.asp</w:t>
        </w:r>
      </w:hyperlink>
      <w:r w:rsidRPr="00AE1E9B">
        <w:rPr>
          <w:rFonts w:ascii="Courier New" w:hAnsi="Courier New"/>
          <w:sz w:val="20"/>
        </w:rPr>
        <w:t>;</w:t>
      </w:r>
      <w:r>
        <w:rPr>
          <w:rFonts w:ascii="Courier New" w:hAnsi="Courier New"/>
          <w:sz w:val="20"/>
        </w:rPr>
        <w:t xml:space="preserve"> </w:t>
      </w:r>
      <w:r w:rsidRPr="00410A3E">
        <w:rPr>
          <w:rFonts w:ascii="Courier New" w:hAnsi="Courier New"/>
          <w:sz w:val="20"/>
        </w:rPr>
        <w:t>Data from IPEDS, “Fall Enrollment Survey” (IPEDS-EF:95-99); and IPEDS Spring 2001 through Spring 2013, Enrollment component (prepared October 2013)</w:t>
      </w:r>
      <w:r w:rsidRPr="00AE1E9B">
        <w:rPr>
          <w:rFonts w:ascii="Courier New" w:hAnsi="Courier New"/>
          <w:sz w:val="20"/>
        </w:rPr>
        <w:t>.</w:t>
      </w:r>
      <w:r w:rsidRPr="00303816">
        <w:rPr>
          <w:rFonts w:ascii="Courier New" w:hAnsi="Courier New"/>
          <w:sz w:val="20"/>
        </w:rPr>
        <w:t xml:space="preserve"> </w:t>
      </w:r>
      <w:r w:rsidRPr="00771AFC">
        <w:rPr>
          <w:rFonts w:ascii="Courier New" w:hAnsi="Courier New"/>
          <w:sz w:val="20"/>
        </w:rPr>
        <w:t xml:space="preserve"> </w:t>
      </w:r>
    </w:p>
  </w:footnote>
  <w:footnote w:id="335">
    <w:p w14:paraId="02A83345" w14:textId="77777777" w:rsidR="00BF10A3" w:rsidRPr="00B53B21" w:rsidRDefault="00BF10A3" w:rsidP="00BF10A3">
      <w:pPr>
        <w:pStyle w:val="FootnoteText"/>
        <w:rPr>
          <w:rFonts w:ascii="Courier New" w:hAnsi="Courier New" w:cs="Courier New"/>
        </w:rPr>
      </w:pPr>
      <w:r w:rsidRPr="00112FAA">
        <w:rPr>
          <w:rStyle w:val="FootnoteReference"/>
          <w:rFonts w:ascii="Courier New" w:hAnsi="Courier New" w:cs="Courier New"/>
        </w:rPr>
        <w:footnoteRef/>
      </w:r>
      <w:r w:rsidRPr="00771AFC">
        <w:rPr>
          <w:rFonts w:ascii="Courier New" w:hAnsi="Courier New"/>
        </w:rPr>
        <w:t xml:space="preserve"> </w:t>
      </w:r>
      <w:r w:rsidRPr="00F43746">
        <w:rPr>
          <w:rFonts w:ascii="Courier New" w:hAnsi="Courier New"/>
          <w:u w:val="single"/>
        </w:rPr>
        <w:t>Id</w:t>
      </w:r>
      <w:r w:rsidRPr="00771AFC">
        <w:rPr>
          <w:rFonts w:ascii="Courier New" w:hAnsi="Courier New"/>
        </w:rPr>
        <w:t>.</w:t>
      </w:r>
    </w:p>
  </w:footnote>
  <w:footnote w:id="336">
    <w:p w14:paraId="09C39A3D" w14:textId="77777777" w:rsidR="00BF10A3" w:rsidRPr="00B53B21" w:rsidRDefault="00BF10A3" w:rsidP="00BF10A3">
      <w:pPr>
        <w:pStyle w:val="FootnoteText"/>
        <w:rPr>
          <w:rFonts w:ascii="Courier New" w:hAnsi="Courier New" w:cs="Courier New"/>
        </w:rPr>
      </w:pPr>
      <w:r w:rsidRPr="00B53B21">
        <w:rPr>
          <w:rStyle w:val="FootnoteReference"/>
          <w:rFonts w:ascii="Courier New" w:hAnsi="Courier New" w:cs="Courier New"/>
        </w:rPr>
        <w:footnoteRef/>
      </w:r>
      <w:r w:rsidRPr="00B53B21">
        <w:rPr>
          <w:rFonts w:ascii="Courier New" w:hAnsi="Courier New" w:cs="Courier New"/>
        </w:rPr>
        <w:t xml:space="preserve"> Office of Management and Budget, Circular A4: Regulatory Analysis (September 2003)</w:t>
      </w:r>
      <w:r>
        <w:rPr>
          <w:rFonts w:ascii="Courier New" w:hAnsi="Courier New" w:cs="Courier New"/>
        </w:rPr>
        <w:t>,</w:t>
      </w:r>
      <w:r w:rsidRPr="00B53B21">
        <w:rPr>
          <w:rFonts w:ascii="Courier New" w:hAnsi="Courier New" w:cs="Courier New"/>
        </w:rPr>
        <w:t xml:space="preserve"> available at www.whitehouse.gov/sites/default/files/omb/assets/omb/circulars/a004/a-4.pdf</w:t>
      </w:r>
      <w:r>
        <w:rPr>
          <w:rFonts w:ascii="Courier New" w:hAnsi="Courier New" w:cs="Courier New"/>
        </w:rPr>
        <w:t>.</w:t>
      </w:r>
    </w:p>
  </w:footnote>
  <w:footnote w:id="337">
    <w:p w14:paraId="3000C42B" w14:textId="77777777" w:rsidR="00BF10A3" w:rsidRPr="00CE1553" w:rsidRDefault="00BF10A3" w:rsidP="00BF10A3">
      <w:pPr>
        <w:pStyle w:val="FootnoteText"/>
        <w:rPr>
          <w:rFonts w:ascii="Courier New" w:hAnsi="Courier New"/>
        </w:rPr>
      </w:pPr>
      <w:r w:rsidRPr="00CE1553">
        <w:rPr>
          <w:rStyle w:val="FootnoteReference"/>
          <w:rFonts w:ascii="Courier New" w:hAnsi="Courier New"/>
        </w:rPr>
        <w:footnoteRef/>
      </w:r>
      <w:r w:rsidRPr="00CE1553">
        <w:rPr>
          <w:rFonts w:ascii="Courier New" w:hAnsi="Courier New"/>
        </w:rPr>
        <w:t xml:space="preserve"> Charles River Associates (2011)</w:t>
      </w:r>
    </w:p>
  </w:footnote>
  <w:footnote w:id="338">
    <w:p w14:paraId="28728453" w14:textId="77777777" w:rsidR="00BF10A3" w:rsidRPr="00B53B21" w:rsidRDefault="00BF10A3" w:rsidP="00BF10A3">
      <w:pPr>
        <w:pStyle w:val="FootnoteText"/>
        <w:rPr>
          <w:rFonts w:ascii="Courier New" w:hAnsi="Courier New" w:cs="Courier New"/>
        </w:rPr>
      </w:pPr>
      <w:r w:rsidRPr="00CE1553">
        <w:rPr>
          <w:rStyle w:val="FootnoteReference"/>
          <w:rFonts w:ascii="Courier New" w:hAnsi="Courier New"/>
        </w:rPr>
        <w:footnoteRef/>
      </w:r>
      <w:r w:rsidRPr="00CE1553">
        <w:rPr>
          <w:rFonts w:ascii="Courier New" w:hAnsi="Courier New"/>
        </w:rPr>
        <w:t xml:space="preserve"> Bradford Cornell &amp; Simon M. Cheng, Charles River Assoc. for the Coalition for Educ. Success, </w:t>
      </w:r>
      <w:r w:rsidRPr="00CE1553">
        <w:rPr>
          <w:rFonts w:ascii="Courier New" w:hAnsi="Courier New"/>
          <w:i/>
        </w:rPr>
        <w:t>An Analysis of Taxpayer Funding Provided for Post-Secondary Education: For-profit and Not-for-profit Institutions</w:t>
      </w:r>
      <w:r w:rsidRPr="00CE1553">
        <w:rPr>
          <w:rFonts w:ascii="Courier New" w:hAnsi="Courier New"/>
        </w:rPr>
        <w:t xml:space="preserve"> 2 (Sept. 8, 2010) 16</w:t>
      </w:r>
    </w:p>
  </w:footnote>
  <w:footnote w:id="339">
    <w:p w14:paraId="4C4B1F28" w14:textId="77777777" w:rsidR="00BF10A3" w:rsidRPr="00F43746" w:rsidRDefault="00BF10A3" w:rsidP="00BF10A3">
      <w:pPr>
        <w:pStyle w:val="FootnoteText"/>
        <w:rPr>
          <w:rFonts w:ascii="Courier New" w:hAnsi="Courier New" w:cs="Courier New"/>
        </w:rPr>
      </w:pPr>
      <w:r w:rsidRPr="00F43746">
        <w:rPr>
          <w:rStyle w:val="FootnoteReference"/>
          <w:rFonts w:ascii="Courier New" w:hAnsi="Courier New" w:cs="Courier New"/>
        </w:rPr>
        <w:footnoteRef/>
      </w:r>
      <w:r w:rsidRPr="00F43746">
        <w:rPr>
          <w:rFonts w:ascii="Courier New" w:hAnsi="Courier New" w:cs="Courier New"/>
        </w:rPr>
        <w:t xml:space="preserve"> Shapiro &amp; Pham, </w:t>
      </w:r>
      <w:r w:rsidRPr="00F43746">
        <w:rPr>
          <w:rFonts w:ascii="Courier New" w:hAnsi="Courier New" w:cs="Courier New"/>
          <w:i/>
        </w:rPr>
        <w:t>The Public Costs of Higher Education: A Comparison of Public, Private Not-For-Profit, and Private For-Profit Institutions</w:t>
      </w:r>
      <w:r w:rsidRPr="00F43746">
        <w:rPr>
          <w:rFonts w:ascii="Courier New" w:hAnsi="Courier New" w:cs="Courier New"/>
        </w:rPr>
        <w:t>, (Sonoco 2010) 5.</w:t>
      </w:r>
    </w:p>
  </w:footnote>
  <w:footnote w:id="340">
    <w:p w14:paraId="78F73029" w14:textId="77777777" w:rsidR="00BF10A3" w:rsidRPr="00F43746" w:rsidRDefault="00BF10A3" w:rsidP="00BF10A3">
      <w:pPr>
        <w:pStyle w:val="FootnoteText"/>
        <w:rPr>
          <w:rFonts w:ascii="Courier New" w:hAnsi="Courier New" w:cs="Courier New"/>
        </w:rPr>
      </w:pPr>
      <w:r w:rsidRPr="00F43746">
        <w:rPr>
          <w:rStyle w:val="FootnoteReference"/>
          <w:rFonts w:ascii="Courier New" w:hAnsi="Courier New" w:cs="Courier New"/>
        </w:rPr>
        <w:footnoteRef/>
      </w:r>
      <w:r w:rsidRPr="00F43746">
        <w:rPr>
          <w:rFonts w:ascii="Courier New" w:hAnsi="Courier New" w:cs="Courier New"/>
        </w:rPr>
        <w:t xml:space="preserve"> Klor de Alva, Nexus, </w:t>
      </w:r>
      <w:r w:rsidRPr="00F43746">
        <w:rPr>
          <w:rFonts w:ascii="Courier New" w:hAnsi="Courier New" w:cs="Courier New"/>
          <w:i/>
        </w:rPr>
        <w:t>For</w:t>
      </w:r>
      <w:r w:rsidRPr="00F43746">
        <w:rPr>
          <w:rFonts w:ascii="Cambria Math" w:hAnsi="Cambria Math" w:cs="Cambria Math"/>
          <w:i/>
        </w:rPr>
        <w:t>‐</w:t>
      </w:r>
      <w:r w:rsidRPr="00F43746">
        <w:rPr>
          <w:rFonts w:ascii="Courier New" w:hAnsi="Courier New" w:cs="Courier New"/>
          <w:i/>
        </w:rPr>
        <w:t>Profit Colleges and Universities: America’s Least Costly and Most Efficient System of Higher Education</w:t>
      </w:r>
      <w:r w:rsidRPr="00F43746">
        <w:rPr>
          <w:rFonts w:ascii="Courier New" w:hAnsi="Courier New" w:cs="Courier New"/>
        </w:rPr>
        <w:t>, August 2010.</w:t>
      </w:r>
    </w:p>
  </w:footnote>
  <w:footnote w:id="341">
    <w:p w14:paraId="3DFF8955" w14:textId="77777777" w:rsidR="00BF10A3" w:rsidRPr="00CE1553" w:rsidRDefault="00BF10A3" w:rsidP="00BF10A3">
      <w:pPr>
        <w:pStyle w:val="FootnoteText"/>
        <w:rPr>
          <w:rFonts w:ascii="Courier New" w:hAnsi="Courier New"/>
        </w:rPr>
      </w:pPr>
      <w:r w:rsidRPr="00F43746">
        <w:rPr>
          <w:rStyle w:val="FootnoteReference"/>
          <w:rFonts w:ascii="Courier New" w:hAnsi="Courier New"/>
        </w:rPr>
        <w:footnoteRef/>
      </w:r>
      <w:r w:rsidRPr="00F43746">
        <w:rPr>
          <w:rFonts w:ascii="Courier New" w:hAnsi="Courier New"/>
        </w:rPr>
        <w:t xml:space="preserve"> U.S. Department of Education, Digest of Education Statistics 2013,</w:t>
      </w:r>
      <w:r w:rsidRPr="00CE1553">
        <w:rPr>
          <w:rFonts w:ascii="Courier New" w:hAnsi="Courier New"/>
        </w:rPr>
        <w:t xml:space="preserve"> Table 333.10  and Table 333.55</w:t>
      </w:r>
    </w:p>
  </w:footnote>
  <w:footnote w:id="342">
    <w:p w14:paraId="0F446610" w14:textId="77777777" w:rsidR="00BF10A3" w:rsidRPr="00B53B21" w:rsidRDefault="00BF10A3" w:rsidP="00BF10A3">
      <w:pPr>
        <w:pStyle w:val="FootnoteText"/>
        <w:rPr>
          <w:rFonts w:ascii="Courier New" w:hAnsi="Courier New" w:cs="Courier New"/>
        </w:rPr>
      </w:pPr>
      <w:r w:rsidRPr="00CE1553">
        <w:rPr>
          <w:rStyle w:val="FootnoteReference"/>
          <w:rFonts w:ascii="Courier New" w:hAnsi="Courier New"/>
        </w:rPr>
        <w:footnoteRef/>
      </w:r>
      <w:r w:rsidRPr="00CE1553">
        <w:rPr>
          <w:rFonts w:ascii="Courier New" w:hAnsi="Courier New"/>
        </w:rPr>
        <w:t xml:space="preserve"> Jorge Klor de Alva &amp; Mark Schneider, Do Proprietary Institutions of Higher Education Generate Savings for States?  The Case of California, New York, Ohio and Texas available at http://nexusresearch.org/reports/StateSaving/How%20Much%20Does%20Prop%20Ed%20Save%20States%20v9.pdf</w:t>
      </w:r>
    </w:p>
  </w:footnote>
  <w:footnote w:id="343">
    <w:p w14:paraId="4E0C21AB" w14:textId="77777777" w:rsidR="00BF10A3" w:rsidRPr="00B53B21" w:rsidRDefault="00BF10A3" w:rsidP="00BF10A3">
      <w:pPr>
        <w:pStyle w:val="FootnoteText"/>
        <w:rPr>
          <w:rFonts w:ascii="Courier New" w:hAnsi="Courier New" w:cs="Courier New"/>
        </w:rPr>
      </w:pPr>
      <w:r w:rsidRPr="00931516">
        <w:rPr>
          <w:rStyle w:val="FootnoteReference"/>
          <w:rFonts w:ascii="Courier New" w:hAnsi="Courier New"/>
        </w:rPr>
        <w:footnoteRef/>
      </w:r>
      <w:r>
        <w:rPr>
          <w:rFonts w:ascii="Courier New" w:hAnsi="Courier New"/>
        </w:rPr>
        <w:t xml:space="preserve"> Projected interest rates from Budget Service used in calculations requiring interest rates for future award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A75"/>
    <w:multiLevelType w:val="hybridMultilevel"/>
    <w:tmpl w:val="AE2C4B62"/>
    <w:lvl w:ilvl="0" w:tplc="F4B43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45EB3"/>
    <w:multiLevelType w:val="hybridMultilevel"/>
    <w:tmpl w:val="6CDCA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7113B84"/>
    <w:multiLevelType w:val="hybridMultilevel"/>
    <w:tmpl w:val="6BB43F8A"/>
    <w:lvl w:ilvl="0" w:tplc="10E4533A">
      <w:start w:val="1"/>
      <w:numFmt w:val="upperLetter"/>
      <w:lvlText w:val="(%1)"/>
      <w:lvlJc w:val="left"/>
      <w:pPr>
        <w:ind w:left="2175" w:hanging="145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7587032"/>
    <w:multiLevelType w:val="hybridMultilevel"/>
    <w:tmpl w:val="D898C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74238"/>
    <w:multiLevelType w:val="hybridMultilevel"/>
    <w:tmpl w:val="5E542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9B65B7"/>
    <w:multiLevelType w:val="hybridMultilevel"/>
    <w:tmpl w:val="D9AE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F3CA8"/>
    <w:multiLevelType w:val="hybridMultilevel"/>
    <w:tmpl w:val="07720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82947"/>
    <w:multiLevelType w:val="hybridMultilevel"/>
    <w:tmpl w:val="E312B03A"/>
    <w:lvl w:ilvl="0" w:tplc="846A7B20">
      <w:start w:val="3"/>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259D3"/>
    <w:multiLevelType w:val="hybridMultilevel"/>
    <w:tmpl w:val="95405102"/>
    <w:lvl w:ilvl="0" w:tplc="48E62570">
      <w:numFmt w:val="bullet"/>
      <w:lvlText w:val=""/>
      <w:lvlJc w:val="left"/>
      <w:pPr>
        <w:ind w:left="720" w:hanging="360"/>
      </w:pPr>
      <w:rPr>
        <w:rFonts w:ascii="Symbol" w:eastAsia="MS Mincho" w:hAnsi="Symbol"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2112B"/>
    <w:multiLevelType w:val="hybridMultilevel"/>
    <w:tmpl w:val="B2B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A1719"/>
    <w:multiLevelType w:val="hybridMultilevel"/>
    <w:tmpl w:val="FD4E31E0"/>
    <w:lvl w:ilvl="0" w:tplc="AC280982">
      <w:start w:val="1"/>
      <w:numFmt w:val="decimal"/>
      <w:lvlText w:val="(%1)"/>
      <w:lvlJc w:val="left"/>
      <w:pPr>
        <w:ind w:left="1095" w:hanging="73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6E2731"/>
    <w:multiLevelType w:val="hybridMultilevel"/>
    <w:tmpl w:val="7448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C1AF7"/>
    <w:multiLevelType w:val="hybridMultilevel"/>
    <w:tmpl w:val="9488C284"/>
    <w:lvl w:ilvl="0" w:tplc="84C868B0">
      <w:start w:val="12"/>
      <w:numFmt w:val="decimal"/>
      <w:lvlText w:val="%1."/>
      <w:lvlJc w:val="left"/>
      <w:pPr>
        <w:tabs>
          <w:tab w:val="num" w:pos="1455"/>
        </w:tabs>
        <w:ind w:left="1455" w:hanging="7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7BF7F19"/>
    <w:multiLevelType w:val="hybridMultilevel"/>
    <w:tmpl w:val="608C70C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nsid w:val="2C1F5236"/>
    <w:multiLevelType w:val="hybridMultilevel"/>
    <w:tmpl w:val="043EF658"/>
    <w:lvl w:ilvl="0" w:tplc="2828D38A">
      <w:start w:val="2"/>
      <w:numFmt w:val="bullet"/>
      <w:lvlText w:val=""/>
      <w:lvlJc w:val="left"/>
      <w:pPr>
        <w:ind w:left="1080" w:hanging="360"/>
      </w:pPr>
      <w:rPr>
        <w:rFonts w:ascii="Symbol" w:eastAsia="MS Mincho"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43136B"/>
    <w:multiLevelType w:val="hybridMultilevel"/>
    <w:tmpl w:val="FE92B1C8"/>
    <w:lvl w:ilvl="0" w:tplc="BEB000C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D429D8"/>
    <w:multiLevelType w:val="hybridMultilevel"/>
    <w:tmpl w:val="F202C96A"/>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17">
    <w:nsid w:val="2EF224E8"/>
    <w:multiLevelType w:val="hybridMultilevel"/>
    <w:tmpl w:val="1DC2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302B1A0A"/>
    <w:multiLevelType w:val="hybridMultilevel"/>
    <w:tmpl w:val="72E67C9C"/>
    <w:lvl w:ilvl="0" w:tplc="48E62570">
      <w:numFmt w:val="bullet"/>
      <w:lvlText w:val=""/>
      <w:lvlJc w:val="left"/>
      <w:pPr>
        <w:ind w:left="720" w:hanging="360"/>
      </w:pPr>
      <w:rPr>
        <w:rFonts w:ascii="Symbol" w:eastAsia="MS Mincho" w:hAnsi="Symbol"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E03A5"/>
    <w:multiLevelType w:val="hybridMultilevel"/>
    <w:tmpl w:val="1A720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95A2A"/>
    <w:multiLevelType w:val="hybridMultilevel"/>
    <w:tmpl w:val="6A129BB4"/>
    <w:lvl w:ilvl="0" w:tplc="81401232">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nsid w:val="3E5F0DC1"/>
    <w:multiLevelType w:val="hybridMultilevel"/>
    <w:tmpl w:val="FD868434"/>
    <w:lvl w:ilvl="0" w:tplc="48E62570">
      <w:numFmt w:val="bullet"/>
      <w:lvlText w:val=""/>
      <w:lvlJc w:val="left"/>
      <w:pPr>
        <w:ind w:left="720" w:hanging="360"/>
      </w:pPr>
      <w:rPr>
        <w:rFonts w:ascii="Symbol" w:eastAsia="MS Mincho" w:hAnsi="Symbol"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12C67"/>
    <w:multiLevelType w:val="hybridMultilevel"/>
    <w:tmpl w:val="51F8FB2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3F2A7A76"/>
    <w:multiLevelType w:val="hybridMultilevel"/>
    <w:tmpl w:val="A19C7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F3803"/>
    <w:multiLevelType w:val="multilevel"/>
    <w:tmpl w:val="062A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32E91"/>
    <w:multiLevelType w:val="hybridMultilevel"/>
    <w:tmpl w:val="36E43DB0"/>
    <w:lvl w:ilvl="0" w:tplc="98906CE0">
      <w:start w:val="2"/>
      <w:numFmt w:val="bullet"/>
      <w:lvlText w:val=""/>
      <w:lvlJc w:val="left"/>
      <w:pPr>
        <w:ind w:left="720" w:hanging="360"/>
      </w:pPr>
      <w:rPr>
        <w:rFonts w:ascii="Symbol" w:eastAsia="MS Mincho"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8C539F"/>
    <w:multiLevelType w:val="multilevel"/>
    <w:tmpl w:val="778EF6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51600E62"/>
    <w:multiLevelType w:val="hybridMultilevel"/>
    <w:tmpl w:val="FC08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ED59A8"/>
    <w:multiLevelType w:val="hybridMultilevel"/>
    <w:tmpl w:val="870AEE5C"/>
    <w:lvl w:ilvl="0" w:tplc="56B00B3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EC7E75"/>
    <w:multiLevelType w:val="hybridMultilevel"/>
    <w:tmpl w:val="5484A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597533"/>
    <w:multiLevelType w:val="hybridMultilevel"/>
    <w:tmpl w:val="F6FCE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98B68E1"/>
    <w:multiLevelType w:val="hybridMultilevel"/>
    <w:tmpl w:val="73AE588E"/>
    <w:lvl w:ilvl="0" w:tplc="A67454B8">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A1C36F9"/>
    <w:multiLevelType w:val="hybridMultilevel"/>
    <w:tmpl w:val="29D2B2FA"/>
    <w:lvl w:ilvl="0" w:tplc="4686F27C">
      <w:start w:val="3"/>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B043B"/>
    <w:multiLevelType w:val="hybridMultilevel"/>
    <w:tmpl w:val="FA2AB36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4">
    <w:nsid w:val="5EE670F5"/>
    <w:multiLevelType w:val="hybridMultilevel"/>
    <w:tmpl w:val="67DCD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032FD0"/>
    <w:multiLevelType w:val="hybridMultilevel"/>
    <w:tmpl w:val="E2822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012166"/>
    <w:multiLevelType w:val="hybridMultilevel"/>
    <w:tmpl w:val="BBF88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14D1416"/>
    <w:multiLevelType w:val="hybridMultilevel"/>
    <w:tmpl w:val="AA26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756273"/>
    <w:multiLevelType w:val="hybridMultilevel"/>
    <w:tmpl w:val="E3FE2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3434166"/>
    <w:multiLevelType w:val="hybridMultilevel"/>
    <w:tmpl w:val="5E7047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69482EA4"/>
    <w:multiLevelType w:val="hybridMultilevel"/>
    <w:tmpl w:val="2E1C4BAC"/>
    <w:lvl w:ilvl="0" w:tplc="7F64991C">
      <w:start w:val="3"/>
      <w:numFmt w:val="bullet"/>
      <w:lvlText w:val=""/>
      <w:lvlJc w:val="left"/>
      <w:pPr>
        <w:ind w:left="720" w:hanging="360"/>
      </w:pPr>
      <w:rPr>
        <w:rFonts w:ascii="Wingdings" w:eastAsia="MS Mincho"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B4F07"/>
    <w:multiLevelType w:val="multilevel"/>
    <w:tmpl w:val="25D257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B590A7F"/>
    <w:multiLevelType w:val="hybridMultilevel"/>
    <w:tmpl w:val="998E6A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CDA43E7"/>
    <w:multiLevelType w:val="hybridMultilevel"/>
    <w:tmpl w:val="8206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B609E1"/>
    <w:multiLevelType w:val="hybridMultilevel"/>
    <w:tmpl w:val="35E85FC4"/>
    <w:lvl w:ilvl="0" w:tplc="48E62570">
      <w:numFmt w:val="bullet"/>
      <w:lvlText w:val=""/>
      <w:lvlJc w:val="left"/>
      <w:pPr>
        <w:ind w:left="720" w:hanging="360"/>
      </w:pPr>
      <w:rPr>
        <w:rFonts w:ascii="Symbol" w:eastAsia="MS Mincho" w:hAnsi="Symbol"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8D2234"/>
    <w:multiLevelType w:val="hybridMultilevel"/>
    <w:tmpl w:val="C5FC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20"/>
  </w:num>
  <w:num w:numId="4">
    <w:abstractNumId w:val="12"/>
  </w:num>
  <w:num w:numId="5">
    <w:abstractNumId w:val="36"/>
  </w:num>
  <w:num w:numId="6">
    <w:abstractNumId w:val="35"/>
  </w:num>
  <w:num w:numId="7">
    <w:abstractNumId w:val="11"/>
  </w:num>
  <w:num w:numId="8">
    <w:abstractNumId w:val="8"/>
  </w:num>
  <w:num w:numId="9">
    <w:abstractNumId w:val="21"/>
  </w:num>
  <w:num w:numId="10">
    <w:abstractNumId w:val="18"/>
  </w:num>
  <w:num w:numId="11">
    <w:abstractNumId w:val="44"/>
  </w:num>
  <w:num w:numId="12">
    <w:abstractNumId w:val="39"/>
  </w:num>
  <w:num w:numId="13">
    <w:abstractNumId w:val="23"/>
  </w:num>
  <w:num w:numId="14">
    <w:abstractNumId w:val="13"/>
  </w:num>
  <w:num w:numId="15">
    <w:abstractNumId w:val="5"/>
  </w:num>
  <w:num w:numId="16">
    <w:abstractNumId w:val="6"/>
  </w:num>
  <w:num w:numId="17">
    <w:abstractNumId w:val="24"/>
  </w:num>
  <w:num w:numId="18">
    <w:abstractNumId w:val="41"/>
  </w:num>
  <w:num w:numId="19">
    <w:abstractNumId w:val="33"/>
  </w:num>
  <w:num w:numId="20">
    <w:abstractNumId w:val="0"/>
  </w:num>
  <w:num w:numId="21">
    <w:abstractNumId w:val="42"/>
  </w:num>
  <w:num w:numId="22">
    <w:abstractNumId w:val="26"/>
  </w:num>
  <w:num w:numId="23">
    <w:abstractNumId w:val="37"/>
  </w:num>
  <w:num w:numId="24">
    <w:abstractNumId w:val="37"/>
  </w:num>
  <w:num w:numId="25">
    <w:abstractNumId w:val="45"/>
  </w:num>
  <w:num w:numId="26">
    <w:abstractNumId w:val="1"/>
  </w:num>
  <w:num w:numId="27">
    <w:abstractNumId w:val="17"/>
  </w:num>
  <w:num w:numId="28">
    <w:abstractNumId w:val="30"/>
  </w:num>
  <w:num w:numId="29">
    <w:abstractNumId w:val="25"/>
  </w:num>
  <w:num w:numId="30">
    <w:abstractNumId w:val="14"/>
  </w:num>
  <w:num w:numId="31">
    <w:abstractNumId w:val="2"/>
  </w:num>
  <w:num w:numId="32">
    <w:abstractNumId w:val="10"/>
  </w:num>
  <w:num w:numId="33">
    <w:abstractNumId w:val="31"/>
  </w:num>
  <w:num w:numId="34">
    <w:abstractNumId w:val="40"/>
  </w:num>
  <w:num w:numId="35">
    <w:abstractNumId w:val="43"/>
  </w:num>
  <w:num w:numId="36">
    <w:abstractNumId w:val="9"/>
  </w:num>
  <w:num w:numId="37">
    <w:abstractNumId w:val="19"/>
  </w:num>
  <w:num w:numId="38">
    <w:abstractNumId w:val="16"/>
  </w:num>
  <w:num w:numId="39">
    <w:abstractNumId w:val="4"/>
  </w:num>
  <w:num w:numId="40">
    <w:abstractNumId w:val="29"/>
  </w:num>
  <w:num w:numId="41">
    <w:abstractNumId w:val="27"/>
  </w:num>
  <w:num w:numId="42">
    <w:abstractNumId w:val="3"/>
  </w:num>
  <w:num w:numId="43">
    <w:abstractNumId w:val="32"/>
  </w:num>
  <w:num w:numId="44">
    <w:abstractNumId w:val="7"/>
  </w:num>
  <w:num w:numId="45">
    <w:abstractNumId w:val="34"/>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3D8EC34-2BBF-4F07-B4E7-5912A0B908D0}"/>
    <w:docVar w:name="dgnword-eventsink" w:val="97931712"/>
  </w:docVars>
  <w:rsids>
    <w:rsidRoot w:val="001D71D1"/>
    <w:rsid w:val="000003B4"/>
    <w:rsid w:val="000007DD"/>
    <w:rsid w:val="000014F8"/>
    <w:rsid w:val="000016E5"/>
    <w:rsid w:val="000017BA"/>
    <w:rsid w:val="00001CE1"/>
    <w:rsid w:val="00002038"/>
    <w:rsid w:val="00002812"/>
    <w:rsid w:val="00002EF8"/>
    <w:rsid w:val="00003498"/>
    <w:rsid w:val="00003816"/>
    <w:rsid w:val="000040AC"/>
    <w:rsid w:val="00004696"/>
    <w:rsid w:val="00004B24"/>
    <w:rsid w:val="00004C08"/>
    <w:rsid w:val="000050FD"/>
    <w:rsid w:val="0000510B"/>
    <w:rsid w:val="0000516B"/>
    <w:rsid w:val="00005D2C"/>
    <w:rsid w:val="00005F40"/>
    <w:rsid w:val="000072B8"/>
    <w:rsid w:val="00007BDE"/>
    <w:rsid w:val="00007DC8"/>
    <w:rsid w:val="00010832"/>
    <w:rsid w:val="00010896"/>
    <w:rsid w:val="00010F0F"/>
    <w:rsid w:val="00011394"/>
    <w:rsid w:val="00011609"/>
    <w:rsid w:val="000119D9"/>
    <w:rsid w:val="00011A91"/>
    <w:rsid w:val="00011CE6"/>
    <w:rsid w:val="00012742"/>
    <w:rsid w:val="00013261"/>
    <w:rsid w:val="00013999"/>
    <w:rsid w:val="00014F80"/>
    <w:rsid w:val="00015AC5"/>
    <w:rsid w:val="00016247"/>
    <w:rsid w:val="000172D2"/>
    <w:rsid w:val="00020EB4"/>
    <w:rsid w:val="00023A1A"/>
    <w:rsid w:val="000248F9"/>
    <w:rsid w:val="000251B3"/>
    <w:rsid w:val="00026460"/>
    <w:rsid w:val="000265D3"/>
    <w:rsid w:val="0002691B"/>
    <w:rsid w:val="00026D3A"/>
    <w:rsid w:val="00027AE7"/>
    <w:rsid w:val="000304AA"/>
    <w:rsid w:val="00030DBA"/>
    <w:rsid w:val="00030F3E"/>
    <w:rsid w:val="000311B4"/>
    <w:rsid w:val="0003128D"/>
    <w:rsid w:val="000330BB"/>
    <w:rsid w:val="000331C5"/>
    <w:rsid w:val="00033CF3"/>
    <w:rsid w:val="0003448F"/>
    <w:rsid w:val="000348C9"/>
    <w:rsid w:val="000349CE"/>
    <w:rsid w:val="000350D8"/>
    <w:rsid w:val="0003552B"/>
    <w:rsid w:val="000360ED"/>
    <w:rsid w:val="0003664F"/>
    <w:rsid w:val="000370D8"/>
    <w:rsid w:val="00037E26"/>
    <w:rsid w:val="0004013C"/>
    <w:rsid w:val="000404F0"/>
    <w:rsid w:val="00040FAA"/>
    <w:rsid w:val="000412A3"/>
    <w:rsid w:val="0004214F"/>
    <w:rsid w:val="00042F1A"/>
    <w:rsid w:val="00042F87"/>
    <w:rsid w:val="000441A6"/>
    <w:rsid w:val="00044486"/>
    <w:rsid w:val="0004527C"/>
    <w:rsid w:val="00046481"/>
    <w:rsid w:val="00046AC8"/>
    <w:rsid w:val="00046EA9"/>
    <w:rsid w:val="0004712F"/>
    <w:rsid w:val="0004716B"/>
    <w:rsid w:val="00047830"/>
    <w:rsid w:val="00047B9B"/>
    <w:rsid w:val="00047D63"/>
    <w:rsid w:val="00047EAD"/>
    <w:rsid w:val="00050026"/>
    <w:rsid w:val="00050479"/>
    <w:rsid w:val="00050D2B"/>
    <w:rsid w:val="00050FD7"/>
    <w:rsid w:val="000516CF"/>
    <w:rsid w:val="00054D99"/>
    <w:rsid w:val="00055DA2"/>
    <w:rsid w:val="00057011"/>
    <w:rsid w:val="00057204"/>
    <w:rsid w:val="000613BD"/>
    <w:rsid w:val="00061924"/>
    <w:rsid w:val="00061960"/>
    <w:rsid w:val="0006334F"/>
    <w:rsid w:val="000635D6"/>
    <w:rsid w:val="0006363E"/>
    <w:rsid w:val="000641D4"/>
    <w:rsid w:val="000644CD"/>
    <w:rsid w:val="00064A16"/>
    <w:rsid w:val="00064B3E"/>
    <w:rsid w:val="00066ED6"/>
    <w:rsid w:val="00067410"/>
    <w:rsid w:val="0006753B"/>
    <w:rsid w:val="000703EE"/>
    <w:rsid w:val="00070C2D"/>
    <w:rsid w:val="00070D22"/>
    <w:rsid w:val="00071F55"/>
    <w:rsid w:val="0007203B"/>
    <w:rsid w:val="00072721"/>
    <w:rsid w:val="00072C11"/>
    <w:rsid w:val="00073181"/>
    <w:rsid w:val="00073AB4"/>
    <w:rsid w:val="00073DEF"/>
    <w:rsid w:val="00075113"/>
    <w:rsid w:val="0007518A"/>
    <w:rsid w:val="00075C1E"/>
    <w:rsid w:val="00076778"/>
    <w:rsid w:val="000770B1"/>
    <w:rsid w:val="0007768B"/>
    <w:rsid w:val="00080100"/>
    <w:rsid w:val="00080BC8"/>
    <w:rsid w:val="00080E77"/>
    <w:rsid w:val="00080E81"/>
    <w:rsid w:val="00080F06"/>
    <w:rsid w:val="000817C6"/>
    <w:rsid w:val="00081E64"/>
    <w:rsid w:val="000823FB"/>
    <w:rsid w:val="00082860"/>
    <w:rsid w:val="0008326F"/>
    <w:rsid w:val="00084104"/>
    <w:rsid w:val="000845D4"/>
    <w:rsid w:val="00084C93"/>
    <w:rsid w:val="000854D0"/>
    <w:rsid w:val="00087360"/>
    <w:rsid w:val="00087D91"/>
    <w:rsid w:val="000901FE"/>
    <w:rsid w:val="000909A7"/>
    <w:rsid w:val="00090EBE"/>
    <w:rsid w:val="000917F7"/>
    <w:rsid w:val="00092146"/>
    <w:rsid w:val="00093A1E"/>
    <w:rsid w:val="00093B38"/>
    <w:rsid w:val="00093EA5"/>
    <w:rsid w:val="0009446D"/>
    <w:rsid w:val="000951F0"/>
    <w:rsid w:val="00095353"/>
    <w:rsid w:val="00096286"/>
    <w:rsid w:val="00096936"/>
    <w:rsid w:val="000970D9"/>
    <w:rsid w:val="00097AAB"/>
    <w:rsid w:val="00097C34"/>
    <w:rsid w:val="00097FE8"/>
    <w:rsid w:val="000A03C0"/>
    <w:rsid w:val="000A0A82"/>
    <w:rsid w:val="000A1224"/>
    <w:rsid w:val="000A1AA3"/>
    <w:rsid w:val="000A1C16"/>
    <w:rsid w:val="000A3202"/>
    <w:rsid w:val="000A32C5"/>
    <w:rsid w:val="000A3E8E"/>
    <w:rsid w:val="000A4361"/>
    <w:rsid w:val="000A442C"/>
    <w:rsid w:val="000A4A5A"/>
    <w:rsid w:val="000A5645"/>
    <w:rsid w:val="000A5A7B"/>
    <w:rsid w:val="000A5EE0"/>
    <w:rsid w:val="000A5EFA"/>
    <w:rsid w:val="000A60D4"/>
    <w:rsid w:val="000A62C3"/>
    <w:rsid w:val="000A6F90"/>
    <w:rsid w:val="000A7247"/>
    <w:rsid w:val="000B0904"/>
    <w:rsid w:val="000B2B6E"/>
    <w:rsid w:val="000B2BC8"/>
    <w:rsid w:val="000B34E8"/>
    <w:rsid w:val="000B5730"/>
    <w:rsid w:val="000B59C9"/>
    <w:rsid w:val="000B5A96"/>
    <w:rsid w:val="000B6212"/>
    <w:rsid w:val="000B660A"/>
    <w:rsid w:val="000B6664"/>
    <w:rsid w:val="000B6CCD"/>
    <w:rsid w:val="000B7A2E"/>
    <w:rsid w:val="000C05BC"/>
    <w:rsid w:val="000C07F3"/>
    <w:rsid w:val="000C0899"/>
    <w:rsid w:val="000C239A"/>
    <w:rsid w:val="000C2CA4"/>
    <w:rsid w:val="000C31C7"/>
    <w:rsid w:val="000C3520"/>
    <w:rsid w:val="000C36A3"/>
    <w:rsid w:val="000C41CF"/>
    <w:rsid w:val="000C4491"/>
    <w:rsid w:val="000C44CC"/>
    <w:rsid w:val="000C5FD9"/>
    <w:rsid w:val="000C5FF0"/>
    <w:rsid w:val="000C5FF1"/>
    <w:rsid w:val="000C6C16"/>
    <w:rsid w:val="000C6E8B"/>
    <w:rsid w:val="000C7D90"/>
    <w:rsid w:val="000C7EF3"/>
    <w:rsid w:val="000D048F"/>
    <w:rsid w:val="000D14F1"/>
    <w:rsid w:val="000D2345"/>
    <w:rsid w:val="000D2454"/>
    <w:rsid w:val="000D3497"/>
    <w:rsid w:val="000D3827"/>
    <w:rsid w:val="000D3846"/>
    <w:rsid w:val="000D4138"/>
    <w:rsid w:val="000D4402"/>
    <w:rsid w:val="000D44AD"/>
    <w:rsid w:val="000D4B6F"/>
    <w:rsid w:val="000D5701"/>
    <w:rsid w:val="000D5A97"/>
    <w:rsid w:val="000D63B2"/>
    <w:rsid w:val="000D677A"/>
    <w:rsid w:val="000D7D18"/>
    <w:rsid w:val="000E073F"/>
    <w:rsid w:val="000E08AE"/>
    <w:rsid w:val="000E1B2A"/>
    <w:rsid w:val="000E253A"/>
    <w:rsid w:val="000E281B"/>
    <w:rsid w:val="000E30CE"/>
    <w:rsid w:val="000E3C8E"/>
    <w:rsid w:val="000E46EE"/>
    <w:rsid w:val="000E4FC4"/>
    <w:rsid w:val="000E503A"/>
    <w:rsid w:val="000E56E4"/>
    <w:rsid w:val="000E6297"/>
    <w:rsid w:val="000E680D"/>
    <w:rsid w:val="000E79D4"/>
    <w:rsid w:val="000F0C59"/>
    <w:rsid w:val="000F14F4"/>
    <w:rsid w:val="000F1D9D"/>
    <w:rsid w:val="000F31BD"/>
    <w:rsid w:val="000F435A"/>
    <w:rsid w:val="000F5427"/>
    <w:rsid w:val="000F5A14"/>
    <w:rsid w:val="000F5BC5"/>
    <w:rsid w:val="000F68F8"/>
    <w:rsid w:val="0010068D"/>
    <w:rsid w:val="00100BA3"/>
    <w:rsid w:val="00102857"/>
    <w:rsid w:val="001033E4"/>
    <w:rsid w:val="001038F4"/>
    <w:rsid w:val="001039CF"/>
    <w:rsid w:val="00103C06"/>
    <w:rsid w:val="00104C39"/>
    <w:rsid w:val="001050B6"/>
    <w:rsid w:val="00105D1D"/>
    <w:rsid w:val="001074D9"/>
    <w:rsid w:val="0010772E"/>
    <w:rsid w:val="00107E02"/>
    <w:rsid w:val="00110C68"/>
    <w:rsid w:val="00110F2F"/>
    <w:rsid w:val="001115A1"/>
    <w:rsid w:val="00111652"/>
    <w:rsid w:val="00111CAB"/>
    <w:rsid w:val="00112D3E"/>
    <w:rsid w:val="0011358E"/>
    <w:rsid w:val="001136AC"/>
    <w:rsid w:val="001144B5"/>
    <w:rsid w:val="0011458F"/>
    <w:rsid w:val="001168B5"/>
    <w:rsid w:val="00116908"/>
    <w:rsid w:val="0011783D"/>
    <w:rsid w:val="00117B26"/>
    <w:rsid w:val="00120D1F"/>
    <w:rsid w:val="00120EF1"/>
    <w:rsid w:val="00121379"/>
    <w:rsid w:val="001213A5"/>
    <w:rsid w:val="00121571"/>
    <w:rsid w:val="0012330C"/>
    <w:rsid w:val="00123718"/>
    <w:rsid w:val="00126010"/>
    <w:rsid w:val="00127287"/>
    <w:rsid w:val="0012768D"/>
    <w:rsid w:val="00127D64"/>
    <w:rsid w:val="00130054"/>
    <w:rsid w:val="00131740"/>
    <w:rsid w:val="0013206F"/>
    <w:rsid w:val="00132366"/>
    <w:rsid w:val="00132A55"/>
    <w:rsid w:val="00132A98"/>
    <w:rsid w:val="00133003"/>
    <w:rsid w:val="001339BB"/>
    <w:rsid w:val="00134004"/>
    <w:rsid w:val="00134576"/>
    <w:rsid w:val="00134A99"/>
    <w:rsid w:val="00135743"/>
    <w:rsid w:val="00135FC3"/>
    <w:rsid w:val="00136E40"/>
    <w:rsid w:val="00137FEB"/>
    <w:rsid w:val="001418B1"/>
    <w:rsid w:val="00143350"/>
    <w:rsid w:val="00143890"/>
    <w:rsid w:val="001441A5"/>
    <w:rsid w:val="0014477C"/>
    <w:rsid w:val="00144FD4"/>
    <w:rsid w:val="001459AA"/>
    <w:rsid w:val="00145EC1"/>
    <w:rsid w:val="001512BD"/>
    <w:rsid w:val="0015217E"/>
    <w:rsid w:val="001525DE"/>
    <w:rsid w:val="00152C4E"/>
    <w:rsid w:val="001539AF"/>
    <w:rsid w:val="00154577"/>
    <w:rsid w:val="00154670"/>
    <w:rsid w:val="00154D16"/>
    <w:rsid w:val="00157046"/>
    <w:rsid w:val="0015749B"/>
    <w:rsid w:val="001574CF"/>
    <w:rsid w:val="001579B2"/>
    <w:rsid w:val="00157D69"/>
    <w:rsid w:val="00157DD1"/>
    <w:rsid w:val="001603BA"/>
    <w:rsid w:val="00162545"/>
    <w:rsid w:val="001626D6"/>
    <w:rsid w:val="001628EF"/>
    <w:rsid w:val="001639AE"/>
    <w:rsid w:val="00163A2A"/>
    <w:rsid w:val="0016431D"/>
    <w:rsid w:val="00164ED6"/>
    <w:rsid w:val="00164F43"/>
    <w:rsid w:val="00165F48"/>
    <w:rsid w:val="00166073"/>
    <w:rsid w:val="00166C0F"/>
    <w:rsid w:val="00170357"/>
    <w:rsid w:val="001704A3"/>
    <w:rsid w:val="00170A38"/>
    <w:rsid w:val="00170EBA"/>
    <w:rsid w:val="001713F0"/>
    <w:rsid w:val="00171820"/>
    <w:rsid w:val="00172B8B"/>
    <w:rsid w:val="0017320C"/>
    <w:rsid w:val="00173B87"/>
    <w:rsid w:val="00175BFC"/>
    <w:rsid w:val="00176226"/>
    <w:rsid w:val="001768FF"/>
    <w:rsid w:val="00176DD3"/>
    <w:rsid w:val="00176F63"/>
    <w:rsid w:val="00177DBA"/>
    <w:rsid w:val="001802D2"/>
    <w:rsid w:val="00180ED3"/>
    <w:rsid w:val="00181F0B"/>
    <w:rsid w:val="00182C0E"/>
    <w:rsid w:val="0018412E"/>
    <w:rsid w:val="001846CA"/>
    <w:rsid w:val="00185EA6"/>
    <w:rsid w:val="00186032"/>
    <w:rsid w:val="0019037D"/>
    <w:rsid w:val="001903DC"/>
    <w:rsid w:val="00190F73"/>
    <w:rsid w:val="00191630"/>
    <w:rsid w:val="00191E41"/>
    <w:rsid w:val="001933B1"/>
    <w:rsid w:val="00193415"/>
    <w:rsid w:val="001934BF"/>
    <w:rsid w:val="001943E2"/>
    <w:rsid w:val="00194DDB"/>
    <w:rsid w:val="00194ECC"/>
    <w:rsid w:val="001966E8"/>
    <w:rsid w:val="00196819"/>
    <w:rsid w:val="0019691B"/>
    <w:rsid w:val="00197308"/>
    <w:rsid w:val="001979A2"/>
    <w:rsid w:val="001A038C"/>
    <w:rsid w:val="001A0412"/>
    <w:rsid w:val="001A0471"/>
    <w:rsid w:val="001A0DF6"/>
    <w:rsid w:val="001A0E7F"/>
    <w:rsid w:val="001A1C86"/>
    <w:rsid w:val="001A3D40"/>
    <w:rsid w:val="001A3F77"/>
    <w:rsid w:val="001A4176"/>
    <w:rsid w:val="001A57F5"/>
    <w:rsid w:val="001A7B78"/>
    <w:rsid w:val="001B0F12"/>
    <w:rsid w:val="001B22BB"/>
    <w:rsid w:val="001B3FA0"/>
    <w:rsid w:val="001B4F5C"/>
    <w:rsid w:val="001B5253"/>
    <w:rsid w:val="001B5A23"/>
    <w:rsid w:val="001B602B"/>
    <w:rsid w:val="001B7BB8"/>
    <w:rsid w:val="001C09C6"/>
    <w:rsid w:val="001C173C"/>
    <w:rsid w:val="001C1D64"/>
    <w:rsid w:val="001C23B0"/>
    <w:rsid w:val="001C2F16"/>
    <w:rsid w:val="001C3688"/>
    <w:rsid w:val="001C43A3"/>
    <w:rsid w:val="001C43E7"/>
    <w:rsid w:val="001C4479"/>
    <w:rsid w:val="001C44E2"/>
    <w:rsid w:val="001C4E27"/>
    <w:rsid w:val="001C65E5"/>
    <w:rsid w:val="001C73D9"/>
    <w:rsid w:val="001D1614"/>
    <w:rsid w:val="001D2458"/>
    <w:rsid w:val="001D3EBF"/>
    <w:rsid w:val="001D5AE1"/>
    <w:rsid w:val="001D5C7B"/>
    <w:rsid w:val="001D5DF7"/>
    <w:rsid w:val="001D60CF"/>
    <w:rsid w:val="001D60E2"/>
    <w:rsid w:val="001D6594"/>
    <w:rsid w:val="001D6595"/>
    <w:rsid w:val="001D71D1"/>
    <w:rsid w:val="001D7AA9"/>
    <w:rsid w:val="001E0FD5"/>
    <w:rsid w:val="001E2A3A"/>
    <w:rsid w:val="001E2FC9"/>
    <w:rsid w:val="001E310D"/>
    <w:rsid w:val="001E3476"/>
    <w:rsid w:val="001E3D9B"/>
    <w:rsid w:val="001E42C7"/>
    <w:rsid w:val="001E472A"/>
    <w:rsid w:val="001E5F1B"/>
    <w:rsid w:val="001E639D"/>
    <w:rsid w:val="001E68B4"/>
    <w:rsid w:val="001E6F21"/>
    <w:rsid w:val="001E730E"/>
    <w:rsid w:val="001E73B9"/>
    <w:rsid w:val="001E75BE"/>
    <w:rsid w:val="001E7D7E"/>
    <w:rsid w:val="001F00AC"/>
    <w:rsid w:val="001F04A9"/>
    <w:rsid w:val="001F0BB9"/>
    <w:rsid w:val="001F0FEE"/>
    <w:rsid w:val="001F1568"/>
    <w:rsid w:val="001F2FD5"/>
    <w:rsid w:val="001F3B57"/>
    <w:rsid w:val="001F4C4B"/>
    <w:rsid w:val="001F648C"/>
    <w:rsid w:val="002006E1"/>
    <w:rsid w:val="002017F5"/>
    <w:rsid w:val="00202544"/>
    <w:rsid w:val="00202A20"/>
    <w:rsid w:val="00202A6E"/>
    <w:rsid w:val="0020332E"/>
    <w:rsid w:val="0020377B"/>
    <w:rsid w:val="00203F0B"/>
    <w:rsid w:val="00203F18"/>
    <w:rsid w:val="0020419C"/>
    <w:rsid w:val="0020597D"/>
    <w:rsid w:val="00205A6D"/>
    <w:rsid w:val="00206818"/>
    <w:rsid w:val="00206B3C"/>
    <w:rsid w:val="0021008B"/>
    <w:rsid w:val="002102D4"/>
    <w:rsid w:val="00211B35"/>
    <w:rsid w:val="00211CDE"/>
    <w:rsid w:val="0021245C"/>
    <w:rsid w:val="00212F51"/>
    <w:rsid w:val="00213044"/>
    <w:rsid w:val="00214767"/>
    <w:rsid w:val="0021589E"/>
    <w:rsid w:val="002164B5"/>
    <w:rsid w:val="00216935"/>
    <w:rsid w:val="00220D93"/>
    <w:rsid w:val="0022256E"/>
    <w:rsid w:val="00223763"/>
    <w:rsid w:val="002241B0"/>
    <w:rsid w:val="002254A8"/>
    <w:rsid w:val="00227889"/>
    <w:rsid w:val="002309F6"/>
    <w:rsid w:val="00231058"/>
    <w:rsid w:val="00231F10"/>
    <w:rsid w:val="00234A3B"/>
    <w:rsid w:val="0023512E"/>
    <w:rsid w:val="00235379"/>
    <w:rsid w:val="002354CE"/>
    <w:rsid w:val="002371A9"/>
    <w:rsid w:val="00237ACC"/>
    <w:rsid w:val="0024010A"/>
    <w:rsid w:val="00240E80"/>
    <w:rsid w:val="00241020"/>
    <w:rsid w:val="002416D7"/>
    <w:rsid w:val="002423FB"/>
    <w:rsid w:val="002430DD"/>
    <w:rsid w:val="00244555"/>
    <w:rsid w:val="002446C1"/>
    <w:rsid w:val="00245674"/>
    <w:rsid w:val="0024568C"/>
    <w:rsid w:val="00245A54"/>
    <w:rsid w:val="002462E7"/>
    <w:rsid w:val="002466BB"/>
    <w:rsid w:val="00246A8A"/>
    <w:rsid w:val="00253E6C"/>
    <w:rsid w:val="00253F7C"/>
    <w:rsid w:val="0025425F"/>
    <w:rsid w:val="00254731"/>
    <w:rsid w:val="0025491F"/>
    <w:rsid w:val="00254B67"/>
    <w:rsid w:val="00255460"/>
    <w:rsid w:val="00255811"/>
    <w:rsid w:val="002565B2"/>
    <w:rsid w:val="00256618"/>
    <w:rsid w:val="002576AA"/>
    <w:rsid w:val="002576F1"/>
    <w:rsid w:val="002579DE"/>
    <w:rsid w:val="00257B84"/>
    <w:rsid w:val="00257D5F"/>
    <w:rsid w:val="00260442"/>
    <w:rsid w:val="00260A8A"/>
    <w:rsid w:val="00261A47"/>
    <w:rsid w:val="002622E0"/>
    <w:rsid w:val="00262489"/>
    <w:rsid w:val="00264E4C"/>
    <w:rsid w:val="0026704E"/>
    <w:rsid w:val="002671F7"/>
    <w:rsid w:val="0026764D"/>
    <w:rsid w:val="00270EB4"/>
    <w:rsid w:val="002710C1"/>
    <w:rsid w:val="00271248"/>
    <w:rsid w:val="0027285A"/>
    <w:rsid w:val="00273CA8"/>
    <w:rsid w:val="00274ABD"/>
    <w:rsid w:val="00274F70"/>
    <w:rsid w:val="00275FFF"/>
    <w:rsid w:val="00277292"/>
    <w:rsid w:val="00277662"/>
    <w:rsid w:val="00277748"/>
    <w:rsid w:val="00277865"/>
    <w:rsid w:val="00277CB8"/>
    <w:rsid w:val="0028012F"/>
    <w:rsid w:val="00280779"/>
    <w:rsid w:val="00280F7B"/>
    <w:rsid w:val="00281C7E"/>
    <w:rsid w:val="00282B45"/>
    <w:rsid w:val="0028360A"/>
    <w:rsid w:val="002841EB"/>
    <w:rsid w:val="002849D3"/>
    <w:rsid w:val="0028644D"/>
    <w:rsid w:val="0028714C"/>
    <w:rsid w:val="00287526"/>
    <w:rsid w:val="002876BC"/>
    <w:rsid w:val="00287B47"/>
    <w:rsid w:val="00293297"/>
    <w:rsid w:val="00294004"/>
    <w:rsid w:val="00294BFA"/>
    <w:rsid w:val="00294E38"/>
    <w:rsid w:val="00294E3B"/>
    <w:rsid w:val="00295797"/>
    <w:rsid w:val="002A0C7E"/>
    <w:rsid w:val="002A15BC"/>
    <w:rsid w:val="002A15E6"/>
    <w:rsid w:val="002A1C12"/>
    <w:rsid w:val="002A22CB"/>
    <w:rsid w:val="002A2BD9"/>
    <w:rsid w:val="002A2DDE"/>
    <w:rsid w:val="002A2FBD"/>
    <w:rsid w:val="002A3EDC"/>
    <w:rsid w:val="002A44A5"/>
    <w:rsid w:val="002A50CA"/>
    <w:rsid w:val="002A5991"/>
    <w:rsid w:val="002A6364"/>
    <w:rsid w:val="002A6417"/>
    <w:rsid w:val="002A66D7"/>
    <w:rsid w:val="002A6BF8"/>
    <w:rsid w:val="002A7110"/>
    <w:rsid w:val="002B01DA"/>
    <w:rsid w:val="002B030A"/>
    <w:rsid w:val="002B2D21"/>
    <w:rsid w:val="002B3241"/>
    <w:rsid w:val="002B37BF"/>
    <w:rsid w:val="002B45F8"/>
    <w:rsid w:val="002B4B72"/>
    <w:rsid w:val="002B54CB"/>
    <w:rsid w:val="002B5D93"/>
    <w:rsid w:val="002B5E80"/>
    <w:rsid w:val="002B61E2"/>
    <w:rsid w:val="002B61F2"/>
    <w:rsid w:val="002B638A"/>
    <w:rsid w:val="002B7B5B"/>
    <w:rsid w:val="002C00CD"/>
    <w:rsid w:val="002C04C9"/>
    <w:rsid w:val="002C0AE0"/>
    <w:rsid w:val="002C1057"/>
    <w:rsid w:val="002C1104"/>
    <w:rsid w:val="002C15FE"/>
    <w:rsid w:val="002C2362"/>
    <w:rsid w:val="002C29C5"/>
    <w:rsid w:val="002C33A5"/>
    <w:rsid w:val="002C412B"/>
    <w:rsid w:val="002C4539"/>
    <w:rsid w:val="002C483D"/>
    <w:rsid w:val="002C6552"/>
    <w:rsid w:val="002C7BCA"/>
    <w:rsid w:val="002C7D02"/>
    <w:rsid w:val="002D067E"/>
    <w:rsid w:val="002D2EA8"/>
    <w:rsid w:val="002D3FCE"/>
    <w:rsid w:val="002D499B"/>
    <w:rsid w:val="002D6EC4"/>
    <w:rsid w:val="002D711F"/>
    <w:rsid w:val="002D7254"/>
    <w:rsid w:val="002D7281"/>
    <w:rsid w:val="002D78B1"/>
    <w:rsid w:val="002E0867"/>
    <w:rsid w:val="002E0B79"/>
    <w:rsid w:val="002E1FD1"/>
    <w:rsid w:val="002E39B7"/>
    <w:rsid w:val="002E3F67"/>
    <w:rsid w:val="002E4CB8"/>
    <w:rsid w:val="002E56E0"/>
    <w:rsid w:val="002E5DBB"/>
    <w:rsid w:val="002E6080"/>
    <w:rsid w:val="002E75D1"/>
    <w:rsid w:val="002E7971"/>
    <w:rsid w:val="002F0068"/>
    <w:rsid w:val="002F0B44"/>
    <w:rsid w:val="002F14A4"/>
    <w:rsid w:val="002F21FD"/>
    <w:rsid w:val="002F2C94"/>
    <w:rsid w:val="002F3A34"/>
    <w:rsid w:val="002F3C75"/>
    <w:rsid w:val="002F424C"/>
    <w:rsid w:val="002F4D62"/>
    <w:rsid w:val="002F687F"/>
    <w:rsid w:val="002F70A0"/>
    <w:rsid w:val="002F7236"/>
    <w:rsid w:val="002F764E"/>
    <w:rsid w:val="002F7ACD"/>
    <w:rsid w:val="00300539"/>
    <w:rsid w:val="00300AE6"/>
    <w:rsid w:val="0030143F"/>
    <w:rsid w:val="0030166E"/>
    <w:rsid w:val="00302824"/>
    <w:rsid w:val="00303123"/>
    <w:rsid w:val="003034EA"/>
    <w:rsid w:val="00303D60"/>
    <w:rsid w:val="00304C8C"/>
    <w:rsid w:val="00305351"/>
    <w:rsid w:val="003058B2"/>
    <w:rsid w:val="0030607C"/>
    <w:rsid w:val="003063A6"/>
    <w:rsid w:val="003067E2"/>
    <w:rsid w:val="00306F2A"/>
    <w:rsid w:val="00310103"/>
    <w:rsid w:val="003101C7"/>
    <w:rsid w:val="00310C6B"/>
    <w:rsid w:val="003119DC"/>
    <w:rsid w:val="00312713"/>
    <w:rsid w:val="00312851"/>
    <w:rsid w:val="00314B2B"/>
    <w:rsid w:val="00314EBF"/>
    <w:rsid w:val="00315335"/>
    <w:rsid w:val="003158DE"/>
    <w:rsid w:val="003168D3"/>
    <w:rsid w:val="0031699B"/>
    <w:rsid w:val="00316F15"/>
    <w:rsid w:val="00317477"/>
    <w:rsid w:val="003177B5"/>
    <w:rsid w:val="00317C74"/>
    <w:rsid w:val="003207DE"/>
    <w:rsid w:val="00321C1F"/>
    <w:rsid w:val="00321DBB"/>
    <w:rsid w:val="003222D9"/>
    <w:rsid w:val="00322CFF"/>
    <w:rsid w:val="00323537"/>
    <w:rsid w:val="00323E1F"/>
    <w:rsid w:val="0032448A"/>
    <w:rsid w:val="003246B9"/>
    <w:rsid w:val="003257A8"/>
    <w:rsid w:val="00325B7E"/>
    <w:rsid w:val="00325F8F"/>
    <w:rsid w:val="00327DF4"/>
    <w:rsid w:val="003316EE"/>
    <w:rsid w:val="00331794"/>
    <w:rsid w:val="003317B4"/>
    <w:rsid w:val="00331AB5"/>
    <w:rsid w:val="00331D69"/>
    <w:rsid w:val="003333FA"/>
    <w:rsid w:val="00334992"/>
    <w:rsid w:val="00335736"/>
    <w:rsid w:val="00335EE2"/>
    <w:rsid w:val="00336C9D"/>
    <w:rsid w:val="00336D5C"/>
    <w:rsid w:val="00336DB4"/>
    <w:rsid w:val="00336EEE"/>
    <w:rsid w:val="0033720C"/>
    <w:rsid w:val="0033739B"/>
    <w:rsid w:val="003377A4"/>
    <w:rsid w:val="00340383"/>
    <w:rsid w:val="00342304"/>
    <w:rsid w:val="003424D9"/>
    <w:rsid w:val="00342D33"/>
    <w:rsid w:val="003433F1"/>
    <w:rsid w:val="00343A83"/>
    <w:rsid w:val="0034428E"/>
    <w:rsid w:val="00344BB0"/>
    <w:rsid w:val="0034531F"/>
    <w:rsid w:val="00345CBE"/>
    <w:rsid w:val="00345D84"/>
    <w:rsid w:val="00345D85"/>
    <w:rsid w:val="00345F87"/>
    <w:rsid w:val="0034698E"/>
    <w:rsid w:val="0034756B"/>
    <w:rsid w:val="0034781C"/>
    <w:rsid w:val="00347C5C"/>
    <w:rsid w:val="00347EB3"/>
    <w:rsid w:val="0035107C"/>
    <w:rsid w:val="003528E5"/>
    <w:rsid w:val="0035406D"/>
    <w:rsid w:val="003544B0"/>
    <w:rsid w:val="003544B4"/>
    <w:rsid w:val="0035454B"/>
    <w:rsid w:val="00354690"/>
    <w:rsid w:val="003555BB"/>
    <w:rsid w:val="003555F8"/>
    <w:rsid w:val="00356650"/>
    <w:rsid w:val="00356F04"/>
    <w:rsid w:val="003571F0"/>
    <w:rsid w:val="003605AE"/>
    <w:rsid w:val="003606DE"/>
    <w:rsid w:val="00361139"/>
    <w:rsid w:val="00364A77"/>
    <w:rsid w:val="00365560"/>
    <w:rsid w:val="00365B6D"/>
    <w:rsid w:val="0036672C"/>
    <w:rsid w:val="00366E2A"/>
    <w:rsid w:val="00367173"/>
    <w:rsid w:val="00367B40"/>
    <w:rsid w:val="003701AE"/>
    <w:rsid w:val="003709D1"/>
    <w:rsid w:val="0037369E"/>
    <w:rsid w:val="0037374B"/>
    <w:rsid w:val="00373F57"/>
    <w:rsid w:val="00374121"/>
    <w:rsid w:val="003746A3"/>
    <w:rsid w:val="00375631"/>
    <w:rsid w:val="00375750"/>
    <w:rsid w:val="003759E6"/>
    <w:rsid w:val="00375AA6"/>
    <w:rsid w:val="003760FD"/>
    <w:rsid w:val="00376849"/>
    <w:rsid w:val="0037780A"/>
    <w:rsid w:val="00377FC0"/>
    <w:rsid w:val="00380D08"/>
    <w:rsid w:val="00381444"/>
    <w:rsid w:val="00383E61"/>
    <w:rsid w:val="00383FD5"/>
    <w:rsid w:val="0038443B"/>
    <w:rsid w:val="00385731"/>
    <w:rsid w:val="0038576C"/>
    <w:rsid w:val="0038597A"/>
    <w:rsid w:val="00385DBA"/>
    <w:rsid w:val="00385F52"/>
    <w:rsid w:val="0038640F"/>
    <w:rsid w:val="0038656B"/>
    <w:rsid w:val="00386FC8"/>
    <w:rsid w:val="0038715A"/>
    <w:rsid w:val="0038742C"/>
    <w:rsid w:val="00387744"/>
    <w:rsid w:val="00387859"/>
    <w:rsid w:val="00387C93"/>
    <w:rsid w:val="003914D7"/>
    <w:rsid w:val="00391A36"/>
    <w:rsid w:val="00391D32"/>
    <w:rsid w:val="00391E84"/>
    <w:rsid w:val="00392160"/>
    <w:rsid w:val="00392937"/>
    <w:rsid w:val="003932D9"/>
    <w:rsid w:val="00393452"/>
    <w:rsid w:val="00394291"/>
    <w:rsid w:val="00394354"/>
    <w:rsid w:val="0039540C"/>
    <w:rsid w:val="0039572C"/>
    <w:rsid w:val="003958B1"/>
    <w:rsid w:val="00395E74"/>
    <w:rsid w:val="00396464"/>
    <w:rsid w:val="00396C00"/>
    <w:rsid w:val="0039739D"/>
    <w:rsid w:val="003977B9"/>
    <w:rsid w:val="00397999"/>
    <w:rsid w:val="00397C19"/>
    <w:rsid w:val="00397FFE"/>
    <w:rsid w:val="003A13AA"/>
    <w:rsid w:val="003A30FA"/>
    <w:rsid w:val="003A41A7"/>
    <w:rsid w:val="003A45BA"/>
    <w:rsid w:val="003A5320"/>
    <w:rsid w:val="003A5A99"/>
    <w:rsid w:val="003A5B52"/>
    <w:rsid w:val="003A5BE2"/>
    <w:rsid w:val="003A728A"/>
    <w:rsid w:val="003B01A3"/>
    <w:rsid w:val="003B03B9"/>
    <w:rsid w:val="003B0464"/>
    <w:rsid w:val="003B061C"/>
    <w:rsid w:val="003B0912"/>
    <w:rsid w:val="003B19AA"/>
    <w:rsid w:val="003B1C58"/>
    <w:rsid w:val="003B25B3"/>
    <w:rsid w:val="003B2BB0"/>
    <w:rsid w:val="003B378B"/>
    <w:rsid w:val="003B40EE"/>
    <w:rsid w:val="003B4262"/>
    <w:rsid w:val="003B4572"/>
    <w:rsid w:val="003B5233"/>
    <w:rsid w:val="003B57E3"/>
    <w:rsid w:val="003B59DA"/>
    <w:rsid w:val="003B5A92"/>
    <w:rsid w:val="003B617F"/>
    <w:rsid w:val="003B6AA3"/>
    <w:rsid w:val="003B6AC9"/>
    <w:rsid w:val="003B79D0"/>
    <w:rsid w:val="003B7CFE"/>
    <w:rsid w:val="003C075B"/>
    <w:rsid w:val="003C10E1"/>
    <w:rsid w:val="003C1CAE"/>
    <w:rsid w:val="003C2041"/>
    <w:rsid w:val="003C213E"/>
    <w:rsid w:val="003C24E5"/>
    <w:rsid w:val="003C3497"/>
    <w:rsid w:val="003C3A23"/>
    <w:rsid w:val="003C4AF1"/>
    <w:rsid w:val="003C4CA7"/>
    <w:rsid w:val="003C4EC0"/>
    <w:rsid w:val="003C602A"/>
    <w:rsid w:val="003C6336"/>
    <w:rsid w:val="003C6377"/>
    <w:rsid w:val="003C7879"/>
    <w:rsid w:val="003D084B"/>
    <w:rsid w:val="003D08B5"/>
    <w:rsid w:val="003D0F29"/>
    <w:rsid w:val="003D132B"/>
    <w:rsid w:val="003D133C"/>
    <w:rsid w:val="003D14F7"/>
    <w:rsid w:val="003D3C9D"/>
    <w:rsid w:val="003D4E2F"/>
    <w:rsid w:val="003D59FD"/>
    <w:rsid w:val="003D5D53"/>
    <w:rsid w:val="003D73C8"/>
    <w:rsid w:val="003E0519"/>
    <w:rsid w:val="003E0747"/>
    <w:rsid w:val="003E1153"/>
    <w:rsid w:val="003E213E"/>
    <w:rsid w:val="003E224C"/>
    <w:rsid w:val="003E2D69"/>
    <w:rsid w:val="003E370C"/>
    <w:rsid w:val="003E4B0C"/>
    <w:rsid w:val="003E546B"/>
    <w:rsid w:val="003E632C"/>
    <w:rsid w:val="003E6552"/>
    <w:rsid w:val="003E6E0C"/>
    <w:rsid w:val="003F07B3"/>
    <w:rsid w:val="003F0AA6"/>
    <w:rsid w:val="003F1669"/>
    <w:rsid w:val="003F1768"/>
    <w:rsid w:val="003F20C1"/>
    <w:rsid w:val="003F292F"/>
    <w:rsid w:val="003F29C4"/>
    <w:rsid w:val="003F3525"/>
    <w:rsid w:val="003F4FF3"/>
    <w:rsid w:val="003F7B1B"/>
    <w:rsid w:val="003F7BC2"/>
    <w:rsid w:val="004017C4"/>
    <w:rsid w:val="00401A9F"/>
    <w:rsid w:val="004028BF"/>
    <w:rsid w:val="00402D40"/>
    <w:rsid w:val="00402E1C"/>
    <w:rsid w:val="00402E80"/>
    <w:rsid w:val="00402F05"/>
    <w:rsid w:val="004033C5"/>
    <w:rsid w:val="00403DA3"/>
    <w:rsid w:val="00404EF8"/>
    <w:rsid w:val="004054C1"/>
    <w:rsid w:val="00406553"/>
    <w:rsid w:val="004077BC"/>
    <w:rsid w:val="00407C66"/>
    <w:rsid w:val="0041003F"/>
    <w:rsid w:val="00410946"/>
    <w:rsid w:val="00410C1F"/>
    <w:rsid w:val="00411C84"/>
    <w:rsid w:val="00412A7F"/>
    <w:rsid w:val="004141AF"/>
    <w:rsid w:val="004143EC"/>
    <w:rsid w:val="004146A9"/>
    <w:rsid w:val="004155CF"/>
    <w:rsid w:val="004159B6"/>
    <w:rsid w:val="004169C1"/>
    <w:rsid w:val="00416F03"/>
    <w:rsid w:val="004176AB"/>
    <w:rsid w:val="00417DBD"/>
    <w:rsid w:val="00420837"/>
    <w:rsid w:val="00420E64"/>
    <w:rsid w:val="00421CC1"/>
    <w:rsid w:val="00422E55"/>
    <w:rsid w:val="00424782"/>
    <w:rsid w:val="00424E53"/>
    <w:rsid w:val="004268A3"/>
    <w:rsid w:val="00426B82"/>
    <w:rsid w:val="00427F2F"/>
    <w:rsid w:val="00432130"/>
    <w:rsid w:val="00432468"/>
    <w:rsid w:val="0043401C"/>
    <w:rsid w:val="004350B1"/>
    <w:rsid w:val="00435204"/>
    <w:rsid w:val="004352B8"/>
    <w:rsid w:val="004368A2"/>
    <w:rsid w:val="00436A8E"/>
    <w:rsid w:val="00437200"/>
    <w:rsid w:val="00437CE2"/>
    <w:rsid w:val="0044147F"/>
    <w:rsid w:val="00442565"/>
    <w:rsid w:val="00442CAF"/>
    <w:rsid w:val="004440DB"/>
    <w:rsid w:val="00444605"/>
    <w:rsid w:val="00444D8D"/>
    <w:rsid w:val="00445148"/>
    <w:rsid w:val="00445925"/>
    <w:rsid w:val="00445E0E"/>
    <w:rsid w:val="0044655A"/>
    <w:rsid w:val="00447B52"/>
    <w:rsid w:val="0045054E"/>
    <w:rsid w:val="00451827"/>
    <w:rsid w:val="004522B4"/>
    <w:rsid w:val="004536C7"/>
    <w:rsid w:val="0045486E"/>
    <w:rsid w:val="00454889"/>
    <w:rsid w:val="00454C64"/>
    <w:rsid w:val="004551AA"/>
    <w:rsid w:val="00455855"/>
    <w:rsid w:val="00455C34"/>
    <w:rsid w:val="0045631C"/>
    <w:rsid w:val="00456D65"/>
    <w:rsid w:val="00457983"/>
    <w:rsid w:val="00457EC3"/>
    <w:rsid w:val="004606E5"/>
    <w:rsid w:val="004612B3"/>
    <w:rsid w:val="00461C83"/>
    <w:rsid w:val="00462994"/>
    <w:rsid w:val="00463079"/>
    <w:rsid w:val="004631B7"/>
    <w:rsid w:val="00464E47"/>
    <w:rsid w:val="0046555F"/>
    <w:rsid w:val="00467AC4"/>
    <w:rsid w:val="00467DBD"/>
    <w:rsid w:val="00467E37"/>
    <w:rsid w:val="00467F4D"/>
    <w:rsid w:val="0047006E"/>
    <w:rsid w:val="004700AB"/>
    <w:rsid w:val="0047127C"/>
    <w:rsid w:val="00472308"/>
    <w:rsid w:val="0047274A"/>
    <w:rsid w:val="004746B8"/>
    <w:rsid w:val="004748B4"/>
    <w:rsid w:val="004750EB"/>
    <w:rsid w:val="00476456"/>
    <w:rsid w:val="00476519"/>
    <w:rsid w:val="00476BE1"/>
    <w:rsid w:val="004771AF"/>
    <w:rsid w:val="0047723D"/>
    <w:rsid w:val="004772A3"/>
    <w:rsid w:val="004776DC"/>
    <w:rsid w:val="00477D07"/>
    <w:rsid w:val="00477DC9"/>
    <w:rsid w:val="00481492"/>
    <w:rsid w:val="004817D9"/>
    <w:rsid w:val="004831A5"/>
    <w:rsid w:val="00483972"/>
    <w:rsid w:val="00483B6F"/>
    <w:rsid w:val="00483F1B"/>
    <w:rsid w:val="00484021"/>
    <w:rsid w:val="00484821"/>
    <w:rsid w:val="0048486F"/>
    <w:rsid w:val="0048583B"/>
    <w:rsid w:val="00487846"/>
    <w:rsid w:val="0049047D"/>
    <w:rsid w:val="00490CEA"/>
    <w:rsid w:val="00491130"/>
    <w:rsid w:val="004916B3"/>
    <w:rsid w:val="00491D10"/>
    <w:rsid w:val="004923D7"/>
    <w:rsid w:val="00493E70"/>
    <w:rsid w:val="00494334"/>
    <w:rsid w:val="00494EE1"/>
    <w:rsid w:val="0049564A"/>
    <w:rsid w:val="0049590E"/>
    <w:rsid w:val="0049747D"/>
    <w:rsid w:val="004A0060"/>
    <w:rsid w:val="004A07B3"/>
    <w:rsid w:val="004A07ED"/>
    <w:rsid w:val="004A2048"/>
    <w:rsid w:val="004A229F"/>
    <w:rsid w:val="004A2AE2"/>
    <w:rsid w:val="004A30B1"/>
    <w:rsid w:val="004A3CB9"/>
    <w:rsid w:val="004A4F02"/>
    <w:rsid w:val="004A5733"/>
    <w:rsid w:val="004A577E"/>
    <w:rsid w:val="004A5913"/>
    <w:rsid w:val="004A65FA"/>
    <w:rsid w:val="004A6DB1"/>
    <w:rsid w:val="004B04A9"/>
    <w:rsid w:val="004B07E3"/>
    <w:rsid w:val="004B186C"/>
    <w:rsid w:val="004B2707"/>
    <w:rsid w:val="004B2D41"/>
    <w:rsid w:val="004B3952"/>
    <w:rsid w:val="004B3D88"/>
    <w:rsid w:val="004B42A5"/>
    <w:rsid w:val="004B52B4"/>
    <w:rsid w:val="004B5507"/>
    <w:rsid w:val="004B64FB"/>
    <w:rsid w:val="004B6EBF"/>
    <w:rsid w:val="004B7717"/>
    <w:rsid w:val="004B7E95"/>
    <w:rsid w:val="004B7FD6"/>
    <w:rsid w:val="004C1250"/>
    <w:rsid w:val="004C2A8D"/>
    <w:rsid w:val="004C2D8B"/>
    <w:rsid w:val="004C3D13"/>
    <w:rsid w:val="004C4A16"/>
    <w:rsid w:val="004C4AA0"/>
    <w:rsid w:val="004C5600"/>
    <w:rsid w:val="004C57A3"/>
    <w:rsid w:val="004C74A1"/>
    <w:rsid w:val="004D1572"/>
    <w:rsid w:val="004D2FAE"/>
    <w:rsid w:val="004D3333"/>
    <w:rsid w:val="004D408A"/>
    <w:rsid w:val="004D47D9"/>
    <w:rsid w:val="004D4F33"/>
    <w:rsid w:val="004D5591"/>
    <w:rsid w:val="004D60AE"/>
    <w:rsid w:val="004D6F56"/>
    <w:rsid w:val="004D7294"/>
    <w:rsid w:val="004D7B9A"/>
    <w:rsid w:val="004E0086"/>
    <w:rsid w:val="004E0622"/>
    <w:rsid w:val="004E07A3"/>
    <w:rsid w:val="004E0C52"/>
    <w:rsid w:val="004E1929"/>
    <w:rsid w:val="004E1A3C"/>
    <w:rsid w:val="004E2625"/>
    <w:rsid w:val="004E2DE9"/>
    <w:rsid w:val="004E2E56"/>
    <w:rsid w:val="004E3111"/>
    <w:rsid w:val="004E3A28"/>
    <w:rsid w:val="004E3CE4"/>
    <w:rsid w:val="004E40FB"/>
    <w:rsid w:val="004E4D5A"/>
    <w:rsid w:val="004E542F"/>
    <w:rsid w:val="004E7594"/>
    <w:rsid w:val="004F0C75"/>
    <w:rsid w:val="004F2272"/>
    <w:rsid w:val="004F288B"/>
    <w:rsid w:val="004F4405"/>
    <w:rsid w:val="004F46D7"/>
    <w:rsid w:val="004F47F8"/>
    <w:rsid w:val="004F5115"/>
    <w:rsid w:val="004F5F43"/>
    <w:rsid w:val="004F61FA"/>
    <w:rsid w:val="004F6FA4"/>
    <w:rsid w:val="005001AA"/>
    <w:rsid w:val="00500BF4"/>
    <w:rsid w:val="0050151F"/>
    <w:rsid w:val="005018AB"/>
    <w:rsid w:val="00501A7D"/>
    <w:rsid w:val="00501EB2"/>
    <w:rsid w:val="00502867"/>
    <w:rsid w:val="0050294F"/>
    <w:rsid w:val="00503B02"/>
    <w:rsid w:val="00503E7E"/>
    <w:rsid w:val="00504C55"/>
    <w:rsid w:val="005059CC"/>
    <w:rsid w:val="00506881"/>
    <w:rsid w:val="00506D9F"/>
    <w:rsid w:val="00506F69"/>
    <w:rsid w:val="005119A4"/>
    <w:rsid w:val="00512341"/>
    <w:rsid w:val="00512AC5"/>
    <w:rsid w:val="005131B0"/>
    <w:rsid w:val="005132BB"/>
    <w:rsid w:val="00513854"/>
    <w:rsid w:val="00513C18"/>
    <w:rsid w:val="0051436D"/>
    <w:rsid w:val="005143C3"/>
    <w:rsid w:val="00514EB4"/>
    <w:rsid w:val="00515227"/>
    <w:rsid w:val="00515339"/>
    <w:rsid w:val="005156E7"/>
    <w:rsid w:val="00515793"/>
    <w:rsid w:val="00515856"/>
    <w:rsid w:val="00516602"/>
    <w:rsid w:val="00517928"/>
    <w:rsid w:val="00517CD1"/>
    <w:rsid w:val="005200DB"/>
    <w:rsid w:val="00520330"/>
    <w:rsid w:val="00520695"/>
    <w:rsid w:val="005219CF"/>
    <w:rsid w:val="00521C67"/>
    <w:rsid w:val="005222C6"/>
    <w:rsid w:val="00524ADB"/>
    <w:rsid w:val="00524B5B"/>
    <w:rsid w:val="00524F1F"/>
    <w:rsid w:val="005251FC"/>
    <w:rsid w:val="00525CA8"/>
    <w:rsid w:val="0052608E"/>
    <w:rsid w:val="0052619C"/>
    <w:rsid w:val="00526DE9"/>
    <w:rsid w:val="00527536"/>
    <w:rsid w:val="00527802"/>
    <w:rsid w:val="00527902"/>
    <w:rsid w:val="00527FCA"/>
    <w:rsid w:val="0053063F"/>
    <w:rsid w:val="00530C0C"/>
    <w:rsid w:val="00530CF4"/>
    <w:rsid w:val="00532C65"/>
    <w:rsid w:val="00532F32"/>
    <w:rsid w:val="00533770"/>
    <w:rsid w:val="00533896"/>
    <w:rsid w:val="0053510E"/>
    <w:rsid w:val="00537796"/>
    <w:rsid w:val="00537986"/>
    <w:rsid w:val="00537B4A"/>
    <w:rsid w:val="00540328"/>
    <w:rsid w:val="00540EB6"/>
    <w:rsid w:val="00540F06"/>
    <w:rsid w:val="00541130"/>
    <w:rsid w:val="0054121A"/>
    <w:rsid w:val="0054173F"/>
    <w:rsid w:val="00542809"/>
    <w:rsid w:val="005432E2"/>
    <w:rsid w:val="00543966"/>
    <w:rsid w:val="00543CCE"/>
    <w:rsid w:val="00543EC2"/>
    <w:rsid w:val="0054407A"/>
    <w:rsid w:val="0054427F"/>
    <w:rsid w:val="00544C77"/>
    <w:rsid w:val="005451AC"/>
    <w:rsid w:val="00545560"/>
    <w:rsid w:val="00546AD3"/>
    <w:rsid w:val="00546E1B"/>
    <w:rsid w:val="0054736B"/>
    <w:rsid w:val="00547CF8"/>
    <w:rsid w:val="00547DF4"/>
    <w:rsid w:val="005504B5"/>
    <w:rsid w:val="00552A53"/>
    <w:rsid w:val="00552B9E"/>
    <w:rsid w:val="00553292"/>
    <w:rsid w:val="00553595"/>
    <w:rsid w:val="005537DF"/>
    <w:rsid w:val="0055383A"/>
    <w:rsid w:val="00554081"/>
    <w:rsid w:val="00554AB4"/>
    <w:rsid w:val="00554C87"/>
    <w:rsid w:val="0055628F"/>
    <w:rsid w:val="00556DDA"/>
    <w:rsid w:val="00557569"/>
    <w:rsid w:val="00560072"/>
    <w:rsid w:val="005606EB"/>
    <w:rsid w:val="005609A9"/>
    <w:rsid w:val="00560CD6"/>
    <w:rsid w:val="00562A62"/>
    <w:rsid w:val="00562B4F"/>
    <w:rsid w:val="005630EF"/>
    <w:rsid w:val="005639CC"/>
    <w:rsid w:val="00563C40"/>
    <w:rsid w:val="00564A71"/>
    <w:rsid w:val="005657F6"/>
    <w:rsid w:val="00565850"/>
    <w:rsid w:val="00565BC8"/>
    <w:rsid w:val="00566BCB"/>
    <w:rsid w:val="00566C2E"/>
    <w:rsid w:val="00566C77"/>
    <w:rsid w:val="00566CC8"/>
    <w:rsid w:val="00567A09"/>
    <w:rsid w:val="00567AB0"/>
    <w:rsid w:val="00567EED"/>
    <w:rsid w:val="0057104C"/>
    <w:rsid w:val="005711BB"/>
    <w:rsid w:val="00571AE4"/>
    <w:rsid w:val="0057295C"/>
    <w:rsid w:val="00572A64"/>
    <w:rsid w:val="00572F54"/>
    <w:rsid w:val="0057561D"/>
    <w:rsid w:val="00575D87"/>
    <w:rsid w:val="00576233"/>
    <w:rsid w:val="00576931"/>
    <w:rsid w:val="005779BD"/>
    <w:rsid w:val="00577E23"/>
    <w:rsid w:val="00580807"/>
    <w:rsid w:val="00580C1E"/>
    <w:rsid w:val="00581549"/>
    <w:rsid w:val="00581D14"/>
    <w:rsid w:val="005823E4"/>
    <w:rsid w:val="00582FA5"/>
    <w:rsid w:val="005832B7"/>
    <w:rsid w:val="00583B23"/>
    <w:rsid w:val="00583E74"/>
    <w:rsid w:val="00586A2D"/>
    <w:rsid w:val="00586DB0"/>
    <w:rsid w:val="00587876"/>
    <w:rsid w:val="00587D8C"/>
    <w:rsid w:val="005906F8"/>
    <w:rsid w:val="00590AE8"/>
    <w:rsid w:val="005912BA"/>
    <w:rsid w:val="00593ECB"/>
    <w:rsid w:val="00593F0C"/>
    <w:rsid w:val="00594FA2"/>
    <w:rsid w:val="0059578A"/>
    <w:rsid w:val="00596045"/>
    <w:rsid w:val="005964C2"/>
    <w:rsid w:val="005970B7"/>
    <w:rsid w:val="00597C0E"/>
    <w:rsid w:val="005A0867"/>
    <w:rsid w:val="005A0870"/>
    <w:rsid w:val="005A27A1"/>
    <w:rsid w:val="005A27B8"/>
    <w:rsid w:val="005A330B"/>
    <w:rsid w:val="005A4DA6"/>
    <w:rsid w:val="005A549F"/>
    <w:rsid w:val="005A5E4E"/>
    <w:rsid w:val="005A5F60"/>
    <w:rsid w:val="005A6176"/>
    <w:rsid w:val="005B08EE"/>
    <w:rsid w:val="005B14C0"/>
    <w:rsid w:val="005B1EEE"/>
    <w:rsid w:val="005B313F"/>
    <w:rsid w:val="005B47CE"/>
    <w:rsid w:val="005B567A"/>
    <w:rsid w:val="005B5AE9"/>
    <w:rsid w:val="005B65C7"/>
    <w:rsid w:val="005B690B"/>
    <w:rsid w:val="005C08F0"/>
    <w:rsid w:val="005C10C7"/>
    <w:rsid w:val="005C124A"/>
    <w:rsid w:val="005C1AD3"/>
    <w:rsid w:val="005C20BC"/>
    <w:rsid w:val="005C2119"/>
    <w:rsid w:val="005C2816"/>
    <w:rsid w:val="005C31E1"/>
    <w:rsid w:val="005C349E"/>
    <w:rsid w:val="005C3897"/>
    <w:rsid w:val="005C47D3"/>
    <w:rsid w:val="005C51B3"/>
    <w:rsid w:val="005C531A"/>
    <w:rsid w:val="005C5597"/>
    <w:rsid w:val="005C58C3"/>
    <w:rsid w:val="005C595C"/>
    <w:rsid w:val="005C5B28"/>
    <w:rsid w:val="005C5BB3"/>
    <w:rsid w:val="005C66DD"/>
    <w:rsid w:val="005C6F85"/>
    <w:rsid w:val="005C7DA8"/>
    <w:rsid w:val="005D1E8F"/>
    <w:rsid w:val="005D1F4C"/>
    <w:rsid w:val="005D2B30"/>
    <w:rsid w:val="005D3A2B"/>
    <w:rsid w:val="005D43FD"/>
    <w:rsid w:val="005D6737"/>
    <w:rsid w:val="005E1380"/>
    <w:rsid w:val="005E1526"/>
    <w:rsid w:val="005E161C"/>
    <w:rsid w:val="005E171A"/>
    <w:rsid w:val="005E1B0D"/>
    <w:rsid w:val="005E2F58"/>
    <w:rsid w:val="005E31B1"/>
    <w:rsid w:val="005E3994"/>
    <w:rsid w:val="005E669A"/>
    <w:rsid w:val="005E69B4"/>
    <w:rsid w:val="005E6CA3"/>
    <w:rsid w:val="005E71ED"/>
    <w:rsid w:val="005E79D7"/>
    <w:rsid w:val="005F07E5"/>
    <w:rsid w:val="005F0CF8"/>
    <w:rsid w:val="005F1114"/>
    <w:rsid w:val="005F12CA"/>
    <w:rsid w:val="005F211F"/>
    <w:rsid w:val="005F2898"/>
    <w:rsid w:val="005F2D7C"/>
    <w:rsid w:val="005F3347"/>
    <w:rsid w:val="005F43AF"/>
    <w:rsid w:val="005F49AB"/>
    <w:rsid w:val="005F553A"/>
    <w:rsid w:val="005F5DC1"/>
    <w:rsid w:val="005F5EC9"/>
    <w:rsid w:val="005F5FFB"/>
    <w:rsid w:val="005F6107"/>
    <w:rsid w:val="005F74CA"/>
    <w:rsid w:val="0060191F"/>
    <w:rsid w:val="00601ED3"/>
    <w:rsid w:val="006022DC"/>
    <w:rsid w:val="00603A74"/>
    <w:rsid w:val="00603E4D"/>
    <w:rsid w:val="00603FEB"/>
    <w:rsid w:val="0060522A"/>
    <w:rsid w:val="00607971"/>
    <w:rsid w:val="006105A5"/>
    <w:rsid w:val="006109A0"/>
    <w:rsid w:val="00610A73"/>
    <w:rsid w:val="00611751"/>
    <w:rsid w:val="00611A1D"/>
    <w:rsid w:val="00611A9F"/>
    <w:rsid w:val="0061254B"/>
    <w:rsid w:val="00612E42"/>
    <w:rsid w:val="0061306E"/>
    <w:rsid w:val="00614888"/>
    <w:rsid w:val="00614949"/>
    <w:rsid w:val="00614A5A"/>
    <w:rsid w:val="00615247"/>
    <w:rsid w:val="006154CA"/>
    <w:rsid w:val="00615EC3"/>
    <w:rsid w:val="0061624E"/>
    <w:rsid w:val="00617340"/>
    <w:rsid w:val="006174C6"/>
    <w:rsid w:val="00617B3A"/>
    <w:rsid w:val="00617FB1"/>
    <w:rsid w:val="006221CA"/>
    <w:rsid w:val="0062253C"/>
    <w:rsid w:val="0062270B"/>
    <w:rsid w:val="00624307"/>
    <w:rsid w:val="00624D3D"/>
    <w:rsid w:val="00626101"/>
    <w:rsid w:val="00626364"/>
    <w:rsid w:val="006276D6"/>
    <w:rsid w:val="00630792"/>
    <w:rsid w:val="00632B9A"/>
    <w:rsid w:val="00632FBF"/>
    <w:rsid w:val="00633798"/>
    <w:rsid w:val="0063777B"/>
    <w:rsid w:val="006400F0"/>
    <w:rsid w:val="006406E0"/>
    <w:rsid w:val="00641F0B"/>
    <w:rsid w:val="0064270A"/>
    <w:rsid w:val="006428AC"/>
    <w:rsid w:val="00642FDA"/>
    <w:rsid w:val="00643701"/>
    <w:rsid w:val="00644587"/>
    <w:rsid w:val="006448E1"/>
    <w:rsid w:val="006459B4"/>
    <w:rsid w:val="006467C7"/>
    <w:rsid w:val="0064753B"/>
    <w:rsid w:val="00647917"/>
    <w:rsid w:val="00647DA7"/>
    <w:rsid w:val="00647ED8"/>
    <w:rsid w:val="0065053D"/>
    <w:rsid w:val="0065060C"/>
    <w:rsid w:val="0065100C"/>
    <w:rsid w:val="0065141C"/>
    <w:rsid w:val="0065158E"/>
    <w:rsid w:val="00651748"/>
    <w:rsid w:val="00651EFE"/>
    <w:rsid w:val="006525D0"/>
    <w:rsid w:val="0065265F"/>
    <w:rsid w:val="006526CA"/>
    <w:rsid w:val="00652DD1"/>
    <w:rsid w:val="00653A89"/>
    <w:rsid w:val="00653E76"/>
    <w:rsid w:val="00655367"/>
    <w:rsid w:val="006554DC"/>
    <w:rsid w:val="0065589A"/>
    <w:rsid w:val="00656B97"/>
    <w:rsid w:val="00657A35"/>
    <w:rsid w:val="00657ED4"/>
    <w:rsid w:val="00661C53"/>
    <w:rsid w:val="006620AB"/>
    <w:rsid w:val="00662908"/>
    <w:rsid w:val="00663146"/>
    <w:rsid w:val="00663713"/>
    <w:rsid w:val="00664052"/>
    <w:rsid w:val="00664128"/>
    <w:rsid w:val="006656B0"/>
    <w:rsid w:val="00666844"/>
    <w:rsid w:val="0066684D"/>
    <w:rsid w:val="00667B8E"/>
    <w:rsid w:val="006700ED"/>
    <w:rsid w:val="00670461"/>
    <w:rsid w:val="006716C1"/>
    <w:rsid w:val="00671BCC"/>
    <w:rsid w:val="00672464"/>
    <w:rsid w:val="0067299F"/>
    <w:rsid w:val="00672FDA"/>
    <w:rsid w:val="00673719"/>
    <w:rsid w:val="006738F2"/>
    <w:rsid w:val="00674026"/>
    <w:rsid w:val="00675CE8"/>
    <w:rsid w:val="00675E00"/>
    <w:rsid w:val="00675EBB"/>
    <w:rsid w:val="00675F21"/>
    <w:rsid w:val="00677932"/>
    <w:rsid w:val="00681D24"/>
    <w:rsid w:val="00682474"/>
    <w:rsid w:val="00682E77"/>
    <w:rsid w:val="0068351E"/>
    <w:rsid w:val="0068498D"/>
    <w:rsid w:val="00684A75"/>
    <w:rsid w:val="00684C16"/>
    <w:rsid w:val="00686D2A"/>
    <w:rsid w:val="00687205"/>
    <w:rsid w:val="006905AC"/>
    <w:rsid w:val="00690877"/>
    <w:rsid w:val="0069097B"/>
    <w:rsid w:val="00691D82"/>
    <w:rsid w:val="00692142"/>
    <w:rsid w:val="00694A7E"/>
    <w:rsid w:val="00694B83"/>
    <w:rsid w:val="00694C15"/>
    <w:rsid w:val="006954C0"/>
    <w:rsid w:val="0069695C"/>
    <w:rsid w:val="00696AD3"/>
    <w:rsid w:val="00696DDB"/>
    <w:rsid w:val="00697541"/>
    <w:rsid w:val="006A1192"/>
    <w:rsid w:val="006A2207"/>
    <w:rsid w:val="006A2885"/>
    <w:rsid w:val="006A3B37"/>
    <w:rsid w:val="006A4C4D"/>
    <w:rsid w:val="006A5C43"/>
    <w:rsid w:val="006A5FE4"/>
    <w:rsid w:val="006A63C1"/>
    <w:rsid w:val="006A68EA"/>
    <w:rsid w:val="006A7B07"/>
    <w:rsid w:val="006B00F3"/>
    <w:rsid w:val="006B0218"/>
    <w:rsid w:val="006B1D75"/>
    <w:rsid w:val="006B20C3"/>
    <w:rsid w:val="006B245A"/>
    <w:rsid w:val="006B2C2D"/>
    <w:rsid w:val="006B3276"/>
    <w:rsid w:val="006B3C18"/>
    <w:rsid w:val="006B3C95"/>
    <w:rsid w:val="006B5E5C"/>
    <w:rsid w:val="006B5F3D"/>
    <w:rsid w:val="006B60E5"/>
    <w:rsid w:val="006B7820"/>
    <w:rsid w:val="006B7A48"/>
    <w:rsid w:val="006B7DB4"/>
    <w:rsid w:val="006C0224"/>
    <w:rsid w:val="006C056E"/>
    <w:rsid w:val="006C21DC"/>
    <w:rsid w:val="006C2A29"/>
    <w:rsid w:val="006C309F"/>
    <w:rsid w:val="006C4161"/>
    <w:rsid w:val="006C4684"/>
    <w:rsid w:val="006C6402"/>
    <w:rsid w:val="006C6ADA"/>
    <w:rsid w:val="006C6F30"/>
    <w:rsid w:val="006C732E"/>
    <w:rsid w:val="006C746B"/>
    <w:rsid w:val="006C7FE4"/>
    <w:rsid w:val="006D17F9"/>
    <w:rsid w:val="006D1CE4"/>
    <w:rsid w:val="006D2A32"/>
    <w:rsid w:val="006D30C0"/>
    <w:rsid w:val="006D486F"/>
    <w:rsid w:val="006D4EA4"/>
    <w:rsid w:val="006D4EBA"/>
    <w:rsid w:val="006D5035"/>
    <w:rsid w:val="006D540E"/>
    <w:rsid w:val="006D6B52"/>
    <w:rsid w:val="006D71BE"/>
    <w:rsid w:val="006E11DA"/>
    <w:rsid w:val="006E206D"/>
    <w:rsid w:val="006E242F"/>
    <w:rsid w:val="006E2FF5"/>
    <w:rsid w:val="006E33CE"/>
    <w:rsid w:val="006E3641"/>
    <w:rsid w:val="006E545F"/>
    <w:rsid w:val="006E567B"/>
    <w:rsid w:val="006F015C"/>
    <w:rsid w:val="006F15AC"/>
    <w:rsid w:val="006F2802"/>
    <w:rsid w:val="006F2846"/>
    <w:rsid w:val="006F29C5"/>
    <w:rsid w:val="006F3116"/>
    <w:rsid w:val="006F315F"/>
    <w:rsid w:val="006F357C"/>
    <w:rsid w:val="006F3AC8"/>
    <w:rsid w:val="006F4177"/>
    <w:rsid w:val="006F438B"/>
    <w:rsid w:val="006F45B8"/>
    <w:rsid w:val="006F4C8A"/>
    <w:rsid w:val="006F57A5"/>
    <w:rsid w:val="006F76F0"/>
    <w:rsid w:val="006F79A5"/>
    <w:rsid w:val="006F7A32"/>
    <w:rsid w:val="007001C2"/>
    <w:rsid w:val="00700365"/>
    <w:rsid w:val="007010F8"/>
    <w:rsid w:val="0070134D"/>
    <w:rsid w:val="00702FCC"/>
    <w:rsid w:val="00703986"/>
    <w:rsid w:val="00703FE2"/>
    <w:rsid w:val="00704811"/>
    <w:rsid w:val="00704E8E"/>
    <w:rsid w:val="00705E66"/>
    <w:rsid w:val="00706BAC"/>
    <w:rsid w:val="0070717A"/>
    <w:rsid w:val="00710709"/>
    <w:rsid w:val="0071070B"/>
    <w:rsid w:val="00710E0C"/>
    <w:rsid w:val="00711C5E"/>
    <w:rsid w:val="0071249D"/>
    <w:rsid w:val="00713A15"/>
    <w:rsid w:val="00714398"/>
    <w:rsid w:val="00714C2E"/>
    <w:rsid w:val="00716067"/>
    <w:rsid w:val="00716A3A"/>
    <w:rsid w:val="007174A6"/>
    <w:rsid w:val="00717A0C"/>
    <w:rsid w:val="00717C3E"/>
    <w:rsid w:val="0072056D"/>
    <w:rsid w:val="00720D7F"/>
    <w:rsid w:val="00720D86"/>
    <w:rsid w:val="00721E05"/>
    <w:rsid w:val="00722226"/>
    <w:rsid w:val="0072321E"/>
    <w:rsid w:val="007233D2"/>
    <w:rsid w:val="00723F67"/>
    <w:rsid w:val="0072431B"/>
    <w:rsid w:val="0072432F"/>
    <w:rsid w:val="00724E48"/>
    <w:rsid w:val="007254FE"/>
    <w:rsid w:val="00725677"/>
    <w:rsid w:val="00725980"/>
    <w:rsid w:val="00725E37"/>
    <w:rsid w:val="00727591"/>
    <w:rsid w:val="0073024D"/>
    <w:rsid w:val="00731765"/>
    <w:rsid w:val="007342DC"/>
    <w:rsid w:val="00734373"/>
    <w:rsid w:val="00734501"/>
    <w:rsid w:val="007349A8"/>
    <w:rsid w:val="00734B53"/>
    <w:rsid w:val="0073502F"/>
    <w:rsid w:val="00735036"/>
    <w:rsid w:val="007350CA"/>
    <w:rsid w:val="00735212"/>
    <w:rsid w:val="00735A74"/>
    <w:rsid w:val="00736B05"/>
    <w:rsid w:val="00736BBD"/>
    <w:rsid w:val="00737C72"/>
    <w:rsid w:val="00740BFF"/>
    <w:rsid w:val="00741A38"/>
    <w:rsid w:val="007422A0"/>
    <w:rsid w:val="007428C7"/>
    <w:rsid w:val="00742965"/>
    <w:rsid w:val="0074349A"/>
    <w:rsid w:val="007448CD"/>
    <w:rsid w:val="00745361"/>
    <w:rsid w:val="00745E3C"/>
    <w:rsid w:val="00745FEB"/>
    <w:rsid w:val="00746392"/>
    <w:rsid w:val="00746C35"/>
    <w:rsid w:val="00747B7F"/>
    <w:rsid w:val="00752682"/>
    <w:rsid w:val="00754326"/>
    <w:rsid w:val="007543C8"/>
    <w:rsid w:val="0075623D"/>
    <w:rsid w:val="00756316"/>
    <w:rsid w:val="007568FA"/>
    <w:rsid w:val="007571E5"/>
    <w:rsid w:val="00757963"/>
    <w:rsid w:val="00757D1A"/>
    <w:rsid w:val="007607EB"/>
    <w:rsid w:val="00761379"/>
    <w:rsid w:val="00761E94"/>
    <w:rsid w:val="00762196"/>
    <w:rsid w:val="007626F2"/>
    <w:rsid w:val="00762F39"/>
    <w:rsid w:val="007632F4"/>
    <w:rsid w:val="007636B3"/>
    <w:rsid w:val="007637BF"/>
    <w:rsid w:val="00763815"/>
    <w:rsid w:val="00763CBC"/>
    <w:rsid w:val="00764082"/>
    <w:rsid w:val="0076479F"/>
    <w:rsid w:val="00764FC4"/>
    <w:rsid w:val="007657D6"/>
    <w:rsid w:val="007657F9"/>
    <w:rsid w:val="007658B7"/>
    <w:rsid w:val="00766592"/>
    <w:rsid w:val="00766F69"/>
    <w:rsid w:val="00767361"/>
    <w:rsid w:val="00767A38"/>
    <w:rsid w:val="00770B05"/>
    <w:rsid w:val="007730D2"/>
    <w:rsid w:val="00773191"/>
    <w:rsid w:val="007733B6"/>
    <w:rsid w:val="00773CB5"/>
    <w:rsid w:val="007746D6"/>
    <w:rsid w:val="007746FF"/>
    <w:rsid w:val="0077486C"/>
    <w:rsid w:val="007759C6"/>
    <w:rsid w:val="00775CBB"/>
    <w:rsid w:val="00775D9C"/>
    <w:rsid w:val="00776656"/>
    <w:rsid w:val="00777388"/>
    <w:rsid w:val="0077758A"/>
    <w:rsid w:val="00777C3F"/>
    <w:rsid w:val="00777DC3"/>
    <w:rsid w:val="00780E98"/>
    <w:rsid w:val="00781458"/>
    <w:rsid w:val="00781A0A"/>
    <w:rsid w:val="00783ED2"/>
    <w:rsid w:val="00783F63"/>
    <w:rsid w:val="00784094"/>
    <w:rsid w:val="00785382"/>
    <w:rsid w:val="007867B4"/>
    <w:rsid w:val="0078763D"/>
    <w:rsid w:val="00790163"/>
    <w:rsid w:val="007904D8"/>
    <w:rsid w:val="0079087E"/>
    <w:rsid w:val="007913EE"/>
    <w:rsid w:val="00791D1F"/>
    <w:rsid w:val="00791DB7"/>
    <w:rsid w:val="00791F9F"/>
    <w:rsid w:val="00791FB7"/>
    <w:rsid w:val="00792284"/>
    <w:rsid w:val="00792932"/>
    <w:rsid w:val="00792C45"/>
    <w:rsid w:val="00795ADB"/>
    <w:rsid w:val="00796958"/>
    <w:rsid w:val="00796D14"/>
    <w:rsid w:val="00797DA9"/>
    <w:rsid w:val="00797FDC"/>
    <w:rsid w:val="007A0094"/>
    <w:rsid w:val="007A0B22"/>
    <w:rsid w:val="007A11A4"/>
    <w:rsid w:val="007A1B10"/>
    <w:rsid w:val="007A29C7"/>
    <w:rsid w:val="007A3425"/>
    <w:rsid w:val="007A3475"/>
    <w:rsid w:val="007A4381"/>
    <w:rsid w:val="007A4666"/>
    <w:rsid w:val="007A58F6"/>
    <w:rsid w:val="007A5D58"/>
    <w:rsid w:val="007A7198"/>
    <w:rsid w:val="007A71B5"/>
    <w:rsid w:val="007B04C9"/>
    <w:rsid w:val="007B05CD"/>
    <w:rsid w:val="007B0BE1"/>
    <w:rsid w:val="007B0C1B"/>
    <w:rsid w:val="007B2844"/>
    <w:rsid w:val="007B2E37"/>
    <w:rsid w:val="007B30B1"/>
    <w:rsid w:val="007B3B4E"/>
    <w:rsid w:val="007B404F"/>
    <w:rsid w:val="007B44AC"/>
    <w:rsid w:val="007B53C2"/>
    <w:rsid w:val="007B5DD4"/>
    <w:rsid w:val="007B5F08"/>
    <w:rsid w:val="007B61F2"/>
    <w:rsid w:val="007B6266"/>
    <w:rsid w:val="007B6717"/>
    <w:rsid w:val="007B6D2B"/>
    <w:rsid w:val="007B76DE"/>
    <w:rsid w:val="007B777C"/>
    <w:rsid w:val="007C0DBE"/>
    <w:rsid w:val="007C130C"/>
    <w:rsid w:val="007C2770"/>
    <w:rsid w:val="007C3505"/>
    <w:rsid w:val="007C39A3"/>
    <w:rsid w:val="007C4594"/>
    <w:rsid w:val="007C4990"/>
    <w:rsid w:val="007C597C"/>
    <w:rsid w:val="007C5E16"/>
    <w:rsid w:val="007D02FF"/>
    <w:rsid w:val="007D0E87"/>
    <w:rsid w:val="007D254B"/>
    <w:rsid w:val="007D3324"/>
    <w:rsid w:val="007D3D05"/>
    <w:rsid w:val="007D4453"/>
    <w:rsid w:val="007D4510"/>
    <w:rsid w:val="007D4540"/>
    <w:rsid w:val="007D6CA0"/>
    <w:rsid w:val="007D77F5"/>
    <w:rsid w:val="007E0331"/>
    <w:rsid w:val="007E04DE"/>
    <w:rsid w:val="007E12DA"/>
    <w:rsid w:val="007E2B90"/>
    <w:rsid w:val="007E2EA8"/>
    <w:rsid w:val="007E426D"/>
    <w:rsid w:val="007E4FB8"/>
    <w:rsid w:val="007E51DD"/>
    <w:rsid w:val="007E6144"/>
    <w:rsid w:val="007E78F0"/>
    <w:rsid w:val="007F033D"/>
    <w:rsid w:val="007F0494"/>
    <w:rsid w:val="007F08CB"/>
    <w:rsid w:val="007F0EFF"/>
    <w:rsid w:val="007F14F9"/>
    <w:rsid w:val="007F1722"/>
    <w:rsid w:val="007F1A5A"/>
    <w:rsid w:val="007F2DBB"/>
    <w:rsid w:val="007F3091"/>
    <w:rsid w:val="007F49C1"/>
    <w:rsid w:val="007F5540"/>
    <w:rsid w:val="007F6EE0"/>
    <w:rsid w:val="007F7A41"/>
    <w:rsid w:val="007F7B56"/>
    <w:rsid w:val="007F7C4D"/>
    <w:rsid w:val="007F7F0E"/>
    <w:rsid w:val="008001ED"/>
    <w:rsid w:val="0080024F"/>
    <w:rsid w:val="00801943"/>
    <w:rsid w:val="00801C66"/>
    <w:rsid w:val="00802396"/>
    <w:rsid w:val="00802420"/>
    <w:rsid w:val="008028C9"/>
    <w:rsid w:val="00802C90"/>
    <w:rsid w:val="008037ED"/>
    <w:rsid w:val="00803E95"/>
    <w:rsid w:val="00804E85"/>
    <w:rsid w:val="008064E8"/>
    <w:rsid w:val="00806892"/>
    <w:rsid w:val="008072A5"/>
    <w:rsid w:val="00810269"/>
    <w:rsid w:val="00810356"/>
    <w:rsid w:val="00810387"/>
    <w:rsid w:val="00812165"/>
    <w:rsid w:val="008123FE"/>
    <w:rsid w:val="00812772"/>
    <w:rsid w:val="008134EF"/>
    <w:rsid w:val="0081368C"/>
    <w:rsid w:val="008144D2"/>
    <w:rsid w:val="00814873"/>
    <w:rsid w:val="00814BCB"/>
    <w:rsid w:val="00814D13"/>
    <w:rsid w:val="0081507A"/>
    <w:rsid w:val="008153F2"/>
    <w:rsid w:val="00815471"/>
    <w:rsid w:val="008206A3"/>
    <w:rsid w:val="008217FF"/>
    <w:rsid w:val="00821C66"/>
    <w:rsid w:val="00823AE4"/>
    <w:rsid w:val="00823E8E"/>
    <w:rsid w:val="008241FA"/>
    <w:rsid w:val="00826686"/>
    <w:rsid w:val="00826F14"/>
    <w:rsid w:val="00831923"/>
    <w:rsid w:val="0083433C"/>
    <w:rsid w:val="00835228"/>
    <w:rsid w:val="00835434"/>
    <w:rsid w:val="008355BB"/>
    <w:rsid w:val="0083576C"/>
    <w:rsid w:val="008357FF"/>
    <w:rsid w:val="008373EB"/>
    <w:rsid w:val="008377A9"/>
    <w:rsid w:val="008377F0"/>
    <w:rsid w:val="00837D65"/>
    <w:rsid w:val="00840347"/>
    <w:rsid w:val="008405E9"/>
    <w:rsid w:val="0084073D"/>
    <w:rsid w:val="00841AC6"/>
    <w:rsid w:val="00841AD6"/>
    <w:rsid w:val="0084259F"/>
    <w:rsid w:val="00842731"/>
    <w:rsid w:val="00843DFB"/>
    <w:rsid w:val="00845ADA"/>
    <w:rsid w:val="00845FED"/>
    <w:rsid w:val="008467CF"/>
    <w:rsid w:val="00847153"/>
    <w:rsid w:val="008471B8"/>
    <w:rsid w:val="008474C4"/>
    <w:rsid w:val="008476AC"/>
    <w:rsid w:val="00850669"/>
    <w:rsid w:val="00850A21"/>
    <w:rsid w:val="00850F83"/>
    <w:rsid w:val="00852094"/>
    <w:rsid w:val="00852504"/>
    <w:rsid w:val="008525C5"/>
    <w:rsid w:val="0085326D"/>
    <w:rsid w:val="0085367F"/>
    <w:rsid w:val="0085462C"/>
    <w:rsid w:val="008557C2"/>
    <w:rsid w:val="00855E93"/>
    <w:rsid w:val="0085685D"/>
    <w:rsid w:val="0085753F"/>
    <w:rsid w:val="00860092"/>
    <w:rsid w:val="0086068D"/>
    <w:rsid w:val="00860A53"/>
    <w:rsid w:val="00861608"/>
    <w:rsid w:val="0086186B"/>
    <w:rsid w:val="00861996"/>
    <w:rsid w:val="00861A60"/>
    <w:rsid w:val="00861B32"/>
    <w:rsid w:val="00861BC0"/>
    <w:rsid w:val="0086311A"/>
    <w:rsid w:val="00863594"/>
    <w:rsid w:val="00864C71"/>
    <w:rsid w:val="00865330"/>
    <w:rsid w:val="00865FE6"/>
    <w:rsid w:val="00866401"/>
    <w:rsid w:val="008667C9"/>
    <w:rsid w:val="00866C1E"/>
    <w:rsid w:val="00867A45"/>
    <w:rsid w:val="00867ADA"/>
    <w:rsid w:val="00870259"/>
    <w:rsid w:val="00870734"/>
    <w:rsid w:val="008719FF"/>
    <w:rsid w:val="00871A42"/>
    <w:rsid w:val="00871F59"/>
    <w:rsid w:val="0087202A"/>
    <w:rsid w:val="008728A3"/>
    <w:rsid w:val="00872B5F"/>
    <w:rsid w:val="00872D40"/>
    <w:rsid w:val="00873228"/>
    <w:rsid w:val="00873EBE"/>
    <w:rsid w:val="0087423C"/>
    <w:rsid w:val="00874511"/>
    <w:rsid w:val="008746DF"/>
    <w:rsid w:val="008749FA"/>
    <w:rsid w:val="0087695A"/>
    <w:rsid w:val="00877ACD"/>
    <w:rsid w:val="00877C30"/>
    <w:rsid w:val="00881777"/>
    <w:rsid w:val="008817DA"/>
    <w:rsid w:val="008819B1"/>
    <w:rsid w:val="00881DB8"/>
    <w:rsid w:val="0088284C"/>
    <w:rsid w:val="00882910"/>
    <w:rsid w:val="00883FFF"/>
    <w:rsid w:val="008858C9"/>
    <w:rsid w:val="00886409"/>
    <w:rsid w:val="00887608"/>
    <w:rsid w:val="00887D87"/>
    <w:rsid w:val="0089052E"/>
    <w:rsid w:val="00890A06"/>
    <w:rsid w:val="00891E37"/>
    <w:rsid w:val="00894475"/>
    <w:rsid w:val="00895FA5"/>
    <w:rsid w:val="0089615B"/>
    <w:rsid w:val="008962AF"/>
    <w:rsid w:val="0089659E"/>
    <w:rsid w:val="00897123"/>
    <w:rsid w:val="008A05A8"/>
    <w:rsid w:val="008A3005"/>
    <w:rsid w:val="008A3CB8"/>
    <w:rsid w:val="008A3ECD"/>
    <w:rsid w:val="008A5C4A"/>
    <w:rsid w:val="008A5ED0"/>
    <w:rsid w:val="008A6B8E"/>
    <w:rsid w:val="008A735E"/>
    <w:rsid w:val="008A778A"/>
    <w:rsid w:val="008A7DFE"/>
    <w:rsid w:val="008A7E44"/>
    <w:rsid w:val="008B058C"/>
    <w:rsid w:val="008B09F3"/>
    <w:rsid w:val="008B13CA"/>
    <w:rsid w:val="008B1942"/>
    <w:rsid w:val="008B2B3A"/>
    <w:rsid w:val="008B2BD1"/>
    <w:rsid w:val="008B35B2"/>
    <w:rsid w:val="008B4080"/>
    <w:rsid w:val="008B46AA"/>
    <w:rsid w:val="008B476D"/>
    <w:rsid w:val="008B59EE"/>
    <w:rsid w:val="008B5B8D"/>
    <w:rsid w:val="008B60CF"/>
    <w:rsid w:val="008B6769"/>
    <w:rsid w:val="008B6D57"/>
    <w:rsid w:val="008B7EB8"/>
    <w:rsid w:val="008C00AB"/>
    <w:rsid w:val="008C00DE"/>
    <w:rsid w:val="008C08AC"/>
    <w:rsid w:val="008C12B8"/>
    <w:rsid w:val="008C2B07"/>
    <w:rsid w:val="008C37CD"/>
    <w:rsid w:val="008C4917"/>
    <w:rsid w:val="008C5B7F"/>
    <w:rsid w:val="008C6B69"/>
    <w:rsid w:val="008D0EDB"/>
    <w:rsid w:val="008D3CCD"/>
    <w:rsid w:val="008D3EF3"/>
    <w:rsid w:val="008D4395"/>
    <w:rsid w:val="008D5685"/>
    <w:rsid w:val="008D63DE"/>
    <w:rsid w:val="008D682E"/>
    <w:rsid w:val="008D68DA"/>
    <w:rsid w:val="008D718D"/>
    <w:rsid w:val="008D7E01"/>
    <w:rsid w:val="008E0307"/>
    <w:rsid w:val="008E0432"/>
    <w:rsid w:val="008E0AC9"/>
    <w:rsid w:val="008E0EE9"/>
    <w:rsid w:val="008E11F6"/>
    <w:rsid w:val="008E173D"/>
    <w:rsid w:val="008E32BB"/>
    <w:rsid w:val="008E39DE"/>
    <w:rsid w:val="008E45D2"/>
    <w:rsid w:val="008E4C8E"/>
    <w:rsid w:val="008E51EA"/>
    <w:rsid w:val="008E617F"/>
    <w:rsid w:val="008E6223"/>
    <w:rsid w:val="008E6E41"/>
    <w:rsid w:val="008E6E72"/>
    <w:rsid w:val="008E7420"/>
    <w:rsid w:val="008E79B6"/>
    <w:rsid w:val="008F1169"/>
    <w:rsid w:val="008F1274"/>
    <w:rsid w:val="008F1635"/>
    <w:rsid w:val="008F2586"/>
    <w:rsid w:val="008F2D83"/>
    <w:rsid w:val="008F43CC"/>
    <w:rsid w:val="008F5234"/>
    <w:rsid w:val="008F557A"/>
    <w:rsid w:val="008F5C4D"/>
    <w:rsid w:val="008F5FA6"/>
    <w:rsid w:val="008F6145"/>
    <w:rsid w:val="008F64B6"/>
    <w:rsid w:val="008F6668"/>
    <w:rsid w:val="008F7971"/>
    <w:rsid w:val="00900104"/>
    <w:rsid w:val="009006EA"/>
    <w:rsid w:val="009008C2"/>
    <w:rsid w:val="009019DD"/>
    <w:rsid w:val="00901C9C"/>
    <w:rsid w:val="00901F22"/>
    <w:rsid w:val="00903079"/>
    <w:rsid w:val="00903464"/>
    <w:rsid w:val="00903672"/>
    <w:rsid w:val="009041FA"/>
    <w:rsid w:val="00904436"/>
    <w:rsid w:val="00905340"/>
    <w:rsid w:val="009058E8"/>
    <w:rsid w:val="009068E1"/>
    <w:rsid w:val="00906A3B"/>
    <w:rsid w:val="00907B39"/>
    <w:rsid w:val="00910701"/>
    <w:rsid w:val="00910BAE"/>
    <w:rsid w:val="00911DE0"/>
    <w:rsid w:val="009120A0"/>
    <w:rsid w:val="00912379"/>
    <w:rsid w:val="009124B5"/>
    <w:rsid w:val="0091254B"/>
    <w:rsid w:val="00912827"/>
    <w:rsid w:val="00912EDC"/>
    <w:rsid w:val="009134FD"/>
    <w:rsid w:val="00913658"/>
    <w:rsid w:val="00913768"/>
    <w:rsid w:val="009138F2"/>
    <w:rsid w:val="00913CCA"/>
    <w:rsid w:val="00914647"/>
    <w:rsid w:val="00914A74"/>
    <w:rsid w:val="00915790"/>
    <w:rsid w:val="00915AB1"/>
    <w:rsid w:val="00915FCF"/>
    <w:rsid w:val="0091716D"/>
    <w:rsid w:val="00920943"/>
    <w:rsid w:val="00921243"/>
    <w:rsid w:val="0092180C"/>
    <w:rsid w:val="00921C21"/>
    <w:rsid w:val="0092213A"/>
    <w:rsid w:val="00922733"/>
    <w:rsid w:val="00922B41"/>
    <w:rsid w:val="00922DF3"/>
    <w:rsid w:val="00922F91"/>
    <w:rsid w:val="00922FC3"/>
    <w:rsid w:val="00923404"/>
    <w:rsid w:val="00923B7B"/>
    <w:rsid w:val="00924F3A"/>
    <w:rsid w:val="00925053"/>
    <w:rsid w:val="009253D2"/>
    <w:rsid w:val="00926092"/>
    <w:rsid w:val="00926183"/>
    <w:rsid w:val="00926732"/>
    <w:rsid w:val="00926752"/>
    <w:rsid w:val="00926977"/>
    <w:rsid w:val="00926C21"/>
    <w:rsid w:val="009273B5"/>
    <w:rsid w:val="0092760C"/>
    <w:rsid w:val="00930154"/>
    <w:rsid w:val="00930522"/>
    <w:rsid w:val="00931960"/>
    <w:rsid w:val="00931A2C"/>
    <w:rsid w:val="009331DF"/>
    <w:rsid w:val="0093366B"/>
    <w:rsid w:val="00934433"/>
    <w:rsid w:val="009345FF"/>
    <w:rsid w:val="00936E9E"/>
    <w:rsid w:val="009405C9"/>
    <w:rsid w:val="009409DD"/>
    <w:rsid w:val="00941454"/>
    <w:rsid w:val="00942438"/>
    <w:rsid w:val="0094285F"/>
    <w:rsid w:val="00942E29"/>
    <w:rsid w:val="009436A7"/>
    <w:rsid w:val="00944416"/>
    <w:rsid w:val="00944661"/>
    <w:rsid w:val="00944822"/>
    <w:rsid w:val="00945E1F"/>
    <w:rsid w:val="0094673D"/>
    <w:rsid w:val="009475B5"/>
    <w:rsid w:val="009510AF"/>
    <w:rsid w:val="00952927"/>
    <w:rsid w:val="009533B4"/>
    <w:rsid w:val="00953D56"/>
    <w:rsid w:val="009542C5"/>
    <w:rsid w:val="00954D86"/>
    <w:rsid w:val="00954DBC"/>
    <w:rsid w:val="009550A5"/>
    <w:rsid w:val="00955AB6"/>
    <w:rsid w:val="00956359"/>
    <w:rsid w:val="00956532"/>
    <w:rsid w:val="0095680A"/>
    <w:rsid w:val="00956C2E"/>
    <w:rsid w:val="009573EE"/>
    <w:rsid w:val="00957D38"/>
    <w:rsid w:val="00957E7A"/>
    <w:rsid w:val="00960265"/>
    <w:rsid w:val="009605B4"/>
    <w:rsid w:val="0096107B"/>
    <w:rsid w:val="009619CC"/>
    <w:rsid w:val="00961DDF"/>
    <w:rsid w:val="00962BA5"/>
    <w:rsid w:val="0096306C"/>
    <w:rsid w:val="00964BFD"/>
    <w:rsid w:val="0096523C"/>
    <w:rsid w:val="00966197"/>
    <w:rsid w:val="00966C93"/>
    <w:rsid w:val="0096731D"/>
    <w:rsid w:val="00967825"/>
    <w:rsid w:val="00967F43"/>
    <w:rsid w:val="00970177"/>
    <w:rsid w:val="00970F3B"/>
    <w:rsid w:val="00971D65"/>
    <w:rsid w:val="00972054"/>
    <w:rsid w:val="00972AD0"/>
    <w:rsid w:val="0097412E"/>
    <w:rsid w:val="00974193"/>
    <w:rsid w:val="00974881"/>
    <w:rsid w:val="00974A41"/>
    <w:rsid w:val="00975400"/>
    <w:rsid w:val="009775C1"/>
    <w:rsid w:val="009805D8"/>
    <w:rsid w:val="009806C9"/>
    <w:rsid w:val="00982647"/>
    <w:rsid w:val="0098267C"/>
    <w:rsid w:val="00982697"/>
    <w:rsid w:val="0098291A"/>
    <w:rsid w:val="009829D4"/>
    <w:rsid w:val="00982ED7"/>
    <w:rsid w:val="00983704"/>
    <w:rsid w:val="00984046"/>
    <w:rsid w:val="00984D50"/>
    <w:rsid w:val="009850FC"/>
    <w:rsid w:val="009854D1"/>
    <w:rsid w:val="00985521"/>
    <w:rsid w:val="00985B19"/>
    <w:rsid w:val="00987A81"/>
    <w:rsid w:val="00987A88"/>
    <w:rsid w:val="009910EF"/>
    <w:rsid w:val="009912C9"/>
    <w:rsid w:val="00991CCF"/>
    <w:rsid w:val="00992907"/>
    <w:rsid w:val="0099324E"/>
    <w:rsid w:val="00993376"/>
    <w:rsid w:val="009936B5"/>
    <w:rsid w:val="00993881"/>
    <w:rsid w:val="00993B1E"/>
    <w:rsid w:val="00993F61"/>
    <w:rsid w:val="0099414A"/>
    <w:rsid w:val="00994619"/>
    <w:rsid w:val="009949CA"/>
    <w:rsid w:val="00994DB2"/>
    <w:rsid w:val="00995284"/>
    <w:rsid w:val="00995295"/>
    <w:rsid w:val="00995B43"/>
    <w:rsid w:val="009967D1"/>
    <w:rsid w:val="0099686B"/>
    <w:rsid w:val="009968B1"/>
    <w:rsid w:val="00997197"/>
    <w:rsid w:val="00997727"/>
    <w:rsid w:val="00997D7E"/>
    <w:rsid w:val="00997DED"/>
    <w:rsid w:val="009A0552"/>
    <w:rsid w:val="009A0682"/>
    <w:rsid w:val="009A0C75"/>
    <w:rsid w:val="009A17B7"/>
    <w:rsid w:val="009A1CF1"/>
    <w:rsid w:val="009A1ED5"/>
    <w:rsid w:val="009A2F61"/>
    <w:rsid w:val="009A2FA8"/>
    <w:rsid w:val="009A309E"/>
    <w:rsid w:val="009A601A"/>
    <w:rsid w:val="009A702F"/>
    <w:rsid w:val="009A7091"/>
    <w:rsid w:val="009A7445"/>
    <w:rsid w:val="009A7BD0"/>
    <w:rsid w:val="009B13FE"/>
    <w:rsid w:val="009B1C1A"/>
    <w:rsid w:val="009B1DC1"/>
    <w:rsid w:val="009B20AF"/>
    <w:rsid w:val="009B3162"/>
    <w:rsid w:val="009B37B1"/>
    <w:rsid w:val="009B38B4"/>
    <w:rsid w:val="009B3C09"/>
    <w:rsid w:val="009B3F1A"/>
    <w:rsid w:val="009B4D49"/>
    <w:rsid w:val="009B56AE"/>
    <w:rsid w:val="009B61FF"/>
    <w:rsid w:val="009B6B5E"/>
    <w:rsid w:val="009C11E4"/>
    <w:rsid w:val="009C13A4"/>
    <w:rsid w:val="009C14FA"/>
    <w:rsid w:val="009C1A7F"/>
    <w:rsid w:val="009C1DAE"/>
    <w:rsid w:val="009C1F62"/>
    <w:rsid w:val="009C2FE3"/>
    <w:rsid w:val="009C3097"/>
    <w:rsid w:val="009C319F"/>
    <w:rsid w:val="009C32C3"/>
    <w:rsid w:val="009C3AD1"/>
    <w:rsid w:val="009C4F59"/>
    <w:rsid w:val="009C7527"/>
    <w:rsid w:val="009C7960"/>
    <w:rsid w:val="009C7FCC"/>
    <w:rsid w:val="009D0109"/>
    <w:rsid w:val="009D03FE"/>
    <w:rsid w:val="009D0550"/>
    <w:rsid w:val="009D0577"/>
    <w:rsid w:val="009D10D1"/>
    <w:rsid w:val="009D19A0"/>
    <w:rsid w:val="009D278E"/>
    <w:rsid w:val="009D2FFC"/>
    <w:rsid w:val="009D322A"/>
    <w:rsid w:val="009D35D4"/>
    <w:rsid w:val="009D3FD8"/>
    <w:rsid w:val="009D5387"/>
    <w:rsid w:val="009D655B"/>
    <w:rsid w:val="009D696C"/>
    <w:rsid w:val="009E0C11"/>
    <w:rsid w:val="009E11CC"/>
    <w:rsid w:val="009E1CF2"/>
    <w:rsid w:val="009E2997"/>
    <w:rsid w:val="009E2C7B"/>
    <w:rsid w:val="009E392B"/>
    <w:rsid w:val="009E47DA"/>
    <w:rsid w:val="009E53FE"/>
    <w:rsid w:val="009E68EF"/>
    <w:rsid w:val="009E6A3F"/>
    <w:rsid w:val="009E7B5F"/>
    <w:rsid w:val="009F03C0"/>
    <w:rsid w:val="009F0814"/>
    <w:rsid w:val="009F157E"/>
    <w:rsid w:val="009F15AF"/>
    <w:rsid w:val="009F2018"/>
    <w:rsid w:val="009F31B5"/>
    <w:rsid w:val="009F3E65"/>
    <w:rsid w:val="009F40C7"/>
    <w:rsid w:val="009F5102"/>
    <w:rsid w:val="009F54F8"/>
    <w:rsid w:val="009F6CE0"/>
    <w:rsid w:val="009F7269"/>
    <w:rsid w:val="009F7316"/>
    <w:rsid w:val="009F7871"/>
    <w:rsid w:val="00A00260"/>
    <w:rsid w:val="00A01646"/>
    <w:rsid w:val="00A0208C"/>
    <w:rsid w:val="00A02B01"/>
    <w:rsid w:val="00A02EFA"/>
    <w:rsid w:val="00A030A6"/>
    <w:rsid w:val="00A0390D"/>
    <w:rsid w:val="00A03ABE"/>
    <w:rsid w:val="00A03BFF"/>
    <w:rsid w:val="00A03F8B"/>
    <w:rsid w:val="00A0425C"/>
    <w:rsid w:val="00A04494"/>
    <w:rsid w:val="00A04C4B"/>
    <w:rsid w:val="00A04E23"/>
    <w:rsid w:val="00A060ED"/>
    <w:rsid w:val="00A06D5D"/>
    <w:rsid w:val="00A07368"/>
    <w:rsid w:val="00A07F08"/>
    <w:rsid w:val="00A1061C"/>
    <w:rsid w:val="00A10CA0"/>
    <w:rsid w:val="00A1143D"/>
    <w:rsid w:val="00A12736"/>
    <w:rsid w:val="00A12C3E"/>
    <w:rsid w:val="00A13128"/>
    <w:rsid w:val="00A1508F"/>
    <w:rsid w:val="00A15AA1"/>
    <w:rsid w:val="00A15B3F"/>
    <w:rsid w:val="00A16457"/>
    <w:rsid w:val="00A1652C"/>
    <w:rsid w:val="00A170FA"/>
    <w:rsid w:val="00A1740F"/>
    <w:rsid w:val="00A20432"/>
    <w:rsid w:val="00A21E5F"/>
    <w:rsid w:val="00A22AD7"/>
    <w:rsid w:val="00A24306"/>
    <w:rsid w:val="00A24420"/>
    <w:rsid w:val="00A24510"/>
    <w:rsid w:val="00A26075"/>
    <w:rsid w:val="00A26673"/>
    <w:rsid w:val="00A2683D"/>
    <w:rsid w:val="00A26F32"/>
    <w:rsid w:val="00A272CF"/>
    <w:rsid w:val="00A27954"/>
    <w:rsid w:val="00A27A7B"/>
    <w:rsid w:val="00A307AF"/>
    <w:rsid w:val="00A30DAB"/>
    <w:rsid w:val="00A31D60"/>
    <w:rsid w:val="00A32159"/>
    <w:rsid w:val="00A32E3F"/>
    <w:rsid w:val="00A339CF"/>
    <w:rsid w:val="00A33E14"/>
    <w:rsid w:val="00A35A2E"/>
    <w:rsid w:val="00A35E69"/>
    <w:rsid w:val="00A36CBF"/>
    <w:rsid w:val="00A3750E"/>
    <w:rsid w:val="00A37D38"/>
    <w:rsid w:val="00A40397"/>
    <w:rsid w:val="00A41D4A"/>
    <w:rsid w:val="00A4202C"/>
    <w:rsid w:val="00A4289F"/>
    <w:rsid w:val="00A4319E"/>
    <w:rsid w:val="00A44053"/>
    <w:rsid w:val="00A44646"/>
    <w:rsid w:val="00A44984"/>
    <w:rsid w:val="00A4599E"/>
    <w:rsid w:val="00A47370"/>
    <w:rsid w:val="00A47912"/>
    <w:rsid w:val="00A51854"/>
    <w:rsid w:val="00A51863"/>
    <w:rsid w:val="00A51A1F"/>
    <w:rsid w:val="00A51EB3"/>
    <w:rsid w:val="00A5206D"/>
    <w:rsid w:val="00A524DC"/>
    <w:rsid w:val="00A5272C"/>
    <w:rsid w:val="00A52B44"/>
    <w:rsid w:val="00A5367E"/>
    <w:rsid w:val="00A56784"/>
    <w:rsid w:val="00A567FE"/>
    <w:rsid w:val="00A5684A"/>
    <w:rsid w:val="00A57163"/>
    <w:rsid w:val="00A57548"/>
    <w:rsid w:val="00A579D8"/>
    <w:rsid w:val="00A57A12"/>
    <w:rsid w:val="00A57F12"/>
    <w:rsid w:val="00A6087E"/>
    <w:rsid w:val="00A61147"/>
    <w:rsid w:val="00A624DF"/>
    <w:rsid w:val="00A62DE0"/>
    <w:rsid w:val="00A62F04"/>
    <w:rsid w:val="00A63B5C"/>
    <w:rsid w:val="00A63FD1"/>
    <w:rsid w:val="00A64234"/>
    <w:rsid w:val="00A64A8F"/>
    <w:rsid w:val="00A65C8A"/>
    <w:rsid w:val="00A66887"/>
    <w:rsid w:val="00A66C28"/>
    <w:rsid w:val="00A674C3"/>
    <w:rsid w:val="00A67D1E"/>
    <w:rsid w:val="00A709F2"/>
    <w:rsid w:val="00A7224C"/>
    <w:rsid w:val="00A72342"/>
    <w:rsid w:val="00A72845"/>
    <w:rsid w:val="00A72A2C"/>
    <w:rsid w:val="00A73894"/>
    <w:rsid w:val="00A7478E"/>
    <w:rsid w:val="00A74C89"/>
    <w:rsid w:val="00A763F0"/>
    <w:rsid w:val="00A76B06"/>
    <w:rsid w:val="00A77458"/>
    <w:rsid w:val="00A81357"/>
    <w:rsid w:val="00A816B6"/>
    <w:rsid w:val="00A82B81"/>
    <w:rsid w:val="00A832B1"/>
    <w:rsid w:val="00A83881"/>
    <w:rsid w:val="00A83E5B"/>
    <w:rsid w:val="00A846C1"/>
    <w:rsid w:val="00A847E4"/>
    <w:rsid w:val="00A85621"/>
    <w:rsid w:val="00A856CC"/>
    <w:rsid w:val="00A85766"/>
    <w:rsid w:val="00A901D3"/>
    <w:rsid w:val="00A90203"/>
    <w:rsid w:val="00A90265"/>
    <w:rsid w:val="00A90C0B"/>
    <w:rsid w:val="00A910CC"/>
    <w:rsid w:val="00A915E2"/>
    <w:rsid w:val="00A92C10"/>
    <w:rsid w:val="00A92F2E"/>
    <w:rsid w:val="00A936AB"/>
    <w:rsid w:val="00A936DE"/>
    <w:rsid w:val="00A9399F"/>
    <w:rsid w:val="00A93D71"/>
    <w:rsid w:val="00A941C6"/>
    <w:rsid w:val="00A95E42"/>
    <w:rsid w:val="00A97B26"/>
    <w:rsid w:val="00AA06A3"/>
    <w:rsid w:val="00AA0B3C"/>
    <w:rsid w:val="00AA25A4"/>
    <w:rsid w:val="00AA34FD"/>
    <w:rsid w:val="00AA3D61"/>
    <w:rsid w:val="00AA5CD5"/>
    <w:rsid w:val="00AA6A71"/>
    <w:rsid w:val="00AA78B9"/>
    <w:rsid w:val="00AB0479"/>
    <w:rsid w:val="00AB123E"/>
    <w:rsid w:val="00AB131D"/>
    <w:rsid w:val="00AB3F4C"/>
    <w:rsid w:val="00AB47F4"/>
    <w:rsid w:val="00AB491D"/>
    <w:rsid w:val="00AB5FE9"/>
    <w:rsid w:val="00AB6460"/>
    <w:rsid w:val="00AC0197"/>
    <w:rsid w:val="00AC06E5"/>
    <w:rsid w:val="00AC1501"/>
    <w:rsid w:val="00AC1804"/>
    <w:rsid w:val="00AC1EC1"/>
    <w:rsid w:val="00AC23F5"/>
    <w:rsid w:val="00AC2E33"/>
    <w:rsid w:val="00AC363C"/>
    <w:rsid w:val="00AC5BC8"/>
    <w:rsid w:val="00AC6039"/>
    <w:rsid w:val="00AC648F"/>
    <w:rsid w:val="00AC7172"/>
    <w:rsid w:val="00AC71F2"/>
    <w:rsid w:val="00AC73F1"/>
    <w:rsid w:val="00AC7D63"/>
    <w:rsid w:val="00AD0642"/>
    <w:rsid w:val="00AD0A23"/>
    <w:rsid w:val="00AD0D4A"/>
    <w:rsid w:val="00AD0EA2"/>
    <w:rsid w:val="00AD16DC"/>
    <w:rsid w:val="00AD1B67"/>
    <w:rsid w:val="00AD233C"/>
    <w:rsid w:val="00AD3F6F"/>
    <w:rsid w:val="00AD41C9"/>
    <w:rsid w:val="00AD4C3D"/>
    <w:rsid w:val="00AD4E49"/>
    <w:rsid w:val="00AD6138"/>
    <w:rsid w:val="00AD68BB"/>
    <w:rsid w:val="00AD7DD0"/>
    <w:rsid w:val="00AE0F64"/>
    <w:rsid w:val="00AE1706"/>
    <w:rsid w:val="00AE2130"/>
    <w:rsid w:val="00AE281D"/>
    <w:rsid w:val="00AE2B40"/>
    <w:rsid w:val="00AE3227"/>
    <w:rsid w:val="00AE394C"/>
    <w:rsid w:val="00AE4277"/>
    <w:rsid w:val="00AE44AE"/>
    <w:rsid w:val="00AE46E1"/>
    <w:rsid w:val="00AE48F8"/>
    <w:rsid w:val="00AE4DF1"/>
    <w:rsid w:val="00AE5D77"/>
    <w:rsid w:val="00AE5E91"/>
    <w:rsid w:val="00AE7E56"/>
    <w:rsid w:val="00AF016A"/>
    <w:rsid w:val="00AF12AC"/>
    <w:rsid w:val="00AF342A"/>
    <w:rsid w:val="00AF35C7"/>
    <w:rsid w:val="00AF3B21"/>
    <w:rsid w:val="00AF4209"/>
    <w:rsid w:val="00AF438E"/>
    <w:rsid w:val="00AF4E62"/>
    <w:rsid w:val="00AF56AD"/>
    <w:rsid w:val="00AF578F"/>
    <w:rsid w:val="00AF585D"/>
    <w:rsid w:val="00AF6370"/>
    <w:rsid w:val="00AF6511"/>
    <w:rsid w:val="00AF6BA0"/>
    <w:rsid w:val="00AF6F86"/>
    <w:rsid w:val="00AF7C1C"/>
    <w:rsid w:val="00AF7D4D"/>
    <w:rsid w:val="00B0044B"/>
    <w:rsid w:val="00B00A9A"/>
    <w:rsid w:val="00B00B16"/>
    <w:rsid w:val="00B024DF"/>
    <w:rsid w:val="00B0275C"/>
    <w:rsid w:val="00B03015"/>
    <w:rsid w:val="00B0348E"/>
    <w:rsid w:val="00B035BC"/>
    <w:rsid w:val="00B035C7"/>
    <w:rsid w:val="00B03BAE"/>
    <w:rsid w:val="00B03CF2"/>
    <w:rsid w:val="00B04289"/>
    <w:rsid w:val="00B04ADC"/>
    <w:rsid w:val="00B04DAA"/>
    <w:rsid w:val="00B04F01"/>
    <w:rsid w:val="00B04F63"/>
    <w:rsid w:val="00B052EA"/>
    <w:rsid w:val="00B05D4B"/>
    <w:rsid w:val="00B05DAF"/>
    <w:rsid w:val="00B06012"/>
    <w:rsid w:val="00B0683C"/>
    <w:rsid w:val="00B07B12"/>
    <w:rsid w:val="00B113DE"/>
    <w:rsid w:val="00B13490"/>
    <w:rsid w:val="00B142BB"/>
    <w:rsid w:val="00B14313"/>
    <w:rsid w:val="00B15BF5"/>
    <w:rsid w:val="00B15FE6"/>
    <w:rsid w:val="00B16006"/>
    <w:rsid w:val="00B1647B"/>
    <w:rsid w:val="00B165EA"/>
    <w:rsid w:val="00B16BD1"/>
    <w:rsid w:val="00B16DEC"/>
    <w:rsid w:val="00B17401"/>
    <w:rsid w:val="00B17800"/>
    <w:rsid w:val="00B205C2"/>
    <w:rsid w:val="00B20EEA"/>
    <w:rsid w:val="00B20FB4"/>
    <w:rsid w:val="00B2177E"/>
    <w:rsid w:val="00B22022"/>
    <w:rsid w:val="00B23486"/>
    <w:rsid w:val="00B2518A"/>
    <w:rsid w:val="00B261D3"/>
    <w:rsid w:val="00B26AC9"/>
    <w:rsid w:val="00B3055E"/>
    <w:rsid w:val="00B30F14"/>
    <w:rsid w:val="00B31222"/>
    <w:rsid w:val="00B31C59"/>
    <w:rsid w:val="00B31EA5"/>
    <w:rsid w:val="00B32552"/>
    <w:rsid w:val="00B32BD1"/>
    <w:rsid w:val="00B33139"/>
    <w:rsid w:val="00B33ACF"/>
    <w:rsid w:val="00B341F4"/>
    <w:rsid w:val="00B3481D"/>
    <w:rsid w:val="00B34AEC"/>
    <w:rsid w:val="00B35FAE"/>
    <w:rsid w:val="00B36448"/>
    <w:rsid w:val="00B366FB"/>
    <w:rsid w:val="00B36BA7"/>
    <w:rsid w:val="00B37D57"/>
    <w:rsid w:val="00B41137"/>
    <w:rsid w:val="00B42368"/>
    <w:rsid w:val="00B427D6"/>
    <w:rsid w:val="00B44631"/>
    <w:rsid w:val="00B458FE"/>
    <w:rsid w:val="00B45E8F"/>
    <w:rsid w:val="00B461CD"/>
    <w:rsid w:val="00B46679"/>
    <w:rsid w:val="00B47EA8"/>
    <w:rsid w:val="00B5034C"/>
    <w:rsid w:val="00B50905"/>
    <w:rsid w:val="00B510E6"/>
    <w:rsid w:val="00B51393"/>
    <w:rsid w:val="00B51E0E"/>
    <w:rsid w:val="00B51EB7"/>
    <w:rsid w:val="00B5200A"/>
    <w:rsid w:val="00B5266E"/>
    <w:rsid w:val="00B527F1"/>
    <w:rsid w:val="00B52CC0"/>
    <w:rsid w:val="00B53106"/>
    <w:rsid w:val="00B53C06"/>
    <w:rsid w:val="00B53EFB"/>
    <w:rsid w:val="00B54AED"/>
    <w:rsid w:val="00B54B6A"/>
    <w:rsid w:val="00B555FA"/>
    <w:rsid w:val="00B56312"/>
    <w:rsid w:val="00B56AA8"/>
    <w:rsid w:val="00B57466"/>
    <w:rsid w:val="00B60010"/>
    <w:rsid w:val="00B600C8"/>
    <w:rsid w:val="00B601AF"/>
    <w:rsid w:val="00B602F1"/>
    <w:rsid w:val="00B6138F"/>
    <w:rsid w:val="00B61584"/>
    <w:rsid w:val="00B622A1"/>
    <w:rsid w:val="00B62606"/>
    <w:rsid w:val="00B6269A"/>
    <w:rsid w:val="00B62827"/>
    <w:rsid w:val="00B63CA9"/>
    <w:rsid w:val="00B66026"/>
    <w:rsid w:val="00B67AE0"/>
    <w:rsid w:val="00B70313"/>
    <w:rsid w:val="00B71774"/>
    <w:rsid w:val="00B7181B"/>
    <w:rsid w:val="00B72896"/>
    <w:rsid w:val="00B72B05"/>
    <w:rsid w:val="00B72D7C"/>
    <w:rsid w:val="00B73017"/>
    <w:rsid w:val="00B730B6"/>
    <w:rsid w:val="00B7316B"/>
    <w:rsid w:val="00B7357F"/>
    <w:rsid w:val="00B73BB2"/>
    <w:rsid w:val="00B73F79"/>
    <w:rsid w:val="00B75FD6"/>
    <w:rsid w:val="00B76B62"/>
    <w:rsid w:val="00B80039"/>
    <w:rsid w:val="00B81CE0"/>
    <w:rsid w:val="00B84016"/>
    <w:rsid w:val="00B84F9D"/>
    <w:rsid w:val="00B857D1"/>
    <w:rsid w:val="00B85C94"/>
    <w:rsid w:val="00B860E2"/>
    <w:rsid w:val="00B86327"/>
    <w:rsid w:val="00B86812"/>
    <w:rsid w:val="00B86D52"/>
    <w:rsid w:val="00B86E84"/>
    <w:rsid w:val="00B87E3B"/>
    <w:rsid w:val="00B91F6A"/>
    <w:rsid w:val="00B9213E"/>
    <w:rsid w:val="00B9299D"/>
    <w:rsid w:val="00B93F43"/>
    <w:rsid w:val="00B93FF3"/>
    <w:rsid w:val="00B95C9D"/>
    <w:rsid w:val="00B95D79"/>
    <w:rsid w:val="00B95EC4"/>
    <w:rsid w:val="00B964D3"/>
    <w:rsid w:val="00B96E1D"/>
    <w:rsid w:val="00B97246"/>
    <w:rsid w:val="00BA040F"/>
    <w:rsid w:val="00BA0581"/>
    <w:rsid w:val="00BA1272"/>
    <w:rsid w:val="00BA1CAE"/>
    <w:rsid w:val="00BA1FE1"/>
    <w:rsid w:val="00BA2128"/>
    <w:rsid w:val="00BA22BD"/>
    <w:rsid w:val="00BA29B4"/>
    <w:rsid w:val="00BA2AF7"/>
    <w:rsid w:val="00BA2F24"/>
    <w:rsid w:val="00BA37E8"/>
    <w:rsid w:val="00BA4015"/>
    <w:rsid w:val="00BA4016"/>
    <w:rsid w:val="00BA453A"/>
    <w:rsid w:val="00BA4AE9"/>
    <w:rsid w:val="00BA4C0D"/>
    <w:rsid w:val="00BA4FA8"/>
    <w:rsid w:val="00BA58AA"/>
    <w:rsid w:val="00BA6D76"/>
    <w:rsid w:val="00BA7537"/>
    <w:rsid w:val="00BA77C6"/>
    <w:rsid w:val="00BB04F1"/>
    <w:rsid w:val="00BB1207"/>
    <w:rsid w:val="00BB1EA9"/>
    <w:rsid w:val="00BB2A86"/>
    <w:rsid w:val="00BB2C87"/>
    <w:rsid w:val="00BB32DF"/>
    <w:rsid w:val="00BB35FA"/>
    <w:rsid w:val="00BB75F0"/>
    <w:rsid w:val="00BC0EDE"/>
    <w:rsid w:val="00BC1019"/>
    <w:rsid w:val="00BC13E1"/>
    <w:rsid w:val="00BC1FCC"/>
    <w:rsid w:val="00BC2017"/>
    <w:rsid w:val="00BC287B"/>
    <w:rsid w:val="00BC348C"/>
    <w:rsid w:val="00BC3B2E"/>
    <w:rsid w:val="00BC3D47"/>
    <w:rsid w:val="00BC3EB6"/>
    <w:rsid w:val="00BC3FE4"/>
    <w:rsid w:val="00BC4354"/>
    <w:rsid w:val="00BC4E59"/>
    <w:rsid w:val="00BC5C38"/>
    <w:rsid w:val="00BC5ED2"/>
    <w:rsid w:val="00BC61D8"/>
    <w:rsid w:val="00BC6755"/>
    <w:rsid w:val="00BC77A6"/>
    <w:rsid w:val="00BC7C06"/>
    <w:rsid w:val="00BD0AAC"/>
    <w:rsid w:val="00BD0B47"/>
    <w:rsid w:val="00BD0CBC"/>
    <w:rsid w:val="00BD0ED6"/>
    <w:rsid w:val="00BD146D"/>
    <w:rsid w:val="00BD183E"/>
    <w:rsid w:val="00BD1875"/>
    <w:rsid w:val="00BD1E78"/>
    <w:rsid w:val="00BD3566"/>
    <w:rsid w:val="00BD4156"/>
    <w:rsid w:val="00BD4419"/>
    <w:rsid w:val="00BE10F0"/>
    <w:rsid w:val="00BE3728"/>
    <w:rsid w:val="00BE3ED3"/>
    <w:rsid w:val="00BE3F41"/>
    <w:rsid w:val="00BE415B"/>
    <w:rsid w:val="00BE46A3"/>
    <w:rsid w:val="00BE6488"/>
    <w:rsid w:val="00BE6FC4"/>
    <w:rsid w:val="00BE7B2E"/>
    <w:rsid w:val="00BE7ED8"/>
    <w:rsid w:val="00BF0173"/>
    <w:rsid w:val="00BF0925"/>
    <w:rsid w:val="00BF0C1A"/>
    <w:rsid w:val="00BF10A3"/>
    <w:rsid w:val="00BF18AC"/>
    <w:rsid w:val="00BF323F"/>
    <w:rsid w:val="00BF3345"/>
    <w:rsid w:val="00BF39C1"/>
    <w:rsid w:val="00BF3A8A"/>
    <w:rsid w:val="00BF4AB8"/>
    <w:rsid w:val="00BF4E0B"/>
    <w:rsid w:val="00BF5035"/>
    <w:rsid w:val="00BF5898"/>
    <w:rsid w:val="00BF6DFC"/>
    <w:rsid w:val="00C00536"/>
    <w:rsid w:val="00C0062E"/>
    <w:rsid w:val="00C007AD"/>
    <w:rsid w:val="00C008E3"/>
    <w:rsid w:val="00C00BFF"/>
    <w:rsid w:val="00C00FEF"/>
    <w:rsid w:val="00C028C6"/>
    <w:rsid w:val="00C02EAE"/>
    <w:rsid w:val="00C0451C"/>
    <w:rsid w:val="00C05B12"/>
    <w:rsid w:val="00C06A18"/>
    <w:rsid w:val="00C06CD0"/>
    <w:rsid w:val="00C074BC"/>
    <w:rsid w:val="00C076C5"/>
    <w:rsid w:val="00C07902"/>
    <w:rsid w:val="00C07EAC"/>
    <w:rsid w:val="00C07EDA"/>
    <w:rsid w:val="00C102F1"/>
    <w:rsid w:val="00C1070A"/>
    <w:rsid w:val="00C11132"/>
    <w:rsid w:val="00C11640"/>
    <w:rsid w:val="00C11A63"/>
    <w:rsid w:val="00C12DFC"/>
    <w:rsid w:val="00C12F1E"/>
    <w:rsid w:val="00C13BCA"/>
    <w:rsid w:val="00C142C0"/>
    <w:rsid w:val="00C147E4"/>
    <w:rsid w:val="00C15DF4"/>
    <w:rsid w:val="00C16E0C"/>
    <w:rsid w:val="00C173D0"/>
    <w:rsid w:val="00C174F7"/>
    <w:rsid w:val="00C177A9"/>
    <w:rsid w:val="00C209CA"/>
    <w:rsid w:val="00C21432"/>
    <w:rsid w:val="00C2207C"/>
    <w:rsid w:val="00C2265F"/>
    <w:rsid w:val="00C2278F"/>
    <w:rsid w:val="00C24C5A"/>
    <w:rsid w:val="00C24F30"/>
    <w:rsid w:val="00C25025"/>
    <w:rsid w:val="00C256B7"/>
    <w:rsid w:val="00C25994"/>
    <w:rsid w:val="00C26145"/>
    <w:rsid w:val="00C26CEC"/>
    <w:rsid w:val="00C30A27"/>
    <w:rsid w:val="00C30D42"/>
    <w:rsid w:val="00C318D7"/>
    <w:rsid w:val="00C3340D"/>
    <w:rsid w:val="00C33C08"/>
    <w:rsid w:val="00C33CF8"/>
    <w:rsid w:val="00C33D68"/>
    <w:rsid w:val="00C33F9E"/>
    <w:rsid w:val="00C340AA"/>
    <w:rsid w:val="00C3430C"/>
    <w:rsid w:val="00C34492"/>
    <w:rsid w:val="00C34496"/>
    <w:rsid w:val="00C3472E"/>
    <w:rsid w:val="00C34F70"/>
    <w:rsid w:val="00C354F5"/>
    <w:rsid w:val="00C358A9"/>
    <w:rsid w:val="00C35A08"/>
    <w:rsid w:val="00C3668E"/>
    <w:rsid w:val="00C36793"/>
    <w:rsid w:val="00C3738D"/>
    <w:rsid w:val="00C375E9"/>
    <w:rsid w:val="00C408ED"/>
    <w:rsid w:val="00C40A29"/>
    <w:rsid w:val="00C40DC3"/>
    <w:rsid w:val="00C419A2"/>
    <w:rsid w:val="00C43113"/>
    <w:rsid w:val="00C433B0"/>
    <w:rsid w:val="00C43787"/>
    <w:rsid w:val="00C4495B"/>
    <w:rsid w:val="00C46ACB"/>
    <w:rsid w:val="00C47E75"/>
    <w:rsid w:val="00C50061"/>
    <w:rsid w:val="00C5019D"/>
    <w:rsid w:val="00C50831"/>
    <w:rsid w:val="00C50922"/>
    <w:rsid w:val="00C50DE4"/>
    <w:rsid w:val="00C510F5"/>
    <w:rsid w:val="00C511DC"/>
    <w:rsid w:val="00C5121E"/>
    <w:rsid w:val="00C517A7"/>
    <w:rsid w:val="00C51DBA"/>
    <w:rsid w:val="00C5381A"/>
    <w:rsid w:val="00C55001"/>
    <w:rsid w:val="00C6212E"/>
    <w:rsid w:val="00C63885"/>
    <w:rsid w:val="00C63DA3"/>
    <w:rsid w:val="00C6459E"/>
    <w:rsid w:val="00C649B7"/>
    <w:rsid w:val="00C657C0"/>
    <w:rsid w:val="00C66C22"/>
    <w:rsid w:val="00C670C6"/>
    <w:rsid w:val="00C67167"/>
    <w:rsid w:val="00C71341"/>
    <w:rsid w:val="00C71373"/>
    <w:rsid w:val="00C71F0B"/>
    <w:rsid w:val="00C7263D"/>
    <w:rsid w:val="00C72E6D"/>
    <w:rsid w:val="00C7308F"/>
    <w:rsid w:val="00C73B80"/>
    <w:rsid w:val="00C73D1C"/>
    <w:rsid w:val="00C74B25"/>
    <w:rsid w:val="00C75468"/>
    <w:rsid w:val="00C75BF0"/>
    <w:rsid w:val="00C761EF"/>
    <w:rsid w:val="00C7725F"/>
    <w:rsid w:val="00C774FA"/>
    <w:rsid w:val="00C80CAF"/>
    <w:rsid w:val="00C819BB"/>
    <w:rsid w:val="00C830F5"/>
    <w:rsid w:val="00C834E6"/>
    <w:rsid w:val="00C83597"/>
    <w:rsid w:val="00C839EC"/>
    <w:rsid w:val="00C84536"/>
    <w:rsid w:val="00C846D4"/>
    <w:rsid w:val="00C84A2B"/>
    <w:rsid w:val="00C85805"/>
    <w:rsid w:val="00C85A9F"/>
    <w:rsid w:val="00C86221"/>
    <w:rsid w:val="00C8644D"/>
    <w:rsid w:val="00C870DF"/>
    <w:rsid w:val="00C871A4"/>
    <w:rsid w:val="00C87BF3"/>
    <w:rsid w:val="00C87D47"/>
    <w:rsid w:val="00C87E31"/>
    <w:rsid w:val="00C87F0D"/>
    <w:rsid w:val="00C90C43"/>
    <w:rsid w:val="00C90F4D"/>
    <w:rsid w:val="00C91024"/>
    <w:rsid w:val="00C91170"/>
    <w:rsid w:val="00C918FF"/>
    <w:rsid w:val="00C91EDA"/>
    <w:rsid w:val="00C928C0"/>
    <w:rsid w:val="00C92C54"/>
    <w:rsid w:val="00C93116"/>
    <w:rsid w:val="00C932A1"/>
    <w:rsid w:val="00C932C0"/>
    <w:rsid w:val="00C93BC8"/>
    <w:rsid w:val="00C93C34"/>
    <w:rsid w:val="00C940C9"/>
    <w:rsid w:val="00C94B16"/>
    <w:rsid w:val="00C94B6C"/>
    <w:rsid w:val="00C94C36"/>
    <w:rsid w:val="00C94FEF"/>
    <w:rsid w:val="00C95632"/>
    <w:rsid w:val="00C95835"/>
    <w:rsid w:val="00C965D7"/>
    <w:rsid w:val="00C96C39"/>
    <w:rsid w:val="00CA0F91"/>
    <w:rsid w:val="00CA191F"/>
    <w:rsid w:val="00CA4FBB"/>
    <w:rsid w:val="00CA5468"/>
    <w:rsid w:val="00CA6A31"/>
    <w:rsid w:val="00CA6E75"/>
    <w:rsid w:val="00CA6EDA"/>
    <w:rsid w:val="00CA7678"/>
    <w:rsid w:val="00CA7840"/>
    <w:rsid w:val="00CB0784"/>
    <w:rsid w:val="00CB13F4"/>
    <w:rsid w:val="00CB19C8"/>
    <w:rsid w:val="00CB1F26"/>
    <w:rsid w:val="00CB2E2C"/>
    <w:rsid w:val="00CB3B73"/>
    <w:rsid w:val="00CB49CF"/>
    <w:rsid w:val="00CB4AA7"/>
    <w:rsid w:val="00CB6496"/>
    <w:rsid w:val="00CB7341"/>
    <w:rsid w:val="00CB7E21"/>
    <w:rsid w:val="00CC07FC"/>
    <w:rsid w:val="00CC0A2B"/>
    <w:rsid w:val="00CC14C5"/>
    <w:rsid w:val="00CC185B"/>
    <w:rsid w:val="00CC1FED"/>
    <w:rsid w:val="00CC222C"/>
    <w:rsid w:val="00CC2352"/>
    <w:rsid w:val="00CC3D86"/>
    <w:rsid w:val="00CC41FB"/>
    <w:rsid w:val="00CC5A76"/>
    <w:rsid w:val="00CD0278"/>
    <w:rsid w:val="00CD0935"/>
    <w:rsid w:val="00CD0C5D"/>
    <w:rsid w:val="00CD0D45"/>
    <w:rsid w:val="00CD1077"/>
    <w:rsid w:val="00CD182A"/>
    <w:rsid w:val="00CD247C"/>
    <w:rsid w:val="00CD2E21"/>
    <w:rsid w:val="00CD43D2"/>
    <w:rsid w:val="00CD45E3"/>
    <w:rsid w:val="00CD4E2B"/>
    <w:rsid w:val="00CD55E2"/>
    <w:rsid w:val="00CD5B50"/>
    <w:rsid w:val="00CD5B89"/>
    <w:rsid w:val="00CD676F"/>
    <w:rsid w:val="00CD71B4"/>
    <w:rsid w:val="00CD7760"/>
    <w:rsid w:val="00CD7C32"/>
    <w:rsid w:val="00CE09AC"/>
    <w:rsid w:val="00CE0FCE"/>
    <w:rsid w:val="00CE1518"/>
    <w:rsid w:val="00CE1B0F"/>
    <w:rsid w:val="00CE21BE"/>
    <w:rsid w:val="00CE23E2"/>
    <w:rsid w:val="00CE2679"/>
    <w:rsid w:val="00CE2688"/>
    <w:rsid w:val="00CE3D3A"/>
    <w:rsid w:val="00CE5052"/>
    <w:rsid w:val="00CE5795"/>
    <w:rsid w:val="00CE6088"/>
    <w:rsid w:val="00CE6EC5"/>
    <w:rsid w:val="00CE6F2A"/>
    <w:rsid w:val="00CE7389"/>
    <w:rsid w:val="00CE7630"/>
    <w:rsid w:val="00CF03E0"/>
    <w:rsid w:val="00CF0EFF"/>
    <w:rsid w:val="00CF422F"/>
    <w:rsid w:val="00CF451D"/>
    <w:rsid w:val="00CF474E"/>
    <w:rsid w:val="00CF5455"/>
    <w:rsid w:val="00CF5D55"/>
    <w:rsid w:val="00CF782D"/>
    <w:rsid w:val="00CF7D07"/>
    <w:rsid w:val="00D009F2"/>
    <w:rsid w:val="00D028EE"/>
    <w:rsid w:val="00D037F4"/>
    <w:rsid w:val="00D03F5E"/>
    <w:rsid w:val="00D04EF5"/>
    <w:rsid w:val="00D05369"/>
    <w:rsid w:val="00D05406"/>
    <w:rsid w:val="00D061BB"/>
    <w:rsid w:val="00D073BF"/>
    <w:rsid w:val="00D074E9"/>
    <w:rsid w:val="00D07D84"/>
    <w:rsid w:val="00D100D7"/>
    <w:rsid w:val="00D10638"/>
    <w:rsid w:val="00D10ABC"/>
    <w:rsid w:val="00D11262"/>
    <w:rsid w:val="00D11A24"/>
    <w:rsid w:val="00D12430"/>
    <w:rsid w:val="00D124D7"/>
    <w:rsid w:val="00D124DF"/>
    <w:rsid w:val="00D140AB"/>
    <w:rsid w:val="00D1505E"/>
    <w:rsid w:val="00D15BE6"/>
    <w:rsid w:val="00D17DF2"/>
    <w:rsid w:val="00D17EEB"/>
    <w:rsid w:val="00D200D5"/>
    <w:rsid w:val="00D20AA3"/>
    <w:rsid w:val="00D21931"/>
    <w:rsid w:val="00D21AD0"/>
    <w:rsid w:val="00D21D75"/>
    <w:rsid w:val="00D22B4E"/>
    <w:rsid w:val="00D22C6D"/>
    <w:rsid w:val="00D22E2F"/>
    <w:rsid w:val="00D23625"/>
    <w:rsid w:val="00D23DE7"/>
    <w:rsid w:val="00D248CD"/>
    <w:rsid w:val="00D24FE7"/>
    <w:rsid w:val="00D25D43"/>
    <w:rsid w:val="00D269F0"/>
    <w:rsid w:val="00D26C79"/>
    <w:rsid w:val="00D2752A"/>
    <w:rsid w:val="00D27C88"/>
    <w:rsid w:val="00D302D9"/>
    <w:rsid w:val="00D303B2"/>
    <w:rsid w:val="00D304A0"/>
    <w:rsid w:val="00D304E8"/>
    <w:rsid w:val="00D31223"/>
    <w:rsid w:val="00D32FE2"/>
    <w:rsid w:val="00D33290"/>
    <w:rsid w:val="00D33A16"/>
    <w:rsid w:val="00D36554"/>
    <w:rsid w:val="00D36C8D"/>
    <w:rsid w:val="00D411B2"/>
    <w:rsid w:val="00D421F6"/>
    <w:rsid w:val="00D42D41"/>
    <w:rsid w:val="00D438F9"/>
    <w:rsid w:val="00D456A0"/>
    <w:rsid w:val="00D45704"/>
    <w:rsid w:val="00D45744"/>
    <w:rsid w:val="00D46F36"/>
    <w:rsid w:val="00D471DB"/>
    <w:rsid w:val="00D47682"/>
    <w:rsid w:val="00D47686"/>
    <w:rsid w:val="00D4784E"/>
    <w:rsid w:val="00D47C1C"/>
    <w:rsid w:val="00D50665"/>
    <w:rsid w:val="00D50930"/>
    <w:rsid w:val="00D5099F"/>
    <w:rsid w:val="00D51CE5"/>
    <w:rsid w:val="00D51F87"/>
    <w:rsid w:val="00D5213F"/>
    <w:rsid w:val="00D54893"/>
    <w:rsid w:val="00D55602"/>
    <w:rsid w:val="00D557D4"/>
    <w:rsid w:val="00D558A8"/>
    <w:rsid w:val="00D56B65"/>
    <w:rsid w:val="00D5742D"/>
    <w:rsid w:val="00D57521"/>
    <w:rsid w:val="00D60864"/>
    <w:rsid w:val="00D6124F"/>
    <w:rsid w:val="00D61623"/>
    <w:rsid w:val="00D61C63"/>
    <w:rsid w:val="00D6285F"/>
    <w:rsid w:val="00D62BF4"/>
    <w:rsid w:val="00D62BFA"/>
    <w:rsid w:val="00D63337"/>
    <w:rsid w:val="00D63FBA"/>
    <w:rsid w:val="00D64362"/>
    <w:rsid w:val="00D65127"/>
    <w:rsid w:val="00D66211"/>
    <w:rsid w:val="00D67F0A"/>
    <w:rsid w:val="00D7102F"/>
    <w:rsid w:val="00D71034"/>
    <w:rsid w:val="00D726C1"/>
    <w:rsid w:val="00D72F33"/>
    <w:rsid w:val="00D73041"/>
    <w:rsid w:val="00D73341"/>
    <w:rsid w:val="00D7347C"/>
    <w:rsid w:val="00D74336"/>
    <w:rsid w:val="00D756B2"/>
    <w:rsid w:val="00D75DAE"/>
    <w:rsid w:val="00D76185"/>
    <w:rsid w:val="00D763D1"/>
    <w:rsid w:val="00D76DA0"/>
    <w:rsid w:val="00D773D6"/>
    <w:rsid w:val="00D778AA"/>
    <w:rsid w:val="00D77D8C"/>
    <w:rsid w:val="00D8013A"/>
    <w:rsid w:val="00D80336"/>
    <w:rsid w:val="00D8069D"/>
    <w:rsid w:val="00D80BD3"/>
    <w:rsid w:val="00D80C46"/>
    <w:rsid w:val="00D80C68"/>
    <w:rsid w:val="00D80F82"/>
    <w:rsid w:val="00D816A5"/>
    <w:rsid w:val="00D81B7B"/>
    <w:rsid w:val="00D828E4"/>
    <w:rsid w:val="00D82D49"/>
    <w:rsid w:val="00D83419"/>
    <w:rsid w:val="00D8361D"/>
    <w:rsid w:val="00D83B83"/>
    <w:rsid w:val="00D84D92"/>
    <w:rsid w:val="00D8684A"/>
    <w:rsid w:val="00D8717B"/>
    <w:rsid w:val="00D91138"/>
    <w:rsid w:val="00D919C4"/>
    <w:rsid w:val="00D919E3"/>
    <w:rsid w:val="00D91EDD"/>
    <w:rsid w:val="00D938E2"/>
    <w:rsid w:val="00D96967"/>
    <w:rsid w:val="00D96E88"/>
    <w:rsid w:val="00D97372"/>
    <w:rsid w:val="00D979C4"/>
    <w:rsid w:val="00DA0223"/>
    <w:rsid w:val="00DA0FB0"/>
    <w:rsid w:val="00DA10B1"/>
    <w:rsid w:val="00DA1353"/>
    <w:rsid w:val="00DA1780"/>
    <w:rsid w:val="00DA19D7"/>
    <w:rsid w:val="00DA233D"/>
    <w:rsid w:val="00DA42EA"/>
    <w:rsid w:val="00DA469F"/>
    <w:rsid w:val="00DA5183"/>
    <w:rsid w:val="00DA53BD"/>
    <w:rsid w:val="00DA5763"/>
    <w:rsid w:val="00DA63EA"/>
    <w:rsid w:val="00DA6834"/>
    <w:rsid w:val="00DA6D6B"/>
    <w:rsid w:val="00DA7B6C"/>
    <w:rsid w:val="00DB06CA"/>
    <w:rsid w:val="00DB072B"/>
    <w:rsid w:val="00DB11F7"/>
    <w:rsid w:val="00DB171D"/>
    <w:rsid w:val="00DB1D79"/>
    <w:rsid w:val="00DB38D2"/>
    <w:rsid w:val="00DB3ED1"/>
    <w:rsid w:val="00DB4AFA"/>
    <w:rsid w:val="00DB4E46"/>
    <w:rsid w:val="00DB535F"/>
    <w:rsid w:val="00DB5D1F"/>
    <w:rsid w:val="00DB6362"/>
    <w:rsid w:val="00DB6D45"/>
    <w:rsid w:val="00DB7405"/>
    <w:rsid w:val="00DB7701"/>
    <w:rsid w:val="00DB7AB2"/>
    <w:rsid w:val="00DB7D7A"/>
    <w:rsid w:val="00DC001D"/>
    <w:rsid w:val="00DC0284"/>
    <w:rsid w:val="00DC030B"/>
    <w:rsid w:val="00DC041A"/>
    <w:rsid w:val="00DC07F8"/>
    <w:rsid w:val="00DC175D"/>
    <w:rsid w:val="00DC2943"/>
    <w:rsid w:val="00DC3286"/>
    <w:rsid w:val="00DC6104"/>
    <w:rsid w:val="00DC6E03"/>
    <w:rsid w:val="00DC7818"/>
    <w:rsid w:val="00DD0094"/>
    <w:rsid w:val="00DD0A2D"/>
    <w:rsid w:val="00DD356E"/>
    <w:rsid w:val="00DD38A7"/>
    <w:rsid w:val="00DD6ECB"/>
    <w:rsid w:val="00DD7942"/>
    <w:rsid w:val="00DD7A27"/>
    <w:rsid w:val="00DE06FA"/>
    <w:rsid w:val="00DE0F84"/>
    <w:rsid w:val="00DE1A93"/>
    <w:rsid w:val="00DE1C18"/>
    <w:rsid w:val="00DE28EC"/>
    <w:rsid w:val="00DE3C40"/>
    <w:rsid w:val="00DE3FA7"/>
    <w:rsid w:val="00DE41E0"/>
    <w:rsid w:val="00DE4C92"/>
    <w:rsid w:val="00DE5852"/>
    <w:rsid w:val="00DE6143"/>
    <w:rsid w:val="00DE77D3"/>
    <w:rsid w:val="00DF0498"/>
    <w:rsid w:val="00DF04B8"/>
    <w:rsid w:val="00DF0544"/>
    <w:rsid w:val="00DF0F20"/>
    <w:rsid w:val="00DF1A3A"/>
    <w:rsid w:val="00DF2EF7"/>
    <w:rsid w:val="00DF4094"/>
    <w:rsid w:val="00DF41C6"/>
    <w:rsid w:val="00DF77DC"/>
    <w:rsid w:val="00E0038F"/>
    <w:rsid w:val="00E005F1"/>
    <w:rsid w:val="00E006E7"/>
    <w:rsid w:val="00E0155A"/>
    <w:rsid w:val="00E01600"/>
    <w:rsid w:val="00E01F1F"/>
    <w:rsid w:val="00E0310B"/>
    <w:rsid w:val="00E04447"/>
    <w:rsid w:val="00E049DD"/>
    <w:rsid w:val="00E04AD3"/>
    <w:rsid w:val="00E04B6C"/>
    <w:rsid w:val="00E05A45"/>
    <w:rsid w:val="00E06143"/>
    <w:rsid w:val="00E0658D"/>
    <w:rsid w:val="00E10062"/>
    <w:rsid w:val="00E10577"/>
    <w:rsid w:val="00E11B40"/>
    <w:rsid w:val="00E11D68"/>
    <w:rsid w:val="00E12501"/>
    <w:rsid w:val="00E12626"/>
    <w:rsid w:val="00E12ED8"/>
    <w:rsid w:val="00E132D6"/>
    <w:rsid w:val="00E143D4"/>
    <w:rsid w:val="00E144CA"/>
    <w:rsid w:val="00E15038"/>
    <w:rsid w:val="00E178E0"/>
    <w:rsid w:val="00E178E5"/>
    <w:rsid w:val="00E2026C"/>
    <w:rsid w:val="00E20E55"/>
    <w:rsid w:val="00E2121E"/>
    <w:rsid w:val="00E21CEF"/>
    <w:rsid w:val="00E22450"/>
    <w:rsid w:val="00E23729"/>
    <w:rsid w:val="00E23763"/>
    <w:rsid w:val="00E2499E"/>
    <w:rsid w:val="00E253B7"/>
    <w:rsid w:val="00E262C7"/>
    <w:rsid w:val="00E27858"/>
    <w:rsid w:val="00E27C4B"/>
    <w:rsid w:val="00E27CDA"/>
    <w:rsid w:val="00E27F73"/>
    <w:rsid w:val="00E31059"/>
    <w:rsid w:val="00E310CD"/>
    <w:rsid w:val="00E310E2"/>
    <w:rsid w:val="00E3152A"/>
    <w:rsid w:val="00E32451"/>
    <w:rsid w:val="00E3309E"/>
    <w:rsid w:val="00E33427"/>
    <w:rsid w:val="00E336D4"/>
    <w:rsid w:val="00E33CAB"/>
    <w:rsid w:val="00E33F93"/>
    <w:rsid w:val="00E34B53"/>
    <w:rsid w:val="00E354C5"/>
    <w:rsid w:val="00E360BD"/>
    <w:rsid w:val="00E36E98"/>
    <w:rsid w:val="00E376C5"/>
    <w:rsid w:val="00E40597"/>
    <w:rsid w:val="00E40A8E"/>
    <w:rsid w:val="00E41D31"/>
    <w:rsid w:val="00E41E14"/>
    <w:rsid w:val="00E4288D"/>
    <w:rsid w:val="00E42FBF"/>
    <w:rsid w:val="00E43988"/>
    <w:rsid w:val="00E43CFD"/>
    <w:rsid w:val="00E444C5"/>
    <w:rsid w:val="00E445D5"/>
    <w:rsid w:val="00E45DCF"/>
    <w:rsid w:val="00E462DD"/>
    <w:rsid w:val="00E4635D"/>
    <w:rsid w:val="00E46A9D"/>
    <w:rsid w:val="00E477A9"/>
    <w:rsid w:val="00E47B00"/>
    <w:rsid w:val="00E50005"/>
    <w:rsid w:val="00E505BC"/>
    <w:rsid w:val="00E50678"/>
    <w:rsid w:val="00E509C5"/>
    <w:rsid w:val="00E529D7"/>
    <w:rsid w:val="00E5380C"/>
    <w:rsid w:val="00E5385F"/>
    <w:rsid w:val="00E538D2"/>
    <w:rsid w:val="00E538DB"/>
    <w:rsid w:val="00E539D8"/>
    <w:rsid w:val="00E54CF0"/>
    <w:rsid w:val="00E54E4D"/>
    <w:rsid w:val="00E55188"/>
    <w:rsid w:val="00E56770"/>
    <w:rsid w:val="00E577CC"/>
    <w:rsid w:val="00E57883"/>
    <w:rsid w:val="00E57D03"/>
    <w:rsid w:val="00E57F8B"/>
    <w:rsid w:val="00E60FC2"/>
    <w:rsid w:val="00E611A3"/>
    <w:rsid w:val="00E61799"/>
    <w:rsid w:val="00E63A92"/>
    <w:rsid w:val="00E64E9F"/>
    <w:rsid w:val="00E652CB"/>
    <w:rsid w:val="00E65A23"/>
    <w:rsid w:val="00E65E8B"/>
    <w:rsid w:val="00E665F5"/>
    <w:rsid w:val="00E666DB"/>
    <w:rsid w:val="00E66715"/>
    <w:rsid w:val="00E669B0"/>
    <w:rsid w:val="00E67E0B"/>
    <w:rsid w:val="00E67F3D"/>
    <w:rsid w:val="00E70384"/>
    <w:rsid w:val="00E70527"/>
    <w:rsid w:val="00E70A41"/>
    <w:rsid w:val="00E70BB6"/>
    <w:rsid w:val="00E71CCF"/>
    <w:rsid w:val="00E71F37"/>
    <w:rsid w:val="00E729BB"/>
    <w:rsid w:val="00E733A4"/>
    <w:rsid w:val="00E73541"/>
    <w:rsid w:val="00E7374A"/>
    <w:rsid w:val="00E73DBF"/>
    <w:rsid w:val="00E7495B"/>
    <w:rsid w:val="00E74C9B"/>
    <w:rsid w:val="00E759E6"/>
    <w:rsid w:val="00E7703A"/>
    <w:rsid w:val="00E77BDD"/>
    <w:rsid w:val="00E80395"/>
    <w:rsid w:val="00E80639"/>
    <w:rsid w:val="00E8246B"/>
    <w:rsid w:val="00E82FE1"/>
    <w:rsid w:val="00E84495"/>
    <w:rsid w:val="00E84945"/>
    <w:rsid w:val="00E84DC9"/>
    <w:rsid w:val="00E84F50"/>
    <w:rsid w:val="00E858FE"/>
    <w:rsid w:val="00E869C3"/>
    <w:rsid w:val="00E87157"/>
    <w:rsid w:val="00E876CA"/>
    <w:rsid w:val="00E900FA"/>
    <w:rsid w:val="00E906B9"/>
    <w:rsid w:val="00E9098B"/>
    <w:rsid w:val="00E90A91"/>
    <w:rsid w:val="00E90E6E"/>
    <w:rsid w:val="00E9117C"/>
    <w:rsid w:val="00E91718"/>
    <w:rsid w:val="00E91F6D"/>
    <w:rsid w:val="00E9247F"/>
    <w:rsid w:val="00E92CF7"/>
    <w:rsid w:val="00E92E3A"/>
    <w:rsid w:val="00E93459"/>
    <w:rsid w:val="00E93DC0"/>
    <w:rsid w:val="00E95819"/>
    <w:rsid w:val="00E95864"/>
    <w:rsid w:val="00E97694"/>
    <w:rsid w:val="00E979D3"/>
    <w:rsid w:val="00E97FD6"/>
    <w:rsid w:val="00EA035D"/>
    <w:rsid w:val="00EA0895"/>
    <w:rsid w:val="00EA1E94"/>
    <w:rsid w:val="00EA322A"/>
    <w:rsid w:val="00EA4D37"/>
    <w:rsid w:val="00EA5027"/>
    <w:rsid w:val="00EA5593"/>
    <w:rsid w:val="00EA6774"/>
    <w:rsid w:val="00EA6AA5"/>
    <w:rsid w:val="00EA6AEA"/>
    <w:rsid w:val="00EA6B1E"/>
    <w:rsid w:val="00EA6E27"/>
    <w:rsid w:val="00EB01C5"/>
    <w:rsid w:val="00EB03D0"/>
    <w:rsid w:val="00EB055A"/>
    <w:rsid w:val="00EB06AE"/>
    <w:rsid w:val="00EB1014"/>
    <w:rsid w:val="00EB18A3"/>
    <w:rsid w:val="00EB1A0C"/>
    <w:rsid w:val="00EB1C2E"/>
    <w:rsid w:val="00EB2D16"/>
    <w:rsid w:val="00EB39C4"/>
    <w:rsid w:val="00EB3FD7"/>
    <w:rsid w:val="00EB5167"/>
    <w:rsid w:val="00EB5E65"/>
    <w:rsid w:val="00EB6770"/>
    <w:rsid w:val="00EB68DD"/>
    <w:rsid w:val="00EB6E91"/>
    <w:rsid w:val="00EB7130"/>
    <w:rsid w:val="00EB7384"/>
    <w:rsid w:val="00EC2FC4"/>
    <w:rsid w:val="00EC3F12"/>
    <w:rsid w:val="00EC4433"/>
    <w:rsid w:val="00EC5AAF"/>
    <w:rsid w:val="00EC5E18"/>
    <w:rsid w:val="00EC6020"/>
    <w:rsid w:val="00EC6FBD"/>
    <w:rsid w:val="00EC7CCF"/>
    <w:rsid w:val="00EC7F8E"/>
    <w:rsid w:val="00ED06B0"/>
    <w:rsid w:val="00ED0960"/>
    <w:rsid w:val="00ED1E7A"/>
    <w:rsid w:val="00ED27F2"/>
    <w:rsid w:val="00ED2BCF"/>
    <w:rsid w:val="00ED2C6D"/>
    <w:rsid w:val="00ED3D35"/>
    <w:rsid w:val="00ED44BD"/>
    <w:rsid w:val="00ED50DD"/>
    <w:rsid w:val="00ED5C9C"/>
    <w:rsid w:val="00ED7E86"/>
    <w:rsid w:val="00EE04B5"/>
    <w:rsid w:val="00EE0B0A"/>
    <w:rsid w:val="00EE1249"/>
    <w:rsid w:val="00EE17CD"/>
    <w:rsid w:val="00EE260F"/>
    <w:rsid w:val="00EE3539"/>
    <w:rsid w:val="00EE36D7"/>
    <w:rsid w:val="00EE41A6"/>
    <w:rsid w:val="00EE41FE"/>
    <w:rsid w:val="00EE4A9F"/>
    <w:rsid w:val="00EE5AE8"/>
    <w:rsid w:val="00EE5EF7"/>
    <w:rsid w:val="00EF0101"/>
    <w:rsid w:val="00EF0209"/>
    <w:rsid w:val="00EF0744"/>
    <w:rsid w:val="00EF0841"/>
    <w:rsid w:val="00EF0D74"/>
    <w:rsid w:val="00EF1D5C"/>
    <w:rsid w:val="00EF2457"/>
    <w:rsid w:val="00EF3036"/>
    <w:rsid w:val="00EF3535"/>
    <w:rsid w:val="00EF4168"/>
    <w:rsid w:val="00EF44FF"/>
    <w:rsid w:val="00EF49DF"/>
    <w:rsid w:val="00EF5457"/>
    <w:rsid w:val="00EF5577"/>
    <w:rsid w:val="00EF5895"/>
    <w:rsid w:val="00EF626C"/>
    <w:rsid w:val="00EF66DC"/>
    <w:rsid w:val="00EF7650"/>
    <w:rsid w:val="00F00DF8"/>
    <w:rsid w:val="00F01200"/>
    <w:rsid w:val="00F0155D"/>
    <w:rsid w:val="00F03D4C"/>
    <w:rsid w:val="00F03F64"/>
    <w:rsid w:val="00F04847"/>
    <w:rsid w:val="00F06CD0"/>
    <w:rsid w:val="00F0739B"/>
    <w:rsid w:val="00F07A63"/>
    <w:rsid w:val="00F07BED"/>
    <w:rsid w:val="00F10413"/>
    <w:rsid w:val="00F10DAC"/>
    <w:rsid w:val="00F11C18"/>
    <w:rsid w:val="00F11CFC"/>
    <w:rsid w:val="00F128A2"/>
    <w:rsid w:val="00F13206"/>
    <w:rsid w:val="00F144AD"/>
    <w:rsid w:val="00F14FBD"/>
    <w:rsid w:val="00F155D8"/>
    <w:rsid w:val="00F15D56"/>
    <w:rsid w:val="00F1665C"/>
    <w:rsid w:val="00F166C3"/>
    <w:rsid w:val="00F177DA"/>
    <w:rsid w:val="00F20899"/>
    <w:rsid w:val="00F20C1D"/>
    <w:rsid w:val="00F21465"/>
    <w:rsid w:val="00F2273A"/>
    <w:rsid w:val="00F23395"/>
    <w:rsid w:val="00F24528"/>
    <w:rsid w:val="00F24A9F"/>
    <w:rsid w:val="00F24B1D"/>
    <w:rsid w:val="00F24C68"/>
    <w:rsid w:val="00F2513D"/>
    <w:rsid w:val="00F2548F"/>
    <w:rsid w:val="00F25BB4"/>
    <w:rsid w:val="00F25FCC"/>
    <w:rsid w:val="00F2673A"/>
    <w:rsid w:val="00F26B02"/>
    <w:rsid w:val="00F26B67"/>
    <w:rsid w:val="00F27880"/>
    <w:rsid w:val="00F27DBD"/>
    <w:rsid w:val="00F301E8"/>
    <w:rsid w:val="00F304BE"/>
    <w:rsid w:val="00F3057F"/>
    <w:rsid w:val="00F30F1F"/>
    <w:rsid w:val="00F3368E"/>
    <w:rsid w:val="00F34257"/>
    <w:rsid w:val="00F352F7"/>
    <w:rsid w:val="00F40F48"/>
    <w:rsid w:val="00F41005"/>
    <w:rsid w:val="00F41D4D"/>
    <w:rsid w:val="00F420A9"/>
    <w:rsid w:val="00F424B7"/>
    <w:rsid w:val="00F42EBD"/>
    <w:rsid w:val="00F4321C"/>
    <w:rsid w:val="00F43519"/>
    <w:rsid w:val="00F43746"/>
    <w:rsid w:val="00F43B8D"/>
    <w:rsid w:val="00F442DE"/>
    <w:rsid w:val="00F444B8"/>
    <w:rsid w:val="00F44735"/>
    <w:rsid w:val="00F4526C"/>
    <w:rsid w:val="00F51838"/>
    <w:rsid w:val="00F51C1B"/>
    <w:rsid w:val="00F524F6"/>
    <w:rsid w:val="00F527A7"/>
    <w:rsid w:val="00F52CE9"/>
    <w:rsid w:val="00F53763"/>
    <w:rsid w:val="00F53DF5"/>
    <w:rsid w:val="00F54248"/>
    <w:rsid w:val="00F545A8"/>
    <w:rsid w:val="00F55457"/>
    <w:rsid w:val="00F55DF5"/>
    <w:rsid w:val="00F56F10"/>
    <w:rsid w:val="00F56F4A"/>
    <w:rsid w:val="00F56F82"/>
    <w:rsid w:val="00F5772E"/>
    <w:rsid w:val="00F60A45"/>
    <w:rsid w:val="00F60DC0"/>
    <w:rsid w:val="00F61633"/>
    <w:rsid w:val="00F616C4"/>
    <w:rsid w:val="00F61D4A"/>
    <w:rsid w:val="00F61EC5"/>
    <w:rsid w:val="00F62D5D"/>
    <w:rsid w:val="00F64C65"/>
    <w:rsid w:val="00F64C7F"/>
    <w:rsid w:val="00F65BEB"/>
    <w:rsid w:val="00F662B9"/>
    <w:rsid w:val="00F66941"/>
    <w:rsid w:val="00F708DF"/>
    <w:rsid w:val="00F730BC"/>
    <w:rsid w:val="00F735EC"/>
    <w:rsid w:val="00F73BEE"/>
    <w:rsid w:val="00F73C12"/>
    <w:rsid w:val="00F75392"/>
    <w:rsid w:val="00F75627"/>
    <w:rsid w:val="00F75B0C"/>
    <w:rsid w:val="00F800B7"/>
    <w:rsid w:val="00F809B7"/>
    <w:rsid w:val="00F80C15"/>
    <w:rsid w:val="00F826F0"/>
    <w:rsid w:val="00F8318F"/>
    <w:rsid w:val="00F8376B"/>
    <w:rsid w:val="00F8479C"/>
    <w:rsid w:val="00F85826"/>
    <w:rsid w:val="00F85889"/>
    <w:rsid w:val="00F85EB4"/>
    <w:rsid w:val="00F8660C"/>
    <w:rsid w:val="00F866F6"/>
    <w:rsid w:val="00F867D6"/>
    <w:rsid w:val="00F86ADB"/>
    <w:rsid w:val="00F8702B"/>
    <w:rsid w:val="00F87EA0"/>
    <w:rsid w:val="00F91DA0"/>
    <w:rsid w:val="00F92324"/>
    <w:rsid w:val="00F927F5"/>
    <w:rsid w:val="00F92924"/>
    <w:rsid w:val="00F92D4F"/>
    <w:rsid w:val="00F93567"/>
    <w:rsid w:val="00F93BF3"/>
    <w:rsid w:val="00F94253"/>
    <w:rsid w:val="00F94456"/>
    <w:rsid w:val="00F9472B"/>
    <w:rsid w:val="00F949FE"/>
    <w:rsid w:val="00F94A28"/>
    <w:rsid w:val="00F95803"/>
    <w:rsid w:val="00F95820"/>
    <w:rsid w:val="00F95968"/>
    <w:rsid w:val="00F95A3E"/>
    <w:rsid w:val="00F95D74"/>
    <w:rsid w:val="00F96172"/>
    <w:rsid w:val="00F96B71"/>
    <w:rsid w:val="00F96EBD"/>
    <w:rsid w:val="00F9728F"/>
    <w:rsid w:val="00FA0D21"/>
    <w:rsid w:val="00FA12BE"/>
    <w:rsid w:val="00FA1699"/>
    <w:rsid w:val="00FA20E8"/>
    <w:rsid w:val="00FA2D5E"/>
    <w:rsid w:val="00FA3F6F"/>
    <w:rsid w:val="00FA4C9C"/>
    <w:rsid w:val="00FA4DCD"/>
    <w:rsid w:val="00FA539B"/>
    <w:rsid w:val="00FA59DD"/>
    <w:rsid w:val="00FA5C43"/>
    <w:rsid w:val="00FA6AB0"/>
    <w:rsid w:val="00FA7D24"/>
    <w:rsid w:val="00FB0FF7"/>
    <w:rsid w:val="00FB16CC"/>
    <w:rsid w:val="00FB1D87"/>
    <w:rsid w:val="00FB2616"/>
    <w:rsid w:val="00FB342A"/>
    <w:rsid w:val="00FB3DF9"/>
    <w:rsid w:val="00FB4BD5"/>
    <w:rsid w:val="00FB523C"/>
    <w:rsid w:val="00FB58B0"/>
    <w:rsid w:val="00FB6224"/>
    <w:rsid w:val="00FB62E0"/>
    <w:rsid w:val="00FB6926"/>
    <w:rsid w:val="00FB76AA"/>
    <w:rsid w:val="00FB7DD4"/>
    <w:rsid w:val="00FB7E69"/>
    <w:rsid w:val="00FC0A9E"/>
    <w:rsid w:val="00FC2A56"/>
    <w:rsid w:val="00FC3607"/>
    <w:rsid w:val="00FC371D"/>
    <w:rsid w:val="00FC4364"/>
    <w:rsid w:val="00FC4AFC"/>
    <w:rsid w:val="00FC4B13"/>
    <w:rsid w:val="00FC5365"/>
    <w:rsid w:val="00FC546F"/>
    <w:rsid w:val="00FC5777"/>
    <w:rsid w:val="00FC5A58"/>
    <w:rsid w:val="00FC5BEF"/>
    <w:rsid w:val="00FC66E2"/>
    <w:rsid w:val="00FC678B"/>
    <w:rsid w:val="00FC68FB"/>
    <w:rsid w:val="00FC700B"/>
    <w:rsid w:val="00FC7552"/>
    <w:rsid w:val="00FD0253"/>
    <w:rsid w:val="00FD09A3"/>
    <w:rsid w:val="00FD188B"/>
    <w:rsid w:val="00FD1C78"/>
    <w:rsid w:val="00FD2705"/>
    <w:rsid w:val="00FD2AB9"/>
    <w:rsid w:val="00FD2B22"/>
    <w:rsid w:val="00FD2F50"/>
    <w:rsid w:val="00FD30B0"/>
    <w:rsid w:val="00FD5C92"/>
    <w:rsid w:val="00FD72CC"/>
    <w:rsid w:val="00FD7440"/>
    <w:rsid w:val="00FE001C"/>
    <w:rsid w:val="00FE00DC"/>
    <w:rsid w:val="00FE0857"/>
    <w:rsid w:val="00FE0D00"/>
    <w:rsid w:val="00FE1504"/>
    <w:rsid w:val="00FE1D32"/>
    <w:rsid w:val="00FE1E4A"/>
    <w:rsid w:val="00FE42EA"/>
    <w:rsid w:val="00FE480B"/>
    <w:rsid w:val="00FE527E"/>
    <w:rsid w:val="00FE603F"/>
    <w:rsid w:val="00FE6CCA"/>
    <w:rsid w:val="00FE6D55"/>
    <w:rsid w:val="00FF06A5"/>
    <w:rsid w:val="00FF07BC"/>
    <w:rsid w:val="00FF0FD9"/>
    <w:rsid w:val="00FF2371"/>
    <w:rsid w:val="00FF264C"/>
    <w:rsid w:val="00FF2E5D"/>
    <w:rsid w:val="00FF373B"/>
    <w:rsid w:val="00FF3B6F"/>
    <w:rsid w:val="00FF45B2"/>
    <w:rsid w:val="00FF5785"/>
    <w:rsid w:val="00FF5B31"/>
    <w:rsid w:val="00FF74CA"/>
    <w:rsid w:val="00FF76DB"/>
    <w:rsid w:val="00FF7734"/>
    <w:rsid w:val="00FF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69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D71D1"/>
    <w:rPr>
      <w:rFonts w:ascii="Calibri" w:eastAsia="Calibri" w:hAnsi="Calibri" w:cs="Times New Roman"/>
    </w:rPr>
  </w:style>
  <w:style w:type="paragraph" w:styleId="Heading1">
    <w:name w:val="heading 1"/>
    <w:basedOn w:val="Normal"/>
    <w:link w:val="Heading1Char"/>
    <w:qFormat/>
    <w:rsid w:val="00FC66E2"/>
    <w:pPr>
      <w:spacing w:after="0" w:line="480" w:lineRule="auto"/>
      <w:outlineLvl w:val="0"/>
    </w:pPr>
    <w:rPr>
      <w:rFonts w:ascii="Courier New" w:hAnsi="Courier New" w:cs="Courier New"/>
      <w:sz w:val="24"/>
      <w:szCs w:val="24"/>
      <w:u w:val="single"/>
    </w:rPr>
  </w:style>
  <w:style w:type="paragraph" w:styleId="Heading2">
    <w:name w:val="heading 2"/>
    <w:basedOn w:val="Normal"/>
    <w:next w:val="Normal"/>
    <w:link w:val="Heading2Char"/>
    <w:qFormat/>
    <w:rsid w:val="00527902"/>
    <w:pPr>
      <w:spacing w:after="0" w:line="480" w:lineRule="auto"/>
      <w:ind w:left="720"/>
      <w:outlineLvl w:val="1"/>
    </w:pPr>
    <w:rPr>
      <w:rFonts w:ascii="Courier New" w:eastAsia="SimSun" w:hAnsi="Courier New" w:cs="Courier New"/>
      <w:bCs/>
      <w:sz w:val="24"/>
      <w:szCs w:val="24"/>
      <w:u w:val="single"/>
    </w:rPr>
  </w:style>
  <w:style w:type="paragraph" w:styleId="Heading3">
    <w:name w:val="heading 3"/>
    <w:basedOn w:val="Normal"/>
    <w:next w:val="Normal"/>
    <w:link w:val="Heading3Char"/>
    <w:uiPriority w:val="99"/>
    <w:qFormat/>
    <w:rsid w:val="001D71D1"/>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6E2"/>
    <w:rPr>
      <w:rFonts w:ascii="Courier New" w:eastAsia="Calibri" w:hAnsi="Courier New" w:cs="Courier New"/>
      <w:sz w:val="24"/>
      <w:szCs w:val="24"/>
      <w:u w:val="single"/>
    </w:rPr>
  </w:style>
  <w:style w:type="character" w:customStyle="1" w:styleId="Heading2Char">
    <w:name w:val="Heading 2 Char"/>
    <w:basedOn w:val="DefaultParagraphFont"/>
    <w:link w:val="Heading2"/>
    <w:rsid w:val="00527902"/>
    <w:rPr>
      <w:rFonts w:ascii="Courier New" w:eastAsia="SimSun" w:hAnsi="Courier New" w:cs="Courier New"/>
      <w:bCs/>
      <w:sz w:val="24"/>
      <w:szCs w:val="24"/>
      <w:u w:val="single"/>
    </w:rPr>
  </w:style>
  <w:style w:type="character" w:customStyle="1" w:styleId="Heading3Char">
    <w:name w:val="Heading 3 Char"/>
    <w:basedOn w:val="DefaultParagraphFont"/>
    <w:link w:val="Heading3"/>
    <w:uiPriority w:val="99"/>
    <w:rsid w:val="001D71D1"/>
    <w:rPr>
      <w:rFonts w:ascii="Cambria" w:eastAsia="MS Gothic" w:hAnsi="Cambria" w:cs="Times New Roman"/>
      <w:b/>
      <w:bCs/>
      <w:color w:val="4F81BD"/>
    </w:rPr>
  </w:style>
  <w:style w:type="character" w:styleId="Hyperlink">
    <w:name w:val="Hyperlink"/>
    <w:basedOn w:val="DefaultParagraphFont"/>
    <w:rsid w:val="001D71D1"/>
    <w:rPr>
      <w:rFonts w:cs="Times New Roman"/>
      <w:color w:val="0000FF"/>
      <w:u w:val="single"/>
    </w:rPr>
  </w:style>
  <w:style w:type="paragraph" w:customStyle="1" w:styleId="furinf">
    <w:name w:val="furinf"/>
    <w:basedOn w:val="Normal"/>
    <w:uiPriority w:val="99"/>
    <w:rsid w:val="001D71D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D71D1"/>
    <w:rPr>
      <w:rFonts w:cs="Times New Roman"/>
    </w:rPr>
  </w:style>
  <w:style w:type="paragraph" w:styleId="NormalWeb">
    <w:name w:val="Normal (Web)"/>
    <w:basedOn w:val="Normal"/>
    <w:uiPriority w:val="99"/>
    <w:rsid w:val="001D71D1"/>
    <w:pPr>
      <w:spacing w:before="100" w:beforeAutospacing="1" w:after="100" w:afterAutospacing="1" w:line="240" w:lineRule="auto"/>
    </w:pPr>
    <w:rPr>
      <w:rFonts w:ascii="Times New Roman" w:eastAsia="Times New Roman" w:hAnsi="Times New Roman"/>
      <w:sz w:val="24"/>
      <w:szCs w:val="24"/>
    </w:rPr>
  </w:style>
  <w:style w:type="character" w:customStyle="1" w:styleId="e-02">
    <w:name w:val="e-02"/>
    <w:basedOn w:val="DefaultParagraphFont"/>
    <w:uiPriority w:val="99"/>
    <w:rsid w:val="001D71D1"/>
    <w:rPr>
      <w:rFonts w:cs="Times New Roman"/>
    </w:rPr>
  </w:style>
  <w:style w:type="character" w:styleId="CommentReference">
    <w:name w:val="annotation reference"/>
    <w:basedOn w:val="DefaultParagraphFont"/>
    <w:rsid w:val="001D71D1"/>
    <w:rPr>
      <w:rFonts w:cs="Times New Roman"/>
      <w:sz w:val="16"/>
      <w:szCs w:val="16"/>
    </w:rPr>
  </w:style>
  <w:style w:type="paragraph" w:styleId="CommentText">
    <w:name w:val="annotation text"/>
    <w:basedOn w:val="Normal"/>
    <w:link w:val="CommentTextChar"/>
    <w:rsid w:val="001D71D1"/>
    <w:pPr>
      <w:spacing w:line="240" w:lineRule="auto"/>
    </w:pPr>
    <w:rPr>
      <w:sz w:val="20"/>
      <w:szCs w:val="20"/>
    </w:rPr>
  </w:style>
  <w:style w:type="character" w:customStyle="1" w:styleId="CommentTextChar">
    <w:name w:val="Comment Text Char"/>
    <w:basedOn w:val="DefaultParagraphFont"/>
    <w:link w:val="CommentText"/>
    <w:uiPriority w:val="99"/>
    <w:rsid w:val="001D71D1"/>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1D71D1"/>
    <w:rPr>
      <w:b/>
      <w:bCs/>
    </w:rPr>
  </w:style>
  <w:style w:type="character" w:customStyle="1" w:styleId="CommentSubjectChar">
    <w:name w:val="Comment Subject Char"/>
    <w:basedOn w:val="CommentTextChar"/>
    <w:link w:val="CommentSubject"/>
    <w:semiHidden/>
    <w:rsid w:val="001D71D1"/>
    <w:rPr>
      <w:rFonts w:ascii="Calibri" w:eastAsia="Calibri" w:hAnsi="Calibri" w:cs="Times New Roman"/>
      <w:b/>
      <w:bCs/>
      <w:sz w:val="20"/>
      <w:szCs w:val="20"/>
    </w:rPr>
  </w:style>
  <w:style w:type="paragraph" w:styleId="BalloonText">
    <w:name w:val="Balloon Text"/>
    <w:basedOn w:val="Normal"/>
    <w:link w:val="BalloonTextChar"/>
    <w:rsid w:val="001D7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D71D1"/>
    <w:rPr>
      <w:rFonts w:ascii="Tahoma" w:eastAsia="Calibri" w:hAnsi="Tahoma" w:cs="Tahoma"/>
      <w:sz w:val="16"/>
      <w:szCs w:val="16"/>
    </w:rPr>
  </w:style>
  <w:style w:type="character" w:customStyle="1" w:styleId="e-04">
    <w:name w:val="e-04"/>
    <w:basedOn w:val="DefaultParagraphFont"/>
    <w:uiPriority w:val="99"/>
    <w:rsid w:val="001D71D1"/>
    <w:rPr>
      <w:rFonts w:cs="Times New Roman"/>
    </w:rPr>
  </w:style>
  <w:style w:type="character" w:customStyle="1" w:styleId="page">
    <w:name w:val="page"/>
    <w:basedOn w:val="DefaultParagraphFont"/>
    <w:uiPriority w:val="99"/>
    <w:rsid w:val="001D71D1"/>
    <w:rPr>
      <w:rFonts w:cs="Times New Roman"/>
    </w:rPr>
  </w:style>
  <w:style w:type="paragraph" w:styleId="Header">
    <w:name w:val="header"/>
    <w:basedOn w:val="Normal"/>
    <w:link w:val="HeaderChar"/>
    <w:rsid w:val="001D71D1"/>
    <w:pPr>
      <w:tabs>
        <w:tab w:val="center" w:pos="4680"/>
        <w:tab w:val="right" w:pos="9360"/>
      </w:tabs>
      <w:spacing w:after="0" w:line="240" w:lineRule="auto"/>
    </w:pPr>
  </w:style>
  <w:style w:type="character" w:customStyle="1" w:styleId="HeaderChar">
    <w:name w:val="Header Char"/>
    <w:basedOn w:val="DefaultParagraphFont"/>
    <w:link w:val="Header"/>
    <w:rsid w:val="001D71D1"/>
    <w:rPr>
      <w:rFonts w:ascii="Calibri" w:eastAsia="Calibri" w:hAnsi="Calibri" w:cs="Times New Roman"/>
    </w:rPr>
  </w:style>
  <w:style w:type="paragraph" w:styleId="Footer">
    <w:name w:val="footer"/>
    <w:basedOn w:val="Normal"/>
    <w:link w:val="FooterChar"/>
    <w:uiPriority w:val="99"/>
    <w:rsid w:val="001D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1D1"/>
    <w:rPr>
      <w:rFonts w:ascii="Calibri" w:eastAsia="Calibri" w:hAnsi="Calibri" w:cs="Times New Roman"/>
    </w:rPr>
  </w:style>
  <w:style w:type="paragraph" w:styleId="ListParagraph">
    <w:name w:val="List Paragraph"/>
    <w:basedOn w:val="Normal"/>
    <w:uiPriority w:val="34"/>
    <w:qFormat/>
    <w:rsid w:val="001D71D1"/>
    <w:pPr>
      <w:ind w:left="720"/>
      <w:contextualSpacing/>
    </w:pPr>
  </w:style>
  <w:style w:type="paragraph" w:styleId="FootnoteText">
    <w:name w:val="footnote text"/>
    <w:basedOn w:val="Normal"/>
    <w:link w:val="FootnoteTextChar"/>
    <w:uiPriority w:val="99"/>
    <w:rsid w:val="001D71D1"/>
    <w:pPr>
      <w:spacing w:after="0" w:line="240" w:lineRule="auto"/>
    </w:pPr>
    <w:rPr>
      <w:sz w:val="20"/>
      <w:szCs w:val="20"/>
    </w:rPr>
  </w:style>
  <w:style w:type="character" w:customStyle="1" w:styleId="FootnoteTextChar">
    <w:name w:val="Footnote Text Char"/>
    <w:basedOn w:val="DefaultParagraphFont"/>
    <w:link w:val="FootnoteText"/>
    <w:uiPriority w:val="99"/>
    <w:rsid w:val="001D71D1"/>
    <w:rPr>
      <w:rFonts w:ascii="Calibri" w:eastAsia="Calibri" w:hAnsi="Calibri" w:cs="Times New Roman"/>
      <w:sz w:val="20"/>
      <w:szCs w:val="20"/>
    </w:rPr>
  </w:style>
  <w:style w:type="character" w:styleId="FootnoteReference">
    <w:name w:val="footnote reference"/>
    <w:basedOn w:val="DefaultParagraphFont"/>
    <w:uiPriority w:val="99"/>
    <w:rsid w:val="001D71D1"/>
    <w:rPr>
      <w:rFonts w:cs="Times New Roman"/>
      <w:vertAlign w:val="superscript"/>
    </w:rPr>
  </w:style>
  <w:style w:type="character" w:styleId="Emphasis">
    <w:name w:val="Emphasis"/>
    <w:basedOn w:val="DefaultParagraphFont"/>
    <w:qFormat/>
    <w:rsid w:val="001D71D1"/>
    <w:rPr>
      <w:rFonts w:cs="Times New Roman"/>
      <w:i/>
    </w:rPr>
  </w:style>
  <w:style w:type="paragraph" w:customStyle="1" w:styleId="Default">
    <w:name w:val="Default"/>
    <w:rsid w:val="001D71D1"/>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rsid w:val="001D71D1"/>
    <w:pPr>
      <w:spacing w:after="0" w:line="240" w:lineRule="auto"/>
    </w:pPr>
    <w:rPr>
      <w:sz w:val="20"/>
      <w:szCs w:val="21"/>
      <w:lang w:eastAsia="zh-CN"/>
    </w:rPr>
  </w:style>
  <w:style w:type="character" w:customStyle="1" w:styleId="PlainTextChar">
    <w:name w:val="Plain Text Char"/>
    <w:basedOn w:val="DefaultParagraphFont"/>
    <w:link w:val="PlainText"/>
    <w:uiPriority w:val="99"/>
    <w:rsid w:val="001D71D1"/>
    <w:rPr>
      <w:rFonts w:ascii="Calibri" w:eastAsia="Calibri" w:hAnsi="Calibri" w:cs="Times New Roman"/>
      <w:sz w:val="20"/>
      <w:szCs w:val="21"/>
      <w:lang w:eastAsia="zh-CN"/>
    </w:rPr>
  </w:style>
  <w:style w:type="paragraph" w:styleId="HTMLPreformatted">
    <w:name w:val="HTML Preformatted"/>
    <w:basedOn w:val="Normal"/>
    <w:link w:val="HTMLPreformattedChar"/>
    <w:rsid w:val="001D7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PreformattedChar">
    <w:name w:val="HTML Preformatted Char"/>
    <w:basedOn w:val="DefaultParagraphFont"/>
    <w:link w:val="HTMLPreformatted"/>
    <w:rsid w:val="001D71D1"/>
    <w:rPr>
      <w:rFonts w:ascii="Courier New" w:eastAsia="Times New Roman" w:hAnsi="Courier New" w:cs="Times New Roman"/>
      <w:sz w:val="20"/>
      <w:szCs w:val="20"/>
      <w:lang w:eastAsia="zh-CN"/>
    </w:rPr>
  </w:style>
  <w:style w:type="character" w:customStyle="1" w:styleId="BalloonTextChar3">
    <w:name w:val="Balloon Text Char3"/>
    <w:basedOn w:val="DefaultParagraphFont"/>
    <w:semiHidden/>
    <w:rsid w:val="001D71D1"/>
    <w:rPr>
      <w:rFonts w:ascii="Lucida Grande" w:hAnsi="Lucida Grande"/>
      <w:sz w:val="18"/>
      <w:szCs w:val="18"/>
    </w:rPr>
  </w:style>
  <w:style w:type="character" w:customStyle="1" w:styleId="BalloonTextChar2">
    <w:name w:val="Balloon Text Char2"/>
    <w:basedOn w:val="DefaultParagraphFont"/>
    <w:semiHidden/>
    <w:rsid w:val="001D71D1"/>
    <w:rPr>
      <w:rFonts w:ascii="Lucida Grande" w:hAnsi="Lucida Grande"/>
      <w:sz w:val="18"/>
      <w:szCs w:val="18"/>
    </w:rPr>
  </w:style>
  <w:style w:type="character" w:styleId="PageNumber">
    <w:name w:val="page number"/>
    <w:basedOn w:val="DefaultParagraphFont"/>
    <w:rsid w:val="001D71D1"/>
  </w:style>
  <w:style w:type="character" w:customStyle="1" w:styleId="BalloonTextChar1">
    <w:name w:val="Balloon Text Char1"/>
    <w:basedOn w:val="DefaultParagraphFont"/>
    <w:rsid w:val="001D71D1"/>
    <w:rPr>
      <w:rFonts w:ascii="Tahoma" w:hAnsi="Tahoma" w:cs="Tahoma"/>
      <w:sz w:val="16"/>
      <w:szCs w:val="16"/>
      <w:lang w:eastAsia="zh-CN"/>
    </w:rPr>
  </w:style>
  <w:style w:type="character" w:styleId="FollowedHyperlink">
    <w:name w:val="FollowedHyperlink"/>
    <w:basedOn w:val="DefaultParagraphFont"/>
    <w:rsid w:val="001D71D1"/>
    <w:rPr>
      <w:color w:val="800080" w:themeColor="followedHyperlink"/>
      <w:u w:val="single"/>
    </w:rPr>
  </w:style>
  <w:style w:type="paragraph" w:styleId="Revision">
    <w:name w:val="Revision"/>
    <w:hidden/>
    <w:rsid w:val="001D71D1"/>
    <w:pPr>
      <w:spacing w:after="0" w:line="240" w:lineRule="auto"/>
    </w:pPr>
    <w:rPr>
      <w:rFonts w:ascii="Times New Roman" w:eastAsia="SimSun" w:hAnsi="Times New Roman" w:cs="Times New Roman"/>
      <w:sz w:val="24"/>
      <w:szCs w:val="24"/>
      <w:lang w:eastAsia="zh-CN"/>
    </w:rPr>
  </w:style>
  <w:style w:type="character" w:customStyle="1" w:styleId="ng-binding">
    <w:name w:val="ng-binding"/>
    <w:basedOn w:val="DefaultParagraphFont"/>
    <w:rsid w:val="001D71D1"/>
  </w:style>
  <w:style w:type="character" w:customStyle="1" w:styleId="CharChar12">
    <w:name w:val="Char Char12"/>
    <w:locked/>
    <w:rsid w:val="001D71D1"/>
    <w:rPr>
      <w:rFonts w:ascii="Calibri" w:eastAsia="MS Mincho" w:hAnsi="Calibri"/>
      <w:lang w:val="en-US" w:eastAsia="zh-CN"/>
    </w:rPr>
  </w:style>
  <w:style w:type="character" w:customStyle="1" w:styleId="headerslevel11">
    <w:name w:val="headerslevel11"/>
    <w:rsid w:val="001D71D1"/>
    <w:rPr>
      <w:rFonts w:ascii="Verdana" w:hAnsi="Verdana"/>
      <w:b/>
      <w:color w:val="232F63"/>
      <w:sz w:val="24"/>
    </w:rPr>
  </w:style>
  <w:style w:type="paragraph" w:customStyle="1" w:styleId="xmsoplaintext">
    <w:name w:val="x_msoplaintext"/>
    <w:basedOn w:val="Normal"/>
    <w:rsid w:val="001D71D1"/>
    <w:pPr>
      <w:spacing w:before="100" w:beforeAutospacing="1" w:after="100" w:afterAutospacing="1" w:line="240" w:lineRule="auto"/>
    </w:pPr>
    <w:rPr>
      <w:rFonts w:ascii="Times New Roman" w:eastAsia="SimSun" w:hAnsi="Times New Roman"/>
      <w:sz w:val="24"/>
      <w:szCs w:val="24"/>
      <w:lang w:eastAsia="zh-CN"/>
    </w:rPr>
  </w:style>
  <w:style w:type="paragraph" w:styleId="EndnoteText">
    <w:name w:val="endnote text"/>
    <w:basedOn w:val="Normal"/>
    <w:link w:val="EndnoteTextChar"/>
    <w:unhideWhenUsed/>
    <w:rsid w:val="001D71D1"/>
    <w:pPr>
      <w:spacing w:after="0" w:line="240" w:lineRule="auto"/>
    </w:pPr>
    <w:rPr>
      <w:rFonts w:ascii="Times New Roman" w:eastAsia="SimSun" w:hAnsi="Times New Roman"/>
      <w:sz w:val="20"/>
      <w:szCs w:val="20"/>
      <w:lang w:eastAsia="zh-CN"/>
    </w:rPr>
  </w:style>
  <w:style w:type="character" w:customStyle="1" w:styleId="EndnoteTextChar">
    <w:name w:val="Endnote Text Char"/>
    <w:basedOn w:val="DefaultParagraphFont"/>
    <w:link w:val="EndnoteText"/>
    <w:rsid w:val="001D71D1"/>
    <w:rPr>
      <w:rFonts w:ascii="Times New Roman" w:eastAsia="SimSun" w:hAnsi="Times New Roman" w:cs="Times New Roman"/>
      <w:sz w:val="20"/>
      <w:szCs w:val="20"/>
      <w:lang w:eastAsia="zh-CN"/>
    </w:rPr>
  </w:style>
  <w:style w:type="character" w:styleId="EndnoteReference">
    <w:name w:val="endnote reference"/>
    <w:basedOn w:val="DefaultParagraphFont"/>
    <w:semiHidden/>
    <w:unhideWhenUsed/>
    <w:rsid w:val="001D71D1"/>
    <w:rPr>
      <w:vertAlign w:val="superscript"/>
    </w:rPr>
  </w:style>
  <w:style w:type="character" w:customStyle="1" w:styleId="Heading1Char1">
    <w:name w:val="Heading 1 Char1"/>
    <w:locked/>
    <w:rsid w:val="001D71D1"/>
    <w:rPr>
      <w:rFonts w:ascii="Arial" w:eastAsia="MS Mincho" w:hAnsi="Arial"/>
      <w:b/>
      <w:kern w:val="32"/>
      <w:sz w:val="20"/>
    </w:rPr>
  </w:style>
  <w:style w:type="character" w:customStyle="1" w:styleId="BalloonTextChar4">
    <w:name w:val="Balloon Text Char4"/>
    <w:basedOn w:val="DefaultParagraphFont"/>
    <w:semiHidden/>
    <w:rsid w:val="001D71D1"/>
    <w:rPr>
      <w:rFonts w:ascii="Lucida Grande" w:hAnsi="Lucida Grande" w:cs="Times New Roman"/>
      <w:sz w:val="18"/>
      <w:szCs w:val="18"/>
    </w:rPr>
  </w:style>
  <w:style w:type="character" w:customStyle="1" w:styleId="CommentTextChar1">
    <w:name w:val="Comment Text Char1"/>
    <w:basedOn w:val="DefaultParagraphFont"/>
    <w:locked/>
    <w:rsid w:val="001D71D1"/>
    <w:rPr>
      <w:rFonts w:ascii="Calibri" w:eastAsia="MS Mincho" w:hAnsi="Calibri" w:cs="Times New Roman"/>
      <w:sz w:val="20"/>
      <w:szCs w:val="20"/>
    </w:rPr>
  </w:style>
  <w:style w:type="character" w:customStyle="1" w:styleId="HeaderChar1">
    <w:name w:val="Header Char1"/>
    <w:locked/>
    <w:rsid w:val="001D71D1"/>
    <w:rPr>
      <w:rFonts w:ascii="Calibri" w:eastAsia="MS Mincho" w:hAnsi="Calibri"/>
      <w:sz w:val="20"/>
    </w:rPr>
  </w:style>
  <w:style w:type="character" w:customStyle="1" w:styleId="FooterChar1">
    <w:name w:val="Footer Char1"/>
    <w:locked/>
    <w:rsid w:val="001D71D1"/>
    <w:rPr>
      <w:rFonts w:ascii="Calibri" w:eastAsia="MS Mincho" w:hAnsi="Calibri"/>
      <w:sz w:val="20"/>
    </w:rPr>
  </w:style>
  <w:style w:type="character" w:customStyle="1" w:styleId="CharChar1">
    <w:name w:val="Char Char1"/>
    <w:semiHidden/>
    <w:rsid w:val="001D71D1"/>
    <w:rPr>
      <w:rFonts w:ascii="Calibri" w:hAnsi="Calibri"/>
      <w:lang w:val="en-US" w:eastAsia="en-US"/>
    </w:rPr>
  </w:style>
  <w:style w:type="table" w:customStyle="1" w:styleId="ColorfulList-Accent11">
    <w:name w:val="Colorful List - Accent 11"/>
    <w:rsid w:val="001D71D1"/>
    <w:pPr>
      <w:spacing w:after="0" w:line="240" w:lineRule="auto"/>
    </w:pPr>
    <w:rPr>
      <w:rFonts w:ascii="Calibri" w:eastAsia="MS Mincho"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9">
    <w:name w:val="Char Char9"/>
    <w:basedOn w:val="DefaultParagraphFont"/>
    <w:rsid w:val="001D71D1"/>
    <w:rPr>
      <w:rFonts w:cs="Times New Roman"/>
    </w:rPr>
  </w:style>
  <w:style w:type="character" w:customStyle="1" w:styleId="CharChar2">
    <w:name w:val="Char Char2"/>
    <w:rsid w:val="001D71D1"/>
    <w:rPr>
      <w:rFonts w:ascii="Consolas" w:hAnsi="Consolas"/>
      <w:sz w:val="21"/>
    </w:rPr>
  </w:style>
  <w:style w:type="character" w:customStyle="1" w:styleId="CharChar6">
    <w:name w:val="Char Char6"/>
    <w:rsid w:val="001D71D1"/>
    <w:rPr>
      <w:rFonts w:ascii="Courier New" w:hAnsi="Courier New"/>
    </w:rPr>
  </w:style>
  <w:style w:type="character" w:customStyle="1" w:styleId="CharChar10">
    <w:name w:val="Char Char10"/>
    <w:rsid w:val="001D71D1"/>
    <w:rPr>
      <w:rFonts w:ascii="Courier" w:hAnsi="Courier"/>
      <w:snapToGrid w:val="0"/>
      <w:color w:val="000000"/>
      <w:sz w:val="24"/>
      <w:u w:val="single"/>
    </w:rPr>
  </w:style>
  <w:style w:type="character" w:customStyle="1" w:styleId="CharChar8">
    <w:name w:val="Char Char8"/>
    <w:semiHidden/>
    <w:rsid w:val="001D71D1"/>
    <w:rPr>
      <w:rFonts w:ascii="Calibri" w:hAnsi="Calibri"/>
      <w:b/>
      <w:lang w:val="en-US" w:eastAsia="en-US"/>
    </w:rPr>
  </w:style>
  <w:style w:type="character" w:customStyle="1" w:styleId="CharChar7">
    <w:name w:val="Char Char7"/>
    <w:semiHidden/>
    <w:rsid w:val="001D71D1"/>
    <w:rPr>
      <w:rFonts w:ascii="Tahoma" w:hAnsi="Tahoma"/>
      <w:sz w:val="16"/>
      <w:lang w:val="en-US" w:eastAsia="en-US"/>
    </w:rPr>
  </w:style>
  <w:style w:type="character" w:customStyle="1" w:styleId="CharChar5">
    <w:name w:val="Char Char5"/>
    <w:rsid w:val="001D71D1"/>
    <w:rPr>
      <w:rFonts w:ascii="Courier New" w:hAnsi="Courier New"/>
      <w:lang w:val="en-US" w:eastAsia="en-US"/>
    </w:rPr>
  </w:style>
  <w:style w:type="character" w:customStyle="1" w:styleId="CharChar4">
    <w:name w:val="Char Char4"/>
    <w:basedOn w:val="DefaultParagraphFont"/>
    <w:rsid w:val="001D71D1"/>
    <w:rPr>
      <w:rFonts w:cs="Times New Roman"/>
    </w:rPr>
  </w:style>
  <w:style w:type="paragraph" w:styleId="TOCHeading">
    <w:name w:val="TOC Heading"/>
    <w:basedOn w:val="Heading1"/>
    <w:next w:val="Normal"/>
    <w:qFormat/>
    <w:rsid w:val="001D71D1"/>
    <w:pPr>
      <w:keepNext/>
      <w:keepLines/>
      <w:spacing w:before="480" w:line="276" w:lineRule="auto"/>
      <w:outlineLvl w:val="9"/>
    </w:pPr>
    <w:rPr>
      <w:rFonts w:ascii="Cambria" w:eastAsia="MS Mincho" w:hAnsi="Cambria"/>
      <w:bCs/>
      <w:color w:val="365F91"/>
      <w:sz w:val="28"/>
      <w:szCs w:val="28"/>
      <w:lang w:eastAsia="ja-JP"/>
    </w:rPr>
  </w:style>
  <w:style w:type="paragraph" w:styleId="TOC1">
    <w:name w:val="toc 1"/>
    <w:basedOn w:val="Normal"/>
    <w:next w:val="Normal"/>
    <w:autoRedefine/>
    <w:rsid w:val="001D71D1"/>
    <w:pPr>
      <w:tabs>
        <w:tab w:val="right" w:leader="dot" w:pos="4680"/>
      </w:tabs>
      <w:spacing w:after="40" w:line="240" w:lineRule="auto"/>
    </w:pPr>
    <w:rPr>
      <w:rFonts w:eastAsia="MS Mincho"/>
    </w:rPr>
  </w:style>
  <w:style w:type="paragraph" w:styleId="TOC2">
    <w:name w:val="toc 2"/>
    <w:basedOn w:val="Normal"/>
    <w:next w:val="Normal"/>
    <w:autoRedefine/>
    <w:rsid w:val="001D71D1"/>
    <w:pPr>
      <w:spacing w:after="100"/>
      <w:ind w:left="220"/>
    </w:pPr>
    <w:rPr>
      <w:rFonts w:eastAsia="MS Mincho"/>
    </w:rPr>
  </w:style>
  <w:style w:type="paragraph" w:styleId="TOC3">
    <w:name w:val="toc 3"/>
    <w:basedOn w:val="Normal"/>
    <w:next w:val="Normal"/>
    <w:autoRedefine/>
    <w:rsid w:val="001D71D1"/>
    <w:pPr>
      <w:spacing w:after="100"/>
      <w:ind w:left="440"/>
    </w:pPr>
    <w:rPr>
      <w:rFonts w:eastAsia="MS Mincho"/>
    </w:rPr>
  </w:style>
  <w:style w:type="paragraph" w:styleId="TOC4">
    <w:name w:val="toc 4"/>
    <w:basedOn w:val="Normal"/>
    <w:next w:val="Normal"/>
    <w:autoRedefine/>
    <w:rsid w:val="001D71D1"/>
    <w:pPr>
      <w:spacing w:after="100"/>
      <w:ind w:left="660"/>
    </w:pPr>
    <w:rPr>
      <w:rFonts w:eastAsia="MS Mincho"/>
    </w:rPr>
  </w:style>
  <w:style w:type="paragraph" w:styleId="TOC5">
    <w:name w:val="toc 5"/>
    <w:basedOn w:val="Normal"/>
    <w:next w:val="Normal"/>
    <w:autoRedefine/>
    <w:rsid w:val="001D71D1"/>
    <w:pPr>
      <w:spacing w:after="100"/>
      <w:ind w:left="880"/>
    </w:pPr>
    <w:rPr>
      <w:rFonts w:eastAsia="MS Mincho"/>
    </w:rPr>
  </w:style>
  <w:style w:type="paragraph" w:styleId="TOC6">
    <w:name w:val="toc 6"/>
    <w:basedOn w:val="Normal"/>
    <w:next w:val="Normal"/>
    <w:autoRedefine/>
    <w:rsid w:val="001D71D1"/>
    <w:pPr>
      <w:spacing w:after="100"/>
      <w:ind w:left="1100"/>
    </w:pPr>
    <w:rPr>
      <w:rFonts w:eastAsia="MS Mincho"/>
    </w:rPr>
  </w:style>
  <w:style w:type="paragraph" w:styleId="TOC7">
    <w:name w:val="toc 7"/>
    <w:basedOn w:val="Normal"/>
    <w:next w:val="Normal"/>
    <w:autoRedefine/>
    <w:rsid w:val="001D71D1"/>
    <w:pPr>
      <w:spacing w:after="100"/>
      <w:ind w:left="1320"/>
    </w:pPr>
    <w:rPr>
      <w:rFonts w:eastAsia="MS Mincho"/>
    </w:rPr>
  </w:style>
  <w:style w:type="paragraph" w:styleId="TOC8">
    <w:name w:val="toc 8"/>
    <w:basedOn w:val="Normal"/>
    <w:next w:val="Normal"/>
    <w:autoRedefine/>
    <w:rsid w:val="001D71D1"/>
    <w:pPr>
      <w:spacing w:after="100"/>
      <w:ind w:left="1540"/>
    </w:pPr>
    <w:rPr>
      <w:rFonts w:eastAsia="MS Mincho"/>
    </w:rPr>
  </w:style>
  <w:style w:type="paragraph" w:styleId="TOC9">
    <w:name w:val="toc 9"/>
    <w:basedOn w:val="Normal"/>
    <w:next w:val="Normal"/>
    <w:autoRedefine/>
    <w:rsid w:val="001D71D1"/>
    <w:pPr>
      <w:spacing w:after="100"/>
      <w:ind w:left="1760"/>
    </w:pPr>
    <w:rPr>
      <w:rFonts w:eastAsia="MS Mincho"/>
    </w:rPr>
  </w:style>
  <w:style w:type="paragraph" w:customStyle="1" w:styleId="ColorfulList-Accent111">
    <w:name w:val="Colorful List - Accent 111"/>
    <w:basedOn w:val="Normal"/>
    <w:uiPriority w:val="99"/>
    <w:rsid w:val="001D71D1"/>
    <w:pPr>
      <w:ind w:left="720"/>
      <w:contextualSpacing/>
    </w:pPr>
    <w:rPr>
      <w:rFonts w:eastAsia="MS Mincho"/>
    </w:rPr>
  </w:style>
  <w:style w:type="paragraph" w:customStyle="1" w:styleId="xmsonormal">
    <w:name w:val="x_msonormal"/>
    <w:basedOn w:val="Normal"/>
    <w:rsid w:val="001D71D1"/>
    <w:pPr>
      <w:spacing w:before="100" w:beforeAutospacing="1" w:after="100" w:afterAutospacing="1" w:line="240" w:lineRule="auto"/>
    </w:pPr>
    <w:rPr>
      <w:rFonts w:ascii="Times New Roman" w:eastAsia="SimSun" w:hAnsi="Times New Roman"/>
      <w:sz w:val="24"/>
      <w:szCs w:val="24"/>
      <w:lang w:eastAsia="zh-CN"/>
    </w:rPr>
  </w:style>
  <w:style w:type="character" w:customStyle="1" w:styleId="CharChar61">
    <w:name w:val="Char Char61"/>
    <w:locked/>
    <w:rsid w:val="001D71D1"/>
    <w:rPr>
      <w:rFonts w:ascii="Calibri" w:eastAsia="MS Mincho" w:hAnsi="Calibri"/>
      <w:lang w:val="en-US" w:eastAsia="en-US"/>
    </w:rPr>
  </w:style>
  <w:style w:type="character" w:customStyle="1" w:styleId="CharChar21">
    <w:name w:val="Char Char21"/>
    <w:locked/>
    <w:rsid w:val="001D71D1"/>
    <w:rPr>
      <w:rFonts w:ascii="Calibri" w:eastAsia="MS ??" w:hAnsi="Calibri"/>
      <w:lang w:val="en-US" w:eastAsia="en-US"/>
    </w:rPr>
  </w:style>
  <w:style w:type="character" w:customStyle="1" w:styleId="CharChar11">
    <w:name w:val="Char Char11"/>
    <w:locked/>
    <w:rsid w:val="001D71D1"/>
    <w:rPr>
      <w:rFonts w:ascii="Consolas" w:eastAsia="MS Mincho" w:hAnsi="Consolas"/>
      <w:sz w:val="21"/>
      <w:lang w:val="en-US" w:eastAsia="en-US"/>
    </w:rPr>
  </w:style>
  <w:style w:type="paragraph" w:styleId="Caption">
    <w:name w:val="caption"/>
    <w:basedOn w:val="Normal"/>
    <w:next w:val="Normal"/>
    <w:qFormat/>
    <w:rsid w:val="001D71D1"/>
    <w:pPr>
      <w:spacing w:line="240" w:lineRule="auto"/>
    </w:pPr>
    <w:rPr>
      <w:rFonts w:eastAsia="MS ??"/>
      <w:b/>
      <w:bCs/>
      <w:color w:val="4F81BD"/>
      <w:sz w:val="18"/>
      <w:szCs w:val="18"/>
    </w:rPr>
  </w:style>
  <w:style w:type="character" w:customStyle="1" w:styleId="FootnoteTextChar1">
    <w:name w:val="Footnote Text Char1"/>
    <w:rsid w:val="001D71D1"/>
    <w:rPr>
      <w:rFonts w:ascii="Calibri" w:hAnsi="Calibri"/>
      <w:sz w:val="20"/>
    </w:rPr>
  </w:style>
  <w:style w:type="paragraph" w:customStyle="1" w:styleId="xl63">
    <w:name w:val="xl63"/>
    <w:basedOn w:val="Normal"/>
    <w:rsid w:val="001D71D1"/>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MS ??" w:hAnsi="Times New Roman"/>
      <w:sz w:val="24"/>
      <w:szCs w:val="24"/>
      <w:lang w:eastAsia="zh-CN"/>
    </w:rPr>
  </w:style>
  <w:style w:type="paragraph" w:customStyle="1" w:styleId="xl64">
    <w:name w:val="xl64"/>
    <w:basedOn w:val="Normal"/>
    <w:rsid w:val="001D71D1"/>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MS ??" w:hAnsi="Times New Roman"/>
      <w:sz w:val="24"/>
      <w:szCs w:val="24"/>
      <w:lang w:eastAsia="zh-CN"/>
    </w:rPr>
  </w:style>
  <w:style w:type="paragraph" w:customStyle="1" w:styleId="xl65">
    <w:name w:val="xl65"/>
    <w:basedOn w:val="Normal"/>
    <w:rsid w:val="001D71D1"/>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eastAsia="MS ??" w:cs="Calibri"/>
      <w:b/>
      <w:bCs/>
      <w:color w:val="000000"/>
      <w:sz w:val="24"/>
      <w:szCs w:val="24"/>
      <w:lang w:eastAsia="zh-CN"/>
    </w:rPr>
  </w:style>
  <w:style w:type="paragraph" w:customStyle="1" w:styleId="xl66">
    <w:name w:val="xl66"/>
    <w:basedOn w:val="Normal"/>
    <w:rsid w:val="001D71D1"/>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67">
    <w:name w:val="xl67"/>
    <w:basedOn w:val="Normal"/>
    <w:rsid w:val="001D71D1"/>
    <w:pPr>
      <w:pBdr>
        <w:top w:val="single" w:sz="4" w:space="0" w:color="auto"/>
        <w:left w:val="single" w:sz="4" w:space="0" w:color="auto"/>
        <w:bottom w:val="single" w:sz="4" w:space="0" w:color="auto"/>
      </w:pBdr>
      <w:shd w:val="clear" w:color="000000" w:fill="DAEEF3"/>
      <w:spacing w:before="100" w:beforeAutospacing="1" w:after="100" w:afterAutospacing="1" w:line="240" w:lineRule="auto"/>
    </w:pPr>
    <w:rPr>
      <w:rFonts w:ascii="Times New Roman" w:eastAsia="MS ??" w:hAnsi="Times New Roman"/>
      <w:sz w:val="24"/>
      <w:szCs w:val="24"/>
      <w:lang w:eastAsia="zh-CN"/>
    </w:rPr>
  </w:style>
  <w:style w:type="paragraph" w:customStyle="1" w:styleId="xl68">
    <w:name w:val="xl68"/>
    <w:basedOn w:val="Normal"/>
    <w:rsid w:val="001D71D1"/>
    <w:pPr>
      <w:pBdr>
        <w:top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MS ??" w:hAnsi="Times New Roman"/>
      <w:sz w:val="24"/>
      <w:szCs w:val="24"/>
      <w:lang w:eastAsia="zh-CN"/>
    </w:rPr>
  </w:style>
  <w:style w:type="paragraph" w:customStyle="1" w:styleId="xl69">
    <w:name w:val="xl69"/>
    <w:basedOn w:val="Normal"/>
    <w:rsid w:val="001D71D1"/>
    <w:pPr>
      <w:pBdr>
        <w:top w:val="single" w:sz="4" w:space="0" w:color="auto"/>
        <w:left w:val="single" w:sz="4" w:space="0" w:color="auto"/>
        <w:bottom w:val="single" w:sz="4" w:space="0" w:color="auto"/>
      </w:pBdr>
      <w:shd w:val="clear" w:color="000000" w:fill="DAEEF3"/>
      <w:spacing w:before="100" w:beforeAutospacing="1" w:after="100" w:afterAutospacing="1" w:line="240" w:lineRule="auto"/>
    </w:pPr>
    <w:rPr>
      <w:rFonts w:eastAsia="MS ??" w:cs="Calibri"/>
      <w:b/>
      <w:bCs/>
      <w:color w:val="000000"/>
      <w:sz w:val="24"/>
      <w:szCs w:val="24"/>
      <w:lang w:eastAsia="zh-CN"/>
    </w:rPr>
  </w:style>
  <w:style w:type="paragraph" w:customStyle="1" w:styleId="xl70">
    <w:name w:val="xl70"/>
    <w:basedOn w:val="Normal"/>
    <w:rsid w:val="001D71D1"/>
    <w:pPr>
      <w:pBdr>
        <w:top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71">
    <w:name w:val="xl71"/>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sz w:val="24"/>
      <w:szCs w:val="24"/>
      <w:lang w:eastAsia="zh-CN"/>
    </w:rPr>
  </w:style>
  <w:style w:type="paragraph" w:customStyle="1" w:styleId="xl72">
    <w:name w:val="xl72"/>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color w:val="000000"/>
      <w:sz w:val="24"/>
      <w:szCs w:val="24"/>
      <w:lang w:eastAsia="zh-CN"/>
    </w:rPr>
  </w:style>
  <w:style w:type="paragraph" w:customStyle="1" w:styleId="xl73">
    <w:name w:val="xl73"/>
    <w:basedOn w:val="Normal"/>
    <w:rsid w:val="001D71D1"/>
    <w:pP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4">
    <w:name w:val="xl74"/>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color w:val="000000"/>
      <w:sz w:val="24"/>
      <w:szCs w:val="24"/>
      <w:lang w:eastAsia="zh-CN"/>
    </w:rPr>
  </w:style>
  <w:style w:type="paragraph" w:customStyle="1" w:styleId="xl75">
    <w:name w:val="xl75"/>
    <w:basedOn w:val="Normal"/>
    <w:rsid w:val="001D71D1"/>
    <w:pPr>
      <w:pBdr>
        <w:left w:val="single" w:sz="4" w:space="0" w:color="auto"/>
        <w:bottom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6">
    <w:name w:val="xl76"/>
    <w:basedOn w:val="Normal"/>
    <w:rsid w:val="001D71D1"/>
    <w:pPr>
      <w:pBdr>
        <w:bottom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7">
    <w:name w:val="xl77"/>
    <w:basedOn w:val="Normal"/>
    <w:rsid w:val="001D71D1"/>
    <w:pPr>
      <w:pBdr>
        <w:bottom w:val="single" w:sz="4" w:space="0" w:color="auto"/>
      </w:pBdr>
      <w:shd w:val="clear" w:color="000000" w:fill="FDE9D9"/>
      <w:spacing w:before="100" w:beforeAutospacing="1" w:after="100" w:afterAutospacing="1" w:line="240" w:lineRule="auto"/>
    </w:pPr>
    <w:rPr>
      <w:rFonts w:eastAsia="MS ??" w:cs="Calibri"/>
      <w:b/>
      <w:bCs/>
      <w:color w:val="000000"/>
      <w:sz w:val="24"/>
      <w:szCs w:val="24"/>
      <w:lang w:eastAsia="zh-CN"/>
    </w:rPr>
  </w:style>
  <w:style w:type="paragraph" w:customStyle="1" w:styleId="xl78">
    <w:name w:val="xl78"/>
    <w:basedOn w:val="Normal"/>
    <w:rsid w:val="001D71D1"/>
    <w:pPr>
      <w:pBdr>
        <w:bottom w:val="single" w:sz="4" w:space="0" w:color="auto"/>
        <w:right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9">
    <w:name w:val="xl79"/>
    <w:basedOn w:val="Normal"/>
    <w:rsid w:val="001D71D1"/>
    <w:pPr>
      <w:pBdr>
        <w:left w:val="single" w:sz="4" w:space="0" w:color="auto"/>
        <w:bottom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0">
    <w:name w:val="xl80"/>
    <w:basedOn w:val="Normal"/>
    <w:rsid w:val="001D71D1"/>
    <w:pPr>
      <w:pBdr>
        <w:bottom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1">
    <w:name w:val="xl81"/>
    <w:basedOn w:val="Normal"/>
    <w:rsid w:val="001D71D1"/>
    <w:pPr>
      <w:pBdr>
        <w:bottom w:val="single" w:sz="4" w:space="0" w:color="auto"/>
      </w:pBdr>
      <w:shd w:val="clear" w:color="000000" w:fill="DAEEF3"/>
      <w:spacing w:before="100" w:beforeAutospacing="1" w:after="100" w:afterAutospacing="1" w:line="240" w:lineRule="auto"/>
    </w:pPr>
    <w:rPr>
      <w:rFonts w:eastAsia="MS ??" w:cs="Calibri"/>
      <w:b/>
      <w:bCs/>
      <w:color w:val="000000"/>
      <w:sz w:val="24"/>
      <w:szCs w:val="24"/>
      <w:lang w:eastAsia="zh-CN"/>
    </w:rPr>
  </w:style>
  <w:style w:type="paragraph" w:customStyle="1" w:styleId="xl82">
    <w:name w:val="xl82"/>
    <w:basedOn w:val="Normal"/>
    <w:rsid w:val="001D71D1"/>
    <w:pPr>
      <w:pBdr>
        <w:bottom w:val="single" w:sz="4" w:space="0" w:color="auto"/>
        <w:right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3">
    <w:name w:val="xl83"/>
    <w:basedOn w:val="Normal"/>
    <w:rsid w:val="001D71D1"/>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eastAsia="MS ??" w:cs="Calibri"/>
      <w:b/>
      <w:bCs/>
      <w:color w:val="000000"/>
      <w:sz w:val="24"/>
      <w:szCs w:val="24"/>
      <w:lang w:eastAsia="zh-CN"/>
    </w:rPr>
  </w:style>
  <w:style w:type="paragraph" w:customStyle="1" w:styleId="xl84">
    <w:name w:val="xl84"/>
    <w:basedOn w:val="Normal"/>
    <w:rsid w:val="001D71D1"/>
    <w:pPr>
      <w:pBdr>
        <w:top w:val="single" w:sz="4" w:space="0" w:color="auto"/>
        <w:bottom w:val="single" w:sz="4" w:space="0" w:color="auto"/>
      </w:pBdr>
      <w:shd w:val="clear" w:color="000000" w:fill="EBF1DE"/>
      <w:spacing w:before="100" w:beforeAutospacing="1" w:after="100" w:afterAutospacing="1" w:line="240" w:lineRule="auto"/>
    </w:pPr>
    <w:rPr>
      <w:rFonts w:ascii="Times New Roman" w:eastAsia="MS ??" w:hAnsi="Times New Roman"/>
      <w:sz w:val="24"/>
      <w:szCs w:val="24"/>
      <w:lang w:eastAsia="zh-CN"/>
    </w:rPr>
  </w:style>
  <w:style w:type="paragraph" w:customStyle="1" w:styleId="xl85">
    <w:name w:val="xl85"/>
    <w:basedOn w:val="Normal"/>
    <w:rsid w:val="001D71D1"/>
    <w:pPr>
      <w:pBdr>
        <w:top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MS ??" w:hAnsi="Times New Roman"/>
      <w:sz w:val="24"/>
      <w:szCs w:val="24"/>
      <w:lang w:eastAsia="zh-CN"/>
    </w:rPr>
  </w:style>
  <w:style w:type="paragraph" w:customStyle="1" w:styleId="xl86">
    <w:name w:val="xl86"/>
    <w:basedOn w:val="Normal"/>
    <w:rsid w:val="001D71D1"/>
    <w:pPr>
      <w:shd w:val="clear" w:color="000000" w:fill="EEECE1"/>
      <w:spacing w:before="100" w:beforeAutospacing="1" w:after="100" w:afterAutospacing="1" w:line="240" w:lineRule="auto"/>
    </w:pPr>
    <w:rPr>
      <w:rFonts w:ascii="Times New Roman" w:eastAsia="MS ??" w:hAnsi="Times New Roman"/>
      <w:sz w:val="24"/>
      <w:szCs w:val="24"/>
      <w:lang w:eastAsia="zh-CN"/>
    </w:rPr>
  </w:style>
  <w:style w:type="paragraph" w:customStyle="1" w:styleId="MediumGrid1-Accent21">
    <w:name w:val="Medium Grid 1 - Accent 21"/>
    <w:basedOn w:val="Normal"/>
    <w:rsid w:val="001D71D1"/>
    <w:pPr>
      <w:ind w:left="720"/>
    </w:pPr>
    <w:rPr>
      <w:rFonts w:eastAsia="MS ??"/>
    </w:rPr>
  </w:style>
  <w:style w:type="paragraph" w:customStyle="1" w:styleId="MediumList2-Accent21">
    <w:name w:val="Medium List 2 - Accent 21"/>
    <w:hidden/>
    <w:rsid w:val="001D71D1"/>
    <w:pPr>
      <w:spacing w:after="0" w:line="240" w:lineRule="auto"/>
    </w:pPr>
    <w:rPr>
      <w:rFonts w:ascii="Calibri" w:eastAsia="SimSun" w:hAnsi="Calibri" w:cs="Times New Roman"/>
    </w:rPr>
  </w:style>
  <w:style w:type="paragraph" w:customStyle="1" w:styleId="Style">
    <w:name w:val="Style"/>
    <w:basedOn w:val="Normal"/>
    <w:rsid w:val="001D71D1"/>
    <w:pPr>
      <w:widowControl w:val="0"/>
      <w:spacing w:after="0" w:line="240" w:lineRule="auto"/>
      <w:ind w:left="720" w:hanging="720"/>
    </w:pPr>
    <w:rPr>
      <w:rFonts w:ascii="Courier" w:eastAsia="MS ??" w:hAnsi="Courier"/>
      <w:sz w:val="24"/>
      <w:szCs w:val="20"/>
    </w:rPr>
  </w:style>
  <w:style w:type="character" w:styleId="PlaceholderText">
    <w:name w:val="Placeholder Text"/>
    <w:basedOn w:val="DefaultParagraphFont"/>
    <w:semiHidden/>
    <w:rsid w:val="001D71D1"/>
    <w:rPr>
      <w:rFonts w:cs="Times New Roman"/>
      <w:color w:val="808080"/>
    </w:rPr>
  </w:style>
  <w:style w:type="table" w:styleId="TableGrid">
    <w:name w:val="Table Grid"/>
    <w:basedOn w:val="TableNormal"/>
    <w:uiPriority w:val="59"/>
    <w:rsid w:val="001D71D1"/>
    <w:pPr>
      <w:spacing w:after="0" w:line="240" w:lineRule="auto"/>
    </w:pPr>
    <w:rPr>
      <w:rFonts w:ascii="Times New Roman" w:eastAsia="MS ??"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basedOn w:val="DefaultParagraphFont"/>
    <w:semiHidden/>
    <w:rsid w:val="001D71D1"/>
    <w:rPr>
      <w:rFonts w:cs="Times New Roman"/>
    </w:rPr>
  </w:style>
  <w:style w:type="character" w:customStyle="1" w:styleId="CharChar3">
    <w:name w:val="Char Char3"/>
    <w:rsid w:val="001D71D1"/>
    <w:rPr>
      <w:rFonts w:ascii="Consolas" w:eastAsia="MS Mincho" w:hAnsi="Consolas"/>
      <w:sz w:val="21"/>
    </w:rPr>
  </w:style>
  <w:style w:type="character" w:customStyle="1" w:styleId="st">
    <w:name w:val="st"/>
    <w:basedOn w:val="DefaultParagraphFont"/>
    <w:rsid w:val="001D71D1"/>
  </w:style>
  <w:style w:type="character" w:customStyle="1" w:styleId="costarpage">
    <w:name w:val="co_starpage"/>
    <w:basedOn w:val="DefaultParagraphFont"/>
    <w:rsid w:val="00871A42"/>
  </w:style>
  <w:style w:type="character" w:customStyle="1" w:styleId="subject">
    <w:name w:val="subject"/>
    <w:basedOn w:val="DefaultParagraphFont"/>
    <w:rsid w:val="00AA25A4"/>
  </w:style>
  <w:style w:type="numbering" w:customStyle="1" w:styleId="NoList1">
    <w:name w:val="No List1"/>
    <w:next w:val="NoList"/>
    <w:uiPriority w:val="99"/>
    <w:semiHidden/>
    <w:unhideWhenUsed/>
    <w:rsid w:val="00E538DB"/>
  </w:style>
  <w:style w:type="paragraph" w:customStyle="1" w:styleId="riaheader3">
    <w:name w:val="ria header 3"/>
    <w:basedOn w:val="Heading1"/>
    <w:qFormat/>
    <w:rsid w:val="00BF10A3"/>
    <w:pPr>
      <w:spacing w:line="240" w:lineRule="auto"/>
      <w:ind w:left="720"/>
    </w:pPr>
    <w:rPr>
      <w:rFonts w:eastAsia="Times New Roman"/>
      <w:b/>
      <w:bCs/>
      <w:i/>
      <w:kern w:val="36"/>
      <w:u w:val="none"/>
    </w:rPr>
  </w:style>
  <w:style w:type="paragraph" w:customStyle="1" w:styleId="riaheader2">
    <w:name w:val="ria header 2"/>
    <w:basedOn w:val="Heading2"/>
    <w:qFormat/>
    <w:rsid w:val="00BF10A3"/>
    <w:pPr>
      <w:keepNext/>
      <w:widowControl w:val="0"/>
      <w:tabs>
        <w:tab w:val="left" w:pos="-1440"/>
      </w:tabs>
      <w:spacing w:after="240" w:line="240" w:lineRule="auto"/>
    </w:pPr>
    <w:rPr>
      <w:rFonts w:eastAsia="MS ??"/>
      <w:b/>
      <w:bCs w:val="0"/>
      <w:color w:val="000000"/>
      <w:lang w:eastAsia="zh-CN"/>
    </w:rPr>
  </w:style>
  <w:style w:type="paragraph" w:customStyle="1" w:styleId="riaheader1">
    <w:name w:val="ria header 1"/>
    <w:basedOn w:val="Heading2"/>
    <w:qFormat/>
    <w:rsid w:val="00BF10A3"/>
    <w:pPr>
      <w:keepNext/>
      <w:widowControl w:val="0"/>
      <w:tabs>
        <w:tab w:val="left" w:pos="-1440"/>
      </w:tabs>
      <w:ind w:hanging="720"/>
    </w:pPr>
    <w:rPr>
      <w:rFonts w:eastAsia="MS ??"/>
      <w:b/>
      <w:bCs w:val="0"/>
      <w:color w:val="000000"/>
      <w:lang w:eastAsia="zh-CN"/>
    </w:rPr>
  </w:style>
  <w:style w:type="paragraph" w:styleId="DocumentMap">
    <w:name w:val="Document Map"/>
    <w:basedOn w:val="Normal"/>
    <w:link w:val="DocumentMapChar"/>
    <w:uiPriority w:val="99"/>
    <w:semiHidden/>
    <w:unhideWhenUsed/>
    <w:rsid w:val="00BF10A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F10A3"/>
    <w:rPr>
      <w:rFonts w:ascii="Lucida Grande" w:eastAsia="Calibri" w:hAnsi="Lucida Grande" w:cs="Lucida Grande"/>
      <w:sz w:val="24"/>
      <w:szCs w:val="24"/>
    </w:rPr>
  </w:style>
  <w:style w:type="paragraph" w:styleId="NoSpacing">
    <w:name w:val="No Spacing"/>
    <w:uiPriority w:val="1"/>
    <w:qFormat/>
    <w:rsid w:val="00BF10A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D71D1"/>
    <w:rPr>
      <w:rFonts w:ascii="Calibri" w:eastAsia="Calibri" w:hAnsi="Calibri" w:cs="Times New Roman"/>
    </w:rPr>
  </w:style>
  <w:style w:type="paragraph" w:styleId="Heading1">
    <w:name w:val="heading 1"/>
    <w:basedOn w:val="Normal"/>
    <w:link w:val="Heading1Char"/>
    <w:qFormat/>
    <w:rsid w:val="00FC66E2"/>
    <w:pPr>
      <w:spacing w:after="0" w:line="480" w:lineRule="auto"/>
      <w:outlineLvl w:val="0"/>
    </w:pPr>
    <w:rPr>
      <w:rFonts w:ascii="Courier New" w:hAnsi="Courier New" w:cs="Courier New"/>
      <w:sz w:val="24"/>
      <w:szCs w:val="24"/>
      <w:u w:val="single"/>
    </w:rPr>
  </w:style>
  <w:style w:type="paragraph" w:styleId="Heading2">
    <w:name w:val="heading 2"/>
    <w:basedOn w:val="Normal"/>
    <w:next w:val="Normal"/>
    <w:link w:val="Heading2Char"/>
    <w:qFormat/>
    <w:rsid w:val="00527902"/>
    <w:pPr>
      <w:spacing w:after="0" w:line="480" w:lineRule="auto"/>
      <w:ind w:left="720"/>
      <w:outlineLvl w:val="1"/>
    </w:pPr>
    <w:rPr>
      <w:rFonts w:ascii="Courier New" w:eastAsia="SimSun" w:hAnsi="Courier New" w:cs="Courier New"/>
      <w:bCs/>
      <w:sz w:val="24"/>
      <w:szCs w:val="24"/>
      <w:u w:val="single"/>
    </w:rPr>
  </w:style>
  <w:style w:type="paragraph" w:styleId="Heading3">
    <w:name w:val="heading 3"/>
    <w:basedOn w:val="Normal"/>
    <w:next w:val="Normal"/>
    <w:link w:val="Heading3Char"/>
    <w:uiPriority w:val="99"/>
    <w:qFormat/>
    <w:rsid w:val="001D71D1"/>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6E2"/>
    <w:rPr>
      <w:rFonts w:ascii="Courier New" w:eastAsia="Calibri" w:hAnsi="Courier New" w:cs="Courier New"/>
      <w:sz w:val="24"/>
      <w:szCs w:val="24"/>
      <w:u w:val="single"/>
    </w:rPr>
  </w:style>
  <w:style w:type="character" w:customStyle="1" w:styleId="Heading2Char">
    <w:name w:val="Heading 2 Char"/>
    <w:basedOn w:val="DefaultParagraphFont"/>
    <w:link w:val="Heading2"/>
    <w:rsid w:val="00527902"/>
    <w:rPr>
      <w:rFonts w:ascii="Courier New" w:eastAsia="SimSun" w:hAnsi="Courier New" w:cs="Courier New"/>
      <w:bCs/>
      <w:sz w:val="24"/>
      <w:szCs w:val="24"/>
      <w:u w:val="single"/>
    </w:rPr>
  </w:style>
  <w:style w:type="character" w:customStyle="1" w:styleId="Heading3Char">
    <w:name w:val="Heading 3 Char"/>
    <w:basedOn w:val="DefaultParagraphFont"/>
    <w:link w:val="Heading3"/>
    <w:uiPriority w:val="99"/>
    <w:rsid w:val="001D71D1"/>
    <w:rPr>
      <w:rFonts w:ascii="Cambria" w:eastAsia="MS Gothic" w:hAnsi="Cambria" w:cs="Times New Roman"/>
      <w:b/>
      <w:bCs/>
      <w:color w:val="4F81BD"/>
    </w:rPr>
  </w:style>
  <w:style w:type="character" w:styleId="Hyperlink">
    <w:name w:val="Hyperlink"/>
    <w:basedOn w:val="DefaultParagraphFont"/>
    <w:rsid w:val="001D71D1"/>
    <w:rPr>
      <w:rFonts w:cs="Times New Roman"/>
      <w:color w:val="0000FF"/>
      <w:u w:val="single"/>
    </w:rPr>
  </w:style>
  <w:style w:type="paragraph" w:customStyle="1" w:styleId="furinf">
    <w:name w:val="furinf"/>
    <w:basedOn w:val="Normal"/>
    <w:uiPriority w:val="99"/>
    <w:rsid w:val="001D71D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D71D1"/>
    <w:rPr>
      <w:rFonts w:cs="Times New Roman"/>
    </w:rPr>
  </w:style>
  <w:style w:type="paragraph" w:styleId="NormalWeb">
    <w:name w:val="Normal (Web)"/>
    <w:basedOn w:val="Normal"/>
    <w:uiPriority w:val="99"/>
    <w:rsid w:val="001D71D1"/>
    <w:pPr>
      <w:spacing w:before="100" w:beforeAutospacing="1" w:after="100" w:afterAutospacing="1" w:line="240" w:lineRule="auto"/>
    </w:pPr>
    <w:rPr>
      <w:rFonts w:ascii="Times New Roman" w:eastAsia="Times New Roman" w:hAnsi="Times New Roman"/>
      <w:sz w:val="24"/>
      <w:szCs w:val="24"/>
    </w:rPr>
  </w:style>
  <w:style w:type="character" w:customStyle="1" w:styleId="e-02">
    <w:name w:val="e-02"/>
    <w:basedOn w:val="DefaultParagraphFont"/>
    <w:uiPriority w:val="99"/>
    <w:rsid w:val="001D71D1"/>
    <w:rPr>
      <w:rFonts w:cs="Times New Roman"/>
    </w:rPr>
  </w:style>
  <w:style w:type="character" w:styleId="CommentReference">
    <w:name w:val="annotation reference"/>
    <w:basedOn w:val="DefaultParagraphFont"/>
    <w:rsid w:val="001D71D1"/>
    <w:rPr>
      <w:rFonts w:cs="Times New Roman"/>
      <w:sz w:val="16"/>
      <w:szCs w:val="16"/>
    </w:rPr>
  </w:style>
  <w:style w:type="paragraph" w:styleId="CommentText">
    <w:name w:val="annotation text"/>
    <w:basedOn w:val="Normal"/>
    <w:link w:val="CommentTextChar"/>
    <w:rsid w:val="001D71D1"/>
    <w:pPr>
      <w:spacing w:line="240" w:lineRule="auto"/>
    </w:pPr>
    <w:rPr>
      <w:sz w:val="20"/>
      <w:szCs w:val="20"/>
    </w:rPr>
  </w:style>
  <w:style w:type="character" w:customStyle="1" w:styleId="CommentTextChar">
    <w:name w:val="Comment Text Char"/>
    <w:basedOn w:val="DefaultParagraphFont"/>
    <w:link w:val="CommentText"/>
    <w:uiPriority w:val="99"/>
    <w:rsid w:val="001D71D1"/>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1D71D1"/>
    <w:rPr>
      <w:b/>
      <w:bCs/>
    </w:rPr>
  </w:style>
  <w:style w:type="character" w:customStyle="1" w:styleId="CommentSubjectChar">
    <w:name w:val="Comment Subject Char"/>
    <w:basedOn w:val="CommentTextChar"/>
    <w:link w:val="CommentSubject"/>
    <w:semiHidden/>
    <w:rsid w:val="001D71D1"/>
    <w:rPr>
      <w:rFonts w:ascii="Calibri" w:eastAsia="Calibri" w:hAnsi="Calibri" w:cs="Times New Roman"/>
      <w:b/>
      <w:bCs/>
      <w:sz w:val="20"/>
      <w:szCs w:val="20"/>
    </w:rPr>
  </w:style>
  <w:style w:type="paragraph" w:styleId="BalloonText">
    <w:name w:val="Balloon Text"/>
    <w:basedOn w:val="Normal"/>
    <w:link w:val="BalloonTextChar"/>
    <w:rsid w:val="001D7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D71D1"/>
    <w:rPr>
      <w:rFonts w:ascii="Tahoma" w:eastAsia="Calibri" w:hAnsi="Tahoma" w:cs="Tahoma"/>
      <w:sz w:val="16"/>
      <w:szCs w:val="16"/>
    </w:rPr>
  </w:style>
  <w:style w:type="character" w:customStyle="1" w:styleId="e-04">
    <w:name w:val="e-04"/>
    <w:basedOn w:val="DefaultParagraphFont"/>
    <w:uiPriority w:val="99"/>
    <w:rsid w:val="001D71D1"/>
    <w:rPr>
      <w:rFonts w:cs="Times New Roman"/>
    </w:rPr>
  </w:style>
  <w:style w:type="character" w:customStyle="1" w:styleId="page">
    <w:name w:val="page"/>
    <w:basedOn w:val="DefaultParagraphFont"/>
    <w:uiPriority w:val="99"/>
    <w:rsid w:val="001D71D1"/>
    <w:rPr>
      <w:rFonts w:cs="Times New Roman"/>
    </w:rPr>
  </w:style>
  <w:style w:type="paragraph" w:styleId="Header">
    <w:name w:val="header"/>
    <w:basedOn w:val="Normal"/>
    <w:link w:val="HeaderChar"/>
    <w:rsid w:val="001D71D1"/>
    <w:pPr>
      <w:tabs>
        <w:tab w:val="center" w:pos="4680"/>
        <w:tab w:val="right" w:pos="9360"/>
      </w:tabs>
      <w:spacing w:after="0" w:line="240" w:lineRule="auto"/>
    </w:pPr>
  </w:style>
  <w:style w:type="character" w:customStyle="1" w:styleId="HeaderChar">
    <w:name w:val="Header Char"/>
    <w:basedOn w:val="DefaultParagraphFont"/>
    <w:link w:val="Header"/>
    <w:rsid w:val="001D71D1"/>
    <w:rPr>
      <w:rFonts w:ascii="Calibri" w:eastAsia="Calibri" w:hAnsi="Calibri" w:cs="Times New Roman"/>
    </w:rPr>
  </w:style>
  <w:style w:type="paragraph" w:styleId="Footer">
    <w:name w:val="footer"/>
    <w:basedOn w:val="Normal"/>
    <w:link w:val="FooterChar"/>
    <w:uiPriority w:val="99"/>
    <w:rsid w:val="001D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1D1"/>
    <w:rPr>
      <w:rFonts w:ascii="Calibri" w:eastAsia="Calibri" w:hAnsi="Calibri" w:cs="Times New Roman"/>
    </w:rPr>
  </w:style>
  <w:style w:type="paragraph" w:styleId="ListParagraph">
    <w:name w:val="List Paragraph"/>
    <w:basedOn w:val="Normal"/>
    <w:uiPriority w:val="34"/>
    <w:qFormat/>
    <w:rsid w:val="001D71D1"/>
    <w:pPr>
      <w:ind w:left="720"/>
      <w:contextualSpacing/>
    </w:pPr>
  </w:style>
  <w:style w:type="paragraph" w:styleId="FootnoteText">
    <w:name w:val="footnote text"/>
    <w:basedOn w:val="Normal"/>
    <w:link w:val="FootnoteTextChar"/>
    <w:uiPriority w:val="99"/>
    <w:rsid w:val="001D71D1"/>
    <w:pPr>
      <w:spacing w:after="0" w:line="240" w:lineRule="auto"/>
    </w:pPr>
    <w:rPr>
      <w:sz w:val="20"/>
      <w:szCs w:val="20"/>
    </w:rPr>
  </w:style>
  <w:style w:type="character" w:customStyle="1" w:styleId="FootnoteTextChar">
    <w:name w:val="Footnote Text Char"/>
    <w:basedOn w:val="DefaultParagraphFont"/>
    <w:link w:val="FootnoteText"/>
    <w:uiPriority w:val="99"/>
    <w:rsid w:val="001D71D1"/>
    <w:rPr>
      <w:rFonts w:ascii="Calibri" w:eastAsia="Calibri" w:hAnsi="Calibri" w:cs="Times New Roman"/>
      <w:sz w:val="20"/>
      <w:szCs w:val="20"/>
    </w:rPr>
  </w:style>
  <w:style w:type="character" w:styleId="FootnoteReference">
    <w:name w:val="footnote reference"/>
    <w:basedOn w:val="DefaultParagraphFont"/>
    <w:uiPriority w:val="99"/>
    <w:rsid w:val="001D71D1"/>
    <w:rPr>
      <w:rFonts w:cs="Times New Roman"/>
      <w:vertAlign w:val="superscript"/>
    </w:rPr>
  </w:style>
  <w:style w:type="character" w:styleId="Emphasis">
    <w:name w:val="Emphasis"/>
    <w:basedOn w:val="DefaultParagraphFont"/>
    <w:qFormat/>
    <w:rsid w:val="001D71D1"/>
    <w:rPr>
      <w:rFonts w:cs="Times New Roman"/>
      <w:i/>
    </w:rPr>
  </w:style>
  <w:style w:type="paragraph" w:customStyle="1" w:styleId="Default">
    <w:name w:val="Default"/>
    <w:rsid w:val="001D71D1"/>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rsid w:val="001D71D1"/>
    <w:pPr>
      <w:spacing w:after="0" w:line="240" w:lineRule="auto"/>
    </w:pPr>
    <w:rPr>
      <w:sz w:val="20"/>
      <w:szCs w:val="21"/>
      <w:lang w:eastAsia="zh-CN"/>
    </w:rPr>
  </w:style>
  <w:style w:type="character" w:customStyle="1" w:styleId="PlainTextChar">
    <w:name w:val="Plain Text Char"/>
    <w:basedOn w:val="DefaultParagraphFont"/>
    <w:link w:val="PlainText"/>
    <w:uiPriority w:val="99"/>
    <w:rsid w:val="001D71D1"/>
    <w:rPr>
      <w:rFonts w:ascii="Calibri" w:eastAsia="Calibri" w:hAnsi="Calibri" w:cs="Times New Roman"/>
      <w:sz w:val="20"/>
      <w:szCs w:val="21"/>
      <w:lang w:eastAsia="zh-CN"/>
    </w:rPr>
  </w:style>
  <w:style w:type="paragraph" w:styleId="HTMLPreformatted">
    <w:name w:val="HTML Preformatted"/>
    <w:basedOn w:val="Normal"/>
    <w:link w:val="HTMLPreformattedChar"/>
    <w:rsid w:val="001D7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PreformattedChar">
    <w:name w:val="HTML Preformatted Char"/>
    <w:basedOn w:val="DefaultParagraphFont"/>
    <w:link w:val="HTMLPreformatted"/>
    <w:rsid w:val="001D71D1"/>
    <w:rPr>
      <w:rFonts w:ascii="Courier New" w:eastAsia="Times New Roman" w:hAnsi="Courier New" w:cs="Times New Roman"/>
      <w:sz w:val="20"/>
      <w:szCs w:val="20"/>
      <w:lang w:eastAsia="zh-CN"/>
    </w:rPr>
  </w:style>
  <w:style w:type="character" w:customStyle="1" w:styleId="BalloonTextChar3">
    <w:name w:val="Balloon Text Char3"/>
    <w:basedOn w:val="DefaultParagraphFont"/>
    <w:semiHidden/>
    <w:rsid w:val="001D71D1"/>
    <w:rPr>
      <w:rFonts w:ascii="Lucida Grande" w:hAnsi="Lucida Grande"/>
      <w:sz w:val="18"/>
      <w:szCs w:val="18"/>
    </w:rPr>
  </w:style>
  <w:style w:type="character" w:customStyle="1" w:styleId="BalloonTextChar2">
    <w:name w:val="Balloon Text Char2"/>
    <w:basedOn w:val="DefaultParagraphFont"/>
    <w:semiHidden/>
    <w:rsid w:val="001D71D1"/>
    <w:rPr>
      <w:rFonts w:ascii="Lucida Grande" w:hAnsi="Lucida Grande"/>
      <w:sz w:val="18"/>
      <w:szCs w:val="18"/>
    </w:rPr>
  </w:style>
  <w:style w:type="character" w:styleId="PageNumber">
    <w:name w:val="page number"/>
    <w:basedOn w:val="DefaultParagraphFont"/>
    <w:rsid w:val="001D71D1"/>
  </w:style>
  <w:style w:type="character" w:customStyle="1" w:styleId="BalloonTextChar1">
    <w:name w:val="Balloon Text Char1"/>
    <w:basedOn w:val="DefaultParagraphFont"/>
    <w:rsid w:val="001D71D1"/>
    <w:rPr>
      <w:rFonts w:ascii="Tahoma" w:hAnsi="Tahoma" w:cs="Tahoma"/>
      <w:sz w:val="16"/>
      <w:szCs w:val="16"/>
      <w:lang w:eastAsia="zh-CN"/>
    </w:rPr>
  </w:style>
  <w:style w:type="character" w:styleId="FollowedHyperlink">
    <w:name w:val="FollowedHyperlink"/>
    <w:basedOn w:val="DefaultParagraphFont"/>
    <w:rsid w:val="001D71D1"/>
    <w:rPr>
      <w:color w:val="800080" w:themeColor="followedHyperlink"/>
      <w:u w:val="single"/>
    </w:rPr>
  </w:style>
  <w:style w:type="paragraph" w:styleId="Revision">
    <w:name w:val="Revision"/>
    <w:hidden/>
    <w:rsid w:val="001D71D1"/>
    <w:pPr>
      <w:spacing w:after="0" w:line="240" w:lineRule="auto"/>
    </w:pPr>
    <w:rPr>
      <w:rFonts w:ascii="Times New Roman" w:eastAsia="SimSun" w:hAnsi="Times New Roman" w:cs="Times New Roman"/>
      <w:sz w:val="24"/>
      <w:szCs w:val="24"/>
      <w:lang w:eastAsia="zh-CN"/>
    </w:rPr>
  </w:style>
  <w:style w:type="character" w:customStyle="1" w:styleId="ng-binding">
    <w:name w:val="ng-binding"/>
    <w:basedOn w:val="DefaultParagraphFont"/>
    <w:rsid w:val="001D71D1"/>
  </w:style>
  <w:style w:type="character" w:customStyle="1" w:styleId="CharChar12">
    <w:name w:val="Char Char12"/>
    <w:locked/>
    <w:rsid w:val="001D71D1"/>
    <w:rPr>
      <w:rFonts w:ascii="Calibri" w:eastAsia="MS Mincho" w:hAnsi="Calibri"/>
      <w:lang w:val="en-US" w:eastAsia="zh-CN"/>
    </w:rPr>
  </w:style>
  <w:style w:type="character" w:customStyle="1" w:styleId="headerslevel11">
    <w:name w:val="headerslevel11"/>
    <w:rsid w:val="001D71D1"/>
    <w:rPr>
      <w:rFonts w:ascii="Verdana" w:hAnsi="Verdana"/>
      <w:b/>
      <w:color w:val="232F63"/>
      <w:sz w:val="24"/>
    </w:rPr>
  </w:style>
  <w:style w:type="paragraph" w:customStyle="1" w:styleId="xmsoplaintext">
    <w:name w:val="x_msoplaintext"/>
    <w:basedOn w:val="Normal"/>
    <w:rsid w:val="001D71D1"/>
    <w:pPr>
      <w:spacing w:before="100" w:beforeAutospacing="1" w:after="100" w:afterAutospacing="1" w:line="240" w:lineRule="auto"/>
    </w:pPr>
    <w:rPr>
      <w:rFonts w:ascii="Times New Roman" w:eastAsia="SimSun" w:hAnsi="Times New Roman"/>
      <w:sz w:val="24"/>
      <w:szCs w:val="24"/>
      <w:lang w:eastAsia="zh-CN"/>
    </w:rPr>
  </w:style>
  <w:style w:type="paragraph" w:styleId="EndnoteText">
    <w:name w:val="endnote text"/>
    <w:basedOn w:val="Normal"/>
    <w:link w:val="EndnoteTextChar"/>
    <w:unhideWhenUsed/>
    <w:rsid w:val="001D71D1"/>
    <w:pPr>
      <w:spacing w:after="0" w:line="240" w:lineRule="auto"/>
    </w:pPr>
    <w:rPr>
      <w:rFonts w:ascii="Times New Roman" w:eastAsia="SimSun" w:hAnsi="Times New Roman"/>
      <w:sz w:val="20"/>
      <w:szCs w:val="20"/>
      <w:lang w:eastAsia="zh-CN"/>
    </w:rPr>
  </w:style>
  <w:style w:type="character" w:customStyle="1" w:styleId="EndnoteTextChar">
    <w:name w:val="Endnote Text Char"/>
    <w:basedOn w:val="DefaultParagraphFont"/>
    <w:link w:val="EndnoteText"/>
    <w:rsid w:val="001D71D1"/>
    <w:rPr>
      <w:rFonts w:ascii="Times New Roman" w:eastAsia="SimSun" w:hAnsi="Times New Roman" w:cs="Times New Roman"/>
      <w:sz w:val="20"/>
      <w:szCs w:val="20"/>
      <w:lang w:eastAsia="zh-CN"/>
    </w:rPr>
  </w:style>
  <w:style w:type="character" w:styleId="EndnoteReference">
    <w:name w:val="endnote reference"/>
    <w:basedOn w:val="DefaultParagraphFont"/>
    <w:semiHidden/>
    <w:unhideWhenUsed/>
    <w:rsid w:val="001D71D1"/>
    <w:rPr>
      <w:vertAlign w:val="superscript"/>
    </w:rPr>
  </w:style>
  <w:style w:type="character" w:customStyle="1" w:styleId="Heading1Char1">
    <w:name w:val="Heading 1 Char1"/>
    <w:locked/>
    <w:rsid w:val="001D71D1"/>
    <w:rPr>
      <w:rFonts w:ascii="Arial" w:eastAsia="MS Mincho" w:hAnsi="Arial"/>
      <w:b/>
      <w:kern w:val="32"/>
      <w:sz w:val="20"/>
    </w:rPr>
  </w:style>
  <w:style w:type="character" w:customStyle="1" w:styleId="BalloonTextChar4">
    <w:name w:val="Balloon Text Char4"/>
    <w:basedOn w:val="DefaultParagraphFont"/>
    <w:semiHidden/>
    <w:rsid w:val="001D71D1"/>
    <w:rPr>
      <w:rFonts w:ascii="Lucida Grande" w:hAnsi="Lucida Grande" w:cs="Times New Roman"/>
      <w:sz w:val="18"/>
      <w:szCs w:val="18"/>
    </w:rPr>
  </w:style>
  <w:style w:type="character" w:customStyle="1" w:styleId="CommentTextChar1">
    <w:name w:val="Comment Text Char1"/>
    <w:basedOn w:val="DefaultParagraphFont"/>
    <w:locked/>
    <w:rsid w:val="001D71D1"/>
    <w:rPr>
      <w:rFonts w:ascii="Calibri" w:eastAsia="MS Mincho" w:hAnsi="Calibri" w:cs="Times New Roman"/>
      <w:sz w:val="20"/>
      <w:szCs w:val="20"/>
    </w:rPr>
  </w:style>
  <w:style w:type="character" w:customStyle="1" w:styleId="HeaderChar1">
    <w:name w:val="Header Char1"/>
    <w:locked/>
    <w:rsid w:val="001D71D1"/>
    <w:rPr>
      <w:rFonts w:ascii="Calibri" w:eastAsia="MS Mincho" w:hAnsi="Calibri"/>
      <w:sz w:val="20"/>
    </w:rPr>
  </w:style>
  <w:style w:type="character" w:customStyle="1" w:styleId="FooterChar1">
    <w:name w:val="Footer Char1"/>
    <w:locked/>
    <w:rsid w:val="001D71D1"/>
    <w:rPr>
      <w:rFonts w:ascii="Calibri" w:eastAsia="MS Mincho" w:hAnsi="Calibri"/>
      <w:sz w:val="20"/>
    </w:rPr>
  </w:style>
  <w:style w:type="character" w:customStyle="1" w:styleId="CharChar1">
    <w:name w:val="Char Char1"/>
    <w:semiHidden/>
    <w:rsid w:val="001D71D1"/>
    <w:rPr>
      <w:rFonts w:ascii="Calibri" w:hAnsi="Calibri"/>
      <w:lang w:val="en-US" w:eastAsia="en-US"/>
    </w:rPr>
  </w:style>
  <w:style w:type="table" w:customStyle="1" w:styleId="ColorfulList-Accent11">
    <w:name w:val="Colorful List - Accent 11"/>
    <w:rsid w:val="001D71D1"/>
    <w:pPr>
      <w:spacing w:after="0" w:line="240" w:lineRule="auto"/>
    </w:pPr>
    <w:rPr>
      <w:rFonts w:ascii="Calibri" w:eastAsia="MS Mincho"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9">
    <w:name w:val="Char Char9"/>
    <w:basedOn w:val="DefaultParagraphFont"/>
    <w:rsid w:val="001D71D1"/>
    <w:rPr>
      <w:rFonts w:cs="Times New Roman"/>
    </w:rPr>
  </w:style>
  <w:style w:type="character" w:customStyle="1" w:styleId="CharChar2">
    <w:name w:val="Char Char2"/>
    <w:rsid w:val="001D71D1"/>
    <w:rPr>
      <w:rFonts w:ascii="Consolas" w:hAnsi="Consolas"/>
      <w:sz w:val="21"/>
    </w:rPr>
  </w:style>
  <w:style w:type="character" w:customStyle="1" w:styleId="CharChar6">
    <w:name w:val="Char Char6"/>
    <w:rsid w:val="001D71D1"/>
    <w:rPr>
      <w:rFonts w:ascii="Courier New" w:hAnsi="Courier New"/>
    </w:rPr>
  </w:style>
  <w:style w:type="character" w:customStyle="1" w:styleId="CharChar10">
    <w:name w:val="Char Char10"/>
    <w:rsid w:val="001D71D1"/>
    <w:rPr>
      <w:rFonts w:ascii="Courier" w:hAnsi="Courier"/>
      <w:snapToGrid w:val="0"/>
      <w:color w:val="000000"/>
      <w:sz w:val="24"/>
      <w:u w:val="single"/>
    </w:rPr>
  </w:style>
  <w:style w:type="character" w:customStyle="1" w:styleId="CharChar8">
    <w:name w:val="Char Char8"/>
    <w:semiHidden/>
    <w:rsid w:val="001D71D1"/>
    <w:rPr>
      <w:rFonts w:ascii="Calibri" w:hAnsi="Calibri"/>
      <w:b/>
      <w:lang w:val="en-US" w:eastAsia="en-US"/>
    </w:rPr>
  </w:style>
  <w:style w:type="character" w:customStyle="1" w:styleId="CharChar7">
    <w:name w:val="Char Char7"/>
    <w:semiHidden/>
    <w:rsid w:val="001D71D1"/>
    <w:rPr>
      <w:rFonts w:ascii="Tahoma" w:hAnsi="Tahoma"/>
      <w:sz w:val="16"/>
      <w:lang w:val="en-US" w:eastAsia="en-US"/>
    </w:rPr>
  </w:style>
  <w:style w:type="character" w:customStyle="1" w:styleId="CharChar5">
    <w:name w:val="Char Char5"/>
    <w:rsid w:val="001D71D1"/>
    <w:rPr>
      <w:rFonts w:ascii="Courier New" w:hAnsi="Courier New"/>
      <w:lang w:val="en-US" w:eastAsia="en-US"/>
    </w:rPr>
  </w:style>
  <w:style w:type="character" w:customStyle="1" w:styleId="CharChar4">
    <w:name w:val="Char Char4"/>
    <w:basedOn w:val="DefaultParagraphFont"/>
    <w:rsid w:val="001D71D1"/>
    <w:rPr>
      <w:rFonts w:cs="Times New Roman"/>
    </w:rPr>
  </w:style>
  <w:style w:type="paragraph" w:styleId="TOCHeading">
    <w:name w:val="TOC Heading"/>
    <w:basedOn w:val="Heading1"/>
    <w:next w:val="Normal"/>
    <w:qFormat/>
    <w:rsid w:val="001D71D1"/>
    <w:pPr>
      <w:keepNext/>
      <w:keepLines/>
      <w:spacing w:before="480" w:line="276" w:lineRule="auto"/>
      <w:outlineLvl w:val="9"/>
    </w:pPr>
    <w:rPr>
      <w:rFonts w:ascii="Cambria" w:eastAsia="MS Mincho" w:hAnsi="Cambria"/>
      <w:bCs/>
      <w:color w:val="365F91"/>
      <w:sz w:val="28"/>
      <w:szCs w:val="28"/>
      <w:lang w:eastAsia="ja-JP"/>
    </w:rPr>
  </w:style>
  <w:style w:type="paragraph" w:styleId="TOC1">
    <w:name w:val="toc 1"/>
    <w:basedOn w:val="Normal"/>
    <w:next w:val="Normal"/>
    <w:autoRedefine/>
    <w:rsid w:val="001D71D1"/>
    <w:pPr>
      <w:tabs>
        <w:tab w:val="right" w:leader="dot" w:pos="4680"/>
      </w:tabs>
      <w:spacing w:after="40" w:line="240" w:lineRule="auto"/>
    </w:pPr>
    <w:rPr>
      <w:rFonts w:eastAsia="MS Mincho"/>
    </w:rPr>
  </w:style>
  <w:style w:type="paragraph" w:styleId="TOC2">
    <w:name w:val="toc 2"/>
    <w:basedOn w:val="Normal"/>
    <w:next w:val="Normal"/>
    <w:autoRedefine/>
    <w:rsid w:val="001D71D1"/>
    <w:pPr>
      <w:spacing w:after="100"/>
      <w:ind w:left="220"/>
    </w:pPr>
    <w:rPr>
      <w:rFonts w:eastAsia="MS Mincho"/>
    </w:rPr>
  </w:style>
  <w:style w:type="paragraph" w:styleId="TOC3">
    <w:name w:val="toc 3"/>
    <w:basedOn w:val="Normal"/>
    <w:next w:val="Normal"/>
    <w:autoRedefine/>
    <w:rsid w:val="001D71D1"/>
    <w:pPr>
      <w:spacing w:after="100"/>
      <w:ind w:left="440"/>
    </w:pPr>
    <w:rPr>
      <w:rFonts w:eastAsia="MS Mincho"/>
    </w:rPr>
  </w:style>
  <w:style w:type="paragraph" w:styleId="TOC4">
    <w:name w:val="toc 4"/>
    <w:basedOn w:val="Normal"/>
    <w:next w:val="Normal"/>
    <w:autoRedefine/>
    <w:rsid w:val="001D71D1"/>
    <w:pPr>
      <w:spacing w:after="100"/>
      <w:ind w:left="660"/>
    </w:pPr>
    <w:rPr>
      <w:rFonts w:eastAsia="MS Mincho"/>
    </w:rPr>
  </w:style>
  <w:style w:type="paragraph" w:styleId="TOC5">
    <w:name w:val="toc 5"/>
    <w:basedOn w:val="Normal"/>
    <w:next w:val="Normal"/>
    <w:autoRedefine/>
    <w:rsid w:val="001D71D1"/>
    <w:pPr>
      <w:spacing w:after="100"/>
      <w:ind w:left="880"/>
    </w:pPr>
    <w:rPr>
      <w:rFonts w:eastAsia="MS Mincho"/>
    </w:rPr>
  </w:style>
  <w:style w:type="paragraph" w:styleId="TOC6">
    <w:name w:val="toc 6"/>
    <w:basedOn w:val="Normal"/>
    <w:next w:val="Normal"/>
    <w:autoRedefine/>
    <w:rsid w:val="001D71D1"/>
    <w:pPr>
      <w:spacing w:after="100"/>
      <w:ind w:left="1100"/>
    </w:pPr>
    <w:rPr>
      <w:rFonts w:eastAsia="MS Mincho"/>
    </w:rPr>
  </w:style>
  <w:style w:type="paragraph" w:styleId="TOC7">
    <w:name w:val="toc 7"/>
    <w:basedOn w:val="Normal"/>
    <w:next w:val="Normal"/>
    <w:autoRedefine/>
    <w:rsid w:val="001D71D1"/>
    <w:pPr>
      <w:spacing w:after="100"/>
      <w:ind w:left="1320"/>
    </w:pPr>
    <w:rPr>
      <w:rFonts w:eastAsia="MS Mincho"/>
    </w:rPr>
  </w:style>
  <w:style w:type="paragraph" w:styleId="TOC8">
    <w:name w:val="toc 8"/>
    <w:basedOn w:val="Normal"/>
    <w:next w:val="Normal"/>
    <w:autoRedefine/>
    <w:rsid w:val="001D71D1"/>
    <w:pPr>
      <w:spacing w:after="100"/>
      <w:ind w:left="1540"/>
    </w:pPr>
    <w:rPr>
      <w:rFonts w:eastAsia="MS Mincho"/>
    </w:rPr>
  </w:style>
  <w:style w:type="paragraph" w:styleId="TOC9">
    <w:name w:val="toc 9"/>
    <w:basedOn w:val="Normal"/>
    <w:next w:val="Normal"/>
    <w:autoRedefine/>
    <w:rsid w:val="001D71D1"/>
    <w:pPr>
      <w:spacing w:after="100"/>
      <w:ind w:left="1760"/>
    </w:pPr>
    <w:rPr>
      <w:rFonts w:eastAsia="MS Mincho"/>
    </w:rPr>
  </w:style>
  <w:style w:type="paragraph" w:customStyle="1" w:styleId="ColorfulList-Accent111">
    <w:name w:val="Colorful List - Accent 111"/>
    <w:basedOn w:val="Normal"/>
    <w:uiPriority w:val="99"/>
    <w:rsid w:val="001D71D1"/>
    <w:pPr>
      <w:ind w:left="720"/>
      <w:contextualSpacing/>
    </w:pPr>
    <w:rPr>
      <w:rFonts w:eastAsia="MS Mincho"/>
    </w:rPr>
  </w:style>
  <w:style w:type="paragraph" w:customStyle="1" w:styleId="xmsonormal">
    <w:name w:val="x_msonormal"/>
    <w:basedOn w:val="Normal"/>
    <w:rsid w:val="001D71D1"/>
    <w:pPr>
      <w:spacing w:before="100" w:beforeAutospacing="1" w:after="100" w:afterAutospacing="1" w:line="240" w:lineRule="auto"/>
    </w:pPr>
    <w:rPr>
      <w:rFonts w:ascii="Times New Roman" w:eastAsia="SimSun" w:hAnsi="Times New Roman"/>
      <w:sz w:val="24"/>
      <w:szCs w:val="24"/>
      <w:lang w:eastAsia="zh-CN"/>
    </w:rPr>
  </w:style>
  <w:style w:type="character" w:customStyle="1" w:styleId="CharChar61">
    <w:name w:val="Char Char61"/>
    <w:locked/>
    <w:rsid w:val="001D71D1"/>
    <w:rPr>
      <w:rFonts w:ascii="Calibri" w:eastAsia="MS Mincho" w:hAnsi="Calibri"/>
      <w:lang w:val="en-US" w:eastAsia="en-US"/>
    </w:rPr>
  </w:style>
  <w:style w:type="character" w:customStyle="1" w:styleId="CharChar21">
    <w:name w:val="Char Char21"/>
    <w:locked/>
    <w:rsid w:val="001D71D1"/>
    <w:rPr>
      <w:rFonts w:ascii="Calibri" w:eastAsia="MS ??" w:hAnsi="Calibri"/>
      <w:lang w:val="en-US" w:eastAsia="en-US"/>
    </w:rPr>
  </w:style>
  <w:style w:type="character" w:customStyle="1" w:styleId="CharChar11">
    <w:name w:val="Char Char11"/>
    <w:locked/>
    <w:rsid w:val="001D71D1"/>
    <w:rPr>
      <w:rFonts w:ascii="Consolas" w:eastAsia="MS Mincho" w:hAnsi="Consolas"/>
      <w:sz w:val="21"/>
      <w:lang w:val="en-US" w:eastAsia="en-US"/>
    </w:rPr>
  </w:style>
  <w:style w:type="paragraph" w:styleId="Caption">
    <w:name w:val="caption"/>
    <w:basedOn w:val="Normal"/>
    <w:next w:val="Normal"/>
    <w:qFormat/>
    <w:rsid w:val="001D71D1"/>
    <w:pPr>
      <w:spacing w:line="240" w:lineRule="auto"/>
    </w:pPr>
    <w:rPr>
      <w:rFonts w:eastAsia="MS ??"/>
      <w:b/>
      <w:bCs/>
      <w:color w:val="4F81BD"/>
      <w:sz w:val="18"/>
      <w:szCs w:val="18"/>
    </w:rPr>
  </w:style>
  <w:style w:type="character" w:customStyle="1" w:styleId="FootnoteTextChar1">
    <w:name w:val="Footnote Text Char1"/>
    <w:rsid w:val="001D71D1"/>
    <w:rPr>
      <w:rFonts w:ascii="Calibri" w:hAnsi="Calibri"/>
      <w:sz w:val="20"/>
    </w:rPr>
  </w:style>
  <w:style w:type="paragraph" w:customStyle="1" w:styleId="xl63">
    <w:name w:val="xl63"/>
    <w:basedOn w:val="Normal"/>
    <w:rsid w:val="001D71D1"/>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MS ??" w:hAnsi="Times New Roman"/>
      <w:sz w:val="24"/>
      <w:szCs w:val="24"/>
      <w:lang w:eastAsia="zh-CN"/>
    </w:rPr>
  </w:style>
  <w:style w:type="paragraph" w:customStyle="1" w:styleId="xl64">
    <w:name w:val="xl64"/>
    <w:basedOn w:val="Normal"/>
    <w:rsid w:val="001D71D1"/>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MS ??" w:hAnsi="Times New Roman"/>
      <w:sz w:val="24"/>
      <w:szCs w:val="24"/>
      <w:lang w:eastAsia="zh-CN"/>
    </w:rPr>
  </w:style>
  <w:style w:type="paragraph" w:customStyle="1" w:styleId="xl65">
    <w:name w:val="xl65"/>
    <w:basedOn w:val="Normal"/>
    <w:rsid w:val="001D71D1"/>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eastAsia="MS ??" w:cs="Calibri"/>
      <w:b/>
      <w:bCs/>
      <w:color w:val="000000"/>
      <w:sz w:val="24"/>
      <w:szCs w:val="24"/>
      <w:lang w:eastAsia="zh-CN"/>
    </w:rPr>
  </w:style>
  <w:style w:type="paragraph" w:customStyle="1" w:styleId="xl66">
    <w:name w:val="xl66"/>
    <w:basedOn w:val="Normal"/>
    <w:rsid w:val="001D71D1"/>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67">
    <w:name w:val="xl67"/>
    <w:basedOn w:val="Normal"/>
    <w:rsid w:val="001D71D1"/>
    <w:pPr>
      <w:pBdr>
        <w:top w:val="single" w:sz="4" w:space="0" w:color="auto"/>
        <w:left w:val="single" w:sz="4" w:space="0" w:color="auto"/>
        <w:bottom w:val="single" w:sz="4" w:space="0" w:color="auto"/>
      </w:pBdr>
      <w:shd w:val="clear" w:color="000000" w:fill="DAEEF3"/>
      <w:spacing w:before="100" w:beforeAutospacing="1" w:after="100" w:afterAutospacing="1" w:line="240" w:lineRule="auto"/>
    </w:pPr>
    <w:rPr>
      <w:rFonts w:ascii="Times New Roman" w:eastAsia="MS ??" w:hAnsi="Times New Roman"/>
      <w:sz w:val="24"/>
      <w:szCs w:val="24"/>
      <w:lang w:eastAsia="zh-CN"/>
    </w:rPr>
  </w:style>
  <w:style w:type="paragraph" w:customStyle="1" w:styleId="xl68">
    <w:name w:val="xl68"/>
    <w:basedOn w:val="Normal"/>
    <w:rsid w:val="001D71D1"/>
    <w:pPr>
      <w:pBdr>
        <w:top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MS ??" w:hAnsi="Times New Roman"/>
      <w:sz w:val="24"/>
      <w:szCs w:val="24"/>
      <w:lang w:eastAsia="zh-CN"/>
    </w:rPr>
  </w:style>
  <w:style w:type="paragraph" w:customStyle="1" w:styleId="xl69">
    <w:name w:val="xl69"/>
    <w:basedOn w:val="Normal"/>
    <w:rsid w:val="001D71D1"/>
    <w:pPr>
      <w:pBdr>
        <w:top w:val="single" w:sz="4" w:space="0" w:color="auto"/>
        <w:left w:val="single" w:sz="4" w:space="0" w:color="auto"/>
        <w:bottom w:val="single" w:sz="4" w:space="0" w:color="auto"/>
      </w:pBdr>
      <w:shd w:val="clear" w:color="000000" w:fill="DAEEF3"/>
      <w:spacing w:before="100" w:beforeAutospacing="1" w:after="100" w:afterAutospacing="1" w:line="240" w:lineRule="auto"/>
    </w:pPr>
    <w:rPr>
      <w:rFonts w:eastAsia="MS ??" w:cs="Calibri"/>
      <w:b/>
      <w:bCs/>
      <w:color w:val="000000"/>
      <w:sz w:val="24"/>
      <w:szCs w:val="24"/>
      <w:lang w:eastAsia="zh-CN"/>
    </w:rPr>
  </w:style>
  <w:style w:type="paragraph" w:customStyle="1" w:styleId="xl70">
    <w:name w:val="xl70"/>
    <w:basedOn w:val="Normal"/>
    <w:rsid w:val="001D71D1"/>
    <w:pPr>
      <w:pBdr>
        <w:top w:val="single" w:sz="4" w:space="0" w:color="auto"/>
        <w:bottom w:val="single" w:sz="4" w:space="0" w:color="auto"/>
        <w:right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71">
    <w:name w:val="xl71"/>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sz w:val="24"/>
      <w:szCs w:val="24"/>
      <w:lang w:eastAsia="zh-CN"/>
    </w:rPr>
  </w:style>
  <w:style w:type="paragraph" w:customStyle="1" w:styleId="xl72">
    <w:name w:val="xl72"/>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color w:val="000000"/>
      <w:sz w:val="24"/>
      <w:szCs w:val="24"/>
      <w:lang w:eastAsia="zh-CN"/>
    </w:rPr>
  </w:style>
  <w:style w:type="paragraph" w:customStyle="1" w:styleId="xl73">
    <w:name w:val="xl73"/>
    <w:basedOn w:val="Normal"/>
    <w:rsid w:val="001D71D1"/>
    <w:pP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4">
    <w:name w:val="xl74"/>
    <w:basedOn w:val="Normal"/>
    <w:rsid w:val="001D71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eastAsia="MS ??" w:cs="Calibri"/>
      <w:color w:val="000000"/>
      <w:sz w:val="24"/>
      <w:szCs w:val="24"/>
      <w:lang w:eastAsia="zh-CN"/>
    </w:rPr>
  </w:style>
  <w:style w:type="paragraph" w:customStyle="1" w:styleId="xl75">
    <w:name w:val="xl75"/>
    <w:basedOn w:val="Normal"/>
    <w:rsid w:val="001D71D1"/>
    <w:pPr>
      <w:pBdr>
        <w:left w:val="single" w:sz="4" w:space="0" w:color="auto"/>
        <w:bottom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6">
    <w:name w:val="xl76"/>
    <w:basedOn w:val="Normal"/>
    <w:rsid w:val="001D71D1"/>
    <w:pPr>
      <w:pBdr>
        <w:bottom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7">
    <w:name w:val="xl77"/>
    <w:basedOn w:val="Normal"/>
    <w:rsid w:val="001D71D1"/>
    <w:pPr>
      <w:pBdr>
        <w:bottom w:val="single" w:sz="4" w:space="0" w:color="auto"/>
      </w:pBdr>
      <w:shd w:val="clear" w:color="000000" w:fill="FDE9D9"/>
      <w:spacing w:before="100" w:beforeAutospacing="1" w:after="100" w:afterAutospacing="1" w:line="240" w:lineRule="auto"/>
    </w:pPr>
    <w:rPr>
      <w:rFonts w:eastAsia="MS ??" w:cs="Calibri"/>
      <w:b/>
      <w:bCs/>
      <w:color w:val="000000"/>
      <w:sz w:val="24"/>
      <w:szCs w:val="24"/>
      <w:lang w:eastAsia="zh-CN"/>
    </w:rPr>
  </w:style>
  <w:style w:type="paragraph" w:customStyle="1" w:styleId="xl78">
    <w:name w:val="xl78"/>
    <w:basedOn w:val="Normal"/>
    <w:rsid w:val="001D71D1"/>
    <w:pPr>
      <w:pBdr>
        <w:bottom w:val="single" w:sz="4" w:space="0" w:color="auto"/>
        <w:right w:val="single" w:sz="4" w:space="0" w:color="auto"/>
      </w:pBdr>
      <w:shd w:val="clear" w:color="000000" w:fill="FDE9D9"/>
      <w:spacing w:before="100" w:beforeAutospacing="1" w:after="100" w:afterAutospacing="1" w:line="240" w:lineRule="auto"/>
    </w:pPr>
    <w:rPr>
      <w:rFonts w:eastAsia="MS ??" w:cs="Calibri"/>
      <w:b/>
      <w:bCs/>
      <w:sz w:val="24"/>
      <w:szCs w:val="24"/>
      <w:lang w:eastAsia="zh-CN"/>
    </w:rPr>
  </w:style>
  <w:style w:type="paragraph" w:customStyle="1" w:styleId="xl79">
    <w:name w:val="xl79"/>
    <w:basedOn w:val="Normal"/>
    <w:rsid w:val="001D71D1"/>
    <w:pPr>
      <w:pBdr>
        <w:left w:val="single" w:sz="4" w:space="0" w:color="auto"/>
        <w:bottom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0">
    <w:name w:val="xl80"/>
    <w:basedOn w:val="Normal"/>
    <w:rsid w:val="001D71D1"/>
    <w:pPr>
      <w:pBdr>
        <w:bottom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1">
    <w:name w:val="xl81"/>
    <w:basedOn w:val="Normal"/>
    <w:rsid w:val="001D71D1"/>
    <w:pPr>
      <w:pBdr>
        <w:bottom w:val="single" w:sz="4" w:space="0" w:color="auto"/>
      </w:pBdr>
      <w:shd w:val="clear" w:color="000000" w:fill="DAEEF3"/>
      <w:spacing w:before="100" w:beforeAutospacing="1" w:after="100" w:afterAutospacing="1" w:line="240" w:lineRule="auto"/>
    </w:pPr>
    <w:rPr>
      <w:rFonts w:eastAsia="MS ??" w:cs="Calibri"/>
      <w:b/>
      <w:bCs/>
      <w:color w:val="000000"/>
      <w:sz w:val="24"/>
      <w:szCs w:val="24"/>
      <w:lang w:eastAsia="zh-CN"/>
    </w:rPr>
  </w:style>
  <w:style w:type="paragraph" w:customStyle="1" w:styleId="xl82">
    <w:name w:val="xl82"/>
    <w:basedOn w:val="Normal"/>
    <w:rsid w:val="001D71D1"/>
    <w:pPr>
      <w:pBdr>
        <w:bottom w:val="single" w:sz="4" w:space="0" w:color="auto"/>
        <w:right w:val="single" w:sz="4" w:space="0" w:color="auto"/>
      </w:pBdr>
      <w:shd w:val="clear" w:color="000000" w:fill="DAEEF3"/>
      <w:spacing w:before="100" w:beforeAutospacing="1" w:after="100" w:afterAutospacing="1" w:line="240" w:lineRule="auto"/>
    </w:pPr>
    <w:rPr>
      <w:rFonts w:eastAsia="MS ??" w:cs="Calibri"/>
      <w:b/>
      <w:bCs/>
      <w:sz w:val="24"/>
      <w:szCs w:val="24"/>
      <w:lang w:eastAsia="zh-CN"/>
    </w:rPr>
  </w:style>
  <w:style w:type="paragraph" w:customStyle="1" w:styleId="xl83">
    <w:name w:val="xl83"/>
    <w:basedOn w:val="Normal"/>
    <w:rsid w:val="001D71D1"/>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eastAsia="MS ??" w:cs="Calibri"/>
      <w:b/>
      <w:bCs/>
      <w:color w:val="000000"/>
      <w:sz w:val="24"/>
      <w:szCs w:val="24"/>
      <w:lang w:eastAsia="zh-CN"/>
    </w:rPr>
  </w:style>
  <w:style w:type="paragraph" w:customStyle="1" w:styleId="xl84">
    <w:name w:val="xl84"/>
    <w:basedOn w:val="Normal"/>
    <w:rsid w:val="001D71D1"/>
    <w:pPr>
      <w:pBdr>
        <w:top w:val="single" w:sz="4" w:space="0" w:color="auto"/>
        <w:bottom w:val="single" w:sz="4" w:space="0" w:color="auto"/>
      </w:pBdr>
      <w:shd w:val="clear" w:color="000000" w:fill="EBF1DE"/>
      <w:spacing w:before="100" w:beforeAutospacing="1" w:after="100" w:afterAutospacing="1" w:line="240" w:lineRule="auto"/>
    </w:pPr>
    <w:rPr>
      <w:rFonts w:ascii="Times New Roman" w:eastAsia="MS ??" w:hAnsi="Times New Roman"/>
      <w:sz w:val="24"/>
      <w:szCs w:val="24"/>
      <w:lang w:eastAsia="zh-CN"/>
    </w:rPr>
  </w:style>
  <w:style w:type="paragraph" w:customStyle="1" w:styleId="xl85">
    <w:name w:val="xl85"/>
    <w:basedOn w:val="Normal"/>
    <w:rsid w:val="001D71D1"/>
    <w:pPr>
      <w:pBdr>
        <w:top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MS ??" w:hAnsi="Times New Roman"/>
      <w:sz w:val="24"/>
      <w:szCs w:val="24"/>
      <w:lang w:eastAsia="zh-CN"/>
    </w:rPr>
  </w:style>
  <w:style w:type="paragraph" w:customStyle="1" w:styleId="xl86">
    <w:name w:val="xl86"/>
    <w:basedOn w:val="Normal"/>
    <w:rsid w:val="001D71D1"/>
    <w:pPr>
      <w:shd w:val="clear" w:color="000000" w:fill="EEECE1"/>
      <w:spacing w:before="100" w:beforeAutospacing="1" w:after="100" w:afterAutospacing="1" w:line="240" w:lineRule="auto"/>
    </w:pPr>
    <w:rPr>
      <w:rFonts w:ascii="Times New Roman" w:eastAsia="MS ??" w:hAnsi="Times New Roman"/>
      <w:sz w:val="24"/>
      <w:szCs w:val="24"/>
      <w:lang w:eastAsia="zh-CN"/>
    </w:rPr>
  </w:style>
  <w:style w:type="paragraph" w:customStyle="1" w:styleId="MediumGrid1-Accent21">
    <w:name w:val="Medium Grid 1 - Accent 21"/>
    <w:basedOn w:val="Normal"/>
    <w:rsid w:val="001D71D1"/>
    <w:pPr>
      <w:ind w:left="720"/>
    </w:pPr>
    <w:rPr>
      <w:rFonts w:eastAsia="MS ??"/>
    </w:rPr>
  </w:style>
  <w:style w:type="paragraph" w:customStyle="1" w:styleId="MediumList2-Accent21">
    <w:name w:val="Medium List 2 - Accent 21"/>
    <w:hidden/>
    <w:rsid w:val="001D71D1"/>
    <w:pPr>
      <w:spacing w:after="0" w:line="240" w:lineRule="auto"/>
    </w:pPr>
    <w:rPr>
      <w:rFonts w:ascii="Calibri" w:eastAsia="SimSun" w:hAnsi="Calibri" w:cs="Times New Roman"/>
    </w:rPr>
  </w:style>
  <w:style w:type="paragraph" w:customStyle="1" w:styleId="Style">
    <w:name w:val="Style"/>
    <w:basedOn w:val="Normal"/>
    <w:rsid w:val="001D71D1"/>
    <w:pPr>
      <w:widowControl w:val="0"/>
      <w:spacing w:after="0" w:line="240" w:lineRule="auto"/>
      <w:ind w:left="720" w:hanging="720"/>
    </w:pPr>
    <w:rPr>
      <w:rFonts w:ascii="Courier" w:eastAsia="MS ??" w:hAnsi="Courier"/>
      <w:sz w:val="24"/>
      <w:szCs w:val="20"/>
    </w:rPr>
  </w:style>
  <w:style w:type="character" w:styleId="PlaceholderText">
    <w:name w:val="Placeholder Text"/>
    <w:basedOn w:val="DefaultParagraphFont"/>
    <w:semiHidden/>
    <w:rsid w:val="001D71D1"/>
    <w:rPr>
      <w:rFonts w:cs="Times New Roman"/>
      <w:color w:val="808080"/>
    </w:rPr>
  </w:style>
  <w:style w:type="table" w:styleId="TableGrid">
    <w:name w:val="Table Grid"/>
    <w:basedOn w:val="TableNormal"/>
    <w:uiPriority w:val="59"/>
    <w:rsid w:val="001D71D1"/>
    <w:pPr>
      <w:spacing w:after="0" w:line="240" w:lineRule="auto"/>
    </w:pPr>
    <w:rPr>
      <w:rFonts w:ascii="Times New Roman" w:eastAsia="MS ??"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basedOn w:val="DefaultParagraphFont"/>
    <w:semiHidden/>
    <w:rsid w:val="001D71D1"/>
    <w:rPr>
      <w:rFonts w:cs="Times New Roman"/>
    </w:rPr>
  </w:style>
  <w:style w:type="character" w:customStyle="1" w:styleId="CharChar3">
    <w:name w:val="Char Char3"/>
    <w:rsid w:val="001D71D1"/>
    <w:rPr>
      <w:rFonts w:ascii="Consolas" w:eastAsia="MS Mincho" w:hAnsi="Consolas"/>
      <w:sz w:val="21"/>
    </w:rPr>
  </w:style>
  <w:style w:type="character" w:customStyle="1" w:styleId="st">
    <w:name w:val="st"/>
    <w:basedOn w:val="DefaultParagraphFont"/>
    <w:rsid w:val="001D71D1"/>
  </w:style>
  <w:style w:type="character" w:customStyle="1" w:styleId="costarpage">
    <w:name w:val="co_starpage"/>
    <w:basedOn w:val="DefaultParagraphFont"/>
    <w:rsid w:val="00871A42"/>
  </w:style>
  <w:style w:type="character" w:customStyle="1" w:styleId="subject">
    <w:name w:val="subject"/>
    <w:basedOn w:val="DefaultParagraphFont"/>
    <w:rsid w:val="00AA25A4"/>
  </w:style>
  <w:style w:type="numbering" w:customStyle="1" w:styleId="NoList1">
    <w:name w:val="No List1"/>
    <w:next w:val="NoList"/>
    <w:uiPriority w:val="99"/>
    <w:semiHidden/>
    <w:unhideWhenUsed/>
    <w:rsid w:val="00E538DB"/>
  </w:style>
  <w:style w:type="paragraph" w:customStyle="1" w:styleId="riaheader3">
    <w:name w:val="ria header 3"/>
    <w:basedOn w:val="Heading1"/>
    <w:qFormat/>
    <w:rsid w:val="00BF10A3"/>
    <w:pPr>
      <w:spacing w:line="240" w:lineRule="auto"/>
      <w:ind w:left="720"/>
    </w:pPr>
    <w:rPr>
      <w:rFonts w:eastAsia="Times New Roman"/>
      <w:b/>
      <w:bCs/>
      <w:i/>
      <w:kern w:val="36"/>
      <w:u w:val="none"/>
    </w:rPr>
  </w:style>
  <w:style w:type="paragraph" w:customStyle="1" w:styleId="riaheader2">
    <w:name w:val="ria header 2"/>
    <w:basedOn w:val="Heading2"/>
    <w:qFormat/>
    <w:rsid w:val="00BF10A3"/>
    <w:pPr>
      <w:keepNext/>
      <w:widowControl w:val="0"/>
      <w:tabs>
        <w:tab w:val="left" w:pos="-1440"/>
      </w:tabs>
      <w:spacing w:after="240" w:line="240" w:lineRule="auto"/>
    </w:pPr>
    <w:rPr>
      <w:rFonts w:eastAsia="MS ??"/>
      <w:b/>
      <w:bCs w:val="0"/>
      <w:color w:val="000000"/>
      <w:lang w:eastAsia="zh-CN"/>
    </w:rPr>
  </w:style>
  <w:style w:type="paragraph" w:customStyle="1" w:styleId="riaheader1">
    <w:name w:val="ria header 1"/>
    <w:basedOn w:val="Heading2"/>
    <w:qFormat/>
    <w:rsid w:val="00BF10A3"/>
    <w:pPr>
      <w:keepNext/>
      <w:widowControl w:val="0"/>
      <w:tabs>
        <w:tab w:val="left" w:pos="-1440"/>
      </w:tabs>
      <w:ind w:hanging="720"/>
    </w:pPr>
    <w:rPr>
      <w:rFonts w:eastAsia="MS ??"/>
      <w:b/>
      <w:bCs w:val="0"/>
      <w:color w:val="000000"/>
      <w:lang w:eastAsia="zh-CN"/>
    </w:rPr>
  </w:style>
  <w:style w:type="paragraph" w:styleId="DocumentMap">
    <w:name w:val="Document Map"/>
    <w:basedOn w:val="Normal"/>
    <w:link w:val="DocumentMapChar"/>
    <w:uiPriority w:val="99"/>
    <w:semiHidden/>
    <w:unhideWhenUsed/>
    <w:rsid w:val="00BF10A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F10A3"/>
    <w:rPr>
      <w:rFonts w:ascii="Lucida Grande" w:eastAsia="Calibri" w:hAnsi="Lucida Grande" w:cs="Lucida Grande"/>
      <w:sz w:val="24"/>
      <w:szCs w:val="24"/>
    </w:rPr>
  </w:style>
  <w:style w:type="paragraph" w:styleId="NoSpacing">
    <w:name w:val="No Spacing"/>
    <w:uiPriority w:val="1"/>
    <w:qFormat/>
    <w:rsid w:val="00BF10A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BF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9961">
      <w:bodyDiv w:val="1"/>
      <w:marLeft w:val="0"/>
      <w:marRight w:val="0"/>
      <w:marTop w:val="0"/>
      <w:marBottom w:val="0"/>
      <w:divBdr>
        <w:top w:val="none" w:sz="0" w:space="0" w:color="auto"/>
        <w:left w:val="none" w:sz="0" w:space="0" w:color="auto"/>
        <w:bottom w:val="none" w:sz="0" w:space="0" w:color="auto"/>
        <w:right w:val="none" w:sz="0" w:space="0" w:color="auto"/>
      </w:divBdr>
    </w:div>
    <w:div w:id="193887779">
      <w:bodyDiv w:val="1"/>
      <w:marLeft w:val="0"/>
      <w:marRight w:val="0"/>
      <w:marTop w:val="0"/>
      <w:marBottom w:val="0"/>
      <w:divBdr>
        <w:top w:val="none" w:sz="0" w:space="0" w:color="auto"/>
        <w:left w:val="none" w:sz="0" w:space="0" w:color="auto"/>
        <w:bottom w:val="none" w:sz="0" w:space="0" w:color="auto"/>
        <w:right w:val="none" w:sz="0" w:space="0" w:color="auto"/>
      </w:divBdr>
      <w:divsChild>
        <w:div w:id="953949213">
          <w:marLeft w:val="0"/>
          <w:marRight w:val="0"/>
          <w:marTop w:val="0"/>
          <w:marBottom w:val="0"/>
          <w:divBdr>
            <w:top w:val="none" w:sz="0" w:space="0" w:color="auto"/>
            <w:left w:val="none" w:sz="0" w:space="0" w:color="auto"/>
            <w:bottom w:val="none" w:sz="0" w:space="0" w:color="auto"/>
            <w:right w:val="none" w:sz="0" w:space="0" w:color="auto"/>
          </w:divBdr>
          <w:divsChild>
            <w:div w:id="10750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3157">
      <w:bodyDiv w:val="1"/>
      <w:marLeft w:val="0"/>
      <w:marRight w:val="0"/>
      <w:marTop w:val="0"/>
      <w:marBottom w:val="0"/>
      <w:divBdr>
        <w:top w:val="none" w:sz="0" w:space="0" w:color="auto"/>
        <w:left w:val="none" w:sz="0" w:space="0" w:color="auto"/>
        <w:bottom w:val="none" w:sz="0" w:space="0" w:color="auto"/>
        <w:right w:val="none" w:sz="0" w:space="0" w:color="auto"/>
      </w:divBdr>
    </w:div>
    <w:div w:id="306738669">
      <w:bodyDiv w:val="1"/>
      <w:marLeft w:val="0"/>
      <w:marRight w:val="0"/>
      <w:marTop w:val="0"/>
      <w:marBottom w:val="0"/>
      <w:divBdr>
        <w:top w:val="none" w:sz="0" w:space="0" w:color="auto"/>
        <w:left w:val="none" w:sz="0" w:space="0" w:color="auto"/>
        <w:bottom w:val="none" w:sz="0" w:space="0" w:color="auto"/>
        <w:right w:val="none" w:sz="0" w:space="0" w:color="auto"/>
      </w:divBdr>
      <w:divsChild>
        <w:div w:id="1651786951">
          <w:marLeft w:val="0"/>
          <w:marRight w:val="0"/>
          <w:marTop w:val="0"/>
          <w:marBottom w:val="0"/>
          <w:divBdr>
            <w:top w:val="none" w:sz="0" w:space="0" w:color="auto"/>
            <w:left w:val="none" w:sz="0" w:space="0" w:color="auto"/>
            <w:bottom w:val="none" w:sz="0" w:space="0" w:color="auto"/>
            <w:right w:val="none" w:sz="0" w:space="0" w:color="auto"/>
          </w:divBdr>
          <w:divsChild>
            <w:div w:id="2700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019">
      <w:bodyDiv w:val="1"/>
      <w:marLeft w:val="0"/>
      <w:marRight w:val="0"/>
      <w:marTop w:val="0"/>
      <w:marBottom w:val="0"/>
      <w:divBdr>
        <w:top w:val="none" w:sz="0" w:space="0" w:color="auto"/>
        <w:left w:val="none" w:sz="0" w:space="0" w:color="auto"/>
        <w:bottom w:val="none" w:sz="0" w:space="0" w:color="auto"/>
        <w:right w:val="none" w:sz="0" w:space="0" w:color="auto"/>
      </w:divBdr>
    </w:div>
    <w:div w:id="408121316">
      <w:bodyDiv w:val="1"/>
      <w:marLeft w:val="0"/>
      <w:marRight w:val="0"/>
      <w:marTop w:val="0"/>
      <w:marBottom w:val="0"/>
      <w:divBdr>
        <w:top w:val="none" w:sz="0" w:space="0" w:color="auto"/>
        <w:left w:val="none" w:sz="0" w:space="0" w:color="auto"/>
        <w:bottom w:val="none" w:sz="0" w:space="0" w:color="auto"/>
        <w:right w:val="none" w:sz="0" w:space="0" w:color="auto"/>
      </w:divBdr>
      <w:divsChild>
        <w:div w:id="454644472">
          <w:marLeft w:val="0"/>
          <w:marRight w:val="0"/>
          <w:marTop w:val="0"/>
          <w:marBottom w:val="0"/>
          <w:divBdr>
            <w:top w:val="none" w:sz="0" w:space="0" w:color="auto"/>
            <w:left w:val="none" w:sz="0" w:space="0" w:color="auto"/>
            <w:bottom w:val="none" w:sz="0" w:space="0" w:color="auto"/>
            <w:right w:val="none" w:sz="0" w:space="0" w:color="auto"/>
          </w:divBdr>
          <w:divsChild>
            <w:div w:id="10243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9643">
      <w:bodyDiv w:val="1"/>
      <w:marLeft w:val="0"/>
      <w:marRight w:val="0"/>
      <w:marTop w:val="0"/>
      <w:marBottom w:val="0"/>
      <w:divBdr>
        <w:top w:val="none" w:sz="0" w:space="0" w:color="auto"/>
        <w:left w:val="none" w:sz="0" w:space="0" w:color="auto"/>
        <w:bottom w:val="none" w:sz="0" w:space="0" w:color="auto"/>
        <w:right w:val="none" w:sz="0" w:space="0" w:color="auto"/>
      </w:divBdr>
    </w:div>
    <w:div w:id="674653531">
      <w:bodyDiv w:val="1"/>
      <w:marLeft w:val="0"/>
      <w:marRight w:val="0"/>
      <w:marTop w:val="0"/>
      <w:marBottom w:val="0"/>
      <w:divBdr>
        <w:top w:val="none" w:sz="0" w:space="0" w:color="auto"/>
        <w:left w:val="none" w:sz="0" w:space="0" w:color="auto"/>
        <w:bottom w:val="none" w:sz="0" w:space="0" w:color="auto"/>
        <w:right w:val="none" w:sz="0" w:space="0" w:color="auto"/>
      </w:divBdr>
    </w:div>
    <w:div w:id="753478242">
      <w:bodyDiv w:val="1"/>
      <w:marLeft w:val="0"/>
      <w:marRight w:val="0"/>
      <w:marTop w:val="0"/>
      <w:marBottom w:val="0"/>
      <w:divBdr>
        <w:top w:val="none" w:sz="0" w:space="0" w:color="auto"/>
        <w:left w:val="none" w:sz="0" w:space="0" w:color="auto"/>
        <w:bottom w:val="none" w:sz="0" w:space="0" w:color="auto"/>
        <w:right w:val="none" w:sz="0" w:space="0" w:color="auto"/>
      </w:divBdr>
    </w:div>
    <w:div w:id="784353429">
      <w:bodyDiv w:val="1"/>
      <w:marLeft w:val="0"/>
      <w:marRight w:val="0"/>
      <w:marTop w:val="0"/>
      <w:marBottom w:val="0"/>
      <w:divBdr>
        <w:top w:val="none" w:sz="0" w:space="0" w:color="auto"/>
        <w:left w:val="none" w:sz="0" w:space="0" w:color="auto"/>
        <w:bottom w:val="none" w:sz="0" w:space="0" w:color="auto"/>
        <w:right w:val="none" w:sz="0" w:space="0" w:color="auto"/>
      </w:divBdr>
    </w:div>
    <w:div w:id="971405424">
      <w:bodyDiv w:val="1"/>
      <w:marLeft w:val="0"/>
      <w:marRight w:val="0"/>
      <w:marTop w:val="0"/>
      <w:marBottom w:val="0"/>
      <w:divBdr>
        <w:top w:val="none" w:sz="0" w:space="0" w:color="auto"/>
        <w:left w:val="none" w:sz="0" w:space="0" w:color="auto"/>
        <w:bottom w:val="none" w:sz="0" w:space="0" w:color="auto"/>
        <w:right w:val="none" w:sz="0" w:space="0" w:color="auto"/>
      </w:divBdr>
    </w:div>
    <w:div w:id="1012531487">
      <w:bodyDiv w:val="1"/>
      <w:marLeft w:val="0"/>
      <w:marRight w:val="0"/>
      <w:marTop w:val="0"/>
      <w:marBottom w:val="0"/>
      <w:divBdr>
        <w:top w:val="none" w:sz="0" w:space="0" w:color="auto"/>
        <w:left w:val="none" w:sz="0" w:space="0" w:color="auto"/>
        <w:bottom w:val="none" w:sz="0" w:space="0" w:color="auto"/>
        <w:right w:val="none" w:sz="0" w:space="0" w:color="auto"/>
      </w:divBdr>
    </w:div>
    <w:div w:id="1062827880">
      <w:bodyDiv w:val="1"/>
      <w:marLeft w:val="0"/>
      <w:marRight w:val="0"/>
      <w:marTop w:val="0"/>
      <w:marBottom w:val="0"/>
      <w:divBdr>
        <w:top w:val="none" w:sz="0" w:space="0" w:color="auto"/>
        <w:left w:val="none" w:sz="0" w:space="0" w:color="auto"/>
        <w:bottom w:val="none" w:sz="0" w:space="0" w:color="auto"/>
        <w:right w:val="none" w:sz="0" w:space="0" w:color="auto"/>
      </w:divBdr>
      <w:divsChild>
        <w:div w:id="823934491">
          <w:marLeft w:val="0"/>
          <w:marRight w:val="0"/>
          <w:marTop w:val="0"/>
          <w:marBottom w:val="0"/>
          <w:divBdr>
            <w:top w:val="none" w:sz="0" w:space="0" w:color="auto"/>
            <w:left w:val="none" w:sz="0" w:space="0" w:color="auto"/>
            <w:bottom w:val="none" w:sz="0" w:space="0" w:color="auto"/>
            <w:right w:val="none" w:sz="0" w:space="0" w:color="auto"/>
          </w:divBdr>
          <w:divsChild>
            <w:div w:id="2365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3490">
      <w:bodyDiv w:val="1"/>
      <w:marLeft w:val="0"/>
      <w:marRight w:val="0"/>
      <w:marTop w:val="0"/>
      <w:marBottom w:val="0"/>
      <w:divBdr>
        <w:top w:val="none" w:sz="0" w:space="0" w:color="auto"/>
        <w:left w:val="none" w:sz="0" w:space="0" w:color="auto"/>
        <w:bottom w:val="none" w:sz="0" w:space="0" w:color="auto"/>
        <w:right w:val="none" w:sz="0" w:space="0" w:color="auto"/>
      </w:divBdr>
    </w:div>
    <w:div w:id="1335455497">
      <w:bodyDiv w:val="1"/>
      <w:marLeft w:val="0"/>
      <w:marRight w:val="0"/>
      <w:marTop w:val="0"/>
      <w:marBottom w:val="0"/>
      <w:divBdr>
        <w:top w:val="none" w:sz="0" w:space="0" w:color="auto"/>
        <w:left w:val="none" w:sz="0" w:space="0" w:color="auto"/>
        <w:bottom w:val="none" w:sz="0" w:space="0" w:color="auto"/>
        <w:right w:val="none" w:sz="0" w:space="0" w:color="auto"/>
      </w:divBdr>
    </w:div>
    <w:div w:id="1483422481">
      <w:bodyDiv w:val="1"/>
      <w:marLeft w:val="0"/>
      <w:marRight w:val="0"/>
      <w:marTop w:val="0"/>
      <w:marBottom w:val="0"/>
      <w:divBdr>
        <w:top w:val="none" w:sz="0" w:space="0" w:color="auto"/>
        <w:left w:val="none" w:sz="0" w:space="0" w:color="auto"/>
        <w:bottom w:val="none" w:sz="0" w:space="0" w:color="auto"/>
        <w:right w:val="none" w:sz="0" w:space="0" w:color="auto"/>
      </w:divBdr>
    </w:div>
    <w:div w:id="1487823467">
      <w:bodyDiv w:val="1"/>
      <w:marLeft w:val="0"/>
      <w:marRight w:val="0"/>
      <w:marTop w:val="0"/>
      <w:marBottom w:val="0"/>
      <w:divBdr>
        <w:top w:val="none" w:sz="0" w:space="0" w:color="auto"/>
        <w:left w:val="none" w:sz="0" w:space="0" w:color="auto"/>
        <w:bottom w:val="none" w:sz="0" w:space="0" w:color="auto"/>
        <w:right w:val="none" w:sz="0" w:space="0" w:color="auto"/>
      </w:divBdr>
    </w:div>
    <w:div w:id="1505898267">
      <w:bodyDiv w:val="1"/>
      <w:marLeft w:val="0"/>
      <w:marRight w:val="0"/>
      <w:marTop w:val="0"/>
      <w:marBottom w:val="0"/>
      <w:divBdr>
        <w:top w:val="none" w:sz="0" w:space="0" w:color="auto"/>
        <w:left w:val="none" w:sz="0" w:space="0" w:color="auto"/>
        <w:bottom w:val="none" w:sz="0" w:space="0" w:color="auto"/>
        <w:right w:val="none" w:sz="0" w:space="0" w:color="auto"/>
      </w:divBdr>
    </w:div>
    <w:div w:id="1591347762">
      <w:bodyDiv w:val="1"/>
      <w:marLeft w:val="0"/>
      <w:marRight w:val="0"/>
      <w:marTop w:val="0"/>
      <w:marBottom w:val="0"/>
      <w:divBdr>
        <w:top w:val="none" w:sz="0" w:space="0" w:color="auto"/>
        <w:left w:val="none" w:sz="0" w:space="0" w:color="auto"/>
        <w:bottom w:val="none" w:sz="0" w:space="0" w:color="auto"/>
        <w:right w:val="none" w:sz="0" w:space="0" w:color="auto"/>
      </w:divBdr>
    </w:div>
    <w:div w:id="1601136649">
      <w:bodyDiv w:val="1"/>
      <w:marLeft w:val="0"/>
      <w:marRight w:val="0"/>
      <w:marTop w:val="0"/>
      <w:marBottom w:val="0"/>
      <w:divBdr>
        <w:top w:val="none" w:sz="0" w:space="0" w:color="auto"/>
        <w:left w:val="none" w:sz="0" w:space="0" w:color="auto"/>
        <w:bottom w:val="none" w:sz="0" w:space="0" w:color="auto"/>
        <w:right w:val="none" w:sz="0" w:space="0" w:color="auto"/>
      </w:divBdr>
    </w:div>
    <w:div w:id="1719935177">
      <w:bodyDiv w:val="1"/>
      <w:marLeft w:val="0"/>
      <w:marRight w:val="0"/>
      <w:marTop w:val="0"/>
      <w:marBottom w:val="0"/>
      <w:divBdr>
        <w:top w:val="none" w:sz="0" w:space="0" w:color="auto"/>
        <w:left w:val="none" w:sz="0" w:space="0" w:color="auto"/>
        <w:bottom w:val="none" w:sz="0" w:space="0" w:color="auto"/>
        <w:right w:val="none" w:sz="0" w:space="0" w:color="auto"/>
      </w:divBdr>
    </w:div>
    <w:div w:id="1764572897">
      <w:bodyDiv w:val="1"/>
      <w:marLeft w:val="0"/>
      <w:marRight w:val="0"/>
      <w:marTop w:val="0"/>
      <w:marBottom w:val="0"/>
      <w:divBdr>
        <w:top w:val="none" w:sz="0" w:space="0" w:color="auto"/>
        <w:left w:val="none" w:sz="0" w:space="0" w:color="auto"/>
        <w:bottom w:val="none" w:sz="0" w:space="0" w:color="auto"/>
        <w:right w:val="none" w:sz="0" w:space="0" w:color="auto"/>
      </w:divBdr>
    </w:div>
    <w:div w:id="1985355777">
      <w:bodyDiv w:val="1"/>
      <w:marLeft w:val="0"/>
      <w:marRight w:val="0"/>
      <w:marTop w:val="0"/>
      <w:marBottom w:val="0"/>
      <w:divBdr>
        <w:top w:val="none" w:sz="0" w:space="0" w:color="auto"/>
        <w:left w:val="none" w:sz="0" w:space="0" w:color="auto"/>
        <w:bottom w:val="none" w:sz="0" w:space="0" w:color="auto"/>
        <w:right w:val="none" w:sz="0" w:space="0" w:color="auto"/>
      </w:divBdr>
    </w:div>
    <w:div w:id="2012876335">
      <w:bodyDiv w:val="1"/>
      <w:marLeft w:val="0"/>
      <w:marRight w:val="0"/>
      <w:marTop w:val="0"/>
      <w:marBottom w:val="0"/>
      <w:divBdr>
        <w:top w:val="none" w:sz="0" w:space="0" w:color="auto"/>
        <w:left w:val="none" w:sz="0" w:space="0" w:color="auto"/>
        <w:bottom w:val="none" w:sz="0" w:space="0" w:color="auto"/>
        <w:right w:val="none" w:sz="0" w:space="0" w:color="auto"/>
      </w:divBdr>
      <w:divsChild>
        <w:div w:id="531460337">
          <w:marLeft w:val="0"/>
          <w:marRight w:val="0"/>
          <w:marTop w:val="0"/>
          <w:marBottom w:val="0"/>
          <w:divBdr>
            <w:top w:val="none" w:sz="0" w:space="0" w:color="auto"/>
            <w:left w:val="none" w:sz="0" w:space="0" w:color="auto"/>
            <w:bottom w:val="none" w:sz="0" w:space="0" w:color="auto"/>
            <w:right w:val="none" w:sz="0" w:space="0" w:color="auto"/>
          </w:divBdr>
          <w:divsChild>
            <w:div w:id="1658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infulemploymentregulations@ed.gov" TargetMode="External"/><Relationship Id="rId18" Type="http://schemas.openxmlformats.org/officeDocument/2006/relationships/hyperlink" Target="https://www.federalregister.gov/topics/administrative-practice-procedure" TargetMode="External"/><Relationship Id="rId26" Type="http://schemas.openxmlformats.org/officeDocument/2006/relationships/hyperlink" Target="http://www.westlaw.com/Link/Document/FullText?findType=L&amp;pubNum=1000547&amp;cite=34CFRS682.200&amp;originationContext=document&amp;vr=3.0&amp;rs=cblt1.0&amp;transitionType=DocumentItem&amp;contextData=(sc.DocLink)" TargetMode="External"/><Relationship Id="rId39" Type="http://schemas.openxmlformats.org/officeDocument/2006/relationships/hyperlink" Target="http://www.westlaw.com/Link/Document/FullText?findType=L&amp;pubNum=1000547&amp;cite=34CFRS668.211&amp;originationContext=document&amp;vr=3.0&amp;rs=cblt1.0&amp;transitionType=DocumentItem&amp;contextData=(sc.DocLink)" TargetMode="External"/><Relationship Id="rId21" Type="http://schemas.openxmlformats.org/officeDocument/2006/relationships/hyperlink" Target="https://www.federalregister.gov/topics/student-aid" TargetMode="External"/><Relationship Id="rId34"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42" Type="http://schemas.openxmlformats.org/officeDocument/2006/relationships/hyperlink" Target="http://www.westlaw.com/Link/Document/FullText?findType=L&amp;pubNum=1000547&amp;cite=34CFRS668.211&amp;originationContext=document&amp;vr=3.0&amp;rs=cblt1.0&amp;transitionType=DocumentItem&amp;contextData=(sc.DocLink)" TargetMode="External"/><Relationship Id="rId47" Type="http://schemas.openxmlformats.org/officeDocument/2006/relationships/hyperlink" Target="http://www.westlaw.com/Link/Document/FullText?findType=L&amp;pubNum=1000547&amp;cite=34CFRS668.212&amp;originationContext=document&amp;vr=3.0&amp;rs=cblt1.0&amp;transitionType=DocumentItem&amp;contextData=(sc.DocLink)" TargetMode="External"/><Relationship Id="rId50" Type="http://schemas.openxmlformats.org/officeDocument/2006/relationships/hyperlink" Target="http://www.westlaw.com/Link/Document/FullText?findType=L&amp;pubNum=1000547&amp;cite=34CFRS668.211&amp;originationContext=document&amp;vr=3.0&amp;rs=cblt1.0&amp;transitionType=DocumentItem&amp;contextData=(sc.DocLink)" TargetMode="External"/><Relationship Id="rId55" Type="http://schemas.openxmlformats.org/officeDocument/2006/relationships/hyperlink" Target="http://www.westlaw.com/Link/Document/FullText?findType=L&amp;pubNum=1000547&amp;cite=34CFRS668.212&amp;originationContext=document&amp;vr=3.0&amp;rs=cblt1.0&amp;transitionType=DocumentItem&amp;contextData=(sc.DocLink)" TargetMode="External"/><Relationship Id="rId63" Type="http://schemas.openxmlformats.org/officeDocument/2006/relationships/chart" Target="charts/chart4.xml"/><Relationship Id="rId68" Type="http://schemas.openxmlformats.org/officeDocument/2006/relationships/chart" Target="charts/chart9.xml"/><Relationship Id="rId76" Type="http://schemas.openxmlformats.org/officeDocument/2006/relationships/hyperlink" Target="http://www.bls.gov/ncs/ect/sp/ecsuphst.pdf" TargetMode="External"/><Relationship Id="rId7" Type="http://schemas.microsoft.com/office/2007/relationships/stylesWithEffects" Target="stylesWithEffects.xml"/><Relationship Id="rId71"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hyperlink" Target="http://www.consumerfinance.gov/eregulations/1026-43/2013-30108_20150718" TargetMode="External"/><Relationship Id="rId29" Type="http://schemas.openxmlformats.org/officeDocument/2006/relationships/hyperlink" Target="http://www.westlaw.com/Link/Document/FullText?findType=L&amp;pubNum=1000547&amp;cite=34CFRS682.405&amp;originationContext=document&amp;vr=3.0&amp;rs=cblt1.0&amp;transitionType=DocumentItem&amp;contextData=(sc.DocLink)" TargetMode="External"/><Relationship Id="rId11" Type="http://schemas.openxmlformats.org/officeDocument/2006/relationships/endnotes" Target="endnotes.xml"/><Relationship Id="rId24"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32" Type="http://schemas.openxmlformats.org/officeDocument/2006/relationships/hyperlink" Target="http://www.westlaw.com/Link/Document/FullText?findType=L&amp;pubNum=1000547&amp;cite=34CFRS668.204&amp;originationContext=document&amp;vr=3.0&amp;rs=cblt1.0&amp;transitionType=DocumentItem&amp;contextData=(sc.DocLink)" TargetMode="External"/><Relationship Id="rId37"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40" Type="http://schemas.openxmlformats.org/officeDocument/2006/relationships/hyperlink" Target="http://www.westlaw.com/Link/Document/FullText?findType=L&amp;pubNum=1000547&amp;cite=34CFRS668.209&amp;originationContext=document&amp;vr=3.0&amp;rs=cblt1.0&amp;transitionType=DocumentItem&amp;contextData=(sc.DocLink)" TargetMode="External"/><Relationship Id="rId45" Type="http://schemas.openxmlformats.org/officeDocument/2006/relationships/hyperlink" Target="http://www.westlaw.com/Link/Document/FullText?findType=L&amp;pubNum=1000547&amp;cite=34CFRS668.210&amp;originationContext=document&amp;vr=3.0&amp;rs=cblt1.0&amp;transitionType=DocumentItem&amp;contextData=(sc.DocLink)" TargetMode="External"/><Relationship Id="rId53" Type="http://schemas.openxmlformats.org/officeDocument/2006/relationships/hyperlink" Target="http://www.westlaw.com/Link/Document/FullText?findType=L&amp;pubNum=1000547&amp;cite=34CFRS668.204&amp;originationContext=document&amp;vr=3.0&amp;rs=cblt1.0&amp;transitionType=DocumentItem&amp;contextData=(sc.DocLink)" TargetMode="External"/><Relationship Id="rId58" Type="http://schemas.openxmlformats.org/officeDocument/2006/relationships/hyperlink" Target="http://www.westlaw.com/Link/Document/FullText?findType=L&amp;pubNum=1000547&amp;cite=34CFRS668.211&amp;originationContext=document&amp;vr=3.0&amp;rs=cblt1.0&amp;transitionType=DocumentItem&amp;contextData=(sc.DocLink)" TargetMode="External"/><Relationship Id="rId66" Type="http://schemas.openxmlformats.org/officeDocument/2006/relationships/chart" Target="charts/chart7.xml"/><Relationship Id="rId74" Type="http://schemas.openxmlformats.org/officeDocument/2006/relationships/chart" Target="charts/chart14.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hyperlink" Target="https://www.federalregister.gov/topics/colleges-universities" TargetMode="External"/><Relationship Id="rId31" Type="http://schemas.openxmlformats.org/officeDocument/2006/relationships/hyperlink" Target="http://www.westlaw.com/Link/Document/FullText?findType=L&amp;pubNum=1000547&amp;cite=34CFRS668.203&amp;originationContext=document&amp;vr=3.0&amp;rs=cblt1.0&amp;transitionType=DocumentItem&amp;contextData=(sc.DocLink)" TargetMode="External"/><Relationship Id="rId44" Type="http://schemas.openxmlformats.org/officeDocument/2006/relationships/hyperlink" Target="http://www.westlaw.com/Link/Document/FullText?findType=L&amp;pubNum=1000547&amp;cite=34CFRS668.209&amp;originationContext=document&amp;vr=3.0&amp;rs=cblt1.0&amp;transitionType=DocumentItem&amp;contextData=(sc.DocLink)" TargetMode="External"/><Relationship Id="rId52" Type="http://schemas.openxmlformats.org/officeDocument/2006/relationships/hyperlink" Target="http://www.westlaw.com/Link/Document/FullText?findType=L&amp;pubNum=1000547&amp;cite=34CFRS668.208&amp;originationContext=document&amp;vr=3.0&amp;rs=cblt1.0&amp;transitionType=DocumentItem&amp;contextData=(sc.DocLink)" TargetMode="External"/><Relationship Id="rId60" Type="http://schemas.openxmlformats.org/officeDocument/2006/relationships/chart" Target="charts/chart1.xml"/><Relationship Id="rId65" Type="http://schemas.openxmlformats.org/officeDocument/2006/relationships/chart" Target="charts/chart6.xml"/><Relationship Id="rId73" Type="http://schemas.openxmlformats.org/officeDocument/2006/relationships/hyperlink" Target="http://www2.ed.gov/policy/highered/reg/hearulemaking/2012/gainfulemployment.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netonline.org/crosswalk" TargetMode="External"/><Relationship Id="rId22" Type="http://schemas.openxmlformats.org/officeDocument/2006/relationships/hyperlink" Target="http://www.gao.gov/yellowbook/overview" TargetMode="External"/><Relationship Id="rId27" Type="http://schemas.openxmlformats.org/officeDocument/2006/relationships/hyperlink" Target="http://www.westlaw.com/Link/Document/FullText?findType=L&amp;pubNum=1000547&amp;cite=34CFRS685.207&amp;originationContext=document&amp;vr=3.0&amp;rs=cblt1.0&amp;transitionType=DocumentItem&amp;contextData=(sc.DocLink)" TargetMode="External"/><Relationship Id="rId30" Type="http://schemas.openxmlformats.org/officeDocument/2006/relationships/hyperlink" Target="http://www.westlaw.com/Link/Document/FullText?findType=L&amp;pubNum=1000547&amp;cite=34CFRS685.211&amp;originationContext=document&amp;vr=3.0&amp;rs=cblt1.0&amp;transitionType=DocumentItem&amp;contextData=(sc.DocLink)" TargetMode="External"/><Relationship Id="rId35"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43" Type="http://schemas.openxmlformats.org/officeDocument/2006/relationships/hyperlink" Target="http://www.westlaw.com/Link/Document/FullText?findType=L&amp;pubNum=1000547&amp;cite=34CFRS668.212&amp;originationContext=document&amp;vr=3.0&amp;rs=cblt1.0&amp;transitionType=DocumentItem&amp;contextData=(sc.DocLink)" TargetMode="External"/><Relationship Id="rId48" Type="http://schemas.openxmlformats.org/officeDocument/2006/relationships/hyperlink" Target="http://www.westlaw.com/Link/Document/FullText?findType=L&amp;pubNum=1000547&amp;cite=34CFRS668.204&amp;originationContext=document&amp;vr=3.0&amp;rs=cblt1.0&amp;transitionType=DocumentItem&amp;contextData=(sc.DocLink)" TargetMode="External"/><Relationship Id="rId56" Type="http://schemas.openxmlformats.org/officeDocument/2006/relationships/hyperlink" Target="http://www.westlaw.com/Link/Document/FullText?findType=L&amp;pubNum=1000547&amp;cite=34CFRS668.208&amp;originationContext=document&amp;vr=3.0&amp;rs=cblt1.0&amp;transitionType=DocumentItem&amp;contextData=(sc.DocLink)" TargetMode="External"/><Relationship Id="rId64" Type="http://schemas.openxmlformats.org/officeDocument/2006/relationships/chart" Target="charts/chart5.xml"/><Relationship Id="rId69" Type="http://schemas.openxmlformats.org/officeDocument/2006/relationships/chart" Target="charts/chart10.xm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westlaw.com/Link/Document/FullText?findType=L&amp;pubNum=1000547&amp;cite=34CFRS668.212&amp;originationContext=document&amp;vr=3.0&amp;rs=cblt1.0&amp;transitionType=DocumentItem&amp;contextData=(sc.DocLink)" TargetMode="External"/><Relationship Id="rId72" Type="http://schemas.openxmlformats.org/officeDocument/2006/relationships/chart" Target="charts/chart13.xml"/><Relationship Id="rId80"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hyperlink" Target="https://www.federalregister.gov/regulations/1840-AD16/violence-against-women-act" TargetMode="External"/><Relationship Id="rId17" Type="http://schemas.openxmlformats.org/officeDocument/2006/relationships/hyperlink" Target="http://www.bls.gov/ncs/ect/sp/ecsuphst.pdf" TargetMode="External"/><Relationship Id="rId25" Type="http://schemas.openxmlformats.org/officeDocument/2006/relationships/hyperlink" Target="http://www.westlaw.com/Link/Document/FullText?findType=L&amp;pubNum=1000547&amp;cite=34CFRS668.204&amp;originationContext=document&amp;vr=3.0&amp;rs=cblt1.0&amp;transitionType=DocumentItem&amp;contextData=(sc.DocLink)" TargetMode="External"/><Relationship Id="rId33" Type="http://schemas.openxmlformats.org/officeDocument/2006/relationships/hyperlink" Target="http://www.westlaw.com/Link/Document/FullText?findType=L&amp;pubNum=1000547&amp;cite=34CFRS668.208&amp;originationContext=document&amp;vr=3.0&amp;rs=cblt1.0&amp;transitionType=DocumentItem&amp;contextData=(sc.DocLink)" TargetMode="External"/><Relationship Id="rId38" Type="http://schemas.openxmlformats.org/officeDocument/2006/relationships/hyperlink" Target="http://www.westlaw.com/Link/Document/FullText?findType=L&amp;pubNum=1000547&amp;cite=34CFRS668.209&amp;originationContext=document&amp;vr=3.0&amp;rs=cblt1.0&amp;transitionType=DocumentItem&amp;contextData=(sc.DocLink)" TargetMode="External"/><Relationship Id="rId46" Type="http://schemas.openxmlformats.org/officeDocument/2006/relationships/hyperlink" Target="http://www.westlaw.com/Link/Document/FullText?findType=L&amp;pubNum=1000547&amp;cite=34CFRS668.211&amp;originationContext=document&amp;vr=3.0&amp;rs=cblt1.0&amp;transitionType=DocumentItem&amp;contextData=(sc.DocLink)" TargetMode="External"/><Relationship Id="rId59" Type="http://schemas.openxmlformats.org/officeDocument/2006/relationships/footer" Target="footer1.xml"/><Relationship Id="rId67" Type="http://schemas.openxmlformats.org/officeDocument/2006/relationships/chart" Target="charts/chart8.xml"/><Relationship Id="rId20" Type="http://schemas.openxmlformats.org/officeDocument/2006/relationships/hyperlink" Target="https://www.federalregister.gov/topics/reporting-recordkeeping-requirements" TargetMode="External"/><Relationship Id="rId41" Type="http://schemas.openxmlformats.org/officeDocument/2006/relationships/hyperlink" Target="http://www.westlaw.com/Link/Document/FullText?findType=L&amp;pubNum=1000547&amp;cite=34CFRS668.210&amp;originationContext=document&amp;vr=3.0&amp;rs=cblt1.0&amp;transitionType=DocumentItem&amp;contextData=(sc.DocLink)" TargetMode="External"/><Relationship Id="rId54" Type="http://schemas.openxmlformats.org/officeDocument/2006/relationships/hyperlink" Target="http://www.westlaw.com/Link/Document/FullText?findType=L&amp;pubNum=1000547&amp;cite=34CFRS668.210&amp;originationContext=document&amp;vr=3.0&amp;rs=cblt1.0&amp;transitionType=DocumentItem&amp;contextData=(sc.DocLink)" TargetMode="External"/><Relationship Id="rId62" Type="http://schemas.openxmlformats.org/officeDocument/2006/relationships/chart" Target="charts/chart3.xml"/><Relationship Id="rId70" Type="http://schemas.openxmlformats.org/officeDocument/2006/relationships/chart" Target="charts/chart11.xml"/><Relationship Id="rId75"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onsumerfinance.gov/eregulations/1026-2/2013-30108_20150718" TargetMode="External"/><Relationship Id="rId23"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28" Type="http://schemas.openxmlformats.org/officeDocument/2006/relationships/hyperlink" Target="http://www.westlaw.com/Link/Document/FullText?findType=L&amp;pubNum=1000547&amp;cite=34CFRS668.205&amp;originationContext=document&amp;vr=3.0&amp;rs=cblt1.0&amp;transitionType=DocumentItem&amp;contextData=(sc.DocLink)" TargetMode="External"/><Relationship Id="rId36" Type="http://schemas.openxmlformats.org/officeDocument/2006/relationships/hyperlink" Target="http://www.westlaw.com/Link/Document/FullText?findType=L&amp;pubNum=1000547&amp;cite=34CFRS668.202&amp;originationContext=document&amp;vr=3.0&amp;rs=cblt1.0&amp;transitionType=DocumentItem&amp;contextData=(sc.DocLink)" TargetMode="External"/><Relationship Id="rId49" Type="http://schemas.openxmlformats.org/officeDocument/2006/relationships/hyperlink" Target="http://www.westlaw.com/Link/Document/FullText?findType=L&amp;pubNum=1000547&amp;cite=34CFRS668.204&amp;originationContext=document&amp;vr=3.0&amp;rs=cblt1.0&amp;transitionType=DocumentItem&amp;contextData=(sc.DocLink)" TargetMode="External"/><Relationship Id="rId57" Type="http://schemas.openxmlformats.org/officeDocument/2006/relationships/hyperlink" Target="http://www.westlaw.com/Link/Document/FullText?findType=L&amp;pubNum=1000547&amp;cite=34CFRS668.210&amp;originationContext=document&amp;vr=3.0&amp;rs=cblt1.0&amp;transitionType=DocumentItem&amp;contextData=(sc.DocLi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hare.ed.gov/teams/AppData/Local/Microsoft/Windows/Users/Amanda.Amann/AppData/Local/Microsoft/Windows/Temporary%20Internet%20Files/Content.Outlook/EXJVCKA2/www.foxbusiness.com/government/2013/06/11/corinthian-colleges-crumbles-14-on-sec-probe" TargetMode="External"/><Relationship Id="rId13" Type="http://schemas.openxmlformats.org/officeDocument/2006/relationships/hyperlink" Target="http://www.census.gov/people/wealth/files/Debt%20Highlights%202011.pdf" TargetMode="External"/><Relationship Id="rId18" Type="http://schemas.openxmlformats.org/officeDocument/2006/relationships/hyperlink" Target="file:///C:\Users\Amanda.Amann\AppData\Local\Microsoft\Windows\Temporary%20Internet%20Files\Content.Outlook\ATAM92LP\www.census.gov\cps\methodology\unreported.html" TargetMode="External"/><Relationship Id="rId26" Type="http://schemas.openxmlformats.org/officeDocument/2006/relationships/hyperlink" Target="file:///C:\Users\Kate.Mullan\AppData\Local\Microsoft\Windows\Temporary%20Internet%20Files\Content.Outlook\J7WDE3UA\www.asa.org\in-default\consequences\" TargetMode="External"/><Relationship Id="rId39" Type="http://schemas.openxmlformats.org/officeDocument/2006/relationships/hyperlink" Target="http://nces.ed.gov/programs/digest/d13/tables/dt13_303.20.asp" TargetMode="External"/><Relationship Id="rId3" Type="http://schemas.openxmlformats.org/officeDocument/2006/relationships/hyperlink" Target="http://nces.ed.gov/programs/digest/d13/tables/dt13_318.40.asp" TargetMode="External"/><Relationship Id="rId21" Type="http://schemas.openxmlformats.org/officeDocument/2006/relationships/hyperlink" Target="https://oig.hhs.gov/oei/reports/oei-05-99-00391.pdf" TargetMode="External"/><Relationship Id="rId34" Type="http://schemas.openxmlformats.org/officeDocument/2006/relationships/hyperlink" Target="https://share.ed.gov/teams/AppData/Local/Microsoft/Windows/Users/Amanda.Amann/AppData/Local/Microsoft/Windows/Temporary%20Internet%20Files/Content.Outlook/EXJVCKA2/www.foxbusiness.com/government/2013/06/11/corinthian-colleges-crumbles-14-on-sec-probe" TargetMode="External"/><Relationship Id="rId7" Type="http://schemas.openxmlformats.org/officeDocument/2006/relationships/hyperlink" Target="https://share.ed.gov/teams/AppData/Local/Microsoft/Windows/Temporary%20Internet%20Files/Content.Outlook/AppData/Local/Microsoft/Windows/Users/Amanda.Amann/AppData/Local/Microsoft/Windows/Temporary%20Internet%20Files/Content.Outlook/EXJVCKA2/www.bloomberg.com/news/2014-01-29/for-profit-colleges-face-new-wave-of-coordinated-state-probes.html" TargetMode="External"/><Relationship Id="rId12" Type="http://schemas.openxmlformats.org/officeDocument/2006/relationships/hyperlink" Target="https://email.ed.gov/OWA/redir.aspx?C=E_Wg3q-3yk29fic894vKr5rmNVmu_9BIkRk7CXMZNKX7dJKPXvWwgTBk1rlhsnEB_LBxN7rWTb4.&amp;URL=http%3a%2f%2fchronicle.com%2fblogs%2finnovations%2fgainful-employment%2f26770" TargetMode="External"/><Relationship Id="rId17" Type="http://schemas.openxmlformats.org/officeDocument/2006/relationships/hyperlink" Target="http://www.irs.gov/file_source/pub/irs-pdf/p1244.pdf" TargetMode="External"/><Relationship Id="rId25" Type="http://schemas.openxmlformats.org/officeDocument/2006/relationships/hyperlink" Target="https://studentaid.ed.gov/about/data-center/student/title-iv" TargetMode="External"/><Relationship Id="rId33" Type="http://schemas.openxmlformats.org/officeDocument/2006/relationships/hyperlink" Target="https://share.ed.gov/teams/AppData/Local/Microsoft/Windows/Users/Amanda.Amann/AppData/Local/Microsoft/Windows/Temporary%20Internet%20Files/Content.Outlook/EXJVCKA2/www.bloomberg.com/news/2014-01-29/for-profit-colleges-face-new-wave-of-coordinated-state-probes.html" TargetMode="External"/><Relationship Id="rId38" Type="http://schemas.openxmlformats.org/officeDocument/2006/relationships/hyperlink" Target="http://www2.ed.gov/policy/highered/reg/hearulemaking/2012/gainfulemployment.html" TargetMode="External"/><Relationship Id="rId2" Type="http://schemas.openxmlformats.org/officeDocument/2006/relationships/hyperlink" Target="https://studentaid.ed.gov/about/data-center/student/title-iv" TargetMode="External"/><Relationship Id="rId16" Type="http://schemas.openxmlformats.org/officeDocument/2006/relationships/hyperlink" Target="http://www.irs.gov/uac/Wage-Compensation-for-S-Corporation-Officers" TargetMode="External"/><Relationship Id="rId20" Type="http://schemas.openxmlformats.org/officeDocument/2006/relationships/hyperlink" Target="http://nces.ed.gov/statprog/2002/glossary.asp" TargetMode="External"/><Relationship Id="rId29" Type="http://schemas.openxmlformats.org/officeDocument/2006/relationships/hyperlink" Target="file:///F:/users/zgrav/Downloads/www.ag.ny.gov/press-release/ag-schneiderman-announces-groundbreaking-1025-million-dollar-settlement-profit" TargetMode="External"/><Relationship Id="rId1" Type="http://schemas.openxmlformats.org/officeDocument/2006/relationships/hyperlink" Target="http://nces.ed.gov/programs/digest/d12/tables/dt12_222.asp" TargetMode="External"/><Relationship Id="rId6" Type="http://schemas.openxmlformats.org/officeDocument/2006/relationships/hyperlink" Target="file:///F:/users/zgrav/Downloads/www.insidehighered.com/news/2011/11/03/ky-attorney-general-jack-conway-battles-profits" TargetMode="External"/><Relationship Id="rId11" Type="http://schemas.openxmlformats.org/officeDocument/2006/relationships/hyperlink" Target="http://www.finaid.org/educators/20100301gainfulemployment.pdf" TargetMode="External"/><Relationship Id="rId24" Type="http://schemas.openxmlformats.org/officeDocument/2006/relationships/hyperlink" Target="http://www.dol.gov/whd/minimumwage.htm" TargetMode="External"/><Relationship Id="rId32" Type="http://schemas.openxmlformats.org/officeDocument/2006/relationships/hyperlink" Target="https://share.ed.gov/teams/AppData/Local/Microsoft/Windows/Temporary%20Internet%20Files/Content.Outlook/AppData/Local/Microsoft/Windows/Users/Amanda.Amann/AppData/Local/Microsoft/Windows/Temporary%20Internet%20Files/Content.Outlook/EXJVCKA2/www.bloomberg.com/news/2014-01-29/for-profit-colleges-face-new-wave-of-coordinated-state-probes.html" TargetMode="External"/><Relationship Id="rId37" Type="http://schemas.openxmlformats.org/officeDocument/2006/relationships/hyperlink" Target="file:///F:/users/zgrav/Downloads/www.insidehighered.com/news/2012/06/28/attorneys-general-announce-settlement-profit-college-marketer" TargetMode="External"/><Relationship Id="rId5" Type="http://schemas.openxmlformats.org/officeDocument/2006/relationships/hyperlink" Target="http://chronicle.com/article/Attorneys-General-Take-Aim-at/131254/" TargetMode="External"/><Relationship Id="rId15" Type="http://schemas.openxmlformats.org/officeDocument/2006/relationships/hyperlink" Target="http://federalstudentaid.ed.gov/datacenter/proprietary.html" TargetMode="External"/><Relationship Id="rId23" Type="http://schemas.openxmlformats.org/officeDocument/2006/relationships/hyperlink" Target="http://www.westlaw.com/Link/Document/FullText?findType=L&amp;pubNum=1000546&amp;cite=20USCAS1015C&amp;originationContext=document&amp;vr=3.0&amp;rs=cblt1.0&amp;transitionType=DocumentItem&amp;contextData=(sc.Folder*cid.dd25d3c0ea5e4750a91a455515c9fd52*oc.Keycite)" TargetMode="External"/><Relationship Id="rId28" Type="http://schemas.openxmlformats.org/officeDocument/2006/relationships/hyperlink" Target="https://studentaid.ed.gov/about/data-center/student/title-iv" TargetMode="External"/><Relationship Id="rId36" Type="http://schemas.openxmlformats.org/officeDocument/2006/relationships/hyperlink" Target="file:///F:/users/zgrav/Downloads/www.whitehouse.gov/the-press-office/2012/04/26/we-can-t-wait-president-obama-takes-action-stop-deceptive-and-misleading" TargetMode="External"/><Relationship Id="rId10" Type="http://schemas.openxmlformats.org/officeDocument/2006/relationships/hyperlink" Target="http://www2.ed.gov/about/reports/annual/2002report/index.html" TargetMode="External"/><Relationship Id="rId19" Type="http://schemas.openxmlformats.org/officeDocument/2006/relationships/hyperlink" Target="file:///C:\Users\Amanda.Amann\AppData\Local\Microsoft\Windows\Temporary%20Internet%20Files\Content.Outlook\ATAM92LP\www.bls.gov\news.release\ocwage.tn.htm" TargetMode="External"/><Relationship Id="rId31" Type="http://schemas.openxmlformats.org/officeDocument/2006/relationships/hyperlink" Target="file:///F:/users/zgrav/Downloads/www.insidehighered.com/news/2011/11/03/ky-attorney-general-jack-conway-battles-profits" TargetMode="External"/><Relationship Id="rId4" Type="http://schemas.openxmlformats.org/officeDocument/2006/relationships/hyperlink" Target="file:///F:/users/zgrav/Downloads/www.ag.ny.gov/press-release/ag-schneiderman-announces-groundbreaking-1025-million-dollar-settlement-profit" TargetMode="External"/><Relationship Id="rId9" Type="http://schemas.openxmlformats.org/officeDocument/2006/relationships/hyperlink" Target="http://www.psc.isr.umich.edu/people/profile/388/Sarah_E_Turner" TargetMode="External"/><Relationship Id="rId14" Type="http://schemas.openxmlformats.org/officeDocument/2006/relationships/hyperlink" Target="http://www.census.gov/people/wealth/files/Debt%20Highlights%202011.pdf" TargetMode="External"/><Relationship Id="rId22" Type="http://schemas.openxmlformats.org/officeDocument/2006/relationships/hyperlink" Target="https://oig.hhs.gov/oei/reports/oei-05-99-00391.pdf" TargetMode="External"/><Relationship Id="rId27" Type="http://schemas.openxmlformats.org/officeDocument/2006/relationships/hyperlink" Target="http://nces.ed.gov/programs/digest/d12/tables/dt12_222.asp" TargetMode="External"/><Relationship Id="rId30" Type="http://schemas.openxmlformats.org/officeDocument/2006/relationships/hyperlink" Target="http://chronicle.com/article/Attorneys-General-Take-Aim-at/131254/" TargetMode="External"/><Relationship Id="rId35" Type="http://schemas.openxmlformats.org/officeDocument/2006/relationships/hyperlink" Target="http://articles.latimes.com/2012/nov/12/opinion/la-oe-shakely-veterans-college-profit-2012111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2" Type="http://schemas.openxmlformats.org/officeDocument/2006/relationships/oleObject" Target="file:///C:\Users\poonam.ribadia\AppData\Local\Microsoft\Windows\Temporary%20Internet%20Files\Content.Outlook\M3KMBGC8\ria%20all%20tables%2010%2018%2014%2011%2036pm%20for%20poonam.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oonam.ribadia\AppData\Local\Microsoft\Windows\Temporary%20Internet%20Files\Content.Outlook\M3KMBGC8\ria%20all%20tables%2010%2018%2014%2011%2036pm%20for%20poon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'\Users\Brian.Fu\Documents\GE\[regression_results10_20.xlsx]demo1'!$N$4</c:f>
              <c:strCache>
                <c:ptCount val="1"/>
                <c:pt idx="0">
                  <c:v>pass_DTE</c:v>
                </c:pt>
              </c:strCache>
            </c:strRef>
          </c:tx>
          <c:invertIfNegative val="0"/>
          <c:cat>
            <c:strRef>
              <c:f>'\Users\Brian.Fu\Documents\GE\[regression_results10_20.xlsx]demo1'!$O$3:$W$3</c:f>
              <c:strCache>
                <c:ptCount val="9"/>
                <c:pt idx="0">
                  <c:v>White</c:v>
                </c:pt>
                <c:pt idx="1">
                  <c:v>Black</c:v>
                </c:pt>
                <c:pt idx="2">
                  <c:v>Hispanic</c:v>
                </c:pt>
                <c:pt idx="3">
                  <c:v>Pell</c:v>
                </c:pt>
                <c:pt idx="4">
                  <c:v>ZeroEFC</c:v>
                </c:pt>
                <c:pt idx="5">
                  <c:v>Female</c:v>
                </c:pt>
                <c:pt idx="6">
                  <c:v>Independent</c:v>
                </c:pt>
                <c:pt idx="7">
                  <c:v>Married</c:v>
                </c:pt>
                <c:pt idx="8">
                  <c:v>Mom_college</c:v>
                </c:pt>
              </c:strCache>
            </c:strRef>
          </c:cat>
          <c:val>
            <c:numRef>
              <c:f>'\Users\Brian.Fu\Documents\GE\[regression_results10_20.xlsx]demo1'!$O$4:$W$4</c:f>
              <c:numCache>
                <c:formatCode>General</c:formatCode>
                <c:ptCount val="9"/>
                <c:pt idx="0">
                  <c:v>57.30245</c:v>
                </c:pt>
                <c:pt idx="1">
                  <c:v>17.16835</c:v>
                </c:pt>
                <c:pt idx="2">
                  <c:v>19.70478</c:v>
                </c:pt>
                <c:pt idx="3">
                  <c:v>73.149609999999996</c:v>
                </c:pt>
                <c:pt idx="4">
                  <c:v>36.8003</c:v>
                </c:pt>
                <c:pt idx="5">
                  <c:v>59.842700000000001</c:v>
                </c:pt>
                <c:pt idx="6">
                  <c:v>52.397070710000001</c:v>
                </c:pt>
                <c:pt idx="7">
                  <c:v>22.555299999999999</c:v>
                </c:pt>
                <c:pt idx="8">
                  <c:v>27.464700000000001</c:v>
                </c:pt>
              </c:numCache>
            </c:numRef>
          </c:val>
        </c:ser>
        <c:ser>
          <c:idx val="1"/>
          <c:order val="1"/>
          <c:tx>
            <c:strRef>
              <c:f>'\Users\Brian.Fu\Documents\GE\[regression_results10_20.xlsx]demo1'!$N$5</c:f>
              <c:strCache>
                <c:ptCount val="1"/>
                <c:pt idx="0">
                  <c:v>zone_DTE</c:v>
                </c:pt>
              </c:strCache>
            </c:strRef>
          </c:tx>
          <c:invertIfNegative val="0"/>
          <c:cat>
            <c:strRef>
              <c:f>'\Users\Brian.Fu\Documents\GE\[regression_results10_20.xlsx]demo1'!$O$3:$W$3</c:f>
              <c:strCache>
                <c:ptCount val="9"/>
                <c:pt idx="0">
                  <c:v>White</c:v>
                </c:pt>
                <c:pt idx="1">
                  <c:v>Black</c:v>
                </c:pt>
                <c:pt idx="2">
                  <c:v>Hispanic</c:v>
                </c:pt>
                <c:pt idx="3">
                  <c:v>Pell</c:v>
                </c:pt>
                <c:pt idx="4">
                  <c:v>ZeroEFC</c:v>
                </c:pt>
                <c:pt idx="5">
                  <c:v>Female</c:v>
                </c:pt>
                <c:pt idx="6">
                  <c:v>Independent</c:v>
                </c:pt>
                <c:pt idx="7">
                  <c:v>Married</c:v>
                </c:pt>
                <c:pt idx="8">
                  <c:v>Mom_college</c:v>
                </c:pt>
              </c:strCache>
            </c:strRef>
          </c:cat>
          <c:val>
            <c:numRef>
              <c:f>'\Users\Brian.Fu\Documents\GE\[regression_results10_20.xlsx]demo1'!$O$5:$W$5</c:f>
              <c:numCache>
                <c:formatCode>General</c:formatCode>
                <c:ptCount val="9"/>
                <c:pt idx="0">
                  <c:v>51.875279999999997</c:v>
                </c:pt>
                <c:pt idx="1">
                  <c:v>22.590530000000001</c:v>
                </c:pt>
                <c:pt idx="2">
                  <c:v>20.14029</c:v>
                </c:pt>
                <c:pt idx="3">
                  <c:v>75.04777</c:v>
                </c:pt>
                <c:pt idx="4">
                  <c:v>39.746200000000002</c:v>
                </c:pt>
                <c:pt idx="5">
                  <c:v>67.279499999999999</c:v>
                </c:pt>
                <c:pt idx="6">
                  <c:v>51.72336112</c:v>
                </c:pt>
                <c:pt idx="7">
                  <c:v>18.9468</c:v>
                </c:pt>
                <c:pt idx="8">
                  <c:v>28.611699999999999</c:v>
                </c:pt>
              </c:numCache>
            </c:numRef>
          </c:val>
        </c:ser>
        <c:ser>
          <c:idx val="2"/>
          <c:order val="2"/>
          <c:tx>
            <c:strRef>
              <c:f>'\Users\Brian.Fu\Documents\GE\[regression_results10_20.xlsx]demo1'!$N$6</c:f>
              <c:strCache>
                <c:ptCount val="1"/>
                <c:pt idx="0">
                  <c:v>fail_DTE</c:v>
                </c:pt>
              </c:strCache>
            </c:strRef>
          </c:tx>
          <c:invertIfNegative val="0"/>
          <c:cat>
            <c:strRef>
              <c:f>'\Users\Brian.Fu\Documents\GE\[regression_results10_20.xlsx]demo1'!$O$3:$W$3</c:f>
              <c:strCache>
                <c:ptCount val="9"/>
                <c:pt idx="0">
                  <c:v>White</c:v>
                </c:pt>
                <c:pt idx="1">
                  <c:v>Black</c:v>
                </c:pt>
                <c:pt idx="2">
                  <c:v>Hispanic</c:v>
                </c:pt>
                <c:pt idx="3">
                  <c:v>Pell</c:v>
                </c:pt>
                <c:pt idx="4">
                  <c:v>ZeroEFC</c:v>
                </c:pt>
                <c:pt idx="5">
                  <c:v>Female</c:v>
                </c:pt>
                <c:pt idx="6">
                  <c:v>Independent</c:v>
                </c:pt>
                <c:pt idx="7">
                  <c:v>Married</c:v>
                </c:pt>
                <c:pt idx="8">
                  <c:v>Mom_college</c:v>
                </c:pt>
              </c:strCache>
            </c:strRef>
          </c:cat>
          <c:val>
            <c:numRef>
              <c:f>'\Users\Brian.Fu\Documents\GE\[regression_results10_20.xlsx]demo1'!$O$6:$W$6</c:f>
              <c:numCache>
                <c:formatCode>General</c:formatCode>
                <c:ptCount val="9"/>
                <c:pt idx="0">
                  <c:v>59.407879999999999</c:v>
                </c:pt>
                <c:pt idx="1">
                  <c:v>20.81034</c:v>
                </c:pt>
                <c:pt idx="2">
                  <c:v>15.01516</c:v>
                </c:pt>
                <c:pt idx="3">
                  <c:v>74.404560000000004</c:v>
                </c:pt>
                <c:pt idx="4">
                  <c:v>35.810699999999997</c:v>
                </c:pt>
                <c:pt idx="5">
                  <c:v>63.863799999999998</c:v>
                </c:pt>
                <c:pt idx="6">
                  <c:v>48.748165870000001</c:v>
                </c:pt>
                <c:pt idx="7">
                  <c:v>18.5198</c:v>
                </c:pt>
                <c:pt idx="8">
                  <c:v>31.552800000000001</c:v>
                </c:pt>
              </c:numCache>
            </c:numRef>
          </c:val>
        </c:ser>
        <c:dLbls>
          <c:showLegendKey val="0"/>
          <c:showVal val="0"/>
          <c:showCatName val="0"/>
          <c:showSerName val="0"/>
          <c:showPercent val="0"/>
          <c:showBubbleSize val="0"/>
        </c:dLbls>
        <c:gapWidth val="150"/>
        <c:axId val="113241472"/>
        <c:axId val="165242368"/>
      </c:barChart>
      <c:catAx>
        <c:axId val="113241472"/>
        <c:scaling>
          <c:orientation val="minMax"/>
        </c:scaling>
        <c:delete val="0"/>
        <c:axPos val="b"/>
        <c:title>
          <c:tx>
            <c:rich>
              <a:bodyPr/>
              <a:lstStyle/>
              <a:p>
                <a:pPr>
                  <a:defRPr/>
                </a:pPr>
                <a:r>
                  <a:rPr lang="en-US"/>
                  <a:t>demographic variable</a:t>
                </a:r>
              </a:p>
            </c:rich>
          </c:tx>
          <c:overlay val="0"/>
        </c:title>
        <c:majorTickMark val="out"/>
        <c:minorTickMark val="none"/>
        <c:tickLblPos val="nextTo"/>
        <c:crossAx val="165242368"/>
        <c:crosses val="autoZero"/>
        <c:auto val="1"/>
        <c:lblAlgn val="ctr"/>
        <c:lblOffset val="100"/>
        <c:noMultiLvlLbl val="0"/>
      </c:catAx>
      <c:valAx>
        <c:axId val="165242368"/>
        <c:scaling>
          <c:orientation val="minMax"/>
        </c:scaling>
        <c:delete val="0"/>
        <c:axPos val="l"/>
        <c:majorGridlines>
          <c:spPr>
            <a:ln>
              <a:noFill/>
            </a:ln>
          </c:spPr>
        </c:majorGridlines>
        <c:title>
          <c:tx>
            <c:rich>
              <a:bodyPr rot="-5400000" vert="horz"/>
              <a:lstStyle/>
              <a:p>
                <a:pPr>
                  <a:defRPr/>
                </a:pPr>
                <a:r>
                  <a:rPr lang="en-US"/>
                  <a:t>average</a:t>
                </a:r>
                <a:r>
                  <a:rPr lang="en-US" baseline="0"/>
                  <a:t> % per program</a:t>
                </a:r>
                <a:endParaRPr lang="en-US"/>
              </a:p>
            </c:rich>
          </c:tx>
          <c:overlay val="0"/>
        </c:title>
        <c:numFmt formatCode="General" sourceLinked="1"/>
        <c:majorTickMark val="out"/>
        <c:minorTickMark val="none"/>
        <c:tickLblPos val="nextTo"/>
        <c:crossAx val="11324147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'36- zone disagg'!$C$20:$E$20</c:f>
              <c:strCache>
                <c:ptCount val="3"/>
                <c:pt idx="0">
                  <c:v>Zone ADTE &amp; DDTE</c:v>
                </c:pt>
                <c:pt idx="1">
                  <c:v>zone ADTE &amp; fail DDTE</c:v>
                </c:pt>
                <c:pt idx="2">
                  <c:v>Zone DDTE &amp; Fail ADTE</c:v>
                </c:pt>
              </c:strCache>
            </c:strRef>
          </c:cat>
          <c:val>
            <c:numRef>
              <c:f>'36- zone disagg'!$C$21:$E$21</c:f>
              <c:numCache>
                <c:formatCode>#,##0</c:formatCode>
                <c:ptCount val="3"/>
                <c:pt idx="0">
                  <c:v>131</c:v>
                </c:pt>
                <c:pt idx="1">
                  <c:v>767</c:v>
                </c:pt>
                <c:pt idx="2">
                  <c:v>30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dLblPos val="outEnd"/>
            <c:showLegendKey val="0"/>
            <c:showVal val="1"/>
            <c:showCatName val="0"/>
            <c:showSerName val="0"/>
            <c:showPercent val="0"/>
            <c:showBubbleSize val="0"/>
            <c:showLeaderLines val="1"/>
          </c:dLbls>
          <c:cat>
            <c:strRef>
              <c:f>'41- ihe results'!$B$6:$C$6</c:f>
              <c:strCache>
                <c:ptCount val="2"/>
                <c:pt idx="0">
                  <c:v>OPEIDs w/ all pass programs</c:v>
                </c:pt>
                <c:pt idx="1">
                  <c:v>OPEIDs w/ at least 1 fail or zone program</c:v>
                </c:pt>
              </c:strCache>
            </c:strRef>
          </c:cat>
          <c:val>
            <c:numRef>
              <c:f>'41- ihe results'!$B$7:$C$7</c:f>
              <c:numCache>
                <c:formatCode>#,##0</c:formatCode>
                <c:ptCount val="2"/>
                <c:pt idx="0">
                  <c:v>1560</c:v>
                </c:pt>
                <c:pt idx="1">
                  <c:v>586</c:v>
                </c:pt>
              </c:numCache>
            </c:numRef>
          </c:val>
        </c:ser>
        <c:dLbls>
          <c:dLblPos val="outEnd"/>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dLblPos val="outEnd"/>
            <c:showLegendKey val="0"/>
            <c:showVal val="1"/>
            <c:showCatName val="0"/>
            <c:showSerName val="0"/>
            <c:showPercent val="0"/>
            <c:showBubbleSize val="0"/>
            <c:showLeaderLines val="1"/>
          </c:dLbls>
          <c:cat>
            <c:strRef>
              <c:f>'42- ihe ZF prog ct'!$A$6:$B$6</c:f>
              <c:strCache>
                <c:ptCount val="2"/>
                <c:pt idx="0">
                  <c:v>Other OPEIDs </c:v>
                </c:pt>
                <c:pt idx="1">
                  <c:v>OPEIDs responsible for 90%  fail &amp; zone programs </c:v>
                </c:pt>
              </c:strCache>
            </c:strRef>
          </c:cat>
          <c:val>
            <c:numRef>
              <c:f>'42- ihe ZF prog ct'!$A$7:$B$7</c:f>
              <c:numCache>
                <c:formatCode>General</c:formatCode>
                <c:ptCount val="2"/>
                <c:pt idx="0">
                  <c:v>1705</c:v>
                </c:pt>
                <c:pt idx="1">
                  <c:v>441</c:v>
                </c:pt>
              </c:numCache>
            </c:numRef>
          </c:val>
        </c:ser>
        <c:dLbls>
          <c:dLblPos val="outEnd"/>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'43- ihe ZF t4 ct'!$A$6:$B$6</c:f>
              <c:strCache>
                <c:ptCount val="2"/>
                <c:pt idx="0">
                  <c:v>Other OPEIDs</c:v>
                </c:pt>
                <c:pt idx="1">
                  <c:v>OPEIDs Responsible for 90% t4 Students in Fail &amp; Zone Programs </c:v>
                </c:pt>
              </c:strCache>
            </c:strRef>
          </c:cat>
          <c:val>
            <c:numRef>
              <c:f>'43- ihe ZF t4 ct'!$A$7:$B$7</c:f>
              <c:numCache>
                <c:formatCode>General</c:formatCode>
                <c:ptCount val="2"/>
                <c:pt idx="0">
                  <c:v>1964</c:v>
                </c:pt>
                <c:pt idx="1">
                  <c:v>182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'62- interest rates impact'!$A$6</c:f>
              <c:strCache>
                <c:ptCount val="1"/>
                <c:pt idx="0">
                  <c:v>Passing Programs</c:v>
                </c:pt>
              </c:strCache>
            </c:strRef>
          </c:tx>
          <c:invertIfNegative val="0"/>
          <c:cat>
            <c:strRef>
              <c:f>'62- interest rates impact'!$B$5:$H$5</c:f>
              <c:strCache>
                <c:ptCount val="7"/>
                <c:pt idx="0">
                  <c:v>3% Interest Rate</c:v>
                </c:pt>
                <c:pt idx="1">
                  <c:v>4% Interest Rate</c:v>
                </c:pt>
                <c:pt idx="2">
                  <c:v>5% Interest Rate</c:v>
                </c:pt>
                <c:pt idx="3">
                  <c:v>6% Interest Rate</c:v>
                </c:pt>
                <c:pt idx="4">
                  <c:v>7% Interest Rate</c:v>
                </c:pt>
                <c:pt idx="5">
                  <c:v>8% Interest Rate</c:v>
                </c:pt>
                <c:pt idx="6">
                  <c:v>9%Interest Rate</c:v>
                </c:pt>
              </c:strCache>
            </c:strRef>
          </c:cat>
          <c:val>
            <c:numRef>
              <c:f>'62- interest rates impact'!$B$6:$H$6</c:f>
              <c:numCache>
                <c:formatCode>#,##0</c:formatCode>
                <c:ptCount val="7"/>
                <c:pt idx="0">
                  <c:v>4564</c:v>
                </c:pt>
                <c:pt idx="1">
                  <c:v>4454</c:v>
                </c:pt>
                <c:pt idx="2">
                  <c:v>4325</c:v>
                </c:pt>
                <c:pt idx="3">
                  <c:v>4199</c:v>
                </c:pt>
                <c:pt idx="4">
                  <c:v>4049</c:v>
                </c:pt>
                <c:pt idx="5">
                  <c:v>3939</c:v>
                </c:pt>
                <c:pt idx="6">
                  <c:v>3806</c:v>
                </c:pt>
              </c:numCache>
            </c:numRef>
          </c:val>
        </c:ser>
        <c:ser>
          <c:idx val="1"/>
          <c:order val="1"/>
          <c:tx>
            <c:strRef>
              <c:f>'62- interest rates impact'!$A$7</c:f>
              <c:strCache>
                <c:ptCount val="1"/>
                <c:pt idx="0">
                  <c:v>Zone Programs</c:v>
                </c:pt>
              </c:strCache>
            </c:strRef>
          </c:tx>
          <c:invertIfNegative val="0"/>
          <c:cat>
            <c:strRef>
              <c:f>'62- interest rates impact'!$B$5:$H$5</c:f>
              <c:strCache>
                <c:ptCount val="7"/>
                <c:pt idx="0">
                  <c:v>3% Interest Rate</c:v>
                </c:pt>
                <c:pt idx="1">
                  <c:v>4% Interest Rate</c:v>
                </c:pt>
                <c:pt idx="2">
                  <c:v>5% Interest Rate</c:v>
                </c:pt>
                <c:pt idx="3">
                  <c:v>6% Interest Rate</c:v>
                </c:pt>
                <c:pt idx="4">
                  <c:v>7% Interest Rate</c:v>
                </c:pt>
                <c:pt idx="5">
                  <c:v>8% Interest Rate</c:v>
                </c:pt>
                <c:pt idx="6">
                  <c:v>9%Interest Rate</c:v>
                </c:pt>
              </c:strCache>
            </c:strRef>
          </c:cat>
          <c:val>
            <c:numRef>
              <c:f>'62- interest rates impact'!$B$7:$H$7</c:f>
              <c:numCache>
                <c:formatCode>General</c:formatCode>
                <c:ptCount val="7"/>
                <c:pt idx="0">
                  <c:v>668</c:v>
                </c:pt>
                <c:pt idx="1">
                  <c:v>725</c:v>
                </c:pt>
                <c:pt idx="2">
                  <c:v>792</c:v>
                </c:pt>
                <c:pt idx="3">
                  <c:v>848</c:v>
                </c:pt>
                <c:pt idx="4">
                  <c:v>941</c:v>
                </c:pt>
                <c:pt idx="5">
                  <c:v>974</c:v>
                </c:pt>
                <c:pt idx="6" formatCode="#,##0">
                  <c:v>1032</c:v>
                </c:pt>
              </c:numCache>
            </c:numRef>
          </c:val>
        </c:ser>
        <c:ser>
          <c:idx val="2"/>
          <c:order val="2"/>
          <c:tx>
            <c:strRef>
              <c:f>'62- interest rates impact'!$A$8</c:f>
              <c:strCache>
                <c:ptCount val="1"/>
                <c:pt idx="0">
                  <c:v>Failing Programs</c:v>
                </c:pt>
              </c:strCache>
            </c:strRef>
          </c:tx>
          <c:invertIfNegative val="0"/>
          <c:cat>
            <c:strRef>
              <c:f>'62- interest rates impact'!$B$5:$H$5</c:f>
              <c:strCache>
                <c:ptCount val="7"/>
                <c:pt idx="0">
                  <c:v>3% Interest Rate</c:v>
                </c:pt>
                <c:pt idx="1">
                  <c:v>4% Interest Rate</c:v>
                </c:pt>
                <c:pt idx="2">
                  <c:v>5% Interest Rate</c:v>
                </c:pt>
                <c:pt idx="3">
                  <c:v>6% Interest Rate</c:v>
                </c:pt>
                <c:pt idx="4">
                  <c:v>7% Interest Rate</c:v>
                </c:pt>
                <c:pt idx="5">
                  <c:v>8% Interest Rate</c:v>
                </c:pt>
                <c:pt idx="6">
                  <c:v>9%Interest Rate</c:v>
                </c:pt>
              </c:strCache>
            </c:strRef>
          </c:cat>
          <c:val>
            <c:numRef>
              <c:f>'62- interest rates impact'!$B$8:$H$8</c:f>
              <c:numCache>
                <c:formatCode>General</c:formatCode>
                <c:ptCount val="7"/>
                <c:pt idx="0">
                  <c:v>307</c:v>
                </c:pt>
                <c:pt idx="1">
                  <c:v>360</c:v>
                </c:pt>
                <c:pt idx="2">
                  <c:v>422</c:v>
                </c:pt>
                <c:pt idx="3">
                  <c:v>492</c:v>
                </c:pt>
                <c:pt idx="4">
                  <c:v>549</c:v>
                </c:pt>
                <c:pt idx="5">
                  <c:v>626</c:v>
                </c:pt>
                <c:pt idx="6">
                  <c:v>701</c:v>
                </c:pt>
              </c:numCache>
            </c:numRef>
          </c:val>
        </c:ser>
        <c:dLbls>
          <c:showLegendKey val="0"/>
          <c:showVal val="0"/>
          <c:showCatName val="0"/>
          <c:showSerName val="0"/>
          <c:showPercent val="0"/>
          <c:showBubbleSize val="0"/>
        </c:dLbls>
        <c:gapWidth val="150"/>
        <c:overlap val="100"/>
        <c:axId val="166141952"/>
        <c:axId val="166143488"/>
      </c:barChart>
      <c:catAx>
        <c:axId val="166141952"/>
        <c:scaling>
          <c:orientation val="minMax"/>
        </c:scaling>
        <c:delete val="0"/>
        <c:axPos val="l"/>
        <c:majorTickMark val="out"/>
        <c:minorTickMark val="none"/>
        <c:tickLblPos val="nextTo"/>
        <c:crossAx val="166143488"/>
        <c:crosses val="autoZero"/>
        <c:auto val="1"/>
        <c:lblAlgn val="ctr"/>
        <c:lblOffset val="100"/>
        <c:noMultiLvlLbl val="0"/>
      </c:catAx>
      <c:valAx>
        <c:axId val="166143488"/>
        <c:scaling>
          <c:orientation val="minMax"/>
        </c:scaling>
        <c:delete val="0"/>
        <c:axPos val="b"/>
        <c:majorGridlines/>
        <c:numFmt formatCode="0%" sourceLinked="1"/>
        <c:majorTickMark val="out"/>
        <c:minorTickMark val="none"/>
        <c:tickLblPos val="nextTo"/>
        <c:crossAx val="166141952"/>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percentStacked"/>
        <c:varyColors val="0"/>
        <c:ser>
          <c:idx val="0"/>
          <c:order val="0"/>
          <c:tx>
            <c:strRef>
              <c:f>'66- DE 12-30'!$B$8</c:f>
              <c:strCache>
                <c:ptCount val="1"/>
                <c:pt idx="0">
                  <c:v>Pass</c:v>
                </c:pt>
              </c:strCache>
            </c:strRef>
          </c:tx>
          <c:invertIfNegative val="0"/>
          <c:dLbls>
            <c:showLegendKey val="0"/>
            <c:showVal val="1"/>
            <c:showCatName val="0"/>
            <c:showSerName val="0"/>
            <c:showPercent val="0"/>
            <c:showBubbleSize val="0"/>
            <c:showLeaderLines val="0"/>
          </c:dLbls>
          <c:cat>
            <c:multiLvlStrRef>
              <c:f>'66- DE 12-30'!$C$6:$F$7</c:f>
              <c:multiLvlStrCache>
                <c:ptCount val="4"/>
                <c:lvl>
                  <c:pt idx="0">
                    <c:v>Programs</c:v>
                  </c:pt>
                  <c:pt idx="1">
                    <c:v>Enrollment</c:v>
                  </c:pt>
                  <c:pt idx="2">
                    <c:v>Programs</c:v>
                  </c:pt>
                  <c:pt idx="3">
                    <c:v>Enrollment</c:v>
                  </c:pt>
                </c:lvl>
                <c:lvl>
                  <c:pt idx="0">
                    <c:v>12/30 no zone</c:v>
                  </c:pt>
                  <c:pt idx="2">
                    <c:v>8/20 w/ zone</c:v>
                  </c:pt>
                </c:lvl>
              </c:multiLvlStrCache>
            </c:multiLvlStrRef>
          </c:cat>
          <c:val>
            <c:numRef>
              <c:f>'66- DE 12-30'!$C$8:$F$8</c:f>
              <c:numCache>
                <c:formatCode>#,##0</c:formatCode>
                <c:ptCount val="4"/>
                <c:pt idx="0">
                  <c:v>5022</c:v>
                </c:pt>
                <c:pt idx="1">
                  <c:v>2133520</c:v>
                </c:pt>
                <c:pt idx="2">
                  <c:v>4094</c:v>
                </c:pt>
                <c:pt idx="3">
                  <c:v>1679616</c:v>
                </c:pt>
              </c:numCache>
            </c:numRef>
          </c:val>
        </c:ser>
        <c:ser>
          <c:idx val="1"/>
          <c:order val="1"/>
          <c:tx>
            <c:strRef>
              <c:f>'66- DE 12-30'!$B$9</c:f>
              <c:strCache>
                <c:ptCount val="1"/>
                <c:pt idx="0">
                  <c:v>Zone</c:v>
                </c:pt>
              </c:strCache>
            </c:strRef>
          </c:tx>
          <c:invertIfNegative val="0"/>
          <c:dLbls>
            <c:dLbl>
              <c:idx val="0"/>
              <c:delete val="1"/>
            </c:dLbl>
            <c:dLbl>
              <c:idx val="1"/>
              <c:delete val="1"/>
            </c:dLbl>
            <c:showLegendKey val="0"/>
            <c:showVal val="1"/>
            <c:showCatName val="0"/>
            <c:showSerName val="0"/>
            <c:showPercent val="0"/>
            <c:showBubbleSize val="0"/>
            <c:showLeaderLines val="0"/>
          </c:dLbls>
          <c:cat>
            <c:multiLvlStrRef>
              <c:f>'66- DE 12-30'!$C$6:$F$7</c:f>
              <c:multiLvlStrCache>
                <c:ptCount val="4"/>
                <c:lvl>
                  <c:pt idx="0">
                    <c:v>Programs</c:v>
                  </c:pt>
                  <c:pt idx="1">
                    <c:v>Enrollment</c:v>
                  </c:pt>
                  <c:pt idx="2">
                    <c:v>Programs</c:v>
                  </c:pt>
                  <c:pt idx="3">
                    <c:v>Enrollment</c:v>
                  </c:pt>
                </c:lvl>
                <c:lvl>
                  <c:pt idx="0">
                    <c:v>12/30 no zone</c:v>
                  </c:pt>
                  <c:pt idx="2">
                    <c:v>8/20 w/ zone</c:v>
                  </c:pt>
                </c:lvl>
              </c:multiLvlStrCache>
            </c:multiLvlStrRef>
          </c:cat>
          <c:val>
            <c:numRef>
              <c:f>'66- DE 12-30'!$C$9:$F$9</c:f>
              <c:numCache>
                <c:formatCode>General</c:formatCode>
                <c:ptCount val="4"/>
                <c:pt idx="0">
                  <c:v>0</c:v>
                </c:pt>
                <c:pt idx="1">
                  <c:v>0</c:v>
                </c:pt>
                <c:pt idx="2" formatCode="#,##0">
                  <c:v>928</c:v>
                </c:pt>
                <c:pt idx="3" formatCode="#,##0">
                  <c:v>453904</c:v>
                </c:pt>
              </c:numCache>
            </c:numRef>
          </c:val>
        </c:ser>
        <c:ser>
          <c:idx val="2"/>
          <c:order val="2"/>
          <c:tx>
            <c:strRef>
              <c:f>'66- DE 12-30'!$B$10</c:f>
              <c:strCache>
                <c:ptCount val="1"/>
                <c:pt idx="0">
                  <c:v>Fail</c:v>
                </c:pt>
              </c:strCache>
            </c:strRef>
          </c:tx>
          <c:invertIfNegative val="0"/>
          <c:dLbls>
            <c:showLegendKey val="0"/>
            <c:showVal val="1"/>
            <c:showCatName val="0"/>
            <c:showSerName val="0"/>
            <c:showPercent val="0"/>
            <c:showBubbleSize val="0"/>
            <c:showLeaderLines val="0"/>
          </c:dLbls>
          <c:cat>
            <c:multiLvlStrRef>
              <c:f>'66- DE 12-30'!$C$6:$F$7</c:f>
              <c:multiLvlStrCache>
                <c:ptCount val="4"/>
                <c:lvl>
                  <c:pt idx="0">
                    <c:v>Programs</c:v>
                  </c:pt>
                  <c:pt idx="1">
                    <c:v>Enrollment</c:v>
                  </c:pt>
                  <c:pt idx="2">
                    <c:v>Programs</c:v>
                  </c:pt>
                  <c:pt idx="3">
                    <c:v>Enrollment</c:v>
                  </c:pt>
                </c:lvl>
                <c:lvl>
                  <c:pt idx="0">
                    <c:v>12/30 no zone</c:v>
                  </c:pt>
                  <c:pt idx="2">
                    <c:v>8/20 w/ zone</c:v>
                  </c:pt>
                </c:lvl>
              </c:multiLvlStrCache>
            </c:multiLvlStrRef>
          </c:cat>
          <c:val>
            <c:numRef>
              <c:f>'66- DE 12-30'!$C$10:$F$10</c:f>
              <c:numCache>
                <c:formatCode>#,##0</c:formatCode>
                <c:ptCount val="4"/>
                <c:pt idx="0">
                  <c:v>517</c:v>
                </c:pt>
                <c:pt idx="1">
                  <c:v>387763</c:v>
                </c:pt>
                <c:pt idx="2">
                  <c:v>517</c:v>
                </c:pt>
                <c:pt idx="3">
                  <c:v>387763</c:v>
                </c:pt>
              </c:numCache>
            </c:numRef>
          </c:val>
        </c:ser>
        <c:dLbls>
          <c:showLegendKey val="0"/>
          <c:showVal val="0"/>
          <c:showCatName val="0"/>
          <c:showSerName val="0"/>
          <c:showPercent val="0"/>
          <c:showBubbleSize val="0"/>
        </c:dLbls>
        <c:gapWidth val="150"/>
        <c:overlap val="100"/>
        <c:axId val="166174720"/>
        <c:axId val="166176256"/>
      </c:barChart>
      <c:catAx>
        <c:axId val="166174720"/>
        <c:scaling>
          <c:orientation val="minMax"/>
        </c:scaling>
        <c:delete val="0"/>
        <c:axPos val="l"/>
        <c:majorTickMark val="out"/>
        <c:minorTickMark val="none"/>
        <c:tickLblPos val="nextTo"/>
        <c:crossAx val="166176256"/>
        <c:crosses val="autoZero"/>
        <c:auto val="1"/>
        <c:lblAlgn val="ctr"/>
        <c:lblOffset val="100"/>
        <c:noMultiLvlLbl val="0"/>
      </c:catAx>
      <c:valAx>
        <c:axId val="166176256"/>
        <c:scaling>
          <c:orientation val="minMax"/>
        </c:scaling>
        <c:delete val="0"/>
        <c:axPos val="b"/>
        <c:majorGridlines/>
        <c:numFmt formatCode="0%" sourceLinked="1"/>
        <c:majorTickMark val="out"/>
        <c:minorTickMark val="none"/>
        <c:tickLblPos val="nextTo"/>
        <c:crossAx val="1661747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'ba white'!$B$5</c:f>
              <c:strCache>
                <c:ptCount val="1"/>
                <c:pt idx="0">
                  <c:v>Pass</c:v>
                </c:pt>
              </c:strCache>
            </c:strRef>
          </c:tx>
          <c:invertIfNegative val="0"/>
          <c:dLbls>
            <c:showLegendKey val="0"/>
            <c:showVal val="1"/>
            <c:showCatName val="0"/>
            <c:showSerName val="0"/>
            <c:showPercent val="0"/>
            <c:showBubbleSize val="0"/>
            <c:showLeaderLines val="0"/>
          </c:dLbls>
          <c:cat>
            <c:strRef>
              <c:f>'ba white'!$A$6:$A$9</c:f>
              <c:strCache>
                <c:ptCount val="4"/>
                <c:pt idx="0">
                  <c:v>First quartile</c:v>
                </c:pt>
                <c:pt idx="1">
                  <c:v>Second quartile</c:v>
                </c:pt>
                <c:pt idx="2">
                  <c:v>Third quartile</c:v>
                </c:pt>
                <c:pt idx="3">
                  <c:v>Fourth quartile</c:v>
                </c:pt>
              </c:strCache>
            </c:strRef>
          </c:cat>
          <c:val>
            <c:numRef>
              <c:f>'ba white'!$B$6:$B$9</c:f>
              <c:numCache>
                <c:formatCode>0%</c:formatCode>
                <c:ptCount val="4"/>
                <c:pt idx="0">
                  <c:v>0.75</c:v>
                </c:pt>
                <c:pt idx="1">
                  <c:v>0.70673076923076927</c:v>
                </c:pt>
                <c:pt idx="2">
                  <c:v>0.73428571428571432</c:v>
                </c:pt>
                <c:pt idx="3">
                  <c:v>0.81545893719806761</c:v>
                </c:pt>
              </c:numCache>
            </c:numRef>
          </c:val>
        </c:ser>
        <c:ser>
          <c:idx val="1"/>
          <c:order val="1"/>
          <c:tx>
            <c:strRef>
              <c:f>'ba white'!$C$5</c:f>
              <c:strCache>
                <c:ptCount val="1"/>
                <c:pt idx="0">
                  <c:v>Zone</c:v>
                </c:pt>
              </c:strCache>
            </c:strRef>
          </c:tx>
          <c:invertIfNegative val="0"/>
          <c:dLbls>
            <c:showLegendKey val="0"/>
            <c:showVal val="1"/>
            <c:showCatName val="0"/>
            <c:showSerName val="0"/>
            <c:showPercent val="0"/>
            <c:showBubbleSize val="0"/>
            <c:showLeaderLines val="0"/>
          </c:dLbls>
          <c:cat>
            <c:strRef>
              <c:f>'ba white'!$A$6:$A$9</c:f>
              <c:strCache>
                <c:ptCount val="4"/>
                <c:pt idx="0">
                  <c:v>First quartile</c:v>
                </c:pt>
                <c:pt idx="1">
                  <c:v>Second quartile</c:v>
                </c:pt>
                <c:pt idx="2">
                  <c:v>Third quartile</c:v>
                </c:pt>
                <c:pt idx="3">
                  <c:v>Fourth quartile</c:v>
                </c:pt>
              </c:strCache>
            </c:strRef>
          </c:cat>
          <c:val>
            <c:numRef>
              <c:f>'ba white'!$C$6:$C$9</c:f>
              <c:numCache>
                <c:formatCode>0%</c:formatCode>
                <c:ptCount val="4"/>
                <c:pt idx="0">
                  <c:v>0.18416030534351144</c:v>
                </c:pt>
                <c:pt idx="1">
                  <c:v>0.18173076923076922</c:v>
                </c:pt>
                <c:pt idx="2">
                  <c:v>0.15047619047619049</c:v>
                </c:pt>
                <c:pt idx="3">
                  <c:v>0.11400966183574879</c:v>
                </c:pt>
              </c:numCache>
            </c:numRef>
          </c:val>
        </c:ser>
        <c:ser>
          <c:idx val="2"/>
          <c:order val="2"/>
          <c:tx>
            <c:strRef>
              <c:f>'ba white'!$D$5</c:f>
              <c:strCache>
                <c:ptCount val="1"/>
                <c:pt idx="0">
                  <c:v>Fail</c:v>
                </c:pt>
              </c:strCache>
            </c:strRef>
          </c:tx>
          <c:invertIfNegative val="0"/>
          <c:dLbls>
            <c:showLegendKey val="0"/>
            <c:showVal val="1"/>
            <c:showCatName val="0"/>
            <c:showSerName val="0"/>
            <c:showPercent val="0"/>
            <c:showBubbleSize val="0"/>
            <c:showLeaderLines val="0"/>
          </c:dLbls>
          <c:cat>
            <c:strRef>
              <c:f>'ba white'!$A$6:$A$9</c:f>
              <c:strCache>
                <c:ptCount val="4"/>
                <c:pt idx="0">
                  <c:v>First quartile</c:v>
                </c:pt>
                <c:pt idx="1">
                  <c:v>Second quartile</c:v>
                </c:pt>
                <c:pt idx="2">
                  <c:v>Third quartile</c:v>
                </c:pt>
                <c:pt idx="3">
                  <c:v>Fourth quartile</c:v>
                </c:pt>
              </c:strCache>
            </c:strRef>
          </c:cat>
          <c:val>
            <c:numRef>
              <c:f>'ba white'!$D$6:$D$9</c:f>
              <c:numCache>
                <c:formatCode>0%</c:formatCode>
                <c:ptCount val="4"/>
                <c:pt idx="0">
                  <c:v>6.5839694656488548E-2</c:v>
                </c:pt>
                <c:pt idx="1">
                  <c:v>0.11153846153846154</c:v>
                </c:pt>
                <c:pt idx="2">
                  <c:v>0.11523809523809524</c:v>
                </c:pt>
                <c:pt idx="3">
                  <c:v>7.0531400966183572E-2</c:v>
                </c:pt>
              </c:numCache>
            </c:numRef>
          </c:val>
        </c:ser>
        <c:dLbls>
          <c:showLegendKey val="0"/>
          <c:showVal val="0"/>
          <c:showCatName val="0"/>
          <c:showSerName val="0"/>
          <c:showPercent val="0"/>
          <c:showBubbleSize val="0"/>
        </c:dLbls>
        <c:gapWidth val="150"/>
        <c:overlap val="100"/>
        <c:axId val="165261696"/>
        <c:axId val="165263232"/>
      </c:barChart>
      <c:catAx>
        <c:axId val="165261696"/>
        <c:scaling>
          <c:orientation val="minMax"/>
        </c:scaling>
        <c:delete val="0"/>
        <c:axPos val="b"/>
        <c:numFmt formatCode="General" sourceLinked="1"/>
        <c:majorTickMark val="out"/>
        <c:minorTickMark val="none"/>
        <c:tickLblPos val="nextTo"/>
        <c:crossAx val="165263232"/>
        <c:crosses val="autoZero"/>
        <c:auto val="1"/>
        <c:lblAlgn val="ctr"/>
        <c:lblOffset val="100"/>
        <c:noMultiLvlLbl val="0"/>
      </c:catAx>
      <c:valAx>
        <c:axId val="165263232"/>
        <c:scaling>
          <c:orientation val="minMax"/>
          <c:max val="1"/>
          <c:min val="0"/>
        </c:scaling>
        <c:delete val="0"/>
        <c:axPos val="l"/>
        <c:majorGridlines/>
        <c:numFmt formatCode="0%" sourceLinked="1"/>
        <c:majorTickMark val="out"/>
        <c:minorTickMark val="none"/>
        <c:tickLblPos val="nextTo"/>
        <c:crossAx val="1652616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'bb black'!$B$5</c:f>
              <c:strCache>
                <c:ptCount val="1"/>
                <c:pt idx="0">
                  <c:v>Pass</c:v>
                </c:pt>
              </c:strCache>
            </c:strRef>
          </c:tx>
          <c:invertIfNegative val="0"/>
          <c:dLbls>
            <c:showLegendKey val="0"/>
            <c:showVal val="1"/>
            <c:showCatName val="0"/>
            <c:showSerName val="0"/>
            <c:showPercent val="0"/>
            <c:showBubbleSize val="0"/>
            <c:showLeaderLines val="0"/>
          </c:dLbls>
          <c:cat>
            <c:strRef>
              <c:f>'bb black'!$A$6:$A$9</c:f>
              <c:strCache>
                <c:ptCount val="4"/>
                <c:pt idx="0">
                  <c:v>First quartile</c:v>
                </c:pt>
                <c:pt idx="1">
                  <c:v>Second quartile</c:v>
                </c:pt>
                <c:pt idx="2">
                  <c:v>Third quartile</c:v>
                </c:pt>
                <c:pt idx="3">
                  <c:v>Fourth quartile</c:v>
                </c:pt>
              </c:strCache>
            </c:strRef>
          </c:cat>
          <c:val>
            <c:numRef>
              <c:f>'bb black'!$B$6:$B$9</c:f>
              <c:numCache>
                <c:formatCode>0%</c:formatCode>
                <c:ptCount val="4"/>
                <c:pt idx="0">
                  <c:v>0.82950191570881227</c:v>
                </c:pt>
                <c:pt idx="1">
                  <c:v>0.75858778625954193</c:v>
                </c:pt>
                <c:pt idx="2">
                  <c:v>0.71701720841300187</c:v>
                </c:pt>
                <c:pt idx="3">
                  <c:v>0.70048309178743962</c:v>
                </c:pt>
              </c:numCache>
            </c:numRef>
          </c:val>
        </c:ser>
        <c:ser>
          <c:idx val="1"/>
          <c:order val="1"/>
          <c:tx>
            <c:strRef>
              <c:f>'bb black'!$C$5</c:f>
              <c:strCache>
                <c:ptCount val="1"/>
                <c:pt idx="0">
                  <c:v>Zone</c:v>
                </c:pt>
              </c:strCache>
            </c:strRef>
          </c:tx>
          <c:invertIfNegative val="0"/>
          <c:dLbls>
            <c:showLegendKey val="0"/>
            <c:showVal val="1"/>
            <c:showCatName val="0"/>
            <c:showSerName val="0"/>
            <c:showPercent val="0"/>
            <c:showBubbleSize val="0"/>
            <c:showLeaderLines val="0"/>
          </c:dLbls>
          <c:cat>
            <c:strRef>
              <c:f>'bb black'!$A$6:$A$9</c:f>
              <c:strCache>
                <c:ptCount val="4"/>
                <c:pt idx="0">
                  <c:v>First quartile</c:v>
                </c:pt>
                <c:pt idx="1">
                  <c:v>Second quartile</c:v>
                </c:pt>
                <c:pt idx="2">
                  <c:v>Third quartile</c:v>
                </c:pt>
                <c:pt idx="3">
                  <c:v>Fourth quartile</c:v>
                </c:pt>
              </c:strCache>
            </c:strRef>
          </c:cat>
          <c:val>
            <c:numRef>
              <c:f>'bb black'!$C$6:$C$9</c:f>
              <c:numCache>
                <c:formatCode>0%</c:formatCode>
                <c:ptCount val="4"/>
                <c:pt idx="0">
                  <c:v>9.5785440613026823E-2</c:v>
                </c:pt>
                <c:pt idx="1">
                  <c:v>0.16603053435114504</c:v>
                </c:pt>
                <c:pt idx="2">
                  <c:v>0.17495219885277247</c:v>
                </c:pt>
                <c:pt idx="3">
                  <c:v>0.19420289855072465</c:v>
                </c:pt>
              </c:numCache>
            </c:numRef>
          </c:val>
        </c:ser>
        <c:ser>
          <c:idx val="2"/>
          <c:order val="2"/>
          <c:tx>
            <c:strRef>
              <c:f>'bb black'!$D$5</c:f>
              <c:strCache>
                <c:ptCount val="1"/>
                <c:pt idx="0">
                  <c:v>Fail</c:v>
                </c:pt>
              </c:strCache>
            </c:strRef>
          </c:tx>
          <c:invertIfNegative val="0"/>
          <c:dLbls>
            <c:showLegendKey val="0"/>
            <c:showVal val="1"/>
            <c:showCatName val="0"/>
            <c:showSerName val="0"/>
            <c:showPercent val="0"/>
            <c:showBubbleSize val="0"/>
            <c:showLeaderLines val="0"/>
          </c:dLbls>
          <c:cat>
            <c:strRef>
              <c:f>'bb black'!$A$6:$A$9</c:f>
              <c:strCache>
                <c:ptCount val="4"/>
                <c:pt idx="0">
                  <c:v>First quartile</c:v>
                </c:pt>
                <c:pt idx="1">
                  <c:v>Second quartile</c:v>
                </c:pt>
                <c:pt idx="2">
                  <c:v>Third quartile</c:v>
                </c:pt>
                <c:pt idx="3">
                  <c:v>Fourth quartile</c:v>
                </c:pt>
              </c:strCache>
            </c:strRef>
          </c:cat>
          <c:val>
            <c:numRef>
              <c:f>'bb black'!$D$6:$D$9</c:f>
              <c:numCache>
                <c:formatCode>0%</c:formatCode>
                <c:ptCount val="4"/>
                <c:pt idx="0">
                  <c:v>7.4712643678160925E-2</c:v>
                </c:pt>
                <c:pt idx="1">
                  <c:v>7.5381679389312978E-2</c:v>
                </c:pt>
                <c:pt idx="2">
                  <c:v>0.10803059273422562</c:v>
                </c:pt>
                <c:pt idx="3">
                  <c:v>0.10531400966183575</c:v>
                </c:pt>
              </c:numCache>
            </c:numRef>
          </c:val>
        </c:ser>
        <c:dLbls>
          <c:showLegendKey val="0"/>
          <c:showVal val="0"/>
          <c:showCatName val="0"/>
          <c:showSerName val="0"/>
          <c:showPercent val="0"/>
          <c:showBubbleSize val="0"/>
        </c:dLbls>
        <c:gapWidth val="150"/>
        <c:overlap val="100"/>
        <c:axId val="164770176"/>
        <c:axId val="164771712"/>
      </c:barChart>
      <c:catAx>
        <c:axId val="164770176"/>
        <c:scaling>
          <c:orientation val="minMax"/>
        </c:scaling>
        <c:delete val="0"/>
        <c:axPos val="b"/>
        <c:numFmt formatCode="General" sourceLinked="1"/>
        <c:majorTickMark val="out"/>
        <c:minorTickMark val="none"/>
        <c:tickLblPos val="nextTo"/>
        <c:crossAx val="164771712"/>
        <c:crosses val="autoZero"/>
        <c:auto val="1"/>
        <c:lblAlgn val="ctr"/>
        <c:lblOffset val="100"/>
        <c:noMultiLvlLbl val="0"/>
      </c:catAx>
      <c:valAx>
        <c:axId val="164771712"/>
        <c:scaling>
          <c:orientation val="minMax"/>
          <c:max val="1"/>
          <c:min val="0"/>
        </c:scaling>
        <c:delete val="0"/>
        <c:axPos val="l"/>
        <c:majorGridlines/>
        <c:numFmt formatCode="0%" sourceLinked="1"/>
        <c:majorTickMark val="out"/>
        <c:minorTickMark val="none"/>
        <c:tickLblPos val="nextTo"/>
        <c:crossAx val="1647701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'bc hispanic'!$B$5</c:f>
              <c:strCache>
                <c:ptCount val="1"/>
                <c:pt idx="0">
                  <c:v>Pass</c:v>
                </c:pt>
              </c:strCache>
            </c:strRef>
          </c:tx>
          <c:invertIfNegative val="0"/>
          <c:dLbls>
            <c:showLegendKey val="0"/>
            <c:showVal val="1"/>
            <c:showCatName val="0"/>
            <c:showSerName val="0"/>
            <c:showPercent val="0"/>
            <c:showBubbleSize val="0"/>
            <c:showLeaderLines val="0"/>
          </c:dLbls>
          <c:cat>
            <c:strRef>
              <c:f>'bc hispanic'!$A$6:$A$9</c:f>
              <c:strCache>
                <c:ptCount val="4"/>
                <c:pt idx="0">
                  <c:v>First quartile</c:v>
                </c:pt>
                <c:pt idx="1">
                  <c:v>Second quartile</c:v>
                </c:pt>
                <c:pt idx="2">
                  <c:v>Third quartile</c:v>
                </c:pt>
                <c:pt idx="3">
                  <c:v>Fourth quartile</c:v>
                </c:pt>
              </c:strCache>
            </c:strRef>
          </c:cat>
          <c:val>
            <c:numRef>
              <c:f>'bc hispanic'!$B$6:$B$9</c:f>
              <c:numCache>
                <c:formatCode>0%</c:formatCode>
                <c:ptCount val="4"/>
                <c:pt idx="0">
                  <c:v>0.78631677600749761</c:v>
                </c:pt>
                <c:pt idx="1">
                  <c:v>0.77259475218658891</c:v>
                </c:pt>
                <c:pt idx="2">
                  <c:v>0.71760154738878146</c:v>
                </c:pt>
                <c:pt idx="3">
                  <c:v>0.72866730584851391</c:v>
                </c:pt>
              </c:numCache>
            </c:numRef>
          </c:val>
        </c:ser>
        <c:ser>
          <c:idx val="1"/>
          <c:order val="1"/>
          <c:tx>
            <c:strRef>
              <c:f>'bc hispanic'!$C$5</c:f>
              <c:strCache>
                <c:ptCount val="1"/>
                <c:pt idx="0">
                  <c:v>Zone</c:v>
                </c:pt>
              </c:strCache>
            </c:strRef>
          </c:tx>
          <c:invertIfNegative val="0"/>
          <c:dLbls>
            <c:showLegendKey val="0"/>
            <c:showVal val="1"/>
            <c:showCatName val="0"/>
            <c:showSerName val="0"/>
            <c:showPercent val="0"/>
            <c:showBubbleSize val="0"/>
            <c:showLeaderLines val="0"/>
          </c:dLbls>
          <c:cat>
            <c:strRef>
              <c:f>'bc hispanic'!$A$6:$A$9</c:f>
              <c:strCache>
                <c:ptCount val="4"/>
                <c:pt idx="0">
                  <c:v>First quartile</c:v>
                </c:pt>
                <c:pt idx="1">
                  <c:v>Second quartile</c:v>
                </c:pt>
                <c:pt idx="2">
                  <c:v>Third quartile</c:v>
                </c:pt>
                <c:pt idx="3">
                  <c:v>Fourth quartile</c:v>
                </c:pt>
              </c:strCache>
            </c:strRef>
          </c:cat>
          <c:val>
            <c:numRef>
              <c:f>'bc hispanic'!$C$6:$C$9</c:f>
              <c:numCache>
                <c:formatCode>0%</c:formatCode>
                <c:ptCount val="4"/>
                <c:pt idx="0">
                  <c:v>0.11996251171508904</c:v>
                </c:pt>
                <c:pt idx="1">
                  <c:v>0.14965986394557823</c:v>
                </c:pt>
                <c:pt idx="2">
                  <c:v>0.16537717601547389</c:v>
                </c:pt>
                <c:pt idx="3">
                  <c:v>0.19654841802492809</c:v>
                </c:pt>
              </c:numCache>
            </c:numRef>
          </c:val>
        </c:ser>
        <c:ser>
          <c:idx val="2"/>
          <c:order val="2"/>
          <c:tx>
            <c:strRef>
              <c:f>'bc hispanic'!$D$5</c:f>
              <c:strCache>
                <c:ptCount val="1"/>
                <c:pt idx="0">
                  <c:v>Fail</c:v>
                </c:pt>
              </c:strCache>
            </c:strRef>
          </c:tx>
          <c:invertIfNegative val="0"/>
          <c:dLbls>
            <c:showLegendKey val="0"/>
            <c:showVal val="1"/>
            <c:showCatName val="0"/>
            <c:showSerName val="0"/>
            <c:showPercent val="0"/>
            <c:showBubbleSize val="0"/>
            <c:showLeaderLines val="0"/>
          </c:dLbls>
          <c:cat>
            <c:strRef>
              <c:f>'bc hispanic'!$A$6:$A$9</c:f>
              <c:strCache>
                <c:ptCount val="4"/>
                <c:pt idx="0">
                  <c:v>First quartile</c:v>
                </c:pt>
                <c:pt idx="1">
                  <c:v>Second quartile</c:v>
                </c:pt>
                <c:pt idx="2">
                  <c:v>Third quartile</c:v>
                </c:pt>
                <c:pt idx="3">
                  <c:v>Fourth quartile</c:v>
                </c:pt>
              </c:strCache>
            </c:strRef>
          </c:cat>
          <c:val>
            <c:numRef>
              <c:f>'bc hispanic'!$D$6:$D$9</c:f>
              <c:numCache>
                <c:formatCode>0%</c:formatCode>
                <c:ptCount val="4"/>
                <c:pt idx="0">
                  <c:v>9.3720712277413312E-2</c:v>
                </c:pt>
                <c:pt idx="1">
                  <c:v>7.7745383867832848E-2</c:v>
                </c:pt>
                <c:pt idx="2">
                  <c:v>0.11702127659574468</c:v>
                </c:pt>
                <c:pt idx="3">
                  <c:v>7.4784276126558011E-2</c:v>
                </c:pt>
              </c:numCache>
            </c:numRef>
          </c:val>
        </c:ser>
        <c:dLbls>
          <c:showLegendKey val="0"/>
          <c:showVal val="0"/>
          <c:showCatName val="0"/>
          <c:showSerName val="0"/>
          <c:showPercent val="0"/>
          <c:showBubbleSize val="0"/>
        </c:dLbls>
        <c:gapWidth val="150"/>
        <c:overlap val="100"/>
        <c:axId val="164794752"/>
        <c:axId val="164796288"/>
      </c:barChart>
      <c:catAx>
        <c:axId val="164794752"/>
        <c:scaling>
          <c:orientation val="minMax"/>
        </c:scaling>
        <c:delete val="0"/>
        <c:axPos val="b"/>
        <c:numFmt formatCode="General" sourceLinked="1"/>
        <c:majorTickMark val="out"/>
        <c:minorTickMark val="none"/>
        <c:tickLblPos val="nextTo"/>
        <c:crossAx val="164796288"/>
        <c:crosses val="autoZero"/>
        <c:auto val="1"/>
        <c:lblAlgn val="ctr"/>
        <c:lblOffset val="100"/>
        <c:noMultiLvlLbl val="0"/>
      </c:catAx>
      <c:valAx>
        <c:axId val="164796288"/>
        <c:scaling>
          <c:orientation val="minMax"/>
          <c:max val="1"/>
          <c:min val="0"/>
        </c:scaling>
        <c:delete val="0"/>
        <c:axPos val="l"/>
        <c:majorGridlines/>
        <c:numFmt formatCode="0%" sourceLinked="1"/>
        <c:majorTickMark val="out"/>
        <c:minorTickMark val="none"/>
        <c:tickLblPos val="nextTo"/>
        <c:crossAx val="1647947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percentStacked"/>
        <c:varyColors val="0"/>
        <c:ser>
          <c:idx val="0"/>
          <c:order val="0"/>
          <c:tx>
            <c:strRef>
              <c:f>'C qPLL'!$B$5</c:f>
              <c:strCache>
                <c:ptCount val="1"/>
                <c:pt idx="0">
                  <c:v>Pass</c:v>
                </c:pt>
              </c:strCache>
            </c:strRef>
          </c:tx>
          <c:invertIfNegative val="0"/>
          <c:dLbls>
            <c:showLegendKey val="0"/>
            <c:showVal val="1"/>
            <c:showCatName val="0"/>
            <c:showSerName val="0"/>
            <c:showPercent val="0"/>
            <c:showBubbleSize val="0"/>
            <c:showLeaderLines val="0"/>
          </c:dLbls>
          <c:cat>
            <c:strRef>
              <c:f>'C qPLL'!$A$6:$A$9</c:f>
              <c:strCache>
                <c:ptCount val="4"/>
                <c:pt idx="0">
                  <c:v>First quartile</c:v>
                </c:pt>
                <c:pt idx="1">
                  <c:v>Second quartile</c:v>
                </c:pt>
                <c:pt idx="2">
                  <c:v>Third quartile</c:v>
                </c:pt>
                <c:pt idx="3">
                  <c:v>Fourth quartile</c:v>
                </c:pt>
              </c:strCache>
            </c:strRef>
          </c:cat>
          <c:val>
            <c:numRef>
              <c:f>'C qPLL'!$B$6:$B$9</c:f>
              <c:numCache>
                <c:formatCode>0%</c:formatCode>
                <c:ptCount val="4"/>
                <c:pt idx="0">
                  <c:v>0.77833935018050537</c:v>
                </c:pt>
                <c:pt idx="1">
                  <c:v>0.6969263759828449</c:v>
                </c:pt>
                <c:pt idx="2">
                  <c:v>0.70854638422205984</c:v>
                </c:pt>
                <c:pt idx="3">
                  <c:v>0.77312138728323698</c:v>
                </c:pt>
              </c:numCache>
            </c:numRef>
          </c:val>
        </c:ser>
        <c:ser>
          <c:idx val="1"/>
          <c:order val="1"/>
          <c:tx>
            <c:strRef>
              <c:f>'C qPLL'!$C$5</c:f>
              <c:strCache>
                <c:ptCount val="1"/>
                <c:pt idx="0">
                  <c:v>Zone</c:v>
                </c:pt>
              </c:strCache>
            </c:strRef>
          </c:tx>
          <c:invertIfNegative val="0"/>
          <c:dLbls>
            <c:showLegendKey val="0"/>
            <c:showVal val="1"/>
            <c:showCatName val="0"/>
            <c:showSerName val="0"/>
            <c:showPercent val="0"/>
            <c:showBubbleSize val="0"/>
            <c:showLeaderLines val="0"/>
          </c:dLbls>
          <c:cat>
            <c:strRef>
              <c:f>'C qPLL'!$A$6:$A$9</c:f>
              <c:strCache>
                <c:ptCount val="4"/>
                <c:pt idx="0">
                  <c:v>First quartile</c:v>
                </c:pt>
                <c:pt idx="1">
                  <c:v>Second quartile</c:v>
                </c:pt>
                <c:pt idx="2">
                  <c:v>Third quartile</c:v>
                </c:pt>
                <c:pt idx="3">
                  <c:v>Fourth quartile</c:v>
                </c:pt>
              </c:strCache>
            </c:strRef>
          </c:cat>
          <c:val>
            <c:numRef>
              <c:f>'C qPLL'!$C$6:$C$9</c:f>
              <c:numCache>
                <c:formatCode>0%</c:formatCode>
                <c:ptCount val="4"/>
                <c:pt idx="0">
                  <c:v>0.10541516245487365</c:v>
                </c:pt>
                <c:pt idx="1">
                  <c:v>0.1958541815582559</c:v>
                </c:pt>
                <c:pt idx="2">
                  <c:v>0.21329437545653762</c:v>
                </c:pt>
                <c:pt idx="3">
                  <c:v>0.15534682080924855</c:v>
                </c:pt>
              </c:numCache>
            </c:numRef>
          </c:val>
        </c:ser>
        <c:ser>
          <c:idx val="2"/>
          <c:order val="2"/>
          <c:tx>
            <c:strRef>
              <c:f>'C qPLL'!$D$5</c:f>
              <c:strCache>
                <c:ptCount val="1"/>
                <c:pt idx="0">
                  <c:v>Fail</c:v>
                </c:pt>
              </c:strCache>
            </c:strRef>
          </c:tx>
          <c:invertIfNegative val="0"/>
          <c:dLbls>
            <c:showLegendKey val="0"/>
            <c:showVal val="1"/>
            <c:showCatName val="0"/>
            <c:showSerName val="0"/>
            <c:showPercent val="0"/>
            <c:showBubbleSize val="0"/>
            <c:showLeaderLines val="0"/>
          </c:dLbls>
          <c:cat>
            <c:strRef>
              <c:f>'C qPLL'!$A$6:$A$9</c:f>
              <c:strCache>
                <c:ptCount val="4"/>
                <c:pt idx="0">
                  <c:v>First quartile</c:v>
                </c:pt>
                <c:pt idx="1">
                  <c:v>Second quartile</c:v>
                </c:pt>
                <c:pt idx="2">
                  <c:v>Third quartile</c:v>
                </c:pt>
                <c:pt idx="3">
                  <c:v>Fourth quartile</c:v>
                </c:pt>
              </c:strCache>
            </c:strRef>
          </c:cat>
          <c:val>
            <c:numRef>
              <c:f>'C qPLL'!$D$6:$D$9</c:f>
              <c:numCache>
                <c:formatCode>0%</c:formatCode>
                <c:ptCount val="4"/>
                <c:pt idx="0">
                  <c:v>0.11624548736462094</c:v>
                </c:pt>
                <c:pt idx="1">
                  <c:v>0.10721944245889921</c:v>
                </c:pt>
                <c:pt idx="2">
                  <c:v>7.8159240321402479E-2</c:v>
                </c:pt>
                <c:pt idx="3">
                  <c:v>7.153179190751445E-2</c:v>
                </c:pt>
              </c:numCache>
            </c:numRef>
          </c:val>
        </c:ser>
        <c:dLbls>
          <c:showLegendKey val="0"/>
          <c:showVal val="0"/>
          <c:showCatName val="0"/>
          <c:showSerName val="0"/>
          <c:showPercent val="0"/>
          <c:showBubbleSize val="0"/>
        </c:dLbls>
        <c:gapWidth val="150"/>
        <c:overlap val="100"/>
        <c:axId val="164954496"/>
        <c:axId val="164956032"/>
      </c:barChart>
      <c:catAx>
        <c:axId val="164954496"/>
        <c:scaling>
          <c:orientation val="minMax"/>
        </c:scaling>
        <c:delete val="0"/>
        <c:axPos val="b"/>
        <c:majorTickMark val="out"/>
        <c:minorTickMark val="none"/>
        <c:tickLblPos val="nextTo"/>
        <c:crossAx val="164956032"/>
        <c:crosses val="autoZero"/>
        <c:auto val="1"/>
        <c:lblAlgn val="ctr"/>
        <c:lblOffset val="100"/>
        <c:noMultiLvlLbl val="0"/>
      </c:catAx>
      <c:valAx>
        <c:axId val="164956032"/>
        <c:scaling>
          <c:orientation val="minMax"/>
        </c:scaling>
        <c:delete val="0"/>
        <c:axPos val="l"/>
        <c:majorGridlines/>
        <c:numFmt formatCode="0%" sourceLinked="1"/>
        <c:majorTickMark val="out"/>
        <c:minorTickMark val="none"/>
        <c:tickLblPos val="nextTo"/>
        <c:crossAx val="1649544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percentStacked"/>
        <c:varyColors val="0"/>
        <c:ser>
          <c:idx val="0"/>
          <c:order val="0"/>
          <c:tx>
            <c:strRef>
              <c:f>'D- Qzefc'!$B$5</c:f>
              <c:strCache>
                <c:ptCount val="1"/>
                <c:pt idx="0">
                  <c:v>Pass</c:v>
                </c:pt>
              </c:strCache>
            </c:strRef>
          </c:tx>
          <c:invertIfNegative val="0"/>
          <c:dLbls>
            <c:showLegendKey val="0"/>
            <c:showVal val="1"/>
            <c:showCatName val="0"/>
            <c:showSerName val="0"/>
            <c:showPercent val="0"/>
            <c:showBubbleSize val="0"/>
            <c:showLeaderLines val="0"/>
          </c:dLbls>
          <c:cat>
            <c:strRef>
              <c:f>'D- Qzefc'!$A$6:$A$9</c:f>
              <c:strCache>
                <c:ptCount val="4"/>
                <c:pt idx="0">
                  <c:v>First quartile</c:v>
                </c:pt>
                <c:pt idx="1">
                  <c:v>Second quartile</c:v>
                </c:pt>
                <c:pt idx="2">
                  <c:v>Third quartile</c:v>
                </c:pt>
                <c:pt idx="3">
                  <c:v>Fourth quartile</c:v>
                </c:pt>
              </c:strCache>
            </c:strRef>
          </c:cat>
          <c:val>
            <c:numRef>
              <c:f>'D- Qzefc'!$B$6:$B$9</c:f>
              <c:numCache>
                <c:formatCode>0%</c:formatCode>
                <c:ptCount val="4"/>
                <c:pt idx="0">
                  <c:v>0.74026893135173388</c:v>
                </c:pt>
                <c:pt idx="1">
                  <c:v>0.74410029498525077</c:v>
                </c:pt>
                <c:pt idx="2">
                  <c:v>0.73093525179856111</c:v>
                </c:pt>
                <c:pt idx="3">
                  <c:v>0.74165457184325112</c:v>
                </c:pt>
              </c:numCache>
            </c:numRef>
          </c:val>
        </c:ser>
        <c:ser>
          <c:idx val="1"/>
          <c:order val="1"/>
          <c:tx>
            <c:strRef>
              <c:f>'D- Qzefc'!$C$5</c:f>
              <c:strCache>
                <c:ptCount val="1"/>
                <c:pt idx="0">
                  <c:v>Zone</c:v>
                </c:pt>
              </c:strCache>
            </c:strRef>
          </c:tx>
          <c:invertIfNegative val="0"/>
          <c:dLbls>
            <c:showLegendKey val="0"/>
            <c:showVal val="1"/>
            <c:showCatName val="0"/>
            <c:showSerName val="0"/>
            <c:showPercent val="0"/>
            <c:showBubbleSize val="0"/>
            <c:showLeaderLines val="0"/>
          </c:dLbls>
          <c:cat>
            <c:strRef>
              <c:f>'D- Qzefc'!$A$6:$A$9</c:f>
              <c:strCache>
                <c:ptCount val="4"/>
                <c:pt idx="0">
                  <c:v>First quartile</c:v>
                </c:pt>
                <c:pt idx="1">
                  <c:v>Second quartile</c:v>
                </c:pt>
                <c:pt idx="2">
                  <c:v>Third quartile</c:v>
                </c:pt>
                <c:pt idx="3">
                  <c:v>Fourth quartile</c:v>
                </c:pt>
              </c:strCache>
            </c:strRef>
          </c:cat>
          <c:val>
            <c:numRef>
              <c:f>'D- Qzefc'!$C$6:$C$9</c:f>
              <c:numCache>
                <c:formatCode>0%</c:formatCode>
                <c:ptCount val="4"/>
                <c:pt idx="0">
                  <c:v>0.11889596602972399</c:v>
                </c:pt>
                <c:pt idx="1">
                  <c:v>0.16887905604719763</c:v>
                </c:pt>
                <c:pt idx="2">
                  <c:v>0.1856115107913669</c:v>
                </c:pt>
                <c:pt idx="3">
                  <c:v>0.19738751814223512</c:v>
                </c:pt>
              </c:numCache>
            </c:numRef>
          </c:val>
        </c:ser>
        <c:ser>
          <c:idx val="2"/>
          <c:order val="2"/>
          <c:tx>
            <c:strRef>
              <c:f>'D- Qzefc'!$D$5</c:f>
              <c:strCache>
                <c:ptCount val="1"/>
                <c:pt idx="0">
                  <c:v>Fail</c:v>
                </c:pt>
              </c:strCache>
            </c:strRef>
          </c:tx>
          <c:invertIfNegative val="0"/>
          <c:dLbls>
            <c:showLegendKey val="0"/>
            <c:showVal val="1"/>
            <c:showCatName val="0"/>
            <c:showSerName val="0"/>
            <c:showPercent val="0"/>
            <c:showBubbleSize val="0"/>
            <c:showLeaderLines val="0"/>
          </c:dLbls>
          <c:cat>
            <c:strRef>
              <c:f>'D- Qzefc'!$A$6:$A$9</c:f>
              <c:strCache>
                <c:ptCount val="4"/>
                <c:pt idx="0">
                  <c:v>First quartile</c:v>
                </c:pt>
                <c:pt idx="1">
                  <c:v>Second quartile</c:v>
                </c:pt>
                <c:pt idx="2">
                  <c:v>Third quartile</c:v>
                </c:pt>
                <c:pt idx="3">
                  <c:v>Fourth quartile</c:v>
                </c:pt>
              </c:strCache>
            </c:strRef>
          </c:cat>
          <c:val>
            <c:numRef>
              <c:f>'D- Qzefc'!$D$6:$D$9</c:f>
              <c:numCache>
                <c:formatCode>0%</c:formatCode>
                <c:ptCount val="4"/>
                <c:pt idx="0">
                  <c:v>0.1408351026185421</c:v>
                </c:pt>
                <c:pt idx="1">
                  <c:v>8.7020648967551628E-2</c:v>
                </c:pt>
                <c:pt idx="2">
                  <c:v>8.3453237410071948E-2</c:v>
                </c:pt>
                <c:pt idx="3">
                  <c:v>6.095791001451379E-2</c:v>
                </c:pt>
              </c:numCache>
            </c:numRef>
          </c:val>
        </c:ser>
        <c:dLbls>
          <c:showLegendKey val="0"/>
          <c:showVal val="0"/>
          <c:showCatName val="0"/>
          <c:showSerName val="0"/>
          <c:showPercent val="0"/>
          <c:showBubbleSize val="0"/>
        </c:dLbls>
        <c:gapWidth val="150"/>
        <c:overlap val="100"/>
        <c:axId val="164987264"/>
        <c:axId val="164988800"/>
      </c:barChart>
      <c:catAx>
        <c:axId val="164987264"/>
        <c:scaling>
          <c:orientation val="minMax"/>
        </c:scaling>
        <c:delete val="0"/>
        <c:axPos val="b"/>
        <c:majorTickMark val="out"/>
        <c:minorTickMark val="none"/>
        <c:tickLblPos val="nextTo"/>
        <c:crossAx val="164988800"/>
        <c:crosses val="autoZero"/>
        <c:auto val="1"/>
        <c:lblAlgn val="ctr"/>
        <c:lblOffset val="100"/>
        <c:noMultiLvlLbl val="0"/>
      </c:catAx>
      <c:valAx>
        <c:axId val="164988800"/>
        <c:scaling>
          <c:orientation val="minMax"/>
        </c:scaling>
        <c:delete val="0"/>
        <c:axPos val="l"/>
        <c:majorGridlines/>
        <c:numFmt formatCode="0%" sourceLinked="1"/>
        <c:majorTickMark val="out"/>
        <c:minorTickMark val="none"/>
        <c:tickLblPos val="nextTo"/>
        <c:crossAx val="1649872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percentStacked"/>
        <c:varyColors val="0"/>
        <c:ser>
          <c:idx val="0"/>
          <c:order val="0"/>
          <c:tx>
            <c:strRef>
              <c:f>'E- q_fem'!$B$5</c:f>
              <c:strCache>
                <c:ptCount val="1"/>
                <c:pt idx="0">
                  <c:v>Pass</c:v>
                </c:pt>
              </c:strCache>
            </c:strRef>
          </c:tx>
          <c:invertIfNegative val="0"/>
          <c:dLbls>
            <c:showLegendKey val="0"/>
            <c:showVal val="1"/>
            <c:showCatName val="0"/>
            <c:showSerName val="0"/>
            <c:showPercent val="0"/>
            <c:showBubbleSize val="0"/>
            <c:showLeaderLines val="0"/>
          </c:dLbls>
          <c:cat>
            <c:strRef>
              <c:f>'E- q_fem'!$A$6:$A$9</c:f>
              <c:strCache>
                <c:ptCount val="4"/>
                <c:pt idx="0">
                  <c:v>First quartile</c:v>
                </c:pt>
                <c:pt idx="1">
                  <c:v>Second quartile</c:v>
                </c:pt>
                <c:pt idx="2">
                  <c:v>Third quartile</c:v>
                </c:pt>
                <c:pt idx="3">
                  <c:v>Fourth quartile</c:v>
                </c:pt>
              </c:strCache>
            </c:strRef>
          </c:cat>
          <c:val>
            <c:numRef>
              <c:f>'E- q_fem'!$B$6:$B$9</c:f>
              <c:numCache>
                <c:formatCode>0%</c:formatCode>
                <c:ptCount val="4"/>
                <c:pt idx="0">
                  <c:v>0.73304473304473305</c:v>
                </c:pt>
                <c:pt idx="1">
                  <c:v>0.74331164135936367</c:v>
                </c:pt>
                <c:pt idx="2">
                  <c:v>0.7557803468208093</c:v>
                </c:pt>
                <c:pt idx="3">
                  <c:v>0.7247109826589595</c:v>
                </c:pt>
              </c:numCache>
            </c:numRef>
          </c:val>
        </c:ser>
        <c:ser>
          <c:idx val="1"/>
          <c:order val="1"/>
          <c:tx>
            <c:strRef>
              <c:f>'E- q_fem'!$C$5</c:f>
              <c:strCache>
                <c:ptCount val="1"/>
                <c:pt idx="0">
                  <c:v>Zone</c:v>
                </c:pt>
              </c:strCache>
            </c:strRef>
          </c:tx>
          <c:invertIfNegative val="0"/>
          <c:dLbls>
            <c:showLegendKey val="0"/>
            <c:showVal val="1"/>
            <c:showCatName val="0"/>
            <c:showSerName val="0"/>
            <c:showPercent val="0"/>
            <c:showBubbleSize val="0"/>
            <c:showLeaderLines val="0"/>
          </c:dLbls>
          <c:cat>
            <c:strRef>
              <c:f>'E- q_fem'!$A$6:$A$9</c:f>
              <c:strCache>
                <c:ptCount val="4"/>
                <c:pt idx="0">
                  <c:v>First quartile</c:v>
                </c:pt>
                <c:pt idx="1">
                  <c:v>Second quartile</c:v>
                </c:pt>
                <c:pt idx="2">
                  <c:v>Third quartile</c:v>
                </c:pt>
                <c:pt idx="3">
                  <c:v>Fourth quartile</c:v>
                </c:pt>
              </c:strCache>
            </c:strRef>
          </c:cat>
          <c:val>
            <c:numRef>
              <c:f>'E- q_fem'!$C$6:$C$9</c:f>
              <c:numCache>
                <c:formatCode>0%</c:formatCode>
                <c:ptCount val="4"/>
                <c:pt idx="0">
                  <c:v>0.14430014430014429</c:v>
                </c:pt>
                <c:pt idx="1">
                  <c:v>0.16124367317425886</c:v>
                </c:pt>
                <c:pt idx="2">
                  <c:v>0.16473988439306358</c:v>
                </c:pt>
                <c:pt idx="3">
                  <c:v>0.19942196531791909</c:v>
                </c:pt>
              </c:numCache>
            </c:numRef>
          </c:val>
        </c:ser>
        <c:ser>
          <c:idx val="2"/>
          <c:order val="2"/>
          <c:tx>
            <c:strRef>
              <c:f>'E- q_fem'!$D$5</c:f>
              <c:strCache>
                <c:ptCount val="1"/>
                <c:pt idx="0">
                  <c:v>Fail</c:v>
                </c:pt>
              </c:strCache>
            </c:strRef>
          </c:tx>
          <c:invertIfNegative val="0"/>
          <c:dLbls>
            <c:showLegendKey val="0"/>
            <c:showVal val="1"/>
            <c:showCatName val="0"/>
            <c:showSerName val="0"/>
            <c:showPercent val="0"/>
            <c:showBubbleSize val="0"/>
            <c:showLeaderLines val="0"/>
          </c:dLbls>
          <c:cat>
            <c:strRef>
              <c:f>'E- q_fem'!$A$6:$A$9</c:f>
              <c:strCache>
                <c:ptCount val="4"/>
                <c:pt idx="0">
                  <c:v>First quartile</c:v>
                </c:pt>
                <c:pt idx="1">
                  <c:v>Second quartile</c:v>
                </c:pt>
                <c:pt idx="2">
                  <c:v>Third quartile</c:v>
                </c:pt>
                <c:pt idx="3">
                  <c:v>Fourth quartile</c:v>
                </c:pt>
              </c:strCache>
            </c:strRef>
          </c:cat>
          <c:val>
            <c:numRef>
              <c:f>'E- q_fem'!$D$6:$D$9</c:f>
              <c:numCache>
                <c:formatCode>0%</c:formatCode>
                <c:ptCount val="4"/>
                <c:pt idx="0">
                  <c:v>0.12265512265512266</c:v>
                </c:pt>
                <c:pt idx="1">
                  <c:v>9.5444685466377438E-2</c:v>
                </c:pt>
                <c:pt idx="2">
                  <c:v>7.947976878612717E-2</c:v>
                </c:pt>
                <c:pt idx="3">
                  <c:v>7.5867052023121384E-2</c:v>
                </c:pt>
              </c:numCache>
            </c:numRef>
          </c:val>
        </c:ser>
        <c:dLbls>
          <c:showLegendKey val="0"/>
          <c:showVal val="0"/>
          <c:showCatName val="0"/>
          <c:showSerName val="0"/>
          <c:showPercent val="0"/>
          <c:showBubbleSize val="0"/>
        </c:dLbls>
        <c:gapWidth val="150"/>
        <c:overlap val="100"/>
        <c:axId val="166232448"/>
        <c:axId val="166233984"/>
      </c:barChart>
      <c:catAx>
        <c:axId val="166232448"/>
        <c:scaling>
          <c:orientation val="minMax"/>
        </c:scaling>
        <c:delete val="0"/>
        <c:axPos val="b"/>
        <c:majorTickMark val="out"/>
        <c:minorTickMark val="none"/>
        <c:tickLblPos val="nextTo"/>
        <c:crossAx val="166233984"/>
        <c:crosses val="autoZero"/>
        <c:auto val="1"/>
        <c:lblAlgn val="ctr"/>
        <c:lblOffset val="100"/>
        <c:noMultiLvlLbl val="0"/>
      </c:catAx>
      <c:valAx>
        <c:axId val="166233984"/>
        <c:scaling>
          <c:orientation val="minMax"/>
        </c:scaling>
        <c:delete val="0"/>
        <c:axPos val="l"/>
        <c:majorGridlines/>
        <c:numFmt formatCode="0%" sourceLinked="1"/>
        <c:majorTickMark val="out"/>
        <c:minorTickMark val="none"/>
        <c:tickLblPos val="nextTo"/>
        <c:crossAx val="16623244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percentStacked"/>
        <c:varyColors val="0"/>
        <c:ser>
          <c:idx val="0"/>
          <c:order val="0"/>
          <c:tx>
            <c:strRef>
              <c:f>'F- Q_IND'!$B$5</c:f>
              <c:strCache>
                <c:ptCount val="1"/>
                <c:pt idx="0">
                  <c:v>Pass</c:v>
                </c:pt>
              </c:strCache>
            </c:strRef>
          </c:tx>
          <c:invertIfNegative val="0"/>
          <c:dLbls>
            <c:showLegendKey val="0"/>
            <c:showVal val="1"/>
            <c:showCatName val="0"/>
            <c:showSerName val="0"/>
            <c:showPercent val="0"/>
            <c:showBubbleSize val="0"/>
            <c:showLeaderLines val="0"/>
          </c:dLbls>
          <c:cat>
            <c:strRef>
              <c:f>'F- Q_IND'!$A$6:$A$9</c:f>
              <c:strCache>
                <c:ptCount val="4"/>
                <c:pt idx="0">
                  <c:v>First quartile</c:v>
                </c:pt>
                <c:pt idx="1">
                  <c:v>Second quartile</c:v>
                </c:pt>
                <c:pt idx="2">
                  <c:v>Third quartile</c:v>
                </c:pt>
                <c:pt idx="3">
                  <c:v>Fourth quartile</c:v>
                </c:pt>
              </c:strCache>
            </c:strRef>
          </c:cat>
          <c:val>
            <c:numRef>
              <c:f>'F- Q_IND'!$B$6:$B$9</c:f>
              <c:numCache>
                <c:formatCode>0%</c:formatCode>
                <c:ptCount val="4"/>
                <c:pt idx="0">
                  <c:v>0.63799283154121866</c:v>
                </c:pt>
                <c:pt idx="1">
                  <c:v>0.76252723311546844</c:v>
                </c:pt>
                <c:pt idx="2">
                  <c:v>0.78075253256150512</c:v>
                </c:pt>
                <c:pt idx="3">
                  <c:v>0.77657266811279824</c:v>
                </c:pt>
              </c:numCache>
            </c:numRef>
          </c:val>
        </c:ser>
        <c:ser>
          <c:idx val="1"/>
          <c:order val="1"/>
          <c:tx>
            <c:strRef>
              <c:f>'F- Q_IND'!$C$5</c:f>
              <c:strCache>
                <c:ptCount val="1"/>
                <c:pt idx="0">
                  <c:v>Zone</c:v>
                </c:pt>
              </c:strCache>
            </c:strRef>
          </c:tx>
          <c:invertIfNegative val="0"/>
          <c:dLbls>
            <c:showLegendKey val="0"/>
            <c:showVal val="1"/>
            <c:showCatName val="0"/>
            <c:showSerName val="0"/>
            <c:showPercent val="0"/>
            <c:showBubbleSize val="0"/>
            <c:showLeaderLines val="0"/>
          </c:dLbls>
          <c:cat>
            <c:strRef>
              <c:f>'F- Q_IND'!$A$6:$A$9</c:f>
              <c:strCache>
                <c:ptCount val="4"/>
                <c:pt idx="0">
                  <c:v>First quartile</c:v>
                </c:pt>
                <c:pt idx="1">
                  <c:v>Second quartile</c:v>
                </c:pt>
                <c:pt idx="2">
                  <c:v>Third quartile</c:v>
                </c:pt>
                <c:pt idx="3">
                  <c:v>Fourth quartile</c:v>
                </c:pt>
              </c:strCache>
            </c:strRef>
          </c:cat>
          <c:val>
            <c:numRef>
              <c:f>'F- Q_IND'!$C$6:$C$9</c:f>
              <c:numCache>
                <c:formatCode>0%</c:formatCode>
                <c:ptCount val="4"/>
                <c:pt idx="0">
                  <c:v>0.17204301075268819</c:v>
                </c:pt>
                <c:pt idx="1">
                  <c:v>0.17066085693536673</c:v>
                </c:pt>
                <c:pt idx="2">
                  <c:v>0.1714905933429812</c:v>
                </c:pt>
                <c:pt idx="3">
                  <c:v>0.1554591467823572</c:v>
                </c:pt>
              </c:numCache>
            </c:numRef>
          </c:val>
        </c:ser>
        <c:ser>
          <c:idx val="2"/>
          <c:order val="2"/>
          <c:tx>
            <c:strRef>
              <c:f>'F- Q_IND'!$D$5</c:f>
              <c:strCache>
                <c:ptCount val="1"/>
                <c:pt idx="0">
                  <c:v>Fail</c:v>
                </c:pt>
              </c:strCache>
            </c:strRef>
          </c:tx>
          <c:invertIfNegative val="0"/>
          <c:dLbls>
            <c:showLegendKey val="0"/>
            <c:showVal val="1"/>
            <c:showCatName val="0"/>
            <c:showSerName val="0"/>
            <c:showPercent val="0"/>
            <c:showBubbleSize val="0"/>
            <c:showLeaderLines val="0"/>
          </c:dLbls>
          <c:cat>
            <c:strRef>
              <c:f>'F- Q_IND'!$A$6:$A$9</c:f>
              <c:strCache>
                <c:ptCount val="4"/>
                <c:pt idx="0">
                  <c:v>First quartile</c:v>
                </c:pt>
                <c:pt idx="1">
                  <c:v>Second quartile</c:v>
                </c:pt>
                <c:pt idx="2">
                  <c:v>Third quartile</c:v>
                </c:pt>
                <c:pt idx="3">
                  <c:v>Fourth quartile</c:v>
                </c:pt>
              </c:strCache>
            </c:strRef>
          </c:cat>
          <c:val>
            <c:numRef>
              <c:f>'F- Q_IND'!$D$6:$D$9</c:f>
              <c:numCache>
                <c:formatCode>0%</c:formatCode>
                <c:ptCount val="4"/>
                <c:pt idx="0">
                  <c:v>0.18996415770609318</c:v>
                </c:pt>
                <c:pt idx="1">
                  <c:v>6.6811909949164847E-2</c:v>
                </c:pt>
                <c:pt idx="2">
                  <c:v>4.7756874095513747E-2</c:v>
                </c:pt>
                <c:pt idx="3">
                  <c:v>6.7968185104844536E-2</c:v>
                </c:pt>
              </c:numCache>
            </c:numRef>
          </c:val>
        </c:ser>
        <c:dLbls>
          <c:showLegendKey val="0"/>
          <c:showVal val="0"/>
          <c:showCatName val="0"/>
          <c:showSerName val="0"/>
          <c:showPercent val="0"/>
          <c:showBubbleSize val="0"/>
        </c:dLbls>
        <c:gapWidth val="150"/>
        <c:overlap val="100"/>
        <c:axId val="166252928"/>
        <c:axId val="166254464"/>
      </c:barChart>
      <c:catAx>
        <c:axId val="166252928"/>
        <c:scaling>
          <c:orientation val="minMax"/>
        </c:scaling>
        <c:delete val="0"/>
        <c:axPos val="b"/>
        <c:majorTickMark val="out"/>
        <c:minorTickMark val="none"/>
        <c:tickLblPos val="nextTo"/>
        <c:crossAx val="166254464"/>
        <c:crosses val="autoZero"/>
        <c:auto val="1"/>
        <c:lblAlgn val="ctr"/>
        <c:lblOffset val="100"/>
        <c:noMultiLvlLbl val="0"/>
      </c:catAx>
      <c:valAx>
        <c:axId val="166254464"/>
        <c:scaling>
          <c:orientation val="minMax"/>
        </c:scaling>
        <c:delete val="0"/>
        <c:axPos val="l"/>
        <c:majorGridlines/>
        <c:numFmt formatCode="0%" sourceLinked="1"/>
        <c:majorTickMark val="out"/>
        <c:minorTickMark val="none"/>
        <c:tickLblPos val="nextTo"/>
        <c:crossAx val="1662529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dPt>
          <c:dPt>
            <c:idx val="1"/>
            <c:bubble3D val="0"/>
          </c:dPt>
          <c:dPt>
            <c:idx val="3"/>
            <c:bubble3D val="0"/>
          </c:dPt>
          <c:dLbls>
            <c:dLblPos val="outEnd"/>
            <c:showLegendKey val="0"/>
            <c:showVal val="1"/>
            <c:showCatName val="0"/>
            <c:showSerName val="0"/>
            <c:showPercent val="0"/>
            <c:showBubbleSize val="0"/>
            <c:showLeaderLines val="1"/>
          </c:dLbls>
          <c:cat>
            <c:strRef>
              <c:f>'35- pass disagg'!$C$6:$F$6</c:f>
              <c:strCache>
                <c:ptCount val="4"/>
                <c:pt idx="0">
                  <c:v>Pass ADTE &amp; DDTE</c:v>
                </c:pt>
                <c:pt idx="1">
                  <c:v>Pass ADTE &amp; Zone DDTE</c:v>
                </c:pt>
                <c:pt idx="2">
                  <c:v>Pass DDTE &amp; Zone ADTE</c:v>
                </c:pt>
                <c:pt idx="3">
                  <c:v>Pass ADTE &amp; Fail DDTE</c:v>
                </c:pt>
              </c:strCache>
            </c:strRef>
          </c:cat>
          <c:val>
            <c:numRef>
              <c:f>'35- pass disagg'!$C$7:$F$7</c:f>
              <c:numCache>
                <c:formatCode>#,##0</c:formatCode>
                <c:ptCount val="4"/>
                <c:pt idx="0">
                  <c:v>2450</c:v>
                </c:pt>
                <c:pt idx="1">
                  <c:v>203</c:v>
                </c:pt>
                <c:pt idx="2">
                  <c:v>94</c:v>
                </c:pt>
                <c:pt idx="3">
                  <c:v>1347</c:v>
                </c:pt>
              </c:numCache>
            </c:numRef>
          </c:val>
        </c:ser>
        <c:dLbls>
          <c:dLblPos val="outEnd"/>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C94FCDC74C245B842F5F07A6A99A0" ma:contentTypeVersion="0" ma:contentTypeDescription="Create a new document." ma:contentTypeScope="" ma:versionID="663ea6572e9b84b1a18e5b845e2afb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75D4-2C47-4117-8304-9E7142AC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385325-2CB8-4ADD-8951-09B2D3B2BF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8E31C2-DE4E-441F-B3A8-C3677EE82D09}">
  <ds:schemaRefs>
    <ds:schemaRef ds:uri="http://schemas.microsoft.com/sharepoint/v3/contenttype/forms"/>
  </ds:schemaRefs>
</ds:datastoreItem>
</file>

<file path=customXml/itemProps4.xml><?xml version="1.0" encoding="utf-8"?>
<ds:datastoreItem xmlns:ds="http://schemas.openxmlformats.org/officeDocument/2006/customXml" ds:itemID="{66392F8A-1EA2-4676-B953-38BE22EC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180671</Words>
  <Characters>1029826</Characters>
  <Application>Microsoft Office Word</Application>
  <DocSecurity>0</DocSecurity>
  <Lines>8581</Lines>
  <Paragraphs>2416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2014-10-23T13:15:00Z</dcterms:created>
  <dcterms:modified xsi:type="dcterms:W3CDTF">2014-10-23T13:15:00Z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0x010100085C94FCDC74C245B842F5F07A6A99A0</vt:lpwstr>
  </property>
</Properties>
</file>