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B1978" w14:textId="77777777" w:rsidR="00A4517D" w:rsidRDefault="00973163" w:rsidP="00F82F64">
      <w:pPr>
        <w:pStyle w:val="Header"/>
      </w:pPr>
      <w:r>
        <w:rPr>
          <w:noProof/>
          <w:snapToGrid/>
        </w:rPr>
        <w:pict w14:anchorId="272FC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6pt;margin-top:29.85pt;width:63.75pt;height:54pt;z-index:251658240;visibility:visible;mso-wrap-edited:f;mso-position-horizontal-relative:page;mso-position-vertical-relative:page" o:allowincell="f" fillcolor="window">
            <v:imagedata r:id="rId9" o:title=""/>
            <w10:wrap anchorx="page" anchory="page"/>
          </v:shape>
          <o:OLEObject Type="Embed" ProgID="Word.Picture.8" ShapeID="_x0000_s1026" DrawAspect="Content" ObjectID="_1516514818" r:id="rId10"/>
        </w:pict>
      </w:r>
    </w:p>
    <w:p w14:paraId="4A7CC844" w14:textId="77777777" w:rsidR="00F82F64" w:rsidRDefault="00F82F64" w:rsidP="00E14FE5">
      <w:pPr>
        <w:pStyle w:val="Header"/>
        <w:jc w:val="center"/>
        <w:rPr>
          <w:color w:val="000000"/>
          <w:sz w:val="4"/>
        </w:rPr>
      </w:pPr>
      <w:r>
        <w:rPr>
          <w:rFonts w:ascii="Arial" w:hAnsi="Arial"/>
          <w:b/>
          <w:color w:val="008000"/>
          <w:sz w:val="22"/>
        </w:rPr>
        <w:t>DEPARTMENT OF THE TREASURY</w:t>
      </w:r>
    </w:p>
    <w:p w14:paraId="301BB0F9" w14:textId="77777777" w:rsidR="00F82F64" w:rsidRDefault="00F82F64" w:rsidP="00E14FE5">
      <w:pPr>
        <w:pStyle w:val="Header"/>
        <w:jc w:val="center"/>
        <w:rPr>
          <w:rFonts w:ascii="Arial" w:hAnsi="Arial"/>
          <w:b/>
          <w:color w:val="008000"/>
          <w:sz w:val="16"/>
        </w:rPr>
      </w:pPr>
      <w:r>
        <w:rPr>
          <w:rFonts w:ascii="Arial" w:hAnsi="Arial"/>
          <w:b/>
          <w:color w:val="008000"/>
          <w:sz w:val="16"/>
        </w:rPr>
        <w:t>WASHINGTON, D.C.  20220</w:t>
      </w:r>
    </w:p>
    <w:p w14:paraId="316109E3" w14:textId="77777777" w:rsidR="007810A9" w:rsidRDefault="007810A9" w:rsidP="00CB4944">
      <w:pPr>
        <w:tabs>
          <w:tab w:val="left" w:pos="4320"/>
        </w:tabs>
        <w:jc w:val="center"/>
      </w:pPr>
    </w:p>
    <w:p w14:paraId="72C5239A" w14:textId="77777777" w:rsidR="007810A9" w:rsidRDefault="007810A9" w:rsidP="007810A9">
      <w:pPr>
        <w:jc w:val="center"/>
        <w:rPr>
          <w:rFonts w:ascii="Arial Narrow" w:hAnsi="Arial Narrow" w:cs="Arial"/>
        </w:rPr>
      </w:pPr>
      <w:r w:rsidRPr="007810A9">
        <w:rPr>
          <w:rFonts w:ascii="Arial Narrow" w:hAnsi="Arial Narrow" w:cs="Arial"/>
        </w:rPr>
        <w:t>Supporting Statement</w:t>
      </w:r>
    </w:p>
    <w:p w14:paraId="0D9ECF41" w14:textId="77777777" w:rsidR="000B0490" w:rsidRDefault="004C6FB9" w:rsidP="007810A9">
      <w:pPr>
        <w:jc w:val="center"/>
        <w:rPr>
          <w:rFonts w:ascii="Arial Narrow" w:hAnsi="Arial Narrow" w:cs="Arial"/>
        </w:rPr>
      </w:pPr>
      <w:r>
        <w:rPr>
          <w:rFonts w:ascii="Arial Narrow" w:hAnsi="Arial Narrow" w:cs="Arial"/>
        </w:rPr>
        <w:t xml:space="preserve">Preliminary </w:t>
      </w:r>
      <w:r w:rsidR="004F734C" w:rsidRPr="004F734C">
        <w:rPr>
          <w:rFonts w:ascii="Arial Narrow" w:hAnsi="Arial Narrow" w:cs="Arial"/>
        </w:rPr>
        <w:t xml:space="preserve">Evaluation of the Community Development Financial Institutions Fund </w:t>
      </w:r>
    </w:p>
    <w:p w14:paraId="0FF3B87E" w14:textId="20819D7F" w:rsidR="00C05ADA" w:rsidRPr="007810A9" w:rsidRDefault="004F734C" w:rsidP="007810A9">
      <w:pPr>
        <w:jc w:val="center"/>
        <w:rPr>
          <w:rFonts w:ascii="Arial Narrow" w:hAnsi="Arial Narrow" w:cs="Arial"/>
        </w:rPr>
      </w:pPr>
      <w:r w:rsidRPr="004F734C">
        <w:rPr>
          <w:rFonts w:ascii="Arial Narrow" w:hAnsi="Arial Narrow" w:cs="Arial"/>
        </w:rPr>
        <w:t xml:space="preserve">Bank Enterprise Award Program </w:t>
      </w:r>
    </w:p>
    <w:p w14:paraId="13F982D5" w14:textId="77777777" w:rsidR="0027553B" w:rsidRPr="002715EB" w:rsidRDefault="0027553B" w:rsidP="007810A9">
      <w:pPr>
        <w:rPr>
          <w:rFonts w:ascii="Arial Narrow" w:hAnsi="Arial Narrow" w:cs="Arial"/>
          <w:strike/>
        </w:rPr>
      </w:pPr>
    </w:p>
    <w:p w14:paraId="09CD45D5" w14:textId="77777777" w:rsidR="0059274E" w:rsidRPr="00A0168D" w:rsidRDefault="0059274E" w:rsidP="0059274E">
      <w:pPr>
        <w:rPr>
          <w:rFonts w:ascii="Arial Narrow" w:hAnsi="Arial Narrow" w:cs="Arial"/>
        </w:rPr>
      </w:pPr>
      <w:r w:rsidRPr="00A0168D">
        <w:rPr>
          <w:rFonts w:ascii="Arial Narrow" w:hAnsi="Arial Narrow" w:cs="Arial"/>
        </w:rPr>
        <w:t>A.  Justification</w:t>
      </w:r>
    </w:p>
    <w:p w14:paraId="22FCA751" w14:textId="77777777" w:rsidR="0059274E" w:rsidRPr="00A0168D" w:rsidRDefault="0059274E" w:rsidP="0059274E">
      <w:pPr>
        <w:rPr>
          <w:rFonts w:ascii="Arial Narrow" w:hAnsi="Arial Narrow" w:cs="Arial"/>
        </w:rPr>
      </w:pPr>
    </w:p>
    <w:p w14:paraId="4E641991" w14:textId="77777777" w:rsidR="00CC6402" w:rsidRPr="00A0168D" w:rsidRDefault="00CC6402" w:rsidP="000D1628">
      <w:pPr>
        <w:pStyle w:val="Heading1"/>
      </w:pPr>
      <w:r w:rsidRPr="00A0168D">
        <w:t>1.  Circumstances necessitating collection of information</w:t>
      </w:r>
    </w:p>
    <w:p w14:paraId="7135B50D" w14:textId="77777777" w:rsidR="00CC6402" w:rsidRDefault="00CC6402" w:rsidP="00CC6402">
      <w:pPr>
        <w:rPr>
          <w:rFonts w:ascii="Arial Narrow" w:hAnsi="Arial Narrow" w:cs="Arial"/>
        </w:rPr>
      </w:pPr>
    </w:p>
    <w:p w14:paraId="427C486B" w14:textId="77777777" w:rsidR="00F91747" w:rsidRDefault="00CC6402" w:rsidP="00CC6402">
      <w:pPr>
        <w:rPr>
          <w:rFonts w:ascii="Arial Narrow" w:hAnsi="Arial Narrow" w:cs="Arial"/>
        </w:rPr>
      </w:pPr>
      <w:r w:rsidRPr="00A0168D">
        <w:rPr>
          <w:rFonts w:ascii="Arial Narrow" w:hAnsi="Arial Narrow" w:cs="Arial"/>
        </w:rPr>
        <w:t>Pursuant to the Riegle Community Development Banking and Financial Institutions Act of 1994, as amended (the Act, 12 USC 4701 et seq.), the Bank Enterprise Award Program (BEA Program) complements the community development activities of insured depository institutions by providing financial incentives to expand investments in CDFIs</w:t>
      </w:r>
      <w:r>
        <w:rPr>
          <w:rFonts w:ascii="Arial Narrow" w:hAnsi="Arial Narrow" w:cs="Arial"/>
        </w:rPr>
        <w:t>;</w:t>
      </w:r>
      <w:r w:rsidRPr="00A0168D">
        <w:rPr>
          <w:rFonts w:ascii="Arial Narrow" w:hAnsi="Arial Narrow" w:cs="Arial"/>
        </w:rPr>
        <w:t xml:space="preserve"> and to increase lending, investment, and service activities within economically distressed communities where at least 30 percent of residents have incomes less than the national poverty level and where the unemployment rate is at least 1.5 times the national unemployment rate.   </w:t>
      </w:r>
    </w:p>
    <w:p w14:paraId="2B13A624" w14:textId="77777777" w:rsidR="00747A97" w:rsidRDefault="00747A97" w:rsidP="00CC6402">
      <w:pPr>
        <w:rPr>
          <w:rFonts w:ascii="Arial Narrow" w:hAnsi="Arial Narrow" w:cs="Arial"/>
        </w:rPr>
      </w:pPr>
    </w:p>
    <w:p w14:paraId="6ADD7A90" w14:textId="640E3A06" w:rsidR="00F91747" w:rsidRDefault="00747A97" w:rsidP="00CC6402">
      <w:pPr>
        <w:rPr>
          <w:rFonts w:ascii="Arial Narrow" w:hAnsi="Arial Narrow" w:cs="Arial"/>
        </w:rPr>
      </w:pPr>
      <w:r>
        <w:rPr>
          <w:rFonts w:ascii="Arial Narrow" w:hAnsi="Arial Narrow" w:cs="Arial"/>
        </w:rPr>
        <w:t>Th</w:t>
      </w:r>
      <w:r w:rsidR="002D40D4">
        <w:rPr>
          <w:rFonts w:ascii="Arial Narrow" w:hAnsi="Arial Narrow" w:cs="Arial"/>
        </w:rPr>
        <w:t>is</w:t>
      </w:r>
      <w:r>
        <w:rPr>
          <w:rFonts w:ascii="Arial Narrow" w:hAnsi="Arial Narrow" w:cs="Arial"/>
        </w:rPr>
        <w:t xml:space="preserve"> data collection is</w:t>
      </w:r>
      <w:r w:rsidR="00F91747" w:rsidRPr="00F91747">
        <w:rPr>
          <w:rFonts w:ascii="Arial Narrow" w:hAnsi="Arial Narrow" w:cs="Arial"/>
        </w:rPr>
        <w:t xml:space="preserve"> </w:t>
      </w:r>
      <w:r w:rsidR="002F7182">
        <w:rPr>
          <w:rFonts w:ascii="Arial Narrow" w:hAnsi="Arial Narrow" w:cs="Arial"/>
        </w:rPr>
        <w:t>the first</w:t>
      </w:r>
      <w:r w:rsidR="002D40D4">
        <w:rPr>
          <w:rFonts w:ascii="Arial Narrow" w:hAnsi="Arial Narrow" w:cs="Arial"/>
        </w:rPr>
        <w:t xml:space="preserve"> step </w:t>
      </w:r>
      <w:r w:rsidR="002F7182">
        <w:rPr>
          <w:rFonts w:ascii="Arial Narrow" w:hAnsi="Arial Narrow" w:cs="Arial"/>
        </w:rPr>
        <w:t>towards a</w:t>
      </w:r>
      <w:r w:rsidR="002D40D4">
        <w:rPr>
          <w:rFonts w:ascii="Arial Narrow" w:hAnsi="Arial Narrow" w:cs="Arial"/>
        </w:rPr>
        <w:t xml:space="preserve"> </w:t>
      </w:r>
      <w:r w:rsidR="00E218DA">
        <w:rPr>
          <w:rFonts w:ascii="Arial Narrow" w:hAnsi="Arial Narrow" w:cs="Arial"/>
        </w:rPr>
        <w:t xml:space="preserve">larger </w:t>
      </w:r>
      <w:r w:rsidR="00F91747">
        <w:rPr>
          <w:rFonts w:ascii="Arial Narrow" w:hAnsi="Arial Narrow" w:cs="Arial"/>
        </w:rPr>
        <w:t>research effort to conduct a</w:t>
      </w:r>
      <w:r w:rsidR="002F7182">
        <w:rPr>
          <w:rFonts w:ascii="Arial Narrow" w:hAnsi="Arial Narrow" w:cs="Arial"/>
        </w:rPr>
        <w:t xml:space="preserve">n evaluation of the </w:t>
      </w:r>
      <w:r w:rsidR="00F91747" w:rsidRPr="00F91747">
        <w:rPr>
          <w:rFonts w:ascii="Arial Narrow" w:hAnsi="Arial Narrow" w:cs="Arial"/>
        </w:rPr>
        <w:t>BEA</w:t>
      </w:r>
      <w:r w:rsidR="00A8288A">
        <w:rPr>
          <w:rFonts w:ascii="Arial Narrow" w:hAnsi="Arial Narrow" w:cs="Arial"/>
        </w:rPr>
        <w:t xml:space="preserve"> Program</w:t>
      </w:r>
      <w:r w:rsidR="002F7182">
        <w:rPr>
          <w:rFonts w:ascii="Arial Narrow" w:hAnsi="Arial Narrow" w:cs="Arial"/>
        </w:rPr>
        <w:t>. This will entail</w:t>
      </w:r>
      <w:r w:rsidR="00E218DA">
        <w:rPr>
          <w:rFonts w:ascii="Arial Narrow" w:hAnsi="Arial Narrow" w:cs="Arial"/>
        </w:rPr>
        <w:t>:</w:t>
      </w:r>
      <w:r w:rsidR="00F91747" w:rsidRPr="00F91747">
        <w:rPr>
          <w:rFonts w:ascii="Arial Narrow" w:hAnsi="Arial Narrow" w:cs="Arial"/>
        </w:rPr>
        <w:t xml:space="preserve"> </w:t>
      </w:r>
      <w:r w:rsidR="004C6FB9">
        <w:rPr>
          <w:rFonts w:ascii="Arial Narrow" w:hAnsi="Arial Narrow" w:cs="Arial"/>
        </w:rPr>
        <w:t xml:space="preserve">1) </w:t>
      </w:r>
      <w:r w:rsidR="00F91747" w:rsidRPr="00F91747">
        <w:rPr>
          <w:rFonts w:ascii="Arial Narrow" w:hAnsi="Arial Narrow" w:cs="Arial"/>
        </w:rPr>
        <w:t xml:space="preserve">a detailed analysis of program’s history and evolution; </w:t>
      </w:r>
      <w:r w:rsidR="004C6FB9">
        <w:rPr>
          <w:rFonts w:ascii="Arial Narrow" w:hAnsi="Arial Narrow" w:cs="Arial"/>
        </w:rPr>
        <w:t xml:space="preserve">2) </w:t>
      </w:r>
      <w:r w:rsidR="00902DF1">
        <w:rPr>
          <w:rFonts w:ascii="Arial Narrow" w:hAnsi="Arial Narrow" w:cs="Arial"/>
        </w:rPr>
        <w:t>an</w:t>
      </w:r>
      <w:r w:rsidR="0044167A">
        <w:rPr>
          <w:rFonts w:ascii="Arial Narrow" w:hAnsi="Arial Narrow" w:cs="Arial"/>
        </w:rPr>
        <w:t xml:space="preserve"> analysis of the difference</w:t>
      </w:r>
      <w:r w:rsidR="00A8288A">
        <w:rPr>
          <w:rFonts w:ascii="Arial Narrow" w:hAnsi="Arial Narrow" w:cs="Arial"/>
        </w:rPr>
        <w:t>s</w:t>
      </w:r>
      <w:r w:rsidR="0044167A">
        <w:rPr>
          <w:rFonts w:ascii="Arial Narrow" w:hAnsi="Arial Narrow" w:cs="Arial"/>
        </w:rPr>
        <w:t xml:space="preserve"> in the distribution and socioeconomic </w:t>
      </w:r>
      <w:r w:rsidR="00A8288A">
        <w:rPr>
          <w:rFonts w:ascii="Arial Narrow" w:hAnsi="Arial Narrow" w:cs="Arial"/>
        </w:rPr>
        <w:t>characteristics</w:t>
      </w:r>
      <w:r w:rsidR="0044167A">
        <w:rPr>
          <w:rFonts w:ascii="Arial Narrow" w:hAnsi="Arial Narrow" w:cs="Arial"/>
        </w:rPr>
        <w:t xml:space="preserve"> of BEA qualified census tracts as compared to </w:t>
      </w:r>
      <w:r w:rsidR="0044167A" w:rsidRPr="0044167A">
        <w:rPr>
          <w:rFonts w:ascii="Arial Narrow" w:hAnsi="Arial Narrow" w:cs="Arial"/>
        </w:rPr>
        <w:t>Community Reinvestment Act (CRA)</w:t>
      </w:r>
      <w:r w:rsidR="0044167A">
        <w:rPr>
          <w:rFonts w:ascii="Arial Narrow" w:hAnsi="Arial Narrow" w:cs="Arial"/>
        </w:rPr>
        <w:t xml:space="preserve"> qualified census tracts; </w:t>
      </w:r>
      <w:r w:rsidR="004C6FB9">
        <w:rPr>
          <w:rFonts w:ascii="Arial Narrow" w:hAnsi="Arial Narrow" w:cs="Arial"/>
        </w:rPr>
        <w:t xml:space="preserve">3) </w:t>
      </w:r>
      <w:r w:rsidR="00F91747" w:rsidRPr="00F91747">
        <w:rPr>
          <w:rFonts w:ascii="Arial Narrow" w:hAnsi="Arial Narrow" w:cs="Arial"/>
        </w:rPr>
        <w:t>an analysis of the characterist</w:t>
      </w:r>
      <w:r w:rsidR="00E218DA">
        <w:rPr>
          <w:rFonts w:ascii="Arial Narrow" w:hAnsi="Arial Narrow" w:cs="Arial"/>
        </w:rPr>
        <w:t xml:space="preserve">ics of applicants and awardees, </w:t>
      </w:r>
      <w:r w:rsidR="00F91747" w:rsidRPr="00F91747">
        <w:rPr>
          <w:rFonts w:ascii="Arial Narrow" w:hAnsi="Arial Narrow" w:cs="Arial"/>
        </w:rPr>
        <w:t xml:space="preserve">and the types and levels of activities undertaken by applicants and awardees; </w:t>
      </w:r>
      <w:r w:rsidR="004C6FB9">
        <w:rPr>
          <w:rFonts w:ascii="Arial Narrow" w:hAnsi="Arial Narrow" w:cs="Arial"/>
        </w:rPr>
        <w:t xml:space="preserve">4) </w:t>
      </w:r>
      <w:r w:rsidR="00F91747" w:rsidRPr="00F91747">
        <w:rPr>
          <w:rFonts w:ascii="Arial Narrow" w:hAnsi="Arial Narrow" w:cs="Arial"/>
        </w:rPr>
        <w:t>a c</w:t>
      </w:r>
      <w:r>
        <w:rPr>
          <w:rFonts w:ascii="Arial Narrow" w:hAnsi="Arial Narrow" w:cs="Arial"/>
        </w:rPr>
        <w:t>omparison of BEA applicants</w:t>
      </w:r>
      <w:r w:rsidR="00F91747" w:rsidRPr="00F91747">
        <w:rPr>
          <w:rFonts w:ascii="Arial Narrow" w:hAnsi="Arial Narrow" w:cs="Arial"/>
        </w:rPr>
        <w:t xml:space="preserve"> </w:t>
      </w:r>
      <w:r>
        <w:rPr>
          <w:rFonts w:ascii="Arial Narrow" w:hAnsi="Arial Narrow" w:cs="Arial"/>
        </w:rPr>
        <w:t xml:space="preserve">with </w:t>
      </w:r>
      <w:r w:rsidR="00F91747" w:rsidRPr="00F91747">
        <w:rPr>
          <w:rFonts w:ascii="Arial Narrow" w:hAnsi="Arial Narrow" w:cs="Arial"/>
        </w:rPr>
        <w:t>peer banks and the communities they served</w:t>
      </w:r>
      <w:r w:rsidR="0044167A">
        <w:rPr>
          <w:rFonts w:ascii="Arial Narrow" w:hAnsi="Arial Narrow" w:cs="Arial"/>
        </w:rPr>
        <w:t xml:space="preserve"> </w:t>
      </w:r>
      <w:r w:rsidR="004C6FB9">
        <w:rPr>
          <w:rFonts w:ascii="Arial Narrow" w:hAnsi="Arial Narrow" w:cs="Arial"/>
        </w:rPr>
        <w:t>u</w:t>
      </w:r>
      <w:r w:rsidR="00902DF1">
        <w:rPr>
          <w:rFonts w:ascii="Arial Narrow" w:hAnsi="Arial Narrow" w:cs="Arial"/>
        </w:rPr>
        <w:t>s</w:t>
      </w:r>
      <w:r w:rsidR="004C6FB9">
        <w:rPr>
          <w:rFonts w:ascii="Arial Narrow" w:hAnsi="Arial Narrow" w:cs="Arial"/>
        </w:rPr>
        <w:t>ing summary bank data and Home Mortgage Disclosure Act data to analyze</w:t>
      </w:r>
      <w:r w:rsidR="0044167A">
        <w:rPr>
          <w:rFonts w:ascii="Arial Narrow" w:hAnsi="Arial Narrow" w:cs="Arial"/>
        </w:rPr>
        <w:t xml:space="preserve"> variations across BEA and CRA qualified areas</w:t>
      </w:r>
      <w:r w:rsidR="00F91747" w:rsidRPr="00F91747">
        <w:rPr>
          <w:rFonts w:ascii="Arial Narrow" w:hAnsi="Arial Narrow" w:cs="Arial"/>
        </w:rPr>
        <w:t xml:space="preserve">; </w:t>
      </w:r>
      <w:r w:rsidR="004C6FB9">
        <w:rPr>
          <w:rFonts w:ascii="Arial Narrow" w:hAnsi="Arial Narrow" w:cs="Arial"/>
        </w:rPr>
        <w:t xml:space="preserve">5) </w:t>
      </w:r>
      <w:r>
        <w:rPr>
          <w:rFonts w:ascii="Arial Narrow" w:hAnsi="Arial Narrow" w:cs="Arial"/>
        </w:rPr>
        <w:t>the online survey of all BEA applican</w:t>
      </w:r>
      <w:r w:rsidR="004C6FB9">
        <w:rPr>
          <w:rFonts w:ascii="Arial Narrow" w:hAnsi="Arial Narrow" w:cs="Arial"/>
        </w:rPr>
        <w:t>ts for the 2012-2014 period,</w:t>
      </w:r>
      <w:r>
        <w:rPr>
          <w:rFonts w:ascii="Arial Narrow" w:hAnsi="Arial Narrow" w:cs="Arial"/>
        </w:rPr>
        <w:t xml:space="preserve"> </w:t>
      </w:r>
      <w:r w:rsidR="004C6FB9">
        <w:rPr>
          <w:rFonts w:ascii="Arial Narrow" w:hAnsi="Arial Narrow" w:cs="Arial"/>
        </w:rPr>
        <w:t>6)</w:t>
      </w:r>
      <w:r w:rsidR="00F91747" w:rsidRPr="00F91747">
        <w:rPr>
          <w:rFonts w:ascii="Arial Narrow" w:hAnsi="Arial Narrow" w:cs="Arial"/>
        </w:rPr>
        <w:t xml:space="preserve"> semi-structured interv</w:t>
      </w:r>
      <w:r>
        <w:rPr>
          <w:rFonts w:ascii="Arial Narrow" w:hAnsi="Arial Narrow" w:cs="Arial"/>
        </w:rPr>
        <w:t xml:space="preserve">iews with subsets of applicants; and </w:t>
      </w:r>
      <w:r w:rsidR="004C6FB9">
        <w:rPr>
          <w:rFonts w:ascii="Arial Narrow" w:hAnsi="Arial Narrow" w:cs="Arial"/>
        </w:rPr>
        <w:t xml:space="preserve">7) </w:t>
      </w:r>
      <w:r>
        <w:rPr>
          <w:rFonts w:ascii="Arial Narrow" w:hAnsi="Arial Narrow" w:cs="Arial"/>
        </w:rPr>
        <w:t>an integrated summary</w:t>
      </w:r>
      <w:r w:rsidR="00F91747">
        <w:rPr>
          <w:rFonts w:ascii="Arial Narrow" w:hAnsi="Arial Narrow" w:cs="Arial"/>
        </w:rPr>
        <w:t xml:space="preserve"> of these findings about </w:t>
      </w:r>
      <w:r w:rsidR="00902DF1">
        <w:rPr>
          <w:rFonts w:ascii="Arial Narrow" w:hAnsi="Arial Narrow" w:cs="Arial"/>
        </w:rPr>
        <w:t xml:space="preserve">the </w:t>
      </w:r>
      <w:r w:rsidR="00F91747">
        <w:rPr>
          <w:rFonts w:ascii="Arial Narrow" w:hAnsi="Arial Narrow" w:cs="Arial"/>
        </w:rPr>
        <w:t>program</w:t>
      </w:r>
      <w:r>
        <w:rPr>
          <w:rFonts w:ascii="Arial Narrow" w:hAnsi="Arial Narrow" w:cs="Arial"/>
        </w:rPr>
        <w:t xml:space="preserve"> and recommendations </w:t>
      </w:r>
      <w:r w:rsidR="000B0490">
        <w:rPr>
          <w:rFonts w:ascii="Arial Narrow" w:hAnsi="Arial Narrow" w:cs="Arial"/>
        </w:rPr>
        <w:t>for further quantitative</w:t>
      </w:r>
      <w:r w:rsidR="000B0490" w:rsidRPr="000B0490">
        <w:rPr>
          <w:rFonts w:ascii="Arial Narrow" w:hAnsi="Arial Narrow" w:cs="Arial"/>
        </w:rPr>
        <w:t xml:space="preserve"> designs </w:t>
      </w:r>
      <w:r w:rsidR="00D462F3">
        <w:rPr>
          <w:rFonts w:ascii="Arial Narrow" w:hAnsi="Arial Narrow" w:cs="Arial"/>
        </w:rPr>
        <w:t xml:space="preserve">for </w:t>
      </w:r>
      <w:r w:rsidR="000B0490">
        <w:rPr>
          <w:rFonts w:ascii="Arial Narrow" w:hAnsi="Arial Narrow" w:cs="Arial"/>
        </w:rPr>
        <w:t>e</w:t>
      </w:r>
      <w:r>
        <w:rPr>
          <w:rFonts w:ascii="Arial Narrow" w:hAnsi="Arial Narrow" w:cs="Arial"/>
        </w:rPr>
        <w:t xml:space="preserve">valuation of the program. </w:t>
      </w:r>
      <w:r w:rsidR="00F91747">
        <w:rPr>
          <w:rFonts w:ascii="Arial Narrow" w:hAnsi="Arial Narrow" w:cs="Arial"/>
        </w:rPr>
        <w:t xml:space="preserve"> </w:t>
      </w:r>
    </w:p>
    <w:p w14:paraId="6EF05402" w14:textId="77777777" w:rsidR="00747A97" w:rsidRDefault="00747A97" w:rsidP="00CC6402">
      <w:pPr>
        <w:rPr>
          <w:rFonts w:ascii="Arial Narrow" w:hAnsi="Arial Narrow"/>
        </w:rPr>
      </w:pPr>
    </w:p>
    <w:p w14:paraId="346FAAB6" w14:textId="10D4E13B" w:rsidR="00CC6402" w:rsidRPr="00A0168D" w:rsidRDefault="00CC6402" w:rsidP="00CC6402">
      <w:pPr>
        <w:rPr>
          <w:rFonts w:ascii="Arial Narrow" w:hAnsi="Arial Narrow"/>
        </w:rPr>
      </w:pPr>
      <w:r w:rsidRPr="00A0168D">
        <w:rPr>
          <w:rFonts w:ascii="Arial Narrow" w:hAnsi="Arial Narrow"/>
        </w:rPr>
        <w:t xml:space="preserve">Treasury will use the information </w:t>
      </w:r>
      <w:r w:rsidR="00747A97">
        <w:rPr>
          <w:rFonts w:ascii="Arial Narrow" w:hAnsi="Arial Narrow"/>
        </w:rPr>
        <w:t>from t</w:t>
      </w:r>
      <w:r w:rsidR="002F7182">
        <w:rPr>
          <w:rFonts w:ascii="Arial Narrow" w:hAnsi="Arial Narrow"/>
        </w:rPr>
        <w:t>his current</w:t>
      </w:r>
      <w:r w:rsidR="00747A97">
        <w:rPr>
          <w:rFonts w:ascii="Arial Narrow" w:hAnsi="Arial Narrow"/>
        </w:rPr>
        <w:t xml:space="preserve"> data collection </w:t>
      </w:r>
      <w:r w:rsidRPr="00A0168D">
        <w:rPr>
          <w:rFonts w:ascii="Arial Narrow" w:hAnsi="Arial Narrow"/>
        </w:rPr>
        <w:t xml:space="preserve">for three purposes: </w:t>
      </w:r>
    </w:p>
    <w:p w14:paraId="3AF4CCAD" w14:textId="77777777" w:rsidR="00CC6402" w:rsidRPr="00A0168D" w:rsidRDefault="00CC6402" w:rsidP="00CC6402">
      <w:pPr>
        <w:rPr>
          <w:rFonts w:ascii="Arial Narrow" w:hAnsi="Arial Narrow"/>
        </w:rPr>
      </w:pPr>
      <w:r w:rsidRPr="00A0168D">
        <w:rPr>
          <w:rFonts w:ascii="Arial Narrow" w:hAnsi="Arial Narrow"/>
        </w:rPr>
        <w:t xml:space="preserve"> </w:t>
      </w:r>
    </w:p>
    <w:p w14:paraId="5C5CEA67" w14:textId="0FC69E84" w:rsidR="00CC6402" w:rsidRPr="00A0168D" w:rsidRDefault="00CC6402" w:rsidP="00906832">
      <w:pPr>
        <w:pStyle w:val="ListParagraph"/>
        <w:numPr>
          <w:ilvl w:val="0"/>
          <w:numId w:val="42"/>
        </w:numPr>
        <w:rPr>
          <w:rFonts w:ascii="Arial Narrow" w:hAnsi="Arial Narrow"/>
        </w:rPr>
      </w:pPr>
      <w:r w:rsidRPr="00A0168D">
        <w:rPr>
          <w:rFonts w:ascii="Arial Narrow" w:hAnsi="Arial Narrow"/>
        </w:rPr>
        <w:t xml:space="preserve">To </w:t>
      </w:r>
      <w:r w:rsidR="00906832">
        <w:rPr>
          <w:rFonts w:ascii="Arial Narrow" w:hAnsi="Arial Narrow"/>
        </w:rPr>
        <w:t>g</w:t>
      </w:r>
      <w:r w:rsidR="00906832" w:rsidRPr="00906832">
        <w:rPr>
          <w:rFonts w:ascii="Arial Narrow" w:hAnsi="Arial Narrow"/>
        </w:rPr>
        <w:t>ather opinions from Bank Applicants’ BEA and</w:t>
      </w:r>
      <w:r w:rsidR="00906832">
        <w:rPr>
          <w:rFonts w:ascii="Arial Narrow" w:hAnsi="Arial Narrow"/>
        </w:rPr>
        <w:t xml:space="preserve"> CRA investment managers about</w:t>
      </w:r>
      <w:r w:rsidR="00906832" w:rsidRPr="00906832">
        <w:rPr>
          <w:rFonts w:ascii="Arial Narrow" w:hAnsi="Arial Narrow"/>
        </w:rPr>
        <w:t xml:space="preserve"> the functioning of the BEA Prog</w:t>
      </w:r>
      <w:r w:rsidR="00906832">
        <w:rPr>
          <w:rFonts w:ascii="Arial Narrow" w:hAnsi="Arial Narrow"/>
        </w:rPr>
        <w:t>ram</w:t>
      </w:r>
      <w:r w:rsidRPr="00A0168D">
        <w:rPr>
          <w:rFonts w:ascii="Arial Narrow" w:hAnsi="Arial Narrow"/>
        </w:rPr>
        <w:t xml:space="preserve">.  </w:t>
      </w:r>
    </w:p>
    <w:p w14:paraId="73995E49" w14:textId="64496D86" w:rsidR="00CC6402" w:rsidRPr="00A0168D" w:rsidRDefault="00CC6402" w:rsidP="00F91747">
      <w:pPr>
        <w:pStyle w:val="ListParagraph"/>
        <w:numPr>
          <w:ilvl w:val="0"/>
          <w:numId w:val="42"/>
        </w:numPr>
        <w:rPr>
          <w:rFonts w:ascii="Arial Narrow" w:hAnsi="Arial Narrow"/>
        </w:rPr>
      </w:pPr>
      <w:r w:rsidRPr="00A0168D">
        <w:rPr>
          <w:rFonts w:ascii="Arial Narrow" w:hAnsi="Arial Narrow"/>
        </w:rPr>
        <w:t xml:space="preserve">To </w:t>
      </w:r>
      <w:r w:rsidR="00B101A4">
        <w:rPr>
          <w:rFonts w:ascii="Arial Narrow" w:hAnsi="Arial Narrow"/>
        </w:rPr>
        <w:t>gather opinions of all BEA program applicants for 2012, 2013 and 2014</w:t>
      </w:r>
      <w:r w:rsidR="00500A7D">
        <w:rPr>
          <w:rFonts w:ascii="Arial Narrow" w:hAnsi="Arial Narrow"/>
        </w:rPr>
        <w:t xml:space="preserve"> rounds </w:t>
      </w:r>
      <w:r w:rsidR="00B101A4">
        <w:rPr>
          <w:rFonts w:ascii="Arial Narrow" w:hAnsi="Arial Narrow"/>
        </w:rPr>
        <w:t xml:space="preserve">on </w:t>
      </w:r>
      <w:r w:rsidRPr="00A0168D">
        <w:rPr>
          <w:rFonts w:ascii="Arial Narrow" w:hAnsi="Arial Narrow"/>
        </w:rPr>
        <w:t xml:space="preserve">the </w:t>
      </w:r>
      <w:r w:rsidR="000D0A43">
        <w:rPr>
          <w:rFonts w:ascii="Arial Narrow" w:hAnsi="Arial Narrow"/>
        </w:rPr>
        <w:t xml:space="preserve">relationship between the </w:t>
      </w:r>
      <w:r w:rsidRPr="00A0168D">
        <w:rPr>
          <w:rFonts w:ascii="Arial Narrow" w:hAnsi="Arial Narrow"/>
        </w:rPr>
        <w:t xml:space="preserve">BEA Program </w:t>
      </w:r>
      <w:r w:rsidR="000D0A43">
        <w:rPr>
          <w:rFonts w:ascii="Arial Narrow" w:hAnsi="Arial Narrow"/>
        </w:rPr>
        <w:t>and</w:t>
      </w:r>
      <w:r w:rsidRPr="00A0168D">
        <w:rPr>
          <w:rFonts w:ascii="Arial Narrow" w:hAnsi="Arial Narrow"/>
        </w:rPr>
        <w:t xml:space="preserve"> the Community Reinvestment Act </w:t>
      </w:r>
      <w:r w:rsidR="00F91747" w:rsidRPr="00F91747">
        <w:rPr>
          <w:rFonts w:ascii="Arial Narrow" w:hAnsi="Arial Narrow"/>
        </w:rPr>
        <w:t xml:space="preserve">(CRA) </w:t>
      </w:r>
      <w:r w:rsidR="00F91747">
        <w:rPr>
          <w:rFonts w:ascii="Arial Narrow" w:hAnsi="Arial Narrow"/>
        </w:rPr>
        <w:t>regulations</w:t>
      </w:r>
      <w:r w:rsidRPr="00A0168D">
        <w:rPr>
          <w:rFonts w:ascii="Arial Narrow" w:hAnsi="Arial Narrow"/>
        </w:rPr>
        <w:t xml:space="preserve">. </w:t>
      </w:r>
    </w:p>
    <w:p w14:paraId="5DC313CC" w14:textId="25A4489B" w:rsidR="00CC6402" w:rsidRPr="00A0168D" w:rsidRDefault="00CC6402" w:rsidP="00CC6402">
      <w:pPr>
        <w:pStyle w:val="ListParagraph"/>
        <w:numPr>
          <w:ilvl w:val="0"/>
          <w:numId w:val="42"/>
        </w:numPr>
        <w:rPr>
          <w:rFonts w:ascii="Arial Narrow" w:hAnsi="Arial Narrow"/>
        </w:rPr>
      </w:pPr>
      <w:r w:rsidRPr="00A0168D">
        <w:rPr>
          <w:rFonts w:ascii="Arial Narrow" w:hAnsi="Arial Narrow"/>
        </w:rPr>
        <w:t xml:space="preserve">To chronicle the BEA Program as it is currently configured and </w:t>
      </w:r>
      <w:r w:rsidR="004A2C5B">
        <w:rPr>
          <w:rFonts w:ascii="Arial Narrow" w:hAnsi="Arial Narrow"/>
        </w:rPr>
        <w:t xml:space="preserve">to better understand </w:t>
      </w:r>
      <w:r w:rsidR="002543C2">
        <w:rPr>
          <w:rFonts w:ascii="Arial Narrow" w:hAnsi="Arial Narrow"/>
        </w:rPr>
        <w:t xml:space="preserve">how </w:t>
      </w:r>
      <w:r w:rsidR="004A2C5B">
        <w:rPr>
          <w:rFonts w:ascii="Arial Narrow" w:hAnsi="Arial Narrow"/>
        </w:rPr>
        <w:t xml:space="preserve">the </w:t>
      </w:r>
      <w:r w:rsidR="0087302F">
        <w:rPr>
          <w:rFonts w:ascii="Arial Narrow" w:hAnsi="Arial Narrow"/>
        </w:rPr>
        <w:t>program</w:t>
      </w:r>
      <w:r w:rsidR="00906832">
        <w:rPr>
          <w:rFonts w:ascii="Arial Narrow" w:hAnsi="Arial Narrow"/>
        </w:rPr>
        <w:t xml:space="preserve"> </w:t>
      </w:r>
      <w:r w:rsidR="002543C2">
        <w:rPr>
          <w:rFonts w:ascii="Arial Narrow" w:hAnsi="Arial Narrow"/>
        </w:rPr>
        <w:t xml:space="preserve">is perceived to </w:t>
      </w:r>
      <w:r w:rsidRPr="00A0168D">
        <w:rPr>
          <w:rFonts w:ascii="Arial Narrow" w:hAnsi="Arial Narrow"/>
        </w:rPr>
        <w:t xml:space="preserve">operate </w:t>
      </w:r>
      <w:r w:rsidR="002543C2">
        <w:rPr>
          <w:rFonts w:ascii="Arial Narrow" w:hAnsi="Arial Narrow"/>
        </w:rPr>
        <w:t xml:space="preserve">as an incentive for </w:t>
      </w:r>
      <w:r w:rsidRPr="00A0168D">
        <w:rPr>
          <w:rFonts w:ascii="Arial Narrow" w:hAnsi="Arial Narrow"/>
        </w:rPr>
        <w:t xml:space="preserve">program </w:t>
      </w:r>
      <w:r w:rsidR="002543C2">
        <w:rPr>
          <w:rFonts w:ascii="Arial Narrow" w:hAnsi="Arial Narrow"/>
        </w:rPr>
        <w:t>applicants and awardees</w:t>
      </w:r>
      <w:r w:rsidR="00F91747">
        <w:rPr>
          <w:rFonts w:ascii="Arial Narrow" w:hAnsi="Arial Narrow"/>
        </w:rPr>
        <w:t xml:space="preserve"> to invest and maintain activities in BEA qualified census tracts.</w:t>
      </w:r>
    </w:p>
    <w:p w14:paraId="1FDB6DED" w14:textId="77777777" w:rsidR="00CC6402" w:rsidRPr="00A0168D" w:rsidRDefault="00CC6402" w:rsidP="00CC6402">
      <w:pPr>
        <w:rPr>
          <w:rFonts w:ascii="Arial Narrow" w:hAnsi="Arial Narrow" w:cs="Arial"/>
        </w:rPr>
      </w:pPr>
    </w:p>
    <w:p w14:paraId="4014D764" w14:textId="4118C523" w:rsidR="00CC6402" w:rsidRPr="00A0168D" w:rsidRDefault="00CC6402" w:rsidP="00CC6402">
      <w:pPr>
        <w:rPr>
          <w:rFonts w:ascii="Arial Narrow" w:hAnsi="Arial Narrow" w:cs="Arial"/>
        </w:rPr>
      </w:pPr>
      <w:r w:rsidRPr="00A0168D">
        <w:rPr>
          <w:rFonts w:ascii="Arial Narrow" w:hAnsi="Arial Narrow" w:cs="Arial"/>
        </w:rPr>
        <w:t xml:space="preserve">Each </w:t>
      </w:r>
      <w:r>
        <w:rPr>
          <w:rFonts w:ascii="Arial Narrow" w:hAnsi="Arial Narrow" w:cs="Arial"/>
        </w:rPr>
        <w:t xml:space="preserve">purpose </w:t>
      </w:r>
      <w:r w:rsidRPr="00A0168D">
        <w:rPr>
          <w:rFonts w:ascii="Arial Narrow" w:hAnsi="Arial Narrow" w:cs="Arial"/>
        </w:rPr>
        <w:t>is discussed in detail below in relation to each of the t</w:t>
      </w:r>
      <w:r w:rsidR="00B101A4">
        <w:rPr>
          <w:rFonts w:ascii="Arial Narrow" w:hAnsi="Arial Narrow" w:cs="Arial"/>
        </w:rPr>
        <w:t>wo</w:t>
      </w:r>
      <w:r w:rsidRPr="00A0168D">
        <w:rPr>
          <w:rFonts w:ascii="Arial Narrow" w:hAnsi="Arial Narrow" w:cs="Arial"/>
        </w:rPr>
        <w:t xml:space="preserve"> data collection</w:t>
      </w:r>
      <w:r w:rsidR="00B101A4">
        <w:rPr>
          <w:rFonts w:ascii="Arial Narrow" w:hAnsi="Arial Narrow" w:cs="Arial"/>
        </w:rPr>
        <w:t>s</w:t>
      </w:r>
      <w:r w:rsidRPr="00A0168D">
        <w:rPr>
          <w:rFonts w:ascii="Arial Narrow" w:hAnsi="Arial Narrow" w:cs="Arial"/>
        </w:rPr>
        <w:t xml:space="preserve">:  1) an </w:t>
      </w:r>
      <w:r>
        <w:rPr>
          <w:rFonts w:ascii="Arial Narrow" w:hAnsi="Arial Narrow" w:cs="Arial"/>
        </w:rPr>
        <w:t>online survey,</w:t>
      </w:r>
      <w:r w:rsidRPr="00A0168D">
        <w:rPr>
          <w:rFonts w:ascii="Arial Narrow" w:hAnsi="Arial Narrow" w:cs="Arial"/>
        </w:rPr>
        <w:t xml:space="preserve"> </w:t>
      </w:r>
      <w:r w:rsidRPr="00697A66">
        <w:rPr>
          <w:rFonts w:ascii="Arial Narrow" w:hAnsi="Arial Narrow" w:cs="Arial"/>
        </w:rPr>
        <w:t xml:space="preserve">and </w:t>
      </w:r>
      <w:r w:rsidR="00B101A4">
        <w:rPr>
          <w:rFonts w:ascii="Arial Narrow" w:hAnsi="Arial Narrow" w:cs="Arial"/>
        </w:rPr>
        <w:t>2</w:t>
      </w:r>
      <w:r w:rsidR="00A5691E">
        <w:rPr>
          <w:rFonts w:ascii="Arial Narrow" w:hAnsi="Arial Narrow" w:cs="Arial"/>
        </w:rPr>
        <w:t>) the semi-structured</w:t>
      </w:r>
      <w:r w:rsidRPr="00697A66">
        <w:rPr>
          <w:rFonts w:ascii="Arial Narrow" w:hAnsi="Arial Narrow" w:cs="Arial"/>
        </w:rPr>
        <w:t xml:space="preserve"> interviews with </w:t>
      </w:r>
      <w:r w:rsidR="00A5691E">
        <w:rPr>
          <w:rFonts w:ascii="Arial Narrow" w:hAnsi="Arial Narrow" w:cs="Arial"/>
        </w:rPr>
        <w:t>a subset of respondents</w:t>
      </w:r>
      <w:r w:rsidRPr="00697A66">
        <w:rPr>
          <w:rFonts w:ascii="Arial Narrow" w:hAnsi="Arial Narrow" w:cs="Arial"/>
        </w:rPr>
        <w:t xml:space="preserve">. The information collected utilizing these methods will assist CDFI Fund in assessing the </w:t>
      </w:r>
      <w:r w:rsidR="00B101A4">
        <w:rPr>
          <w:rFonts w:ascii="Arial Narrow" w:hAnsi="Arial Narrow" w:cs="Arial"/>
        </w:rPr>
        <w:t>opinio</w:t>
      </w:r>
      <w:r w:rsidR="0022760D">
        <w:rPr>
          <w:rFonts w:ascii="Arial Narrow" w:hAnsi="Arial Narrow" w:cs="Arial"/>
        </w:rPr>
        <w:t>ns</w:t>
      </w:r>
      <w:r w:rsidRPr="00697A66">
        <w:rPr>
          <w:rFonts w:ascii="Arial Narrow" w:hAnsi="Arial Narrow" w:cs="Arial"/>
        </w:rPr>
        <w:t xml:space="preserve"> of the BEA Program </w:t>
      </w:r>
      <w:r w:rsidR="00B101A4">
        <w:rPr>
          <w:rFonts w:ascii="Arial Narrow" w:hAnsi="Arial Narrow" w:cs="Arial"/>
        </w:rPr>
        <w:t xml:space="preserve">applicants </w:t>
      </w:r>
      <w:r w:rsidRPr="00697A66">
        <w:rPr>
          <w:rFonts w:ascii="Arial Narrow" w:hAnsi="Arial Narrow" w:cs="Arial"/>
        </w:rPr>
        <w:t xml:space="preserve">on </w:t>
      </w:r>
      <w:r w:rsidR="00356581" w:rsidRPr="00697A66">
        <w:rPr>
          <w:rFonts w:ascii="Arial Narrow" w:hAnsi="Arial Narrow" w:cs="Arial"/>
        </w:rPr>
        <w:t>bank investment</w:t>
      </w:r>
      <w:r w:rsidRPr="00697A66">
        <w:rPr>
          <w:rFonts w:ascii="Arial Narrow" w:hAnsi="Arial Narrow" w:cs="Arial"/>
        </w:rPr>
        <w:t xml:space="preserve"> patterns</w:t>
      </w:r>
      <w:r w:rsidR="00B101A4">
        <w:rPr>
          <w:rFonts w:ascii="Arial Narrow" w:hAnsi="Arial Narrow" w:cs="Arial"/>
        </w:rPr>
        <w:t xml:space="preserve"> in </w:t>
      </w:r>
      <w:r w:rsidRPr="00697A66">
        <w:rPr>
          <w:rFonts w:ascii="Arial Narrow" w:hAnsi="Arial Narrow" w:cs="Arial"/>
        </w:rPr>
        <w:t xml:space="preserve">the </w:t>
      </w:r>
      <w:r w:rsidR="00500A7D">
        <w:rPr>
          <w:rFonts w:ascii="Arial Narrow" w:hAnsi="Arial Narrow" w:cs="Arial"/>
        </w:rPr>
        <w:t xml:space="preserve">both BEA and CRA </w:t>
      </w:r>
      <w:r w:rsidR="00D426FA">
        <w:rPr>
          <w:rFonts w:ascii="Arial Narrow" w:hAnsi="Arial Narrow" w:cs="Arial"/>
        </w:rPr>
        <w:t>qualified distressed</w:t>
      </w:r>
      <w:r w:rsidRPr="00697A66">
        <w:rPr>
          <w:rFonts w:ascii="Arial Narrow" w:hAnsi="Arial Narrow" w:cs="Arial"/>
        </w:rPr>
        <w:t xml:space="preserve"> communities.  </w:t>
      </w:r>
      <w:r w:rsidRPr="00A0168D">
        <w:rPr>
          <w:rFonts w:ascii="Arial Narrow" w:hAnsi="Arial Narrow" w:cs="Arial"/>
          <w:b/>
        </w:rPr>
        <w:t xml:space="preserve"> The online survey is the focus of this OMB clearance request</w:t>
      </w:r>
      <w:r w:rsidRPr="00A0168D">
        <w:rPr>
          <w:rFonts w:ascii="Arial Narrow" w:hAnsi="Arial Narrow" w:cs="Arial"/>
        </w:rPr>
        <w:t>.</w:t>
      </w:r>
    </w:p>
    <w:p w14:paraId="7A97FD4D" w14:textId="77777777" w:rsidR="00CC6402" w:rsidRPr="00A0168D" w:rsidRDefault="00CC6402" w:rsidP="00CC6402">
      <w:pPr>
        <w:rPr>
          <w:rFonts w:ascii="Arial Narrow" w:hAnsi="Arial Narrow" w:cs="Arial"/>
        </w:rPr>
      </w:pPr>
    </w:p>
    <w:p w14:paraId="33DD7B58" w14:textId="07CE48AC" w:rsidR="00CC6402" w:rsidRDefault="00CC6402" w:rsidP="00CC6402">
      <w:pPr>
        <w:rPr>
          <w:rFonts w:ascii="Arial Narrow" w:hAnsi="Arial Narrow"/>
          <w:b/>
        </w:rPr>
      </w:pPr>
      <w:r>
        <w:rPr>
          <w:rFonts w:ascii="Arial Narrow" w:hAnsi="Arial Narrow"/>
          <w:b/>
        </w:rPr>
        <w:lastRenderedPageBreak/>
        <w:t xml:space="preserve">Purpose 1: </w:t>
      </w:r>
      <w:r w:rsidR="0055414B">
        <w:rPr>
          <w:rFonts w:ascii="Arial Narrow" w:hAnsi="Arial Narrow"/>
          <w:b/>
        </w:rPr>
        <w:t xml:space="preserve">Gather opinions from Bank Applicants’ BEA and CRA investment managers about </w:t>
      </w:r>
      <w:r w:rsidRPr="00A0168D">
        <w:rPr>
          <w:rFonts w:ascii="Arial Narrow" w:hAnsi="Arial Narrow"/>
          <w:b/>
        </w:rPr>
        <w:t xml:space="preserve">the </w:t>
      </w:r>
      <w:r w:rsidR="0055414B">
        <w:rPr>
          <w:rFonts w:ascii="Arial Narrow" w:hAnsi="Arial Narrow"/>
          <w:b/>
        </w:rPr>
        <w:t xml:space="preserve">functioning of the </w:t>
      </w:r>
      <w:r w:rsidRPr="00A0168D">
        <w:rPr>
          <w:rFonts w:ascii="Arial Narrow" w:hAnsi="Arial Narrow"/>
          <w:b/>
        </w:rPr>
        <w:t>BEA Program</w:t>
      </w:r>
      <w:r w:rsidR="0055414B">
        <w:rPr>
          <w:rFonts w:ascii="Arial Narrow" w:hAnsi="Arial Narrow"/>
          <w:b/>
        </w:rPr>
        <w:t xml:space="preserve"> </w:t>
      </w:r>
    </w:p>
    <w:p w14:paraId="52D1A8EC" w14:textId="77777777" w:rsidR="00CC6402" w:rsidRPr="00A0168D" w:rsidRDefault="00CC6402" w:rsidP="00CC6402">
      <w:pPr>
        <w:rPr>
          <w:rFonts w:ascii="Arial Narrow" w:hAnsi="Arial Narrow" w:cs="Arial"/>
          <w:b/>
        </w:rPr>
      </w:pPr>
      <w:r>
        <w:rPr>
          <w:rFonts w:ascii="Arial Narrow" w:hAnsi="Arial Narrow"/>
          <w:b/>
        </w:rPr>
        <w:t>Addressed by: Online Survey</w:t>
      </w:r>
      <w:r w:rsidRPr="00A0168D">
        <w:rPr>
          <w:rFonts w:ascii="Arial Narrow" w:hAnsi="Arial Narrow" w:cs="Arial"/>
          <w:b/>
        </w:rPr>
        <w:t xml:space="preserve"> </w:t>
      </w:r>
    </w:p>
    <w:p w14:paraId="504A4A4A" w14:textId="77777777" w:rsidR="00CC6402" w:rsidRPr="00A0168D" w:rsidRDefault="00CC6402" w:rsidP="00CC6402">
      <w:pPr>
        <w:rPr>
          <w:rFonts w:ascii="Arial Narrow" w:hAnsi="Arial Narrow" w:cs="Arial"/>
          <w:b/>
        </w:rPr>
      </w:pPr>
    </w:p>
    <w:p w14:paraId="4D10C995" w14:textId="68135864" w:rsidR="00CC6402" w:rsidRPr="00697A66" w:rsidRDefault="00CC6402" w:rsidP="00CC6402">
      <w:pPr>
        <w:rPr>
          <w:rFonts w:ascii="Arial Narrow" w:hAnsi="Arial Narrow"/>
        </w:rPr>
      </w:pPr>
      <w:r w:rsidRPr="00A0168D">
        <w:rPr>
          <w:rFonts w:ascii="Arial Narrow" w:hAnsi="Arial Narrow" w:cs="Arial"/>
        </w:rPr>
        <w:t>The CDFI Fund is requesting clearance to conduct a one-time online survey of the population of FDIC-insured fi</w:t>
      </w:r>
      <w:r w:rsidRPr="00697A66">
        <w:rPr>
          <w:rFonts w:ascii="Arial Narrow" w:hAnsi="Arial Narrow" w:cs="Arial"/>
        </w:rPr>
        <w:t xml:space="preserve">nancial institutions that applied for Bank Enterprise Awards during calendar years 2012, 2013 </w:t>
      </w:r>
      <w:r w:rsidR="00735646">
        <w:rPr>
          <w:rFonts w:ascii="Arial Narrow" w:hAnsi="Arial Narrow" w:cs="Arial"/>
        </w:rPr>
        <w:t xml:space="preserve">and </w:t>
      </w:r>
      <w:r w:rsidRPr="00697A66">
        <w:rPr>
          <w:rFonts w:ascii="Arial Narrow" w:hAnsi="Arial Narrow" w:cs="Arial"/>
        </w:rPr>
        <w:t xml:space="preserve">2014 </w:t>
      </w:r>
      <w:r w:rsidRPr="00A0168D">
        <w:rPr>
          <w:rFonts w:ascii="Arial Narrow" w:hAnsi="Arial Narrow" w:cs="Arial"/>
        </w:rPr>
        <w:t xml:space="preserve">(including award recipients and unsuccessful applicants).  </w:t>
      </w:r>
      <w:r w:rsidRPr="00697A66">
        <w:rPr>
          <w:rFonts w:ascii="Arial Narrow" w:hAnsi="Arial Narrow"/>
        </w:rPr>
        <w:t xml:space="preserve">The first purpose of this </w:t>
      </w:r>
      <w:r w:rsidR="00735646">
        <w:rPr>
          <w:rFonts w:ascii="Arial Narrow" w:hAnsi="Arial Narrow"/>
        </w:rPr>
        <w:t>survey</w:t>
      </w:r>
      <w:r w:rsidR="0067661B">
        <w:rPr>
          <w:rFonts w:ascii="Arial Narrow" w:hAnsi="Arial Narrow"/>
        </w:rPr>
        <w:t xml:space="preserve"> is to g</w:t>
      </w:r>
      <w:r w:rsidR="0067661B" w:rsidRPr="0067661B">
        <w:rPr>
          <w:rFonts w:ascii="Arial Narrow" w:hAnsi="Arial Narrow"/>
        </w:rPr>
        <w:t>ather opinions from Bank Applicants’ BEA and CRA inve</w:t>
      </w:r>
      <w:r w:rsidR="0067661B">
        <w:rPr>
          <w:rFonts w:ascii="Arial Narrow" w:hAnsi="Arial Narrow"/>
        </w:rPr>
        <w:t>stment managers about</w:t>
      </w:r>
      <w:r w:rsidR="0067661B" w:rsidRPr="0067661B">
        <w:rPr>
          <w:rFonts w:ascii="Arial Narrow" w:hAnsi="Arial Narrow"/>
        </w:rPr>
        <w:t xml:space="preserve"> the</w:t>
      </w:r>
      <w:r w:rsidR="00A8288A">
        <w:rPr>
          <w:rFonts w:ascii="Arial Narrow" w:hAnsi="Arial Narrow"/>
        </w:rPr>
        <w:t xml:space="preserve"> functioning of the BEA Program. </w:t>
      </w:r>
      <w:r w:rsidRPr="00697A66">
        <w:rPr>
          <w:rFonts w:ascii="Arial Narrow" w:hAnsi="Arial Narrow"/>
        </w:rPr>
        <w:t xml:space="preserve">The BEA Program was created to: 1) provide both CDFI and non-CDFI banks an incentive for direct investment in statutorily defined distressed communities, and 2) provide non-CDFI banks an incentive to invest in CDFIs working in those statutorily defined distressed communities.  Because bank investment decisions are driven by a myriad of factors, from macro-economic conditions to civic pride to profit motives, </w:t>
      </w:r>
      <w:r w:rsidR="00735646">
        <w:rPr>
          <w:rFonts w:ascii="Arial Narrow" w:hAnsi="Arial Narrow"/>
        </w:rPr>
        <w:t xml:space="preserve">this survey </w:t>
      </w:r>
      <w:r w:rsidR="00A8288A">
        <w:rPr>
          <w:rFonts w:ascii="Arial Narrow" w:hAnsi="Arial Narrow"/>
        </w:rPr>
        <w:t xml:space="preserve">is not intended to </w:t>
      </w:r>
      <w:r w:rsidRPr="00697A66">
        <w:rPr>
          <w:rFonts w:ascii="Arial Narrow" w:hAnsi="Arial Narrow"/>
        </w:rPr>
        <w:t xml:space="preserve">establish causation or </w:t>
      </w:r>
      <w:r w:rsidR="00A8288A">
        <w:rPr>
          <w:rFonts w:ascii="Arial Narrow" w:hAnsi="Arial Narrow"/>
        </w:rPr>
        <w:t xml:space="preserve">measure </w:t>
      </w:r>
      <w:r w:rsidRPr="00697A66">
        <w:rPr>
          <w:rFonts w:ascii="Arial Narrow" w:hAnsi="Arial Narrow"/>
        </w:rPr>
        <w:t>the impact of the BEA Program.  This study c</w:t>
      </w:r>
      <w:r w:rsidR="001523DD">
        <w:rPr>
          <w:rFonts w:ascii="Arial Narrow" w:hAnsi="Arial Narrow"/>
        </w:rPr>
        <w:t xml:space="preserve">an, however, document through administrative data </w:t>
      </w:r>
      <w:r w:rsidR="00A5691E">
        <w:rPr>
          <w:rFonts w:ascii="Arial Narrow" w:hAnsi="Arial Narrow"/>
        </w:rPr>
        <w:t xml:space="preserve">on </w:t>
      </w:r>
      <w:r w:rsidR="001523DD">
        <w:rPr>
          <w:rFonts w:ascii="Arial Narrow" w:hAnsi="Arial Narrow"/>
        </w:rPr>
        <w:t>investment</w:t>
      </w:r>
      <w:r w:rsidR="00A5691E">
        <w:rPr>
          <w:rFonts w:ascii="Arial Narrow" w:hAnsi="Arial Narrow"/>
        </w:rPr>
        <w:t>s</w:t>
      </w:r>
      <w:r w:rsidR="001523DD">
        <w:rPr>
          <w:rFonts w:ascii="Arial Narrow" w:hAnsi="Arial Narrow"/>
        </w:rPr>
        <w:t xml:space="preserve"> in BEA qualified census tracts reported by</w:t>
      </w:r>
      <w:r w:rsidRPr="00697A66">
        <w:rPr>
          <w:rFonts w:ascii="Arial Narrow" w:hAnsi="Arial Narrow"/>
        </w:rPr>
        <w:t xml:space="preserve"> awardees and applicants that did not receive an award (because the investment was made prior to the decision as to whether the applicant qualified for an award), and, through the survey, </w:t>
      </w:r>
      <w:r w:rsidR="0011301A">
        <w:rPr>
          <w:rFonts w:ascii="Arial Narrow" w:hAnsi="Arial Narrow"/>
        </w:rPr>
        <w:t xml:space="preserve">gather opinions from </w:t>
      </w:r>
      <w:r w:rsidRPr="00697A66">
        <w:rPr>
          <w:rFonts w:ascii="Arial Narrow" w:hAnsi="Arial Narrow"/>
        </w:rPr>
        <w:t xml:space="preserve">the banks applying for awards </w:t>
      </w:r>
      <w:r w:rsidR="0011301A">
        <w:rPr>
          <w:rFonts w:ascii="Arial Narrow" w:hAnsi="Arial Narrow"/>
        </w:rPr>
        <w:t>on how the prospect of the BEA award</w:t>
      </w:r>
      <w:r w:rsidRPr="00697A66">
        <w:rPr>
          <w:rFonts w:ascii="Arial Narrow" w:hAnsi="Arial Narrow"/>
        </w:rPr>
        <w:t xml:space="preserve"> </w:t>
      </w:r>
      <w:r w:rsidR="0011301A">
        <w:rPr>
          <w:rFonts w:ascii="Arial Narrow" w:hAnsi="Arial Narrow"/>
        </w:rPr>
        <w:t xml:space="preserve">may have affected </w:t>
      </w:r>
      <w:r w:rsidRPr="00697A66">
        <w:rPr>
          <w:rFonts w:ascii="Arial Narrow" w:hAnsi="Arial Narrow"/>
        </w:rPr>
        <w:t>the</w:t>
      </w:r>
      <w:r w:rsidR="0011301A">
        <w:rPr>
          <w:rFonts w:ascii="Arial Narrow" w:hAnsi="Arial Narrow"/>
        </w:rPr>
        <w:t>ir investment decisions.</w:t>
      </w:r>
    </w:p>
    <w:p w14:paraId="181224A9" w14:textId="77777777" w:rsidR="00CC6402" w:rsidRPr="00697A66" w:rsidRDefault="00CC6402" w:rsidP="00CC6402">
      <w:pPr>
        <w:rPr>
          <w:rFonts w:ascii="Arial Narrow" w:hAnsi="Arial Narrow"/>
        </w:rPr>
      </w:pPr>
    </w:p>
    <w:p w14:paraId="0B151E78" w14:textId="77777777" w:rsidR="00CC6402" w:rsidRPr="00697A66" w:rsidRDefault="00CC6402" w:rsidP="00CC6402">
      <w:pPr>
        <w:rPr>
          <w:rFonts w:ascii="Arial Narrow" w:hAnsi="Arial Narrow"/>
        </w:rPr>
      </w:pPr>
    </w:p>
    <w:p w14:paraId="443EA87A" w14:textId="181F5201" w:rsidR="00CC6402" w:rsidRDefault="00CC6402" w:rsidP="00CC6402">
      <w:pPr>
        <w:rPr>
          <w:rFonts w:ascii="Arial Narrow" w:hAnsi="Arial Narrow" w:cs="Arial"/>
          <w:b/>
        </w:rPr>
      </w:pPr>
      <w:r>
        <w:rPr>
          <w:rFonts w:ascii="Arial Narrow" w:hAnsi="Arial Narrow" w:cs="Arial"/>
          <w:b/>
        </w:rPr>
        <w:t xml:space="preserve">Purpose 2: </w:t>
      </w:r>
      <w:r w:rsidR="003E0E11">
        <w:rPr>
          <w:rFonts w:ascii="Arial Narrow" w:hAnsi="Arial Narrow" w:cs="Arial"/>
          <w:b/>
        </w:rPr>
        <w:t xml:space="preserve">Explore </w:t>
      </w:r>
      <w:r w:rsidR="005262D0">
        <w:rPr>
          <w:rFonts w:ascii="Arial Narrow" w:hAnsi="Arial Narrow" w:cs="Arial"/>
          <w:b/>
        </w:rPr>
        <w:t xml:space="preserve">concerns raised by the GAO on </w:t>
      </w:r>
      <w:r w:rsidR="005262D0" w:rsidRPr="005262D0">
        <w:rPr>
          <w:rFonts w:ascii="Arial Narrow" w:hAnsi="Arial Narrow" w:cs="Arial"/>
          <w:b/>
        </w:rPr>
        <w:t>whether the BEA Program is complementary or duplicative of the Community Reinvestm</w:t>
      </w:r>
      <w:r w:rsidR="005262D0">
        <w:rPr>
          <w:rFonts w:ascii="Arial Narrow" w:hAnsi="Arial Narrow" w:cs="Arial"/>
          <w:b/>
        </w:rPr>
        <w:t>ent Act (CRA) regulations in</w:t>
      </w:r>
      <w:r w:rsidR="005262D0" w:rsidRPr="005262D0">
        <w:rPr>
          <w:rFonts w:ascii="Arial Narrow" w:hAnsi="Arial Narrow" w:cs="Arial"/>
          <w:b/>
        </w:rPr>
        <w:t xml:space="preserve"> banks’ investment deci</w:t>
      </w:r>
      <w:r w:rsidR="005262D0">
        <w:rPr>
          <w:rFonts w:ascii="Arial Narrow" w:hAnsi="Arial Narrow" w:cs="Arial"/>
          <w:b/>
        </w:rPr>
        <w:t xml:space="preserve">sions in distressed communities </w:t>
      </w:r>
    </w:p>
    <w:p w14:paraId="32D223B7" w14:textId="77777777" w:rsidR="00CC6402" w:rsidRPr="00A0168D" w:rsidRDefault="00CC6402" w:rsidP="00CC6402">
      <w:pPr>
        <w:rPr>
          <w:rFonts w:ascii="Arial Narrow" w:hAnsi="Arial Narrow" w:cs="Arial"/>
          <w:b/>
        </w:rPr>
      </w:pPr>
      <w:r>
        <w:rPr>
          <w:rFonts w:ascii="Arial Narrow" w:hAnsi="Arial Narrow" w:cs="Arial"/>
          <w:b/>
        </w:rPr>
        <w:t>Addressed by: Secondary Data Analysis</w:t>
      </w:r>
    </w:p>
    <w:p w14:paraId="42B103B0" w14:textId="77777777" w:rsidR="00CC6402" w:rsidRPr="00A0168D" w:rsidRDefault="00CC6402" w:rsidP="00CC6402">
      <w:pPr>
        <w:rPr>
          <w:rFonts w:ascii="Arial Narrow" w:hAnsi="Arial Narrow" w:cs="Arial"/>
          <w:b/>
        </w:rPr>
      </w:pPr>
    </w:p>
    <w:p w14:paraId="156024F7" w14:textId="1AA9EED4" w:rsidR="00CC6402" w:rsidRDefault="00CC6402" w:rsidP="00CC6402">
      <w:pPr>
        <w:rPr>
          <w:rFonts w:ascii="Arial Narrow" w:hAnsi="Arial Narrow"/>
        </w:rPr>
      </w:pPr>
    </w:p>
    <w:p w14:paraId="7B208DBB" w14:textId="77777777" w:rsidR="00173769" w:rsidRDefault="00173769" w:rsidP="00173769">
      <w:pPr>
        <w:rPr>
          <w:rFonts w:ascii="Arial Narrow" w:hAnsi="Arial Narrow"/>
        </w:rPr>
      </w:pPr>
      <w:r w:rsidRPr="00697A66">
        <w:rPr>
          <w:rFonts w:ascii="Arial Narrow" w:hAnsi="Arial Narrow"/>
        </w:rPr>
        <w:t xml:space="preserve">The second purpose of the study is to </w:t>
      </w:r>
      <w:r>
        <w:rPr>
          <w:rFonts w:ascii="Arial Narrow" w:hAnsi="Arial Narrow"/>
        </w:rPr>
        <w:t xml:space="preserve">explore concerns about </w:t>
      </w:r>
      <w:r w:rsidRPr="00697A66">
        <w:rPr>
          <w:rFonts w:ascii="Arial Narrow" w:hAnsi="Arial Narrow"/>
        </w:rPr>
        <w:t>of the BEA Program</w:t>
      </w:r>
      <w:r>
        <w:rPr>
          <w:rFonts w:ascii="Arial Narrow" w:hAnsi="Arial Narrow"/>
        </w:rPr>
        <w:t xml:space="preserve"> raised by the GAO </w:t>
      </w:r>
      <w:r w:rsidRPr="00697A66">
        <w:rPr>
          <w:rFonts w:ascii="Arial Narrow" w:hAnsi="Arial Narrow"/>
        </w:rPr>
        <w:t>that the program is essentially duplicative of the Community Reinvestment Act in providing an incentive for banks to invest in distressed commu</w:t>
      </w:r>
      <w:r>
        <w:rPr>
          <w:rFonts w:ascii="Arial Narrow" w:hAnsi="Arial Narrow"/>
        </w:rPr>
        <w:t>nities.</w:t>
      </w:r>
      <w:r w:rsidRPr="00697A66">
        <w:rPr>
          <w:rFonts w:ascii="Arial Narrow" w:hAnsi="Arial Narrow"/>
        </w:rPr>
        <w:t xml:space="preserve">  Th</w:t>
      </w:r>
      <w:r>
        <w:rPr>
          <w:rFonts w:ascii="Arial Narrow" w:hAnsi="Arial Narrow"/>
        </w:rPr>
        <w:t>e</w:t>
      </w:r>
      <w:r w:rsidRPr="00697A66">
        <w:rPr>
          <w:rFonts w:ascii="Arial Narrow" w:hAnsi="Arial Narrow"/>
        </w:rPr>
        <w:t xml:space="preserve"> </w:t>
      </w:r>
      <w:r>
        <w:rPr>
          <w:rFonts w:ascii="Arial Narrow" w:hAnsi="Arial Narrow"/>
        </w:rPr>
        <w:t xml:space="preserve">current </w:t>
      </w:r>
      <w:r w:rsidRPr="00697A66">
        <w:rPr>
          <w:rFonts w:ascii="Arial Narrow" w:hAnsi="Arial Narrow"/>
        </w:rPr>
        <w:t>study</w:t>
      </w:r>
      <w:r>
        <w:rPr>
          <w:rFonts w:ascii="Arial Narrow" w:hAnsi="Arial Narrow"/>
        </w:rPr>
        <w:t xml:space="preserve"> will gather opinions from bank investment managers on whether the CRA and BEA</w:t>
      </w:r>
      <w:r w:rsidRPr="008B3AB0">
        <w:rPr>
          <w:rFonts w:ascii="Arial Narrow" w:hAnsi="Arial Narrow"/>
        </w:rPr>
        <w:t xml:space="preserve"> </w:t>
      </w:r>
      <w:r>
        <w:rPr>
          <w:rFonts w:ascii="Arial Narrow" w:hAnsi="Arial Narrow"/>
        </w:rPr>
        <w:t xml:space="preserve">accomplish the same objectives within the same </w:t>
      </w:r>
      <w:r w:rsidRPr="008B3AB0">
        <w:rPr>
          <w:rFonts w:ascii="Arial Narrow" w:hAnsi="Arial Narrow"/>
        </w:rPr>
        <w:t>target populations.</w:t>
      </w:r>
      <w:r w:rsidRPr="00697A66">
        <w:rPr>
          <w:rFonts w:ascii="Arial Narrow" w:hAnsi="Arial Narrow"/>
        </w:rPr>
        <w:t xml:space="preserve"> </w:t>
      </w:r>
    </w:p>
    <w:p w14:paraId="2AEA2A62" w14:textId="77777777" w:rsidR="00173769" w:rsidRDefault="00173769" w:rsidP="00173769">
      <w:pPr>
        <w:rPr>
          <w:rFonts w:ascii="Arial Narrow" w:hAnsi="Arial Narrow"/>
        </w:rPr>
      </w:pPr>
    </w:p>
    <w:p w14:paraId="7468B75B" w14:textId="77777777" w:rsidR="00173769" w:rsidRDefault="00173769" w:rsidP="00173769">
      <w:pPr>
        <w:rPr>
          <w:rFonts w:ascii="Arial Narrow" w:hAnsi="Arial Narrow"/>
        </w:rPr>
      </w:pPr>
      <w:r>
        <w:rPr>
          <w:rFonts w:ascii="Arial Narrow" w:hAnsi="Arial Narrow"/>
        </w:rPr>
        <w:t>A second non-survey component of the current study</w:t>
      </w:r>
      <w:r w:rsidRPr="00697A66">
        <w:rPr>
          <w:rFonts w:ascii="Arial Narrow" w:hAnsi="Arial Narrow"/>
        </w:rPr>
        <w:t xml:space="preserve"> will analyze the distressed communities </w:t>
      </w:r>
      <w:r>
        <w:rPr>
          <w:rFonts w:ascii="Arial Narrow" w:hAnsi="Arial Narrow"/>
        </w:rPr>
        <w:t>using</w:t>
      </w:r>
      <w:r w:rsidRPr="00697A66">
        <w:rPr>
          <w:rFonts w:ascii="Arial Narrow" w:hAnsi="Arial Narrow"/>
        </w:rPr>
        <w:t xml:space="preserve"> </w:t>
      </w:r>
      <w:r>
        <w:rPr>
          <w:rFonts w:ascii="Arial Narrow" w:hAnsi="Arial Narrow"/>
        </w:rPr>
        <w:t xml:space="preserve">administrative </w:t>
      </w:r>
      <w:r w:rsidRPr="00697A66">
        <w:rPr>
          <w:rFonts w:ascii="Arial Narrow" w:hAnsi="Arial Narrow"/>
        </w:rPr>
        <w:t xml:space="preserve">data from </w:t>
      </w:r>
      <w:r>
        <w:rPr>
          <w:rFonts w:ascii="Arial Narrow" w:hAnsi="Arial Narrow"/>
        </w:rPr>
        <w:t>the BEA applications linked to</w:t>
      </w:r>
      <w:r w:rsidRPr="00697A66">
        <w:rPr>
          <w:rFonts w:ascii="Arial Narrow" w:hAnsi="Arial Narrow"/>
        </w:rPr>
        <w:t xml:space="preserve"> secondary data from the Bureau of the Census and other sources </w:t>
      </w:r>
      <w:r>
        <w:rPr>
          <w:rFonts w:ascii="Arial Narrow" w:hAnsi="Arial Narrow"/>
        </w:rPr>
        <w:t xml:space="preserve">such as Home Mortgage Disclosure Act (HMDA) data </w:t>
      </w:r>
      <w:r w:rsidRPr="00697A66">
        <w:rPr>
          <w:rFonts w:ascii="Arial Narrow" w:hAnsi="Arial Narrow"/>
        </w:rPr>
        <w:t xml:space="preserve">to examine </w:t>
      </w:r>
      <w:r>
        <w:rPr>
          <w:rFonts w:ascii="Arial Narrow" w:hAnsi="Arial Narrow"/>
        </w:rPr>
        <w:t xml:space="preserve">the variations across </w:t>
      </w:r>
      <w:r w:rsidRPr="00697A66">
        <w:rPr>
          <w:rFonts w:ascii="Arial Narrow" w:hAnsi="Arial Narrow"/>
        </w:rPr>
        <w:t xml:space="preserve">in </w:t>
      </w:r>
      <w:r>
        <w:rPr>
          <w:rFonts w:ascii="Arial Narrow" w:hAnsi="Arial Narrow"/>
        </w:rPr>
        <w:t xml:space="preserve">BEA and CRA qualified </w:t>
      </w:r>
      <w:r w:rsidRPr="00697A66">
        <w:rPr>
          <w:rFonts w:ascii="Arial Narrow" w:hAnsi="Arial Narrow"/>
        </w:rPr>
        <w:t>census tracts receiving investment</w:t>
      </w:r>
      <w:r>
        <w:rPr>
          <w:rFonts w:ascii="Arial Narrow" w:hAnsi="Arial Narrow"/>
        </w:rPr>
        <w:t>s</w:t>
      </w:r>
      <w:r w:rsidRPr="00697A66">
        <w:rPr>
          <w:rFonts w:ascii="Arial Narrow" w:hAnsi="Arial Narrow"/>
        </w:rPr>
        <w:t>.</w:t>
      </w:r>
      <w:r>
        <w:rPr>
          <w:rFonts w:ascii="Arial Narrow" w:hAnsi="Arial Narrow"/>
        </w:rPr>
        <w:t xml:space="preserve"> It </w:t>
      </w:r>
      <w:r w:rsidRPr="00697A66">
        <w:rPr>
          <w:rFonts w:ascii="Arial Narrow" w:hAnsi="Arial Narrow"/>
        </w:rPr>
        <w:t xml:space="preserve">will document the economic characteristics of BEA-eligible census tracts and compare those characteristics with the same indicators for CRA-eligible census tracts to show the extent, if any, to which the two programs serve the same or different target populations. </w:t>
      </w:r>
      <w:r>
        <w:rPr>
          <w:rFonts w:ascii="Arial Narrow" w:hAnsi="Arial Narrow"/>
        </w:rPr>
        <w:t xml:space="preserve">As such, this research design does not seek to establish that the BEA program induced the variations in investment patterns. </w:t>
      </w:r>
      <w:r w:rsidRPr="00697A66">
        <w:rPr>
          <w:rFonts w:ascii="Arial Narrow" w:hAnsi="Arial Narrow"/>
        </w:rPr>
        <w:t>Because this is secondary data analysis, and no information will be collected from the public, OMB clearance is not required for this phase of the study.</w:t>
      </w:r>
    </w:p>
    <w:p w14:paraId="2C9DCDA3" w14:textId="77777777" w:rsidR="00173769" w:rsidRDefault="00173769" w:rsidP="00CC6402">
      <w:pPr>
        <w:rPr>
          <w:rFonts w:ascii="Arial Narrow" w:hAnsi="Arial Narrow"/>
        </w:rPr>
      </w:pPr>
    </w:p>
    <w:p w14:paraId="77D40E36" w14:textId="77777777" w:rsidR="00173769" w:rsidRDefault="00173769" w:rsidP="00CC6402">
      <w:pPr>
        <w:rPr>
          <w:rFonts w:ascii="Arial Narrow" w:hAnsi="Arial Narrow"/>
          <w:b/>
        </w:rPr>
      </w:pPr>
    </w:p>
    <w:p w14:paraId="2476DF70" w14:textId="77777777" w:rsidR="00CC6402" w:rsidRDefault="00CC6402" w:rsidP="00CC6402">
      <w:pPr>
        <w:rPr>
          <w:rFonts w:ascii="Arial Narrow" w:hAnsi="Arial Narrow"/>
          <w:b/>
        </w:rPr>
      </w:pPr>
      <w:r>
        <w:rPr>
          <w:rFonts w:ascii="Arial Narrow" w:hAnsi="Arial Narrow"/>
          <w:b/>
        </w:rPr>
        <w:t>Purposes 1 and 2</w:t>
      </w:r>
    </w:p>
    <w:p w14:paraId="7F669F01" w14:textId="2C5F4369" w:rsidR="00CC6402" w:rsidRPr="00697A66" w:rsidRDefault="00CC6402" w:rsidP="00CC6402">
      <w:pPr>
        <w:rPr>
          <w:rFonts w:ascii="Arial Narrow" w:hAnsi="Arial Narrow"/>
          <w:b/>
        </w:rPr>
      </w:pPr>
      <w:r>
        <w:rPr>
          <w:rFonts w:ascii="Arial Narrow" w:hAnsi="Arial Narrow"/>
          <w:b/>
        </w:rPr>
        <w:t xml:space="preserve">Addressed by: </w:t>
      </w:r>
      <w:r w:rsidR="00A5691E">
        <w:rPr>
          <w:rFonts w:ascii="Arial Narrow" w:hAnsi="Arial Narrow"/>
          <w:b/>
        </w:rPr>
        <w:t>Semi-structured</w:t>
      </w:r>
      <w:r w:rsidRPr="00697A66">
        <w:rPr>
          <w:rFonts w:ascii="Arial Narrow" w:hAnsi="Arial Narrow"/>
          <w:b/>
        </w:rPr>
        <w:t xml:space="preserve"> Interviews</w:t>
      </w:r>
    </w:p>
    <w:p w14:paraId="1EEEE8F8" w14:textId="08FB71CD" w:rsidR="00CC6402" w:rsidRPr="00CE370C" w:rsidRDefault="00A5691E" w:rsidP="00CC6402">
      <w:pPr>
        <w:spacing w:before="240" w:after="240"/>
        <w:rPr>
          <w:rFonts w:ascii="Arial Narrow" w:hAnsi="Arial Narrow"/>
        </w:rPr>
      </w:pPr>
      <w:r>
        <w:rPr>
          <w:rFonts w:ascii="Arial Narrow" w:hAnsi="Arial Narrow" w:cs="Arial"/>
        </w:rPr>
        <w:lastRenderedPageBreak/>
        <w:t>Semi-structured</w:t>
      </w:r>
      <w:r w:rsidR="00CC6402" w:rsidRPr="00CE370C">
        <w:rPr>
          <w:rFonts w:ascii="Arial Narrow" w:hAnsi="Arial Narrow" w:cs="Arial"/>
        </w:rPr>
        <w:t xml:space="preserve"> interviews will be conducted twice, once prior to the online survey, and again, with different respondents, after data collection for the online survey is completed. </w:t>
      </w:r>
      <w:r w:rsidR="00AC1E04" w:rsidRPr="00CE370C">
        <w:rPr>
          <w:rFonts w:ascii="Arial Narrow" w:hAnsi="Arial Narrow" w:cs="Arial"/>
        </w:rPr>
        <w:t>The pre-survey triangulation interviews</w:t>
      </w:r>
      <w:r w:rsidR="00AC1E04">
        <w:rPr>
          <w:rFonts w:ascii="Arial Narrow" w:hAnsi="Arial Narrow" w:cs="Arial"/>
        </w:rPr>
        <w:t xml:space="preserve"> (20 respondents </w:t>
      </w:r>
      <w:r w:rsidR="00BB4114">
        <w:rPr>
          <w:rFonts w:ascii="Arial Narrow" w:hAnsi="Arial Narrow" w:cs="Arial"/>
        </w:rPr>
        <w:t xml:space="preserve">in </w:t>
      </w:r>
      <w:r w:rsidR="00AC1E04">
        <w:rPr>
          <w:rFonts w:ascii="Arial Narrow" w:hAnsi="Arial Narrow" w:cs="Arial"/>
        </w:rPr>
        <w:t>total)</w:t>
      </w:r>
      <w:r w:rsidR="00AC1E04" w:rsidRPr="00CE370C">
        <w:rPr>
          <w:rFonts w:ascii="Arial Narrow" w:hAnsi="Arial Narrow" w:cs="Arial"/>
        </w:rPr>
        <w:t xml:space="preserve"> and post –survey complementary interviews</w:t>
      </w:r>
      <w:r w:rsidR="00AC1E04">
        <w:rPr>
          <w:rFonts w:ascii="Arial Narrow" w:hAnsi="Arial Narrow" w:cs="Arial"/>
        </w:rPr>
        <w:t xml:space="preserve"> (20 respondents total). The interviews conducted prior to the online survey will be the triangulation interviews, which will target four (4) distinct groups with no more than 2 to 8 respondents per group. The complementary interviews will be conducted after online survey data collection with 2 to 8 respondents in four (4) distinct categories and include four different questionnaires to complement the results from both the triangulation interviews and the online survey. </w:t>
      </w:r>
      <w:r w:rsidR="00CC6402" w:rsidRPr="00CE370C">
        <w:rPr>
          <w:rFonts w:ascii="Arial Narrow" w:hAnsi="Arial Narrow"/>
        </w:rPr>
        <w:t xml:space="preserve">The four distinct groups targeted for the interviews are; 1) Indirect Activity stakeholder institutions received a BEA Program Award and indirectly invest in distressed communities through CDFI-related activities; 2) Direct Activity stakeholder institutions directly invested in distressed communities by providing both Distressed Community Financing Activities and Service Activities; 3) Non-awardee stakeholder institutions that applied for the BEA Program Award in 2012, 2013 or 2014 and did not receive an award; and 4) CDFI Partner stakeholder organizations which are indirect beneficiaries of the BEA Program award through a partnership with an institution which received a BEA Program award.  </w:t>
      </w:r>
    </w:p>
    <w:p w14:paraId="4E6C3275" w14:textId="114F6C5E" w:rsidR="00CC6402" w:rsidRPr="00CE370C" w:rsidRDefault="00CC6402" w:rsidP="00CC6402">
      <w:pPr>
        <w:spacing w:before="240" w:after="240"/>
        <w:rPr>
          <w:rFonts w:ascii="Arial Narrow" w:hAnsi="Arial Narrow"/>
        </w:rPr>
      </w:pPr>
      <w:r w:rsidRPr="00CE370C">
        <w:rPr>
          <w:rFonts w:ascii="Arial Narrow" w:hAnsi="Arial Narrow"/>
        </w:rPr>
        <w:t xml:space="preserve">The purpose </w:t>
      </w:r>
      <w:r w:rsidR="00BB4114">
        <w:rPr>
          <w:rFonts w:ascii="Arial Narrow" w:hAnsi="Arial Narrow"/>
        </w:rPr>
        <w:t>of the complementary interview</w:t>
      </w:r>
      <w:r w:rsidRPr="00CE370C">
        <w:rPr>
          <w:rFonts w:ascii="Arial Narrow" w:hAnsi="Arial Narrow"/>
        </w:rPr>
        <w:t xml:space="preserve">s is to collect contextual data to enrich interpretation of both the online survey results (Purpose 1) and the </w:t>
      </w:r>
      <w:r w:rsidR="00ED7D26">
        <w:rPr>
          <w:rFonts w:ascii="Arial Narrow" w:hAnsi="Arial Narrow"/>
        </w:rPr>
        <w:t xml:space="preserve">patterns of investment in BEA and CRA qualified </w:t>
      </w:r>
      <w:r w:rsidRPr="00CE370C">
        <w:rPr>
          <w:rFonts w:ascii="Arial Narrow" w:hAnsi="Arial Narrow"/>
        </w:rPr>
        <w:t xml:space="preserve">distressed communities (Purpose 2). </w:t>
      </w:r>
      <w:r>
        <w:rPr>
          <w:rFonts w:ascii="Arial Narrow" w:hAnsi="Arial Narrow"/>
        </w:rPr>
        <w:t>Specifically, t</w:t>
      </w:r>
      <w:r w:rsidRPr="00CE370C">
        <w:rPr>
          <w:rFonts w:ascii="Arial Narrow" w:hAnsi="Arial Narrow"/>
        </w:rPr>
        <w:t xml:space="preserve">he pre-survey triangulation interviews were designed to gather in-depth information on BEA Program award investments, and their </w:t>
      </w:r>
      <w:r w:rsidR="00ED7D26">
        <w:rPr>
          <w:rFonts w:ascii="Arial Narrow" w:hAnsi="Arial Narrow"/>
        </w:rPr>
        <w:t xml:space="preserve">investment patterns in distressed </w:t>
      </w:r>
      <w:r w:rsidRPr="00CE370C">
        <w:rPr>
          <w:rFonts w:ascii="Arial Narrow" w:hAnsi="Arial Narrow"/>
        </w:rPr>
        <w:t xml:space="preserve">communities. </w:t>
      </w:r>
      <w:r>
        <w:rPr>
          <w:rFonts w:ascii="Arial Narrow" w:hAnsi="Arial Narrow"/>
        </w:rPr>
        <w:t>O</w:t>
      </w:r>
      <w:r w:rsidRPr="00CE370C">
        <w:rPr>
          <w:rFonts w:ascii="Arial Narrow" w:hAnsi="Arial Narrow"/>
        </w:rPr>
        <w:t>nce the online surv</w:t>
      </w:r>
      <w:r>
        <w:rPr>
          <w:rFonts w:ascii="Arial Narrow" w:hAnsi="Arial Narrow"/>
        </w:rPr>
        <w:t>ey data collection is completed, t</w:t>
      </w:r>
      <w:r w:rsidRPr="00CE370C">
        <w:rPr>
          <w:rFonts w:ascii="Arial Narrow" w:hAnsi="Arial Narrow"/>
        </w:rPr>
        <w:t xml:space="preserve">he post-survey complementary interviews will be </w:t>
      </w:r>
      <w:r w:rsidR="00432677">
        <w:rPr>
          <w:rFonts w:ascii="Arial Narrow" w:hAnsi="Arial Narrow"/>
        </w:rPr>
        <w:t xml:space="preserve">recalibrated </w:t>
      </w:r>
      <w:r w:rsidRPr="00CE370C">
        <w:rPr>
          <w:rFonts w:ascii="Arial Narrow" w:hAnsi="Arial Narrow"/>
        </w:rPr>
        <w:t xml:space="preserve">to </w:t>
      </w:r>
      <w:r w:rsidR="00906832">
        <w:rPr>
          <w:rFonts w:ascii="Arial Narrow" w:hAnsi="Arial Narrow"/>
        </w:rPr>
        <w:t>provide</w:t>
      </w:r>
      <w:r w:rsidR="00432677">
        <w:rPr>
          <w:rFonts w:ascii="Arial Narrow" w:hAnsi="Arial Narrow"/>
        </w:rPr>
        <w:t xml:space="preserve"> further clarifying</w:t>
      </w:r>
      <w:r w:rsidR="001508F9">
        <w:rPr>
          <w:rFonts w:ascii="Arial Narrow" w:hAnsi="Arial Narrow"/>
        </w:rPr>
        <w:t>,</w:t>
      </w:r>
      <w:r w:rsidR="00432677">
        <w:rPr>
          <w:rFonts w:ascii="Arial Narrow" w:hAnsi="Arial Narrow"/>
        </w:rPr>
        <w:t xml:space="preserve"> </w:t>
      </w:r>
      <w:r w:rsidRPr="00CE370C">
        <w:rPr>
          <w:rFonts w:ascii="Arial Narrow" w:hAnsi="Arial Narrow"/>
        </w:rPr>
        <w:t xml:space="preserve">contextual information on the survey responses. </w:t>
      </w:r>
    </w:p>
    <w:p w14:paraId="27D88D78" w14:textId="2113E9D9" w:rsidR="00CC6402" w:rsidRDefault="00CC6402" w:rsidP="00CC6402">
      <w:pPr>
        <w:rPr>
          <w:rFonts w:ascii="Arial Narrow" w:hAnsi="Arial Narrow" w:cs="Arial"/>
          <w:b/>
        </w:rPr>
      </w:pPr>
      <w:r w:rsidRPr="00697A66">
        <w:rPr>
          <w:rFonts w:ascii="Arial Narrow" w:hAnsi="Arial Narrow"/>
        </w:rPr>
        <w:t xml:space="preserve"> </w:t>
      </w:r>
      <w:r>
        <w:rPr>
          <w:rFonts w:ascii="Arial Narrow" w:hAnsi="Arial Narrow" w:cs="Arial"/>
          <w:b/>
        </w:rPr>
        <w:t xml:space="preserve">Purpose 3: Assess </w:t>
      </w:r>
      <w:r w:rsidRPr="00697A66">
        <w:rPr>
          <w:rFonts w:ascii="Arial Narrow" w:hAnsi="Arial Narrow" w:cs="Arial"/>
          <w:b/>
        </w:rPr>
        <w:t>Current Configuration of the BEA Program</w:t>
      </w:r>
      <w:r w:rsidR="00CD54B7">
        <w:rPr>
          <w:rFonts w:ascii="Arial Narrow" w:hAnsi="Arial Narrow" w:cs="Arial"/>
          <w:b/>
        </w:rPr>
        <w:t xml:space="preserve"> and Explore Future Evaluation Designs</w:t>
      </w:r>
    </w:p>
    <w:p w14:paraId="39B7FBB4" w14:textId="77777777" w:rsidR="00CC6402" w:rsidRPr="00697A66" w:rsidRDefault="00CC6402" w:rsidP="00CC6402">
      <w:pPr>
        <w:rPr>
          <w:rFonts w:ascii="Arial Narrow" w:hAnsi="Arial Narrow" w:cs="Arial"/>
          <w:b/>
        </w:rPr>
      </w:pPr>
      <w:r>
        <w:rPr>
          <w:rFonts w:ascii="Arial Narrow" w:hAnsi="Arial Narrow" w:cs="Arial"/>
          <w:b/>
        </w:rPr>
        <w:t>Addressed by: Online Survey, Secondary Data Analysis, and In-Depth Interviews</w:t>
      </w:r>
    </w:p>
    <w:p w14:paraId="623FEA53" w14:textId="77777777" w:rsidR="00CC6402" w:rsidRPr="00A0168D" w:rsidRDefault="00CC6402" w:rsidP="00CC6402">
      <w:pPr>
        <w:rPr>
          <w:rFonts w:ascii="Arial Narrow" w:hAnsi="Arial Narrow" w:cs="Arial"/>
        </w:rPr>
      </w:pPr>
    </w:p>
    <w:p w14:paraId="490D6C5C" w14:textId="6CBAD067" w:rsidR="00CC6402" w:rsidRPr="00697A66" w:rsidRDefault="00CC6402" w:rsidP="00CC6402">
      <w:pPr>
        <w:rPr>
          <w:rFonts w:ascii="Arial Narrow" w:hAnsi="Arial Narrow"/>
        </w:rPr>
      </w:pPr>
      <w:r w:rsidRPr="00697A66">
        <w:rPr>
          <w:rFonts w:ascii="Arial Narrow" w:hAnsi="Arial Narrow"/>
        </w:rPr>
        <w:t xml:space="preserve">The third purpose of </w:t>
      </w:r>
      <w:r w:rsidR="002D40D4">
        <w:rPr>
          <w:rFonts w:ascii="Arial Narrow" w:hAnsi="Arial Narrow"/>
        </w:rPr>
        <w:t>this current data collection</w:t>
      </w:r>
      <w:r w:rsidRPr="00697A66">
        <w:rPr>
          <w:rFonts w:ascii="Arial Narrow" w:hAnsi="Arial Narrow"/>
        </w:rPr>
        <w:t xml:space="preserve"> is to chronicle the BEA Program as it is cu</w:t>
      </w:r>
      <w:r w:rsidR="003D0668">
        <w:rPr>
          <w:rFonts w:ascii="Arial Narrow" w:hAnsi="Arial Narrow"/>
        </w:rPr>
        <w:t xml:space="preserve">rrently configured and provide Treasury </w:t>
      </w:r>
      <w:r w:rsidR="00593FE5">
        <w:rPr>
          <w:rFonts w:ascii="Arial Narrow" w:hAnsi="Arial Narrow"/>
        </w:rPr>
        <w:t xml:space="preserve">an </w:t>
      </w:r>
      <w:r w:rsidR="003D0668">
        <w:rPr>
          <w:rFonts w:ascii="Arial Narrow" w:hAnsi="Arial Narrow"/>
        </w:rPr>
        <w:t xml:space="preserve">analysis of the above findings </w:t>
      </w:r>
      <w:r w:rsidR="00BA67CB">
        <w:rPr>
          <w:rFonts w:ascii="Arial Narrow" w:hAnsi="Arial Narrow"/>
        </w:rPr>
        <w:t>to explore and inform</w:t>
      </w:r>
      <w:r w:rsidR="002D40D4">
        <w:rPr>
          <w:rFonts w:ascii="Arial Narrow" w:hAnsi="Arial Narrow"/>
        </w:rPr>
        <w:t xml:space="preserve"> </w:t>
      </w:r>
      <w:r w:rsidR="001C4DD2">
        <w:rPr>
          <w:rFonts w:ascii="Arial Narrow" w:hAnsi="Arial Narrow"/>
        </w:rPr>
        <w:t>fu</w:t>
      </w:r>
      <w:r w:rsidR="002D40D4">
        <w:rPr>
          <w:rFonts w:ascii="Arial Narrow" w:hAnsi="Arial Narrow"/>
        </w:rPr>
        <w:t xml:space="preserve">ture evaluation designs </w:t>
      </w:r>
      <w:r w:rsidR="003D0668">
        <w:rPr>
          <w:rFonts w:ascii="Arial Narrow" w:hAnsi="Arial Narrow"/>
        </w:rPr>
        <w:t>for the BEA Program</w:t>
      </w:r>
      <w:r w:rsidRPr="00697A66">
        <w:rPr>
          <w:rFonts w:ascii="Arial Narrow" w:hAnsi="Arial Narrow"/>
        </w:rPr>
        <w:t xml:space="preserve">. </w:t>
      </w:r>
      <w:r w:rsidR="0095410E">
        <w:rPr>
          <w:rFonts w:ascii="Arial Narrow" w:hAnsi="Arial Narrow"/>
        </w:rPr>
        <w:t>Treasury is</w:t>
      </w:r>
      <w:r w:rsidRPr="00697A66">
        <w:rPr>
          <w:rFonts w:ascii="Arial Narrow" w:hAnsi="Arial Narrow"/>
        </w:rPr>
        <w:t xml:space="preserve"> </w:t>
      </w:r>
      <w:r w:rsidR="003B2938">
        <w:rPr>
          <w:rFonts w:ascii="Arial Narrow" w:hAnsi="Arial Narrow"/>
        </w:rPr>
        <w:t xml:space="preserve">interested in </w:t>
      </w:r>
      <w:r w:rsidRPr="00697A66">
        <w:rPr>
          <w:rFonts w:ascii="Arial Narrow" w:hAnsi="Arial Narrow"/>
        </w:rPr>
        <w:t xml:space="preserve">exploring the feasibility of comparing the investment patterns of banks that applied for and/or received BEA Program Awards with a constructed peer group of similarly sized and situated banks that did not apply for and/or receive BEA Program Awards.  </w:t>
      </w:r>
      <w:r w:rsidR="003B2938">
        <w:rPr>
          <w:rFonts w:ascii="Arial Narrow" w:hAnsi="Arial Narrow"/>
        </w:rPr>
        <w:t xml:space="preserve">Summary FDIC branch bank data coupled with HMDA data can provide a preliminary, limited peer group analysis </w:t>
      </w:r>
      <w:r w:rsidR="00D74884">
        <w:rPr>
          <w:rFonts w:ascii="Arial Narrow" w:hAnsi="Arial Narrow"/>
        </w:rPr>
        <w:t>for the current study. However,</w:t>
      </w:r>
      <w:r w:rsidR="003B2938">
        <w:rPr>
          <w:rFonts w:ascii="Arial Narrow" w:hAnsi="Arial Narrow"/>
        </w:rPr>
        <w:t xml:space="preserve"> more robust </w:t>
      </w:r>
      <w:r w:rsidR="00D74884">
        <w:rPr>
          <w:rFonts w:ascii="Arial Narrow" w:hAnsi="Arial Narrow"/>
        </w:rPr>
        <w:t xml:space="preserve">peer group analysis </w:t>
      </w:r>
      <w:r w:rsidR="003B2938">
        <w:rPr>
          <w:rFonts w:ascii="Arial Narrow" w:hAnsi="Arial Narrow"/>
        </w:rPr>
        <w:t xml:space="preserve">depends on </w:t>
      </w:r>
      <w:r w:rsidR="00623737">
        <w:rPr>
          <w:rFonts w:ascii="Arial Narrow" w:hAnsi="Arial Narrow"/>
        </w:rPr>
        <w:t xml:space="preserve">getting approval </w:t>
      </w:r>
      <w:r w:rsidR="00D74884">
        <w:rPr>
          <w:rFonts w:ascii="Arial Narrow" w:hAnsi="Arial Narrow"/>
        </w:rPr>
        <w:t xml:space="preserve">for detailed transactional data from the Federal Financial Institutions Examination Council. </w:t>
      </w:r>
      <w:r w:rsidR="003D0668">
        <w:rPr>
          <w:rFonts w:ascii="Arial Narrow" w:hAnsi="Arial Narrow"/>
        </w:rPr>
        <w:t>Treasury has a pe</w:t>
      </w:r>
      <w:r w:rsidR="005A0E9A">
        <w:rPr>
          <w:rFonts w:ascii="Arial Narrow" w:hAnsi="Arial Narrow"/>
        </w:rPr>
        <w:t>nding</w:t>
      </w:r>
      <w:r w:rsidR="003D0668">
        <w:rPr>
          <w:rFonts w:ascii="Arial Narrow" w:hAnsi="Arial Narrow"/>
        </w:rPr>
        <w:t xml:space="preserve"> request</w:t>
      </w:r>
      <w:r w:rsidRPr="00697A66">
        <w:rPr>
          <w:rFonts w:ascii="Arial Narrow" w:hAnsi="Arial Narrow"/>
        </w:rPr>
        <w:t xml:space="preserve"> </w:t>
      </w:r>
      <w:r w:rsidR="005A0E9A">
        <w:rPr>
          <w:rFonts w:ascii="Arial Narrow" w:hAnsi="Arial Narrow"/>
        </w:rPr>
        <w:t xml:space="preserve">for such data </w:t>
      </w:r>
      <w:r w:rsidRPr="00697A66">
        <w:rPr>
          <w:rFonts w:ascii="Arial Narrow" w:hAnsi="Arial Narrow"/>
        </w:rPr>
        <w:t>with the three federal financial i</w:t>
      </w:r>
      <w:r w:rsidR="003D0668">
        <w:rPr>
          <w:rFonts w:ascii="Arial Narrow" w:hAnsi="Arial Narrow"/>
        </w:rPr>
        <w:t>nstitutions regulatory agencies.</w:t>
      </w:r>
      <w:r w:rsidRPr="00697A66">
        <w:rPr>
          <w:rFonts w:ascii="Arial Narrow" w:hAnsi="Arial Narrow"/>
        </w:rPr>
        <w:t xml:space="preserve"> </w:t>
      </w:r>
    </w:p>
    <w:p w14:paraId="2302E914" w14:textId="77777777" w:rsidR="00CC6402" w:rsidRPr="00A0168D" w:rsidRDefault="00CC6402" w:rsidP="00CC6402">
      <w:pPr>
        <w:rPr>
          <w:rFonts w:ascii="Arial Narrow" w:hAnsi="Arial Narrow" w:cs="Arial"/>
        </w:rPr>
      </w:pPr>
    </w:p>
    <w:p w14:paraId="41B46E12" w14:textId="77777777" w:rsidR="00CC6402" w:rsidRPr="00A0168D" w:rsidRDefault="00CC6402" w:rsidP="000D1628">
      <w:pPr>
        <w:pStyle w:val="Heading1"/>
      </w:pPr>
      <w:r w:rsidRPr="00A0168D">
        <w:t>2.  Method of collection and use of data</w:t>
      </w:r>
    </w:p>
    <w:p w14:paraId="41EF7F28" w14:textId="17F97731" w:rsidR="00CC6402" w:rsidRPr="00A0168D" w:rsidRDefault="00CC6402" w:rsidP="00CC6402">
      <w:pPr>
        <w:rPr>
          <w:rFonts w:ascii="Arial Narrow" w:hAnsi="Arial Narrow" w:cs="Arial"/>
        </w:rPr>
      </w:pPr>
      <w:r w:rsidRPr="00697A66">
        <w:rPr>
          <w:rFonts w:ascii="Arial Narrow" w:hAnsi="Arial Narrow" w:cs="Arial"/>
        </w:rPr>
        <w:t>The CDFI Fund will collect data one time. Respondents will complete and submit the</w:t>
      </w:r>
      <w:r>
        <w:rPr>
          <w:rFonts w:ascii="Arial Narrow" w:hAnsi="Arial Narrow" w:cs="Arial"/>
        </w:rPr>
        <w:t xml:space="preserve"> online</w:t>
      </w:r>
      <w:r w:rsidRPr="00697A66">
        <w:rPr>
          <w:rFonts w:ascii="Arial Narrow" w:hAnsi="Arial Narrow" w:cs="Arial"/>
        </w:rPr>
        <w:t xml:space="preserve"> survey utilizing a customized web-based instrument.  The CDFI Fund will use the data collected from this survey to </w:t>
      </w:r>
      <w:r w:rsidR="0055414B">
        <w:rPr>
          <w:rFonts w:ascii="Arial Narrow" w:hAnsi="Arial Narrow" w:cs="Arial"/>
        </w:rPr>
        <w:t xml:space="preserve">gather </w:t>
      </w:r>
      <w:r w:rsidR="00254940">
        <w:rPr>
          <w:rFonts w:ascii="Arial Narrow" w:hAnsi="Arial Narrow" w:cs="Arial"/>
        </w:rPr>
        <w:t xml:space="preserve">the </w:t>
      </w:r>
      <w:r w:rsidR="0055414B">
        <w:rPr>
          <w:rFonts w:ascii="Arial Narrow" w:hAnsi="Arial Narrow" w:cs="Arial"/>
        </w:rPr>
        <w:t>opin</w:t>
      </w:r>
      <w:r w:rsidR="00254940">
        <w:rPr>
          <w:rFonts w:ascii="Arial Narrow" w:hAnsi="Arial Narrow" w:cs="Arial"/>
        </w:rPr>
        <w:t>ions of the CRA and</w:t>
      </w:r>
      <w:r w:rsidRPr="00697A66">
        <w:rPr>
          <w:rFonts w:ascii="Arial Narrow" w:hAnsi="Arial Narrow" w:cs="Arial"/>
        </w:rPr>
        <w:t xml:space="preserve"> BEA Program </w:t>
      </w:r>
      <w:r w:rsidR="00254940">
        <w:rPr>
          <w:rFonts w:ascii="Arial Narrow" w:hAnsi="Arial Narrow" w:cs="Arial"/>
        </w:rPr>
        <w:t xml:space="preserve">investment managers </w:t>
      </w:r>
      <w:r w:rsidRPr="00697A66">
        <w:rPr>
          <w:rFonts w:ascii="Arial Narrow" w:hAnsi="Arial Narrow" w:cs="Arial"/>
        </w:rPr>
        <w:t>on ba</w:t>
      </w:r>
      <w:r w:rsidR="00254940">
        <w:rPr>
          <w:rFonts w:ascii="Arial Narrow" w:hAnsi="Arial Narrow" w:cs="Arial"/>
        </w:rPr>
        <w:t>nk investment decision in BEA and CRA qualified</w:t>
      </w:r>
      <w:r w:rsidRPr="00697A66">
        <w:rPr>
          <w:rFonts w:ascii="Arial Narrow" w:hAnsi="Arial Narrow" w:cs="Arial"/>
        </w:rPr>
        <w:t xml:space="preserve"> distressed communities.  </w:t>
      </w:r>
      <w:r w:rsidRPr="00A0168D">
        <w:rPr>
          <w:rFonts w:ascii="Arial Narrow" w:hAnsi="Arial Narrow" w:cs="Arial"/>
        </w:rPr>
        <w:t xml:space="preserve"> </w:t>
      </w:r>
      <w:r w:rsidRPr="00697A66">
        <w:rPr>
          <w:rFonts w:ascii="Arial Narrow" w:hAnsi="Arial Narrow"/>
        </w:rPr>
        <w:t xml:space="preserve">The analysis of the </w:t>
      </w:r>
      <w:r w:rsidR="009C5B5D">
        <w:rPr>
          <w:rFonts w:ascii="Arial Narrow" w:hAnsi="Arial Narrow"/>
        </w:rPr>
        <w:t>BEA related investments in</w:t>
      </w:r>
      <w:r w:rsidRPr="00697A66">
        <w:rPr>
          <w:rFonts w:ascii="Arial Narrow" w:hAnsi="Arial Narrow"/>
        </w:rPr>
        <w:t xml:space="preserve"> the distressed communities </w:t>
      </w:r>
      <w:r>
        <w:rPr>
          <w:rFonts w:ascii="Arial Narrow" w:hAnsi="Arial Narrow"/>
        </w:rPr>
        <w:t xml:space="preserve"> </w:t>
      </w:r>
      <w:r w:rsidRPr="00697A66">
        <w:rPr>
          <w:rFonts w:ascii="Arial Narrow" w:hAnsi="Arial Narrow"/>
        </w:rPr>
        <w:t xml:space="preserve">will use data from the BEA applications linked </w:t>
      </w:r>
      <w:r w:rsidR="009C5B5D">
        <w:rPr>
          <w:rFonts w:ascii="Arial Narrow" w:hAnsi="Arial Narrow"/>
        </w:rPr>
        <w:t xml:space="preserve">to </w:t>
      </w:r>
      <w:r w:rsidRPr="00697A66">
        <w:rPr>
          <w:rFonts w:ascii="Arial Narrow" w:hAnsi="Arial Narrow"/>
        </w:rPr>
        <w:t xml:space="preserve"> secondary data from the Bureau of the Census and other sources to examine economic indicators in census tracts receiving investment. </w:t>
      </w:r>
      <w:r w:rsidRPr="00A0168D">
        <w:rPr>
          <w:rFonts w:ascii="Arial Narrow" w:hAnsi="Arial Narrow" w:cs="Arial"/>
        </w:rPr>
        <w:t xml:space="preserve">The CDFI Fund will share the findings with the Office of Management and Budget (OMB), the Government Accountability Office (GAO), Congress, industry stakeholders, senior management, and the general public. The research will also help to inform future </w:t>
      </w:r>
      <w:r w:rsidR="009C5B5D">
        <w:rPr>
          <w:rFonts w:ascii="Arial Narrow" w:hAnsi="Arial Narrow" w:cs="Arial"/>
        </w:rPr>
        <w:t>research and evaluation designs of the program</w:t>
      </w:r>
      <w:r w:rsidR="002D40D4">
        <w:rPr>
          <w:rFonts w:ascii="Arial Narrow" w:hAnsi="Arial Narrow" w:cs="Arial"/>
        </w:rPr>
        <w:t>.</w:t>
      </w:r>
      <w:r w:rsidR="009C5B5D">
        <w:rPr>
          <w:rFonts w:ascii="Arial Narrow" w:hAnsi="Arial Narrow" w:cs="Arial"/>
        </w:rPr>
        <w:t xml:space="preserve"> </w:t>
      </w:r>
    </w:p>
    <w:p w14:paraId="1BEDFA79" w14:textId="77777777" w:rsidR="00CC6402" w:rsidRPr="00E6596C" w:rsidRDefault="00CC6402" w:rsidP="00CC6402"/>
    <w:p w14:paraId="15DBDF53" w14:textId="77777777" w:rsidR="007810A9" w:rsidRPr="007810A9" w:rsidRDefault="007810A9" w:rsidP="007810A9">
      <w:pPr>
        <w:jc w:val="both"/>
        <w:rPr>
          <w:rFonts w:ascii="Arial Narrow" w:hAnsi="Arial Narrow" w:cs="Arial"/>
          <w:u w:val="single"/>
        </w:rPr>
      </w:pPr>
    </w:p>
    <w:p w14:paraId="2F132B33" w14:textId="77777777" w:rsidR="007810A9" w:rsidRPr="00855091" w:rsidRDefault="007810A9" w:rsidP="000D1628">
      <w:pPr>
        <w:pStyle w:val="Heading1"/>
      </w:pPr>
      <w:r w:rsidRPr="00855091">
        <w:lastRenderedPageBreak/>
        <w:t>3. Use of Information Technology</w:t>
      </w:r>
    </w:p>
    <w:p w14:paraId="0D6D1846" w14:textId="73CC75FF" w:rsidR="00855091" w:rsidRPr="00855091" w:rsidRDefault="00C213B3" w:rsidP="00855091">
      <w:pPr>
        <w:pStyle w:val="Header"/>
        <w:tabs>
          <w:tab w:val="clear" w:pos="4320"/>
          <w:tab w:val="clear" w:pos="8640"/>
        </w:tabs>
        <w:rPr>
          <w:rFonts w:ascii="Arial Narrow" w:hAnsi="Arial Narrow" w:cs="Arial"/>
          <w:szCs w:val="24"/>
        </w:rPr>
      </w:pPr>
      <w:r w:rsidRPr="00C213B3">
        <w:rPr>
          <w:rFonts w:ascii="Arial Narrow" w:hAnsi="Arial Narrow" w:cs="Arial"/>
          <w:szCs w:val="24"/>
        </w:rPr>
        <w:t xml:space="preserve">The survey will be administered using a customized online survey instrument as the primary mode of data collection. </w:t>
      </w:r>
      <w:r w:rsidR="00B15A66">
        <w:rPr>
          <w:rFonts w:ascii="Arial Narrow" w:hAnsi="Arial Narrow" w:cs="Arial"/>
          <w:szCs w:val="24"/>
        </w:rPr>
        <w:t>T</w:t>
      </w:r>
      <w:r w:rsidRPr="00C213B3">
        <w:rPr>
          <w:rFonts w:ascii="Arial Narrow" w:hAnsi="Arial Narrow" w:cs="Arial"/>
          <w:szCs w:val="24"/>
        </w:rPr>
        <w:t>wo weeks after sending</w:t>
      </w:r>
      <w:r w:rsidR="00B15A66">
        <w:rPr>
          <w:rFonts w:ascii="Arial Narrow" w:hAnsi="Arial Narrow" w:cs="Arial"/>
          <w:szCs w:val="24"/>
        </w:rPr>
        <w:t xml:space="preserve"> an email containing a</w:t>
      </w:r>
      <w:r w:rsidRPr="00C213B3">
        <w:rPr>
          <w:rFonts w:ascii="Arial Narrow" w:hAnsi="Arial Narrow" w:cs="Arial"/>
          <w:szCs w:val="24"/>
        </w:rPr>
        <w:t xml:space="preserve"> link to the online survey instrument, follow-up telephone calls will be attempted with non-respondents</w:t>
      </w:r>
      <w:r w:rsidR="00B15A66">
        <w:rPr>
          <w:rFonts w:ascii="Arial Narrow" w:hAnsi="Arial Narrow" w:cs="Arial"/>
          <w:szCs w:val="24"/>
        </w:rPr>
        <w:t xml:space="preserve"> </w:t>
      </w:r>
      <w:r w:rsidRPr="00C213B3">
        <w:rPr>
          <w:rFonts w:ascii="Arial Narrow" w:hAnsi="Arial Narrow" w:cs="Arial"/>
          <w:szCs w:val="24"/>
        </w:rPr>
        <w:t xml:space="preserve">offering </w:t>
      </w:r>
      <w:r w:rsidR="00B15A66">
        <w:rPr>
          <w:rFonts w:ascii="Arial Narrow" w:hAnsi="Arial Narrow" w:cs="Arial"/>
          <w:szCs w:val="24"/>
        </w:rPr>
        <w:t>them</w:t>
      </w:r>
      <w:r w:rsidRPr="00C213B3">
        <w:rPr>
          <w:rFonts w:ascii="Arial Narrow" w:hAnsi="Arial Narrow" w:cs="Arial"/>
          <w:szCs w:val="24"/>
        </w:rPr>
        <w:t xml:space="preserve"> the option of completing the sur</w:t>
      </w:r>
      <w:r w:rsidR="00932A9A">
        <w:rPr>
          <w:rFonts w:ascii="Arial Narrow" w:hAnsi="Arial Narrow" w:cs="Arial"/>
          <w:szCs w:val="24"/>
        </w:rPr>
        <w:t xml:space="preserve">vey by telephone. The contractor </w:t>
      </w:r>
      <w:r w:rsidRPr="00C213B3">
        <w:rPr>
          <w:rFonts w:ascii="Arial Narrow" w:hAnsi="Arial Narrow" w:cs="Arial"/>
          <w:szCs w:val="24"/>
        </w:rPr>
        <w:t xml:space="preserve">will use the online form to capture telephone survey responses.   </w:t>
      </w:r>
    </w:p>
    <w:p w14:paraId="2D48F99E" w14:textId="5D3EB1D2" w:rsidR="00C213B3" w:rsidRDefault="00C213B3">
      <w:pPr>
        <w:rPr>
          <w:rFonts w:ascii="Arial Narrow" w:hAnsi="Arial Narrow" w:cs="Arial"/>
        </w:rPr>
      </w:pPr>
    </w:p>
    <w:p w14:paraId="639CE11D" w14:textId="77777777" w:rsidR="007810A9" w:rsidRPr="007810A9" w:rsidRDefault="007810A9" w:rsidP="000D1628">
      <w:pPr>
        <w:pStyle w:val="Heading1"/>
      </w:pPr>
      <w:r w:rsidRPr="007810A9">
        <w:t>4.  Efforts to identify duplication</w:t>
      </w:r>
    </w:p>
    <w:p w14:paraId="3C133DD7" w14:textId="4E053900" w:rsidR="00B15A66" w:rsidRPr="00B15A66" w:rsidRDefault="00B15A66" w:rsidP="00B15A66">
      <w:pPr>
        <w:rPr>
          <w:rFonts w:ascii="Arial Narrow" w:hAnsi="Arial Narrow" w:cs="Arial"/>
        </w:rPr>
      </w:pPr>
      <w:r w:rsidRPr="00B15A66">
        <w:rPr>
          <w:rFonts w:ascii="Arial Narrow" w:hAnsi="Arial Narrow" w:cs="Arial"/>
        </w:rPr>
        <w:t>The BEA Program Evaluation do</w:t>
      </w:r>
      <w:r w:rsidR="00D004C3">
        <w:rPr>
          <w:rFonts w:ascii="Arial Narrow" w:hAnsi="Arial Narrow" w:cs="Arial"/>
        </w:rPr>
        <w:t>es</w:t>
      </w:r>
      <w:r w:rsidRPr="00B15A66">
        <w:rPr>
          <w:rFonts w:ascii="Arial Narrow" w:hAnsi="Arial Narrow" w:cs="Arial"/>
        </w:rPr>
        <w:t xml:space="preserve"> not duplicate information collected from other sources.</w:t>
      </w:r>
    </w:p>
    <w:p w14:paraId="6540E559" w14:textId="77777777" w:rsidR="007810A9" w:rsidRDefault="007810A9" w:rsidP="007810A9">
      <w:pPr>
        <w:rPr>
          <w:rFonts w:ascii="Arial Narrow" w:hAnsi="Arial Narrow" w:cs="Arial"/>
        </w:rPr>
      </w:pPr>
    </w:p>
    <w:p w14:paraId="05AB6765" w14:textId="77777777" w:rsidR="007810A9" w:rsidRPr="007810A9" w:rsidRDefault="007810A9" w:rsidP="000D1628">
      <w:pPr>
        <w:pStyle w:val="Heading1"/>
      </w:pPr>
      <w:r w:rsidRPr="007810A9">
        <w:t>5.  Impact on small entities</w:t>
      </w:r>
    </w:p>
    <w:p w14:paraId="1BAA3BED" w14:textId="77777777" w:rsidR="007810A9" w:rsidRDefault="007810A9" w:rsidP="007810A9">
      <w:pPr>
        <w:rPr>
          <w:rFonts w:ascii="Arial Narrow" w:hAnsi="Arial Narrow" w:cs="Arial"/>
        </w:rPr>
      </w:pPr>
      <w:r w:rsidRPr="007810A9">
        <w:rPr>
          <w:rFonts w:ascii="Arial Narrow" w:hAnsi="Arial Narrow" w:cs="Arial"/>
        </w:rPr>
        <w:t xml:space="preserve">This </w:t>
      </w:r>
      <w:r w:rsidR="004F1BB9">
        <w:rPr>
          <w:rFonts w:ascii="Arial Narrow" w:hAnsi="Arial Narrow" w:cs="Arial"/>
        </w:rPr>
        <w:t xml:space="preserve">collection of </w:t>
      </w:r>
      <w:r w:rsidR="005C171C">
        <w:rPr>
          <w:rFonts w:ascii="Arial Narrow" w:hAnsi="Arial Narrow" w:cs="Arial"/>
        </w:rPr>
        <w:t>information</w:t>
      </w:r>
      <w:r w:rsidR="00E02AA2">
        <w:rPr>
          <w:rFonts w:ascii="Arial Narrow" w:hAnsi="Arial Narrow" w:cs="Arial"/>
        </w:rPr>
        <w:t xml:space="preserve"> </w:t>
      </w:r>
      <w:r w:rsidRPr="007810A9">
        <w:rPr>
          <w:rFonts w:ascii="Arial Narrow" w:hAnsi="Arial Narrow" w:cs="Arial"/>
        </w:rPr>
        <w:t xml:space="preserve">is not expected to have significant impact on small entities. </w:t>
      </w:r>
    </w:p>
    <w:p w14:paraId="6CC9A958" w14:textId="77777777" w:rsidR="007810A9" w:rsidRPr="007810A9" w:rsidRDefault="007810A9" w:rsidP="007810A9">
      <w:pPr>
        <w:rPr>
          <w:rFonts w:ascii="Arial Narrow" w:hAnsi="Arial Narrow" w:cs="Arial"/>
          <w:u w:val="single"/>
        </w:rPr>
      </w:pPr>
    </w:p>
    <w:p w14:paraId="0F72824B" w14:textId="77777777" w:rsidR="007810A9" w:rsidRPr="007810A9" w:rsidRDefault="007810A9" w:rsidP="000D1628">
      <w:pPr>
        <w:pStyle w:val="Heading1"/>
      </w:pPr>
      <w:r w:rsidRPr="007810A9">
        <w:t>6.  Consequences of less frequent collection and obstacles to burden reduction</w:t>
      </w:r>
    </w:p>
    <w:p w14:paraId="36FD2B52" w14:textId="3C506BE9" w:rsidR="007810A9" w:rsidRPr="007810A9" w:rsidRDefault="00BC35A5" w:rsidP="007810A9">
      <w:pPr>
        <w:rPr>
          <w:rFonts w:ascii="Arial Narrow" w:hAnsi="Arial Narrow" w:cs="Arial"/>
        </w:rPr>
      </w:pPr>
      <w:r w:rsidRPr="00BC35A5">
        <w:rPr>
          <w:rFonts w:ascii="Arial Narrow" w:hAnsi="Arial Narrow" w:cs="Arial"/>
        </w:rPr>
        <w:t xml:space="preserve">The BEA Program survey is a one-time data collection and data are not available from any other source. This information is critical to ongoing </w:t>
      </w:r>
      <w:r w:rsidR="00932A9A">
        <w:rPr>
          <w:rFonts w:ascii="Arial Narrow" w:hAnsi="Arial Narrow" w:cs="Arial"/>
        </w:rPr>
        <w:t xml:space="preserve">program </w:t>
      </w:r>
      <w:r w:rsidRPr="00BC35A5">
        <w:rPr>
          <w:rFonts w:ascii="Arial Narrow" w:hAnsi="Arial Narrow" w:cs="Arial"/>
        </w:rPr>
        <w:t>assessment, including identifying appropriate output and outcome measures, and refining existing reporting requirements.</w:t>
      </w:r>
    </w:p>
    <w:p w14:paraId="2973CBD9" w14:textId="77777777" w:rsidR="007810A9" w:rsidRPr="007810A9" w:rsidRDefault="007810A9" w:rsidP="007810A9">
      <w:pPr>
        <w:rPr>
          <w:rFonts w:ascii="Arial Narrow" w:hAnsi="Arial Narrow" w:cs="Arial"/>
        </w:rPr>
      </w:pPr>
    </w:p>
    <w:p w14:paraId="5A5FFC40" w14:textId="77777777" w:rsidR="007810A9" w:rsidRPr="007810A9" w:rsidRDefault="007810A9" w:rsidP="000D1628">
      <w:pPr>
        <w:pStyle w:val="Heading1"/>
      </w:pPr>
      <w:r w:rsidRPr="007810A9">
        <w:t>7.  Circumstances requiring special information collection</w:t>
      </w:r>
    </w:p>
    <w:p w14:paraId="2F5D1AD6" w14:textId="211806F5" w:rsidR="00855091" w:rsidRPr="00855091" w:rsidRDefault="0081737C" w:rsidP="00855091">
      <w:pPr>
        <w:rPr>
          <w:rFonts w:ascii="Arial Narrow" w:hAnsi="Arial Narrow" w:cs="Arial"/>
        </w:rPr>
      </w:pPr>
      <w:r w:rsidRPr="0081737C">
        <w:rPr>
          <w:rFonts w:ascii="Arial Narrow" w:hAnsi="Arial Narrow" w:cs="Arial"/>
        </w:rPr>
        <w:t>The proposed data collection activities are consistent with the guidelines set forth in 5 CFR 1320.5 (d)(2). There are no special circumstances that require</w:t>
      </w:r>
      <w:r w:rsidR="000055D8">
        <w:rPr>
          <w:rFonts w:ascii="Arial Narrow" w:hAnsi="Arial Narrow" w:cs="Arial"/>
        </w:rPr>
        <w:t xml:space="preserve"> </w:t>
      </w:r>
      <w:r w:rsidRPr="0081737C">
        <w:rPr>
          <w:rFonts w:ascii="Arial Narrow" w:hAnsi="Arial Narrow" w:cs="Arial"/>
        </w:rPr>
        <w:t>deviation from these guidelines</w:t>
      </w:r>
      <w:r>
        <w:rPr>
          <w:rFonts w:ascii="Arial Narrow" w:hAnsi="Arial Narrow" w:cs="Arial"/>
        </w:rPr>
        <w:t>.</w:t>
      </w:r>
      <w:r w:rsidR="00855091" w:rsidRPr="00855091">
        <w:rPr>
          <w:rFonts w:ascii="Arial Narrow" w:hAnsi="Arial Narrow" w:cs="Arial"/>
        </w:rPr>
        <w:t xml:space="preserve"> </w:t>
      </w:r>
    </w:p>
    <w:p w14:paraId="21DB59B0" w14:textId="77777777" w:rsidR="007810A9" w:rsidRPr="007810A9" w:rsidRDefault="007810A9" w:rsidP="007810A9">
      <w:pPr>
        <w:rPr>
          <w:rFonts w:ascii="Arial Narrow" w:hAnsi="Arial Narrow" w:cs="Arial"/>
        </w:rPr>
      </w:pPr>
    </w:p>
    <w:p w14:paraId="770C7586" w14:textId="77777777" w:rsidR="007810A9" w:rsidRPr="00BC4D0B" w:rsidRDefault="007810A9" w:rsidP="000D1628">
      <w:pPr>
        <w:pStyle w:val="Heading1"/>
      </w:pPr>
      <w:r w:rsidRPr="00BC4D0B">
        <w:t>8.  Solicitation of comments on information collection</w:t>
      </w:r>
    </w:p>
    <w:p w14:paraId="3405858C" w14:textId="1F2AE0E6" w:rsidR="007810A9" w:rsidRPr="007810A9" w:rsidRDefault="004F1BB9" w:rsidP="007810A9">
      <w:pPr>
        <w:rPr>
          <w:rFonts w:ascii="Arial Narrow" w:hAnsi="Arial Narrow" w:cs="Arial"/>
          <w:i/>
          <w:iCs/>
        </w:rPr>
      </w:pPr>
      <w:r w:rsidRPr="00BC4D0B">
        <w:rPr>
          <w:rFonts w:ascii="Arial Narrow" w:hAnsi="Arial Narrow" w:cs="Arial"/>
        </w:rPr>
        <w:t xml:space="preserve">Comments on the </w:t>
      </w:r>
      <w:r w:rsidR="005D0D48" w:rsidRPr="005D0D48">
        <w:rPr>
          <w:rFonts w:ascii="Arial Narrow" w:hAnsi="Arial Narrow" w:cs="Arial"/>
        </w:rPr>
        <w:t>Evaluation of the Community Development Financial Institutions Fund Bank Enterprise Award Program</w:t>
      </w:r>
      <w:r w:rsidR="005D0D48">
        <w:rPr>
          <w:rFonts w:ascii="Arial Narrow" w:hAnsi="Arial Narrow" w:cs="Arial"/>
        </w:rPr>
        <w:t xml:space="preserve"> </w:t>
      </w:r>
      <w:r w:rsidRPr="00BC4D0B">
        <w:rPr>
          <w:rFonts w:ascii="Arial Narrow" w:hAnsi="Arial Narrow" w:cs="Arial"/>
        </w:rPr>
        <w:t xml:space="preserve">were solicited in the Federal Register on </w:t>
      </w:r>
      <w:r w:rsidR="005D0D48">
        <w:rPr>
          <w:rFonts w:ascii="Arial Narrow" w:hAnsi="Arial Narrow" w:cs="Arial"/>
        </w:rPr>
        <w:t>March</w:t>
      </w:r>
      <w:r w:rsidRPr="00BC4D0B">
        <w:rPr>
          <w:rFonts w:ascii="Arial Narrow" w:hAnsi="Arial Narrow" w:cs="Arial"/>
        </w:rPr>
        <w:t xml:space="preserve"> 1</w:t>
      </w:r>
      <w:r w:rsidR="005D0D48">
        <w:rPr>
          <w:rFonts w:ascii="Arial Narrow" w:hAnsi="Arial Narrow" w:cs="Arial"/>
        </w:rPr>
        <w:t>8</w:t>
      </w:r>
      <w:r w:rsidRPr="00BC4D0B">
        <w:rPr>
          <w:rFonts w:ascii="Arial Narrow" w:hAnsi="Arial Narrow" w:cs="Arial"/>
        </w:rPr>
        <w:t>, 2015 (</w:t>
      </w:r>
      <w:r w:rsidR="00F675D5" w:rsidRPr="00F675D5">
        <w:rPr>
          <w:rFonts w:ascii="Arial Narrow" w:hAnsi="Arial Narrow" w:cs="Arial"/>
        </w:rPr>
        <w:t>Document 2015-06233</w:t>
      </w:r>
      <w:r w:rsidRPr="00BC4D0B">
        <w:rPr>
          <w:rFonts w:ascii="Arial Narrow" w:hAnsi="Arial Narrow" w:cs="Arial"/>
        </w:rPr>
        <w:t>)</w:t>
      </w:r>
      <w:r w:rsidR="007810A9" w:rsidRPr="00BC4D0B">
        <w:rPr>
          <w:rFonts w:ascii="Arial Narrow" w:hAnsi="Arial Narrow" w:cs="Arial"/>
        </w:rPr>
        <w:t>.</w:t>
      </w:r>
      <w:r w:rsidR="00D04DFA">
        <w:rPr>
          <w:rFonts w:ascii="Arial Narrow" w:hAnsi="Arial Narrow" w:cs="Arial"/>
        </w:rPr>
        <w:t xml:space="preserve">  T</w:t>
      </w:r>
      <w:r w:rsidRPr="00BC4D0B">
        <w:rPr>
          <w:rFonts w:ascii="Arial Narrow" w:hAnsi="Arial Narrow" w:cs="Arial"/>
        </w:rPr>
        <w:t xml:space="preserve">he CDFI Fund received </w:t>
      </w:r>
      <w:r w:rsidR="00D04DFA">
        <w:rPr>
          <w:rFonts w:ascii="Arial Narrow" w:hAnsi="Arial Narrow" w:cs="Arial"/>
        </w:rPr>
        <w:t>two</w:t>
      </w:r>
      <w:r w:rsidRPr="00BC4D0B">
        <w:rPr>
          <w:rFonts w:ascii="Arial Narrow" w:hAnsi="Arial Narrow" w:cs="Arial"/>
        </w:rPr>
        <w:t xml:space="preserve"> responses.</w:t>
      </w:r>
      <w:r w:rsidR="008027CE">
        <w:rPr>
          <w:rFonts w:ascii="Arial Narrow" w:hAnsi="Arial Narrow" w:cs="Arial"/>
        </w:rPr>
        <w:t xml:space="preserve"> The</w:t>
      </w:r>
      <w:r w:rsidR="008027CE" w:rsidRPr="008027CE">
        <w:t xml:space="preserve"> </w:t>
      </w:r>
      <w:r w:rsidR="008027CE" w:rsidRPr="008027CE">
        <w:rPr>
          <w:rFonts w:ascii="Arial Narrow" w:hAnsi="Arial Narrow" w:cs="Arial"/>
        </w:rPr>
        <w:t>CDFI Fund received comments from</w:t>
      </w:r>
      <w:r w:rsidR="008027CE">
        <w:rPr>
          <w:rFonts w:ascii="Arial Narrow" w:hAnsi="Arial Narrow" w:cs="Arial"/>
        </w:rPr>
        <w:t xml:space="preserve"> the</w:t>
      </w:r>
      <w:r w:rsidR="008027CE" w:rsidRPr="008027CE">
        <w:rPr>
          <w:rFonts w:ascii="Arial Narrow" w:hAnsi="Arial Narrow" w:cs="Arial"/>
        </w:rPr>
        <w:t xml:space="preserve"> Community Development Bankers Association and one individual</w:t>
      </w:r>
      <w:r w:rsidR="008027CE">
        <w:rPr>
          <w:rFonts w:ascii="Arial Narrow" w:hAnsi="Arial Narrow" w:cs="Arial"/>
        </w:rPr>
        <w:t xml:space="preserve">. </w:t>
      </w:r>
      <w:r w:rsidR="007810A9" w:rsidRPr="00BC4D0B">
        <w:rPr>
          <w:rFonts w:ascii="Arial Narrow" w:hAnsi="Arial Narrow" w:cs="Arial"/>
        </w:rPr>
        <w:t xml:space="preserve">Please see </w:t>
      </w:r>
      <w:r w:rsidR="00815FCF" w:rsidRPr="00BC4D0B">
        <w:rPr>
          <w:rFonts w:ascii="Arial Narrow" w:hAnsi="Arial Narrow" w:cs="Arial"/>
        </w:rPr>
        <w:t>Appendix</w:t>
      </w:r>
      <w:r w:rsidR="007810A9" w:rsidRPr="00BC4D0B">
        <w:rPr>
          <w:rFonts w:ascii="Arial Narrow" w:hAnsi="Arial Narrow" w:cs="Arial"/>
        </w:rPr>
        <w:t xml:space="preserve"> A for the comments that were received and an explanation as to how they </w:t>
      </w:r>
      <w:r w:rsidR="00277178" w:rsidRPr="00BC4D0B">
        <w:rPr>
          <w:rFonts w:ascii="Arial Narrow" w:hAnsi="Arial Narrow" w:cs="Arial"/>
        </w:rPr>
        <w:t xml:space="preserve">were addressed in the </w:t>
      </w:r>
      <w:r w:rsidR="007810A9" w:rsidRPr="005D0D48">
        <w:rPr>
          <w:rFonts w:ascii="Arial Narrow" w:hAnsi="Arial Narrow" w:cs="Arial"/>
        </w:rPr>
        <w:t>application.</w:t>
      </w:r>
      <w:r w:rsidR="007810A9" w:rsidRPr="00277178">
        <w:rPr>
          <w:rFonts w:ascii="Arial Narrow" w:hAnsi="Arial Narrow" w:cs="Arial"/>
        </w:rPr>
        <w:t xml:space="preserve">   </w:t>
      </w:r>
    </w:p>
    <w:p w14:paraId="52E12D0A" w14:textId="77777777" w:rsidR="007810A9" w:rsidRPr="007810A9" w:rsidRDefault="007810A9" w:rsidP="007810A9">
      <w:pPr>
        <w:rPr>
          <w:rFonts w:ascii="Arial Narrow" w:hAnsi="Arial Narrow" w:cs="Arial"/>
          <w:u w:val="single"/>
        </w:rPr>
      </w:pPr>
    </w:p>
    <w:p w14:paraId="2389C907" w14:textId="77777777" w:rsidR="007810A9" w:rsidRPr="007810A9" w:rsidRDefault="007810A9" w:rsidP="000D1628">
      <w:pPr>
        <w:pStyle w:val="Heading1"/>
      </w:pPr>
      <w:r w:rsidRPr="007810A9">
        <w:t>9.  Provision of payment to respondents</w:t>
      </w:r>
    </w:p>
    <w:p w14:paraId="77F1D6B3" w14:textId="77777777" w:rsidR="007810A9" w:rsidRPr="007810A9" w:rsidRDefault="007810A9" w:rsidP="007810A9">
      <w:pPr>
        <w:rPr>
          <w:rFonts w:ascii="Arial Narrow" w:hAnsi="Arial Narrow" w:cs="Arial"/>
        </w:rPr>
      </w:pPr>
      <w:r w:rsidRPr="007810A9">
        <w:rPr>
          <w:rFonts w:ascii="Arial Narrow" w:hAnsi="Arial Narrow" w:cs="Arial"/>
        </w:rPr>
        <w:t>No payments or gifts will be made to respondents.</w:t>
      </w:r>
    </w:p>
    <w:p w14:paraId="13C683F8" w14:textId="77777777" w:rsidR="007810A9" w:rsidRPr="007810A9" w:rsidRDefault="007810A9" w:rsidP="007810A9">
      <w:pPr>
        <w:rPr>
          <w:rFonts w:ascii="Arial Narrow" w:hAnsi="Arial Narrow" w:cs="Arial"/>
        </w:rPr>
      </w:pPr>
    </w:p>
    <w:p w14:paraId="41C18D25" w14:textId="78A9B8B1" w:rsidR="007810A9" w:rsidRPr="007810A9" w:rsidRDefault="000D1628" w:rsidP="000D1628">
      <w:pPr>
        <w:pStyle w:val="Heading1"/>
      </w:pPr>
      <w:r>
        <w:t xml:space="preserve">10.  </w:t>
      </w:r>
      <w:r w:rsidR="007810A9" w:rsidRPr="007810A9">
        <w:t>Assurance of confidentiality</w:t>
      </w:r>
    </w:p>
    <w:p w14:paraId="63B29F0E" w14:textId="16F5F2D3" w:rsidR="00B94871" w:rsidRPr="002D0519" w:rsidRDefault="00B94871" w:rsidP="00B94871">
      <w:pPr>
        <w:rPr>
          <w:rFonts w:ascii="Arial Narrow" w:hAnsi="Arial Narrow"/>
        </w:rPr>
      </w:pPr>
      <w:r w:rsidRPr="002D0519">
        <w:rPr>
          <w:rFonts w:ascii="Arial Narrow" w:hAnsi="Arial Narrow" w:cs="Arial"/>
          <w:color w:val="000000"/>
          <w:shd w:val="clear" w:color="auto" w:fill="FFFFFF"/>
        </w:rPr>
        <w:t>Wi</w:t>
      </w:r>
      <w:r w:rsidRPr="00B94871">
        <w:rPr>
          <w:rFonts w:ascii="Arial Narrow" w:hAnsi="Arial Narrow" w:cs="Arial"/>
        </w:rPr>
        <w:t xml:space="preserve">th respect to </w:t>
      </w:r>
      <w:r w:rsidRPr="009243E0">
        <w:rPr>
          <w:rFonts w:ascii="Arial Narrow" w:hAnsi="Arial Narrow" w:cs="Arial"/>
        </w:rPr>
        <w:t xml:space="preserve">confidentiality </w:t>
      </w:r>
      <w:r w:rsidRPr="00B94871">
        <w:rPr>
          <w:rFonts w:ascii="Arial Narrow" w:hAnsi="Arial Narrow" w:cs="Arial"/>
        </w:rPr>
        <w:t xml:space="preserve">of information supplied </w:t>
      </w:r>
      <w:r w:rsidRPr="009243E0">
        <w:rPr>
          <w:rFonts w:ascii="Arial Narrow" w:hAnsi="Arial Narrow" w:cs="Arial"/>
        </w:rPr>
        <w:t>as part of the</w:t>
      </w:r>
      <w:r w:rsidRPr="002D0519">
        <w:rPr>
          <w:rFonts w:ascii="Arial Narrow" w:hAnsi="Arial Narrow"/>
        </w:rPr>
        <w:t xml:space="preserve"> </w:t>
      </w:r>
      <w:r w:rsidRPr="00B94871">
        <w:rPr>
          <w:rFonts w:ascii="Arial Narrow" w:hAnsi="Arial Narrow" w:cs="Arial"/>
        </w:rPr>
        <w:t>Evaluation of the Community Development Financial Institutions Fund Bank Enterprise Award Program</w:t>
      </w:r>
      <w:r w:rsidRPr="009243E0">
        <w:rPr>
          <w:rFonts w:ascii="Arial Narrow" w:hAnsi="Arial Narrow" w:cs="Arial"/>
        </w:rPr>
        <w:t xml:space="preserve">, </w:t>
      </w:r>
      <w:r w:rsidRPr="00CA55B0">
        <w:rPr>
          <w:rFonts w:ascii="Arial Narrow" w:hAnsi="Arial Narrow" w:cs="Arial"/>
        </w:rPr>
        <w:t>the CDFI Fund is subject to</w:t>
      </w:r>
      <w:r w:rsidRPr="00027C4E">
        <w:rPr>
          <w:rFonts w:ascii="Arial Narrow" w:hAnsi="Arial Narrow" w:cs="Arial"/>
        </w:rPr>
        <w:t xml:space="preserve"> </w:t>
      </w:r>
      <w:r w:rsidRPr="002D0519">
        <w:rPr>
          <w:rFonts w:ascii="Arial Narrow" w:hAnsi="Arial Narrow"/>
        </w:rPr>
        <w:t>the protections afforded by the Freedom of Information Act (</w:t>
      </w:r>
      <w:r w:rsidRPr="002D0519">
        <w:rPr>
          <w:rFonts w:ascii="Arial Narrow" w:hAnsi="Arial Narrow" w:cs="Arial"/>
          <w:color w:val="000000"/>
          <w:shd w:val="clear" w:color="auto" w:fill="FFFFFF"/>
        </w:rPr>
        <w:t>Freedom of Information Act (FOIA), 5 U.S.C. § 552</w:t>
      </w:r>
      <w:r w:rsidRPr="002D0519">
        <w:rPr>
          <w:rFonts w:ascii="Arial Narrow" w:hAnsi="Arial Narrow"/>
        </w:rPr>
        <w:t>) exemptions regarding confidential business information, the release of which is likely to cause substantial competitive harm, as well as personal privacy protections under FOIA.</w:t>
      </w:r>
      <w:r w:rsidRPr="00B94871">
        <w:rPr>
          <w:rFonts w:ascii="Arial Narrow" w:hAnsi="Arial Narrow" w:cs="Arial"/>
        </w:rPr>
        <w:t xml:space="preserve"> </w:t>
      </w:r>
      <w:r w:rsidRPr="002D0519">
        <w:rPr>
          <w:rFonts w:ascii="Arial Narrow" w:hAnsi="Arial Narrow"/>
        </w:rPr>
        <w:t>Additional protections may be applicable under the Privacy Act</w:t>
      </w:r>
      <w:r w:rsidRPr="00B94871">
        <w:rPr>
          <w:rFonts w:ascii="Arial Narrow" w:hAnsi="Arial Narrow" w:cs="Arial"/>
        </w:rPr>
        <w:t xml:space="preserve"> </w:t>
      </w:r>
      <w:r w:rsidRPr="009243E0">
        <w:rPr>
          <w:rFonts w:ascii="Arial Narrow" w:hAnsi="Arial Narrow" w:cs="Arial"/>
        </w:rPr>
        <w:t>(</w:t>
      </w:r>
      <w:r w:rsidRPr="002D0519">
        <w:rPr>
          <w:rFonts w:ascii="Arial Narrow" w:hAnsi="Arial Narrow" w:cs="Arial"/>
          <w:color w:val="000000"/>
          <w:shd w:val="clear" w:color="auto" w:fill="FFFFFF"/>
        </w:rPr>
        <w:t>Privacy Act of 1974, 5 U.S.C. § 552a)</w:t>
      </w:r>
      <w:r w:rsidRPr="00B94871">
        <w:rPr>
          <w:rFonts w:ascii="Arial Narrow" w:hAnsi="Arial Narrow" w:cs="Arial"/>
        </w:rPr>
        <w:t>.</w:t>
      </w:r>
      <w:r w:rsidRPr="009243E0">
        <w:rPr>
          <w:rFonts w:ascii="Arial Narrow" w:hAnsi="Arial Narrow" w:cs="Arial"/>
        </w:rPr>
        <w:t xml:space="preserve"> </w:t>
      </w:r>
      <w:r w:rsidRPr="002D0519">
        <w:rPr>
          <w:rFonts w:ascii="Arial Narrow" w:hAnsi="Arial Narrow"/>
        </w:rPr>
        <w:t>The data protocols will ensure participant anonymity and, therefore, confidentiality</w:t>
      </w:r>
      <w:r w:rsidRPr="00B94871">
        <w:rPr>
          <w:rFonts w:ascii="Arial Narrow" w:hAnsi="Arial Narrow" w:cs="Arial"/>
        </w:rPr>
        <w:t xml:space="preserve">. </w:t>
      </w:r>
      <w:r w:rsidRPr="009243E0">
        <w:rPr>
          <w:rFonts w:ascii="Arial Narrow" w:hAnsi="Arial Narrow" w:cs="Arial"/>
        </w:rPr>
        <w:t>Via the survey ins</w:t>
      </w:r>
      <w:r w:rsidRPr="00CA55B0">
        <w:rPr>
          <w:rFonts w:ascii="Arial Narrow" w:hAnsi="Arial Narrow" w:cs="Arial"/>
        </w:rPr>
        <w:t>trument, cover letter and email, potential re</w:t>
      </w:r>
      <w:r w:rsidRPr="00027C4E">
        <w:rPr>
          <w:rFonts w:ascii="Arial Narrow" w:hAnsi="Arial Narrow" w:cs="Arial"/>
        </w:rPr>
        <w:t xml:space="preserve">spondents will be assured that the information provided will not be associated with their names, organizations, businesses or communities—i.e., that their responses will be combined with other responses and reported in aggregate form only. Further, procedures to assure confidentiality and data security will be in place for all data to be collected through the online survey. </w:t>
      </w:r>
    </w:p>
    <w:p w14:paraId="3950AC4B" w14:textId="578296D7" w:rsidR="007810A9" w:rsidRPr="007810A9" w:rsidRDefault="007810A9" w:rsidP="007810A9">
      <w:pPr>
        <w:rPr>
          <w:rFonts w:ascii="Arial Narrow" w:hAnsi="Arial Narrow" w:cs="Arial"/>
        </w:rPr>
      </w:pPr>
      <w:r w:rsidRPr="007810A9">
        <w:rPr>
          <w:rFonts w:ascii="Arial Narrow" w:hAnsi="Arial Narrow" w:cs="Arial"/>
        </w:rPr>
        <w:t xml:space="preserve"> </w:t>
      </w:r>
      <w:r w:rsidR="001D0B17">
        <w:rPr>
          <w:rFonts w:ascii="Arial Narrow" w:hAnsi="Arial Narrow" w:cs="Arial"/>
        </w:rPr>
        <w:t xml:space="preserve"> </w:t>
      </w:r>
    </w:p>
    <w:p w14:paraId="66EE89A4" w14:textId="77777777" w:rsidR="007810A9" w:rsidRPr="007810A9" w:rsidRDefault="007810A9" w:rsidP="007810A9">
      <w:pPr>
        <w:rPr>
          <w:rFonts w:ascii="Arial Narrow" w:hAnsi="Arial Narrow" w:cs="Arial"/>
          <w:u w:val="single"/>
        </w:rPr>
      </w:pPr>
    </w:p>
    <w:p w14:paraId="682354F5" w14:textId="56AEB2C6" w:rsidR="007810A9" w:rsidRPr="007810A9" w:rsidRDefault="007810A9" w:rsidP="000D1628">
      <w:pPr>
        <w:pStyle w:val="Heading1"/>
      </w:pPr>
      <w:r w:rsidRPr="007810A9">
        <w:lastRenderedPageBreak/>
        <w:t>11.  Justi</w:t>
      </w:r>
      <w:r w:rsidR="000D1628">
        <w:t>fication of sensitive questions</w:t>
      </w:r>
    </w:p>
    <w:p w14:paraId="2E7F28ED" w14:textId="6200828B" w:rsidR="007810A9" w:rsidRPr="007810A9" w:rsidRDefault="007810A9" w:rsidP="007810A9">
      <w:pPr>
        <w:rPr>
          <w:rFonts w:ascii="Arial Narrow" w:hAnsi="Arial Narrow" w:cs="Arial"/>
        </w:rPr>
      </w:pPr>
      <w:r w:rsidRPr="007810A9">
        <w:rPr>
          <w:rFonts w:ascii="Arial Narrow" w:hAnsi="Arial Narrow" w:cs="Arial"/>
        </w:rPr>
        <w:t xml:space="preserve">No questions of a sensitive nature are asked in the </w:t>
      </w:r>
      <w:r w:rsidR="00ED72BC">
        <w:rPr>
          <w:rFonts w:ascii="Arial Narrow" w:hAnsi="Arial Narrow" w:cs="Arial"/>
        </w:rPr>
        <w:t>online survey</w:t>
      </w:r>
      <w:r w:rsidR="009B2818">
        <w:rPr>
          <w:rFonts w:ascii="Arial Narrow" w:hAnsi="Arial Narrow" w:cs="Arial"/>
        </w:rPr>
        <w:t xml:space="preserve">.  </w:t>
      </w:r>
      <w:r w:rsidR="00ED72BC" w:rsidRPr="00ED72BC">
        <w:rPr>
          <w:rFonts w:ascii="Arial Narrow" w:hAnsi="Arial Narrow" w:cs="Arial"/>
        </w:rPr>
        <w:t xml:space="preserve">However some respondents might consider some information about their businesses or organizations to be proprietary. This will be addressed by </w:t>
      </w:r>
      <w:r w:rsidR="00ED72BC">
        <w:rPr>
          <w:rFonts w:ascii="Arial Narrow" w:hAnsi="Arial Narrow" w:cs="Arial"/>
        </w:rPr>
        <w:t xml:space="preserve">implementation of </w:t>
      </w:r>
      <w:r w:rsidR="00ED72BC" w:rsidRPr="00ED72BC">
        <w:rPr>
          <w:rFonts w:ascii="Arial Narrow" w:hAnsi="Arial Narrow" w:cs="Arial"/>
        </w:rPr>
        <w:t>the confidentiality procedures described above.</w:t>
      </w:r>
    </w:p>
    <w:p w14:paraId="5F51D17B" w14:textId="77777777" w:rsidR="007810A9" w:rsidRPr="007810A9" w:rsidRDefault="007810A9" w:rsidP="007810A9">
      <w:pPr>
        <w:rPr>
          <w:rFonts w:ascii="Arial Narrow" w:hAnsi="Arial Narrow" w:cs="Arial"/>
          <w:u w:val="single"/>
        </w:rPr>
      </w:pPr>
    </w:p>
    <w:p w14:paraId="60DE3D2A" w14:textId="208F6300" w:rsidR="00A855DC" w:rsidRPr="00A855DC" w:rsidRDefault="007810A9" w:rsidP="000D1628">
      <w:pPr>
        <w:pStyle w:val="Heading1"/>
      </w:pPr>
      <w:r w:rsidRPr="000102F0">
        <w:t>12.  Estimate of the hour b</w:t>
      </w:r>
      <w:r w:rsidR="000D1628">
        <w:t>urden of information collection</w:t>
      </w:r>
    </w:p>
    <w:p w14:paraId="48DD5A29" w14:textId="77855FDA" w:rsidR="0027553B" w:rsidRDefault="00855091" w:rsidP="0027553B">
      <w:pPr>
        <w:pStyle w:val="BodyText3"/>
        <w:spacing w:after="0"/>
        <w:rPr>
          <w:rFonts w:ascii="Arial Narrow" w:hAnsi="Arial Narrow" w:cs="Arial"/>
          <w:bCs/>
          <w:iCs/>
          <w:sz w:val="24"/>
          <w:szCs w:val="24"/>
        </w:rPr>
      </w:pPr>
      <w:r w:rsidRPr="00870EF3">
        <w:rPr>
          <w:rFonts w:ascii="Arial Narrow" w:hAnsi="Arial Narrow" w:cs="Arial"/>
          <w:bCs/>
          <w:iCs/>
          <w:sz w:val="24"/>
          <w:szCs w:val="24"/>
        </w:rPr>
        <w:t>The hour estimate is based on the</w:t>
      </w:r>
      <w:r w:rsidR="00277178" w:rsidRPr="00870EF3">
        <w:rPr>
          <w:rFonts w:ascii="Arial Narrow" w:hAnsi="Arial Narrow" w:cs="Arial"/>
          <w:bCs/>
          <w:iCs/>
          <w:sz w:val="24"/>
          <w:szCs w:val="24"/>
        </w:rPr>
        <w:t xml:space="preserve"> </w:t>
      </w:r>
      <w:r w:rsidR="009B2818">
        <w:rPr>
          <w:rFonts w:ascii="Arial Narrow" w:hAnsi="Arial Narrow" w:cs="Arial"/>
          <w:bCs/>
          <w:iCs/>
          <w:sz w:val="24"/>
          <w:szCs w:val="24"/>
        </w:rPr>
        <w:t>156</w:t>
      </w:r>
      <w:r w:rsidR="00A855DC">
        <w:rPr>
          <w:rFonts w:ascii="Arial Narrow" w:hAnsi="Arial Narrow" w:cs="Arial"/>
          <w:bCs/>
          <w:iCs/>
          <w:sz w:val="24"/>
          <w:szCs w:val="24"/>
        </w:rPr>
        <w:t xml:space="preserve"> </w:t>
      </w:r>
      <w:r w:rsidR="009B2818" w:rsidRPr="009B2818">
        <w:rPr>
          <w:rFonts w:ascii="Arial Narrow" w:hAnsi="Arial Narrow" w:cs="Arial"/>
          <w:bCs/>
          <w:iCs/>
          <w:sz w:val="24"/>
          <w:szCs w:val="24"/>
        </w:rPr>
        <w:t xml:space="preserve">BEA Program applicants </w:t>
      </w:r>
      <w:r w:rsidR="009B2818">
        <w:rPr>
          <w:rFonts w:ascii="Arial Narrow" w:hAnsi="Arial Narrow" w:cs="Arial"/>
          <w:bCs/>
          <w:iCs/>
          <w:sz w:val="24"/>
          <w:szCs w:val="24"/>
        </w:rPr>
        <w:t>(</w:t>
      </w:r>
      <w:r w:rsidR="009B2818" w:rsidRPr="009B2818">
        <w:rPr>
          <w:rFonts w:ascii="Arial Narrow" w:hAnsi="Arial Narrow" w:cs="Arial"/>
          <w:bCs/>
          <w:iCs/>
          <w:sz w:val="24"/>
          <w:szCs w:val="24"/>
        </w:rPr>
        <w:t>including program awardees and unsuccessful applicants</w:t>
      </w:r>
      <w:r w:rsidR="009B2818">
        <w:rPr>
          <w:rFonts w:ascii="Arial Narrow" w:hAnsi="Arial Narrow" w:cs="Arial"/>
          <w:bCs/>
          <w:iCs/>
          <w:sz w:val="24"/>
          <w:szCs w:val="24"/>
        </w:rPr>
        <w:t>)</w:t>
      </w:r>
      <w:r w:rsidR="00277178" w:rsidRPr="00870EF3">
        <w:rPr>
          <w:rFonts w:ascii="Arial Narrow" w:hAnsi="Arial Narrow" w:cs="Arial"/>
          <w:bCs/>
          <w:iCs/>
          <w:sz w:val="24"/>
          <w:szCs w:val="24"/>
        </w:rPr>
        <w:t xml:space="preserve"> that applied for </w:t>
      </w:r>
      <w:r w:rsidR="009B2818">
        <w:rPr>
          <w:rFonts w:ascii="Arial Narrow" w:hAnsi="Arial Narrow" w:cs="Arial"/>
          <w:bCs/>
          <w:iCs/>
          <w:sz w:val="24"/>
          <w:szCs w:val="24"/>
        </w:rPr>
        <w:t xml:space="preserve">an award in </w:t>
      </w:r>
      <w:r w:rsidR="009B2818" w:rsidRPr="009B2818">
        <w:rPr>
          <w:rFonts w:ascii="Arial Narrow" w:hAnsi="Arial Narrow" w:cs="Arial"/>
          <w:bCs/>
          <w:iCs/>
          <w:sz w:val="24"/>
          <w:szCs w:val="24"/>
        </w:rPr>
        <w:t>during calendar years 2012, 2013 or 2014</w:t>
      </w:r>
      <w:r w:rsidR="009B2818">
        <w:rPr>
          <w:rFonts w:ascii="Arial Narrow" w:hAnsi="Arial Narrow" w:cs="Arial"/>
          <w:bCs/>
          <w:iCs/>
          <w:sz w:val="24"/>
          <w:szCs w:val="24"/>
        </w:rPr>
        <w:t xml:space="preserve">, and </w:t>
      </w:r>
      <w:r w:rsidR="000102F0" w:rsidRPr="00870EF3">
        <w:rPr>
          <w:rFonts w:ascii="Arial Narrow" w:hAnsi="Arial Narrow" w:cs="Arial"/>
          <w:bCs/>
          <w:iCs/>
          <w:sz w:val="24"/>
          <w:szCs w:val="24"/>
        </w:rPr>
        <w:t>the estim</w:t>
      </w:r>
      <w:r w:rsidR="00A855DC">
        <w:rPr>
          <w:rFonts w:ascii="Arial Narrow" w:hAnsi="Arial Narrow" w:cs="Arial"/>
          <w:bCs/>
          <w:iCs/>
          <w:sz w:val="24"/>
          <w:szCs w:val="24"/>
        </w:rPr>
        <w:t xml:space="preserve">ated number of hours the </w:t>
      </w:r>
      <w:r w:rsidR="009B2818">
        <w:rPr>
          <w:rFonts w:ascii="Arial Narrow" w:hAnsi="Arial Narrow" w:cs="Arial"/>
          <w:bCs/>
          <w:iCs/>
          <w:sz w:val="24"/>
          <w:szCs w:val="24"/>
        </w:rPr>
        <w:t>online survey</w:t>
      </w:r>
      <w:r w:rsidR="00E02AA2" w:rsidRPr="00870EF3">
        <w:rPr>
          <w:rFonts w:ascii="Arial Narrow" w:hAnsi="Arial Narrow" w:cs="Arial"/>
          <w:bCs/>
          <w:iCs/>
          <w:sz w:val="24"/>
          <w:szCs w:val="24"/>
        </w:rPr>
        <w:t xml:space="preserve"> </w:t>
      </w:r>
      <w:r w:rsidR="000102F0" w:rsidRPr="00870EF3">
        <w:rPr>
          <w:rFonts w:ascii="Arial Narrow" w:hAnsi="Arial Narrow" w:cs="Arial"/>
          <w:bCs/>
          <w:iCs/>
          <w:sz w:val="24"/>
          <w:szCs w:val="24"/>
        </w:rPr>
        <w:t>should require</w:t>
      </w:r>
      <w:r w:rsidR="00AC32DE" w:rsidRPr="00870EF3">
        <w:rPr>
          <w:rFonts w:ascii="Arial Narrow" w:hAnsi="Arial Narrow" w:cs="Arial"/>
          <w:bCs/>
          <w:iCs/>
          <w:sz w:val="24"/>
          <w:szCs w:val="24"/>
        </w:rPr>
        <w:t xml:space="preserve">. The estimated </w:t>
      </w:r>
      <w:r w:rsidR="009B2818">
        <w:rPr>
          <w:rFonts w:ascii="Arial Narrow" w:hAnsi="Arial Narrow" w:cs="Arial"/>
          <w:bCs/>
          <w:iCs/>
          <w:sz w:val="24"/>
          <w:szCs w:val="24"/>
        </w:rPr>
        <w:t xml:space="preserve">burden </w:t>
      </w:r>
      <w:r w:rsidR="00AC32DE" w:rsidRPr="00870EF3">
        <w:rPr>
          <w:rFonts w:ascii="Arial Narrow" w:hAnsi="Arial Narrow" w:cs="Arial"/>
          <w:bCs/>
          <w:iCs/>
          <w:sz w:val="24"/>
          <w:szCs w:val="24"/>
        </w:rPr>
        <w:t xml:space="preserve">hours for </w:t>
      </w:r>
      <w:r w:rsidR="00A855DC">
        <w:rPr>
          <w:rFonts w:ascii="Arial Narrow" w:hAnsi="Arial Narrow" w:cs="Arial"/>
          <w:bCs/>
          <w:iCs/>
          <w:sz w:val="24"/>
          <w:szCs w:val="24"/>
        </w:rPr>
        <w:t xml:space="preserve">completing the </w:t>
      </w:r>
      <w:r w:rsidR="009B2818">
        <w:rPr>
          <w:rFonts w:ascii="Arial Narrow" w:hAnsi="Arial Narrow" w:cs="Arial"/>
          <w:bCs/>
          <w:iCs/>
          <w:sz w:val="24"/>
          <w:szCs w:val="24"/>
        </w:rPr>
        <w:t xml:space="preserve">online survey (65.4) is </w:t>
      </w:r>
      <w:r w:rsidR="00C540A6">
        <w:rPr>
          <w:rFonts w:ascii="Arial Narrow" w:hAnsi="Arial Narrow" w:cs="Arial"/>
          <w:bCs/>
          <w:iCs/>
          <w:sz w:val="24"/>
          <w:szCs w:val="24"/>
        </w:rPr>
        <w:t>guided by</w:t>
      </w:r>
      <w:r w:rsidR="009B2818">
        <w:rPr>
          <w:rFonts w:ascii="Arial Narrow" w:hAnsi="Arial Narrow" w:cs="Arial"/>
          <w:bCs/>
          <w:iCs/>
          <w:sz w:val="24"/>
          <w:szCs w:val="24"/>
        </w:rPr>
        <w:t xml:space="preserve"> </w:t>
      </w:r>
      <w:r w:rsidR="00AC32DE">
        <w:rPr>
          <w:rFonts w:ascii="Arial Narrow" w:hAnsi="Arial Narrow" w:cs="Arial"/>
          <w:bCs/>
          <w:iCs/>
          <w:sz w:val="24"/>
          <w:szCs w:val="24"/>
        </w:rPr>
        <w:t xml:space="preserve">the </w:t>
      </w:r>
      <w:r w:rsidR="009B2818">
        <w:rPr>
          <w:rFonts w:ascii="Arial Narrow" w:hAnsi="Arial Narrow" w:cs="Arial"/>
          <w:bCs/>
          <w:iCs/>
          <w:sz w:val="24"/>
          <w:szCs w:val="24"/>
        </w:rPr>
        <w:t xml:space="preserve">results of a cognitive survey pretest that </w:t>
      </w:r>
      <w:r w:rsidR="004E7FD6">
        <w:rPr>
          <w:rFonts w:ascii="Arial Narrow" w:hAnsi="Arial Narrow" w:cs="Arial"/>
          <w:bCs/>
          <w:iCs/>
          <w:sz w:val="24"/>
          <w:szCs w:val="24"/>
        </w:rPr>
        <w:t>indicated an average of 35 minutes to complete the instrument, and a</w:t>
      </w:r>
      <w:r w:rsidR="00C540A6">
        <w:rPr>
          <w:rFonts w:ascii="Arial Narrow" w:hAnsi="Arial Narrow" w:cs="Arial"/>
          <w:bCs/>
          <w:iCs/>
          <w:sz w:val="24"/>
          <w:szCs w:val="24"/>
        </w:rPr>
        <w:t xml:space="preserve"> projected</w:t>
      </w:r>
      <w:r w:rsidR="004E7FD6">
        <w:rPr>
          <w:rFonts w:ascii="Arial Narrow" w:hAnsi="Arial Narrow" w:cs="Arial"/>
          <w:bCs/>
          <w:iCs/>
          <w:sz w:val="24"/>
          <w:szCs w:val="24"/>
        </w:rPr>
        <w:t xml:space="preserve"> 70 percent response rate</w:t>
      </w:r>
      <w:r w:rsidR="00C540A6">
        <w:rPr>
          <w:rFonts w:ascii="Arial Narrow" w:hAnsi="Arial Narrow" w:cs="Arial"/>
          <w:bCs/>
          <w:iCs/>
          <w:sz w:val="24"/>
          <w:szCs w:val="24"/>
        </w:rPr>
        <w:t xml:space="preserve"> yielding 109 respondents.  </w:t>
      </w:r>
      <w:r w:rsidR="004E7FD6">
        <w:rPr>
          <w:rFonts w:ascii="Arial Narrow" w:hAnsi="Arial Narrow" w:cs="Arial"/>
          <w:bCs/>
          <w:iCs/>
          <w:sz w:val="24"/>
          <w:szCs w:val="24"/>
        </w:rPr>
        <w:t>.</w:t>
      </w:r>
      <w:r w:rsidR="00A55EF1" w:rsidRPr="0027553B">
        <w:rPr>
          <w:rFonts w:ascii="Arial Narrow" w:hAnsi="Arial Narrow" w:cs="Arial"/>
          <w:bCs/>
          <w:iCs/>
          <w:sz w:val="24"/>
          <w:szCs w:val="24"/>
        </w:rPr>
        <w:t xml:space="preserve"> </w:t>
      </w:r>
    </w:p>
    <w:p w14:paraId="451CBAE2" w14:textId="77777777" w:rsidR="007810A9" w:rsidRPr="007810A9" w:rsidRDefault="007810A9" w:rsidP="000D1628">
      <w:pPr>
        <w:pStyle w:val="Heading1"/>
      </w:pPr>
      <w:r w:rsidRPr="007810A9">
        <w:t>13.  Estimate of total annual cost burden to respondents</w:t>
      </w:r>
    </w:p>
    <w:p w14:paraId="7A3A5241" w14:textId="034BA8F3" w:rsidR="007810A9" w:rsidRPr="007810A9" w:rsidRDefault="007810A9" w:rsidP="007810A9">
      <w:pPr>
        <w:rPr>
          <w:rFonts w:ascii="Arial Narrow" w:hAnsi="Arial Narrow" w:cs="Arial"/>
        </w:rPr>
      </w:pPr>
      <w:r w:rsidRPr="007810A9">
        <w:rPr>
          <w:rFonts w:ascii="Arial Narrow" w:hAnsi="Arial Narrow" w:cs="Arial"/>
        </w:rPr>
        <w:t>It is not expected that this information collection will have a cost burden to respondents other than the hour burden</w:t>
      </w:r>
      <w:r w:rsidR="00853522">
        <w:rPr>
          <w:rFonts w:ascii="Arial Narrow" w:hAnsi="Arial Narrow" w:cs="Arial"/>
        </w:rPr>
        <w:t xml:space="preserve"> </w:t>
      </w:r>
      <w:r w:rsidRPr="007810A9">
        <w:rPr>
          <w:rFonts w:ascii="Arial Narrow" w:hAnsi="Arial Narrow" w:cs="Arial"/>
        </w:rPr>
        <w:t>described in item number</w:t>
      </w:r>
      <w:r w:rsidR="00DC083B">
        <w:rPr>
          <w:rFonts w:ascii="Arial Narrow" w:hAnsi="Arial Narrow" w:cs="Arial"/>
        </w:rPr>
        <w:t xml:space="preserve"> </w:t>
      </w:r>
      <w:r w:rsidRPr="007810A9">
        <w:rPr>
          <w:rFonts w:ascii="Arial Narrow" w:hAnsi="Arial Narrow" w:cs="Arial"/>
        </w:rPr>
        <w:t>12.</w:t>
      </w:r>
      <w:r w:rsidR="0017733C">
        <w:rPr>
          <w:rFonts w:ascii="Arial Narrow" w:hAnsi="Arial Narrow" w:cs="Arial"/>
        </w:rPr>
        <w:t xml:space="preserve">  The hourly cost burden is estimated at $85.77, yielding a cost per response of $51.46 and a</w:t>
      </w:r>
      <w:r w:rsidR="00DC083B">
        <w:rPr>
          <w:rFonts w:ascii="Arial Narrow" w:hAnsi="Arial Narrow" w:cs="Arial"/>
        </w:rPr>
        <w:t xml:space="preserve"> total annual cost burden of </w:t>
      </w:r>
      <w:r w:rsidR="00DC083B" w:rsidRPr="00DC083B">
        <w:rPr>
          <w:rFonts w:ascii="Arial Narrow" w:hAnsi="Arial Narrow" w:cs="Arial"/>
        </w:rPr>
        <w:t>$5,609.36</w:t>
      </w:r>
      <w:r w:rsidR="00DC083B">
        <w:rPr>
          <w:rFonts w:ascii="Arial Narrow" w:hAnsi="Arial Narrow" w:cs="Arial"/>
        </w:rPr>
        <w:t xml:space="preserve">.  </w:t>
      </w:r>
      <w:r w:rsidRPr="007810A9">
        <w:rPr>
          <w:rFonts w:ascii="Arial Narrow" w:hAnsi="Arial Narrow" w:cs="Arial"/>
        </w:rPr>
        <w:t xml:space="preserve">No purchases of equipment or services will need to be made by respondents for the sole purpose of completing the </w:t>
      </w:r>
      <w:r w:rsidR="00DC083B">
        <w:rPr>
          <w:rFonts w:ascii="Arial Narrow" w:hAnsi="Arial Narrow" w:cs="Arial"/>
        </w:rPr>
        <w:t>online survey</w:t>
      </w:r>
      <w:r w:rsidRPr="007810A9">
        <w:rPr>
          <w:rFonts w:ascii="Arial Narrow" w:hAnsi="Arial Narrow" w:cs="Arial"/>
        </w:rPr>
        <w:t>.</w:t>
      </w:r>
    </w:p>
    <w:p w14:paraId="2A7285DE" w14:textId="77777777" w:rsidR="007810A9" w:rsidRPr="007810A9" w:rsidRDefault="007810A9" w:rsidP="007810A9">
      <w:pPr>
        <w:rPr>
          <w:rFonts w:ascii="Arial Narrow" w:hAnsi="Arial Narrow" w:cs="Arial"/>
          <w:u w:val="single"/>
        </w:rPr>
      </w:pPr>
    </w:p>
    <w:p w14:paraId="0686720A" w14:textId="77777777" w:rsidR="007810A9" w:rsidRPr="007810A9" w:rsidRDefault="007810A9" w:rsidP="000D1628">
      <w:pPr>
        <w:pStyle w:val="Heading1"/>
      </w:pPr>
      <w:r w:rsidRPr="007810A9">
        <w:t>14.  Estimate of annualized cost to the Government</w:t>
      </w:r>
    </w:p>
    <w:p w14:paraId="5A7ED725" w14:textId="1F789775" w:rsidR="00DC083B" w:rsidRDefault="00220A7E" w:rsidP="007810A9">
      <w:pPr>
        <w:rPr>
          <w:rFonts w:ascii="Arial Narrow" w:hAnsi="Arial Narrow" w:cs="Arial"/>
        </w:rPr>
      </w:pPr>
      <w:r>
        <w:rPr>
          <w:rFonts w:ascii="Arial Narrow" w:hAnsi="Arial Narrow" w:cs="Arial"/>
        </w:rPr>
        <w:t xml:space="preserve">The cost to the Government is the CDFI Fund staff and contractor time </w:t>
      </w:r>
      <w:r w:rsidR="00DC083B" w:rsidRPr="00DC083B">
        <w:rPr>
          <w:rFonts w:ascii="Arial Narrow" w:hAnsi="Arial Narrow" w:cs="Arial"/>
        </w:rPr>
        <w:t>associated with background research, re</w:t>
      </w:r>
      <w:r w:rsidR="00932A9A">
        <w:rPr>
          <w:rFonts w:ascii="Arial Narrow" w:hAnsi="Arial Narrow" w:cs="Arial"/>
        </w:rPr>
        <w:t>quirements gathering, research</w:t>
      </w:r>
      <w:r w:rsidR="00DC083B" w:rsidRPr="00DC083B">
        <w:rPr>
          <w:rFonts w:ascii="Arial Narrow" w:hAnsi="Arial Narrow" w:cs="Arial"/>
        </w:rPr>
        <w:t xml:space="preserve"> design, instrument design and pretest, systems development, data collection activities, analysis, and reporting.</w:t>
      </w:r>
    </w:p>
    <w:p w14:paraId="49A29E79" w14:textId="77777777" w:rsidR="00DC083B" w:rsidRDefault="00DC083B" w:rsidP="007810A9">
      <w:pPr>
        <w:rPr>
          <w:rFonts w:ascii="Arial Narrow" w:hAnsi="Arial Narrow" w:cs="Arial"/>
        </w:rPr>
      </w:pPr>
    </w:p>
    <w:p w14:paraId="2E10B803" w14:textId="77777777" w:rsidR="007810A9" w:rsidRPr="007810A9" w:rsidRDefault="007810A9" w:rsidP="000D1628">
      <w:pPr>
        <w:pStyle w:val="Heading1"/>
      </w:pPr>
      <w:r w:rsidRPr="007810A9">
        <w:t>15.  Any program changes or adjustments</w:t>
      </w:r>
    </w:p>
    <w:p w14:paraId="1253510C" w14:textId="3B848D76" w:rsidR="00DC083B" w:rsidRDefault="00DC083B" w:rsidP="00E14FE5">
      <w:pPr>
        <w:rPr>
          <w:rFonts w:ascii="Arial Narrow" w:hAnsi="Arial Narrow" w:cs="Arial"/>
        </w:rPr>
      </w:pPr>
      <w:r w:rsidRPr="00DC083B">
        <w:rPr>
          <w:rFonts w:ascii="Arial Narrow" w:hAnsi="Arial Narrow" w:cs="Arial"/>
        </w:rPr>
        <w:t>This submission is a new request for approval. Therefore there is no change in burden.</w:t>
      </w:r>
    </w:p>
    <w:p w14:paraId="2158E842" w14:textId="77777777" w:rsidR="00DC083B" w:rsidRDefault="00DC083B" w:rsidP="00E14FE5">
      <w:pPr>
        <w:rPr>
          <w:rFonts w:ascii="Arial Narrow" w:hAnsi="Arial Narrow" w:cs="Arial"/>
        </w:rPr>
      </w:pPr>
    </w:p>
    <w:p w14:paraId="24E1049E" w14:textId="77777777" w:rsidR="007810A9" w:rsidRPr="00A43473" w:rsidRDefault="007810A9" w:rsidP="000D1628">
      <w:pPr>
        <w:pStyle w:val="Heading1"/>
      </w:pPr>
      <w:r w:rsidRPr="00A43473">
        <w:t>16.  Plans for information tabulation and publication</w:t>
      </w:r>
      <w:bookmarkStart w:id="0" w:name="_GoBack"/>
      <w:bookmarkEnd w:id="0"/>
    </w:p>
    <w:p w14:paraId="677AF970" w14:textId="6D434504" w:rsidR="007810A9" w:rsidRPr="00A43473" w:rsidRDefault="00932A9A" w:rsidP="007810A9">
      <w:pPr>
        <w:rPr>
          <w:rFonts w:ascii="Arial Narrow" w:hAnsi="Arial Narrow" w:cs="Arial"/>
        </w:rPr>
      </w:pPr>
      <w:r>
        <w:rPr>
          <w:rFonts w:ascii="Arial Narrow" w:hAnsi="Arial Narrow" w:cs="Arial"/>
        </w:rPr>
        <w:t>The contractor</w:t>
      </w:r>
      <w:r w:rsidR="00DD3492" w:rsidRPr="00DD3492">
        <w:rPr>
          <w:rFonts w:ascii="Arial Narrow" w:hAnsi="Arial Narrow" w:cs="Arial"/>
        </w:rPr>
        <w:t xml:space="preserve"> will analyze the survey data </w:t>
      </w:r>
      <w:r w:rsidR="005C550D">
        <w:rPr>
          <w:rFonts w:ascii="Arial Narrow" w:hAnsi="Arial Narrow" w:cs="Arial"/>
        </w:rPr>
        <w:t>and generate</w:t>
      </w:r>
      <w:r w:rsidR="00DD3492" w:rsidRPr="00DD3492">
        <w:rPr>
          <w:rFonts w:ascii="Arial Narrow" w:hAnsi="Arial Narrow" w:cs="Arial"/>
        </w:rPr>
        <w:t xml:space="preserve"> descriptive statistics </w:t>
      </w:r>
      <w:r w:rsidR="00DD3492">
        <w:rPr>
          <w:rFonts w:ascii="Arial Narrow" w:hAnsi="Arial Narrow" w:cs="Arial"/>
        </w:rPr>
        <w:t>related to</w:t>
      </w:r>
      <w:r w:rsidR="00DD3492" w:rsidRPr="00DD3492">
        <w:rPr>
          <w:rFonts w:ascii="Arial Narrow" w:hAnsi="Arial Narrow" w:cs="Arial"/>
        </w:rPr>
        <w:t xml:space="preserve"> the BEA Program. The survey data will be coded and analyzed to show response patterns and correlations among the responses. The coded survey data will be linked with institutional and service area data to show correlations between institutional or service area attributes and</w:t>
      </w:r>
      <w:r w:rsidR="00DD3492">
        <w:rPr>
          <w:rFonts w:ascii="Arial Narrow" w:hAnsi="Arial Narrow" w:cs="Arial"/>
        </w:rPr>
        <w:t xml:space="preserve"> survey</w:t>
      </w:r>
      <w:r w:rsidR="00DD3492" w:rsidRPr="00DD3492">
        <w:rPr>
          <w:rFonts w:ascii="Arial Narrow" w:hAnsi="Arial Narrow" w:cs="Arial"/>
        </w:rPr>
        <w:t xml:space="preserve"> responses.</w:t>
      </w:r>
      <w:r w:rsidR="00DD3492" w:rsidRPr="00DD3492">
        <w:t xml:space="preserve"> </w:t>
      </w:r>
      <w:r w:rsidR="00DD3492" w:rsidRPr="00DD3492">
        <w:rPr>
          <w:rFonts w:ascii="Arial Narrow" w:hAnsi="Arial Narrow" w:cs="Arial"/>
        </w:rPr>
        <w:t>The survey data will also be linked with institutional data from the applications and reports filed as part of the BEA Program.</w:t>
      </w:r>
      <w:r w:rsidR="00EA7A60">
        <w:rPr>
          <w:rFonts w:ascii="Arial Narrow" w:hAnsi="Arial Narrow" w:cs="Arial"/>
        </w:rPr>
        <w:t xml:space="preserve">  </w:t>
      </w:r>
      <w:r w:rsidR="00EA7A60" w:rsidRPr="00EA7A60">
        <w:rPr>
          <w:rFonts w:ascii="Arial Narrow" w:hAnsi="Arial Narrow" w:cs="Arial"/>
        </w:rPr>
        <w:t>Throughout the analysis, the team will generate charts and graphs by institution size</w:t>
      </w:r>
      <w:r w:rsidR="00EA7A60">
        <w:rPr>
          <w:rFonts w:ascii="Arial Narrow" w:hAnsi="Arial Narrow" w:cs="Arial"/>
        </w:rPr>
        <w:t>, which will serve as the framework for a final summary report.</w:t>
      </w:r>
    </w:p>
    <w:p w14:paraId="73C027EF" w14:textId="77777777" w:rsidR="007810A9" w:rsidRPr="007810A9" w:rsidRDefault="007810A9" w:rsidP="007810A9">
      <w:pPr>
        <w:rPr>
          <w:rFonts w:ascii="Arial Narrow" w:hAnsi="Arial Narrow" w:cs="Arial"/>
          <w:u w:val="single"/>
        </w:rPr>
      </w:pPr>
    </w:p>
    <w:p w14:paraId="2DC8EB65" w14:textId="77777777" w:rsidR="007810A9" w:rsidRPr="007810A9" w:rsidRDefault="007810A9" w:rsidP="000D1628">
      <w:pPr>
        <w:pStyle w:val="Heading1"/>
      </w:pPr>
      <w:r w:rsidRPr="007810A9">
        <w:t>17.  Reasons for not displaying expiration date of OMB approval</w:t>
      </w:r>
    </w:p>
    <w:p w14:paraId="0FFB4701" w14:textId="353EC008" w:rsidR="007810A9" w:rsidRPr="007810A9" w:rsidRDefault="007810A9" w:rsidP="007810A9">
      <w:pPr>
        <w:rPr>
          <w:rFonts w:ascii="Arial Narrow" w:hAnsi="Arial Narrow" w:cs="Arial"/>
        </w:rPr>
      </w:pPr>
      <w:r w:rsidRPr="007810A9">
        <w:rPr>
          <w:rFonts w:ascii="Arial Narrow" w:hAnsi="Arial Narrow" w:cs="Arial"/>
        </w:rPr>
        <w:t xml:space="preserve">The CDFI Fund </w:t>
      </w:r>
      <w:r w:rsidR="00E02AA2">
        <w:rPr>
          <w:rFonts w:ascii="Arial Narrow" w:hAnsi="Arial Narrow" w:cs="Arial"/>
        </w:rPr>
        <w:t xml:space="preserve">will </w:t>
      </w:r>
      <w:r w:rsidRPr="007810A9">
        <w:rPr>
          <w:rFonts w:ascii="Arial Narrow" w:hAnsi="Arial Narrow" w:cs="Arial"/>
        </w:rPr>
        <w:t xml:space="preserve">display the expiration date of the OMB approval on the </w:t>
      </w:r>
      <w:r w:rsidR="00DC083B">
        <w:rPr>
          <w:rFonts w:ascii="Arial Narrow" w:hAnsi="Arial Narrow" w:cs="Arial"/>
        </w:rPr>
        <w:t>online survey</w:t>
      </w:r>
      <w:r w:rsidRPr="007810A9">
        <w:rPr>
          <w:rFonts w:ascii="Arial Narrow" w:hAnsi="Arial Narrow" w:cs="Arial"/>
        </w:rPr>
        <w:t>.</w:t>
      </w:r>
    </w:p>
    <w:p w14:paraId="35DFA584" w14:textId="77777777" w:rsidR="007810A9" w:rsidRPr="007810A9" w:rsidRDefault="007810A9" w:rsidP="007810A9">
      <w:pPr>
        <w:rPr>
          <w:rFonts w:ascii="Arial Narrow" w:hAnsi="Arial Narrow" w:cs="Arial"/>
          <w:u w:val="single"/>
        </w:rPr>
      </w:pPr>
    </w:p>
    <w:p w14:paraId="5FDD7C9D" w14:textId="77777777" w:rsidR="007810A9" w:rsidRPr="007810A9" w:rsidRDefault="007810A9" w:rsidP="000D1628">
      <w:pPr>
        <w:pStyle w:val="Heading1"/>
      </w:pPr>
      <w:r w:rsidRPr="007810A9">
        <w:t>18.  Explanation of exceptions to certification statement</w:t>
      </w:r>
    </w:p>
    <w:p w14:paraId="4F026DB3" w14:textId="31072623" w:rsidR="007810A9" w:rsidRPr="007810A9" w:rsidRDefault="00FA3A74" w:rsidP="007810A9">
      <w:pPr>
        <w:rPr>
          <w:rFonts w:ascii="Arial Narrow" w:hAnsi="Arial Narrow" w:cs="Arial"/>
        </w:rPr>
      </w:pPr>
      <w:r w:rsidRPr="007810A9">
        <w:rPr>
          <w:rFonts w:ascii="Arial Narrow" w:hAnsi="Arial Narrow" w:cs="Arial"/>
        </w:rPr>
        <w:t>Not applicable.</w:t>
      </w:r>
    </w:p>
    <w:p w14:paraId="2B373DA0" w14:textId="77777777" w:rsidR="007810A9" w:rsidRPr="007810A9" w:rsidRDefault="007810A9" w:rsidP="007810A9">
      <w:pPr>
        <w:keepNext/>
        <w:tabs>
          <w:tab w:val="num" w:pos="720"/>
        </w:tabs>
        <w:spacing w:before="240" w:after="60"/>
        <w:outlineLvl w:val="1"/>
        <w:rPr>
          <w:rFonts w:ascii="Arial Narrow" w:hAnsi="Arial Narrow" w:cs="Arial"/>
          <w:b/>
          <w:bCs/>
          <w:i/>
          <w:iCs/>
        </w:rPr>
      </w:pPr>
      <w:r w:rsidRPr="007810A9">
        <w:rPr>
          <w:rFonts w:ascii="Arial Narrow" w:hAnsi="Arial Narrow" w:cs="Arial"/>
          <w:b/>
          <w:bCs/>
          <w:i/>
          <w:iCs/>
        </w:rPr>
        <w:t>Collections of Information Employing Statistical Methods</w:t>
      </w:r>
    </w:p>
    <w:p w14:paraId="1CB90EE8" w14:textId="40D22FF8" w:rsidR="000608C7" w:rsidRDefault="00D7397F" w:rsidP="007810A9">
      <w:pPr>
        <w:rPr>
          <w:rFonts w:ascii="Arial Narrow" w:hAnsi="Arial Narrow" w:cs="Arial"/>
        </w:rPr>
        <w:sectPr w:rsidR="000608C7" w:rsidSect="009C5594">
          <w:footerReference w:type="default" r:id="rId11"/>
          <w:footerReference w:type="first" r:id="rId12"/>
          <w:pgSz w:w="12240" w:h="15840" w:code="1"/>
          <w:pgMar w:top="1440" w:right="1440" w:bottom="720" w:left="1440" w:header="1440" w:footer="720" w:gutter="0"/>
          <w:cols w:space="720"/>
          <w:noEndnote/>
          <w:docGrid w:linePitch="326"/>
        </w:sectPr>
      </w:pPr>
      <w:r>
        <w:rPr>
          <w:rFonts w:ascii="Arial Narrow" w:hAnsi="Arial Narrow" w:cs="Arial"/>
        </w:rPr>
        <w:t>See Supporting Statement Part B</w:t>
      </w:r>
      <w:r w:rsidR="007810A9" w:rsidRPr="007810A9">
        <w:rPr>
          <w:rFonts w:ascii="Arial Narrow" w:hAnsi="Arial Narrow" w:cs="Arial"/>
        </w:rPr>
        <w:t>.</w:t>
      </w:r>
    </w:p>
    <w:tbl>
      <w:tblPr>
        <w:tblW w:w="14140" w:type="dxa"/>
        <w:tblLook w:val="04A0" w:firstRow="1" w:lastRow="0" w:firstColumn="1" w:lastColumn="0" w:noHBand="0" w:noVBand="1"/>
      </w:tblPr>
      <w:tblGrid>
        <w:gridCol w:w="1167"/>
        <w:gridCol w:w="1008"/>
        <w:gridCol w:w="1222"/>
        <w:gridCol w:w="1440"/>
        <w:gridCol w:w="1562"/>
        <w:gridCol w:w="1051"/>
        <w:gridCol w:w="2094"/>
        <w:gridCol w:w="4596"/>
      </w:tblGrid>
      <w:tr w:rsidR="000608C7" w14:paraId="21AAB3EE" w14:textId="77777777" w:rsidTr="007536E5">
        <w:trPr>
          <w:trHeight w:val="600"/>
          <w:tblHeader/>
        </w:trPr>
        <w:tc>
          <w:tcPr>
            <w:tcW w:w="116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3C5175" w14:textId="77777777" w:rsidR="000608C7" w:rsidRDefault="000608C7">
            <w:pPr>
              <w:jc w:val="center"/>
              <w:rPr>
                <w:rFonts w:ascii="Calibri" w:hAnsi="Calibri"/>
                <w:b/>
                <w:bCs/>
                <w:color w:val="000000"/>
                <w:sz w:val="22"/>
                <w:szCs w:val="22"/>
              </w:rPr>
            </w:pPr>
            <w:r>
              <w:rPr>
                <w:rFonts w:ascii="Calibri" w:hAnsi="Calibri"/>
                <w:b/>
                <w:bCs/>
                <w:color w:val="000000"/>
                <w:sz w:val="22"/>
                <w:szCs w:val="22"/>
              </w:rPr>
              <w:lastRenderedPageBreak/>
              <w:t xml:space="preserve">Date of Comment </w:t>
            </w:r>
          </w:p>
        </w:tc>
        <w:tc>
          <w:tcPr>
            <w:tcW w:w="966" w:type="dxa"/>
            <w:tcBorders>
              <w:top w:val="single" w:sz="4" w:space="0" w:color="auto"/>
              <w:left w:val="nil"/>
              <w:bottom w:val="single" w:sz="4" w:space="0" w:color="auto"/>
              <w:right w:val="single" w:sz="4" w:space="0" w:color="auto"/>
            </w:tcBorders>
            <w:shd w:val="clear" w:color="000000" w:fill="BFBFBF"/>
            <w:vAlign w:val="center"/>
            <w:hideMark/>
          </w:tcPr>
          <w:p w14:paraId="650DC168" w14:textId="77777777" w:rsidR="000608C7" w:rsidRDefault="000608C7">
            <w:pPr>
              <w:jc w:val="center"/>
              <w:rPr>
                <w:rFonts w:ascii="Calibri" w:hAnsi="Calibri"/>
                <w:b/>
                <w:bCs/>
                <w:color w:val="000000"/>
                <w:sz w:val="22"/>
                <w:szCs w:val="22"/>
              </w:rPr>
            </w:pPr>
            <w:r>
              <w:rPr>
                <w:rFonts w:ascii="Calibri" w:hAnsi="Calibri"/>
                <w:b/>
                <w:bCs/>
                <w:color w:val="000000"/>
                <w:sz w:val="22"/>
                <w:szCs w:val="22"/>
              </w:rPr>
              <w:t>Author Name</w:t>
            </w:r>
          </w:p>
        </w:tc>
        <w:tc>
          <w:tcPr>
            <w:tcW w:w="1229" w:type="dxa"/>
            <w:tcBorders>
              <w:top w:val="single" w:sz="4" w:space="0" w:color="auto"/>
              <w:left w:val="nil"/>
              <w:bottom w:val="single" w:sz="4" w:space="0" w:color="auto"/>
              <w:right w:val="single" w:sz="4" w:space="0" w:color="auto"/>
            </w:tcBorders>
            <w:shd w:val="clear" w:color="000000" w:fill="BFBFBF"/>
            <w:vAlign w:val="center"/>
            <w:hideMark/>
          </w:tcPr>
          <w:p w14:paraId="5BC18CB2" w14:textId="77777777" w:rsidR="000608C7" w:rsidRDefault="000608C7">
            <w:pPr>
              <w:jc w:val="center"/>
              <w:rPr>
                <w:rFonts w:ascii="Calibri" w:hAnsi="Calibri"/>
                <w:b/>
                <w:bCs/>
                <w:color w:val="000000"/>
                <w:sz w:val="22"/>
                <w:szCs w:val="22"/>
              </w:rPr>
            </w:pPr>
            <w:r>
              <w:rPr>
                <w:rFonts w:ascii="Calibri" w:hAnsi="Calibri"/>
                <w:b/>
                <w:bCs/>
                <w:color w:val="000000"/>
                <w:sz w:val="22"/>
                <w:szCs w:val="22"/>
              </w:rPr>
              <w:t>Author Position</w:t>
            </w:r>
          </w:p>
        </w:tc>
        <w:tc>
          <w:tcPr>
            <w:tcW w:w="1441" w:type="dxa"/>
            <w:tcBorders>
              <w:top w:val="single" w:sz="4" w:space="0" w:color="auto"/>
              <w:left w:val="nil"/>
              <w:bottom w:val="single" w:sz="4" w:space="0" w:color="auto"/>
              <w:right w:val="single" w:sz="4" w:space="0" w:color="auto"/>
            </w:tcBorders>
            <w:shd w:val="clear" w:color="000000" w:fill="BFBFBF"/>
            <w:vAlign w:val="center"/>
            <w:hideMark/>
          </w:tcPr>
          <w:p w14:paraId="2B3F614E" w14:textId="77777777" w:rsidR="000608C7" w:rsidRDefault="000608C7">
            <w:pPr>
              <w:jc w:val="center"/>
              <w:rPr>
                <w:rFonts w:ascii="Calibri" w:hAnsi="Calibri"/>
                <w:b/>
                <w:bCs/>
                <w:color w:val="000000"/>
                <w:sz w:val="22"/>
                <w:szCs w:val="22"/>
              </w:rPr>
            </w:pPr>
            <w:r>
              <w:rPr>
                <w:rFonts w:ascii="Calibri" w:hAnsi="Calibri"/>
                <w:b/>
                <w:bCs/>
                <w:color w:val="000000"/>
                <w:sz w:val="22"/>
                <w:szCs w:val="22"/>
              </w:rPr>
              <w:t>Organization</w:t>
            </w:r>
          </w:p>
        </w:tc>
        <w:tc>
          <w:tcPr>
            <w:tcW w:w="1569" w:type="dxa"/>
            <w:tcBorders>
              <w:top w:val="single" w:sz="4" w:space="0" w:color="auto"/>
              <w:left w:val="nil"/>
              <w:bottom w:val="single" w:sz="4" w:space="0" w:color="auto"/>
              <w:right w:val="single" w:sz="4" w:space="0" w:color="auto"/>
            </w:tcBorders>
            <w:shd w:val="clear" w:color="000000" w:fill="BFBFBF"/>
            <w:vAlign w:val="center"/>
            <w:hideMark/>
          </w:tcPr>
          <w:p w14:paraId="3984C29B" w14:textId="77777777" w:rsidR="000608C7" w:rsidRDefault="000608C7">
            <w:pPr>
              <w:jc w:val="center"/>
              <w:rPr>
                <w:rFonts w:ascii="Calibri" w:hAnsi="Calibri"/>
                <w:b/>
                <w:bCs/>
                <w:color w:val="000000"/>
                <w:sz w:val="22"/>
                <w:szCs w:val="22"/>
              </w:rPr>
            </w:pPr>
            <w:r>
              <w:rPr>
                <w:rFonts w:ascii="Calibri" w:hAnsi="Calibri"/>
                <w:b/>
                <w:bCs/>
                <w:color w:val="000000"/>
                <w:sz w:val="22"/>
                <w:szCs w:val="22"/>
              </w:rPr>
              <w:t>File Name</w:t>
            </w:r>
          </w:p>
        </w:tc>
        <w:tc>
          <w:tcPr>
            <w:tcW w:w="1052" w:type="dxa"/>
            <w:tcBorders>
              <w:top w:val="single" w:sz="4" w:space="0" w:color="auto"/>
              <w:left w:val="nil"/>
              <w:bottom w:val="single" w:sz="4" w:space="0" w:color="auto"/>
              <w:right w:val="single" w:sz="4" w:space="0" w:color="auto"/>
            </w:tcBorders>
            <w:shd w:val="clear" w:color="000000" w:fill="BFBFBF"/>
            <w:vAlign w:val="center"/>
            <w:hideMark/>
          </w:tcPr>
          <w:p w14:paraId="352A82E9" w14:textId="77777777" w:rsidR="000608C7" w:rsidRDefault="000608C7">
            <w:pPr>
              <w:jc w:val="center"/>
              <w:rPr>
                <w:rFonts w:ascii="Calibri" w:hAnsi="Calibri"/>
                <w:b/>
                <w:bCs/>
                <w:color w:val="000000"/>
                <w:sz w:val="22"/>
                <w:szCs w:val="22"/>
              </w:rPr>
            </w:pPr>
            <w:r>
              <w:rPr>
                <w:rFonts w:ascii="Calibri" w:hAnsi="Calibri"/>
                <w:b/>
                <w:bCs/>
                <w:color w:val="000000"/>
                <w:sz w:val="22"/>
                <w:szCs w:val="22"/>
              </w:rPr>
              <w:t>Category</w:t>
            </w:r>
          </w:p>
        </w:tc>
        <w:tc>
          <w:tcPr>
            <w:tcW w:w="2120" w:type="dxa"/>
            <w:tcBorders>
              <w:top w:val="single" w:sz="4" w:space="0" w:color="auto"/>
              <w:left w:val="nil"/>
              <w:bottom w:val="single" w:sz="4" w:space="0" w:color="auto"/>
              <w:right w:val="single" w:sz="4" w:space="0" w:color="auto"/>
            </w:tcBorders>
            <w:shd w:val="clear" w:color="000000" w:fill="BFBFBF"/>
            <w:vAlign w:val="center"/>
            <w:hideMark/>
          </w:tcPr>
          <w:p w14:paraId="3AECECE0" w14:textId="77777777" w:rsidR="000608C7" w:rsidRDefault="000608C7">
            <w:pPr>
              <w:jc w:val="center"/>
              <w:rPr>
                <w:rFonts w:ascii="Calibri" w:hAnsi="Calibri"/>
                <w:b/>
                <w:bCs/>
                <w:color w:val="000000"/>
                <w:sz w:val="22"/>
                <w:szCs w:val="22"/>
              </w:rPr>
            </w:pPr>
            <w:r>
              <w:rPr>
                <w:rFonts w:ascii="Calibri" w:hAnsi="Calibri"/>
                <w:b/>
                <w:bCs/>
                <w:color w:val="000000"/>
                <w:sz w:val="22"/>
                <w:szCs w:val="22"/>
              </w:rPr>
              <w:t>Comment</w:t>
            </w:r>
          </w:p>
        </w:tc>
        <w:tc>
          <w:tcPr>
            <w:tcW w:w="4596" w:type="dxa"/>
            <w:tcBorders>
              <w:top w:val="single" w:sz="4" w:space="0" w:color="auto"/>
              <w:left w:val="nil"/>
              <w:bottom w:val="single" w:sz="4" w:space="0" w:color="auto"/>
              <w:right w:val="single" w:sz="4" w:space="0" w:color="auto"/>
            </w:tcBorders>
            <w:shd w:val="clear" w:color="000000" w:fill="BFBFBF"/>
            <w:vAlign w:val="center"/>
            <w:hideMark/>
          </w:tcPr>
          <w:p w14:paraId="2E482B1D" w14:textId="1F693258" w:rsidR="000608C7" w:rsidRDefault="000608C7" w:rsidP="002B016E">
            <w:pPr>
              <w:jc w:val="center"/>
              <w:rPr>
                <w:rFonts w:ascii="Calibri" w:hAnsi="Calibri"/>
                <w:b/>
                <w:bCs/>
                <w:color w:val="000000"/>
                <w:sz w:val="22"/>
                <w:szCs w:val="22"/>
              </w:rPr>
            </w:pPr>
            <w:r>
              <w:rPr>
                <w:rFonts w:ascii="Calibri" w:hAnsi="Calibri"/>
                <w:b/>
                <w:bCs/>
                <w:color w:val="000000"/>
                <w:sz w:val="22"/>
                <w:szCs w:val="22"/>
              </w:rPr>
              <w:t>CDFI</w:t>
            </w:r>
            <w:r w:rsidR="002B016E">
              <w:rPr>
                <w:rFonts w:ascii="Calibri" w:hAnsi="Calibri"/>
                <w:b/>
                <w:bCs/>
                <w:color w:val="000000"/>
                <w:sz w:val="22"/>
                <w:szCs w:val="22"/>
              </w:rPr>
              <w:t xml:space="preserve"> Fund</w:t>
            </w:r>
            <w:r>
              <w:rPr>
                <w:rFonts w:ascii="Calibri" w:hAnsi="Calibri"/>
                <w:b/>
                <w:bCs/>
                <w:color w:val="000000"/>
                <w:sz w:val="22"/>
                <w:szCs w:val="22"/>
              </w:rPr>
              <w:t xml:space="preserve"> Response</w:t>
            </w:r>
          </w:p>
        </w:tc>
      </w:tr>
      <w:tr w:rsidR="000608C7" w14:paraId="72CC5873" w14:textId="77777777" w:rsidTr="007536E5">
        <w:trPr>
          <w:trHeight w:val="2100"/>
        </w:trPr>
        <w:tc>
          <w:tcPr>
            <w:tcW w:w="1167" w:type="dxa"/>
            <w:tcBorders>
              <w:top w:val="nil"/>
              <w:left w:val="single" w:sz="4" w:space="0" w:color="auto"/>
              <w:bottom w:val="single" w:sz="4" w:space="0" w:color="auto"/>
              <w:right w:val="single" w:sz="4" w:space="0" w:color="auto"/>
            </w:tcBorders>
            <w:shd w:val="clear" w:color="auto" w:fill="auto"/>
            <w:hideMark/>
          </w:tcPr>
          <w:p w14:paraId="2CC57460" w14:textId="2573270C" w:rsidR="000608C7" w:rsidRDefault="002B45A7" w:rsidP="002B45A7">
            <w:pPr>
              <w:rPr>
                <w:rFonts w:ascii="Calibri" w:hAnsi="Calibri"/>
                <w:color w:val="000000"/>
                <w:sz w:val="22"/>
                <w:szCs w:val="22"/>
              </w:rPr>
            </w:pPr>
            <w:r>
              <w:rPr>
                <w:rFonts w:ascii="Calibri" w:hAnsi="Calibri"/>
                <w:color w:val="000000"/>
                <w:sz w:val="22"/>
                <w:szCs w:val="22"/>
              </w:rPr>
              <w:t>5</w:t>
            </w:r>
            <w:r w:rsidR="000608C7">
              <w:rPr>
                <w:rFonts w:ascii="Calibri" w:hAnsi="Calibri"/>
                <w:color w:val="000000"/>
                <w:sz w:val="22"/>
                <w:szCs w:val="22"/>
              </w:rPr>
              <w:t>/</w:t>
            </w:r>
            <w:r>
              <w:rPr>
                <w:rFonts w:ascii="Calibri" w:hAnsi="Calibri"/>
                <w:color w:val="000000"/>
                <w:sz w:val="22"/>
                <w:szCs w:val="22"/>
              </w:rPr>
              <w:t>18</w:t>
            </w:r>
            <w:r w:rsidR="000608C7">
              <w:rPr>
                <w:rFonts w:ascii="Calibri" w:hAnsi="Calibri"/>
                <w:color w:val="000000"/>
                <w:sz w:val="22"/>
                <w:szCs w:val="22"/>
              </w:rPr>
              <w:t>/2015</w:t>
            </w:r>
          </w:p>
        </w:tc>
        <w:tc>
          <w:tcPr>
            <w:tcW w:w="966" w:type="dxa"/>
            <w:tcBorders>
              <w:top w:val="nil"/>
              <w:left w:val="nil"/>
              <w:bottom w:val="single" w:sz="4" w:space="0" w:color="auto"/>
              <w:right w:val="single" w:sz="4" w:space="0" w:color="auto"/>
            </w:tcBorders>
            <w:shd w:val="clear" w:color="auto" w:fill="auto"/>
            <w:hideMark/>
          </w:tcPr>
          <w:p w14:paraId="2E0E4238" w14:textId="394DF27A" w:rsidR="000608C7" w:rsidRDefault="002B45A7">
            <w:pPr>
              <w:rPr>
                <w:rFonts w:ascii="Calibri" w:hAnsi="Calibri"/>
                <w:color w:val="000000"/>
                <w:sz w:val="22"/>
                <w:szCs w:val="22"/>
              </w:rPr>
            </w:pPr>
            <w:r>
              <w:rPr>
                <w:rFonts w:ascii="Calibri" w:hAnsi="Calibri"/>
                <w:color w:val="000000"/>
                <w:sz w:val="22"/>
                <w:szCs w:val="22"/>
              </w:rPr>
              <w:t>Jea</w:t>
            </w:r>
            <w:r w:rsidR="00FC1BEB">
              <w:rPr>
                <w:rFonts w:ascii="Calibri" w:hAnsi="Calibri"/>
                <w:color w:val="000000"/>
                <w:sz w:val="22"/>
                <w:szCs w:val="22"/>
              </w:rPr>
              <w:t>n</w:t>
            </w:r>
            <w:r>
              <w:rPr>
                <w:rFonts w:ascii="Calibri" w:hAnsi="Calibri"/>
                <w:color w:val="000000"/>
                <w:sz w:val="22"/>
                <w:szCs w:val="22"/>
              </w:rPr>
              <w:t>nine Jacokes</w:t>
            </w:r>
          </w:p>
        </w:tc>
        <w:tc>
          <w:tcPr>
            <w:tcW w:w="1229" w:type="dxa"/>
            <w:tcBorders>
              <w:top w:val="nil"/>
              <w:left w:val="nil"/>
              <w:bottom w:val="single" w:sz="4" w:space="0" w:color="auto"/>
              <w:right w:val="single" w:sz="4" w:space="0" w:color="auto"/>
            </w:tcBorders>
            <w:shd w:val="clear" w:color="auto" w:fill="auto"/>
            <w:hideMark/>
          </w:tcPr>
          <w:p w14:paraId="740F32C9" w14:textId="70288E6C" w:rsidR="000608C7" w:rsidRDefault="002B45A7" w:rsidP="002B45A7">
            <w:pPr>
              <w:rPr>
                <w:rFonts w:ascii="Calibri" w:hAnsi="Calibri"/>
                <w:color w:val="000000"/>
                <w:sz w:val="22"/>
                <w:szCs w:val="22"/>
              </w:rPr>
            </w:pPr>
            <w:r w:rsidRPr="002B45A7">
              <w:rPr>
                <w:rFonts w:ascii="Calibri" w:hAnsi="Calibri"/>
                <w:color w:val="000000"/>
                <w:sz w:val="22"/>
                <w:szCs w:val="22"/>
              </w:rPr>
              <w:t xml:space="preserve">Chief Executive Officer </w:t>
            </w:r>
          </w:p>
        </w:tc>
        <w:tc>
          <w:tcPr>
            <w:tcW w:w="1441" w:type="dxa"/>
            <w:tcBorders>
              <w:top w:val="nil"/>
              <w:left w:val="nil"/>
              <w:bottom w:val="single" w:sz="4" w:space="0" w:color="auto"/>
              <w:right w:val="single" w:sz="4" w:space="0" w:color="auto"/>
            </w:tcBorders>
            <w:shd w:val="clear" w:color="auto" w:fill="auto"/>
            <w:hideMark/>
          </w:tcPr>
          <w:p w14:paraId="061C3E10" w14:textId="5EECC4FC" w:rsidR="000608C7" w:rsidRDefault="002B45A7" w:rsidP="002B45A7">
            <w:pPr>
              <w:rPr>
                <w:rFonts w:ascii="Calibri" w:hAnsi="Calibri"/>
                <w:color w:val="000000"/>
                <w:sz w:val="22"/>
                <w:szCs w:val="22"/>
              </w:rPr>
            </w:pPr>
            <w:r w:rsidRPr="002B45A7">
              <w:rPr>
                <w:rFonts w:ascii="Calibri" w:hAnsi="Calibri"/>
                <w:color w:val="000000"/>
                <w:sz w:val="22"/>
                <w:szCs w:val="22"/>
              </w:rPr>
              <w:t>Community Development Bankers Association</w:t>
            </w:r>
          </w:p>
        </w:tc>
        <w:tc>
          <w:tcPr>
            <w:tcW w:w="1569" w:type="dxa"/>
            <w:tcBorders>
              <w:top w:val="nil"/>
              <w:left w:val="nil"/>
              <w:bottom w:val="single" w:sz="4" w:space="0" w:color="auto"/>
              <w:right w:val="single" w:sz="4" w:space="0" w:color="auto"/>
            </w:tcBorders>
            <w:shd w:val="clear" w:color="auto" w:fill="auto"/>
            <w:hideMark/>
          </w:tcPr>
          <w:p w14:paraId="048594CD" w14:textId="0B292BCF" w:rsidR="000608C7" w:rsidRDefault="000608C7" w:rsidP="002B45A7">
            <w:pPr>
              <w:rPr>
                <w:rFonts w:ascii="Calibri" w:hAnsi="Calibri"/>
                <w:color w:val="000000"/>
                <w:sz w:val="22"/>
                <w:szCs w:val="22"/>
              </w:rPr>
            </w:pPr>
            <w:r>
              <w:rPr>
                <w:rFonts w:ascii="Calibri" w:hAnsi="Calibri"/>
                <w:color w:val="000000"/>
                <w:sz w:val="22"/>
                <w:szCs w:val="22"/>
              </w:rPr>
              <w:t>20150</w:t>
            </w:r>
            <w:r w:rsidR="002B45A7">
              <w:rPr>
                <w:rFonts w:ascii="Calibri" w:hAnsi="Calibri"/>
                <w:color w:val="000000"/>
                <w:sz w:val="22"/>
                <w:szCs w:val="22"/>
              </w:rPr>
              <w:t>518</w:t>
            </w:r>
            <w:r>
              <w:rPr>
                <w:rFonts w:ascii="Calibri" w:hAnsi="Calibri"/>
                <w:color w:val="000000"/>
                <w:sz w:val="22"/>
                <w:szCs w:val="22"/>
              </w:rPr>
              <w:t xml:space="preserve"> </w:t>
            </w:r>
            <w:r w:rsidR="002B45A7">
              <w:rPr>
                <w:rFonts w:ascii="Calibri" w:hAnsi="Calibri"/>
                <w:color w:val="000000"/>
                <w:sz w:val="22"/>
                <w:szCs w:val="22"/>
              </w:rPr>
              <w:t>–</w:t>
            </w:r>
            <w:r>
              <w:rPr>
                <w:rFonts w:ascii="Calibri" w:hAnsi="Calibri"/>
                <w:color w:val="000000"/>
                <w:sz w:val="22"/>
                <w:szCs w:val="22"/>
              </w:rPr>
              <w:t xml:space="preserve"> </w:t>
            </w:r>
            <w:r w:rsidR="002B45A7">
              <w:rPr>
                <w:rFonts w:ascii="Calibri" w:hAnsi="Calibri"/>
                <w:color w:val="000000"/>
                <w:sz w:val="22"/>
                <w:szCs w:val="22"/>
              </w:rPr>
              <w:t>Jeanine Jacokes</w:t>
            </w:r>
            <w:r>
              <w:rPr>
                <w:rFonts w:ascii="Calibri" w:hAnsi="Calibri"/>
                <w:color w:val="000000"/>
                <w:sz w:val="22"/>
                <w:szCs w:val="22"/>
              </w:rPr>
              <w:t xml:space="preserve"> -</w:t>
            </w:r>
            <w:r w:rsidR="002B45A7">
              <w:t xml:space="preserve"> </w:t>
            </w:r>
            <w:r w:rsidR="002B45A7" w:rsidRPr="002B45A7">
              <w:rPr>
                <w:rFonts w:ascii="Calibri" w:hAnsi="Calibri"/>
                <w:color w:val="000000"/>
                <w:sz w:val="22"/>
                <w:szCs w:val="22"/>
              </w:rPr>
              <w:t>Community Development Bankers Association</w:t>
            </w:r>
            <w:r>
              <w:rPr>
                <w:rFonts w:ascii="Calibri" w:hAnsi="Calibri"/>
                <w:color w:val="000000"/>
                <w:sz w:val="22"/>
                <w:szCs w:val="22"/>
              </w:rPr>
              <w:t xml:space="preserve"> </w:t>
            </w:r>
          </w:p>
        </w:tc>
        <w:tc>
          <w:tcPr>
            <w:tcW w:w="1052" w:type="dxa"/>
            <w:tcBorders>
              <w:top w:val="nil"/>
              <w:left w:val="nil"/>
              <w:bottom w:val="single" w:sz="4" w:space="0" w:color="auto"/>
              <w:right w:val="single" w:sz="4" w:space="0" w:color="auto"/>
            </w:tcBorders>
            <w:shd w:val="clear" w:color="auto" w:fill="auto"/>
            <w:hideMark/>
          </w:tcPr>
          <w:p w14:paraId="13AA3DAA" w14:textId="43ACD430" w:rsidR="000608C7" w:rsidRDefault="007536E5">
            <w:pPr>
              <w:rPr>
                <w:rFonts w:ascii="Calibri" w:hAnsi="Calibri"/>
                <w:color w:val="000000"/>
                <w:sz w:val="22"/>
                <w:szCs w:val="22"/>
              </w:rPr>
            </w:pPr>
            <w:r>
              <w:rPr>
                <w:rFonts w:ascii="Calibri" w:hAnsi="Calibri"/>
                <w:color w:val="000000"/>
                <w:sz w:val="22"/>
                <w:szCs w:val="22"/>
              </w:rPr>
              <w:t>Utility</w:t>
            </w:r>
          </w:p>
        </w:tc>
        <w:tc>
          <w:tcPr>
            <w:tcW w:w="2120" w:type="dxa"/>
            <w:tcBorders>
              <w:top w:val="nil"/>
              <w:left w:val="nil"/>
              <w:bottom w:val="single" w:sz="4" w:space="0" w:color="auto"/>
              <w:right w:val="single" w:sz="4" w:space="0" w:color="auto"/>
            </w:tcBorders>
            <w:shd w:val="clear" w:color="auto" w:fill="auto"/>
            <w:hideMark/>
          </w:tcPr>
          <w:p w14:paraId="050C5749" w14:textId="275212C5" w:rsidR="000608C7" w:rsidRDefault="002B45A7" w:rsidP="002B45A7">
            <w:pPr>
              <w:rPr>
                <w:rFonts w:ascii="Calibri" w:hAnsi="Calibri"/>
                <w:color w:val="000000"/>
                <w:sz w:val="22"/>
                <w:szCs w:val="22"/>
              </w:rPr>
            </w:pPr>
            <w:r>
              <w:rPr>
                <w:rFonts w:ascii="Calibri" w:hAnsi="Calibri"/>
                <w:color w:val="000000"/>
                <w:sz w:val="22"/>
                <w:szCs w:val="22"/>
              </w:rPr>
              <w:t xml:space="preserve">Concerned that </w:t>
            </w:r>
            <w:r w:rsidRPr="002B45A7">
              <w:rPr>
                <w:rFonts w:ascii="Calibri" w:hAnsi="Calibri"/>
                <w:color w:val="000000"/>
                <w:sz w:val="22"/>
                <w:szCs w:val="22"/>
              </w:rPr>
              <w:t>“</w:t>
            </w:r>
            <w:r>
              <w:rPr>
                <w:rFonts w:ascii="Calibri" w:hAnsi="Calibri"/>
                <w:color w:val="000000"/>
                <w:sz w:val="22"/>
                <w:szCs w:val="22"/>
              </w:rPr>
              <w:t>wh</w:t>
            </w:r>
            <w:r w:rsidRPr="002B45A7">
              <w:rPr>
                <w:rFonts w:ascii="Calibri" w:hAnsi="Calibri"/>
                <w:color w:val="000000"/>
                <w:sz w:val="22"/>
                <w:szCs w:val="22"/>
              </w:rPr>
              <w:t>ile such a survey will yield some broad data, the draft survey posted for public comment may be too general to capture how the program influences behavior.”</w:t>
            </w:r>
          </w:p>
        </w:tc>
        <w:tc>
          <w:tcPr>
            <w:tcW w:w="4596" w:type="dxa"/>
            <w:tcBorders>
              <w:top w:val="nil"/>
              <w:left w:val="nil"/>
              <w:bottom w:val="single" w:sz="4" w:space="0" w:color="auto"/>
              <w:right w:val="single" w:sz="4" w:space="0" w:color="auto"/>
            </w:tcBorders>
            <w:shd w:val="clear" w:color="auto" w:fill="auto"/>
            <w:hideMark/>
          </w:tcPr>
          <w:p w14:paraId="3072BF0F" w14:textId="5E285231" w:rsidR="009F5BA5" w:rsidRDefault="003E509A" w:rsidP="001A1877">
            <w:r w:rsidRPr="003E509A">
              <w:t>The data collection is part of a larger</w:t>
            </w:r>
            <w:r w:rsidR="00932A9A">
              <w:t xml:space="preserve"> research effort to conduct an I</w:t>
            </w:r>
            <w:r w:rsidRPr="003E509A">
              <w:t xml:space="preserve">nitial BEA Program Evaluation, which involves: a detailed analysis of program’s history and evolution; a systematic analysis of the difference in the distribution and socioeconomic differences of BEA qualified census tracts as compared to Community Reinvestment Act (CRA) qualified census tracts; an analysis of the characteristics of applicants and awardees, and the types and levels of activities undertaken by applicants and awardees; a comparison of BEA applicants with peer banks and the communities they served including variations across BEA and CRA qualified areas; the online survey of all BEA applicants for the 2012-2014 period, and in-depth, semi-structured interviews with subsets of applicants; and an integrated summary of these findings about program and recommendations for research designs for further quantitative evaluation of the program.  </w:t>
            </w:r>
          </w:p>
          <w:p w14:paraId="3D5969C1" w14:textId="3D146B7A" w:rsidR="001A1877" w:rsidRDefault="001A1877" w:rsidP="001A1877">
            <w:r>
              <w:t>These are not being conducted under this collection.</w:t>
            </w:r>
            <w:r w:rsidR="009F5BA5">
              <w:t xml:space="preserve"> </w:t>
            </w:r>
            <w:r>
              <w:t xml:space="preserve">The semi-structured interviews by design will require nine or fewer respondents for each data collection instrument. Treasury will use </w:t>
            </w:r>
            <w:r w:rsidRPr="00D846BC">
              <w:t>a multi-strand design</w:t>
            </w:r>
            <w:r>
              <w:t xml:space="preserve"> for the </w:t>
            </w:r>
            <w:r>
              <w:lastRenderedPageBreak/>
              <w:t xml:space="preserve">qualitative interviews, </w:t>
            </w:r>
            <w:r w:rsidRPr="00D846BC">
              <w:t>with half of the semi-structured interviews conducted prior to the survey and the second half conducted following the survey.</w:t>
            </w:r>
            <w:r>
              <w:t xml:space="preserve"> Four unique instruments have been designed for Stage 1 of the interviews based on the stakeholder category. The number of interviews for each category ranges from two to eight.</w:t>
            </w:r>
          </w:p>
          <w:p w14:paraId="2A3AE5B5" w14:textId="77777777" w:rsidR="001A1877" w:rsidRDefault="001A1877" w:rsidP="001A1877"/>
          <w:p w14:paraId="308B2D5E" w14:textId="77777777" w:rsidR="001A1877" w:rsidRDefault="001A1877" w:rsidP="001A1877">
            <w:r>
              <w:t>Fo</w:t>
            </w:r>
            <w:r w:rsidRPr="00D846BC">
              <w:t>llowing the survey, interview protocol</w:t>
            </w:r>
            <w:r>
              <w:t>s will be designed</w:t>
            </w:r>
            <w:r w:rsidRPr="00D846BC">
              <w:t xml:space="preserve"> to incorporate key findings from the survey, as well as any findings from the initial interviews</w:t>
            </w:r>
            <w:r>
              <w:t xml:space="preserve">. Again, </w:t>
            </w:r>
            <w:r w:rsidRPr="0027418A">
              <w:t>there will be no instances where more than nine respondents will receive the same instrument</w:t>
            </w:r>
            <w:r>
              <w:t>, with interviews for each group ranging from three to seven.</w:t>
            </w:r>
            <w:r w:rsidRPr="00D846BC">
              <w:t xml:space="preserve">   </w:t>
            </w:r>
          </w:p>
          <w:p w14:paraId="6658361B" w14:textId="77777777" w:rsidR="001A1877" w:rsidRDefault="001A1877" w:rsidP="001A1877"/>
          <w:p w14:paraId="457D4BA8" w14:textId="6120842C" w:rsidR="001A1877" w:rsidRDefault="001A1877" w:rsidP="001A1877">
            <w:pPr>
              <w:rPr>
                <w:rFonts w:ascii="Calibri" w:hAnsi="Calibri"/>
                <w:color w:val="000000"/>
                <w:sz w:val="22"/>
                <w:szCs w:val="22"/>
              </w:rPr>
            </w:pPr>
            <w:r>
              <w:t>The attached document outlines the qualitative protocol design.</w:t>
            </w:r>
          </w:p>
        </w:tc>
      </w:tr>
      <w:tr w:rsidR="002B016E" w14:paraId="5581B433" w14:textId="77777777" w:rsidTr="007536E5">
        <w:trPr>
          <w:trHeight w:val="2100"/>
        </w:trPr>
        <w:tc>
          <w:tcPr>
            <w:tcW w:w="1167" w:type="dxa"/>
            <w:tcBorders>
              <w:top w:val="nil"/>
              <w:left w:val="single" w:sz="4" w:space="0" w:color="auto"/>
              <w:bottom w:val="single" w:sz="4" w:space="0" w:color="auto"/>
              <w:right w:val="single" w:sz="4" w:space="0" w:color="auto"/>
            </w:tcBorders>
            <w:shd w:val="clear" w:color="auto" w:fill="auto"/>
          </w:tcPr>
          <w:p w14:paraId="246A2D9D" w14:textId="40A49909" w:rsidR="002B016E" w:rsidRDefault="002B016E">
            <w:pPr>
              <w:rPr>
                <w:rFonts w:ascii="Calibri" w:hAnsi="Calibri"/>
                <w:color w:val="000000"/>
                <w:sz w:val="22"/>
                <w:szCs w:val="22"/>
              </w:rPr>
            </w:pPr>
            <w:r>
              <w:rPr>
                <w:rFonts w:ascii="Calibri" w:hAnsi="Calibri"/>
                <w:color w:val="000000"/>
                <w:sz w:val="22"/>
                <w:szCs w:val="22"/>
              </w:rPr>
              <w:lastRenderedPageBreak/>
              <w:t>5/18/2015</w:t>
            </w:r>
          </w:p>
        </w:tc>
        <w:tc>
          <w:tcPr>
            <w:tcW w:w="966" w:type="dxa"/>
            <w:tcBorders>
              <w:top w:val="nil"/>
              <w:left w:val="nil"/>
              <w:bottom w:val="single" w:sz="4" w:space="0" w:color="auto"/>
              <w:right w:val="single" w:sz="4" w:space="0" w:color="auto"/>
            </w:tcBorders>
            <w:shd w:val="clear" w:color="auto" w:fill="auto"/>
          </w:tcPr>
          <w:p w14:paraId="1864A100" w14:textId="7E5C0064" w:rsidR="002B016E" w:rsidRDefault="002B016E">
            <w:pPr>
              <w:rPr>
                <w:rFonts w:ascii="Calibri" w:hAnsi="Calibri"/>
                <w:color w:val="000000"/>
                <w:sz w:val="22"/>
                <w:szCs w:val="22"/>
              </w:rPr>
            </w:pPr>
            <w:r>
              <w:rPr>
                <w:rFonts w:ascii="Calibri" w:hAnsi="Calibri"/>
                <w:color w:val="000000"/>
                <w:sz w:val="22"/>
                <w:szCs w:val="22"/>
              </w:rPr>
              <w:t>Jean</w:t>
            </w:r>
            <w:r w:rsidR="00FC1BEB">
              <w:rPr>
                <w:rFonts w:ascii="Calibri" w:hAnsi="Calibri"/>
                <w:color w:val="000000"/>
                <w:sz w:val="22"/>
                <w:szCs w:val="22"/>
              </w:rPr>
              <w:t>n</w:t>
            </w:r>
            <w:r>
              <w:rPr>
                <w:rFonts w:ascii="Calibri" w:hAnsi="Calibri"/>
                <w:color w:val="000000"/>
                <w:sz w:val="22"/>
                <w:szCs w:val="22"/>
              </w:rPr>
              <w:t>ine Jacokes</w:t>
            </w:r>
          </w:p>
        </w:tc>
        <w:tc>
          <w:tcPr>
            <w:tcW w:w="1229" w:type="dxa"/>
            <w:tcBorders>
              <w:top w:val="nil"/>
              <w:left w:val="nil"/>
              <w:bottom w:val="single" w:sz="4" w:space="0" w:color="auto"/>
              <w:right w:val="single" w:sz="4" w:space="0" w:color="auto"/>
            </w:tcBorders>
            <w:shd w:val="clear" w:color="auto" w:fill="auto"/>
          </w:tcPr>
          <w:p w14:paraId="678142FB" w14:textId="7581686C" w:rsidR="002B016E" w:rsidRDefault="002B016E">
            <w:pPr>
              <w:rPr>
                <w:rFonts w:ascii="Calibri" w:hAnsi="Calibri"/>
                <w:color w:val="000000"/>
                <w:sz w:val="22"/>
                <w:szCs w:val="22"/>
              </w:rPr>
            </w:pPr>
            <w:r w:rsidRPr="002B45A7">
              <w:rPr>
                <w:rFonts w:ascii="Calibri" w:hAnsi="Calibri"/>
                <w:color w:val="000000"/>
                <w:sz w:val="22"/>
                <w:szCs w:val="22"/>
              </w:rPr>
              <w:t xml:space="preserve">Chief Executive Officer </w:t>
            </w:r>
          </w:p>
        </w:tc>
        <w:tc>
          <w:tcPr>
            <w:tcW w:w="1441" w:type="dxa"/>
            <w:tcBorders>
              <w:top w:val="nil"/>
              <w:left w:val="nil"/>
              <w:bottom w:val="single" w:sz="4" w:space="0" w:color="auto"/>
              <w:right w:val="single" w:sz="4" w:space="0" w:color="auto"/>
            </w:tcBorders>
            <w:shd w:val="clear" w:color="auto" w:fill="auto"/>
          </w:tcPr>
          <w:p w14:paraId="64F38A0C" w14:textId="008FED07" w:rsidR="002B016E" w:rsidRDefault="002B016E">
            <w:pPr>
              <w:rPr>
                <w:rFonts w:ascii="Calibri" w:hAnsi="Calibri"/>
                <w:color w:val="000000"/>
                <w:sz w:val="22"/>
                <w:szCs w:val="22"/>
              </w:rPr>
            </w:pPr>
            <w:r w:rsidRPr="002B45A7">
              <w:rPr>
                <w:rFonts w:ascii="Calibri" w:hAnsi="Calibri"/>
                <w:color w:val="000000"/>
                <w:sz w:val="22"/>
                <w:szCs w:val="22"/>
              </w:rPr>
              <w:t>Community Development Bankers Association</w:t>
            </w:r>
          </w:p>
        </w:tc>
        <w:tc>
          <w:tcPr>
            <w:tcW w:w="1569" w:type="dxa"/>
            <w:tcBorders>
              <w:top w:val="nil"/>
              <w:left w:val="nil"/>
              <w:bottom w:val="single" w:sz="4" w:space="0" w:color="auto"/>
              <w:right w:val="single" w:sz="4" w:space="0" w:color="auto"/>
            </w:tcBorders>
            <w:shd w:val="clear" w:color="auto" w:fill="auto"/>
          </w:tcPr>
          <w:p w14:paraId="6E03D9A7" w14:textId="2C84C756" w:rsidR="002B016E" w:rsidRDefault="002B016E">
            <w:pPr>
              <w:rPr>
                <w:rFonts w:ascii="Calibri" w:hAnsi="Calibri"/>
                <w:color w:val="000000"/>
                <w:sz w:val="22"/>
                <w:szCs w:val="22"/>
              </w:rPr>
            </w:pPr>
            <w:r>
              <w:rPr>
                <w:rFonts w:ascii="Calibri" w:hAnsi="Calibri"/>
                <w:color w:val="000000"/>
                <w:sz w:val="22"/>
                <w:szCs w:val="22"/>
              </w:rPr>
              <w:t>20150518 – Jeanine Jacokes -</w:t>
            </w:r>
            <w:r>
              <w:t xml:space="preserve"> </w:t>
            </w:r>
            <w:r w:rsidRPr="002B45A7">
              <w:rPr>
                <w:rFonts w:ascii="Calibri" w:hAnsi="Calibri"/>
                <w:color w:val="000000"/>
                <w:sz w:val="22"/>
                <w:szCs w:val="22"/>
              </w:rPr>
              <w:t>Community Development Bankers Association</w:t>
            </w:r>
            <w:r>
              <w:rPr>
                <w:rFonts w:ascii="Calibri" w:hAnsi="Calibri"/>
                <w:color w:val="000000"/>
                <w:sz w:val="22"/>
                <w:szCs w:val="22"/>
              </w:rPr>
              <w:t xml:space="preserve"> </w:t>
            </w:r>
          </w:p>
        </w:tc>
        <w:tc>
          <w:tcPr>
            <w:tcW w:w="1052" w:type="dxa"/>
            <w:tcBorders>
              <w:top w:val="nil"/>
              <w:left w:val="nil"/>
              <w:bottom w:val="single" w:sz="4" w:space="0" w:color="auto"/>
              <w:right w:val="single" w:sz="4" w:space="0" w:color="auto"/>
            </w:tcBorders>
            <w:shd w:val="clear" w:color="auto" w:fill="auto"/>
          </w:tcPr>
          <w:p w14:paraId="24C1E011" w14:textId="7CE00502" w:rsidR="002B016E" w:rsidRDefault="002B016E">
            <w:pPr>
              <w:rPr>
                <w:rFonts w:ascii="Calibri" w:hAnsi="Calibri"/>
                <w:color w:val="000000"/>
                <w:sz w:val="22"/>
                <w:szCs w:val="22"/>
              </w:rPr>
            </w:pPr>
            <w:r>
              <w:rPr>
                <w:rFonts w:ascii="Calibri" w:hAnsi="Calibri"/>
                <w:color w:val="000000"/>
                <w:sz w:val="22"/>
                <w:szCs w:val="22"/>
              </w:rPr>
              <w:t>Burden</w:t>
            </w:r>
          </w:p>
        </w:tc>
        <w:tc>
          <w:tcPr>
            <w:tcW w:w="2120" w:type="dxa"/>
            <w:tcBorders>
              <w:top w:val="nil"/>
              <w:left w:val="nil"/>
              <w:bottom w:val="single" w:sz="4" w:space="0" w:color="auto"/>
              <w:right w:val="single" w:sz="4" w:space="0" w:color="auto"/>
            </w:tcBorders>
            <w:shd w:val="clear" w:color="auto" w:fill="auto"/>
          </w:tcPr>
          <w:p w14:paraId="3CBDC484" w14:textId="33CB79C1" w:rsidR="002B016E" w:rsidRDefault="00300C0A" w:rsidP="00300B84">
            <w:pPr>
              <w:rPr>
                <w:rFonts w:ascii="Calibri" w:hAnsi="Calibri"/>
                <w:color w:val="000000"/>
                <w:sz w:val="22"/>
                <w:szCs w:val="22"/>
              </w:rPr>
            </w:pPr>
            <w:r>
              <w:rPr>
                <w:rFonts w:ascii="Calibri" w:hAnsi="Calibri"/>
                <w:color w:val="000000"/>
                <w:sz w:val="22"/>
                <w:szCs w:val="22"/>
              </w:rPr>
              <w:t xml:space="preserve">Commented that </w:t>
            </w:r>
            <w:r w:rsidR="00300B84" w:rsidRPr="00300B84">
              <w:rPr>
                <w:rFonts w:ascii="Calibri" w:hAnsi="Calibri"/>
                <w:color w:val="000000"/>
                <w:sz w:val="22"/>
                <w:szCs w:val="22"/>
              </w:rPr>
              <w:t>“</w:t>
            </w:r>
            <w:r w:rsidR="00300B84">
              <w:rPr>
                <w:rFonts w:ascii="Calibri" w:hAnsi="Calibri"/>
                <w:color w:val="000000"/>
                <w:sz w:val="22"/>
                <w:szCs w:val="22"/>
              </w:rPr>
              <w:t>s</w:t>
            </w:r>
            <w:r w:rsidR="00300B84" w:rsidRPr="00300B84">
              <w:rPr>
                <w:rFonts w:ascii="Calibri" w:hAnsi="Calibri"/>
                <w:color w:val="000000"/>
                <w:sz w:val="22"/>
                <w:szCs w:val="22"/>
              </w:rPr>
              <w:t xml:space="preserve">ome of the draft survey questions appear to be duplicative (e.g. Question #2 and #7 under both the CDFI Support Activities and Distressed </w:t>
            </w:r>
            <w:r w:rsidR="00300B84" w:rsidRPr="00300B84">
              <w:rPr>
                <w:rFonts w:ascii="Calibri" w:hAnsi="Calibri"/>
                <w:color w:val="000000"/>
                <w:sz w:val="22"/>
                <w:szCs w:val="22"/>
              </w:rPr>
              <w:lastRenderedPageBreak/>
              <w:t>Communities Activities).”</w:t>
            </w:r>
          </w:p>
        </w:tc>
        <w:tc>
          <w:tcPr>
            <w:tcW w:w="4596" w:type="dxa"/>
            <w:tcBorders>
              <w:top w:val="nil"/>
              <w:left w:val="nil"/>
              <w:bottom w:val="single" w:sz="4" w:space="0" w:color="auto"/>
              <w:right w:val="single" w:sz="4" w:space="0" w:color="auto"/>
            </w:tcBorders>
            <w:shd w:val="clear" w:color="auto" w:fill="auto"/>
          </w:tcPr>
          <w:p w14:paraId="5728DBB6" w14:textId="78DA3FA4" w:rsidR="002B016E" w:rsidRDefault="002E6AE4">
            <w:pPr>
              <w:rPr>
                <w:rFonts w:ascii="Calibri" w:hAnsi="Calibri"/>
                <w:color w:val="000000"/>
                <w:sz w:val="22"/>
                <w:szCs w:val="22"/>
              </w:rPr>
            </w:pPr>
            <w:r>
              <w:rPr>
                <w:rFonts w:ascii="Calibri" w:hAnsi="Calibri"/>
                <w:color w:val="000000"/>
                <w:sz w:val="22"/>
                <w:szCs w:val="22"/>
              </w:rPr>
              <w:lastRenderedPageBreak/>
              <w:t>The CDFI Fund and the</w:t>
            </w:r>
            <w:r w:rsidR="00300C0A" w:rsidRPr="00300C0A">
              <w:rPr>
                <w:rFonts w:ascii="Calibri" w:hAnsi="Calibri"/>
                <w:color w:val="000000"/>
                <w:sz w:val="22"/>
                <w:szCs w:val="22"/>
              </w:rPr>
              <w:t xml:space="preserve"> contract team have reviewed these questions and other questions and have concluded that there is no redundancy and that these questions are logically distinct and clear. Question 2 addresses targeting areas of greater economic distress, whereas question 7 pertains to increases in investment. Moreover, the contractor has conducted cognitive pretesting with 5 applicants, which validates </w:t>
            </w:r>
            <w:r w:rsidR="00300C0A" w:rsidRPr="00300C0A">
              <w:rPr>
                <w:rFonts w:ascii="Calibri" w:hAnsi="Calibri"/>
                <w:color w:val="000000"/>
                <w:sz w:val="22"/>
                <w:szCs w:val="22"/>
              </w:rPr>
              <w:lastRenderedPageBreak/>
              <w:t>that these questions are clear and logically distinct.</w:t>
            </w:r>
          </w:p>
        </w:tc>
      </w:tr>
      <w:tr w:rsidR="00622EAC" w14:paraId="00C7E3BE" w14:textId="77777777" w:rsidTr="007536E5">
        <w:trPr>
          <w:trHeight w:val="1800"/>
        </w:trPr>
        <w:tc>
          <w:tcPr>
            <w:tcW w:w="1167" w:type="dxa"/>
            <w:tcBorders>
              <w:top w:val="nil"/>
              <w:left w:val="single" w:sz="4" w:space="0" w:color="auto"/>
              <w:bottom w:val="single" w:sz="4" w:space="0" w:color="auto"/>
              <w:right w:val="single" w:sz="4" w:space="0" w:color="auto"/>
            </w:tcBorders>
            <w:shd w:val="clear" w:color="auto" w:fill="auto"/>
          </w:tcPr>
          <w:p w14:paraId="6BEAF59F" w14:textId="5E278DEC" w:rsidR="00622EAC" w:rsidRDefault="00622EAC">
            <w:pPr>
              <w:rPr>
                <w:rFonts w:ascii="Calibri" w:hAnsi="Calibri"/>
                <w:color w:val="000000"/>
                <w:sz w:val="22"/>
                <w:szCs w:val="22"/>
              </w:rPr>
            </w:pPr>
            <w:r>
              <w:rPr>
                <w:rFonts w:ascii="Calibri" w:hAnsi="Calibri"/>
                <w:color w:val="000000"/>
                <w:sz w:val="22"/>
                <w:szCs w:val="22"/>
              </w:rPr>
              <w:lastRenderedPageBreak/>
              <w:t>5/18/2015</w:t>
            </w:r>
          </w:p>
        </w:tc>
        <w:tc>
          <w:tcPr>
            <w:tcW w:w="966" w:type="dxa"/>
            <w:tcBorders>
              <w:top w:val="nil"/>
              <w:left w:val="nil"/>
              <w:bottom w:val="single" w:sz="4" w:space="0" w:color="auto"/>
              <w:right w:val="single" w:sz="4" w:space="0" w:color="auto"/>
            </w:tcBorders>
            <w:shd w:val="clear" w:color="auto" w:fill="auto"/>
          </w:tcPr>
          <w:p w14:paraId="2FDDC096" w14:textId="2A8806DF" w:rsidR="00622EAC" w:rsidRDefault="00622EAC">
            <w:pPr>
              <w:rPr>
                <w:rFonts w:ascii="Calibri" w:hAnsi="Calibri"/>
                <w:color w:val="000000"/>
                <w:sz w:val="22"/>
                <w:szCs w:val="22"/>
              </w:rPr>
            </w:pPr>
            <w:r>
              <w:rPr>
                <w:rFonts w:ascii="Calibri" w:hAnsi="Calibri"/>
                <w:color w:val="000000"/>
                <w:sz w:val="22"/>
                <w:szCs w:val="22"/>
              </w:rPr>
              <w:t>Jean</w:t>
            </w:r>
            <w:r w:rsidR="00FC1BEB">
              <w:rPr>
                <w:rFonts w:ascii="Calibri" w:hAnsi="Calibri"/>
                <w:color w:val="000000"/>
                <w:sz w:val="22"/>
                <w:szCs w:val="22"/>
              </w:rPr>
              <w:t>n</w:t>
            </w:r>
            <w:r>
              <w:rPr>
                <w:rFonts w:ascii="Calibri" w:hAnsi="Calibri"/>
                <w:color w:val="000000"/>
                <w:sz w:val="22"/>
                <w:szCs w:val="22"/>
              </w:rPr>
              <w:t>ine Jacokes</w:t>
            </w:r>
          </w:p>
        </w:tc>
        <w:tc>
          <w:tcPr>
            <w:tcW w:w="1229" w:type="dxa"/>
            <w:tcBorders>
              <w:top w:val="nil"/>
              <w:left w:val="nil"/>
              <w:bottom w:val="single" w:sz="4" w:space="0" w:color="auto"/>
              <w:right w:val="single" w:sz="4" w:space="0" w:color="auto"/>
            </w:tcBorders>
            <w:shd w:val="clear" w:color="auto" w:fill="auto"/>
          </w:tcPr>
          <w:p w14:paraId="6931FCA7" w14:textId="76AFAC4E" w:rsidR="00622EAC" w:rsidRDefault="00622EAC">
            <w:pPr>
              <w:rPr>
                <w:rFonts w:ascii="Calibri" w:hAnsi="Calibri"/>
                <w:color w:val="000000"/>
                <w:sz w:val="22"/>
                <w:szCs w:val="22"/>
              </w:rPr>
            </w:pPr>
            <w:r w:rsidRPr="002B45A7">
              <w:rPr>
                <w:rFonts w:ascii="Calibri" w:hAnsi="Calibri"/>
                <w:color w:val="000000"/>
                <w:sz w:val="22"/>
                <w:szCs w:val="22"/>
              </w:rPr>
              <w:t xml:space="preserve">Chief Executive Officer </w:t>
            </w:r>
          </w:p>
        </w:tc>
        <w:tc>
          <w:tcPr>
            <w:tcW w:w="1441" w:type="dxa"/>
            <w:tcBorders>
              <w:top w:val="nil"/>
              <w:left w:val="nil"/>
              <w:bottom w:val="single" w:sz="4" w:space="0" w:color="auto"/>
              <w:right w:val="single" w:sz="4" w:space="0" w:color="auto"/>
            </w:tcBorders>
            <w:shd w:val="clear" w:color="auto" w:fill="auto"/>
          </w:tcPr>
          <w:p w14:paraId="3DB67B6B" w14:textId="4C722006" w:rsidR="00622EAC" w:rsidRDefault="00622EAC">
            <w:pPr>
              <w:rPr>
                <w:rFonts w:ascii="Calibri" w:hAnsi="Calibri"/>
                <w:color w:val="000000"/>
                <w:sz w:val="22"/>
                <w:szCs w:val="22"/>
              </w:rPr>
            </w:pPr>
            <w:r w:rsidRPr="002B45A7">
              <w:rPr>
                <w:rFonts w:ascii="Calibri" w:hAnsi="Calibri"/>
                <w:color w:val="000000"/>
                <w:sz w:val="22"/>
                <w:szCs w:val="22"/>
              </w:rPr>
              <w:t>Community Development Bankers Association</w:t>
            </w:r>
          </w:p>
        </w:tc>
        <w:tc>
          <w:tcPr>
            <w:tcW w:w="1569" w:type="dxa"/>
            <w:tcBorders>
              <w:top w:val="nil"/>
              <w:left w:val="nil"/>
              <w:bottom w:val="single" w:sz="4" w:space="0" w:color="auto"/>
              <w:right w:val="single" w:sz="4" w:space="0" w:color="auto"/>
            </w:tcBorders>
            <w:shd w:val="clear" w:color="auto" w:fill="auto"/>
          </w:tcPr>
          <w:p w14:paraId="1CA98F2A" w14:textId="51437167" w:rsidR="00622EAC" w:rsidRDefault="00622EAC">
            <w:pPr>
              <w:rPr>
                <w:rFonts w:ascii="Calibri" w:hAnsi="Calibri"/>
                <w:color w:val="000000"/>
                <w:sz w:val="22"/>
                <w:szCs w:val="22"/>
              </w:rPr>
            </w:pPr>
            <w:r>
              <w:rPr>
                <w:rFonts w:ascii="Calibri" w:hAnsi="Calibri"/>
                <w:color w:val="000000"/>
                <w:sz w:val="22"/>
                <w:szCs w:val="22"/>
              </w:rPr>
              <w:t>20150518 – Jeanine Jacokes -</w:t>
            </w:r>
            <w:r>
              <w:t xml:space="preserve"> </w:t>
            </w:r>
            <w:r w:rsidRPr="002B45A7">
              <w:rPr>
                <w:rFonts w:ascii="Calibri" w:hAnsi="Calibri"/>
                <w:color w:val="000000"/>
                <w:sz w:val="22"/>
                <w:szCs w:val="22"/>
              </w:rPr>
              <w:t>Community Development Bankers Association</w:t>
            </w:r>
            <w:r>
              <w:rPr>
                <w:rFonts w:ascii="Calibri" w:hAnsi="Calibri"/>
                <w:color w:val="000000"/>
                <w:sz w:val="22"/>
                <w:szCs w:val="22"/>
              </w:rPr>
              <w:t xml:space="preserve"> </w:t>
            </w:r>
          </w:p>
        </w:tc>
        <w:tc>
          <w:tcPr>
            <w:tcW w:w="1052" w:type="dxa"/>
            <w:tcBorders>
              <w:top w:val="nil"/>
              <w:left w:val="nil"/>
              <w:bottom w:val="single" w:sz="4" w:space="0" w:color="auto"/>
              <w:right w:val="single" w:sz="4" w:space="0" w:color="auto"/>
            </w:tcBorders>
            <w:shd w:val="clear" w:color="auto" w:fill="auto"/>
          </w:tcPr>
          <w:p w14:paraId="2FE60930" w14:textId="294A3BB0" w:rsidR="00622EAC" w:rsidRDefault="007536E5">
            <w:pPr>
              <w:rPr>
                <w:rFonts w:ascii="Calibri" w:hAnsi="Calibri"/>
                <w:color w:val="000000"/>
                <w:sz w:val="22"/>
                <w:szCs w:val="22"/>
              </w:rPr>
            </w:pPr>
            <w:r>
              <w:rPr>
                <w:rFonts w:ascii="Calibri" w:hAnsi="Calibri"/>
                <w:color w:val="000000"/>
                <w:sz w:val="22"/>
                <w:szCs w:val="22"/>
              </w:rPr>
              <w:t>Clarity</w:t>
            </w:r>
          </w:p>
        </w:tc>
        <w:tc>
          <w:tcPr>
            <w:tcW w:w="2120" w:type="dxa"/>
            <w:tcBorders>
              <w:top w:val="nil"/>
              <w:left w:val="nil"/>
              <w:bottom w:val="single" w:sz="4" w:space="0" w:color="auto"/>
              <w:right w:val="single" w:sz="4" w:space="0" w:color="auto"/>
            </w:tcBorders>
            <w:shd w:val="clear" w:color="auto" w:fill="auto"/>
          </w:tcPr>
          <w:p w14:paraId="26FB427E" w14:textId="4AA45A33" w:rsidR="00622EAC" w:rsidRDefault="004732EA" w:rsidP="004732EA">
            <w:pPr>
              <w:rPr>
                <w:rFonts w:ascii="Calibri" w:hAnsi="Calibri"/>
                <w:color w:val="000000"/>
                <w:sz w:val="22"/>
                <w:szCs w:val="22"/>
              </w:rPr>
            </w:pPr>
            <w:r>
              <w:rPr>
                <w:rFonts w:ascii="Calibri" w:hAnsi="Calibri"/>
                <w:color w:val="000000"/>
                <w:sz w:val="22"/>
                <w:szCs w:val="22"/>
              </w:rPr>
              <w:t xml:space="preserve">Stated that </w:t>
            </w:r>
            <w:r w:rsidRPr="004732EA">
              <w:rPr>
                <w:rFonts w:ascii="Calibri" w:hAnsi="Calibri"/>
                <w:color w:val="000000"/>
                <w:sz w:val="22"/>
                <w:szCs w:val="22"/>
              </w:rPr>
              <w:t>“</w:t>
            </w:r>
            <w:r>
              <w:rPr>
                <w:rFonts w:ascii="Calibri" w:hAnsi="Calibri"/>
                <w:color w:val="000000"/>
                <w:sz w:val="22"/>
                <w:szCs w:val="22"/>
              </w:rPr>
              <w:t>t</w:t>
            </w:r>
            <w:r w:rsidRPr="004732EA">
              <w:rPr>
                <w:rFonts w:ascii="Calibri" w:hAnsi="Calibri"/>
                <w:color w:val="000000"/>
                <w:sz w:val="22"/>
                <w:szCs w:val="22"/>
              </w:rPr>
              <w:t>he draft survey places too heavy an emphasis on evaluating the influence of the Community Reinvestment Act (CRA) versus the BEA Program. In reality, CRA and BEA work in a highly complementary fashion, rather than compete.”</w:t>
            </w:r>
          </w:p>
        </w:tc>
        <w:tc>
          <w:tcPr>
            <w:tcW w:w="4596" w:type="dxa"/>
            <w:tcBorders>
              <w:top w:val="nil"/>
              <w:left w:val="nil"/>
              <w:bottom w:val="single" w:sz="4" w:space="0" w:color="auto"/>
              <w:right w:val="single" w:sz="4" w:space="0" w:color="auto"/>
            </w:tcBorders>
            <w:shd w:val="clear" w:color="auto" w:fill="auto"/>
          </w:tcPr>
          <w:p w14:paraId="10329D44" w14:textId="0877006F" w:rsidR="00622EAC" w:rsidRDefault="004732EA">
            <w:pPr>
              <w:rPr>
                <w:rFonts w:ascii="Calibri" w:hAnsi="Calibri"/>
                <w:color w:val="000000"/>
                <w:sz w:val="22"/>
                <w:szCs w:val="22"/>
              </w:rPr>
            </w:pPr>
            <w:r w:rsidRPr="004732EA">
              <w:rPr>
                <w:rFonts w:ascii="Calibri" w:hAnsi="Calibri"/>
                <w:color w:val="000000"/>
                <w:sz w:val="22"/>
                <w:szCs w:val="22"/>
              </w:rPr>
              <w:t xml:space="preserve">The survey seeks to address issues raised by the GAO in its report on the BEA program </w:t>
            </w:r>
            <w:r w:rsidR="008E33F2">
              <w:rPr>
                <w:rFonts w:ascii="Calibri" w:hAnsi="Calibri"/>
                <w:color w:val="000000"/>
                <w:sz w:val="22"/>
                <w:szCs w:val="22"/>
              </w:rPr>
              <w:t>(</w:t>
            </w:r>
            <w:r w:rsidRPr="004732EA">
              <w:rPr>
                <w:rFonts w:ascii="Calibri" w:hAnsi="Calibri"/>
                <w:color w:val="000000"/>
                <w:sz w:val="22"/>
                <w:szCs w:val="22"/>
              </w:rPr>
              <w:t>GAO-06-824</w:t>
            </w:r>
            <w:r w:rsidR="008E33F2">
              <w:rPr>
                <w:rFonts w:ascii="Calibri" w:hAnsi="Calibri"/>
                <w:color w:val="000000"/>
                <w:sz w:val="22"/>
                <w:szCs w:val="22"/>
              </w:rPr>
              <w:t>),</w:t>
            </w:r>
            <w:r w:rsidRPr="004732EA">
              <w:rPr>
                <w:rFonts w:ascii="Calibri" w:hAnsi="Calibri"/>
                <w:color w:val="000000"/>
                <w:sz w:val="22"/>
                <w:szCs w:val="22"/>
              </w:rPr>
              <w:t xml:space="preserve"> which asserted that “…  CRA provides banks with a regulatory incentive to undertake [BEA] award-eligible activities.”</w:t>
            </w:r>
          </w:p>
        </w:tc>
      </w:tr>
      <w:tr w:rsidR="00622EAC" w14:paraId="7E73300B" w14:textId="77777777" w:rsidTr="007536E5">
        <w:trPr>
          <w:trHeight w:val="1500"/>
        </w:trPr>
        <w:tc>
          <w:tcPr>
            <w:tcW w:w="1167" w:type="dxa"/>
            <w:tcBorders>
              <w:top w:val="nil"/>
              <w:left w:val="single" w:sz="4" w:space="0" w:color="auto"/>
              <w:bottom w:val="single" w:sz="4" w:space="0" w:color="auto"/>
              <w:right w:val="single" w:sz="4" w:space="0" w:color="auto"/>
            </w:tcBorders>
            <w:shd w:val="clear" w:color="auto" w:fill="auto"/>
          </w:tcPr>
          <w:p w14:paraId="0F789FAE" w14:textId="03F4071E" w:rsidR="00622EAC" w:rsidRDefault="008E33F2">
            <w:pPr>
              <w:rPr>
                <w:rFonts w:ascii="Calibri" w:hAnsi="Calibri"/>
                <w:color w:val="000000"/>
                <w:sz w:val="22"/>
                <w:szCs w:val="22"/>
              </w:rPr>
            </w:pPr>
            <w:r w:rsidRPr="008E33F2">
              <w:rPr>
                <w:rFonts w:ascii="Calibri" w:hAnsi="Calibri"/>
                <w:color w:val="000000"/>
                <w:sz w:val="22"/>
                <w:szCs w:val="22"/>
              </w:rPr>
              <w:t>5/18/2015</w:t>
            </w:r>
          </w:p>
        </w:tc>
        <w:tc>
          <w:tcPr>
            <w:tcW w:w="966" w:type="dxa"/>
            <w:tcBorders>
              <w:top w:val="nil"/>
              <w:left w:val="nil"/>
              <w:bottom w:val="single" w:sz="4" w:space="0" w:color="auto"/>
              <w:right w:val="single" w:sz="4" w:space="0" w:color="auto"/>
            </w:tcBorders>
            <w:shd w:val="clear" w:color="auto" w:fill="auto"/>
          </w:tcPr>
          <w:p w14:paraId="21929DC5" w14:textId="5FE9C5AB" w:rsidR="00622EAC" w:rsidRDefault="008E33F2">
            <w:pPr>
              <w:rPr>
                <w:rFonts w:ascii="Calibri" w:hAnsi="Calibri"/>
                <w:color w:val="000000"/>
                <w:sz w:val="22"/>
                <w:szCs w:val="22"/>
              </w:rPr>
            </w:pPr>
            <w:r w:rsidRPr="008E33F2">
              <w:rPr>
                <w:rFonts w:ascii="Calibri" w:hAnsi="Calibri"/>
                <w:color w:val="000000"/>
                <w:sz w:val="22"/>
                <w:szCs w:val="22"/>
              </w:rPr>
              <w:t>Joyce Dillard</w:t>
            </w:r>
          </w:p>
        </w:tc>
        <w:tc>
          <w:tcPr>
            <w:tcW w:w="1229" w:type="dxa"/>
            <w:tcBorders>
              <w:top w:val="nil"/>
              <w:left w:val="nil"/>
              <w:bottom w:val="single" w:sz="4" w:space="0" w:color="auto"/>
              <w:right w:val="single" w:sz="4" w:space="0" w:color="auto"/>
            </w:tcBorders>
            <w:shd w:val="clear" w:color="auto" w:fill="auto"/>
          </w:tcPr>
          <w:p w14:paraId="10BB5F74" w14:textId="640CE51D" w:rsidR="00622EAC" w:rsidRDefault="007F03D3">
            <w:pPr>
              <w:rPr>
                <w:rFonts w:ascii="Calibri" w:hAnsi="Calibri"/>
                <w:color w:val="000000"/>
                <w:sz w:val="22"/>
                <w:szCs w:val="22"/>
              </w:rPr>
            </w:pPr>
            <w:r>
              <w:rPr>
                <w:rFonts w:ascii="Calibri" w:hAnsi="Calibri"/>
                <w:color w:val="000000"/>
                <w:sz w:val="22"/>
                <w:szCs w:val="22"/>
              </w:rPr>
              <w:t>Individual</w:t>
            </w:r>
          </w:p>
        </w:tc>
        <w:tc>
          <w:tcPr>
            <w:tcW w:w="1441" w:type="dxa"/>
            <w:tcBorders>
              <w:top w:val="nil"/>
              <w:left w:val="nil"/>
              <w:bottom w:val="single" w:sz="4" w:space="0" w:color="auto"/>
              <w:right w:val="single" w:sz="4" w:space="0" w:color="auto"/>
            </w:tcBorders>
            <w:shd w:val="clear" w:color="auto" w:fill="auto"/>
          </w:tcPr>
          <w:p w14:paraId="7F49AEE7" w14:textId="5DBE707C" w:rsidR="00622EAC" w:rsidRDefault="007F03D3">
            <w:pPr>
              <w:rPr>
                <w:rFonts w:ascii="Calibri" w:hAnsi="Calibri"/>
                <w:color w:val="000000"/>
                <w:sz w:val="22"/>
                <w:szCs w:val="22"/>
              </w:rPr>
            </w:pPr>
            <w:r>
              <w:rPr>
                <w:rFonts w:ascii="Calibri" w:hAnsi="Calibri"/>
                <w:color w:val="000000"/>
                <w:sz w:val="22"/>
                <w:szCs w:val="22"/>
              </w:rPr>
              <w:t>NA</w:t>
            </w:r>
          </w:p>
        </w:tc>
        <w:tc>
          <w:tcPr>
            <w:tcW w:w="1569" w:type="dxa"/>
            <w:tcBorders>
              <w:top w:val="nil"/>
              <w:left w:val="nil"/>
              <w:bottom w:val="single" w:sz="4" w:space="0" w:color="auto"/>
              <w:right w:val="single" w:sz="4" w:space="0" w:color="auto"/>
            </w:tcBorders>
            <w:shd w:val="clear" w:color="auto" w:fill="auto"/>
          </w:tcPr>
          <w:p w14:paraId="48C7E098" w14:textId="7032BA92" w:rsidR="00622EAC" w:rsidRDefault="007F03D3" w:rsidP="007F03D3">
            <w:pPr>
              <w:rPr>
                <w:rFonts w:ascii="Calibri" w:hAnsi="Calibri"/>
                <w:color w:val="000000"/>
                <w:sz w:val="22"/>
                <w:szCs w:val="22"/>
              </w:rPr>
            </w:pPr>
            <w:r w:rsidRPr="007F03D3">
              <w:rPr>
                <w:rFonts w:ascii="Calibri" w:hAnsi="Calibri"/>
                <w:color w:val="000000"/>
                <w:sz w:val="22"/>
                <w:szCs w:val="22"/>
              </w:rPr>
              <w:t>20150518 – J</w:t>
            </w:r>
            <w:r>
              <w:rPr>
                <w:rFonts w:ascii="Calibri" w:hAnsi="Calibri"/>
                <w:color w:val="000000"/>
                <w:sz w:val="22"/>
                <w:szCs w:val="22"/>
              </w:rPr>
              <w:t>oyce Dillard</w:t>
            </w:r>
          </w:p>
        </w:tc>
        <w:tc>
          <w:tcPr>
            <w:tcW w:w="1052" w:type="dxa"/>
            <w:tcBorders>
              <w:top w:val="nil"/>
              <w:left w:val="nil"/>
              <w:bottom w:val="single" w:sz="4" w:space="0" w:color="auto"/>
              <w:right w:val="single" w:sz="4" w:space="0" w:color="auto"/>
            </w:tcBorders>
            <w:shd w:val="clear" w:color="auto" w:fill="auto"/>
          </w:tcPr>
          <w:p w14:paraId="37001570" w14:textId="6906686E" w:rsidR="00622EAC" w:rsidRDefault="005321DA">
            <w:pPr>
              <w:rPr>
                <w:rFonts w:ascii="Calibri" w:hAnsi="Calibri"/>
                <w:color w:val="000000"/>
                <w:sz w:val="22"/>
                <w:szCs w:val="22"/>
              </w:rPr>
            </w:pPr>
            <w:r>
              <w:rPr>
                <w:rFonts w:ascii="Calibri" w:hAnsi="Calibri"/>
                <w:color w:val="000000"/>
                <w:sz w:val="22"/>
                <w:szCs w:val="22"/>
              </w:rPr>
              <w:t>Other</w:t>
            </w:r>
          </w:p>
        </w:tc>
        <w:tc>
          <w:tcPr>
            <w:tcW w:w="2120" w:type="dxa"/>
            <w:tcBorders>
              <w:top w:val="nil"/>
              <w:left w:val="nil"/>
              <w:bottom w:val="single" w:sz="4" w:space="0" w:color="auto"/>
              <w:right w:val="single" w:sz="4" w:space="0" w:color="auto"/>
            </w:tcBorders>
            <w:shd w:val="clear" w:color="auto" w:fill="auto"/>
          </w:tcPr>
          <w:p w14:paraId="19434AF2" w14:textId="241EC97E" w:rsidR="00622EAC" w:rsidRDefault="005321DA" w:rsidP="005321DA">
            <w:pPr>
              <w:rPr>
                <w:rFonts w:ascii="Calibri" w:hAnsi="Calibri"/>
                <w:color w:val="000000"/>
                <w:sz w:val="22"/>
                <w:szCs w:val="22"/>
              </w:rPr>
            </w:pPr>
            <w:r>
              <w:rPr>
                <w:rFonts w:ascii="Calibri" w:hAnsi="Calibri"/>
                <w:color w:val="000000"/>
                <w:sz w:val="22"/>
                <w:szCs w:val="22"/>
              </w:rPr>
              <w:t xml:space="preserve">Stated that </w:t>
            </w:r>
            <w:r w:rsidRPr="005321DA">
              <w:rPr>
                <w:rFonts w:ascii="Calibri" w:hAnsi="Calibri"/>
                <w:color w:val="000000"/>
                <w:sz w:val="22"/>
                <w:szCs w:val="22"/>
              </w:rPr>
              <w:t xml:space="preserve">“Census tracts are not being reflected with income defined representing current residents.  We ask that census tracts be </w:t>
            </w:r>
            <w:r w:rsidRPr="005321DA">
              <w:rPr>
                <w:rFonts w:ascii="Calibri" w:hAnsi="Calibri"/>
                <w:color w:val="000000"/>
                <w:sz w:val="22"/>
                <w:szCs w:val="22"/>
              </w:rPr>
              <w:lastRenderedPageBreak/>
              <w:t>updated with the most current AMERICAN COMMUNITY SURVEY (ACS) data.”</w:t>
            </w:r>
          </w:p>
        </w:tc>
        <w:tc>
          <w:tcPr>
            <w:tcW w:w="4596" w:type="dxa"/>
            <w:tcBorders>
              <w:top w:val="nil"/>
              <w:left w:val="nil"/>
              <w:bottom w:val="single" w:sz="4" w:space="0" w:color="auto"/>
              <w:right w:val="single" w:sz="4" w:space="0" w:color="auto"/>
            </w:tcBorders>
            <w:shd w:val="clear" w:color="auto" w:fill="auto"/>
          </w:tcPr>
          <w:p w14:paraId="459EF6E9" w14:textId="1A458E9F" w:rsidR="005321DA" w:rsidRDefault="005321DA" w:rsidP="005321DA">
            <w:pPr>
              <w:rPr>
                <w:rFonts w:ascii="Calibri" w:hAnsi="Calibri"/>
                <w:color w:val="000000"/>
                <w:sz w:val="22"/>
                <w:szCs w:val="22"/>
              </w:rPr>
            </w:pPr>
            <w:r w:rsidRPr="005321DA">
              <w:rPr>
                <w:rFonts w:ascii="Calibri" w:hAnsi="Calibri"/>
                <w:color w:val="000000"/>
                <w:sz w:val="22"/>
                <w:szCs w:val="22"/>
              </w:rPr>
              <w:lastRenderedPageBreak/>
              <w:t xml:space="preserve">The comment is not responsive to the survey questions but rather directed at the way the BEA program measures distress. Further, the comment fails to appreciate that while the five-year ACS data is updated annually, a completely new five-year estimate will only be available in 2016. Moreover, annual updates would </w:t>
            </w:r>
            <w:r w:rsidRPr="005321DA">
              <w:rPr>
                <w:rFonts w:ascii="Calibri" w:hAnsi="Calibri"/>
                <w:color w:val="000000"/>
                <w:sz w:val="22"/>
                <w:szCs w:val="22"/>
              </w:rPr>
              <w:lastRenderedPageBreak/>
              <w:t>introduce a great deal of complexity and cost in administering the program. Furthermore, analysis of the socioeconomic characteristics of BEA distressed communities indicates that the high poverty and unemployment rates persist over time.  Finally, the commenter should note that the CDFI Fund recently updated BEA distress criteria with median family income and th</w:t>
            </w:r>
            <w:r>
              <w:rPr>
                <w:rFonts w:ascii="Calibri" w:hAnsi="Calibri"/>
                <w:color w:val="000000"/>
                <w:sz w:val="22"/>
                <w:szCs w:val="22"/>
              </w:rPr>
              <w:t>ese</w:t>
            </w:r>
            <w:r w:rsidRPr="005321DA">
              <w:rPr>
                <w:rFonts w:ascii="Calibri" w:hAnsi="Calibri"/>
                <w:color w:val="000000"/>
                <w:sz w:val="22"/>
                <w:szCs w:val="22"/>
              </w:rPr>
              <w:t xml:space="preserve"> data </w:t>
            </w:r>
            <w:r>
              <w:rPr>
                <w:rFonts w:ascii="Calibri" w:hAnsi="Calibri"/>
                <w:color w:val="000000"/>
                <w:sz w:val="22"/>
                <w:szCs w:val="22"/>
              </w:rPr>
              <w:t>are</w:t>
            </w:r>
            <w:r w:rsidRPr="005321DA">
              <w:rPr>
                <w:rFonts w:ascii="Calibri" w:hAnsi="Calibri"/>
                <w:color w:val="000000"/>
                <w:sz w:val="22"/>
                <w:szCs w:val="22"/>
              </w:rPr>
              <w:t xml:space="preserve"> available online (see: http://www.cdfifund.gov/what_we_do/acs/BEA-Eligibility.asp)</w:t>
            </w:r>
          </w:p>
        </w:tc>
      </w:tr>
    </w:tbl>
    <w:p w14:paraId="0143F58D" w14:textId="66C48898" w:rsidR="007810A9" w:rsidRPr="008C2709" w:rsidRDefault="007810A9" w:rsidP="007810A9">
      <w:pPr>
        <w:rPr>
          <w:rFonts w:ascii="Arial Narrow" w:hAnsi="Arial Narrow" w:cs="Arial"/>
        </w:rPr>
      </w:pPr>
    </w:p>
    <w:sectPr w:rsidR="007810A9" w:rsidRPr="008C2709" w:rsidSect="000608C7">
      <w:headerReference w:type="default" r:id="rId13"/>
      <w:pgSz w:w="15840" w:h="12240" w:orient="landscape" w:code="1"/>
      <w:pgMar w:top="1440" w:right="1440" w:bottom="1440" w:left="72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0A41D" w14:textId="77777777" w:rsidR="00973163" w:rsidRDefault="00973163">
      <w:r>
        <w:separator/>
      </w:r>
    </w:p>
  </w:endnote>
  <w:endnote w:type="continuationSeparator" w:id="0">
    <w:p w14:paraId="4CB7756E" w14:textId="77777777" w:rsidR="00973163" w:rsidRDefault="0097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15805"/>
      <w:docPartObj>
        <w:docPartGallery w:val="Page Numbers (Bottom of Page)"/>
        <w:docPartUnique/>
      </w:docPartObj>
    </w:sdtPr>
    <w:sdtEndPr>
      <w:rPr>
        <w:rFonts w:ascii="Arial Narrow" w:hAnsi="Arial Narrow"/>
        <w:noProof/>
        <w:sz w:val="20"/>
      </w:rPr>
    </w:sdtEndPr>
    <w:sdtContent>
      <w:p w14:paraId="125B37A5" w14:textId="77777777" w:rsidR="006054B8" w:rsidRPr="006054B8" w:rsidRDefault="006054B8">
        <w:pPr>
          <w:pStyle w:val="Footer"/>
          <w:jc w:val="right"/>
          <w:rPr>
            <w:rFonts w:ascii="Arial Narrow" w:hAnsi="Arial Narrow"/>
            <w:sz w:val="20"/>
          </w:rPr>
        </w:pPr>
        <w:r w:rsidRPr="006054B8">
          <w:rPr>
            <w:rFonts w:ascii="Arial Narrow" w:hAnsi="Arial Narrow"/>
            <w:sz w:val="20"/>
          </w:rPr>
          <w:fldChar w:fldCharType="begin"/>
        </w:r>
        <w:r w:rsidRPr="006054B8">
          <w:rPr>
            <w:rFonts w:ascii="Arial Narrow" w:hAnsi="Arial Narrow"/>
            <w:sz w:val="20"/>
          </w:rPr>
          <w:instrText xml:space="preserve"> PAGE   \* MERGEFORMAT </w:instrText>
        </w:r>
        <w:r w:rsidRPr="006054B8">
          <w:rPr>
            <w:rFonts w:ascii="Arial Narrow" w:hAnsi="Arial Narrow"/>
            <w:sz w:val="20"/>
          </w:rPr>
          <w:fldChar w:fldCharType="separate"/>
        </w:r>
        <w:r w:rsidR="000D1628">
          <w:rPr>
            <w:rFonts w:ascii="Arial Narrow" w:hAnsi="Arial Narrow"/>
            <w:noProof/>
            <w:sz w:val="20"/>
          </w:rPr>
          <w:t>5</w:t>
        </w:r>
        <w:r w:rsidRPr="006054B8">
          <w:rPr>
            <w:rFonts w:ascii="Arial Narrow" w:hAnsi="Arial Narrow"/>
            <w:noProof/>
            <w:sz w:val="20"/>
          </w:rPr>
          <w:fldChar w:fldCharType="end"/>
        </w:r>
      </w:p>
    </w:sdtContent>
  </w:sdt>
  <w:p w14:paraId="50726B30" w14:textId="77777777" w:rsidR="00C93DE1" w:rsidRPr="006054B8" w:rsidRDefault="00C93DE1" w:rsidP="00605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656227683"/>
      <w:docPartObj>
        <w:docPartGallery w:val="Page Numbers (Bottom of Page)"/>
        <w:docPartUnique/>
      </w:docPartObj>
    </w:sdtPr>
    <w:sdtEndPr>
      <w:rPr>
        <w:noProof/>
      </w:rPr>
    </w:sdtEndPr>
    <w:sdtContent>
      <w:p w14:paraId="65C1D5D7" w14:textId="77777777" w:rsidR="00C93DE1" w:rsidRPr="004E1094" w:rsidRDefault="00C93DE1">
        <w:pPr>
          <w:pStyle w:val="Footer"/>
          <w:jc w:val="right"/>
          <w:rPr>
            <w:rFonts w:ascii="Arial" w:hAnsi="Arial" w:cs="Arial"/>
            <w:sz w:val="22"/>
            <w:szCs w:val="22"/>
          </w:rPr>
        </w:pPr>
        <w:r w:rsidRPr="004E1094">
          <w:rPr>
            <w:rFonts w:ascii="Arial" w:hAnsi="Arial" w:cs="Arial"/>
            <w:sz w:val="22"/>
            <w:szCs w:val="22"/>
          </w:rPr>
          <w:fldChar w:fldCharType="begin"/>
        </w:r>
        <w:r w:rsidRPr="004E1094">
          <w:rPr>
            <w:rFonts w:ascii="Arial" w:hAnsi="Arial" w:cs="Arial"/>
            <w:sz w:val="22"/>
            <w:szCs w:val="22"/>
          </w:rPr>
          <w:instrText xml:space="preserve"> PAGE   \* MERGEFORMAT </w:instrText>
        </w:r>
        <w:r w:rsidRPr="004E1094">
          <w:rPr>
            <w:rFonts w:ascii="Arial" w:hAnsi="Arial" w:cs="Arial"/>
            <w:sz w:val="22"/>
            <w:szCs w:val="22"/>
          </w:rPr>
          <w:fldChar w:fldCharType="separate"/>
        </w:r>
        <w:r>
          <w:rPr>
            <w:rFonts w:ascii="Arial" w:hAnsi="Arial" w:cs="Arial"/>
            <w:noProof/>
            <w:sz w:val="22"/>
            <w:szCs w:val="22"/>
          </w:rPr>
          <w:t>1</w:t>
        </w:r>
        <w:r w:rsidRPr="004E1094">
          <w:rPr>
            <w:rFonts w:ascii="Arial" w:hAnsi="Arial" w:cs="Arial"/>
            <w:noProof/>
            <w:sz w:val="22"/>
            <w:szCs w:val="22"/>
          </w:rPr>
          <w:fldChar w:fldCharType="end"/>
        </w:r>
      </w:p>
    </w:sdtContent>
  </w:sdt>
  <w:p w14:paraId="58357531" w14:textId="77777777" w:rsidR="00C93DE1" w:rsidRDefault="00C93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926CA" w14:textId="77777777" w:rsidR="00973163" w:rsidRDefault="00973163">
      <w:r>
        <w:separator/>
      </w:r>
    </w:p>
  </w:footnote>
  <w:footnote w:type="continuationSeparator" w:id="0">
    <w:p w14:paraId="02928C33" w14:textId="77777777" w:rsidR="00973163" w:rsidRDefault="00973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7439D" w14:textId="2759AD50" w:rsidR="00815FCF" w:rsidRDefault="00815FCF" w:rsidP="00815FCF">
    <w:pPr>
      <w:pStyle w:val="Header"/>
      <w:jc w:val="center"/>
      <w:rPr>
        <w:rFonts w:asciiTheme="minorHAnsi" w:hAnsiTheme="minorHAnsi" w:cs="Arial"/>
        <w:b/>
      </w:rPr>
    </w:pPr>
    <w:r w:rsidRPr="00815FCF">
      <w:rPr>
        <w:rFonts w:asciiTheme="minorHAnsi" w:hAnsiTheme="minorHAnsi" w:cs="Arial"/>
        <w:b/>
      </w:rPr>
      <w:t>Appendix A</w:t>
    </w:r>
  </w:p>
  <w:p w14:paraId="2860D5B9" w14:textId="77777777" w:rsidR="00815FCF" w:rsidRPr="00815FCF" w:rsidRDefault="00815FCF" w:rsidP="00815FCF">
    <w:pPr>
      <w:pStyle w:val="Header"/>
      <w:jc w:val="center"/>
      <w:rPr>
        <w:rFonts w:asciiTheme="minorHAnsi" w:hAnsiTheme="min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6AFA48"/>
    <w:lvl w:ilvl="0">
      <w:numFmt w:val="bullet"/>
      <w:lvlText w:val="*"/>
      <w:lvlJc w:val="left"/>
    </w:lvl>
  </w:abstractNum>
  <w:abstractNum w:abstractNumId="1">
    <w:nsid w:val="00BB2CC9"/>
    <w:multiLevelType w:val="hybridMultilevel"/>
    <w:tmpl w:val="6CB2758E"/>
    <w:lvl w:ilvl="0" w:tplc="3E62AA7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259C6"/>
    <w:multiLevelType w:val="multilevel"/>
    <w:tmpl w:val="C53E5E76"/>
    <w:lvl w:ilvl="0">
      <w:start w:val="2"/>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DE0DBE"/>
    <w:multiLevelType w:val="hybridMultilevel"/>
    <w:tmpl w:val="368263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8B048C"/>
    <w:multiLevelType w:val="hybridMultilevel"/>
    <w:tmpl w:val="39701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01146C"/>
    <w:multiLevelType w:val="hybridMultilevel"/>
    <w:tmpl w:val="2F2C1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DF66D5"/>
    <w:multiLevelType w:val="multilevel"/>
    <w:tmpl w:val="91EEF9D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D9042D"/>
    <w:multiLevelType w:val="hybridMultilevel"/>
    <w:tmpl w:val="B7CEF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F12D1"/>
    <w:multiLevelType w:val="hybridMultilevel"/>
    <w:tmpl w:val="0D3ACCBA"/>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74557"/>
    <w:multiLevelType w:val="hybridMultilevel"/>
    <w:tmpl w:val="2A100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7A7D63"/>
    <w:multiLevelType w:val="hybridMultilevel"/>
    <w:tmpl w:val="2828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461A0C"/>
    <w:multiLevelType w:val="hybridMultilevel"/>
    <w:tmpl w:val="E7A426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573B85"/>
    <w:multiLevelType w:val="hybridMultilevel"/>
    <w:tmpl w:val="496AE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7A07AD"/>
    <w:multiLevelType w:val="hybridMultilevel"/>
    <w:tmpl w:val="E4B8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6A3BAA"/>
    <w:multiLevelType w:val="hybridMultilevel"/>
    <w:tmpl w:val="3576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055A7"/>
    <w:multiLevelType w:val="hybridMultilevel"/>
    <w:tmpl w:val="639257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EA7929"/>
    <w:multiLevelType w:val="hybridMultilevel"/>
    <w:tmpl w:val="BEAEB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6286A"/>
    <w:multiLevelType w:val="hybridMultilevel"/>
    <w:tmpl w:val="6FD2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B53B5F"/>
    <w:multiLevelType w:val="hybridMultilevel"/>
    <w:tmpl w:val="C1823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565939"/>
    <w:multiLevelType w:val="hybridMultilevel"/>
    <w:tmpl w:val="43A21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062BB2"/>
    <w:multiLevelType w:val="hybridMultilevel"/>
    <w:tmpl w:val="2266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212D5D"/>
    <w:multiLevelType w:val="hybridMultilevel"/>
    <w:tmpl w:val="2A709880"/>
    <w:lvl w:ilvl="0" w:tplc="C6B6B118">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0C135E"/>
    <w:multiLevelType w:val="hybridMultilevel"/>
    <w:tmpl w:val="614ACFEC"/>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A14201"/>
    <w:multiLevelType w:val="hybridMultilevel"/>
    <w:tmpl w:val="B9BE5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065636"/>
    <w:multiLevelType w:val="hybridMultilevel"/>
    <w:tmpl w:val="90E05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003972"/>
    <w:multiLevelType w:val="hybridMultilevel"/>
    <w:tmpl w:val="01BA9C6E"/>
    <w:lvl w:ilvl="0" w:tplc="C6B6B118">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B07BDF"/>
    <w:multiLevelType w:val="hybridMultilevel"/>
    <w:tmpl w:val="D23E5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4425B3"/>
    <w:multiLevelType w:val="hybridMultilevel"/>
    <w:tmpl w:val="F8C2BF98"/>
    <w:lvl w:ilvl="0" w:tplc="C6B6B11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AC1F9C"/>
    <w:multiLevelType w:val="hybridMultilevel"/>
    <w:tmpl w:val="F724B3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C817B3A"/>
    <w:multiLevelType w:val="hybridMultilevel"/>
    <w:tmpl w:val="6EF2CB9E"/>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2958DC"/>
    <w:multiLevelType w:val="hybridMultilevel"/>
    <w:tmpl w:val="E35E0A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0D5020"/>
    <w:multiLevelType w:val="hybridMultilevel"/>
    <w:tmpl w:val="3EE89E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027C54"/>
    <w:multiLevelType w:val="hybridMultilevel"/>
    <w:tmpl w:val="FF4E1752"/>
    <w:lvl w:ilvl="0" w:tplc="2730BBE6">
      <w:start w:val="1"/>
      <w:numFmt w:val="upperRoman"/>
      <w:lvlText w:val="%1."/>
      <w:lvlJc w:val="left"/>
      <w:pPr>
        <w:ind w:left="360" w:hanging="360"/>
      </w:pPr>
      <w:rPr>
        <w:rFonts w:hint="default"/>
        <w:b/>
        <w:i w:val="0"/>
        <w:color w:val="auto"/>
      </w:rPr>
    </w:lvl>
    <w:lvl w:ilvl="1" w:tplc="F0CA32B0">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D6310"/>
    <w:multiLevelType w:val="hybridMultilevel"/>
    <w:tmpl w:val="46048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1F625D"/>
    <w:multiLevelType w:val="hybridMultilevel"/>
    <w:tmpl w:val="CE5639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ED54E5"/>
    <w:multiLevelType w:val="hybridMultilevel"/>
    <w:tmpl w:val="3DC4D1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BE44CBC"/>
    <w:multiLevelType w:val="hybridMultilevel"/>
    <w:tmpl w:val="B2D656EC"/>
    <w:lvl w:ilvl="0" w:tplc="41BA129C">
      <w:start w:val="1"/>
      <w:numFmt w:val="upperLetter"/>
      <w:lvlText w:val="%1."/>
      <w:lvlJc w:val="left"/>
      <w:pPr>
        <w:tabs>
          <w:tab w:val="num" w:pos="360"/>
        </w:tabs>
        <w:ind w:left="360" w:hanging="360"/>
      </w:pPr>
      <w:rPr>
        <w:rFonts w:hint="default"/>
        <w:b w:val="0"/>
        <w:i w:val="0"/>
        <w:color w:val="auto"/>
        <w:sz w:val="24"/>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6FBA7FC6"/>
    <w:multiLevelType w:val="hybridMultilevel"/>
    <w:tmpl w:val="B972C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03402E"/>
    <w:multiLevelType w:val="hybridMultilevel"/>
    <w:tmpl w:val="C1CEB3AC"/>
    <w:lvl w:ilvl="0" w:tplc="C6B6B118">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B217C"/>
    <w:multiLevelType w:val="hybridMultilevel"/>
    <w:tmpl w:val="AF528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590322"/>
    <w:multiLevelType w:val="hybridMultilevel"/>
    <w:tmpl w:val="C49C0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AB96711"/>
    <w:multiLevelType w:val="hybridMultilevel"/>
    <w:tmpl w:val="9AB6B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3"/>
  </w:num>
  <w:num w:numId="3">
    <w:abstractNumId w:val="10"/>
  </w:num>
  <w:num w:numId="4">
    <w:abstractNumId w:val="40"/>
  </w:num>
  <w:num w:numId="5">
    <w:abstractNumId w:val="0"/>
    <w:lvlOverride w:ilvl="0">
      <w:lvl w:ilvl="0">
        <w:numFmt w:val="bullet"/>
        <w:lvlText w:val="•"/>
        <w:legacy w:legacy="1" w:legacySpace="0" w:legacyIndent="0"/>
        <w:lvlJc w:val="left"/>
        <w:rPr>
          <w:rFonts w:ascii="Times New Roman" w:hAnsi="Times New Roman" w:cs="Times New Roman" w:hint="default"/>
          <w:sz w:val="40"/>
        </w:rPr>
      </w:lvl>
    </w:lvlOverride>
  </w:num>
  <w:num w:numId="6">
    <w:abstractNumId w:val="35"/>
  </w:num>
  <w:num w:numId="7">
    <w:abstractNumId w:val="39"/>
  </w:num>
  <w:num w:numId="8">
    <w:abstractNumId w:val="9"/>
  </w:num>
  <w:num w:numId="9">
    <w:abstractNumId w:val="24"/>
  </w:num>
  <w:num w:numId="10">
    <w:abstractNumId w:val="4"/>
  </w:num>
  <w:num w:numId="11">
    <w:abstractNumId w:val="5"/>
  </w:num>
  <w:num w:numId="12">
    <w:abstractNumId w:val="20"/>
  </w:num>
  <w:num w:numId="13">
    <w:abstractNumId w:val="18"/>
  </w:num>
  <w:num w:numId="14">
    <w:abstractNumId w:val="26"/>
  </w:num>
  <w:num w:numId="15">
    <w:abstractNumId w:val="13"/>
  </w:num>
  <w:num w:numId="16">
    <w:abstractNumId w:val="3"/>
  </w:num>
  <w:num w:numId="17">
    <w:abstractNumId w:val="11"/>
  </w:num>
  <w:num w:numId="18">
    <w:abstractNumId w:val="22"/>
  </w:num>
  <w:num w:numId="19">
    <w:abstractNumId w:val="8"/>
  </w:num>
  <w:num w:numId="20">
    <w:abstractNumId w:val="29"/>
  </w:num>
  <w:num w:numId="21">
    <w:abstractNumId w:val="1"/>
  </w:num>
  <w:num w:numId="22">
    <w:abstractNumId w:val="2"/>
  </w:num>
  <w:num w:numId="23">
    <w:abstractNumId w:val="6"/>
  </w:num>
  <w:num w:numId="24">
    <w:abstractNumId w:val="15"/>
  </w:num>
  <w:num w:numId="25">
    <w:abstractNumId w:val="30"/>
  </w:num>
  <w:num w:numId="26">
    <w:abstractNumId w:val="28"/>
  </w:num>
  <w:num w:numId="27">
    <w:abstractNumId w:val="32"/>
  </w:num>
  <w:num w:numId="28">
    <w:abstractNumId w:val="17"/>
  </w:num>
  <w:num w:numId="29">
    <w:abstractNumId w:val="23"/>
  </w:num>
  <w:num w:numId="30">
    <w:abstractNumId w:val="19"/>
  </w:num>
  <w:num w:numId="31">
    <w:abstractNumId w:val="31"/>
  </w:num>
  <w:num w:numId="32">
    <w:abstractNumId w:val="7"/>
  </w:num>
  <w:num w:numId="33">
    <w:abstractNumId w:val="16"/>
  </w:num>
  <w:num w:numId="34">
    <w:abstractNumId w:val="38"/>
  </w:num>
  <w:num w:numId="35">
    <w:abstractNumId w:val="25"/>
  </w:num>
  <w:num w:numId="36">
    <w:abstractNumId w:val="21"/>
  </w:num>
  <w:num w:numId="37">
    <w:abstractNumId w:val="27"/>
  </w:num>
  <w:num w:numId="38">
    <w:abstractNumId w:val="34"/>
  </w:num>
  <w:num w:numId="39">
    <w:abstractNumId w:val="36"/>
  </w:num>
  <w:num w:numId="40">
    <w:abstractNumId w:val="14"/>
  </w:num>
  <w:num w:numId="41">
    <w:abstractNumId w:val="37"/>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65"/>
    <w:rsid w:val="000045AB"/>
    <w:rsid w:val="000055D8"/>
    <w:rsid w:val="000102F0"/>
    <w:rsid w:val="0001798A"/>
    <w:rsid w:val="00026251"/>
    <w:rsid w:val="00026DB1"/>
    <w:rsid w:val="00027C4E"/>
    <w:rsid w:val="000318F7"/>
    <w:rsid w:val="000335D9"/>
    <w:rsid w:val="00040188"/>
    <w:rsid w:val="000437D8"/>
    <w:rsid w:val="00047196"/>
    <w:rsid w:val="000553E4"/>
    <w:rsid w:val="00056053"/>
    <w:rsid w:val="000567AC"/>
    <w:rsid w:val="00057E88"/>
    <w:rsid w:val="000608C7"/>
    <w:rsid w:val="000629E4"/>
    <w:rsid w:val="00064D46"/>
    <w:rsid w:val="00067A36"/>
    <w:rsid w:val="00074D91"/>
    <w:rsid w:val="000773FC"/>
    <w:rsid w:val="000864EC"/>
    <w:rsid w:val="000909D8"/>
    <w:rsid w:val="000A294C"/>
    <w:rsid w:val="000A508C"/>
    <w:rsid w:val="000A632E"/>
    <w:rsid w:val="000B0490"/>
    <w:rsid w:val="000B05EF"/>
    <w:rsid w:val="000B352E"/>
    <w:rsid w:val="000B4174"/>
    <w:rsid w:val="000C3E57"/>
    <w:rsid w:val="000D0A43"/>
    <w:rsid w:val="000D1628"/>
    <w:rsid w:val="000D4620"/>
    <w:rsid w:val="000D4A99"/>
    <w:rsid w:val="000D6E89"/>
    <w:rsid w:val="000E1318"/>
    <w:rsid w:val="000E3B33"/>
    <w:rsid w:val="00107970"/>
    <w:rsid w:val="0011301A"/>
    <w:rsid w:val="001155DD"/>
    <w:rsid w:val="00123DFF"/>
    <w:rsid w:val="00124ECA"/>
    <w:rsid w:val="00125BDE"/>
    <w:rsid w:val="00137541"/>
    <w:rsid w:val="0013785C"/>
    <w:rsid w:val="001508F9"/>
    <w:rsid w:val="001516FA"/>
    <w:rsid w:val="001523DD"/>
    <w:rsid w:val="0015420F"/>
    <w:rsid w:val="0015540C"/>
    <w:rsid w:val="001679FF"/>
    <w:rsid w:val="00172335"/>
    <w:rsid w:val="00172FA5"/>
    <w:rsid w:val="00173769"/>
    <w:rsid w:val="0017416C"/>
    <w:rsid w:val="0017733C"/>
    <w:rsid w:val="00191475"/>
    <w:rsid w:val="001A1877"/>
    <w:rsid w:val="001B7C69"/>
    <w:rsid w:val="001C2F38"/>
    <w:rsid w:val="001C4DD2"/>
    <w:rsid w:val="001C67D8"/>
    <w:rsid w:val="001C6955"/>
    <w:rsid w:val="001C7002"/>
    <w:rsid w:val="001D0B17"/>
    <w:rsid w:val="001D7212"/>
    <w:rsid w:val="001E0A54"/>
    <w:rsid w:val="001E328C"/>
    <w:rsid w:val="001E3350"/>
    <w:rsid w:val="001F45AC"/>
    <w:rsid w:val="001F6AFC"/>
    <w:rsid w:val="00220A7E"/>
    <w:rsid w:val="00223100"/>
    <w:rsid w:val="0022760D"/>
    <w:rsid w:val="00227D3F"/>
    <w:rsid w:val="002358E5"/>
    <w:rsid w:val="00243375"/>
    <w:rsid w:val="00250106"/>
    <w:rsid w:val="002543C2"/>
    <w:rsid w:val="00254940"/>
    <w:rsid w:val="00255F78"/>
    <w:rsid w:val="00261CA2"/>
    <w:rsid w:val="002715EB"/>
    <w:rsid w:val="00272C70"/>
    <w:rsid w:val="0027553B"/>
    <w:rsid w:val="00277178"/>
    <w:rsid w:val="00281B7D"/>
    <w:rsid w:val="00295D71"/>
    <w:rsid w:val="002A0A38"/>
    <w:rsid w:val="002A5C3E"/>
    <w:rsid w:val="002B016E"/>
    <w:rsid w:val="002B39B1"/>
    <w:rsid w:val="002B45A7"/>
    <w:rsid w:val="002B7B9B"/>
    <w:rsid w:val="002C1506"/>
    <w:rsid w:val="002C362F"/>
    <w:rsid w:val="002C5466"/>
    <w:rsid w:val="002D0519"/>
    <w:rsid w:val="002D40D4"/>
    <w:rsid w:val="002D4555"/>
    <w:rsid w:val="002E3968"/>
    <w:rsid w:val="002E6921"/>
    <w:rsid w:val="002E6AE4"/>
    <w:rsid w:val="002F70F5"/>
    <w:rsid w:val="002F7182"/>
    <w:rsid w:val="00300B84"/>
    <w:rsid w:val="00300C0A"/>
    <w:rsid w:val="00301EAD"/>
    <w:rsid w:val="00306A62"/>
    <w:rsid w:val="003115C3"/>
    <w:rsid w:val="00314A8C"/>
    <w:rsid w:val="003214D5"/>
    <w:rsid w:val="003220E3"/>
    <w:rsid w:val="00334997"/>
    <w:rsid w:val="0033546A"/>
    <w:rsid w:val="0034227B"/>
    <w:rsid w:val="00353280"/>
    <w:rsid w:val="00356581"/>
    <w:rsid w:val="00360A5D"/>
    <w:rsid w:val="003714D2"/>
    <w:rsid w:val="00371F04"/>
    <w:rsid w:val="00376DA3"/>
    <w:rsid w:val="003829BB"/>
    <w:rsid w:val="00387220"/>
    <w:rsid w:val="00387613"/>
    <w:rsid w:val="00393C5D"/>
    <w:rsid w:val="003979CF"/>
    <w:rsid w:val="003A1432"/>
    <w:rsid w:val="003A1935"/>
    <w:rsid w:val="003B2938"/>
    <w:rsid w:val="003B6AA7"/>
    <w:rsid w:val="003C0BF8"/>
    <w:rsid w:val="003C37BC"/>
    <w:rsid w:val="003C49B9"/>
    <w:rsid w:val="003C4FA3"/>
    <w:rsid w:val="003D0668"/>
    <w:rsid w:val="003D4B4C"/>
    <w:rsid w:val="003D51AB"/>
    <w:rsid w:val="003E0E11"/>
    <w:rsid w:val="003E5029"/>
    <w:rsid w:val="003E509A"/>
    <w:rsid w:val="003F0683"/>
    <w:rsid w:val="00407B55"/>
    <w:rsid w:val="004120E9"/>
    <w:rsid w:val="00413FA7"/>
    <w:rsid w:val="004169B3"/>
    <w:rsid w:val="00432677"/>
    <w:rsid w:val="00434EAC"/>
    <w:rsid w:val="00435D0B"/>
    <w:rsid w:val="0044167A"/>
    <w:rsid w:val="0044236D"/>
    <w:rsid w:val="0045255C"/>
    <w:rsid w:val="0045293A"/>
    <w:rsid w:val="00454D59"/>
    <w:rsid w:val="00455E52"/>
    <w:rsid w:val="00457829"/>
    <w:rsid w:val="00461CD1"/>
    <w:rsid w:val="00463C89"/>
    <w:rsid w:val="00464E18"/>
    <w:rsid w:val="004732EA"/>
    <w:rsid w:val="00474371"/>
    <w:rsid w:val="00476FDF"/>
    <w:rsid w:val="0048061A"/>
    <w:rsid w:val="00482C13"/>
    <w:rsid w:val="00492753"/>
    <w:rsid w:val="004A2B2A"/>
    <w:rsid w:val="004A2C5B"/>
    <w:rsid w:val="004B69A2"/>
    <w:rsid w:val="004C3CE0"/>
    <w:rsid w:val="004C63B4"/>
    <w:rsid w:val="004C6FB9"/>
    <w:rsid w:val="004D1EA5"/>
    <w:rsid w:val="004D264D"/>
    <w:rsid w:val="004D6429"/>
    <w:rsid w:val="004D71D8"/>
    <w:rsid w:val="004E1094"/>
    <w:rsid w:val="004E1876"/>
    <w:rsid w:val="004E3285"/>
    <w:rsid w:val="004E45DF"/>
    <w:rsid w:val="004E7FD6"/>
    <w:rsid w:val="004F0988"/>
    <w:rsid w:val="004F1BB9"/>
    <w:rsid w:val="004F734C"/>
    <w:rsid w:val="004F74FC"/>
    <w:rsid w:val="004F7A8C"/>
    <w:rsid w:val="00500A7D"/>
    <w:rsid w:val="00505918"/>
    <w:rsid w:val="0051175B"/>
    <w:rsid w:val="0051685C"/>
    <w:rsid w:val="00517504"/>
    <w:rsid w:val="005233B0"/>
    <w:rsid w:val="00523FC1"/>
    <w:rsid w:val="005262D0"/>
    <w:rsid w:val="005276F3"/>
    <w:rsid w:val="005321DA"/>
    <w:rsid w:val="00532BAD"/>
    <w:rsid w:val="0054310E"/>
    <w:rsid w:val="00547742"/>
    <w:rsid w:val="005531ED"/>
    <w:rsid w:val="0055414B"/>
    <w:rsid w:val="00570897"/>
    <w:rsid w:val="0057205B"/>
    <w:rsid w:val="00577828"/>
    <w:rsid w:val="00587634"/>
    <w:rsid w:val="0059274E"/>
    <w:rsid w:val="00592B4F"/>
    <w:rsid w:val="00593FE5"/>
    <w:rsid w:val="005A0E9A"/>
    <w:rsid w:val="005A1BE8"/>
    <w:rsid w:val="005A3982"/>
    <w:rsid w:val="005A579E"/>
    <w:rsid w:val="005B47FF"/>
    <w:rsid w:val="005B6BAB"/>
    <w:rsid w:val="005C171C"/>
    <w:rsid w:val="005C550D"/>
    <w:rsid w:val="005D0D48"/>
    <w:rsid w:val="005E0361"/>
    <w:rsid w:val="005E0EFF"/>
    <w:rsid w:val="005E67DF"/>
    <w:rsid w:val="005F2AA5"/>
    <w:rsid w:val="005F30A1"/>
    <w:rsid w:val="005F3E44"/>
    <w:rsid w:val="005F6644"/>
    <w:rsid w:val="00604241"/>
    <w:rsid w:val="00604D7E"/>
    <w:rsid w:val="006054B8"/>
    <w:rsid w:val="0060657D"/>
    <w:rsid w:val="00614539"/>
    <w:rsid w:val="00617B63"/>
    <w:rsid w:val="0062010B"/>
    <w:rsid w:val="00620B88"/>
    <w:rsid w:val="00620BCD"/>
    <w:rsid w:val="00622EAC"/>
    <w:rsid w:val="0062353C"/>
    <w:rsid w:val="00623737"/>
    <w:rsid w:val="0062380E"/>
    <w:rsid w:val="0063777B"/>
    <w:rsid w:val="00643FD1"/>
    <w:rsid w:val="00646A30"/>
    <w:rsid w:val="00653A23"/>
    <w:rsid w:val="00654799"/>
    <w:rsid w:val="006554D0"/>
    <w:rsid w:val="0065687A"/>
    <w:rsid w:val="00656ABE"/>
    <w:rsid w:val="00666EB8"/>
    <w:rsid w:val="0067661B"/>
    <w:rsid w:val="00677CD0"/>
    <w:rsid w:val="006809DC"/>
    <w:rsid w:val="0068130A"/>
    <w:rsid w:val="00682B02"/>
    <w:rsid w:val="006A169A"/>
    <w:rsid w:val="006A1E06"/>
    <w:rsid w:val="006B00AC"/>
    <w:rsid w:val="006B48E1"/>
    <w:rsid w:val="006B6CF2"/>
    <w:rsid w:val="006C01CC"/>
    <w:rsid w:val="006C1832"/>
    <w:rsid w:val="006C1922"/>
    <w:rsid w:val="006C26A9"/>
    <w:rsid w:val="006C3482"/>
    <w:rsid w:val="006C67B4"/>
    <w:rsid w:val="006C68D6"/>
    <w:rsid w:val="006E2C71"/>
    <w:rsid w:val="006E4E5E"/>
    <w:rsid w:val="006E5E14"/>
    <w:rsid w:val="006E5F8C"/>
    <w:rsid w:val="006F46D3"/>
    <w:rsid w:val="006F573A"/>
    <w:rsid w:val="006F7211"/>
    <w:rsid w:val="00702191"/>
    <w:rsid w:val="00705D65"/>
    <w:rsid w:val="00715E1B"/>
    <w:rsid w:val="007212D3"/>
    <w:rsid w:val="00735646"/>
    <w:rsid w:val="00735B45"/>
    <w:rsid w:val="007366E2"/>
    <w:rsid w:val="0074423D"/>
    <w:rsid w:val="00745909"/>
    <w:rsid w:val="00745CB1"/>
    <w:rsid w:val="007476D3"/>
    <w:rsid w:val="00747A97"/>
    <w:rsid w:val="00751592"/>
    <w:rsid w:val="0075189A"/>
    <w:rsid w:val="007536E5"/>
    <w:rsid w:val="007810A9"/>
    <w:rsid w:val="00781A5E"/>
    <w:rsid w:val="00782322"/>
    <w:rsid w:val="00782A64"/>
    <w:rsid w:val="007938A8"/>
    <w:rsid w:val="00793D62"/>
    <w:rsid w:val="007961ED"/>
    <w:rsid w:val="007B0A28"/>
    <w:rsid w:val="007B359C"/>
    <w:rsid w:val="007B7E9C"/>
    <w:rsid w:val="007C1CB4"/>
    <w:rsid w:val="007C5425"/>
    <w:rsid w:val="007C5579"/>
    <w:rsid w:val="007C62A9"/>
    <w:rsid w:val="007D3DD9"/>
    <w:rsid w:val="007E0B40"/>
    <w:rsid w:val="007E4018"/>
    <w:rsid w:val="007E7DEB"/>
    <w:rsid w:val="007F03D3"/>
    <w:rsid w:val="007F2BF3"/>
    <w:rsid w:val="007F43D1"/>
    <w:rsid w:val="007F5264"/>
    <w:rsid w:val="008012C6"/>
    <w:rsid w:val="00801DA5"/>
    <w:rsid w:val="008027CE"/>
    <w:rsid w:val="008045A1"/>
    <w:rsid w:val="008153C4"/>
    <w:rsid w:val="00815FCF"/>
    <w:rsid w:val="008163F5"/>
    <w:rsid w:val="0081737C"/>
    <w:rsid w:val="00824E7F"/>
    <w:rsid w:val="00833EA2"/>
    <w:rsid w:val="008356C4"/>
    <w:rsid w:val="00840A5F"/>
    <w:rsid w:val="0084478C"/>
    <w:rsid w:val="00851800"/>
    <w:rsid w:val="00852E74"/>
    <w:rsid w:val="00853522"/>
    <w:rsid w:val="00853879"/>
    <w:rsid w:val="00853B03"/>
    <w:rsid w:val="00853D12"/>
    <w:rsid w:val="00855091"/>
    <w:rsid w:val="00856620"/>
    <w:rsid w:val="0085743A"/>
    <w:rsid w:val="00862500"/>
    <w:rsid w:val="00863887"/>
    <w:rsid w:val="00870EF3"/>
    <w:rsid w:val="0087302F"/>
    <w:rsid w:val="00874E85"/>
    <w:rsid w:val="008755AA"/>
    <w:rsid w:val="00876D65"/>
    <w:rsid w:val="00885CCC"/>
    <w:rsid w:val="00885E8E"/>
    <w:rsid w:val="00893C55"/>
    <w:rsid w:val="00894D6B"/>
    <w:rsid w:val="00896E42"/>
    <w:rsid w:val="008A1C8A"/>
    <w:rsid w:val="008A6A12"/>
    <w:rsid w:val="008B3AB0"/>
    <w:rsid w:val="008B465A"/>
    <w:rsid w:val="008B6C3A"/>
    <w:rsid w:val="008B7971"/>
    <w:rsid w:val="008C2709"/>
    <w:rsid w:val="008C4314"/>
    <w:rsid w:val="008D2214"/>
    <w:rsid w:val="008D734D"/>
    <w:rsid w:val="008E33F2"/>
    <w:rsid w:val="008E52BB"/>
    <w:rsid w:val="008E71EA"/>
    <w:rsid w:val="008E7742"/>
    <w:rsid w:val="008F6338"/>
    <w:rsid w:val="008F772B"/>
    <w:rsid w:val="00902DF1"/>
    <w:rsid w:val="00906832"/>
    <w:rsid w:val="00907903"/>
    <w:rsid w:val="009210ED"/>
    <w:rsid w:val="009243E0"/>
    <w:rsid w:val="00925468"/>
    <w:rsid w:val="00932A9A"/>
    <w:rsid w:val="00936DE1"/>
    <w:rsid w:val="0094095E"/>
    <w:rsid w:val="00946711"/>
    <w:rsid w:val="00947535"/>
    <w:rsid w:val="0095410E"/>
    <w:rsid w:val="009642CC"/>
    <w:rsid w:val="00964B8E"/>
    <w:rsid w:val="00970006"/>
    <w:rsid w:val="00973163"/>
    <w:rsid w:val="00984B21"/>
    <w:rsid w:val="009A1677"/>
    <w:rsid w:val="009A2C2C"/>
    <w:rsid w:val="009A2E55"/>
    <w:rsid w:val="009B149E"/>
    <w:rsid w:val="009B2818"/>
    <w:rsid w:val="009B72A4"/>
    <w:rsid w:val="009C218A"/>
    <w:rsid w:val="009C2EBE"/>
    <w:rsid w:val="009C5594"/>
    <w:rsid w:val="009C5B5D"/>
    <w:rsid w:val="009D0391"/>
    <w:rsid w:val="009D1868"/>
    <w:rsid w:val="009D291C"/>
    <w:rsid w:val="009D79C5"/>
    <w:rsid w:val="009E0E89"/>
    <w:rsid w:val="009E38AF"/>
    <w:rsid w:val="009E799D"/>
    <w:rsid w:val="009F2150"/>
    <w:rsid w:val="009F47F6"/>
    <w:rsid w:val="009F4F9D"/>
    <w:rsid w:val="009F5A90"/>
    <w:rsid w:val="009F5BA5"/>
    <w:rsid w:val="00A0168D"/>
    <w:rsid w:val="00A063E6"/>
    <w:rsid w:val="00A13F07"/>
    <w:rsid w:val="00A1663A"/>
    <w:rsid w:val="00A212B9"/>
    <w:rsid w:val="00A21C19"/>
    <w:rsid w:val="00A25516"/>
    <w:rsid w:val="00A30220"/>
    <w:rsid w:val="00A4075E"/>
    <w:rsid w:val="00A43473"/>
    <w:rsid w:val="00A4517D"/>
    <w:rsid w:val="00A4751B"/>
    <w:rsid w:val="00A51CB4"/>
    <w:rsid w:val="00A55EF1"/>
    <w:rsid w:val="00A5691E"/>
    <w:rsid w:val="00A60DD7"/>
    <w:rsid w:val="00A61178"/>
    <w:rsid w:val="00A629B1"/>
    <w:rsid w:val="00A6390D"/>
    <w:rsid w:val="00A66679"/>
    <w:rsid w:val="00A713DE"/>
    <w:rsid w:val="00A8220B"/>
    <w:rsid w:val="00A8288A"/>
    <w:rsid w:val="00A8358D"/>
    <w:rsid w:val="00A855DC"/>
    <w:rsid w:val="00A870C2"/>
    <w:rsid w:val="00A91503"/>
    <w:rsid w:val="00A91914"/>
    <w:rsid w:val="00A93F85"/>
    <w:rsid w:val="00A9498C"/>
    <w:rsid w:val="00A951C5"/>
    <w:rsid w:val="00A96E2A"/>
    <w:rsid w:val="00AA59B2"/>
    <w:rsid w:val="00AA6669"/>
    <w:rsid w:val="00AB4458"/>
    <w:rsid w:val="00AB6F76"/>
    <w:rsid w:val="00AC1335"/>
    <w:rsid w:val="00AC14AD"/>
    <w:rsid w:val="00AC1E04"/>
    <w:rsid w:val="00AC32DE"/>
    <w:rsid w:val="00AD2F05"/>
    <w:rsid w:val="00AD41D0"/>
    <w:rsid w:val="00AE0BBC"/>
    <w:rsid w:val="00AE189C"/>
    <w:rsid w:val="00AE6D0C"/>
    <w:rsid w:val="00AF3457"/>
    <w:rsid w:val="00B07638"/>
    <w:rsid w:val="00B101A4"/>
    <w:rsid w:val="00B155E7"/>
    <w:rsid w:val="00B15A66"/>
    <w:rsid w:val="00B216B5"/>
    <w:rsid w:val="00B2389A"/>
    <w:rsid w:val="00B319A8"/>
    <w:rsid w:val="00B4162D"/>
    <w:rsid w:val="00B45647"/>
    <w:rsid w:val="00B47830"/>
    <w:rsid w:val="00B47C33"/>
    <w:rsid w:val="00B506C7"/>
    <w:rsid w:val="00B53121"/>
    <w:rsid w:val="00B62A4D"/>
    <w:rsid w:val="00B70971"/>
    <w:rsid w:val="00B73A4A"/>
    <w:rsid w:val="00B75189"/>
    <w:rsid w:val="00B76346"/>
    <w:rsid w:val="00B86408"/>
    <w:rsid w:val="00B87ED0"/>
    <w:rsid w:val="00B94871"/>
    <w:rsid w:val="00BA5A17"/>
    <w:rsid w:val="00BA67CB"/>
    <w:rsid w:val="00BB35E0"/>
    <w:rsid w:val="00BB4114"/>
    <w:rsid w:val="00BC0D2A"/>
    <w:rsid w:val="00BC1304"/>
    <w:rsid w:val="00BC35A5"/>
    <w:rsid w:val="00BC3959"/>
    <w:rsid w:val="00BC4D0B"/>
    <w:rsid w:val="00BC4E7C"/>
    <w:rsid w:val="00BD331E"/>
    <w:rsid w:val="00BD51CA"/>
    <w:rsid w:val="00BE4F89"/>
    <w:rsid w:val="00BF0615"/>
    <w:rsid w:val="00BF4C35"/>
    <w:rsid w:val="00C03C83"/>
    <w:rsid w:val="00C05ADA"/>
    <w:rsid w:val="00C0698D"/>
    <w:rsid w:val="00C150B2"/>
    <w:rsid w:val="00C17969"/>
    <w:rsid w:val="00C213B3"/>
    <w:rsid w:val="00C25430"/>
    <w:rsid w:val="00C25C6D"/>
    <w:rsid w:val="00C26039"/>
    <w:rsid w:val="00C30FA3"/>
    <w:rsid w:val="00C34E9C"/>
    <w:rsid w:val="00C36DA8"/>
    <w:rsid w:val="00C41E10"/>
    <w:rsid w:val="00C441FD"/>
    <w:rsid w:val="00C540A6"/>
    <w:rsid w:val="00C6154F"/>
    <w:rsid w:val="00C65479"/>
    <w:rsid w:val="00C66C08"/>
    <w:rsid w:val="00C6791E"/>
    <w:rsid w:val="00C70B33"/>
    <w:rsid w:val="00C72D23"/>
    <w:rsid w:val="00C76CA5"/>
    <w:rsid w:val="00C82F90"/>
    <w:rsid w:val="00C85B0C"/>
    <w:rsid w:val="00C86EAE"/>
    <w:rsid w:val="00C91415"/>
    <w:rsid w:val="00C93DE1"/>
    <w:rsid w:val="00C96BE9"/>
    <w:rsid w:val="00C979D6"/>
    <w:rsid w:val="00CA55B0"/>
    <w:rsid w:val="00CA646E"/>
    <w:rsid w:val="00CB0AA4"/>
    <w:rsid w:val="00CB4944"/>
    <w:rsid w:val="00CC1197"/>
    <w:rsid w:val="00CC1259"/>
    <w:rsid w:val="00CC455D"/>
    <w:rsid w:val="00CC6402"/>
    <w:rsid w:val="00CC79B2"/>
    <w:rsid w:val="00CD006C"/>
    <w:rsid w:val="00CD4D7A"/>
    <w:rsid w:val="00CD54B7"/>
    <w:rsid w:val="00CD6231"/>
    <w:rsid w:val="00CE3010"/>
    <w:rsid w:val="00CE5403"/>
    <w:rsid w:val="00CF409C"/>
    <w:rsid w:val="00D003A5"/>
    <w:rsid w:val="00D004C3"/>
    <w:rsid w:val="00D04DFA"/>
    <w:rsid w:val="00D11306"/>
    <w:rsid w:val="00D1175B"/>
    <w:rsid w:val="00D11DEA"/>
    <w:rsid w:val="00D148B1"/>
    <w:rsid w:val="00D14E6B"/>
    <w:rsid w:val="00D26408"/>
    <w:rsid w:val="00D2739C"/>
    <w:rsid w:val="00D33FE9"/>
    <w:rsid w:val="00D37019"/>
    <w:rsid w:val="00D426FA"/>
    <w:rsid w:val="00D430E5"/>
    <w:rsid w:val="00D43F46"/>
    <w:rsid w:val="00D45449"/>
    <w:rsid w:val="00D462F3"/>
    <w:rsid w:val="00D62847"/>
    <w:rsid w:val="00D62924"/>
    <w:rsid w:val="00D71110"/>
    <w:rsid w:val="00D7397F"/>
    <w:rsid w:val="00D74884"/>
    <w:rsid w:val="00D833C7"/>
    <w:rsid w:val="00D845CC"/>
    <w:rsid w:val="00D85376"/>
    <w:rsid w:val="00D9302C"/>
    <w:rsid w:val="00D938E5"/>
    <w:rsid w:val="00D941C4"/>
    <w:rsid w:val="00D964FF"/>
    <w:rsid w:val="00DB229E"/>
    <w:rsid w:val="00DB31AB"/>
    <w:rsid w:val="00DB4A88"/>
    <w:rsid w:val="00DB5674"/>
    <w:rsid w:val="00DC0016"/>
    <w:rsid w:val="00DC083B"/>
    <w:rsid w:val="00DD3492"/>
    <w:rsid w:val="00DD4701"/>
    <w:rsid w:val="00DF270A"/>
    <w:rsid w:val="00DF5AB6"/>
    <w:rsid w:val="00DF7DDA"/>
    <w:rsid w:val="00E02AA2"/>
    <w:rsid w:val="00E05C38"/>
    <w:rsid w:val="00E06DAD"/>
    <w:rsid w:val="00E07777"/>
    <w:rsid w:val="00E07A42"/>
    <w:rsid w:val="00E112F4"/>
    <w:rsid w:val="00E14FE5"/>
    <w:rsid w:val="00E150E6"/>
    <w:rsid w:val="00E15B5A"/>
    <w:rsid w:val="00E1724F"/>
    <w:rsid w:val="00E218DA"/>
    <w:rsid w:val="00E326C4"/>
    <w:rsid w:val="00E3523F"/>
    <w:rsid w:val="00E35EF8"/>
    <w:rsid w:val="00E36AD6"/>
    <w:rsid w:val="00E36D13"/>
    <w:rsid w:val="00E4267C"/>
    <w:rsid w:val="00E56419"/>
    <w:rsid w:val="00E61833"/>
    <w:rsid w:val="00E643A6"/>
    <w:rsid w:val="00E700C0"/>
    <w:rsid w:val="00E71627"/>
    <w:rsid w:val="00E751CE"/>
    <w:rsid w:val="00E76600"/>
    <w:rsid w:val="00E809E8"/>
    <w:rsid w:val="00E8266B"/>
    <w:rsid w:val="00E836F2"/>
    <w:rsid w:val="00E844A5"/>
    <w:rsid w:val="00E91575"/>
    <w:rsid w:val="00E9241F"/>
    <w:rsid w:val="00E95660"/>
    <w:rsid w:val="00E96095"/>
    <w:rsid w:val="00EA456A"/>
    <w:rsid w:val="00EA50B4"/>
    <w:rsid w:val="00EA58DF"/>
    <w:rsid w:val="00EA713B"/>
    <w:rsid w:val="00EA73BA"/>
    <w:rsid w:val="00EA7525"/>
    <w:rsid w:val="00EA7A60"/>
    <w:rsid w:val="00EB1182"/>
    <w:rsid w:val="00EB1685"/>
    <w:rsid w:val="00EB1732"/>
    <w:rsid w:val="00EB344D"/>
    <w:rsid w:val="00EB4340"/>
    <w:rsid w:val="00EB5897"/>
    <w:rsid w:val="00EB64B2"/>
    <w:rsid w:val="00EC4C9D"/>
    <w:rsid w:val="00EC7922"/>
    <w:rsid w:val="00ED14E7"/>
    <w:rsid w:val="00ED72BC"/>
    <w:rsid w:val="00ED7D26"/>
    <w:rsid w:val="00EE6D7F"/>
    <w:rsid w:val="00EF195F"/>
    <w:rsid w:val="00EF48EF"/>
    <w:rsid w:val="00EF7A51"/>
    <w:rsid w:val="00F01232"/>
    <w:rsid w:val="00F04785"/>
    <w:rsid w:val="00F17609"/>
    <w:rsid w:val="00F23495"/>
    <w:rsid w:val="00F24F14"/>
    <w:rsid w:val="00F25C8A"/>
    <w:rsid w:val="00F272AC"/>
    <w:rsid w:val="00F276B1"/>
    <w:rsid w:val="00F544AB"/>
    <w:rsid w:val="00F6548C"/>
    <w:rsid w:val="00F6588E"/>
    <w:rsid w:val="00F675D5"/>
    <w:rsid w:val="00F72998"/>
    <w:rsid w:val="00F811E6"/>
    <w:rsid w:val="00F814B0"/>
    <w:rsid w:val="00F81A37"/>
    <w:rsid w:val="00F82F64"/>
    <w:rsid w:val="00F87964"/>
    <w:rsid w:val="00F915F6"/>
    <w:rsid w:val="00F91747"/>
    <w:rsid w:val="00F9176D"/>
    <w:rsid w:val="00F9738E"/>
    <w:rsid w:val="00FA3A74"/>
    <w:rsid w:val="00FA4C9C"/>
    <w:rsid w:val="00FC0466"/>
    <w:rsid w:val="00FC1BEB"/>
    <w:rsid w:val="00FC601A"/>
    <w:rsid w:val="00FC632D"/>
    <w:rsid w:val="00FD304D"/>
    <w:rsid w:val="00FE1B08"/>
    <w:rsid w:val="00FE3B6B"/>
    <w:rsid w:val="00FE6A64"/>
    <w:rsid w:val="00FF1D1C"/>
    <w:rsid w:val="00FF7251"/>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7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28"/>
    <w:rPr>
      <w:sz w:val="24"/>
      <w:szCs w:val="24"/>
    </w:rPr>
  </w:style>
  <w:style w:type="paragraph" w:styleId="Heading1">
    <w:name w:val="heading 1"/>
    <w:basedOn w:val="Normal"/>
    <w:next w:val="Normal"/>
    <w:link w:val="Heading1Char"/>
    <w:qFormat/>
    <w:rsid w:val="000D1628"/>
    <w:pPr>
      <w:keepNext/>
      <w:outlineLvl w:val="0"/>
    </w:pPr>
    <w:rPr>
      <w:rFonts w:ascii="Arial Narrow" w:hAnsi="Arial Narrow"/>
      <w:u w:val="single"/>
    </w:rPr>
  </w:style>
  <w:style w:type="paragraph" w:styleId="Heading2">
    <w:name w:val="heading 2"/>
    <w:basedOn w:val="Normal"/>
    <w:next w:val="Normal"/>
    <w:link w:val="Heading2Char"/>
    <w:qFormat/>
    <w:rsid w:val="0085509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semiHidden/>
    <w:rsid w:val="00E9241F"/>
    <w:rPr>
      <w:sz w:val="20"/>
      <w:szCs w:val="20"/>
    </w:rPr>
  </w:style>
  <w:style w:type="character" w:styleId="FootnoteReference">
    <w:name w:val="footnote reference"/>
    <w:basedOn w:val="DefaultParagraphFont"/>
    <w:semiHidden/>
    <w:rsid w:val="00E9241F"/>
    <w:rPr>
      <w:vertAlign w:val="superscript"/>
    </w:rPr>
  </w:style>
  <w:style w:type="character" w:styleId="Hyperlink">
    <w:name w:val="Hyperlink"/>
    <w:basedOn w:val="DefaultParagraphFont"/>
    <w:rsid w:val="007961ED"/>
    <w:rPr>
      <w:color w:val="0000FF"/>
      <w:u w:val="single"/>
    </w:rPr>
  </w:style>
  <w:style w:type="paragraph" w:styleId="BodyText">
    <w:name w:val="Body Text"/>
    <w:basedOn w:val="Normal"/>
    <w:link w:val="BodyTextChar"/>
    <w:rsid w:val="00FE6A64"/>
    <w:rPr>
      <w:sz w:val="22"/>
    </w:rPr>
  </w:style>
  <w:style w:type="character" w:customStyle="1" w:styleId="BodyTextChar">
    <w:name w:val="Body Text Char"/>
    <w:basedOn w:val="DefaultParagraphFont"/>
    <w:link w:val="BodyText"/>
    <w:rsid w:val="00FE6A64"/>
    <w:rPr>
      <w:sz w:val="22"/>
      <w:szCs w:val="24"/>
    </w:rPr>
  </w:style>
  <w:style w:type="paragraph" w:styleId="NoSpacing">
    <w:name w:val="No Spacing"/>
    <w:uiPriority w:val="1"/>
    <w:qFormat/>
    <w:rsid w:val="00FE6A64"/>
    <w:rPr>
      <w:sz w:val="24"/>
      <w:szCs w:val="24"/>
    </w:rPr>
  </w:style>
  <w:style w:type="character" w:styleId="CommentReference">
    <w:name w:val="annotation reference"/>
    <w:basedOn w:val="DefaultParagraphFont"/>
    <w:uiPriority w:val="99"/>
    <w:semiHidden/>
    <w:unhideWhenUsed/>
    <w:rsid w:val="00E700C0"/>
    <w:rPr>
      <w:sz w:val="16"/>
      <w:szCs w:val="16"/>
    </w:rPr>
  </w:style>
  <w:style w:type="paragraph" w:styleId="CommentText">
    <w:name w:val="annotation text"/>
    <w:basedOn w:val="Normal"/>
    <w:link w:val="CommentTextChar"/>
    <w:uiPriority w:val="99"/>
    <w:unhideWhenUsed/>
    <w:rsid w:val="00E700C0"/>
    <w:rPr>
      <w:sz w:val="20"/>
      <w:szCs w:val="20"/>
    </w:rPr>
  </w:style>
  <w:style w:type="character" w:customStyle="1" w:styleId="CommentTextChar">
    <w:name w:val="Comment Text Char"/>
    <w:basedOn w:val="DefaultParagraphFont"/>
    <w:link w:val="CommentText"/>
    <w:uiPriority w:val="99"/>
    <w:rsid w:val="00E700C0"/>
  </w:style>
  <w:style w:type="paragraph" w:styleId="CommentSubject">
    <w:name w:val="annotation subject"/>
    <w:basedOn w:val="CommentText"/>
    <w:next w:val="CommentText"/>
    <w:link w:val="CommentSubjectChar"/>
    <w:uiPriority w:val="99"/>
    <w:semiHidden/>
    <w:unhideWhenUsed/>
    <w:rsid w:val="00E700C0"/>
    <w:rPr>
      <w:b/>
      <w:bCs/>
    </w:rPr>
  </w:style>
  <w:style w:type="character" w:customStyle="1" w:styleId="CommentSubjectChar">
    <w:name w:val="Comment Subject Char"/>
    <w:basedOn w:val="CommentTextChar"/>
    <w:link w:val="CommentSubject"/>
    <w:uiPriority w:val="99"/>
    <w:semiHidden/>
    <w:rsid w:val="00E700C0"/>
    <w:rPr>
      <w:b/>
      <w:bCs/>
    </w:rPr>
  </w:style>
  <w:style w:type="paragraph" w:styleId="ListParagraph">
    <w:name w:val="List Paragraph"/>
    <w:basedOn w:val="Normal"/>
    <w:uiPriority w:val="34"/>
    <w:qFormat/>
    <w:rsid w:val="000B352E"/>
    <w:pPr>
      <w:ind w:left="720"/>
    </w:pPr>
    <w:rPr>
      <w:rFonts w:ascii="Calibri" w:eastAsia="Calibri" w:hAnsi="Calibri" w:cs="Calibri"/>
    </w:rPr>
  </w:style>
  <w:style w:type="table" w:styleId="TableGrid">
    <w:name w:val="Table Grid"/>
    <w:basedOn w:val="TableNormal"/>
    <w:uiPriority w:val="59"/>
    <w:rsid w:val="000B352E"/>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0988"/>
    <w:rPr>
      <w:sz w:val="24"/>
      <w:szCs w:val="24"/>
    </w:rPr>
  </w:style>
  <w:style w:type="character" w:customStyle="1" w:styleId="Heading1Char">
    <w:name w:val="Heading 1 Char"/>
    <w:basedOn w:val="DefaultParagraphFont"/>
    <w:link w:val="Heading1"/>
    <w:rsid w:val="000D1628"/>
    <w:rPr>
      <w:rFonts w:ascii="Arial Narrow" w:hAnsi="Arial Narrow"/>
      <w:sz w:val="24"/>
      <w:szCs w:val="24"/>
      <w:u w:val="single"/>
    </w:rPr>
  </w:style>
  <w:style w:type="character" w:customStyle="1" w:styleId="Heading2Char">
    <w:name w:val="Heading 2 Char"/>
    <w:basedOn w:val="DefaultParagraphFont"/>
    <w:link w:val="Heading2"/>
    <w:rsid w:val="00855091"/>
    <w:rPr>
      <w:rFonts w:ascii="Arial" w:hAnsi="Arial" w:cs="Arial"/>
      <w:b/>
      <w:bCs/>
      <w:i/>
      <w:iCs/>
      <w:sz w:val="28"/>
      <w:szCs w:val="28"/>
    </w:rPr>
  </w:style>
  <w:style w:type="paragraph" w:styleId="BodyText3">
    <w:name w:val="Body Text 3"/>
    <w:basedOn w:val="Normal"/>
    <w:link w:val="BodyText3Char"/>
    <w:rsid w:val="00855091"/>
    <w:pPr>
      <w:spacing w:after="120"/>
    </w:pPr>
    <w:rPr>
      <w:sz w:val="16"/>
      <w:szCs w:val="16"/>
    </w:rPr>
  </w:style>
  <w:style w:type="character" w:customStyle="1" w:styleId="BodyText3Char">
    <w:name w:val="Body Text 3 Char"/>
    <w:basedOn w:val="DefaultParagraphFont"/>
    <w:link w:val="BodyText3"/>
    <w:rsid w:val="00855091"/>
    <w:rPr>
      <w:sz w:val="16"/>
      <w:szCs w:val="16"/>
    </w:rPr>
  </w:style>
  <w:style w:type="character" w:customStyle="1" w:styleId="HeaderChar">
    <w:name w:val="Header Char"/>
    <w:basedOn w:val="DefaultParagraphFont"/>
    <w:link w:val="Header"/>
    <w:uiPriority w:val="99"/>
    <w:rsid w:val="00A4517D"/>
    <w:rPr>
      <w:snapToGrid w:val="0"/>
      <w:sz w:val="24"/>
    </w:rPr>
  </w:style>
  <w:style w:type="character" w:customStyle="1" w:styleId="FooterChar">
    <w:name w:val="Footer Char"/>
    <w:basedOn w:val="DefaultParagraphFont"/>
    <w:link w:val="Footer"/>
    <w:uiPriority w:val="99"/>
    <w:rsid w:val="004E109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28"/>
    <w:rPr>
      <w:sz w:val="24"/>
      <w:szCs w:val="24"/>
    </w:rPr>
  </w:style>
  <w:style w:type="paragraph" w:styleId="Heading1">
    <w:name w:val="heading 1"/>
    <w:basedOn w:val="Normal"/>
    <w:next w:val="Normal"/>
    <w:link w:val="Heading1Char"/>
    <w:qFormat/>
    <w:rsid w:val="000D1628"/>
    <w:pPr>
      <w:keepNext/>
      <w:outlineLvl w:val="0"/>
    </w:pPr>
    <w:rPr>
      <w:rFonts w:ascii="Arial Narrow" w:hAnsi="Arial Narrow"/>
      <w:u w:val="single"/>
    </w:rPr>
  </w:style>
  <w:style w:type="paragraph" w:styleId="Heading2">
    <w:name w:val="heading 2"/>
    <w:basedOn w:val="Normal"/>
    <w:next w:val="Normal"/>
    <w:link w:val="Heading2Char"/>
    <w:qFormat/>
    <w:rsid w:val="0085509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semiHidden/>
    <w:rsid w:val="00E9241F"/>
    <w:rPr>
      <w:sz w:val="20"/>
      <w:szCs w:val="20"/>
    </w:rPr>
  </w:style>
  <w:style w:type="character" w:styleId="FootnoteReference">
    <w:name w:val="footnote reference"/>
    <w:basedOn w:val="DefaultParagraphFont"/>
    <w:semiHidden/>
    <w:rsid w:val="00E9241F"/>
    <w:rPr>
      <w:vertAlign w:val="superscript"/>
    </w:rPr>
  </w:style>
  <w:style w:type="character" w:styleId="Hyperlink">
    <w:name w:val="Hyperlink"/>
    <w:basedOn w:val="DefaultParagraphFont"/>
    <w:rsid w:val="007961ED"/>
    <w:rPr>
      <w:color w:val="0000FF"/>
      <w:u w:val="single"/>
    </w:rPr>
  </w:style>
  <w:style w:type="paragraph" w:styleId="BodyText">
    <w:name w:val="Body Text"/>
    <w:basedOn w:val="Normal"/>
    <w:link w:val="BodyTextChar"/>
    <w:rsid w:val="00FE6A64"/>
    <w:rPr>
      <w:sz w:val="22"/>
    </w:rPr>
  </w:style>
  <w:style w:type="character" w:customStyle="1" w:styleId="BodyTextChar">
    <w:name w:val="Body Text Char"/>
    <w:basedOn w:val="DefaultParagraphFont"/>
    <w:link w:val="BodyText"/>
    <w:rsid w:val="00FE6A64"/>
    <w:rPr>
      <w:sz w:val="22"/>
      <w:szCs w:val="24"/>
    </w:rPr>
  </w:style>
  <w:style w:type="paragraph" w:styleId="NoSpacing">
    <w:name w:val="No Spacing"/>
    <w:uiPriority w:val="1"/>
    <w:qFormat/>
    <w:rsid w:val="00FE6A64"/>
    <w:rPr>
      <w:sz w:val="24"/>
      <w:szCs w:val="24"/>
    </w:rPr>
  </w:style>
  <w:style w:type="character" w:styleId="CommentReference">
    <w:name w:val="annotation reference"/>
    <w:basedOn w:val="DefaultParagraphFont"/>
    <w:uiPriority w:val="99"/>
    <w:semiHidden/>
    <w:unhideWhenUsed/>
    <w:rsid w:val="00E700C0"/>
    <w:rPr>
      <w:sz w:val="16"/>
      <w:szCs w:val="16"/>
    </w:rPr>
  </w:style>
  <w:style w:type="paragraph" w:styleId="CommentText">
    <w:name w:val="annotation text"/>
    <w:basedOn w:val="Normal"/>
    <w:link w:val="CommentTextChar"/>
    <w:uiPriority w:val="99"/>
    <w:unhideWhenUsed/>
    <w:rsid w:val="00E700C0"/>
    <w:rPr>
      <w:sz w:val="20"/>
      <w:szCs w:val="20"/>
    </w:rPr>
  </w:style>
  <w:style w:type="character" w:customStyle="1" w:styleId="CommentTextChar">
    <w:name w:val="Comment Text Char"/>
    <w:basedOn w:val="DefaultParagraphFont"/>
    <w:link w:val="CommentText"/>
    <w:uiPriority w:val="99"/>
    <w:rsid w:val="00E700C0"/>
  </w:style>
  <w:style w:type="paragraph" w:styleId="CommentSubject">
    <w:name w:val="annotation subject"/>
    <w:basedOn w:val="CommentText"/>
    <w:next w:val="CommentText"/>
    <w:link w:val="CommentSubjectChar"/>
    <w:uiPriority w:val="99"/>
    <w:semiHidden/>
    <w:unhideWhenUsed/>
    <w:rsid w:val="00E700C0"/>
    <w:rPr>
      <w:b/>
      <w:bCs/>
    </w:rPr>
  </w:style>
  <w:style w:type="character" w:customStyle="1" w:styleId="CommentSubjectChar">
    <w:name w:val="Comment Subject Char"/>
    <w:basedOn w:val="CommentTextChar"/>
    <w:link w:val="CommentSubject"/>
    <w:uiPriority w:val="99"/>
    <w:semiHidden/>
    <w:rsid w:val="00E700C0"/>
    <w:rPr>
      <w:b/>
      <w:bCs/>
    </w:rPr>
  </w:style>
  <w:style w:type="paragraph" w:styleId="ListParagraph">
    <w:name w:val="List Paragraph"/>
    <w:basedOn w:val="Normal"/>
    <w:uiPriority w:val="34"/>
    <w:qFormat/>
    <w:rsid w:val="000B352E"/>
    <w:pPr>
      <w:ind w:left="720"/>
    </w:pPr>
    <w:rPr>
      <w:rFonts w:ascii="Calibri" w:eastAsia="Calibri" w:hAnsi="Calibri" w:cs="Calibri"/>
    </w:rPr>
  </w:style>
  <w:style w:type="table" w:styleId="TableGrid">
    <w:name w:val="Table Grid"/>
    <w:basedOn w:val="TableNormal"/>
    <w:uiPriority w:val="59"/>
    <w:rsid w:val="000B352E"/>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0988"/>
    <w:rPr>
      <w:sz w:val="24"/>
      <w:szCs w:val="24"/>
    </w:rPr>
  </w:style>
  <w:style w:type="character" w:customStyle="1" w:styleId="Heading1Char">
    <w:name w:val="Heading 1 Char"/>
    <w:basedOn w:val="DefaultParagraphFont"/>
    <w:link w:val="Heading1"/>
    <w:rsid w:val="000D1628"/>
    <w:rPr>
      <w:rFonts w:ascii="Arial Narrow" w:hAnsi="Arial Narrow"/>
      <w:sz w:val="24"/>
      <w:szCs w:val="24"/>
      <w:u w:val="single"/>
    </w:rPr>
  </w:style>
  <w:style w:type="character" w:customStyle="1" w:styleId="Heading2Char">
    <w:name w:val="Heading 2 Char"/>
    <w:basedOn w:val="DefaultParagraphFont"/>
    <w:link w:val="Heading2"/>
    <w:rsid w:val="00855091"/>
    <w:rPr>
      <w:rFonts w:ascii="Arial" w:hAnsi="Arial" w:cs="Arial"/>
      <w:b/>
      <w:bCs/>
      <w:i/>
      <w:iCs/>
      <w:sz w:val="28"/>
      <w:szCs w:val="28"/>
    </w:rPr>
  </w:style>
  <w:style w:type="paragraph" w:styleId="BodyText3">
    <w:name w:val="Body Text 3"/>
    <w:basedOn w:val="Normal"/>
    <w:link w:val="BodyText3Char"/>
    <w:rsid w:val="00855091"/>
    <w:pPr>
      <w:spacing w:after="120"/>
    </w:pPr>
    <w:rPr>
      <w:sz w:val="16"/>
      <w:szCs w:val="16"/>
    </w:rPr>
  </w:style>
  <w:style w:type="character" w:customStyle="1" w:styleId="BodyText3Char">
    <w:name w:val="Body Text 3 Char"/>
    <w:basedOn w:val="DefaultParagraphFont"/>
    <w:link w:val="BodyText3"/>
    <w:rsid w:val="00855091"/>
    <w:rPr>
      <w:sz w:val="16"/>
      <w:szCs w:val="16"/>
    </w:rPr>
  </w:style>
  <w:style w:type="character" w:customStyle="1" w:styleId="HeaderChar">
    <w:name w:val="Header Char"/>
    <w:basedOn w:val="DefaultParagraphFont"/>
    <w:link w:val="Header"/>
    <w:uiPriority w:val="99"/>
    <w:rsid w:val="00A4517D"/>
    <w:rPr>
      <w:snapToGrid w:val="0"/>
      <w:sz w:val="24"/>
    </w:rPr>
  </w:style>
  <w:style w:type="character" w:customStyle="1" w:styleId="FooterChar">
    <w:name w:val="Footer Char"/>
    <w:basedOn w:val="DefaultParagraphFont"/>
    <w:link w:val="Footer"/>
    <w:uiPriority w:val="99"/>
    <w:rsid w:val="004E10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50832">
      <w:bodyDiv w:val="1"/>
      <w:marLeft w:val="0"/>
      <w:marRight w:val="0"/>
      <w:marTop w:val="0"/>
      <w:marBottom w:val="0"/>
      <w:divBdr>
        <w:top w:val="none" w:sz="0" w:space="0" w:color="auto"/>
        <w:left w:val="none" w:sz="0" w:space="0" w:color="auto"/>
        <w:bottom w:val="none" w:sz="0" w:space="0" w:color="auto"/>
        <w:right w:val="none" w:sz="0" w:space="0" w:color="auto"/>
      </w:divBdr>
    </w:div>
    <w:div w:id="1083333015">
      <w:bodyDiv w:val="1"/>
      <w:marLeft w:val="0"/>
      <w:marRight w:val="0"/>
      <w:marTop w:val="0"/>
      <w:marBottom w:val="0"/>
      <w:divBdr>
        <w:top w:val="none" w:sz="0" w:space="0" w:color="auto"/>
        <w:left w:val="none" w:sz="0" w:space="0" w:color="auto"/>
        <w:bottom w:val="none" w:sz="0" w:space="0" w:color="auto"/>
        <w:right w:val="none" w:sz="0" w:space="0" w:color="auto"/>
      </w:divBdr>
    </w:div>
    <w:div w:id="1086194624">
      <w:bodyDiv w:val="1"/>
      <w:marLeft w:val="0"/>
      <w:marRight w:val="0"/>
      <w:marTop w:val="0"/>
      <w:marBottom w:val="0"/>
      <w:divBdr>
        <w:top w:val="none" w:sz="0" w:space="0" w:color="auto"/>
        <w:left w:val="none" w:sz="0" w:space="0" w:color="auto"/>
        <w:bottom w:val="none" w:sz="0" w:space="0" w:color="auto"/>
        <w:right w:val="none" w:sz="0" w:space="0" w:color="auto"/>
      </w:divBdr>
    </w:div>
    <w:div w:id="1382710838">
      <w:bodyDiv w:val="1"/>
      <w:marLeft w:val="0"/>
      <w:marRight w:val="0"/>
      <w:marTop w:val="0"/>
      <w:marBottom w:val="0"/>
      <w:divBdr>
        <w:top w:val="none" w:sz="0" w:space="0" w:color="auto"/>
        <w:left w:val="none" w:sz="0" w:space="0" w:color="auto"/>
        <w:bottom w:val="none" w:sz="0" w:space="0" w:color="auto"/>
        <w:right w:val="none" w:sz="0" w:space="0" w:color="auto"/>
      </w:divBdr>
    </w:div>
    <w:div w:id="1458910887">
      <w:bodyDiv w:val="1"/>
      <w:marLeft w:val="0"/>
      <w:marRight w:val="0"/>
      <w:marTop w:val="0"/>
      <w:marBottom w:val="0"/>
      <w:divBdr>
        <w:top w:val="none" w:sz="0" w:space="0" w:color="auto"/>
        <w:left w:val="none" w:sz="0" w:space="0" w:color="auto"/>
        <w:bottom w:val="none" w:sz="0" w:space="0" w:color="auto"/>
        <w:right w:val="none" w:sz="0" w:space="0" w:color="auto"/>
      </w:divBdr>
    </w:div>
    <w:div w:id="1680546963">
      <w:bodyDiv w:val="1"/>
      <w:marLeft w:val="0"/>
      <w:marRight w:val="0"/>
      <w:marTop w:val="0"/>
      <w:marBottom w:val="0"/>
      <w:divBdr>
        <w:top w:val="none" w:sz="0" w:space="0" w:color="auto"/>
        <w:left w:val="none" w:sz="0" w:space="0" w:color="auto"/>
        <w:bottom w:val="none" w:sz="0" w:space="0" w:color="auto"/>
        <w:right w:val="none" w:sz="0" w:space="0" w:color="auto"/>
      </w:divBdr>
    </w:div>
    <w:div w:id="1738625283">
      <w:bodyDiv w:val="1"/>
      <w:marLeft w:val="0"/>
      <w:marRight w:val="0"/>
      <w:marTop w:val="0"/>
      <w:marBottom w:val="0"/>
      <w:divBdr>
        <w:top w:val="none" w:sz="0" w:space="0" w:color="auto"/>
        <w:left w:val="none" w:sz="0" w:space="0" w:color="auto"/>
        <w:bottom w:val="none" w:sz="0" w:space="0" w:color="auto"/>
        <w:right w:val="none" w:sz="0" w:space="0" w:color="auto"/>
      </w:divBdr>
    </w:div>
    <w:div w:id="2082828520">
      <w:bodyDiv w:val="1"/>
      <w:marLeft w:val="0"/>
      <w:marRight w:val="0"/>
      <w:marTop w:val="0"/>
      <w:marBottom w:val="0"/>
      <w:divBdr>
        <w:top w:val="none" w:sz="0" w:space="0" w:color="auto"/>
        <w:left w:val="none" w:sz="0" w:space="0" w:color="auto"/>
        <w:bottom w:val="none" w:sz="0" w:space="0" w:color="auto"/>
        <w:right w:val="none" w:sz="0" w:space="0" w:color="auto"/>
      </w:divBdr>
      <w:divsChild>
        <w:div w:id="853685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6FBDD-1495-4D4E-A657-E436F4F5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3230</Words>
  <Characters>17767</Characters>
  <Application>Microsoft Office Word</Application>
  <DocSecurity>0</DocSecurity>
  <Lines>403</Lines>
  <Paragraphs>466</Paragraphs>
  <ScaleCrop>false</ScaleCrop>
  <HeadingPairs>
    <vt:vector size="2" baseType="variant">
      <vt:variant>
        <vt:lpstr>Title</vt:lpstr>
      </vt:variant>
      <vt:variant>
        <vt:i4>1</vt:i4>
      </vt:variant>
    </vt:vector>
  </HeadingPairs>
  <TitlesOfParts>
    <vt:vector size="1" baseType="lpstr">
      <vt:lpstr>#1559-NEW supporting statement</vt:lpstr>
    </vt:vector>
  </TitlesOfParts>
  <Company>U.S. Department of the Treasury</Company>
  <LinksUpToDate>false</LinksUpToDate>
  <CharactersWithSpaces>20531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#1559-NEW supporting statement</dc:title>
  <dc:subject>Bank Enterprise Award Program evaluation</dc:subject>
  <dc:creator>CDFI</dc:creator>
  <dc:description>ICR reference #201506-1559-005</dc:description>
  <cp:lastModifiedBy>B. Simms, PTR</cp:lastModifiedBy>
  <cp:revision>3</cp:revision>
  <cp:lastPrinted>2016-02-05T19:34:00Z</cp:lastPrinted>
  <dcterms:created xsi:type="dcterms:W3CDTF">2016-02-09T14:14:00Z</dcterms:created>
  <dcterms:modified xsi:type="dcterms:W3CDTF">2016-02-09T14:19:00Z</dcterms:modified>
</cp:coreProperties>
</file>