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0A7" w:rsidRPr="009A48FC" w:rsidRDefault="00B550A7" w:rsidP="009A48FC">
      <w:pPr>
        <w:jc w:val="center"/>
        <w:rPr>
          <w:b/>
        </w:rPr>
      </w:pPr>
      <w:r w:rsidRPr="009A48FC">
        <w:rPr>
          <w:b/>
        </w:rPr>
        <w:t>Supporting Statement</w:t>
      </w:r>
    </w:p>
    <w:p w:rsidR="00B550A7" w:rsidRDefault="00B550A7" w:rsidP="009A48FC">
      <w:pPr>
        <w:jc w:val="center"/>
        <w:rPr>
          <w:b/>
        </w:rPr>
      </w:pPr>
      <w:r w:rsidRPr="009A48FC">
        <w:rPr>
          <w:b/>
        </w:rPr>
        <w:t>National Agricultural Workers Survey</w:t>
      </w:r>
      <w:r>
        <w:rPr>
          <w:b/>
        </w:rPr>
        <w:t>:</w:t>
      </w:r>
    </w:p>
    <w:p w:rsidR="00B550A7" w:rsidRDefault="00B550A7" w:rsidP="009A48FC">
      <w:pPr>
        <w:jc w:val="center"/>
        <w:rPr>
          <w:b/>
        </w:rPr>
      </w:pPr>
      <w:r>
        <w:rPr>
          <w:b/>
        </w:rPr>
        <w:t>Office of Management and Budget (OMB) Control No. 1205-0453</w:t>
      </w:r>
    </w:p>
    <w:p w:rsidR="005A7241" w:rsidRDefault="005A7241" w:rsidP="009A48FC">
      <w:pPr>
        <w:jc w:val="center"/>
        <w:rPr>
          <w:b/>
        </w:rPr>
      </w:pPr>
      <w:r>
        <w:rPr>
          <w:b/>
        </w:rPr>
        <w:t>July 2015</w:t>
      </w:r>
    </w:p>
    <w:p w:rsidR="00B550A7" w:rsidRDefault="00B550A7" w:rsidP="009A48FC">
      <w:pPr>
        <w:jc w:val="center"/>
        <w:rPr>
          <w:b/>
        </w:rPr>
      </w:pPr>
    </w:p>
    <w:p w:rsidR="00B550A7" w:rsidRDefault="00B550A7" w:rsidP="009A48FC">
      <w:pPr>
        <w:rPr>
          <w:b/>
        </w:rPr>
      </w:pPr>
      <w:r w:rsidRPr="00083A13">
        <w:rPr>
          <w:b/>
        </w:rPr>
        <w:t>Introduction</w:t>
      </w:r>
    </w:p>
    <w:p w:rsidR="004F6789" w:rsidRDefault="0082365B" w:rsidP="004B4102">
      <w:r>
        <w:t>T</w:t>
      </w:r>
      <w:r w:rsidR="00B550A7">
        <w:t>he Department of Labor</w:t>
      </w:r>
      <w:r w:rsidR="00FB038A">
        <w:t xml:space="preserve"> </w:t>
      </w:r>
      <w:r w:rsidR="00B550A7">
        <w:t>(DOL)</w:t>
      </w:r>
      <w:r w:rsidR="00FB038A">
        <w:t xml:space="preserve">, </w:t>
      </w:r>
      <w:r w:rsidR="00B550A7">
        <w:t xml:space="preserve">Employment and Training Administration (ETA) requests approval to </w:t>
      </w:r>
      <w:r w:rsidR="004D7FD4">
        <w:t xml:space="preserve">make several changes </w:t>
      </w:r>
      <w:r w:rsidR="009A191E">
        <w:t xml:space="preserve">to </w:t>
      </w:r>
      <w:r w:rsidR="00B550A7">
        <w:t>the National Agricultural Workers Survey (NAWS)</w:t>
      </w:r>
      <w:r w:rsidR="004D7FD4">
        <w:t xml:space="preserve"> questionnaire</w:t>
      </w:r>
      <w:r w:rsidR="00394E06">
        <w:t>.</w:t>
      </w:r>
      <w:r w:rsidR="009A191E">
        <w:t xml:space="preserve"> </w:t>
      </w:r>
      <w:r w:rsidR="00394E06">
        <w:t xml:space="preserve"> </w:t>
      </w:r>
      <w:r w:rsidR="004F6789">
        <w:t xml:space="preserve">NAWS is a survey of the demographic, employment, and health characteristics of hired crop farm workers.  </w:t>
      </w:r>
      <w:r w:rsidR="004D7FD4">
        <w:t xml:space="preserve">The </w:t>
      </w:r>
      <w:r w:rsidR="008D688B">
        <w:t xml:space="preserve">proposed </w:t>
      </w:r>
      <w:r w:rsidR="004D7FD4">
        <w:t xml:space="preserve">changes are </w:t>
      </w:r>
      <w:r w:rsidR="004B4102">
        <w:t>as</w:t>
      </w:r>
      <w:r w:rsidR="004F6789">
        <w:t xml:space="preserve"> follows:</w:t>
      </w:r>
    </w:p>
    <w:p w:rsidR="006271CA" w:rsidRPr="006F47B7" w:rsidRDefault="006271CA" w:rsidP="004B4102"/>
    <w:p w:rsidR="00F229AC" w:rsidRDefault="00AF2032" w:rsidP="00F229AC">
      <w:pPr>
        <w:pStyle w:val="ListBullet"/>
        <w:tabs>
          <w:tab w:val="clear" w:pos="360"/>
          <w:tab w:val="num" w:pos="-360"/>
        </w:tabs>
      </w:pPr>
      <w:r>
        <w:t>D</w:t>
      </w:r>
      <w:r w:rsidR="009A191E">
        <w:t>iscontinue the Environmental Protection Agency (EPA)</w:t>
      </w:r>
      <w:r w:rsidR="00E45DFC">
        <w:t>-</w:t>
      </w:r>
      <w:r w:rsidR="009A191E">
        <w:t>sponsored seven-item supplement on worker hygiene, which was administered for two years and has fulfilled its purpose;</w:t>
      </w:r>
    </w:p>
    <w:p w:rsidR="00C63169" w:rsidRDefault="00C63169" w:rsidP="00F229AC">
      <w:pPr>
        <w:pStyle w:val="ListBullet"/>
        <w:tabs>
          <w:tab w:val="clear" w:pos="360"/>
          <w:tab w:val="num" w:pos="-360"/>
        </w:tabs>
      </w:pPr>
      <w:r>
        <w:t>Temporarily discontinue the National Institute for Occupational Safety and Health</w:t>
      </w:r>
      <w:r w:rsidR="00A41F5C">
        <w:t xml:space="preserve"> (NIOSH)</w:t>
      </w:r>
      <w:r>
        <w:t xml:space="preserve">-sponsored </w:t>
      </w:r>
      <w:r w:rsidR="00A41F5C">
        <w:t>22-item occupational injury supplement and 36-item musculoskeletal (MSK) supplement, while NIOSH considers new strategies for conducting surveillance of injuries and MSK outcomes in the agricultural worker population;</w:t>
      </w:r>
    </w:p>
    <w:p w:rsidR="009A191E" w:rsidRDefault="00AF2032" w:rsidP="009A191E">
      <w:pPr>
        <w:pStyle w:val="ListBullet"/>
        <w:tabs>
          <w:tab w:val="clear" w:pos="360"/>
          <w:tab w:val="num" w:pos="-360"/>
        </w:tabs>
      </w:pPr>
      <w:r>
        <w:t>D</w:t>
      </w:r>
      <w:r w:rsidR="003A039A">
        <w:t>iscontinue</w:t>
      </w:r>
      <w:r w:rsidR="009A191E">
        <w:t xml:space="preserve"> 1</w:t>
      </w:r>
      <w:r w:rsidR="003A039A">
        <w:t>7</w:t>
      </w:r>
      <w:r w:rsidR="009A191E">
        <w:t xml:space="preserve"> </w:t>
      </w:r>
      <w:r w:rsidR="003A039A">
        <w:t xml:space="preserve">other </w:t>
      </w:r>
      <w:r w:rsidR="009A191E">
        <w:t xml:space="preserve">questions that </w:t>
      </w:r>
      <w:r w:rsidR="00C6058A">
        <w:t xml:space="preserve">either </w:t>
      </w:r>
      <w:r w:rsidR="009A191E">
        <w:t>had too few respon</w:t>
      </w:r>
      <w:r w:rsidR="00BD213F">
        <w:t>ses</w:t>
      </w:r>
      <w:r w:rsidR="004F6789">
        <w:t xml:space="preserve"> to be useful for analysis, </w:t>
      </w:r>
      <w:r w:rsidR="009A191E">
        <w:t>w</w:t>
      </w:r>
      <w:r w:rsidR="005E15B4">
        <w:t>ill be</w:t>
      </w:r>
      <w:r w:rsidR="009A191E">
        <w:t xml:space="preserve"> redundant with </w:t>
      </w:r>
      <w:r w:rsidR="005E15B4">
        <w:t>proposed changes</w:t>
      </w:r>
      <w:r w:rsidR="00C6058A">
        <w:t>, or are no longer relevant</w:t>
      </w:r>
      <w:r w:rsidR="009A191E">
        <w:t>;</w:t>
      </w:r>
    </w:p>
    <w:p w:rsidR="009A191E" w:rsidRDefault="00AF2032" w:rsidP="009A191E">
      <w:pPr>
        <w:pStyle w:val="ListBullet"/>
        <w:tabs>
          <w:tab w:val="clear" w:pos="360"/>
          <w:tab w:val="num" w:pos="-360"/>
        </w:tabs>
      </w:pPr>
      <w:r>
        <w:t>M</w:t>
      </w:r>
      <w:r w:rsidR="009A191E">
        <w:t xml:space="preserve">odify the stem and/or response options for </w:t>
      </w:r>
      <w:r w:rsidR="003A039A">
        <w:t>six</w:t>
      </w:r>
      <w:r w:rsidR="009A191E">
        <w:t xml:space="preserve"> questions to make them clearer </w:t>
      </w:r>
      <w:r w:rsidR="005413A7">
        <w:t>and</w:t>
      </w:r>
      <w:r w:rsidR="009A191E">
        <w:t xml:space="preserve"> more useful;</w:t>
      </w:r>
    </w:p>
    <w:p w:rsidR="009A191E" w:rsidRPr="006F47B7" w:rsidRDefault="00AF2032" w:rsidP="009A191E">
      <w:pPr>
        <w:pStyle w:val="ListBullet"/>
        <w:tabs>
          <w:tab w:val="clear" w:pos="360"/>
        </w:tabs>
      </w:pPr>
      <w:r>
        <w:t>E</w:t>
      </w:r>
      <w:r w:rsidR="009A191E">
        <w:t>xpand</w:t>
      </w:r>
      <w:r w:rsidR="009A191E" w:rsidRPr="006F47B7">
        <w:t xml:space="preserve"> the education and training content by replacing </w:t>
      </w:r>
      <w:r w:rsidR="00E45DFC">
        <w:t>two</w:t>
      </w:r>
      <w:r w:rsidR="009A191E" w:rsidRPr="006F47B7">
        <w:t xml:space="preserve"> questions with 13 questions on training and </w:t>
      </w:r>
      <w:r w:rsidR="00304788">
        <w:t>one</w:t>
      </w:r>
      <w:r w:rsidR="009A191E" w:rsidRPr="006F47B7">
        <w:t xml:space="preserve"> question on educational degrees obtained</w:t>
      </w:r>
      <w:r w:rsidR="009A191E">
        <w:t>;</w:t>
      </w:r>
    </w:p>
    <w:p w:rsidR="004B4102" w:rsidRPr="006F47B7" w:rsidRDefault="00AF2032" w:rsidP="004B4102">
      <w:pPr>
        <w:pStyle w:val="ListBullet"/>
      </w:pPr>
      <w:r>
        <w:t>A</w:t>
      </w:r>
      <w:r w:rsidR="008D688B">
        <w:t xml:space="preserve">dd </w:t>
      </w:r>
      <w:r w:rsidR="00F46688">
        <w:t>five questions</w:t>
      </w:r>
      <w:r w:rsidR="004B4102" w:rsidRPr="006F47B7">
        <w:t xml:space="preserve"> on </w:t>
      </w:r>
      <w:r w:rsidR="003F4F75">
        <w:t xml:space="preserve">access to and use of </w:t>
      </w:r>
      <w:r w:rsidR="004B4102" w:rsidRPr="006F47B7">
        <w:t xml:space="preserve">digital </w:t>
      </w:r>
      <w:r w:rsidR="003F4F75">
        <w:t>information devices</w:t>
      </w:r>
      <w:r w:rsidR="004D7FD4">
        <w:t>;</w:t>
      </w:r>
      <w:r w:rsidR="004B4102" w:rsidRPr="006F47B7">
        <w:t xml:space="preserve"> </w:t>
      </w:r>
    </w:p>
    <w:p w:rsidR="004B4102" w:rsidRDefault="00AF2032" w:rsidP="004D7FD4">
      <w:pPr>
        <w:pStyle w:val="ListBullet"/>
        <w:tabs>
          <w:tab w:val="clear" w:pos="360"/>
          <w:tab w:val="num" w:pos="-360"/>
        </w:tabs>
      </w:pPr>
      <w:r>
        <w:t>A</w:t>
      </w:r>
      <w:r w:rsidR="009A191E">
        <w:t xml:space="preserve">dd </w:t>
      </w:r>
      <w:r w:rsidR="004D7FD4">
        <w:t>a question to ascertain if</w:t>
      </w:r>
      <w:r w:rsidR="00C40AA7">
        <w:t xml:space="preserve"> the farm worker lives</w:t>
      </w:r>
      <w:r w:rsidR="00425D31">
        <w:t xml:space="preserve"> </w:t>
      </w:r>
      <w:r w:rsidR="004D7FD4">
        <w:t xml:space="preserve">in </w:t>
      </w:r>
      <w:r w:rsidR="00C40AA7">
        <w:t xml:space="preserve">a </w:t>
      </w:r>
      <w:r w:rsidR="004D7FD4">
        <w:t>labor camp or migrant center;</w:t>
      </w:r>
    </w:p>
    <w:p w:rsidR="006271CA" w:rsidRDefault="00AF2032" w:rsidP="006271CA">
      <w:pPr>
        <w:pStyle w:val="ListBullet"/>
        <w:tabs>
          <w:tab w:val="clear" w:pos="360"/>
          <w:tab w:val="num" w:pos="-360"/>
        </w:tabs>
      </w:pPr>
      <w:r>
        <w:t>A</w:t>
      </w:r>
      <w:r w:rsidR="006271CA">
        <w:t>dd</w:t>
      </w:r>
      <w:r w:rsidR="006271CA" w:rsidRPr="006F47B7">
        <w:t xml:space="preserve"> two </w:t>
      </w:r>
      <w:r w:rsidR="006271CA">
        <w:t xml:space="preserve">screening questions for an </w:t>
      </w:r>
      <w:r w:rsidR="006271CA" w:rsidRPr="006F47B7">
        <w:t>occupationally relevant health condition</w:t>
      </w:r>
      <w:r w:rsidR="006271CA">
        <w:t>:</w:t>
      </w:r>
      <w:r w:rsidR="006271CA" w:rsidRPr="006F47B7">
        <w:t xml:space="preserve"> General Anxiety Disorder</w:t>
      </w:r>
      <w:r w:rsidR="006271CA">
        <w:t xml:space="preserve"> (GAD)</w:t>
      </w:r>
      <w:r w:rsidR="006271CA" w:rsidRPr="006F47B7">
        <w:t>;</w:t>
      </w:r>
    </w:p>
    <w:p w:rsidR="004B4102" w:rsidRPr="006F47B7" w:rsidRDefault="00AF2032" w:rsidP="004B4102">
      <w:pPr>
        <w:pStyle w:val="ListBullet"/>
      </w:pPr>
      <w:r>
        <w:t>M</w:t>
      </w:r>
      <w:r w:rsidR="008D688B">
        <w:t>odify</w:t>
      </w:r>
      <w:r w:rsidR="004B4102" w:rsidRPr="006F47B7">
        <w:t xml:space="preserve"> </w:t>
      </w:r>
      <w:r w:rsidR="00923DDA">
        <w:t xml:space="preserve">and expand </w:t>
      </w:r>
      <w:r w:rsidR="004B4102" w:rsidRPr="006F47B7">
        <w:t>the lifetime health conditions grid as follows:</w:t>
      </w:r>
    </w:p>
    <w:p w:rsidR="004F6789" w:rsidRDefault="00AF2032" w:rsidP="004B4102">
      <w:pPr>
        <w:pStyle w:val="ListBullet"/>
        <w:ind w:left="1080"/>
      </w:pPr>
      <w:r>
        <w:t>I</w:t>
      </w:r>
      <w:r w:rsidR="00BD1ECB">
        <w:t>nclude</w:t>
      </w:r>
      <w:r w:rsidR="004B4102" w:rsidRPr="006F47B7">
        <w:t xml:space="preserve"> </w:t>
      </w:r>
      <w:r w:rsidR="006271CA">
        <w:t xml:space="preserve">cancer and high cholesterol, which are currently </w:t>
      </w:r>
      <w:r w:rsidR="006271CA" w:rsidRPr="006F47B7">
        <w:t xml:space="preserve">the two most frequent </w:t>
      </w:r>
      <w:r w:rsidR="006271CA">
        <w:t xml:space="preserve">“other” responses, </w:t>
      </w:r>
      <w:r w:rsidR="004B4102" w:rsidRPr="006F47B7">
        <w:t xml:space="preserve">as </w:t>
      </w:r>
      <w:r w:rsidR="00BD1ECB">
        <w:t>individual items</w:t>
      </w:r>
      <w:r w:rsidR="004F6789">
        <w:t>;</w:t>
      </w:r>
    </w:p>
    <w:p w:rsidR="004F6789" w:rsidRDefault="00AF2032" w:rsidP="004B4102">
      <w:pPr>
        <w:pStyle w:val="ListBullet"/>
        <w:ind w:left="1080"/>
      </w:pPr>
      <w:r>
        <w:t>A</w:t>
      </w:r>
      <w:r w:rsidR="004F6789">
        <w:t xml:space="preserve">dd </w:t>
      </w:r>
      <w:r w:rsidR="004B4102" w:rsidRPr="006F47B7">
        <w:t xml:space="preserve">HIV </w:t>
      </w:r>
      <w:r w:rsidR="004F6789">
        <w:t>to the list of conditions;</w:t>
      </w:r>
    </w:p>
    <w:p w:rsidR="004B4102" w:rsidRPr="006F47B7" w:rsidRDefault="00AF2032" w:rsidP="004B4102">
      <w:pPr>
        <w:pStyle w:val="ListBullet"/>
        <w:ind w:left="1080"/>
      </w:pPr>
      <w:r>
        <w:t>F</w:t>
      </w:r>
      <w:r w:rsidR="00BD1ECB">
        <w:t xml:space="preserve">or women, </w:t>
      </w:r>
      <w:r w:rsidR="004F6789">
        <w:t>ask if they ever received a cervical cancer screening test and clarify</w:t>
      </w:r>
      <w:r w:rsidR="004B4102" w:rsidRPr="006F47B7">
        <w:t xml:space="preserve"> </w:t>
      </w:r>
      <w:r w:rsidR="0056507D">
        <w:t>if diabetes was gestational</w:t>
      </w:r>
      <w:r w:rsidR="004B4102" w:rsidRPr="006F47B7">
        <w:t>;</w:t>
      </w:r>
    </w:p>
    <w:p w:rsidR="004B4102" w:rsidRPr="006F47B7" w:rsidRDefault="00AF2032" w:rsidP="004B4102">
      <w:pPr>
        <w:pStyle w:val="ListBullet"/>
        <w:ind w:left="1080"/>
      </w:pPr>
      <w:r>
        <w:t>F</w:t>
      </w:r>
      <w:r w:rsidR="004B4102" w:rsidRPr="006F47B7">
        <w:t xml:space="preserve">or </w:t>
      </w:r>
      <w:r w:rsidR="00E45DFC">
        <w:t>eight</w:t>
      </w:r>
      <w:r w:rsidR="008D688B">
        <w:t xml:space="preserve"> of the 11 conditions, add</w:t>
      </w:r>
      <w:r w:rsidR="004B4102" w:rsidRPr="006F47B7">
        <w:t xml:space="preserve"> columns to the </w:t>
      </w:r>
      <w:r w:rsidR="00304788">
        <w:t xml:space="preserve">health </w:t>
      </w:r>
      <w:r w:rsidR="004B4102" w:rsidRPr="006F47B7">
        <w:t xml:space="preserve">grid to ask </w:t>
      </w:r>
      <w:r w:rsidR="006271CA">
        <w:t xml:space="preserve">if </w:t>
      </w:r>
      <w:r w:rsidR="00DB2495">
        <w:t xml:space="preserve">the respondent </w:t>
      </w:r>
      <w:r w:rsidR="009633E3">
        <w:t xml:space="preserve">was ever </w:t>
      </w:r>
      <w:r w:rsidR="00DB2495">
        <w:t>tested for the condition, and if “yes”, the outcome of the test, and when and where the last test was taken</w:t>
      </w:r>
      <w:r w:rsidR="004B4102" w:rsidRPr="006F47B7">
        <w:t xml:space="preserve">; </w:t>
      </w:r>
    </w:p>
    <w:p w:rsidR="009E7181" w:rsidRPr="006F47B7" w:rsidRDefault="00AF2032" w:rsidP="00BD1ECB">
      <w:pPr>
        <w:pStyle w:val="ListBullet"/>
        <w:tabs>
          <w:tab w:val="clear" w:pos="360"/>
          <w:tab w:val="num" w:pos="-360"/>
        </w:tabs>
      </w:pPr>
      <w:r>
        <w:t>M</w:t>
      </w:r>
      <w:r w:rsidR="000E526A">
        <w:t xml:space="preserve">odify and </w:t>
      </w:r>
      <w:r w:rsidR="004D7FD4">
        <w:t>e</w:t>
      </w:r>
      <w:r w:rsidR="008D688B">
        <w:t>xpand</w:t>
      </w:r>
      <w:r w:rsidR="009E7181">
        <w:t xml:space="preserve"> the existing health care access questions to obtain more detailed informati</w:t>
      </w:r>
      <w:r w:rsidR="00BD1ECB">
        <w:t xml:space="preserve">on on </w:t>
      </w:r>
      <w:r w:rsidR="00304788">
        <w:t xml:space="preserve"> farm </w:t>
      </w:r>
      <w:r w:rsidR="00BD1ECB">
        <w:t>workers</w:t>
      </w:r>
      <w:r w:rsidR="00E45DFC">
        <w:t>’</w:t>
      </w:r>
      <w:r w:rsidR="00BD1ECB">
        <w:t xml:space="preserve"> access to acute, preventive</w:t>
      </w:r>
      <w:r w:rsidR="00FB038A">
        <w:t>,</w:t>
      </w:r>
      <w:r w:rsidR="009E7181">
        <w:t xml:space="preserve"> and dental care;</w:t>
      </w:r>
    </w:p>
    <w:p w:rsidR="004B4102" w:rsidRPr="006F47B7" w:rsidRDefault="00AF2032" w:rsidP="004B4102">
      <w:pPr>
        <w:pStyle w:val="ListBullet"/>
        <w:ind w:left="1080"/>
      </w:pPr>
      <w:r>
        <w:t>E</w:t>
      </w:r>
      <w:r w:rsidR="008D688B">
        <w:t>xpand</w:t>
      </w:r>
      <w:r w:rsidR="004B4102" w:rsidRPr="006F47B7">
        <w:t xml:space="preserve"> the options for the he</w:t>
      </w:r>
      <w:r w:rsidR="006271CA">
        <w:t>alth barriers and better rout</w:t>
      </w:r>
      <w:r w:rsidR="005D378C">
        <w:t>e</w:t>
      </w:r>
      <w:r w:rsidR="004B4102" w:rsidRPr="006F47B7">
        <w:t xml:space="preserve"> respondents through the question depending on their past experiences with the U</w:t>
      </w:r>
      <w:r w:rsidR="00E536EE">
        <w:t>.</w:t>
      </w:r>
      <w:r w:rsidR="004B4102" w:rsidRPr="006F47B7">
        <w:t>S</w:t>
      </w:r>
      <w:r w:rsidR="00E536EE">
        <w:t>.</w:t>
      </w:r>
      <w:r w:rsidR="004B4102" w:rsidRPr="006F47B7">
        <w:t xml:space="preserve"> health system;</w:t>
      </w:r>
    </w:p>
    <w:p w:rsidR="004B4102" w:rsidRPr="006F47B7" w:rsidRDefault="00AF2032" w:rsidP="004B4102">
      <w:pPr>
        <w:pStyle w:val="ListBullet"/>
        <w:ind w:left="1080"/>
      </w:pPr>
      <w:r>
        <w:t>E</w:t>
      </w:r>
      <w:r w:rsidR="008D688B">
        <w:t>xtend</w:t>
      </w:r>
      <w:r w:rsidR="004B4102" w:rsidRPr="006F47B7">
        <w:t xml:space="preserve"> questions on health care utilization to spouses and children </w:t>
      </w:r>
      <w:r w:rsidR="00E45DFC">
        <w:t>of</w:t>
      </w:r>
      <w:r w:rsidR="004B4102" w:rsidRPr="006F47B7">
        <w:t xml:space="preserve"> farm</w:t>
      </w:r>
      <w:r w:rsidR="00FB038A">
        <w:t xml:space="preserve"> </w:t>
      </w:r>
      <w:r w:rsidR="004B4102" w:rsidRPr="006F47B7">
        <w:t>workers;</w:t>
      </w:r>
      <w:r w:rsidR="00394E06">
        <w:t xml:space="preserve"> and</w:t>
      </w:r>
    </w:p>
    <w:p w:rsidR="004B4102" w:rsidRDefault="00AF2032" w:rsidP="004B4102">
      <w:pPr>
        <w:pStyle w:val="ListBullet"/>
        <w:ind w:left="1080"/>
      </w:pPr>
      <w:r>
        <w:t>M</w:t>
      </w:r>
      <w:r w:rsidR="00E536EE">
        <w:t>odify</w:t>
      </w:r>
      <w:r w:rsidR="004B4102" w:rsidRPr="006F47B7">
        <w:t xml:space="preserve"> the question on payment source for the most recent health care visit.</w:t>
      </w:r>
    </w:p>
    <w:p w:rsidR="00E536EE" w:rsidRDefault="00834D77" w:rsidP="009A48FC">
      <w:r>
        <w:lastRenderedPageBreak/>
        <w:t xml:space="preserve">DOL/ETA is seeking approval to administer </w:t>
      </w:r>
      <w:r w:rsidR="00FF6564">
        <w:t>the revised instrument</w:t>
      </w:r>
      <w:r w:rsidR="00C80EF2">
        <w:t xml:space="preserve"> </w:t>
      </w:r>
      <w:r>
        <w:t xml:space="preserve">for </w:t>
      </w:r>
      <w:r w:rsidR="00304788">
        <w:t>three</w:t>
      </w:r>
      <w:r w:rsidR="00304788" w:rsidRPr="00FB038A">
        <w:t xml:space="preserve"> </w:t>
      </w:r>
      <w:r w:rsidR="00FF6564">
        <w:t>years</w:t>
      </w:r>
      <w:r w:rsidR="00E536EE">
        <w:t xml:space="preserve">.  </w:t>
      </w:r>
      <w:r w:rsidR="00E44E8A">
        <w:t>T</w:t>
      </w:r>
      <w:r w:rsidR="00F229AC">
        <w:t xml:space="preserve">he proposed </w:t>
      </w:r>
      <w:r>
        <w:t xml:space="preserve">deletions, </w:t>
      </w:r>
      <w:r w:rsidR="00394E06">
        <w:t>additions</w:t>
      </w:r>
      <w:r>
        <w:t>,</w:t>
      </w:r>
      <w:r w:rsidR="00394E06">
        <w:t xml:space="preserve"> and modifications </w:t>
      </w:r>
      <w:proofErr w:type="gramStart"/>
      <w:r w:rsidR="00394E06">
        <w:t>have been carefully balanced</w:t>
      </w:r>
      <w:proofErr w:type="gramEnd"/>
      <w:r>
        <w:t xml:space="preserve">, </w:t>
      </w:r>
      <w:r w:rsidR="003E3AC1">
        <w:t>resulting in no change in the average time, per respondent, to administer the instrument.  Increases in farm worker and employer sample sizes, and decreases associated with the temporary discontinuation of the NIOS</w:t>
      </w:r>
      <w:r w:rsidR="00D3471A">
        <w:t>H-sponsored supplements, result</w:t>
      </w:r>
      <w:r w:rsidR="003E3AC1">
        <w:t xml:space="preserve"> in a net increase of </w:t>
      </w:r>
      <w:r w:rsidR="006A2DE9">
        <w:t xml:space="preserve">528 </w:t>
      </w:r>
      <w:r w:rsidR="003E3AC1">
        <w:t>burden hours.</w:t>
      </w:r>
    </w:p>
    <w:p w:rsidR="00E44E8A" w:rsidRDefault="00E44E8A" w:rsidP="009A48FC"/>
    <w:p w:rsidR="00B550A7" w:rsidRPr="00806AAF" w:rsidRDefault="00B550A7" w:rsidP="00806AAF">
      <w:pPr>
        <w:pStyle w:val="ListParagraph"/>
        <w:numPr>
          <w:ilvl w:val="0"/>
          <w:numId w:val="3"/>
        </w:numPr>
        <w:tabs>
          <w:tab w:val="left" w:pos="360"/>
        </w:tabs>
        <w:ind w:hanging="720"/>
        <w:rPr>
          <w:b/>
        </w:rPr>
      </w:pPr>
      <w:r w:rsidRPr="00806AAF">
        <w:rPr>
          <w:rFonts w:ascii="Times New Roman" w:hAnsi="Times New Roman"/>
          <w:b/>
          <w:sz w:val="24"/>
          <w:szCs w:val="24"/>
        </w:rPr>
        <w:t>Justification</w:t>
      </w:r>
    </w:p>
    <w:p w:rsidR="00B94D41" w:rsidRPr="00B94D41" w:rsidRDefault="00B550A7" w:rsidP="00806AAF">
      <w:pPr>
        <w:tabs>
          <w:tab w:val="left" w:pos="360"/>
        </w:tabs>
        <w:autoSpaceDE w:val="0"/>
        <w:autoSpaceDN w:val="0"/>
        <w:adjustRightInd w:val="0"/>
        <w:ind w:left="360" w:hanging="360"/>
        <w:rPr>
          <w:b/>
        </w:rPr>
      </w:pPr>
      <w:r w:rsidRPr="00E2131C">
        <w:rPr>
          <w:b/>
        </w:rPr>
        <w:t>1</w:t>
      </w:r>
      <w:r w:rsidRPr="00B94D41">
        <w:rPr>
          <w:b/>
        </w:rPr>
        <w:t>.</w:t>
      </w:r>
      <w:r w:rsidR="002244D3">
        <w:rPr>
          <w:b/>
        </w:rPr>
        <w:tab/>
      </w:r>
      <w:r w:rsidR="00B94D41" w:rsidRPr="00B94D41">
        <w:rPr>
          <w:b/>
        </w:rPr>
        <w:t xml:space="preserve">Explain the circumstances that make the collection of information necessary. </w:t>
      </w:r>
      <w:r w:rsidR="003E6DAF">
        <w:rPr>
          <w:b/>
        </w:rPr>
        <w:t xml:space="preserve"> </w:t>
      </w:r>
      <w:r w:rsidR="00B94D41" w:rsidRPr="00B94D41">
        <w:rPr>
          <w:b/>
        </w:rPr>
        <w:t xml:space="preserve">Identify any legal or administrative requirements that necessitate the collection. </w:t>
      </w:r>
      <w:r w:rsidR="003E6DAF">
        <w:rPr>
          <w:b/>
        </w:rPr>
        <w:t xml:space="preserve"> </w:t>
      </w:r>
      <w:r w:rsidR="00B94D41" w:rsidRPr="00B94D41">
        <w:rPr>
          <w:b/>
        </w:rPr>
        <w:t>Attach a copy of the appropriate section of each statute and regulation mandating or authorizing the collection of information.</w:t>
      </w:r>
    </w:p>
    <w:p w:rsidR="00B550A7" w:rsidRDefault="00B550A7" w:rsidP="009A48FC">
      <w:pPr>
        <w:rPr>
          <w:b/>
        </w:rPr>
      </w:pPr>
    </w:p>
    <w:p w:rsidR="00B550A7" w:rsidRDefault="00B550A7" w:rsidP="00806AAF">
      <w:pPr>
        <w:tabs>
          <w:tab w:val="left" w:pos="36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Collection of information on the </w:t>
      </w:r>
      <w:smartTag w:uri="urn:schemas-microsoft-com:office:smarttags" w:element="State">
        <w:smartTag w:uri="urn:schemas-microsoft-com:office:smarttags" w:element="place">
          <w:smartTag w:uri="urn:schemas-microsoft-com:office:smarttags" w:element="country-region">
            <w:r>
              <w:t>U.S.</w:t>
            </w:r>
          </w:smartTag>
        </w:smartTag>
      </w:smartTag>
      <w:r>
        <w:t xml:space="preserve"> hired farm labor force is necessary to monitor the terms and conditions of agricultural employment and to evaluate the human resources that are vital components of the nation’s thriving agricultural sector.</w:t>
      </w:r>
    </w:p>
    <w:p w:rsidR="00B550A7" w:rsidRDefault="00B550A7" w:rsidP="00665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50A7" w:rsidRDefault="00B550A7" w:rsidP="00806AAF">
      <w:pPr>
        <w:tabs>
          <w:tab w:val="left" w:pos="36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footnoteref"/>
          <w:rFonts w:ascii="Calibri" w:hAnsi="Calibri"/>
          <w:sz w:val="22"/>
          <w:szCs w:val="22"/>
        </w:rPr>
      </w:pPr>
      <w:r>
        <w:t>NAWS data are essential for understanding changes in and estimating the sizes of populations eligible for assistance via farm worker</w:t>
      </w:r>
      <w:r>
        <w:rPr>
          <w:b/>
        </w:rPr>
        <w:t xml:space="preserve"> </w:t>
      </w:r>
      <w:r>
        <w:t xml:space="preserve">and farm worker-related programs.  The Federal </w:t>
      </w:r>
      <w:r w:rsidR="00B66056">
        <w:t>G</w:t>
      </w:r>
      <w:r>
        <w:t xml:space="preserve">overnment currently allocates approximately </w:t>
      </w:r>
      <w:r w:rsidRPr="00E7114E">
        <w:t xml:space="preserve">$1 billion </w:t>
      </w:r>
      <w:r>
        <w:t>per year to such programs, incl</w:t>
      </w:r>
      <w:r w:rsidR="00B17A20">
        <w:t xml:space="preserve">uding those administered by </w:t>
      </w:r>
      <w:r w:rsidR="00B97D5E">
        <w:t>the Department of Health and Human Services (</w:t>
      </w:r>
      <w:r w:rsidR="00B17A20">
        <w:t>HHS</w:t>
      </w:r>
      <w:r w:rsidR="00B97D5E">
        <w:t>)</w:t>
      </w:r>
      <w:r>
        <w:t xml:space="preserve"> </w:t>
      </w:r>
      <w:r w:rsidR="00304788">
        <w:t>(</w:t>
      </w:r>
      <w:r>
        <w:t>Migrant Health and Migrant Head Start</w:t>
      </w:r>
      <w:r w:rsidR="00304788">
        <w:t>)</w:t>
      </w:r>
      <w:r>
        <w:t xml:space="preserve">, </w:t>
      </w:r>
      <w:r w:rsidR="00C40AA7">
        <w:t>the Department of Education (</w:t>
      </w:r>
      <w:r w:rsidR="00B17A20">
        <w:t>ED</w:t>
      </w:r>
      <w:r w:rsidR="00C40AA7">
        <w:t>)</w:t>
      </w:r>
      <w:r>
        <w:t xml:space="preserve"> </w:t>
      </w:r>
      <w:r w:rsidR="00304788">
        <w:t>(</w:t>
      </w:r>
      <w:r>
        <w:t>Migrant Education</w:t>
      </w:r>
      <w:r w:rsidR="00304788">
        <w:t>)</w:t>
      </w:r>
      <w:r>
        <w:t xml:space="preserve"> and </w:t>
      </w:r>
      <w:r w:rsidR="00B17A20">
        <w:t>DOL</w:t>
      </w:r>
      <w:r>
        <w:t xml:space="preserve"> </w:t>
      </w:r>
      <w:r w:rsidR="00304788">
        <w:t>(</w:t>
      </w:r>
      <w:r>
        <w:t>National Farmworker Jobs Program</w:t>
      </w:r>
      <w:r w:rsidR="00304788">
        <w:t>)</w:t>
      </w:r>
      <w:r>
        <w:t xml:space="preserve">.  As the only national information source on the employment, demographic, and health characteristics of hired crop workers, NAWS data are central for informing these programs.  </w:t>
      </w:r>
      <w:proofErr w:type="gramStart"/>
      <w:r>
        <w:t>T</w:t>
      </w:r>
      <w:r>
        <w:rPr>
          <w:rStyle w:val="footnoteref"/>
        </w:rPr>
        <w:t>he Wagner-Peyser Act, as amended (29 USC 49f (d) and 49</w:t>
      </w:r>
      <w:r w:rsidR="003E6DAF" w:rsidRPr="00084ABE">
        <w:rPr>
          <w:i/>
        </w:rPr>
        <w:t>l</w:t>
      </w:r>
      <w:r w:rsidR="003E6DAF">
        <w:rPr>
          <w:rStyle w:val="HeaderChar"/>
        </w:rPr>
        <w:t xml:space="preserve"> </w:t>
      </w:r>
      <w:r>
        <w:rPr>
          <w:rStyle w:val="footnoteref"/>
        </w:rPr>
        <w:t>-2(a))</w:t>
      </w:r>
      <w:r w:rsidR="00E329F8">
        <w:rPr>
          <w:rStyle w:val="footnoteref"/>
        </w:rPr>
        <w:t>,</w:t>
      </w:r>
      <w:r>
        <w:rPr>
          <w:rStyle w:val="footnoteref"/>
        </w:rPr>
        <w:t xml:space="preserve"> authorizes DOL to collect this information.</w:t>
      </w:r>
      <w:proofErr w:type="gramEnd"/>
      <w:r w:rsidR="006A2DE9">
        <w:rPr>
          <w:rStyle w:val="footnoteref"/>
        </w:rPr>
        <w:t xml:space="preserve">  (ETA will receive funding from various sources to support its collection of this information.)</w:t>
      </w:r>
    </w:p>
    <w:p w:rsidR="00B550A7" w:rsidRDefault="00B550A7" w:rsidP="009A48FC">
      <w:pPr>
        <w:rPr>
          <w:rFonts w:cs="Arial"/>
          <w:szCs w:val="20"/>
        </w:rPr>
      </w:pPr>
    </w:p>
    <w:p w:rsidR="00B97D5E" w:rsidRDefault="00B97D5E" w:rsidP="00B97D5E">
      <w:pPr>
        <w:tabs>
          <w:tab w:val="left" w:pos="36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additional questions on participation in </w:t>
      </w:r>
      <w:r w:rsidRPr="003E6DAF">
        <w:t>education and training</w:t>
      </w:r>
      <w:r w:rsidRPr="00A74CAC">
        <w:rPr>
          <w:b/>
        </w:rPr>
        <w:t xml:space="preserve"> </w:t>
      </w:r>
      <w:r w:rsidRPr="00A74CAC">
        <w:t>programs</w:t>
      </w:r>
      <w:r>
        <w:t xml:space="preserve"> are important because r</w:t>
      </w:r>
      <w:r w:rsidRPr="00AE6ABD">
        <w:t>esearch shows that participation in</w:t>
      </w:r>
      <w:r>
        <w:t xml:space="preserve"> some types of</w:t>
      </w:r>
      <w:r w:rsidRPr="00AE6ABD">
        <w:t xml:space="preserve"> adult education is associated with increased earnings and more weeks of employment.  However, few studies have </w:t>
      </w:r>
      <w:r>
        <w:t>examine</w:t>
      </w:r>
      <w:r w:rsidR="00FF6564">
        <w:t>d</w:t>
      </w:r>
      <w:r w:rsidRPr="00AE6ABD">
        <w:t xml:space="preserve"> how adult education programs targeting migrant and seasonal farm workers </w:t>
      </w:r>
      <w:r w:rsidR="00216DAE">
        <w:t xml:space="preserve">(MSFW) </w:t>
      </w:r>
      <w:r w:rsidRPr="00AE6ABD">
        <w:t xml:space="preserve">affect labor market outcomes in this population (Alves Pena, 2011).  This is partly due to the lack of available </w:t>
      </w:r>
      <w:r w:rsidR="00216DAE">
        <w:t xml:space="preserve">analysis </w:t>
      </w:r>
      <w:r w:rsidRPr="00AE6ABD">
        <w:t xml:space="preserve">data.  The current NAWS questions on </w:t>
      </w:r>
      <w:r w:rsidRPr="00A35D76">
        <w:t>education and training program</w:t>
      </w:r>
      <w:r w:rsidR="00FF6564">
        <w:t>s</w:t>
      </w:r>
      <w:r w:rsidRPr="00AE6ABD">
        <w:t xml:space="preserve"> are broad and </w:t>
      </w:r>
      <w:proofErr w:type="gramStart"/>
      <w:r w:rsidRPr="00AE6ABD">
        <w:t>cannot be used</w:t>
      </w:r>
      <w:proofErr w:type="gramEnd"/>
      <w:r w:rsidRPr="00AE6ABD">
        <w:t xml:space="preserve"> to isolate the effects of participat</w:t>
      </w:r>
      <w:r>
        <w:t>ion</w:t>
      </w:r>
      <w:r w:rsidRPr="00AE6ABD">
        <w:t xml:space="preserve"> in particular types of education and training, the duration of participation in such program</w:t>
      </w:r>
      <w:r w:rsidR="00E329F8">
        <w:t>s</w:t>
      </w:r>
      <w:r w:rsidRPr="00AE6ABD">
        <w:t>, or whether the individual completed</w:t>
      </w:r>
      <w:r>
        <w:t xml:space="preserve"> and </w:t>
      </w:r>
      <w:r w:rsidRPr="00AE6ABD">
        <w:t xml:space="preserve">achieved </w:t>
      </w:r>
      <w:r>
        <w:t xml:space="preserve">a </w:t>
      </w:r>
      <w:r w:rsidRPr="00AE6ABD">
        <w:t xml:space="preserve">credential or a license from their participation in the program.  The proposed questions will </w:t>
      </w:r>
      <w:r>
        <w:t xml:space="preserve">fill this gap. </w:t>
      </w:r>
    </w:p>
    <w:p w:rsidR="00B97D5E" w:rsidRDefault="00B97D5E" w:rsidP="00B97D5E">
      <w:pPr>
        <w:tabs>
          <w:tab w:val="left" w:pos="36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97D5E" w:rsidRDefault="00B97D5E" w:rsidP="00B97D5E">
      <w:pPr>
        <w:tabs>
          <w:tab w:val="left" w:pos="36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questions will provide the </w:t>
      </w:r>
      <w:r w:rsidRPr="00AE6ABD">
        <w:t>data necessary to examine the effects of participation in adult education programs, including programs funded by the National Farmworker Jobs Program (NFJP).  The NFJP</w:t>
      </w:r>
      <w:r w:rsidR="00216DAE">
        <w:t>, which</w:t>
      </w:r>
      <w:r w:rsidRPr="00AE6ABD">
        <w:t xml:space="preserve"> </w:t>
      </w:r>
      <w:proofErr w:type="gramStart"/>
      <w:r w:rsidRPr="00AE6ABD">
        <w:t>was recently reauthorized</w:t>
      </w:r>
      <w:proofErr w:type="gramEnd"/>
      <w:r w:rsidRPr="00AE6ABD">
        <w:t xml:space="preserve"> under </w:t>
      </w:r>
      <w:r>
        <w:t>the Workforce Investment and Opportunity Act</w:t>
      </w:r>
      <w:r w:rsidR="00216DAE">
        <w:t>,</w:t>
      </w:r>
      <w:r>
        <w:t xml:space="preserve"> </w:t>
      </w:r>
      <w:r w:rsidR="00216DAE" w:rsidRPr="00AE6ABD">
        <w:t>help</w:t>
      </w:r>
      <w:r w:rsidR="00216DAE">
        <w:t>s MSFWs</w:t>
      </w:r>
      <w:r w:rsidR="00216DAE" w:rsidRPr="00AE6ABD">
        <w:t xml:space="preserve"> </w:t>
      </w:r>
      <w:r w:rsidRPr="00AE6ABD">
        <w:t>develop skills that can be used in complementary occupations during agricultural off-seasons</w:t>
      </w:r>
      <w:r w:rsidR="00216DAE">
        <w:t xml:space="preserve"> to increase their economic stability</w:t>
      </w:r>
      <w:r>
        <w:t>.</w:t>
      </w:r>
    </w:p>
    <w:p w:rsidR="00B15725" w:rsidRDefault="00B15725" w:rsidP="00484436">
      <w:pPr>
        <w:tabs>
          <w:tab w:val="left" w:pos="36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A35D76">
        <w:rPr>
          <w:rFonts w:cs="Arial"/>
          <w:szCs w:val="20"/>
        </w:rPr>
        <w:lastRenderedPageBreak/>
        <w:t>The pro</w:t>
      </w:r>
      <w:r>
        <w:rPr>
          <w:rFonts w:cs="Arial"/>
          <w:szCs w:val="20"/>
        </w:rPr>
        <w:t xml:space="preserve">posed </w:t>
      </w:r>
      <w:r w:rsidRPr="003041B8">
        <w:t>questions</w:t>
      </w:r>
      <w:r>
        <w:rPr>
          <w:rFonts w:cs="Arial"/>
          <w:szCs w:val="20"/>
        </w:rPr>
        <w:t xml:space="preserve"> on </w:t>
      </w:r>
      <w:r w:rsidRPr="003E6DAF">
        <w:rPr>
          <w:rFonts w:cs="Arial"/>
          <w:szCs w:val="20"/>
        </w:rPr>
        <w:t>digital literacy</w:t>
      </w:r>
      <w:r>
        <w:rPr>
          <w:rFonts w:cs="Arial"/>
          <w:szCs w:val="20"/>
        </w:rPr>
        <w:t xml:space="preserve"> will provide valuable information on an important </w:t>
      </w:r>
      <w:r>
        <w:t xml:space="preserve">cross-agency </w:t>
      </w:r>
      <w:r w:rsidR="003A484E">
        <w:t>f</w:t>
      </w:r>
      <w:r>
        <w:t xml:space="preserve">ederal digital initiative, described in the </w:t>
      </w:r>
      <w:r>
        <w:rPr>
          <w:i/>
        </w:rPr>
        <w:t>National Broadband Plan</w:t>
      </w:r>
      <w:r w:rsidRPr="009633E3">
        <w:t xml:space="preserve">. </w:t>
      </w:r>
      <w:r w:rsidR="009633E3" w:rsidRPr="009633E3">
        <w:t xml:space="preserve"> </w:t>
      </w:r>
      <w:r w:rsidRPr="00A35D76">
        <w:t>This plan</w:t>
      </w:r>
      <w:r>
        <w:rPr>
          <w:i/>
        </w:rPr>
        <w:t xml:space="preserve"> </w:t>
      </w:r>
      <w:r>
        <w:t xml:space="preserve">envisions universal access to and use of broadband internet technologies in a variety of domains including health care, education, and commerce.  </w:t>
      </w:r>
      <w:r w:rsidRPr="00B978FA">
        <w:t>The</w:t>
      </w:r>
      <w:r>
        <w:t xml:space="preserve"> NAWS digital literacy supplement will provide key information about the evolving picture of broadband access and digital literacy in the </w:t>
      </w:r>
      <w:r w:rsidR="00C40AA7">
        <w:t>United States</w:t>
      </w:r>
      <w:r>
        <w:t xml:space="preserve"> for the population of </w:t>
      </w:r>
      <w:r w:rsidR="00216DAE">
        <w:t>MSFWs</w:t>
      </w:r>
      <w:r>
        <w:t xml:space="preserve"> and their families.</w:t>
      </w:r>
    </w:p>
    <w:p w:rsidR="00B15725" w:rsidRDefault="00B15725" w:rsidP="00B15725"/>
    <w:p w:rsidR="00B15725" w:rsidRDefault="00B15725" w:rsidP="00B15725">
      <w:pPr>
        <w:tabs>
          <w:tab w:val="left" w:pos="36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The proposed questions are parallel to ones used in other national and international surveys such as the Program for International Assessment of Adult Competencies (PIAAC), the Current Population Survey (October Supplement on Education and Internet Use), the Pew Survey on Health Tracking and Internet Use, and the Federal Communications Commission Consumer Survey of Broadband Use and Adoption.  These other surveys</w:t>
      </w:r>
      <w:r w:rsidR="00216DAE">
        <w:t>, however,</w:t>
      </w:r>
      <w:r>
        <w:t xml:space="preserve"> do not provide adequate coverage of the </w:t>
      </w:r>
      <w:r w:rsidR="00216DAE">
        <w:t>MSFW</w:t>
      </w:r>
      <w:r>
        <w:t xml:space="preserve"> population.  The proposed digital literacy questions will thus add important coverage of this population.</w:t>
      </w:r>
    </w:p>
    <w:p w:rsidR="00B15725" w:rsidRDefault="00B15725" w:rsidP="00B15725"/>
    <w:p w:rsidR="00B15725" w:rsidRDefault="00B15725" w:rsidP="00B15725">
      <w:pPr>
        <w:tabs>
          <w:tab w:val="left" w:pos="36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information on </w:t>
      </w:r>
      <w:r w:rsidRPr="003E6DAF">
        <w:t>digital literacy</w:t>
      </w:r>
      <w:r>
        <w:t xml:space="preserve"> will depict the distribution of broadband and information technology access in the </w:t>
      </w:r>
      <w:r w:rsidR="00311DC6">
        <w:t>migrant</w:t>
      </w:r>
      <w:r>
        <w:t xml:space="preserve"> and </w:t>
      </w:r>
      <w:r w:rsidR="00311DC6">
        <w:t>seasonal</w:t>
      </w:r>
      <w:r>
        <w:t xml:space="preserve"> </w:t>
      </w:r>
      <w:r w:rsidR="00C948ED">
        <w:t>farm worker</w:t>
      </w:r>
      <w:r>
        <w:t xml:space="preserve"> population.  This information will support the development of technology-based products and services that can reach and assist these workers and their families in areas of safety, education and training, health care, </w:t>
      </w:r>
      <w:r w:rsidR="0030279F">
        <w:t xml:space="preserve">housing, </w:t>
      </w:r>
      <w:r>
        <w:t>and employment.</w:t>
      </w:r>
    </w:p>
    <w:p w:rsidR="00B15725" w:rsidRDefault="00B15725" w:rsidP="00B15725">
      <w:pPr>
        <w:rPr>
          <w:rFonts w:cs="Arial"/>
          <w:szCs w:val="20"/>
        </w:rPr>
      </w:pPr>
    </w:p>
    <w:p w:rsidR="00FB69BC" w:rsidRDefault="00156848" w:rsidP="00B97D5E">
      <w:pPr>
        <w:tabs>
          <w:tab w:val="left" w:pos="36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8F5829">
        <w:t xml:space="preserve">The proposed questions on </w:t>
      </w:r>
      <w:r w:rsidRPr="003E6DAF">
        <w:t>quality and access to health care</w:t>
      </w:r>
      <w:r w:rsidR="00A74CAC">
        <w:t xml:space="preserve"> will cover routine, preventive </w:t>
      </w:r>
      <w:r w:rsidR="003E07F7">
        <w:t xml:space="preserve">and </w:t>
      </w:r>
      <w:r w:rsidRPr="008F5829">
        <w:t xml:space="preserve">dental care for </w:t>
      </w:r>
      <w:r w:rsidR="00C948ED">
        <w:t>farm worker</w:t>
      </w:r>
      <w:r w:rsidR="00B15725">
        <w:t xml:space="preserve">s, </w:t>
      </w:r>
      <w:r w:rsidRPr="008F5829">
        <w:t xml:space="preserve">spouses and children. </w:t>
      </w:r>
      <w:r w:rsidR="003E07F7">
        <w:t xml:space="preserve"> In addition</w:t>
      </w:r>
      <w:r w:rsidR="00A74CAC">
        <w:t>,</w:t>
      </w:r>
      <w:r w:rsidR="003E07F7">
        <w:t xml:space="preserve"> t</w:t>
      </w:r>
      <w:r w:rsidRPr="008F5829">
        <w:t xml:space="preserve">he questions on </w:t>
      </w:r>
      <w:r w:rsidR="00C948ED">
        <w:t>farm worker</w:t>
      </w:r>
      <w:r w:rsidRPr="008F5829">
        <w:t>s</w:t>
      </w:r>
      <w:r w:rsidR="003E07F7">
        <w:t>’</w:t>
      </w:r>
      <w:r w:rsidRPr="008F5829">
        <w:t xml:space="preserve"> health history will provide data to measure </w:t>
      </w:r>
      <w:r w:rsidR="00F229AC">
        <w:t>the prevalence of heart disease</w:t>
      </w:r>
      <w:r w:rsidRPr="008F5829">
        <w:t xml:space="preserve">, asthma, cancer, high blood pressure, cholesterol, diabetes, AIDS, and other illnesses. </w:t>
      </w:r>
      <w:r w:rsidR="003E07F7">
        <w:t xml:space="preserve"> </w:t>
      </w:r>
      <w:r w:rsidRPr="008F5829">
        <w:t xml:space="preserve">This information on quality and access </w:t>
      </w:r>
      <w:r w:rsidR="003E07F7">
        <w:t xml:space="preserve">to health care </w:t>
      </w:r>
      <w:r w:rsidRPr="008F5829">
        <w:t>in general</w:t>
      </w:r>
      <w:r w:rsidR="00E329F8">
        <w:t>,</w:t>
      </w:r>
      <w:r w:rsidRPr="008F5829">
        <w:t xml:space="preserve"> but in particular the expanded questions </w:t>
      </w:r>
      <w:r w:rsidR="003E07F7">
        <w:t>to capture information about</w:t>
      </w:r>
      <w:r w:rsidRPr="008F5829">
        <w:t xml:space="preserve"> spouses and children</w:t>
      </w:r>
      <w:r w:rsidR="00E329F8">
        <w:t>,</w:t>
      </w:r>
      <w:r w:rsidRPr="008F5829">
        <w:t xml:space="preserve"> is important because it will improve </w:t>
      </w:r>
      <w:r w:rsidR="009633E3">
        <w:t>the Health Resources and Services Administration’s</w:t>
      </w:r>
      <w:r w:rsidRPr="008F5829">
        <w:t xml:space="preserve"> </w:t>
      </w:r>
      <w:r w:rsidR="00F229AC">
        <w:t xml:space="preserve">(HRSA) </w:t>
      </w:r>
      <w:r w:rsidRPr="008F5829">
        <w:t xml:space="preserve">ability to understand the barriers </w:t>
      </w:r>
      <w:r w:rsidR="00C948ED">
        <w:t>farm worker</w:t>
      </w:r>
      <w:r w:rsidR="00B15725">
        <w:t>s and their families</w:t>
      </w:r>
      <w:r w:rsidRPr="008F5829">
        <w:t xml:space="preserve"> face in accessing comprehensive, affordable, and culturally and linguistically effective health care services. </w:t>
      </w:r>
      <w:r w:rsidR="003E07F7">
        <w:t xml:space="preserve"> </w:t>
      </w:r>
    </w:p>
    <w:p w:rsidR="00FB69BC" w:rsidRDefault="00FB69BC" w:rsidP="00806AAF">
      <w:pPr>
        <w:tabs>
          <w:tab w:val="left" w:pos="36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15725" w:rsidRDefault="00B15725" w:rsidP="00B15725">
      <w:pPr>
        <w:tabs>
          <w:tab w:val="left" w:pos="36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Pr>
          <w:rFonts w:cs="Arial"/>
          <w:szCs w:val="20"/>
        </w:rPr>
        <w:t>As mentioned above, the NAWS collects information on several health conditions.</w:t>
      </w:r>
      <w:r w:rsidR="009633E3">
        <w:rPr>
          <w:rFonts w:cs="Arial"/>
          <w:szCs w:val="20"/>
        </w:rPr>
        <w:t xml:space="preserve"> </w:t>
      </w:r>
      <w:r>
        <w:rPr>
          <w:rFonts w:cs="Arial"/>
          <w:szCs w:val="20"/>
        </w:rPr>
        <w:t xml:space="preserve"> The proposed questions on </w:t>
      </w:r>
      <w:r w:rsidRPr="003E6DAF">
        <w:t>Generalized Anxiety Disorder (GAD)</w:t>
      </w:r>
      <w:r>
        <w:t xml:space="preserve"> </w:t>
      </w:r>
      <w:proofErr w:type="gramStart"/>
      <w:r>
        <w:rPr>
          <w:rFonts w:cs="Arial"/>
          <w:szCs w:val="20"/>
        </w:rPr>
        <w:t>are needed</w:t>
      </w:r>
      <w:proofErr w:type="gramEnd"/>
      <w:r>
        <w:rPr>
          <w:rFonts w:cs="Arial"/>
          <w:szCs w:val="20"/>
        </w:rPr>
        <w:t xml:space="preserve"> </w:t>
      </w:r>
      <w:r>
        <w:t xml:space="preserve">to improve understanding of farm worker mental health. </w:t>
      </w:r>
      <w:r w:rsidR="00A74CAC">
        <w:t xml:space="preserve"> </w:t>
      </w:r>
      <w:r>
        <w:rPr>
          <w:rFonts w:cs="Arial"/>
          <w:szCs w:val="20"/>
        </w:rPr>
        <w:t>A</w:t>
      </w:r>
      <w:r>
        <w:t xml:space="preserve">vailable evidence suggests that poor mental health is common among farm workers.  Previously identified environmental stressors confronted by </w:t>
      </w:r>
      <w:r w:rsidR="00C948ED">
        <w:t>farm worker</w:t>
      </w:r>
      <w:r>
        <w:t xml:space="preserve">s include restricted social mobility, discrimination, dangerous working conditions, financial uncertainties, language difficulties, </w:t>
      </w:r>
      <w:r w:rsidR="00A74CAC">
        <w:t xml:space="preserve">and </w:t>
      </w:r>
      <w:r>
        <w:t>co</w:t>
      </w:r>
      <w:r w:rsidR="00A74CAC">
        <w:t>ncerns related to documentation</w:t>
      </w:r>
      <w:r>
        <w:t xml:space="preserve">.  </w:t>
      </w:r>
      <w:r w:rsidRPr="009917A2">
        <w:t>Annual surveys of occupation-related injuries, illnesses and fatalities of workers in agriculture regularly indicate agricultural occupations are among the most stressful and hazardous.</w:t>
      </w:r>
      <w:r>
        <w:t xml:space="preserve">  Acculturative stress and separation from family or family conflict put farm workers at even greater risk of mental health problems.  </w:t>
      </w:r>
      <w:r w:rsidRPr="009917A2">
        <w:t xml:space="preserve">Farm workers may be more likely to experience anxiety than workers in other </w:t>
      </w:r>
      <w:proofErr w:type="gramStart"/>
      <w:r w:rsidRPr="009917A2">
        <w:t>occupations</w:t>
      </w:r>
      <w:proofErr w:type="gramEnd"/>
      <w:r w:rsidRPr="009917A2">
        <w:t xml:space="preserve">. </w:t>
      </w:r>
      <w:r>
        <w:t xml:space="preserve"> </w:t>
      </w:r>
      <w:r w:rsidRPr="009917A2">
        <w:t xml:space="preserve">They often work without adequate sleep and hurry to undertake </w:t>
      </w:r>
      <w:proofErr w:type="gramStart"/>
      <w:r w:rsidRPr="009917A2">
        <w:t>field work</w:t>
      </w:r>
      <w:proofErr w:type="gramEnd"/>
      <w:r w:rsidRPr="009917A2">
        <w:t>, particularly during p</w:t>
      </w:r>
      <w:r w:rsidR="00A74CAC">
        <w:t>lanting and harvesting seasons.</w:t>
      </w:r>
      <w:r w:rsidR="00722ABF">
        <w:t xml:space="preserve"> </w:t>
      </w:r>
    </w:p>
    <w:p w:rsidR="00B15725" w:rsidRDefault="00B15725" w:rsidP="00D460FA">
      <w:pPr>
        <w:tabs>
          <w:tab w:val="left" w:pos="36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lastRenderedPageBreak/>
        <w:t xml:space="preserve">The core </w:t>
      </w:r>
      <w:r w:rsidR="00216DAE">
        <w:t xml:space="preserve">GAD </w:t>
      </w:r>
      <w:r>
        <w:t xml:space="preserve">symptom is chronic, excessive and uncontrolled worry.  GAD is frequently associated with other psychiatric disorders.  The effects of GAD on health-related quality of life </w:t>
      </w:r>
      <w:proofErr w:type="gramStart"/>
      <w:r>
        <w:t>have been reported</w:t>
      </w:r>
      <w:proofErr w:type="gramEnd"/>
      <w:r>
        <w:t xml:space="preserve"> to be even greater than observed in major depressive disorder, which is known to be disabling and costly.  One scale that has been developed and validated for early detection or screening of probable GAD cases with excellent psychometric properties is the GAD-2, which we propose to use in the NAWS.  It is easy to administer and its shortness allows it to be used in epidemiologic studies </w:t>
      </w:r>
      <w:proofErr w:type="gramStart"/>
      <w:r>
        <w:t>and also</w:t>
      </w:r>
      <w:proofErr w:type="gramEnd"/>
      <w:r>
        <w:t xml:space="preserve"> in remote health surveys along with other health questionnaires.  The scale has been culturally adapted and is available in Spanish.  The 2-item generalized anxiety disorder scale (GAD-2) can be scored between </w:t>
      </w:r>
      <w:proofErr w:type="gramStart"/>
      <w:r>
        <w:t>0</w:t>
      </w:r>
      <w:proofErr w:type="gramEnd"/>
      <w:r>
        <w:t xml:space="preserve"> </w:t>
      </w:r>
      <w:r w:rsidR="002A115D">
        <w:t>(</w:t>
      </w:r>
      <w:r>
        <w:t>never</w:t>
      </w:r>
      <w:r w:rsidR="002A115D">
        <w:t>)</w:t>
      </w:r>
      <w:r>
        <w:t xml:space="preserve"> and </w:t>
      </w:r>
      <w:r w:rsidR="009633E3">
        <w:t>6</w:t>
      </w:r>
      <w:r>
        <w:t xml:space="preserve"> (almost every day).  The overall score can range between </w:t>
      </w:r>
      <w:proofErr w:type="gramStart"/>
      <w:r>
        <w:t>0</w:t>
      </w:r>
      <w:proofErr w:type="gramEnd"/>
      <w:r>
        <w:t xml:space="preserve"> and 6 and can be used to assign farm workers to the following severity levels (0-2) minimal, and severe (3-6).  Using a cut-off value of ≥3, a sensitivity =0.86, specificity =0.83, and Cronbach’s alpha=0.927 have been reported.</w:t>
      </w:r>
    </w:p>
    <w:p w:rsidR="00A74CAC" w:rsidRDefault="00A74CAC" w:rsidP="00B15725">
      <w:pPr>
        <w:tabs>
          <w:tab w:val="left" w:pos="36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2B0325" w:rsidRPr="00806AAF" w:rsidRDefault="00B550A7" w:rsidP="00806AAF">
      <w:pPr>
        <w:tabs>
          <w:tab w:val="left" w:pos="360"/>
        </w:tabs>
        <w:autoSpaceDE w:val="0"/>
        <w:autoSpaceDN w:val="0"/>
        <w:adjustRightInd w:val="0"/>
        <w:ind w:left="360" w:hanging="360"/>
      </w:pPr>
      <w:r w:rsidRPr="006923E6">
        <w:rPr>
          <w:rFonts w:cs="Arial"/>
          <w:b/>
          <w:szCs w:val="20"/>
        </w:rPr>
        <w:t>2.</w:t>
      </w:r>
      <w:r w:rsidR="001F1FCD" w:rsidRPr="006923E6">
        <w:rPr>
          <w:rFonts w:cs="Arial"/>
          <w:b/>
          <w:szCs w:val="20"/>
        </w:rPr>
        <w:tab/>
      </w:r>
      <w:r w:rsidR="00B94D41" w:rsidRPr="006923E6">
        <w:rPr>
          <w:b/>
        </w:rPr>
        <w:t xml:space="preserve">Indicate how, by whom, and for what purpose the information is to </w:t>
      </w:r>
      <w:proofErr w:type="gramStart"/>
      <w:r w:rsidR="00B94D41" w:rsidRPr="006923E6">
        <w:rPr>
          <w:b/>
        </w:rPr>
        <w:t>be used</w:t>
      </w:r>
      <w:proofErr w:type="gramEnd"/>
      <w:r w:rsidR="00B94D41" w:rsidRPr="006923E6">
        <w:rPr>
          <w:b/>
        </w:rPr>
        <w:t xml:space="preserve">. </w:t>
      </w:r>
      <w:r w:rsidR="009633E3">
        <w:rPr>
          <w:b/>
        </w:rPr>
        <w:t xml:space="preserve"> </w:t>
      </w:r>
      <w:r w:rsidR="00B94D41" w:rsidRPr="006923E6">
        <w:rPr>
          <w:b/>
        </w:rPr>
        <w:t>Except for a new collection, indicate the actual use the agency has made of the information received from the current collection.</w:t>
      </w:r>
      <w:r w:rsidR="00B94D41" w:rsidRPr="006923E6">
        <w:t xml:space="preserve"> </w:t>
      </w:r>
    </w:p>
    <w:p w:rsidR="00B550A7" w:rsidRDefault="00B550A7" w:rsidP="009A48FC">
      <w:pPr>
        <w:rPr>
          <w:rFonts w:cs="Arial"/>
          <w:b/>
          <w:szCs w:val="20"/>
        </w:rPr>
      </w:pPr>
    </w:p>
    <w:p w:rsidR="00B550A7"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cs="Arial"/>
          <w:szCs w:val="20"/>
        </w:rPr>
      </w:pPr>
      <w:r w:rsidRPr="003041B8">
        <w:rPr>
          <w:rFonts w:cs="Arial"/>
          <w:szCs w:val="20"/>
        </w:rPr>
        <w:t xml:space="preserve">The NAWS is a multi-agency funded effort and designing the questionnaire is a collaborative undertaking, involving several </w:t>
      </w:r>
      <w:r w:rsidR="003A484E">
        <w:rPr>
          <w:rFonts w:cs="Arial"/>
          <w:szCs w:val="20"/>
        </w:rPr>
        <w:t>f</w:t>
      </w:r>
      <w:r w:rsidRPr="003041B8">
        <w:rPr>
          <w:rFonts w:cs="Arial"/>
          <w:szCs w:val="20"/>
        </w:rPr>
        <w:t xml:space="preserve">ederal agencies that directly use the results.  In addition to ETA, these have included </w:t>
      </w:r>
      <w:r w:rsidR="001B29E9">
        <w:rPr>
          <w:rFonts w:cs="Arial"/>
          <w:szCs w:val="20"/>
        </w:rPr>
        <w:t xml:space="preserve">the </w:t>
      </w:r>
      <w:r w:rsidRPr="003041B8">
        <w:rPr>
          <w:rFonts w:cs="Arial"/>
          <w:szCs w:val="20"/>
        </w:rPr>
        <w:t xml:space="preserve">EPA, </w:t>
      </w:r>
      <w:r w:rsidR="00C943D4">
        <w:rPr>
          <w:rFonts w:cs="Arial"/>
          <w:szCs w:val="20"/>
        </w:rPr>
        <w:t xml:space="preserve">ED, and </w:t>
      </w:r>
      <w:r w:rsidR="005B22A1">
        <w:rPr>
          <w:rFonts w:cs="Arial"/>
          <w:szCs w:val="20"/>
        </w:rPr>
        <w:t xml:space="preserve">several institutes and administrations within </w:t>
      </w:r>
      <w:r w:rsidR="001B29E9">
        <w:rPr>
          <w:rFonts w:cs="Arial"/>
          <w:szCs w:val="20"/>
        </w:rPr>
        <w:t>HHS</w:t>
      </w:r>
      <w:r w:rsidRPr="003041B8">
        <w:rPr>
          <w:rFonts w:cs="Arial"/>
          <w:szCs w:val="20"/>
        </w:rPr>
        <w:t>.  Representatives of these and other agencies regularly meet to discuss program-specific uses of NAWS data.</w:t>
      </w:r>
    </w:p>
    <w:p w:rsidR="00C943D4" w:rsidRDefault="00C943D4"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cs="Arial"/>
          <w:szCs w:val="20"/>
        </w:rPr>
      </w:pPr>
    </w:p>
    <w:p w:rsidR="00D3471A" w:rsidRDefault="00C943D4" w:rsidP="00C943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AE6ABD">
        <w:t xml:space="preserve">The proposed questions on </w:t>
      </w:r>
      <w:r w:rsidRPr="003E6DAF">
        <w:t>education and training programs</w:t>
      </w:r>
      <w:r w:rsidRPr="00AE6ABD">
        <w:t xml:space="preserve"> will be very useful to NFJP and a range of </w:t>
      </w:r>
      <w:r w:rsidR="003A484E">
        <w:t>f</w:t>
      </w:r>
      <w:r w:rsidRPr="00AE6ABD">
        <w:t xml:space="preserve">ederal agencies for planning education and training program delivery to </w:t>
      </w:r>
      <w:r w:rsidR="00216DAE">
        <w:t>MSFWs</w:t>
      </w:r>
      <w:r w:rsidRPr="00AE6ABD">
        <w:t xml:space="preserve"> and their dependents.  In particular, the data will permit ETA and NFJP to measure the extent to which </w:t>
      </w:r>
      <w:r>
        <w:t>farm worker</w:t>
      </w:r>
      <w:r w:rsidRPr="00AE6ABD">
        <w:t xml:space="preserve">s participate in </w:t>
      </w:r>
      <w:r>
        <w:t>adult</w:t>
      </w:r>
      <w:r w:rsidRPr="00AE6ABD">
        <w:t xml:space="preserve"> education programs</w:t>
      </w:r>
      <w:r w:rsidR="002A115D">
        <w:t>,</w:t>
      </w:r>
      <w:r w:rsidRPr="00AE6ABD">
        <w:t xml:space="preserve"> including an assessment of whether the individual completed the program. </w:t>
      </w:r>
      <w:r>
        <w:t xml:space="preserve"> </w:t>
      </w:r>
      <w:r w:rsidRPr="00AE6ABD">
        <w:t>Furthermore, the data will inform analyses to measure the effects of participating in NFJP-funded programs.  In this proposed analysis</w:t>
      </w:r>
      <w:r w:rsidR="002A115D">
        <w:t>,</w:t>
      </w:r>
      <w:r w:rsidRPr="00AE6ABD">
        <w:t xml:space="preserve"> researchers will apply propensity score matching using NAWS respondents who are NFJP-eligible but who have not participated in any kind of training as the comparison group to measure the impact </w:t>
      </w:r>
      <w:r>
        <w:t xml:space="preserve">of adult education and training </w:t>
      </w:r>
      <w:r w:rsidRPr="00AE6ABD">
        <w:t>on income, agricultural employment and complementary empl</w:t>
      </w:r>
      <w:r w:rsidR="00D3471A">
        <w:t>oyment outside of agriculture.</w:t>
      </w:r>
    </w:p>
    <w:p w:rsidR="00D3471A" w:rsidRDefault="00D3471A" w:rsidP="00C943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C943D4" w:rsidRDefault="00C943D4" w:rsidP="00C943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AE6ABD">
        <w:t xml:space="preserve">Cross-agency programs will also benefit from using this information.  Researchers in a wide variety of fields will utilize data about participation, duration and education attainment in the NAWS population in support of a range of topics including </w:t>
      </w:r>
      <w:r>
        <w:t>farm worker</w:t>
      </w:r>
      <w:r w:rsidRPr="00AE6ABD">
        <w:t xml:space="preserve"> employment stability</w:t>
      </w:r>
      <w:r w:rsidR="002A115D">
        <w:t>,</w:t>
      </w:r>
      <w:r w:rsidRPr="00AE6ABD">
        <w:t xml:space="preserve"> </w:t>
      </w:r>
      <w:proofErr w:type="gramStart"/>
      <w:r w:rsidRPr="00AE6ABD">
        <w:t>both in</w:t>
      </w:r>
      <w:proofErr w:type="gramEnd"/>
      <w:r w:rsidRPr="00AE6ABD">
        <w:t xml:space="preserve"> agriculture and complementary occupations, income and earning</w:t>
      </w:r>
      <w:r>
        <w:t>s</w:t>
      </w:r>
      <w:r w:rsidRPr="00AE6ABD">
        <w:t>, and utilization of federally-funded education program</w:t>
      </w:r>
      <w:r w:rsidR="0030279F">
        <w:t>s</w:t>
      </w:r>
      <w:r w:rsidRPr="00AE6ABD">
        <w:t xml:space="preserve"> among </w:t>
      </w:r>
      <w:r w:rsidR="00216DAE">
        <w:t>MSFWs</w:t>
      </w:r>
      <w:r>
        <w:t xml:space="preserve"> and their dependents</w:t>
      </w:r>
      <w:r w:rsidRPr="00AE6ABD">
        <w:t>.</w:t>
      </w:r>
    </w:p>
    <w:p w:rsidR="00FF6564" w:rsidRDefault="00FF6564" w:rsidP="00C943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C943D4" w:rsidRDefault="00C943D4" w:rsidP="00C943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information on </w:t>
      </w:r>
      <w:r w:rsidRPr="003E6DAF">
        <w:t>digital literacy</w:t>
      </w:r>
      <w:r>
        <w:t xml:space="preserve"> will be very useful to a range of federal and state agencies for planning service delivery to </w:t>
      </w:r>
      <w:r w:rsidR="00216DAE">
        <w:t>MSFWs</w:t>
      </w:r>
      <w:r>
        <w:t xml:space="preserve"> and their families.  Efficient delivery and coordination of services increasingly depend on broad consumer access to and use of </w:t>
      </w:r>
      <w:r>
        <w:lastRenderedPageBreak/>
        <w:t xml:space="preserve">information technologies in such domains as safety, health care, education and training, social services and employment.  Cross-agency initiatives and programs will also benefit from using this information about </w:t>
      </w:r>
      <w:r w:rsidR="00216DAE">
        <w:t>MSFWs</w:t>
      </w:r>
      <w:r>
        <w:t>.  Researchers in a wide variety of fields will utilize data about technology access and use in the NAWS population in support of a range of topics including farm worker safety and health issues, education, training and employment issues, and utilization of various services by the farm worker population.</w:t>
      </w:r>
    </w:p>
    <w:p w:rsidR="00C943D4" w:rsidRPr="003E276F" w:rsidRDefault="00C943D4" w:rsidP="00C943D4"/>
    <w:p w:rsidR="00C943D4" w:rsidRDefault="00C943D4" w:rsidP="00C943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EF5272">
        <w:t>The</w:t>
      </w:r>
      <w:r>
        <w:t xml:space="preserve"> information on </w:t>
      </w:r>
      <w:r w:rsidRPr="003E6DAF">
        <w:t>digital literacy</w:t>
      </w:r>
      <w:r>
        <w:t xml:space="preserve"> </w:t>
      </w:r>
      <w:proofErr w:type="gramStart"/>
      <w:r>
        <w:t>will be used</w:t>
      </w:r>
      <w:proofErr w:type="gramEnd"/>
      <w:r>
        <w:t xml:space="preserve"> in a variety of ways.  Agencies and researchers will use the data to depict technology access and utilization in the target population, and compare it with other populations of interest in terms of location, economic and educational background.  More in-depth studies will explore the intersection of technology and digital literacy with other data within the NAWS, cross tabulating the supplemental information with health and health care indicators, region/crop-specific training and safety information, and so forth.  The information </w:t>
      </w:r>
      <w:r w:rsidR="00050721">
        <w:t xml:space="preserve">could </w:t>
      </w:r>
      <w:r>
        <w:t xml:space="preserve">also be useful for planning in-depth assessments of digital literacy skills in future NAWS cycles.  Such assessments will be quite feasible given the new assessment tools </w:t>
      </w:r>
      <w:proofErr w:type="gramStart"/>
      <w:r>
        <w:t>being made</w:t>
      </w:r>
      <w:proofErr w:type="gramEnd"/>
      <w:r>
        <w:t xml:space="preserve"> available through PIAAC.  Such a future assessment, made possible by the supplemental information collected in this cycle, </w:t>
      </w:r>
      <w:r w:rsidR="00050721">
        <w:t xml:space="preserve">could </w:t>
      </w:r>
      <w:r>
        <w:t>support the design and implementation of effective digital literacy training for using broadband internet technologies in a range of domains such as health care, safety and education.</w:t>
      </w:r>
    </w:p>
    <w:p w:rsidR="00C943D4" w:rsidRDefault="00C943D4" w:rsidP="00C943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C943D4" w:rsidRPr="008F5829" w:rsidRDefault="00C943D4" w:rsidP="00C943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8F5829">
        <w:t xml:space="preserve">Information on </w:t>
      </w:r>
      <w:r w:rsidRPr="003E6DAF">
        <w:t>quality and access to health care</w:t>
      </w:r>
      <w:r w:rsidRPr="008F5829">
        <w:rPr>
          <w:b/>
        </w:rPr>
        <w:t xml:space="preserve"> </w:t>
      </w:r>
      <w:r w:rsidRPr="008F5829">
        <w:t>among farm workers, their spouse</w:t>
      </w:r>
      <w:r w:rsidR="009C1AD2">
        <w:t>s,</w:t>
      </w:r>
      <w:r w:rsidRPr="008F5829">
        <w:t xml:space="preserve"> and children will be very useful </w:t>
      </w:r>
      <w:r>
        <w:t>for HRSA to undertake o</w:t>
      </w:r>
      <w:r w:rsidRPr="008F5829">
        <w:t xml:space="preserve">utreach focused on expanding </w:t>
      </w:r>
      <w:r>
        <w:t>farm worker</w:t>
      </w:r>
      <w:r w:rsidRPr="008F5829">
        <w:t xml:space="preserve"> access to comprehensive, affordable, and culturally and linguistically effective health services</w:t>
      </w:r>
      <w:r>
        <w:t>.  An expansion in access to health</w:t>
      </w:r>
      <w:r w:rsidRPr="008F5829">
        <w:t xml:space="preserve"> has implications </w:t>
      </w:r>
      <w:r>
        <w:t>for</w:t>
      </w:r>
      <w:r w:rsidRPr="008F5829">
        <w:t xml:space="preserve"> health care utilization as previous research shows that having health insurance makes medical care more affordable and accessible. </w:t>
      </w:r>
    </w:p>
    <w:p w:rsidR="00C943D4" w:rsidRDefault="00C943D4" w:rsidP="00C943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C943D4" w:rsidRDefault="00C943D4" w:rsidP="00C943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The i</w:t>
      </w:r>
      <w:r w:rsidRPr="008F5829">
        <w:t xml:space="preserve">nformation </w:t>
      </w:r>
      <w:r>
        <w:t xml:space="preserve">on quality and access to health care </w:t>
      </w:r>
      <w:proofErr w:type="gramStart"/>
      <w:r w:rsidRPr="008F5829">
        <w:t>may be used</w:t>
      </w:r>
      <w:proofErr w:type="gramEnd"/>
      <w:r w:rsidRPr="008F5829">
        <w:t xml:space="preserve"> in several ways.  </w:t>
      </w:r>
      <w:r w:rsidRPr="002F3124">
        <w:t xml:space="preserve">The information </w:t>
      </w:r>
      <w:r w:rsidRPr="008F5829">
        <w:t xml:space="preserve">will assist HRSA with the development of a more robust, </w:t>
      </w:r>
      <w:proofErr w:type="gramStart"/>
      <w:r w:rsidRPr="008F5829">
        <w:t>data-based</w:t>
      </w:r>
      <w:proofErr w:type="gramEnd"/>
      <w:r w:rsidRPr="008F5829">
        <w:t xml:space="preserve"> response for addressing stakeholder concerns about the lack of health insurance among </w:t>
      </w:r>
      <w:r>
        <w:t xml:space="preserve">migrant </w:t>
      </w:r>
      <w:r w:rsidRPr="008F5829">
        <w:t xml:space="preserve">children and the quality of health care these children receive.  </w:t>
      </w:r>
      <w:r>
        <w:t>The i</w:t>
      </w:r>
      <w:r w:rsidRPr="008F5829">
        <w:t xml:space="preserve">nformation on health access for children and spouses can improve HRSA’s ability to remove barriers to accessing care, as well as improve the quality of care received. </w:t>
      </w:r>
      <w:r>
        <w:t xml:space="preserve"> </w:t>
      </w:r>
      <w:r w:rsidRPr="008F5829">
        <w:t xml:space="preserve">Key stakeholders focused on health access and the quality of health for migrant children and their families have repeatedly commented on the lack of health insurance for migrant children and their families. </w:t>
      </w:r>
      <w:r>
        <w:t xml:space="preserve"> </w:t>
      </w:r>
      <w:r w:rsidRPr="008F5829">
        <w:t>HRSA, stakeholder</w:t>
      </w:r>
      <w:r>
        <w:t xml:space="preserve"> advocate</w:t>
      </w:r>
      <w:r w:rsidRPr="008F5829">
        <w:t xml:space="preserve">s and researchers can use the data to describe and study health insurance coverage and access to medical care for migrant children and their families, and to make recommendations regarding health care screening and delivery.  In addition, this information </w:t>
      </w:r>
      <w:proofErr w:type="gramStart"/>
      <w:r w:rsidRPr="008F5829">
        <w:t>can be examined</w:t>
      </w:r>
      <w:proofErr w:type="gramEnd"/>
      <w:r w:rsidRPr="008F5829">
        <w:t xml:space="preserve"> along with other information collected in the NAWS to identify specific risk factors</w:t>
      </w:r>
      <w:r w:rsidR="004920A7">
        <w:t>,</w:t>
      </w:r>
      <w:r w:rsidRPr="008F5829">
        <w:t xml:space="preserve"> such as children in mixed status </w:t>
      </w:r>
      <w:r w:rsidR="003923E5" w:rsidRPr="008F5829">
        <w:t>families</w:t>
      </w:r>
      <w:r w:rsidR="003923E5">
        <w:t>,</w:t>
      </w:r>
      <w:r w:rsidR="003923E5" w:rsidRPr="008F5829">
        <w:t xml:space="preserve"> which</w:t>
      </w:r>
      <w:r w:rsidRPr="008F5829">
        <w:t xml:space="preserve"> may need to be targeted for intervention/prevention efforts.  Having </w:t>
      </w:r>
      <w:proofErr w:type="gramStart"/>
      <w:r w:rsidRPr="008F5829">
        <w:t>more specific information on health insurance,</w:t>
      </w:r>
      <w:proofErr w:type="gramEnd"/>
      <w:r w:rsidRPr="008F5829">
        <w:t xml:space="preserve"> preventive care and access to medical services</w:t>
      </w:r>
      <w:r>
        <w:t>, and</w:t>
      </w:r>
      <w:r w:rsidRPr="008F5829">
        <w:t xml:space="preserve"> especially making available national prevalence data</w:t>
      </w:r>
      <w:r>
        <w:t>,</w:t>
      </w:r>
      <w:r w:rsidRPr="008F5829">
        <w:t xml:space="preserve"> will provide important bench marking data that will allow for regional and </w:t>
      </w:r>
      <w:r w:rsidRPr="008F5829">
        <w:lastRenderedPageBreak/>
        <w:t>other comparisons</w:t>
      </w:r>
      <w:r w:rsidR="0006742E">
        <w:t xml:space="preserve">.  These data also have the </w:t>
      </w:r>
      <w:r w:rsidR="004D238D">
        <w:t>potential to identify groups experiencing barriers to health care access</w:t>
      </w:r>
      <w:r w:rsidR="00930CA3">
        <w:t xml:space="preserve"> and for whom expansion of access to quality care </w:t>
      </w:r>
      <w:proofErr w:type="gramStart"/>
      <w:r w:rsidR="00930CA3">
        <w:t>is needed</w:t>
      </w:r>
      <w:proofErr w:type="gramEnd"/>
      <w:r w:rsidR="00930CA3">
        <w:t>.</w:t>
      </w:r>
      <w:r w:rsidRPr="008F5829">
        <w:t xml:space="preserve"> </w:t>
      </w:r>
    </w:p>
    <w:p w:rsidR="00C943D4" w:rsidRDefault="00C943D4" w:rsidP="00C943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C943D4" w:rsidRDefault="00C943D4" w:rsidP="00C943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information on </w:t>
      </w:r>
      <w:r w:rsidR="00722ABF">
        <w:t>GAD</w:t>
      </w:r>
      <w:r>
        <w:t xml:space="preserve"> among farm workers will be very useful to a range of federal, state, and local agencies involved in occupational </w:t>
      </w:r>
      <w:r w:rsidR="004920A7">
        <w:t>health</w:t>
      </w:r>
      <w:r>
        <w:t xml:space="preserve"> and </w:t>
      </w:r>
      <w:r w:rsidR="00930CA3">
        <w:t xml:space="preserve">to </w:t>
      </w:r>
      <w:r>
        <w:t xml:space="preserve">community and migrant health centers in particular. </w:t>
      </w:r>
      <w:r w:rsidR="00F229AC">
        <w:t xml:space="preserve"> </w:t>
      </w:r>
      <w:r>
        <w:t xml:space="preserve">Rural health care providers are likely to confront problems of poor mental health among farm workers.  Research has shown that GAD affects mental health functioning and health-related quality of life.  There is also some evidence </w:t>
      </w:r>
      <w:r w:rsidR="00E92258">
        <w:t>of</w:t>
      </w:r>
      <w:r>
        <w:t xml:space="preserve"> an association </w:t>
      </w:r>
      <w:r w:rsidR="00E92258">
        <w:t xml:space="preserve">between </w:t>
      </w:r>
      <w:r>
        <w:t xml:space="preserve">poor mental health </w:t>
      </w:r>
      <w:r w:rsidR="00E92258">
        <w:t>and</w:t>
      </w:r>
      <w:r>
        <w:t xml:space="preserve"> increased risk of occupational injury.  This impact will be felt, </w:t>
      </w:r>
      <w:proofErr w:type="gramStart"/>
      <w:r>
        <w:t>not only for the farm worker, but the</w:t>
      </w:r>
      <w:proofErr w:type="gramEnd"/>
      <w:r>
        <w:t xml:space="preserve"> family as well.  Those agencies or services dealing with children of these farm workers will also find this information useful.  Outreach focused on protecting farm worker mental health has implications not only for mental health service delivery, but </w:t>
      </w:r>
      <w:r w:rsidR="00E92258">
        <w:t xml:space="preserve">also for </w:t>
      </w:r>
      <w:r>
        <w:t xml:space="preserve">health care utilization in general as previous research has found that poor mental health is associated with increased levels of health care utilization. </w:t>
      </w:r>
    </w:p>
    <w:p w:rsidR="00C943D4" w:rsidRDefault="00C943D4" w:rsidP="00C943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C943D4" w:rsidRDefault="00C943D4" w:rsidP="00C943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information gathered on </w:t>
      </w:r>
      <w:r w:rsidRPr="003E6DAF">
        <w:t>GAD</w:t>
      </w:r>
      <w:r>
        <w:t xml:space="preserve"> </w:t>
      </w:r>
      <w:proofErr w:type="gramStart"/>
      <w:r>
        <w:t>may be used</w:t>
      </w:r>
      <w:proofErr w:type="gramEnd"/>
      <w:r>
        <w:t xml:space="preserve"> in several ways.  Researchers in multiple disciplines (e.g.</w:t>
      </w:r>
      <w:r w:rsidR="00361253">
        <w:t>,</w:t>
      </w:r>
      <w:r>
        <w:t xml:space="preserve"> occupational health, psychology, sociology, anthropology, and medicine) can use the data to describe and study the occupational health of this vulnerable population, and make recommendations regarding health care screening and delivery.  In addition, this information </w:t>
      </w:r>
      <w:proofErr w:type="gramStart"/>
      <w:r>
        <w:t>can be examined</w:t>
      </w:r>
      <w:proofErr w:type="gramEnd"/>
      <w:r>
        <w:t xml:space="preserve"> along with other information collected in the NAWS to identify specific risk factors for poor mental health that should be targeted for intervention/prevention efforts.  Having </w:t>
      </w:r>
      <w:proofErr w:type="gramStart"/>
      <w:r>
        <w:t>more specific information on the mental and physical health of these workers,</w:t>
      </w:r>
      <w:proofErr w:type="gramEnd"/>
      <w:r>
        <w:t xml:space="preserve"> especially making available national prevalence data</w:t>
      </w:r>
      <w:r w:rsidR="00361253">
        <w:t>,</w:t>
      </w:r>
      <w:r>
        <w:t xml:space="preserve"> will provide important bench marking data that will allow for regional and other smaller group comparisons, providing the potential to identify and intervene in groups experiencing elevated risks.  </w:t>
      </w:r>
    </w:p>
    <w:p w:rsidR="009F0BDA" w:rsidRDefault="009F0BDA" w:rsidP="00F229A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0"/>
        </w:rPr>
      </w:pPr>
    </w:p>
    <w:p w:rsidR="009F0BDA" w:rsidRPr="003923E5" w:rsidRDefault="002B31E8" w:rsidP="002B31E8">
      <w:pPr>
        <w:ind w:firstLine="360"/>
      </w:pPr>
      <w:r>
        <w:t>Current and p</w:t>
      </w:r>
      <w:r w:rsidR="00B22FAD" w:rsidRPr="003923E5">
        <w:t xml:space="preserve">revious collections of </w:t>
      </w:r>
      <w:r w:rsidR="009F0BDA" w:rsidRPr="003923E5">
        <w:t xml:space="preserve">NAWS </w:t>
      </w:r>
      <w:r w:rsidR="003923E5" w:rsidRPr="003923E5">
        <w:t>data have been widely used.</w:t>
      </w:r>
      <w:r w:rsidR="003923E5">
        <w:t xml:space="preserve">  Examples include:</w:t>
      </w:r>
    </w:p>
    <w:p w:rsidR="003923E5" w:rsidRPr="003923E5" w:rsidRDefault="003923E5" w:rsidP="003923E5"/>
    <w:p w:rsidR="003923E5" w:rsidRDefault="00B22FAD" w:rsidP="003923E5">
      <w:pPr>
        <w:pStyle w:val="ListParagraph"/>
        <w:numPr>
          <w:ilvl w:val="0"/>
          <w:numId w:val="7"/>
        </w:numPr>
        <w:rPr>
          <w:rFonts w:ascii="Times New Roman" w:hAnsi="Times New Roman"/>
          <w:sz w:val="24"/>
          <w:szCs w:val="24"/>
        </w:rPr>
      </w:pPr>
      <w:r w:rsidRPr="003923E5">
        <w:rPr>
          <w:rFonts w:ascii="Times New Roman" w:hAnsi="Times New Roman"/>
          <w:sz w:val="24"/>
          <w:szCs w:val="24"/>
        </w:rPr>
        <w:t>S</w:t>
      </w:r>
      <w:r w:rsidR="00190A36" w:rsidRPr="003923E5">
        <w:rPr>
          <w:rFonts w:ascii="Times New Roman" w:hAnsi="Times New Roman"/>
          <w:sz w:val="24"/>
          <w:szCs w:val="24"/>
        </w:rPr>
        <w:t>ince 199</w:t>
      </w:r>
      <w:r w:rsidR="00C02CEF" w:rsidRPr="003923E5">
        <w:rPr>
          <w:rFonts w:ascii="Times New Roman" w:hAnsi="Times New Roman"/>
          <w:sz w:val="24"/>
          <w:szCs w:val="24"/>
        </w:rPr>
        <w:t>9</w:t>
      </w:r>
      <w:r w:rsidR="00190A36" w:rsidRPr="003923E5">
        <w:rPr>
          <w:rFonts w:ascii="Times New Roman" w:hAnsi="Times New Roman"/>
          <w:sz w:val="24"/>
          <w:szCs w:val="24"/>
        </w:rPr>
        <w:t>,</w:t>
      </w:r>
      <w:r w:rsidR="00FB0DA2" w:rsidRPr="003923E5">
        <w:rPr>
          <w:rFonts w:ascii="Times New Roman" w:hAnsi="Times New Roman"/>
          <w:sz w:val="24"/>
          <w:szCs w:val="24"/>
        </w:rPr>
        <w:t xml:space="preserve"> </w:t>
      </w:r>
      <w:r w:rsidR="00B550A7" w:rsidRPr="003923E5">
        <w:rPr>
          <w:rFonts w:ascii="Times New Roman" w:hAnsi="Times New Roman"/>
          <w:sz w:val="24"/>
          <w:szCs w:val="24"/>
        </w:rPr>
        <w:t xml:space="preserve">ETA </w:t>
      </w:r>
      <w:r w:rsidR="00A618BA" w:rsidRPr="003923E5">
        <w:rPr>
          <w:rFonts w:ascii="Times New Roman" w:hAnsi="Times New Roman"/>
          <w:sz w:val="24"/>
          <w:szCs w:val="24"/>
        </w:rPr>
        <w:t>has used</w:t>
      </w:r>
      <w:r w:rsidR="00B550A7" w:rsidRPr="003923E5">
        <w:rPr>
          <w:rFonts w:ascii="Times New Roman" w:hAnsi="Times New Roman"/>
          <w:sz w:val="24"/>
          <w:szCs w:val="24"/>
        </w:rPr>
        <w:t xml:space="preserve"> NAWS data in its formula for allocating farm worker employment and job training funds across states under Section 167 of</w:t>
      </w:r>
      <w:r w:rsidRPr="003923E5">
        <w:rPr>
          <w:rFonts w:ascii="Times New Roman" w:hAnsi="Times New Roman"/>
          <w:sz w:val="24"/>
          <w:szCs w:val="24"/>
        </w:rPr>
        <w:t xml:space="preserve"> the Workforce Investment Act.</w:t>
      </w:r>
    </w:p>
    <w:p w:rsidR="003923E5" w:rsidRDefault="003923E5" w:rsidP="003923E5">
      <w:pPr>
        <w:pStyle w:val="ListParagraph"/>
        <w:ind w:left="360"/>
        <w:rPr>
          <w:rFonts w:ascii="Times New Roman" w:hAnsi="Times New Roman"/>
          <w:sz w:val="24"/>
          <w:szCs w:val="24"/>
        </w:rPr>
      </w:pPr>
    </w:p>
    <w:p w:rsidR="003923E5" w:rsidRDefault="00F42848" w:rsidP="003923E5">
      <w:pPr>
        <w:pStyle w:val="ListParagraph"/>
        <w:numPr>
          <w:ilvl w:val="0"/>
          <w:numId w:val="7"/>
        </w:numPr>
        <w:rPr>
          <w:rFonts w:ascii="Times New Roman" w:hAnsi="Times New Roman"/>
          <w:sz w:val="24"/>
          <w:szCs w:val="24"/>
        </w:rPr>
      </w:pPr>
      <w:r w:rsidRPr="003923E5">
        <w:rPr>
          <w:rFonts w:ascii="Times New Roman" w:hAnsi="Times New Roman"/>
          <w:sz w:val="24"/>
          <w:szCs w:val="24"/>
        </w:rPr>
        <w:t>In January 2015, the Legal Services Corporation</w:t>
      </w:r>
      <w:r w:rsidR="00FF6224">
        <w:rPr>
          <w:rFonts w:ascii="Times New Roman" w:hAnsi="Times New Roman"/>
          <w:sz w:val="24"/>
          <w:szCs w:val="24"/>
        </w:rPr>
        <w:t xml:space="preserve"> (LSC)</w:t>
      </w:r>
      <w:r w:rsidRPr="003923E5">
        <w:rPr>
          <w:rFonts w:ascii="Times New Roman" w:hAnsi="Times New Roman"/>
          <w:sz w:val="24"/>
          <w:szCs w:val="24"/>
        </w:rPr>
        <w:t xml:space="preserve">, a quasi-governmental agency, utilized NAWS data in a new formula for estimating the number and geographic distribution of agricultural workers who are eligible for </w:t>
      </w:r>
      <w:r w:rsidR="00FF6224">
        <w:rPr>
          <w:rFonts w:ascii="Times New Roman" w:hAnsi="Times New Roman"/>
          <w:sz w:val="24"/>
          <w:szCs w:val="24"/>
        </w:rPr>
        <w:t>LSC-funded</w:t>
      </w:r>
      <w:r w:rsidRPr="003923E5">
        <w:rPr>
          <w:rFonts w:ascii="Times New Roman" w:hAnsi="Times New Roman"/>
          <w:sz w:val="24"/>
          <w:szCs w:val="24"/>
        </w:rPr>
        <w:t xml:space="preserve"> legal services.</w:t>
      </w:r>
    </w:p>
    <w:p w:rsidR="003923E5" w:rsidRPr="003923E5" w:rsidRDefault="003923E5" w:rsidP="003923E5">
      <w:pPr>
        <w:pStyle w:val="ListParagraph"/>
        <w:rPr>
          <w:rFonts w:ascii="Times New Roman" w:hAnsi="Times New Roman"/>
          <w:sz w:val="24"/>
          <w:szCs w:val="24"/>
        </w:rPr>
      </w:pPr>
    </w:p>
    <w:p w:rsidR="003923E5" w:rsidRDefault="00394E06" w:rsidP="003923E5">
      <w:pPr>
        <w:pStyle w:val="ListParagraph"/>
        <w:numPr>
          <w:ilvl w:val="0"/>
          <w:numId w:val="7"/>
        </w:numPr>
        <w:rPr>
          <w:rFonts w:ascii="Times New Roman" w:hAnsi="Times New Roman"/>
          <w:sz w:val="24"/>
          <w:szCs w:val="24"/>
        </w:rPr>
      </w:pPr>
      <w:r w:rsidRPr="003923E5">
        <w:rPr>
          <w:rFonts w:ascii="Times New Roman" w:hAnsi="Times New Roman"/>
          <w:sz w:val="24"/>
          <w:szCs w:val="24"/>
        </w:rPr>
        <w:t>ED’s</w:t>
      </w:r>
      <w:r w:rsidR="00B550A7" w:rsidRPr="003923E5">
        <w:rPr>
          <w:rFonts w:ascii="Times New Roman" w:hAnsi="Times New Roman"/>
          <w:sz w:val="24"/>
          <w:szCs w:val="24"/>
        </w:rPr>
        <w:t xml:space="preserve"> Office of Migrant Education periodically utilizes NAWS findings </w:t>
      </w:r>
      <w:proofErr w:type="gramStart"/>
      <w:r w:rsidR="00B550A7" w:rsidRPr="003923E5">
        <w:rPr>
          <w:rFonts w:ascii="Times New Roman" w:hAnsi="Times New Roman"/>
          <w:sz w:val="24"/>
          <w:szCs w:val="24"/>
        </w:rPr>
        <w:t>to better understand</w:t>
      </w:r>
      <w:proofErr w:type="gramEnd"/>
      <w:r w:rsidR="00B550A7" w:rsidRPr="003923E5">
        <w:rPr>
          <w:rFonts w:ascii="Times New Roman" w:hAnsi="Times New Roman"/>
          <w:sz w:val="24"/>
          <w:szCs w:val="24"/>
        </w:rPr>
        <w:t xml:space="preserve"> the needs and characteristics of the population served in its various programs.</w:t>
      </w:r>
    </w:p>
    <w:p w:rsidR="003923E5" w:rsidRPr="003923E5" w:rsidRDefault="003923E5" w:rsidP="003923E5">
      <w:pPr>
        <w:pStyle w:val="ListParagraph"/>
        <w:rPr>
          <w:rFonts w:ascii="Times New Roman" w:hAnsi="Times New Roman"/>
          <w:sz w:val="24"/>
          <w:szCs w:val="24"/>
        </w:rPr>
      </w:pPr>
    </w:p>
    <w:p w:rsidR="00A618BA" w:rsidRDefault="00FB0DA2" w:rsidP="003923E5">
      <w:pPr>
        <w:pStyle w:val="ListParagraph"/>
        <w:numPr>
          <w:ilvl w:val="0"/>
          <w:numId w:val="7"/>
        </w:numPr>
        <w:rPr>
          <w:rFonts w:ascii="Times New Roman" w:hAnsi="Times New Roman"/>
          <w:sz w:val="24"/>
          <w:szCs w:val="24"/>
        </w:rPr>
      </w:pPr>
      <w:r w:rsidRPr="003923E5">
        <w:rPr>
          <w:rFonts w:ascii="Times New Roman" w:hAnsi="Times New Roman"/>
          <w:sz w:val="24"/>
          <w:szCs w:val="24"/>
        </w:rPr>
        <w:t xml:space="preserve">Since 2008, </w:t>
      </w:r>
      <w:r w:rsidR="00B22FAD" w:rsidRPr="003923E5">
        <w:rPr>
          <w:rFonts w:ascii="Times New Roman" w:hAnsi="Times New Roman"/>
          <w:sz w:val="24"/>
          <w:szCs w:val="24"/>
        </w:rPr>
        <w:t xml:space="preserve">the </w:t>
      </w:r>
      <w:r w:rsidR="008B57F7">
        <w:rPr>
          <w:rFonts w:ascii="Times New Roman" w:hAnsi="Times New Roman"/>
          <w:sz w:val="24"/>
          <w:szCs w:val="24"/>
        </w:rPr>
        <w:t xml:space="preserve">Administration for Children and Families (ACF) </w:t>
      </w:r>
      <w:r w:rsidR="00A618BA" w:rsidRPr="003923E5">
        <w:rPr>
          <w:rFonts w:ascii="Times New Roman" w:hAnsi="Times New Roman"/>
          <w:sz w:val="24"/>
          <w:szCs w:val="24"/>
        </w:rPr>
        <w:t xml:space="preserve">has </w:t>
      </w:r>
      <w:r w:rsidR="003923E5">
        <w:rPr>
          <w:rFonts w:ascii="Times New Roman" w:hAnsi="Times New Roman"/>
          <w:sz w:val="24"/>
          <w:szCs w:val="24"/>
        </w:rPr>
        <w:t>been using</w:t>
      </w:r>
      <w:r w:rsidR="00A618BA" w:rsidRPr="003923E5">
        <w:rPr>
          <w:rFonts w:ascii="Times New Roman" w:hAnsi="Times New Roman"/>
          <w:sz w:val="24"/>
          <w:szCs w:val="24"/>
        </w:rPr>
        <w:t xml:space="preserve"> NAWS </w:t>
      </w:r>
      <w:r w:rsidR="00B22FAD" w:rsidRPr="003923E5">
        <w:rPr>
          <w:rFonts w:ascii="Times New Roman" w:hAnsi="Times New Roman"/>
          <w:sz w:val="24"/>
          <w:szCs w:val="24"/>
        </w:rPr>
        <w:t xml:space="preserve">data </w:t>
      </w:r>
      <w:r w:rsidR="00A618BA" w:rsidRPr="003923E5">
        <w:rPr>
          <w:rFonts w:ascii="Times New Roman" w:hAnsi="Times New Roman"/>
          <w:sz w:val="24"/>
          <w:szCs w:val="24"/>
        </w:rPr>
        <w:t xml:space="preserve">to meet a congressional mandate to collect data on </w:t>
      </w:r>
      <w:r w:rsidR="00B22FAD" w:rsidRPr="003923E5">
        <w:rPr>
          <w:rFonts w:ascii="Times New Roman" w:hAnsi="Times New Roman"/>
          <w:sz w:val="24"/>
          <w:szCs w:val="24"/>
        </w:rPr>
        <w:t xml:space="preserve">the </w:t>
      </w:r>
      <w:r w:rsidR="00A618BA" w:rsidRPr="003923E5">
        <w:rPr>
          <w:rFonts w:ascii="Times New Roman" w:hAnsi="Times New Roman"/>
          <w:sz w:val="24"/>
          <w:szCs w:val="24"/>
        </w:rPr>
        <w:t xml:space="preserve">barriers </w:t>
      </w:r>
      <w:r w:rsidR="003923E5">
        <w:rPr>
          <w:rFonts w:ascii="Times New Roman" w:hAnsi="Times New Roman"/>
          <w:sz w:val="24"/>
          <w:szCs w:val="24"/>
        </w:rPr>
        <w:t xml:space="preserve">that farm workers </w:t>
      </w:r>
      <w:r w:rsidR="003923E5">
        <w:rPr>
          <w:rFonts w:ascii="Times New Roman" w:hAnsi="Times New Roman"/>
          <w:sz w:val="24"/>
          <w:szCs w:val="24"/>
        </w:rPr>
        <w:lastRenderedPageBreak/>
        <w:t>face participating</w:t>
      </w:r>
      <w:r w:rsidR="00361253" w:rsidRPr="003923E5">
        <w:rPr>
          <w:rFonts w:ascii="Times New Roman" w:hAnsi="Times New Roman"/>
          <w:sz w:val="24"/>
          <w:szCs w:val="24"/>
        </w:rPr>
        <w:t xml:space="preserve"> in the Migrant and Seasonal Head Start </w:t>
      </w:r>
      <w:r w:rsidR="003923E5">
        <w:rPr>
          <w:rFonts w:ascii="Times New Roman" w:hAnsi="Times New Roman"/>
          <w:sz w:val="24"/>
          <w:szCs w:val="24"/>
        </w:rPr>
        <w:t>(M</w:t>
      </w:r>
      <w:r w:rsidR="008B57F7">
        <w:rPr>
          <w:rFonts w:ascii="Times New Roman" w:hAnsi="Times New Roman"/>
          <w:sz w:val="24"/>
          <w:szCs w:val="24"/>
        </w:rPr>
        <w:t>SHS) program</w:t>
      </w:r>
      <w:r w:rsidR="00A618BA" w:rsidRPr="003923E5">
        <w:rPr>
          <w:rFonts w:ascii="Times New Roman" w:hAnsi="Times New Roman"/>
          <w:sz w:val="24"/>
          <w:szCs w:val="24"/>
        </w:rPr>
        <w:t xml:space="preserve">.  </w:t>
      </w:r>
      <w:r w:rsidR="008B57F7">
        <w:rPr>
          <w:rFonts w:ascii="Times New Roman" w:hAnsi="Times New Roman"/>
          <w:sz w:val="24"/>
          <w:szCs w:val="24"/>
        </w:rPr>
        <w:t xml:space="preserve">ACF </w:t>
      </w:r>
      <w:r w:rsidR="00A618BA" w:rsidRPr="003923E5">
        <w:rPr>
          <w:rFonts w:ascii="Times New Roman" w:hAnsi="Times New Roman"/>
          <w:sz w:val="24"/>
          <w:szCs w:val="24"/>
        </w:rPr>
        <w:t xml:space="preserve">also uses </w:t>
      </w:r>
      <w:r w:rsidR="008B57F7">
        <w:rPr>
          <w:rFonts w:ascii="Times New Roman" w:hAnsi="Times New Roman"/>
          <w:sz w:val="24"/>
          <w:szCs w:val="24"/>
        </w:rPr>
        <w:t>the data to estimate the number</w:t>
      </w:r>
      <w:r w:rsidR="00A618BA" w:rsidRPr="003923E5">
        <w:rPr>
          <w:rFonts w:ascii="Times New Roman" w:hAnsi="Times New Roman"/>
          <w:sz w:val="24"/>
          <w:szCs w:val="24"/>
        </w:rPr>
        <w:t xml:space="preserve"> and distribution of </w:t>
      </w:r>
      <w:r w:rsidR="00B22FAD" w:rsidRPr="003923E5">
        <w:rPr>
          <w:rFonts w:ascii="Times New Roman" w:hAnsi="Times New Roman"/>
          <w:sz w:val="24"/>
          <w:szCs w:val="24"/>
        </w:rPr>
        <w:t xml:space="preserve">the </w:t>
      </w:r>
      <w:r w:rsidR="00A618BA" w:rsidRPr="003923E5">
        <w:rPr>
          <w:rFonts w:ascii="Times New Roman" w:hAnsi="Times New Roman"/>
          <w:sz w:val="24"/>
          <w:szCs w:val="24"/>
        </w:rPr>
        <w:t>MSHS-eligible population.</w:t>
      </w:r>
    </w:p>
    <w:p w:rsidR="002B31E8" w:rsidRPr="002B31E8" w:rsidRDefault="002B31E8" w:rsidP="002B31E8">
      <w:pPr>
        <w:pStyle w:val="ListParagraph"/>
      </w:pPr>
    </w:p>
    <w:p w:rsidR="008B57F7" w:rsidRDefault="00FB0DA2" w:rsidP="008B57F7">
      <w:pPr>
        <w:pStyle w:val="ListParagraph"/>
        <w:numPr>
          <w:ilvl w:val="0"/>
          <w:numId w:val="7"/>
        </w:numPr>
        <w:rPr>
          <w:rFonts w:ascii="Times New Roman" w:hAnsi="Times New Roman"/>
          <w:sz w:val="24"/>
          <w:szCs w:val="24"/>
        </w:rPr>
      </w:pPr>
      <w:r w:rsidRPr="00242E38">
        <w:rPr>
          <w:rFonts w:ascii="Times New Roman" w:hAnsi="Times New Roman"/>
          <w:sz w:val="24"/>
          <w:szCs w:val="24"/>
        </w:rPr>
        <w:t>EPA</w:t>
      </w:r>
      <w:r w:rsidR="009F0BDA" w:rsidRPr="00242E38">
        <w:rPr>
          <w:rFonts w:ascii="Times New Roman" w:hAnsi="Times New Roman"/>
          <w:sz w:val="24"/>
          <w:szCs w:val="24"/>
        </w:rPr>
        <w:t xml:space="preserve"> has used NAWS data to determine the languages </w:t>
      </w:r>
      <w:r w:rsidR="00B22FAD" w:rsidRPr="00242E38">
        <w:rPr>
          <w:rFonts w:ascii="Times New Roman" w:hAnsi="Times New Roman"/>
          <w:sz w:val="24"/>
          <w:szCs w:val="24"/>
        </w:rPr>
        <w:t xml:space="preserve">in which Worker Protection Standards pesticide safety instructions </w:t>
      </w:r>
      <w:proofErr w:type="gramStart"/>
      <w:r w:rsidR="00B22FAD" w:rsidRPr="00242E38">
        <w:rPr>
          <w:rFonts w:ascii="Times New Roman" w:hAnsi="Times New Roman"/>
          <w:sz w:val="24"/>
          <w:szCs w:val="24"/>
        </w:rPr>
        <w:t>should be provided</w:t>
      </w:r>
      <w:proofErr w:type="gramEnd"/>
      <w:r w:rsidR="009F0BDA" w:rsidRPr="00242E38">
        <w:rPr>
          <w:rFonts w:ascii="Times New Roman" w:hAnsi="Times New Roman"/>
          <w:sz w:val="24"/>
          <w:szCs w:val="24"/>
        </w:rPr>
        <w:t xml:space="preserve">.  </w:t>
      </w:r>
      <w:r w:rsidR="00B22FAD" w:rsidRPr="00242E38">
        <w:rPr>
          <w:rFonts w:ascii="Times New Roman" w:hAnsi="Times New Roman"/>
          <w:sz w:val="24"/>
          <w:szCs w:val="24"/>
        </w:rPr>
        <w:t xml:space="preserve">In addition, </w:t>
      </w:r>
      <w:r w:rsidR="009F0BDA" w:rsidRPr="00242E38">
        <w:rPr>
          <w:rFonts w:ascii="Times New Roman" w:hAnsi="Times New Roman"/>
          <w:sz w:val="24"/>
          <w:szCs w:val="24"/>
        </w:rPr>
        <w:t xml:space="preserve">data on the number of days per month that workers </w:t>
      </w:r>
      <w:proofErr w:type="gramStart"/>
      <w:r w:rsidR="009F0BDA" w:rsidRPr="00242E38">
        <w:rPr>
          <w:rFonts w:ascii="Times New Roman" w:hAnsi="Times New Roman"/>
          <w:sz w:val="24"/>
          <w:szCs w:val="24"/>
        </w:rPr>
        <w:t>are exposed</w:t>
      </w:r>
      <w:proofErr w:type="gramEnd"/>
      <w:r w:rsidR="009F0BDA" w:rsidRPr="00242E38">
        <w:rPr>
          <w:rFonts w:ascii="Times New Roman" w:hAnsi="Times New Roman"/>
          <w:sz w:val="24"/>
          <w:szCs w:val="24"/>
        </w:rPr>
        <w:t xml:space="preserve"> to pesticides has informed exposure models</w:t>
      </w:r>
      <w:r w:rsidR="00C02CEF" w:rsidRPr="00242E38">
        <w:rPr>
          <w:rFonts w:ascii="Times New Roman" w:hAnsi="Times New Roman"/>
          <w:sz w:val="24"/>
          <w:szCs w:val="24"/>
        </w:rPr>
        <w:t xml:space="preserve">, </w:t>
      </w:r>
      <w:r w:rsidR="009F0BDA" w:rsidRPr="00242E38">
        <w:rPr>
          <w:rFonts w:ascii="Times New Roman" w:hAnsi="Times New Roman"/>
          <w:sz w:val="24"/>
          <w:szCs w:val="24"/>
        </w:rPr>
        <w:t xml:space="preserve">and data on the number of days worked in various crops is being assessed for use in cancer risk assessment models.  </w:t>
      </w:r>
      <w:r w:rsidR="00C02CEF" w:rsidRPr="00242E38">
        <w:rPr>
          <w:rFonts w:ascii="Times New Roman" w:hAnsi="Times New Roman"/>
          <w:sz w:val="24"/>
          <w:szCs w:val="24"/>
        </w:rPr>
        <w:t xml:space="preserve">Preliminary </w:t>
      </w:r>
      <w:r w:rsidR="009F0BDA" w:rsidRPr="00242E38">
        <w:rPr>
          <w:rFonts w:ascii="Times New Roman" w:hAnsi="Times New Roman"/>
          <w:sz w:val="24"/>
          <w:szCs w:val="24"/>
        </w:rPr>
        <w:t xml:space="preserve">data </w:t>
      </w:r>
      <w:r w:rsidR="00242E38" w:rsidRPr="00242E38">
        <w:rPr>
          <w:rFonts w:ascii="Times New Roman" w:hAnsi="Times New Roman"/>
          <w:sz w:val="24"/>
          <w:szCs w:val="24"/>
        </w:rPr>
        <w:t xml:space="preserve">on the number of hours per day farm workers </w:t>
      </w:r>
      <w:proofErr w:type="gramStart"/>
      <w:r w:rsidR="00242E38" w:rsidRPr="00242E38">
        <w:rPr>
          <w:rFonts w:ascii="Times New Roman" w:hAnsi="Times New Roman"/>
          <w:sz w:val="24"/>
          <w:szCs w:val="24"/>
        </w:rPr>
        <w:t>are potentially exposed</w:t>
      </w:r>
      <w:proofErr w:type="gramEnd"/>
      <w:r w:rsidR="00242E38" w:rsidRPr="00242E38">
        <w:rPr>
          <w:rFonts w:ascii="Times New Roman" w:hAnsi="Times New Roman"/>
          <w:sz w:val="24"/>
          <w:szCs w:val="24"/>
        </w:rPr>
        <w:t xml:space="preserve"> to pesticides, </w:t>
      </w:r>
      <w:r w:rsidR="009F0BDA" w:rsidRPr="00242E38">
        <w:rPr>
          <w:rFonts w:ascii="Times New Roman" w:hAnsi="Times New Roman"/>
          <w:sz w:val="24"/>
          <w:szCs w:val="24"/>
        </w:rPr>
        <w:t xml:space="preserve">from the </w:t>
      </w:r>
      <w:r w:rsidR="00316CE6" w:rsidRPr="00242E38">
        <w:rPr>
          <w:rFonts w:ascii="Times New Roman" w:hAnsi="Times New Roman"/>
          <w:sz w:val="24"/>
          <w:szCs w:val="24"/>
        </w:rPr>
        <w:t>2013</w:t>
      </w:r>
      <w:r w:rsidR="00242E38" w:rsidRPr="00242E38">
        <w:rPr>
          <w:rFonts w:ascii="Times New Roman" w:hAnsi="Times New Roman"/>
          <w:sz w:val="24"/>
          <w:szCs w:val="24"/>
        </w:rPr>
        <w:t>-2014</w:t>
      </w:r>
      <w:r w:rsidR="00316CE6" w:rsidRPr="00242E38">
        <w:rPr>
          <w:rFonts w:ascii="Times New Roman" w:hAnsi="Times New Roman"/>
          <w:sz w:val="24"/>
          <w:szCs w:val="24"/>
        </w:rPr>
        <w:t xml:space="preserve"> </w:t>
      </w:r>
      <w:r w:rsidR="009F0BDA" w:rsidRPr="00242E38">
        <w:rPr>
          <w:rFonts w:ascii="Times New Roman" w:hAnsi="Times New Roman"/>
          <w:sz w:val="24"/>
          <w:szCs w:val="24"/>
        </w:rPr>
        <w:t xml:space="preserve">EPA </w:t>
      </w:r>
      <w:r w:rsidR="00242E38" w:rsidRPr="00242E38">
        <w:rPr>
          <w:rFonts w:ascii="Times New Roman" w:hAnsi="Times New Roman"/>
          <w:sz w:val="24"/>
          <w:szCs w:val="24"/>
        </w:rPr>
        <w:t xml:space="preserve">questions, </w:t>
      </w:r>
      <w:r w:rsidR="009F0BDA" w:rsidRPr="00242E38">
        <w:rPr>
          <w:rFonts w:ascii="Times New Roman" w:hAnsi="Times New Roman"/>
          <w:sz w:val="24"/>
          <w:szCs w:val="24"/>
        </w:rPr>
        <w:t>i</w:t>
      </w:r>
      <w:r w:rsidR="00242E38">
        <w:rPr>
          <w:rFonts w:ascii="Times New Roman" w:hAnsi="Times New Roman"/>
          <w:sz w:val="24"/>
          <w:szCs w:val="24"/>
        </w:rPr>
        <w:t>s undergoing initial analysis.</w:t>
      </w:r>
    </w:p>
    <w:p w:rsidR="00242E38" w:rsidRPr="00242E38" w:rsidRDefault="00242E38" w:rsidP="00242E38">
      <w:pPr>
        <w:pStyle w:val="ListParagraph"/>
        <w:ind w:left="360"/>
        <w:rPr>
          <w:rFonts w:ascii="Times New Roman" w:hAnsi="Times New Roman"/>
          <w:sz w:val="24"/>
          <w:szCs w:val="24"/>
        </w:rPr>
      </w:pPr>
    </w:p>
    <w:p w:rsidR="008B57F7" w:rsidRPr="008B57F7" w:rsidRDefault="00B550A7" w:rsidP="008B57F7">
      <w:pPr>
        <w:pStyle w:val="ListParagraph"/>
        <w:numPr>
          <w:ilvl w:val="0"/>
          <w:numId w:val="7"/>
        </w:numPr>
        <w:rPr>
          <w:rFonts w:ascii="Times New Roman" w:hAnsi="Times New Roman"/>
          <w:sz w:val="24"/>
          <w:szCs w:val="24"/>
        </w:rPr>
      </w:pPr>
      <w:r w:rsidRPr="008B57F7">
        <w:rPr>
          <w:rFonts w:ascii="Times New Roman" w:hAnsi="Times New Roman"/>
          <w:sz w:val="24"/>
          <w:szCs w:val="24"/>
        </w:rPr>
        <w:t xml:space="preserve">In preparation for </w:t>
      </w:r>
      <w:r w:rsidR="00A618BA" w:rsidRPr="008B57F7">
        <w:rPr>
          <w:rFonts w:ascii="Times New Roman" w:hAnsi="Times New Roman"/>
          <w:sz w:val="24"/>
          <w:szCs w:val="24"/>
        </w:rPr>
        <w:t xml:space="preserve">both the 2000 and the 2010 </w:t>
      </w:r>
      <w:r w:rsidRPr="008B57F7">
        <w:rPr>
          <w:rFonts w:ascii="Times New Roman" w:hAnsi="Times New Roman"/>
          <w:sz w:val="24"/>
          <w:szCs w:val="24"/>
        </w:rPr>
        <w:t>Decennial Census</w:t>
      </w:r>
      <w:r w:rsidR="00190A36" w:rsidRPr="008B57F7">
        <w:rPr>
          <w:rFonts w:ascii="Times New Roman" w:hAnsi="Times New Roman"/>
          <w:sz w:val="24"/>
          <w:szCs w:val="24"/>
        </w:rPr>
        <w:t>es</w:t>
      </w:r>
      <w:r w:rsidRPr="008B57F7">
        <w:rPr>
          <w:rFonts w:ascii="Times New Roman" w:hAnsi="Times New Roman"/>
          <w:sz w:val="24"/>
          <w:szCs w:val="24"/>
        </w:rPr>
        <w:t xml:space="preserve">, </w:t>
      </w:r>
      <w:r w:rsidR="00B35D3E">
        <w:rPr>
          <w:rFonts w:ascii="Times New Roman" w:hAnsi="Times New Roman"/>
          <w:sz w:val="24"/>
          <w:szCs w:val="24"/>
        </w:rPr>
        <w:t xml:space="preserve">The Bureau of the Census </w:t>
      </w:r>
      <w:r w:rsidRPr="008B57F7">
        <w:rPr>
          <w:rFonts w:ascii="Times New Roman" w:hAnsi="Times New Roman"/>
          <w:sz w:val="24"/>
          <w:szCs w:val="24"/>
        </w:rPr>
        <w:t xml:space="preserve">used NAWS findings on farm worker household characteristics and living arrangements to inform its approach to locating and administering the </w:t>
      </w:r>
      <w:r w:rsidR="003C0850" w:rsidRPr="008B57F7">
        <w:rPr>
          <w:rFonts w:ascii="Times New Roman" w:hAnsi="Times New Roman"/>
          <w:sz w:val="24"/>
          <w:szCs w:val="24"/>
        </w:rPr>
        <w:t>C</w:t>
      </w:r>
      <w:r w:rsidRPr="008B57F7">
        <w:rPr>
          <w:rFonts w:ascii="Times New Roman" w:hAnsi="Times New Roman"/>
          <w:sz w:val="24"/>
          <w:szCs w:val="24"/>
        </w:rPr>
        <w:t xml:space="preserve">ensus questionnaire to </w:t>
      </w:r>
      <w:r w:rsidR="007146A1">
        <w:rPr>
          <w:rFonts w:ascii="Times New Roman" w:hAnsi="Times New Roman"/>
          <w:sz w:val="24"/>
          <w:szCs w:val="24"/>
        </w:rPr>
        <w:t>MSFWs</w:t>
      </w:r>
      <w:r w:rsidRPr="008B57F7">
        <w:rPr>
          <w:rFonts w:ascii="Times New Roman" w:hAnsi="Times New Roman"/>
          <w:sz w:val="24"/>
          <w:szCs w:val="24"/>
        </w:rPr>
        <w:t>, a historically undercounted</w:t>
      </w:r>
      <w:r w:rsidR="008B57F7">
        <w:rPr>
          <w:rFonts w:ascii="Times New Roman" w:hAnsi="Times New Roman"/>
          <w:sz w:val="24"/>
          <w:szCs w:val="24"/>
        </w:rPr>
        <w:t xml:space="preserve"> population</w:t>
      </w:r>
      <w:r w:rsidRPr="008B57F7">
        <w:rPr>
          <w:rFonts w:ascii="Times New Roman" w:hAnsi="Times New Roman"/>
          <w:sz w:val="24"/>
          <w:szCs w:val="24"/>
        </w:rPr>
        <w:t>.</w:t>
      </w:r>
    </w:p>
    <w:p w:rsidR="008B57F7" w:rsidRDefault="008B57F7" w:rsidP="008B57F7">
      <w:pPr>
        <w:pStyle w:val="ListParagraph"/>
        <w:ind w:left="360"/>
        <w:rPr>
          <w:rFonts w:ascii="Times New Roman" w:hAnsi="Times New Roman"/>
          <w:sz w:val="24"/>
          <w:szCs w:val="24"/>
        </w:rPr>
      </w:pPr>
    </w:p>
    <w:p w:rsidR="00B35D3E" w:rsidRPr="00B35D3E" w:rsidRDefault="00316CE6" w:rsidP="00B35D3E">
      <w:pPr>
        <w:pStyle w:val="ListParagraph"/>
        <w:numPr>
          <w:ilvl w:val="0"/>
          <w:numId w:val="7"/>
        </w:numPr>
        <w:rPr>
          <w:rFonts w:ascii="Times New Roman" w:hAnsi="Times New Roman"/>
          <w:sz w:val="24"/>
          <w:szCs w:val="24"/>
        </w:rPr>
      </w:pPr>
      <w:r w:rsidRPr="008B57F7">
        <w:rPr>
          <w:rFonts w:ascii="Times New Roman" w:hAnsi="Times New Roman"/>
          <w:sz w:val="24"/>
          <w:szCs w:val="24"/>
        </w:rPr>
        <w:t>The United States</w:t>
      </w:r>
      <w:r w:rsidR="00C02CEF" w:rsidRPr="008B57F7">
        <w:rPr>
          <w:rFonts w:ascii="Times New Roman" w:hAnsi="Times New Roman"/>
          <w:sz w:val="24"/>
          <w:szCs w:val="24"/>
        </w:rPr>
        <w:t xml:space="preserve"> Department of Agriculture’s </w:t>
      </w:r>
      <w:r w:rsidRPr="008B57F7">
        <w:rPr>
          <w:rFonts w:ascii="Times New Roman" w:hAnsi="Times New Roman"/>
          <w:sz w:val="24"/>
          <w:szCs w:val="24"/>
        </w:rPr>
        <w:t>(USDA)</w:t>
      </w:r>
      <w:r w:rsidR="003C0850" w:rsidRPr="008B57F7">
        <w:rPr>
          <w:rFonts w:ascii="Times New Roman" w:hAnsi="Times New Roman"/>
          <w:sz w:val="24"/>
          <w:szCs w:val="24"/>
        </w:rPr>
        <w:t xml:space="preserve"> </w:t>
      </w:r>
      <w:r w:rsidR="00C02CEF" w:rsidRPr="008B57F7">
        <w:rPr>
          <w:rFonts w:ascii="Times New Roman" w:hAnsi="Times New Roman"/>
          <w:sz w:val="24"/>
          <w:szCs w:val="24"/>
        </w:rPr>
        <w:t xml:space="preserve">Economic Research Service has been using NAWS data on demographic and employment characteristics </w:t>
      </w:r>
      <w:r w:rsidRPr="008B57F7">
        <w:rPr>
          <w:rFonts w:ascii="Times New Roman" w:hAnsi="Times New Roman"/>
          <w:sz w:val="24"/>
          <w:szCs w:val="24"/>
        </w:rPr>
        <w:t xml:space="preserve">to quantity- </w:t>
      </w:r>
      <w:r w:rsidR="00C02CEF" w:rsidRPr="008B57F7">
        <w:rPr>
          <w:rFonts w:ascii="Times New Roman" w:hAnsi="Times New Roman"/>
          <w:sz w:val="24"/>
          <w:szCs w:val="24"/>
        </w:rPr>
        <w:t>and quality</w:t>
      </w:r>
      <w:r w:rsidRPr="008B57F7">
        <w:rPr>
          <w:rFonts w:ascii="Times New Roman" w:hAnsi="Times New Roman"/>
          <w:sz w:val="24"/>
          <w:szCs w:val="24"/>
        </w:rPr>
        <w:t>-</w:t>
      </w:r>
      <w:r w:rsidR="00C02CEF" w:rsidRPr="008B57F7">
        <w:rPr>
          <w:rFonts w:ascii="Times New Roman" w:hAnsi="Times New Roman"/>
          <w:sz w:val="24"/>
          <w:szCs w:val="24"/>
        </w:rPr>
        <w:t xml:space="preserve"> adjust the number of farm workers in its agricultural productivity models.</w:t>
      </w:r>
    </w:p>
    <w:p w:rsidR="00B35D3E" w:rsidRPr="00B35D3E" w:rsidRDefault="00B35D3E" w:rsidP="00B35D3E">
      <w:pPr>
        <w:pStyle w:val="ListParagraph"/>
      </w:pPr>
    </w:p>
    <w:p w:rsidR="00B35D3E" w:rsidRDefault="00C02CEF" w:rsidP="003923E5">
      <w:pPr>
        <w:pStyle w:val="ListParagraph"/>
        <w:numPr>
          <w:ilvl w:val="0"/>
          <w:numId w:val="7"/>
        </w:numPr>
        <w:rPr>
          <w:rFonts w:ascii="Times New Roman" w:hAnsi="Times New Roman"/>
          <w:sz w:val="24"/>
          <w:szCs w:val="24"/>
        </w:rPr>
      </w:pPr>
      <w:r w:rsidRPr="000C2A41">
        <w:rPr>
          <w:rFonts w:ascii="Times New Roman" w:hAnsi="Times New Roman"/>
          <w:sz w:val="24"/>
          <w:szCs w:val="24"/>
        </w:rPr>
        <w:t>The Bureau of Economic Analysis has been using NAWS data in its international transactions account estimates, which are part of Gross Domestic Product.</w:t>
      </w:r>
    </w:p>
    <w:p w:rsidR="00B35D3E" w:rsidRPr="00B35D3E" w:rsidRDefault="00B35D3E" w:rsidP="00B35D3E">
      <w:pPr>
        <w:pStyle w:val="ListParagraph"/>
        <w:rPr>
          <w:rFonts w:ascii="Times New Roman" w:hAnsi="Times New Roman"/>
          <w:sz w:val="24"/>
          <w:szCs w:val="24"/>
        </w:rPr>
      </w:pPr>
    </w:p>
    <w:p w:rsidR="00A22BE9" w:rsidRDefault="00B91874" w:rsidP="003923E5">
      <w:pPr>
        <w:pStyle w:val="ListParagraph"/>
        <w:numPr>
          <w:ilvl w:val="0"/>
          <w:numId w:val="7"/>
        </w:numPr>
        <w:rPr>
          <w:rFonts w:ascii="Times New Roman" w:hAnsi="Times New Roman"/>
          <w:sz w:val="24"/>
          <w:szCs w:val="24"/>
        </w:rPr>
      </w:pPr>
      <w:r w:rsidRPr="00B35D3E">
        <w:rPr>
          <w:rFonts w:ascii="Times New Roman" w:hAnsi="Times New Roman"/>
          <w:sz w:val="24"/>
          <w:szCs w:val="24"/>
        </w:rPr>
        <w:t xml:space="preserve">The Congressional Budget Office </w:t>
      </w:r>
      <w:r w:rsidR="00FB0DA2" w:rsidRPr="00B35D3E">
        <w:rPr>
          <w:rFonts w:ascii="Times New Roman" w:hAnsi="Times New Roman"/>
          <w:sz w:val="24"/>
          <w:szCs w:val="24"/>
        </w:rPr>
        <w:t xml:space="preserve">(CBO) </w:t>
      </w:r>
      <w:r w:rsidR="00AB6941">
        <w:rPr>
          <w:rFonts w:ascii="Times New Roman" w:hAnsi="Times New Roman"/>
          <w:sz w:val="24"/>
          <w:szCs w:val="24"/>
        </w:rPr>
        <w:t>has used</w:t>
      </w:r>
      <w:r w:rsidR="00316CE6" w:rsidRPr="00B35D3E">
        <w:rPr>
          <w:rFonts w:ascii="Times New Roman" w:hAnsi="Times New Roman"/>
          <w:sz w:val="24"/>
          <w:szCs w:val="24"/>
        </w:rPr>
        <w:t xml:space="preserve"> NAWS </w:t>
      </w:r>
      <w:r w:rsidRPr="00B35D3E">
        <w:rPr>
          <w:rFonts w:ascii="Times New Roman" w:hAnsi="Times New Roman"/>
          <w:sz w:val="24"/>
          <w:szCs w:val="24"/>
        </w:rPr>
        <w:t xml:space="preserve">data to </w:t>
      </w:r>
      <w:r w:rsidR="00AB6941">
        <w:rPr>
          <w:rFonts w:ascii="Times New Roman" w:hAnsi="Times New Roman"/>
          <w:sz w:val="24"/>
          <w:szCs w:val="24"/>
        </w:rPr>
        <w:t>estimate</w:t>
      </w:r>
      <w:r w:rsidRPr="00B35D3E">
        <w:rPr>
          <w:rFonts w:ascii="Times New Roman" w:hAnsi="Times New Roman"/>
          <w:sz w:val="24"/>
          <w:szCs w:val="24"/>
        </w:rPr>
        <w:t xml:space="preserve"> </w:t>
      </w:r>
      <w:r w:rsidR="00AB6941">
        <w:rPr>
          <w:rFonts w:ascii="Times New Roman" w:hAnsi="Times New Roman"/>
          <w:sz w:val="24"/>
          <w:szCs w:val="24"/>
        </w:rPr>
        <w:t>the economic impacts of</w:t>
      </w:r>
      <w:r w:rsidRPr="00B35D3E">
        <w:rPr>
          <w:rFonts w:ascii="Times New Roman" w:hAnsi="Times New Roman"/>
          <w:sz w:val="24"/>
          <w:szCs w:val="24"/>
        </w:rPr>
        <w:t xml:space="preserve"> immigration legislation. </w:t>
      </w:r>
      <w:r w:rsidR="00FB0DA2" w:rsidRPr="00B35D3E">
        <w:rPr>
          <w:rFonts w:ascii="Times New Roman" w:hAnsi="Times New Roman"/>
          <w:sz w:val="24"/>
          <w:szCs w:val="24"/>
        </w:rPr>
        <w:t xml:space="preserve"> </w:t>
      </w:r>
      <w:r w:rsidRPr="00B35D3E">
        <w:rPr>
          <w:rFonts w:ascii="Times New Roman" w:hAnsi="Times New Roman"/>
          <w:sz w:val="24"/>
          <w:szCs w:val="24"/>
        </w:rPr>
        <w:t>In FY</w:t>
      </w:r>
      <w:r w:rsidR="00C02CEF" w:rsidRPr="00B35D3E">
        <w:rPr>
          <w:rFonts w:ascii="Times New Roman" w:hAnsi="Times New Roman"/>
          <w:sz w:val="24"/>
          <w:szCs w:val="24"/>
        </w:rPr>
        <w:t xml:space="preserve"> </w:t>
      </w:r>
      <w:r w:rsidRPr="00B35D3E">
        <w:rPr>
          <w:rFonts w:ascii="Times New Roman" w:hAnsi="Times New Roman"/>
          <w:sz w:val="24"/>
          <w:szCs w:val="24"/>
        </w:rPr>
        <w:t xml:space="preserve">2013, the CBO used NAWS data to score S.744, </w:t>
      </w:r>
      <w:r w:rsidR="00316CE6" w:rsidRPr="00B35D3E">
        <w:rPr>
          <w:rFonts w:ascii="Times New Roman" w:hAnsi="Times New Roman"/>
          <w:sz w:val="24"/>
          <w:szCs w:val="24"/>
        </w:rPr>
        <w:t>“T</w:t>
      </w:r>
      <w:r w:rsidRPr="00B35D3E">
        <w:rPr>
          <w:rFonts w:ascii="Times New Roman" w:hAnsi="Times New Roman"/>
          <w:sz w:val="24"/>
          <w:szCs w:val="24"/>
        </w:rPr>
        <w:t>he Border Security, Economic Opportunity, and Imm</w:t>
      </w:r>
      <w:r w:rsidR="00FB0DA2" w:rsidRPr="00B35D3E">
        <w:rPr>
          <w:rFonts w:ascii="Times New Roman" w:hAnsi="Times New Roman"/>
          <w:sz w:val="24"/>
          <w:szCs w:val="24"/>
        </w:rPr>
        <w:t>igration Modernization Act.</w:t>
      </w:r>
      <w:r w:rsidR="00316CE6" w:rsidRPr="00B35D3E">
        <w:rPr>
          <w:rFonts w:ascii="Times New Roman" w:hAnsi="Times New Roman"/>
          <w:sz w:val="24"/>
          <w:szCs w:val="24"/>
        </w:rPr>
        <w:t>”</w:t>
      </w:r>
      <w:r w:rsidR="00FB0DA2" w:rsidRPr="00B35D3E">
        <w:rPr>
          <w:rFonts w:ascii="Times New Roman" w:hAnsi="Times New Roman"/>
          <w:sz w:val="24"/>
          <w:szCs w:val="24"/>
        </w:rPr>
        <w:t xml:space="preserve">  </w:t>
      </w:r>
      <w:r w:rsidR="00AB6941">
        <w:rPr>
          <w:rFonts w:ascii="Times New Roman" w:hAnsi="Times New Roman"/>
          <w:sz w:val="24"/>
          <w:szCs w:val="24"/>
        </w:rPr>
        <w:t xml:space="preserve">NAWS </w:t>
      </w:r>
      <w:r w:rsidR="00FB0DA2" w:rsidRPr="00B35D3E">
        <w:rPr>
          <w:rFonts w:ascii="Times New Roman" w:hAnsi="Times New Roman"/>
          <w:sz w:val="24"/>
          <w:szCs w:val="24"/>
        </w:rPr>
        <w:t>data made it possible to estimate</w:t>
      </w:r>
      <w:r w:rsidRPr="00B35D3E">
        <w:rPr>
          <w:rFonts w:ascii="Times New Roman" w:hAnsi="Times New Roman"/>
          <w:sz w:val="24"/>
          <w:szCs w:val="24"/>
        </w:rPr>
        <w:t xml:space="preserve"> of the number of </w:t>
      </w:r>
      <w:r w:rsidR="00C948ED" w:rsidRPr="00B35D3E">
        <w:rPr>
          <w:rFonts w:ascii="Times New Roman" w:hAnsi="Times New Roman"/>
          <w:sz w:val="24"/>
          <w:szCs w:val="24"/>
        </w:rPr>
        <w:t>farm worker</w:t>
      </w:r>
      <w:r w:rsidRPr="00B35D3E">
        <w:rPr>
          <w:rFonts w:ascii="Times New Roman" w:hAnsi="Times New Roman"/>
          <w:sz w:val="24"/>
          <w:szCs w:val="24"/>
        </w:rPr>
        <w:t xml:space="preserve">s that would qualify for earned legalization and the numbers and locations of their spouses and children.  Similarly, NAWS data assisted the CBO in scoring H.R. 1773 “The Agricultural </w:t>
      </w:r>
      <w:proofErr w:type="spellStart"/>
      <w:r w:rsidRPr="00B35D3E">
        <w:rPr>
          <w:rFonts w:ascii="Times New Roman" w:hAnsi="Times New Roman"/>
          <w:sz w:val="24"/>
          <w:szCs w:val="24"/>
        </w:rPr>
        <w:t>Guestworker</w:t>
      </w:r>
      <w:proofErr w:type="spellEnd"/>
      <w:r w:rsidRPr="00B35D3E">
        <w:rPr>
          <w:rFonts w:ascii="Times New Roman" w:hAnsi="Times New Roman"/>
          <w:sz w:val="24"/>
          <w:szCs w:val="24"/>
        </w:rPr>
        <w:t xml:space="preserve"> Act” by providing estimates of </w:t>
      </w:r>
      <w:r w:rsidR="00AB6941">
        <w:rPr>
          <w:rFonts w:ascii="Times New Roman" w:hAnsi="Times New Roman"/>
          <w:sz w:val="24"/>
          <w:szCs w:val="24"/>
        </w:rPr>
        <w:t>the number of</w:t>
      </w:r>
      <w:r w:rsidRPr="00B35D3E">
        <w:rPr>
          <w:rFonts w:ascii="Times New Roman" w:hAnsi="Times New Roman"/>
          <w:sz w:val="24"/>
          <w:szCs w:val="24"/>
        </w:rPr>
        <w:t xml:space="preserve"> unauthorized crop workers </w:t>
      </w:r>
      <w:r w:rsidR="00AB6941">
        <w:rPr>
          <w:rFonts w:ascii="Times New Roman" w:hAnsi="Times New Roman"/>
          <w:sz w:val="24"/>
          <w:szCs w:val="24"/>
        </w:rPr>
        <w:t xml:space="preserve">that </w:t>
      </w:r>
      <w:r w:rsidRPr="00B35D3E">
        <w:rPr>
          <w:rFonts w:ascii="Times New Roman" w:hAnsi="Times New Roman"/>
          <w:sz w:val="24"/>
          <w:szCs w:val="24"/>
        </w:rPr>
        <w:t xml:space="preserve">would qualify for an H-2C visa and </w:t>
      </w:r>
      <w:r w:rsidR="00AB6941">
        <w:rPr>
          <w:rFonts w:ascii="Times New Roman" w:hAnsi="Times New Roman"/>
          <w:sz w:val="24"/>
          <w:szCs w:val="24"/>
        </w:rPr>
        <w:t>simultaneously</w:t>
      </w:r>
      <w:r w:rsidRPr="00B35D3E">
        <w:rPr>
          <w:rFonts w:ascii="Times New Roman" w:hAnsi="Times New Roman"/>
          <w:sz w:val="24"/>
          <w:szCs w:val="24"/>
        </w:rPr>
        <w:t xml:space="preserve"> be eligible for </w:t>
      </w:r>
      <w:r w:rsidR="00AB6941">
        <w:rPr>
          <w:rFonts w:ascii="Times New Roman" w:hAnsi="Times New Roman"/>
          <w:sz w:val="24"/>
          <w:szCs w:val="24"/>
        </w:rPr>
        <w:t xml:space="preserve">adjustment of status under </w:t>
      </w:r>
      <w:r w:rsidRPr="00B35D3E">
        <w:rPr>
          <w:rFonts w:ascii="Times New Roman" w:hAnsi="Times New Roman"/>
          <w:sz w:val="24"/>
          <w:szCs w:val="24"/>
        </w:rPr>
        <w:t xml:space="preserve">the Deferred Action for Childhood </w:t>
      </w:r>
      <w:r w:rsidR="00AB6941">
        <w:rPr>
          <w:rFonts w:ascii="Times New Roman" w:hAnsi="Times New Roman"/>
          <w:sz w:val="24"/>
          <w:szCs w:val="24"/>
        </w:rPr>
        <w:t>Arrivals executive order.</w:t>
      </w:r>
    </w:p>
    <w:p w:rsidR="00B91874" w:rsidRPr="00A22BE9" w:rsidRDefault="00B91874" w:rsidP="00A22BE9">
      <w:pPr>
        <w:pStyle w:val="ListParagraph"/>
      </w:pPr>
      <w:r w:rsidRPr="00A22BE9">
        <w:t xml:space="preserve"> </w:t>
      </w:r>
    </w:p>
    <w:p w:rsidR="00E94C4F" w:rsidRDefault="00B91874" w:rsidP="00E94C4F">
      <w:pPr>
        <w:pStyle w:val="ListParagraph"/>
        <w:numPr>
          <w:ilvl w:val="0"/>
          <w:numId w:val="7"/>
        </w:numPr>
        <w:rPr>
          <w:rFonts w:ascii="Times New Roman" w:hAnsi="Times New Roman"/>
          <w:sz w:val="24"/>
          <w:szCs w:val="24"/>
        </w:rPr>
      </w:pPr>
      <w:r w:rsidRPr="00A22BE9">
        <w:rPr>
          <w:rFonts w:ascii="Times New Roman" w:hAnsi="Times New Roman"/>
          <w:sz w:val="24"/>
          <w:szCs w:val="24"/>
        </w:rPr>
        <w:t xml:space="preserve">The NAWS was similarly useful </w:t>
      </w:r>
      <w:r w:rsidR="00FB0DA2" w:rsidRPr="00A22BE9">
        <w:rPr>
          <w:rFonts w:ascii="Times New Roman" w:hAnsi="Times New Roman"/>
          <w:sz w:val="24"/>
          <w:szCs w:val="24"/>
        </w:rPr>
        <w:t>in FY 2006 for assessing</w:t>
      </w:r>
      <w:r w:rsidRPr="00A22BE9">
        <w:rPr>
          <w:rFonts w:ascii="Times New Roman" w:hAnsi="Times New Roman"/>
          <w:sz w:val="24"/>
          <w:szCs w:val="24"/>
        </w:rPr>
        <w:t xml:space="preserve"> immigration legislation.</w:t>
      </w:r>
      <w:r w:rsidR="00FB0DA2" w:rsidRPr="00A22BE9">
        <w:rPr>
          <w:rFonts w:ascii="Times New Roman" w:hAnsi="Times New Roman"/>
          <w:sz w:val="24"/>
          <w:szCs w:val="24"/>
        </w:rPr>
        <w:t xml:space="preserve"> </w:t>
      </w:r>
      <w:r w:rsidRPr="00A22BE9">
        <w:rPr>
          <w:rFonts w:ascii="Times New Roman" w:hAnsi="Times New Roman"/>
          <w:sz w:val="24"/>
          <w:szCs w:val="24"/>
        </w:rPr>
        <w:t xml:space="preserve"> </w:t>
      </w:r>
      <w:r w:rsidR="00FB0DA2" w:rsidRPr="00A22BE9">
        <w:rPr>
          <w:rFonts w:ascii="Times New Roman" w:hAnsi="Times New Roman"/>
          <w:sz w:val="24"/>
          <w:szCs w:val="24"/>
        </w:rPr>
        <w:t xml:space="preserve">CBO </w:t>
      </w:r>
      <w:r w:rsidRPr="00A22BE9">
        <w:rPr>
          <w:rFonts w:ascii="Times New Roman" w:hAnsi="Times New Roman"/>
          <w:sz w:val="24"/>
          <w:szCs w:val="24"/>
        </w:rPr>
        <w:t xml:space="preserve">relied on NAWS data to estimate the number of unauthorized farm workers who would qualify for legalization under Section 613 (a) “The Blue Card Program” of Senate Amendment 3192 to the </w:t>
      </w:r>
      <w:r w:rsidR="00316CE6" w:rsidRPr="00A22BE9">
        <w:rPr>
          <w:rFonts w:ascii="Times New Roman" w:hAnsi="Times New Roman"/>
          <w:sz w:val="24"/>
          <w:szCs w:val="24"/>
        </w:rPr>
        <w:t>“</w:t>
      </w:r>
      <w:r w:rsidRPr="00A22BE9">
        <w:rPr>
          <w:rFonts w:ascii="Times New Roman" w:hAnsi="Times New Roman"/>
          <w:sz w:val="24"/>
          <w:szCs w:val="24"/>
        </w:rPr>
        <w:t>Securing America’s Border Act</w:t>
      </w:r>
      <w:r w:rsidR="00316CE6" w:rsidRPr="00A22BE9">
        <w:rPr>
          <w:rFonts w:ascii="Times New Roman" w:hAnsi="Times New Roman"/>
          <w:sz w:val="24"/>
          <w:szCs w:val="24"/>
        </w:rPr>
        <w:t>”</w:t>
      </w:r>
      <w:r w:rsidRPr="00A22BE9">
        <w:rPr>
          <w:rFonts w:ascii="Times New Roman" w:hAnsi="Times New Roman"/>
          <w:sz w:val="24"/>
          <w:szCs w:val="24"/>
        </w:rPr>
        <w:t xml:space="preserve"> (S.2454).  CBO used the resulting finding</w:t>
      </w:r>
      <w:r w:rsidR="003C0850" w:rsidRPr="00A22BE9">
        <w:rPr>
          <w:rFonts w:ascii="Times New Roman" w:hAnsi="Times New Roman"/>
          <w:sz w:val="24"/>
          <w:szCs w:val="24"/>
        </w:rPr>
        <w:t>s</w:t>
      </w:r>
      <w:r w:rsidRPr="00A22BE9">
        <w:rPr>
          <w:rFonts w:ascii="Times New Roman" w:hAnsi="Times New Roman"/>
          <w:sz w:val="24"/>
          <w:szCs w:val="24"/>
        </w:rPr>
        <w:t xml:space="preserve"> and other NAWS data to project the costs of the legislation.  Similarly, </w:t>
      </w:r>
      <w:r w:rsidRPr="00A22BE9">
        <w:rPr>
          <w:rFonts w:ascii="Times New Roman" w:hAnsi="Times New Roman"/>
          <w:sz w:val="24"/>
          <w:szCs w:val="24"/>
        </w:rPr>
        <w:lastRenderedPageBreak/>
        <w:t>the Congressional Research Service used NAWS data in FY 2006 to estimate the share of newly legalized farm workers who would leave the farm labor market upon obtaining legal status.</w:t>
      </w:r>
    </w:p>
    <w:p w:rsidR="00E94C4F" w:rsidRPr="00E94C4F" w:rsidRDefault="00E94C4F" w:rsidP="002B31E8">
      <w:pPr>
        <w:pStyle w:val="ListParagraph"/>
      </w:pPr>
    </w:p>
    <w:p w:rsidR="00B550A7" w:rsidRDefault="00B550A7" w:rsidP="00E94C4F">
      <w:pPr>
        <w:pStyle w:val="ListParagraph"/>
        <w:numPr>
          <w:ilvl w:val="0"/>
          <w:numId w:val="7"/>
        </w:numPr>
        <w:rPr>
          <w:rFonts w:ascii="Times New Roman" w:hAnsi="Times New Roman"/>
          <w:sz w:val="24"/>
          <w:szCs w:val="24"/>
        </w:rPr>
      </w:pPr>
      <w:r w:rsidRPr="00E94C4F">
        <w:rPr>
          <w:rFonts w:ascii="Times New Roman" w:hAnsi="Times New Roman"/>
          <w:sz w:val="24"/>
          <w:szCs w:val="24"/>
        </w:rPr>
        <w:t xml:space="preserve">In FY 2004, HHS utilized NAWS health insurance data to fulfill its obligations under Section 404 of Public Law 107-251, “The Health Care Safety Net Amendments of 2002.”  Section 404 required DHHS to report to Congress on the problems experienced by migrant and seasonal farm workers in obtaining health services from the State-administered Medicaid and State Child Health Insurance Programs.  In FY 2002, HHS, Bureau of Primary Health Care used NAWS findings to construct </w:t>
      </w:r>
      <w:r w:rsidR="007146A1">
        <w:rPr>
          <w:rFonts w:ascii="Times New Roman" w:hAnsi="Times New Roman"/>
          <w:sz w:val="24"/>
          <w:szCs w:val="24"/>
        </w:rPr>
        <w:t xml:space="preserve">MSFW </w:t>
      </w:r>
      <w:r w:rsidRPr="00E94C4F">
        <w:rPr>
          <w:rFonts w:ascii="Times New Roman" w:hAnsi="Times New Roman"/>
          <w:sz w:val="24"/>
          <w:szCs w:val="24"/>
        </w:rPr>
        <w:t xml:space="preserve">enumeration profiles </w:t>
      </w:r>
      <w:r w:rsidR="007146A1">
        <w:rPr>
          <w:rFonts w:ascii="Times New Roman" w:hAnsi="Times New Roman"/>
          <w:sz w:val="24"/>
          <w:szCs w:val="24"/>
        </w:rPr>
        <w:t>for</w:t>
      </w:r>
      <w:r w:rsidRPr="00E94C4F">
        <w:rPr>
          <w:rFonts w:ascii="Times New Roman" w:hAnsi="Times New Roman"/>
          <w:sz w:val="24"/>
          <w:szCs w:val="24"/>
        </w:rPr>
        <w:t xml:space="preserve"> ten states.</w:t>
      </w:r>
    </w:p>
    <w:p w:rsidR="00AB6941" w:rsidRPr="00E94C4F" w:rsidRDefault="00AB6941" w:rsidP="00AB6941">
      <w:pPr>
        <w:pStyle w:val="ListParagraph"/>
        <w:ind w:left="360"/>
        <w:rPr>
          <w:rFonts w:ascii="Times New Roman" w:hAnsi="Times New Roman"/>
          <w:sz w:val="24"/>
          <w:szCs w:val="24"/>
        </w:rPr>
      </w:pPr>
    </w:p>
    <w:p w:rsidR="00B550A7" w:rsidRDefault="00B550A7" w:rsidP="00AB6941">
      <w:pPr>
        <w:pStyle w:val="ListParagraph"/>
        <w:numPr>
          <w:ilvl w:val="0"/>
          <w:numId w:val="7"/>
        </w:numPr>
        <w:rPr>
          <w:rFonts w:ascii="Times New Roman" w:hAnsi="Times New Roman"/>
          <w:sz w:val="24"/>
          <w:szCs w:val="24"/>
        </w:rPr>
      </w:pPr>
      <w:r w:rsidRPr="00AB6941">
        <w:rPr>
          <w:rFonts w:ascii="Times New Roman" w:hAnsi="Times New Roman"/>
          <w:sz w:val="24"/>
          <w:szCs w:val="24"/>
        </w:rPr>
        <w:t xml:space="preserve">While U.S. </w:t>
      </w:r>
      <w:r w:rsidR="003A484E" w:rsidRPr="00AB6941">
        <w:rPr>
          <w:rFonts w:ascii="Times New Roman" w:hAnsi="Times New Roman"/>
          <w:sz w:val="24"/>
          <w:szCs w:val="24"/>
        </w:rPr>
        <w:t>f</w:t>
      </w:r>
      <w:r w:rsidRPr="00AB6941">
        <w:rPr>
          <w:rFonts w:ascii="Times New Roman" w:hAnsi="Times New Roman"/>
          <w:sz w:val="24"/>
          <w:szCs w:val="24"/>
        </w:rPr>
        <w:t xml:space="preserve">ederal government agencies </w:t>
      </w:r>
      <w:r w:rsidR="007146A1">
        <w:rPr>
          <w:rFonts w:ascii="Times New Roman" w:hAnsi="Times New Roman"/>
          <w:sz w:val="24"/>
          <w:szCs w:val="24"/>
        </w:rPr>
        <w:t xml:space="preserve">primarily use NAWS data </w:t>
      </w:r>
      <w:r w:rsidRPr="00AB6941">
        <w:rPr>
          <w:rFonts w:ascii="Times New Roman" w:hAnsi="Times New Roman"/>
          <w:sz w:val="24"/>
          <w:szCs w:val="24"/>
        </w:rPr>
        <w:t xml:space="preserve">for programmatic purposes, they also use </w:t>
      </w:r>
      <w:r w:rsidR="007146A1">
        <w:rPr>
          <w:rFonts w:ascii="Times New Roman" w:hAnsi="Times New Roman"/>
          <w:sz w:val="24"/>
          <w:szCs w:val="24"/>
        </w:rPr>
        <w:t xml:space="preserve">the survey’s data </w:t>
      </w:r>
      <w:r w:rsidRPr="00AB6941">
        <w:rPr>
          <w:rFonts w:ascii="Times New Roman" w:hAnsi="Times New Roman"/>
          <w:sz w:val="24"/>
          <w:szCs w:val="24"/>
        </w:rPr>
        <w:t xml:space="preserve">to exemplify the U.S. government’s fulfillment of responsibilities under international agreements.  In FY 2000, the Department of State utilized NAWS findings at the Best Practices for Migrant Workers conference, which </w:t>
      </w:r>
      <w:proofErr w:type="gramStart"/>
      <w:r w:rsidRPr="00AB6941">
        <w:rPr>
          <w:rFonts w:ascii="Times New Roman" w:hAnsi="Times New Roman"/>
          <w:sz w:val="24"/>
          <w:szCs w:val="24"/>
        </w:rPr>
        <w:t>was held</w:t>
      </w:r>
      <w:proofErr w:type="gramEnd"/>
      <w:r w:rsidRPr="00AB6941">
        <w:rPr>
          <w:rFonts w:ascii="Times New Roman" w:hAnsi="Times New Roman"/>
          <w:sz w:val="24"/>
          <w:szCs w:val="24"/>
        </w:rPr>
        <w:t xml:space="preserve"> in preparation for the spring 2001 Summit of Americas.  DOL’s Bureau of International Labor Affairs has used NAWS findings at each of the last four U.S.-hosted government-to-government meetings with Mexico regarding the labor rights of Mexican migrant farm workers.  These meetings are part of the dispute resolution process under the North American Agreement on Labor Cooperation (NAALC), the labor </w:t>
      </w:r>
      <w:proofErr w:type="gramStart"/>
      <w:r w:rsidRPr="00AB6941">
        <w:rPr>
          <w:rFonts w:ascii="Times New Roman" w:hAnsi="Times New Roman"/>
          <w:sz w:val="24"/>
          <w:szCs w:val="24"/>
        </w:rPr>
        <w:t>side-bar</w:t>
      </w:r>
      <w:proofErr w:type="gramEnd"/>
      <w:r w:rsidRPr="00AB6941">
        <w:rPr>
          <w:rFonts w:ascii="Times New Roman" w:hAnsi="Times New Roman"/>
          <w:sz w:val="24"/>
          <w:szCs w:val="24"/>
        </w:rPr>
        <w:t xml:space="preserve"> agreement to the North American Free Trade Agreement.  In 2002, the Commission for Labor Cooperation, which </w:t>
      </w:r>
      <w:proofErr w:type="gramStart"/>
      <w:r w:rsidRPr="00AB6941">
        <w:rPr>
          <w:rFonts w:ascii="Times New Roman" w:hAnsi="Times New Roman"/>
          <w:sz w:val="24"/>
          <w:szCs w:val="24"/>
        </w:rPr>
        <w:t>was established</w:t>
      </w:r>
      <w:proofErr w:type="gramEnd"/>
      <w:r w:rsidRPr="00AB6941">
        <w:rPr>
          <w:rFonts w:ascii="Times New Roman" w:hAnsi="Times New Roman"/>
          <w:sz w:val="24"/>
          <w:szCs w:val="24"/>
        </w:rPr>
        <w:t xml:space="preserve"> under the NAALC, made extensive use of NAWS data in its report “Legal Background Paper on Migrants in North America.”</w:t>
      </w:r>
    </w:p>
    <w:p w:rsidR="00AB6941" w:rsidRPr="00AB6941" w:rsidRDefault="00AB6941" w:rsidP="00AB6941">
      <w:pPr>
        <w:pStyle w:val="ListParagraph"/>
      </w:pPr>
    </w:p>
    <w:p w:rsidR="00B91874" w:rsidRPr="00AB6941" w:rsidRDefault="00B550A7" w:rsidP="00AB6941">
      <w:pPr>
        <w:pStyle w:val="ListParagraph"/>
        <w:numPr>
          <w:ilvl w:val="0"/>
          <w:numId w:val="7"/>
        </w:numPr>
        <w:rPr>
          <w:rFonts w:ascii="Times New Roman" w:hAnsi="Times New Roman"/>
          <w:sz w:val="24"/>
          <w:szCs w:val="24"/>
        </w:rPr>
      </w:pPr>
      <w:r w:rsidRPr="00AB6941">
        <w:rPr>
          <w:rFonts w:ascii="Times New Roman" w:hAnsi="Times New Roman"/>
          <w:sz w:val="24"/>
          <w:szCs w:val="24"/>
        </w:rPr>
        <w:t>Several Presidential Commissions have used NAWS findings for program evaluation purposes.  These include the Commission on Migrant Education, the Commission on Agricultural Workers, and the Commission on Immigration Reform.  Moreover, the NAWS provides timely information to Congress on agricultural labor and child labor issues.  The Government Accountability Office has utilized NAWS data in its reports to Congress about information gaps on the immigrant population and DOL made extensive use of NAWS findings in its December 2000 report to Congress “The Agricultural Labor Market - Status and Recommendations.”</w:t>
      </w:r>
    </w:p>
    <w:p w:rsidR="00B550A7" w:rsidRDefault="00B550A7" w:rsidP="00806AAF">
      <w:pPr>
        <w:tabs>
          <w:tab w:val="left" w:pos="360"/>
        </w:tabs>
        <w:autoSpaceDE w:val="0"/>
        <w:autoSpaceDN w:val="0"/>
        <w:adjustRightInd w:val="0"/>
        <w:ind w:left="360" w:hanging="360"/>
      </w:pPr>
      <w:r>
        <w:rPr>
          <w:rFonts w:cs="Arial"/>
          <w:b/>
          <w:szCs w:val="20"/>
        </w:rPr>
        <w:t>3.</w:t>
      </w:r>
      <w:r w:rsidR="001F1FCD">
        <w:rPr>
          <w:rFonts w:cs="Arial"/>
          <w:b/>
          <w:szCs w:val="20"/>
        </w:rPr>
        <w:tab/>
      </w:r>
      <w:r w:rsidR="00B94D41" w:rsidRPr="00B94D41">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316CE6">
        <w:rPr>
          <w:b/>
        </w:rPr>
        <w:t xml:space="preserve"> </w:t>
      </w:r>
      <w:proofErr w:type="gramStart"/>
      <w:r w:rsidR="00B94D41" w:rsidRPr="00B94D41">
        <w:rPr>
          <w:b/>
        </w:rPr>
        <w:t>Also</w:t>
      </w:r>
      <w:proofErr w:type="gramEnd"/>
      <w:r w:rsidR="00B94D41" w:rsidRPr="00B94D41">
        <w:rPr>
          <w:b/>
        </w:rPr>
        <w:t xml:space="preserve"> describe any consideration of using information technology to reduce burden.</w:t>
      </w:r>
      <w:r w:rsidR="00B94D41">
        <w:t xml:space="preserve"> </w:t>
      </w:r>
    </w:p>
    <w:p w:rsidR="00B550A7" w:rsidRDefault="00B550A7" w:rsidP="00EE0D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cs="Arial"/>
          <w:szCs w:val="20"/>
        </w:rPr>
      </w:pPr>
      <w:r>
        <w:rPr>
          <w:rFonts w:cs="Arial"/>
          <w:szCs w:val="20"/>
        </w:rPr>
        <w:lastRenderedPageBreak/>
        <w:t xml:space="preserve">The use of information </w:t>
      </w:r>
      <w:r w:rsidRPr="003041B8">
        <w:t>technology</w:t>
      </w:r>
      <w:r>
        <w:rPr>
          <w:rFonts w:cs="Arial"/>
          <w:szCs w:val="20"/>
        </w:rPr>
        <w:t xml:space="preserve"> to reduce respondent burden is currently inappropriate for this survey due to the very low literacy levels among farm workers.  All interviews are conducted in-person and the interviewer writes down respondent answers directly on the questionnaire.  The proposed questions </w:t>
      </w:r>
      <w:proofErr w:type="gramStart"/>
      <w:r>
        <w:rPr>
          <w:rFonts w:cs="Arial"/>
          <w:szCs w:val="20"/>
        </w:rPr>
        <w:t>will be inserted</w:t>
      </w:r>
      <w:proofErr w:type="gramEnd"/>
      <w:r>
        <w:rPr>
          <w:rFonts w:cs="Arial"/>
          <w:szCs w:val="20"/>
        </w:rPr>
        <w:t xml:space="preserve"> into the primary questionnaire.</w:t>
      </w:r>
    </w:p>
    <w:p w:rsidR="002B31E8" w:rsidRPr="00296B26" w:rsidRDefault="002B31E8" w:rsidP="002B31E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cs="Arial"/>
          <w:szCs w:val="20"/>
        </w:rPr>
      </w:pPr>
    </w:p>
    <w:p w:rsidR="00B550A7" w:rsidRDefault="00B550A7" w:rsidP="00806AAF">
      <w:pPr>
        <w:tabs>
          <w:tab w:val="left" w:pos="360"/>
        </w:tabs>
        <w:autoSpaceDE w:val="0"/>
        <w:autoSpaceDN w:val="0"/>
        <w:adjustRightInd w:val="0"/>
        <w:ind w:left="360" w:hanging="360"/>
        <w:rPr>
          <w:rFonts w:cs="Arial"/>
          <w:b/>
          <w:szCs w:val="20"/>
        </w:rPr>
      </w:pPr>
      <w:r w:rsidRPr="00FE78B8">
        <w:rPr>
          <w:rFonts w:cs="Arial"/>
          <w:b/>
          <w:szCs w:val="20"/>
        </w:rPr>
        <w:t>4.</w:t>
      </w:r>
      <w:r w:rsidR="001F1FCD">
        <w:rPr>
          <w:rFonts w:cs="Arial"/>
          <w:b/>
          <w:szCs w:val="20"/>
        </w:rPr>
        <w:tab/>
      </w:r>
      <w:r w:rsidR="00B94D41" w:rsidRPr="00B94D41">
        <w:rPr>
          <w:b/>
        </w:rPr>
        <w:t>Describe efforts to identify duplication. Show specifically why any similar information already available cannot be used or modified for use for the purposes described in Item 2 above.</w:t>
      </w:r>
      <w:r w:rsidR="00B94D41">
        <w:t xml:space="preserve"> </w:t>
      </w:r>
    </w:p>
    <w:p w:rsidR="00B550A7" w:rsidRDefault="00B550A7" w:rsidP="009A48FC">
      <w:pPr>
        <w:rPr>
          <w:rFonts w:cs="Arial"/>
          <w:b/>
          <w:szCs w:val="20"/>
        </w:rPr>
      </w:pPr>
    </w:p>
    <w:p w:rsidR="00B70EBE"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There are no reliable national estimates of the employment, demographic, and health characteristics of hired crop workers that would render the NAWS duplicative.  </w:t>
      </w:r>
      <w:proofErr w:type="gramStart"/>
      <w:r w:rsidR="00B70EBE">
        <w:t>Moreover, there are no existing data sources that would provide reliable estimates of the quality and access to health care, access to digital information sources, and participation in education and training of farm workers.</w:t>
      </w:r>
      <w:proofErr w:type="gramEnd"/>
      <w:r w:rsidR="00B70EBE">
        <w:t xml:space="preserve">  </w:t>
      </w:r>
      <w:proofErr w:type="gramStart"/>
      <w:r w:rsidR="00B70EBE">
        <w:t>The primary NAWS questionnaire has collected information on health care access, and includes some questions on participation in education and training.</w:t>
      </w:r>
      <w:proofErr w:type="gramEnd"/>
      <w:r w:rsidR="00B70EBE">
        <w:t xml:space="preserve">  </w:t>
      </w:r>
    </w:p>
    <w:p w:rsidR="00B70EBE" w:rsidRDefault="00B70EBE"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550A7"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Prior to the NAWS, information on farm workers </w:t>
      </w:r>
      <w:proofErr w:type="gramStart"/>
      <w:r>
        <w:t>was collected</w:t>
      </w:r>
      <w:proofErr w:type="gramEnd"/>
      <w:r>
        <w:t xml:space="preserve"> via a supplement to the </w:t>
      </w:r>
      <w:r w:rsidR="00316CE6">
        <w:t>Current Population Survey (CPS)</w:t>
      </w:r>
      <w:r>
        <w:t xml:space="preserve">.  The CPS, however, excludes large numbers of employed crop workers from its sample, particularly the foreign-born and migrant workers.  Many of these workers are difficult to find because they do not live at recognized addresses for long </w:t>
      </w:r>
      <w:proofErr w:type="gramStart"/>
      <w:r>
        <w:t>periods of time</w:t>
      </w:r>
      <w:proofErr w:type="gramEnd"/>
      <w:r>
        <w:t xml:space="preserve">.  USDA’s Farm Labor Survey (FLS) </w:t>
      </w:r>
      <w:proofErr w:type="gramStart"/>
      <w:r>
        <w:t>was also considered</w:t>
      </w:r>
      <w:proofErr w:type="gramEnd"/>
      <w:r>
        <w:t xml:space="preserve">.  The FLS collects wage and other employment data at the national and regional level.  It </w:t>
      </w:r>
      <w:proofErr w:type="gramStart"/>
      <w:r>
        <w:t>is conducted</w:t>
      </w:r>
      <w:proofErr w:type="gramEnd"/>
      <w:r>
        <w:t xml:space="preserve"> with employers and personnel managers, however, and cannot be used to describe the characteristics of hired crop workers.</w:t>
      </w:r>
    </w:p>
    <w:p w:rsidR="00B550A7"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550A7"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In addition to considering other surveys, DOL also investigated the possibility of using existing data sets to evaluate the characteristics of workers in U.S. crop agriculture.  Unfortunately, data recorded by social security numbers in the Unemployment Insurance (ES 202) files, as well as files of the Social Security Administration, do not provide the appropriate employment, demographic, and health characteristics.  DOL determined that only a survey that was both personally administered and establishment-based (workers are sampled at their place of employment) would be appropriate for describing the population of hired crop workers.  The NAWS is the only survey that satisfies these requirements.</w:t>
      </w:r>
    </w:p>
    <w:p w:rsidR="00B550A7" w:rsidRDefault="00B550A7" w:rsidP="009A48FC">
      <w:pPr>
        <w:rPr>
          <w:rFonts w:cs="Arial"/>
          <w:szCs w:val="20"/>
        </w:rPr>
      </w:pPr>
    </w:p>
    <w:p w:rsidR="00B550A7" w:rsidRDefault="00B550A7" w:rsidP="00806AAF">
      <w:pPr>
        <w:tabs>
          <w:tab w:val="left" w:pos="360"/>
        </w:tabs>
        <w:autoSpaceDE w:val="0"/>
        <w:autoSpaceDN w:val="0"/>
        <w:adjustRightInd w:val="0"/>
        <w:ind w:left="360" w:hanging="360"/>
        <w:rPr>
          <w:rFonts w:cs="Arial"/>
          <w:b/>
          <w:szCs w:val="20"/>
        </w:rPr>
      </w:pPr>
      <w:r w:rsidRPr="002C1030">
        <w:rPr>
          <w:rFonts w:cs="Arial"/>
          <w:b/>
          <w:szCs w:val="20"/>
        </w:rPr>
        <w:t>5.</w:t>
      </w:r>
      <w:r w:rsidR="00A51A85">
        <w:rPr>
          <w:rFonts w:cs="Arial"/>
          <w:b/>
          <w:szCs w:val="20"/>
        </w:rPr>
        <w:tab/>
      </w:r>
      <w:r w:rsidR="00B94D41" w:rsidRPr="00B94D41">
        <w:rPr>
          <w:b/>
        </w:rPr>
        <w:t xml:space="preserve">If the collection of information </w:t>
      </w:r>
      <w:proofErr w:type="gramStart"/>
      <w:r w:rsidR="00B94D41" w:rsidRPr="00B94D41">
        <w:rPr>
          <w:b/>
        </w:rPr>
        <w:t>impacts</w:t>
      </w:r>
      <w:proofErr w:type="gramEnd"/>
      <w:r w:rsidR="00B94D41" w:rsidRPr="00B94D41">
        <w:rPr>
          <w:b/>
        </w:rPr>
        <w:t xml:space="preserve"> small businesses or other small entities, describe any methods used to minimize burden.</w:t>
      </w:r>
      <w:r w:rsidR="00B94D41">
        <w:t xml:space="preserve"> </w:t>
      </w:r>
    </w:p>
    <w:p w:rsidR="00B550A7" w:rsidRDefault="00B550A7" w:rsidP="009A48FC">
      <w:pPr>
        <w:rPr>
          <w:rFonts w:cs="Arial"/>
          <w:b/>
          <w:szCs w:val="20"/>
        </w:rPr>
      </w:pPr>
    </w:p>
    <w:p w:rsidR="00B550A7" w:rsidRPr="003041B8"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3041B8">
        <w:t xml:space="preserve">Agricultural employers of all sizes </w:t>
      </w:r>
      <w:proofErr w:type="gramStart"/>
      <w:r w:rsidRPr="003041B8">
        <w:t>are selected</w:t>
      </w:r>
      <w:proofErr w:type="gramEnd"/>
      <w:r w:rsidRPr="003041B8">
        <w:t xml:space="preserve"> in the NAWS by simple random sampling.  It is necessary to sample employers first as there are no universe lists of farm workers.  The farm </w:t>
      </w:r>
      <w:proofErr w:type="gramStart"/>
      <w:r w:rsidRPr="003041B8">
        <w:t>worker sampling</w:t>
      </w:r>
      <w:proofErr w:type="gramEnd"/>
      <w:r w:rsidRPr="003041B8">
        <w:t xml:space="preserve"> frame at each establishment is constructed with the help of the employer, packinghouse manager, personnel manager, farm labor contractor, or crew leader, as appropriate.  In each case, the ‘employer’ serves as a voluntary contact point </w:t>
      </w:r>
      <w:proofErr w:type="gramStart"/>
      <w:r w:rsidRPr="003041B8">
        <w:t>for the purpose of</w:t>
      </w:r>
      <w:proofErr w:type="gramEnd"/>
      <w:r w:rsidRPr="003041B8">
        <w:t xml:space="preserve"> creating the worker frame.</w:t>
      </w:r>
    </w:p>
    <w:p w:rsidR="00B550A7" w:rsidRPr="003041B8" w:rsidRDefault="00B550A7" w:rsidP="00EE0D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3041B8">
        <w:lastRenderedPageBreak/>
        <w:t xml:space="preserve">To reduce burden on both agricultural employers and farm workers, a stratified sample </w:t>
      </w:r>
      <w:proofErr w:type="gramStart"/>
      <w:r w:rsidRPr="003041B8">
        <w:t>is used</w:t>
      </w:r>
      <w:proofErr w:type="gramEnd"/>
      <w:r w:rsidRPr="003041B8">
        <w:t xml:space="preserve"> to represent the national population of farm workers.  The NAWS contractor minimizes the burden of this activity on all employers, including small employers, by trying to determine if the employer is still in business before contacting the business and by notifying the employer ahead of time by mail that they </w:t>
      </w:r>
      <w:proofErr w:type="gramStart"/>
      <w:r w:rsidRPr="003041B8">
        <w:t>have been selected</w:t>
      </w:r>
      <w:proofErr w:type="gramEnd"/>
      <w:r w:rsidRPr="003041B8">
        <w:t xml:space="preserve"> to participate.  </w:t>
      </w:r>
      <w:proofErr w:type="gramStart"/>
      <w:r w:rsidRPr="003041B8">
        <w:t>To further minimize</w:t>
      </w:r>
      <w:proofErr w:type="gramEnd"/>
      <w:r w:rsidRPr="003041B8">
        <w:t xml:space="preserve"> burden, farm workers are interviewed, whenever possible, outside the workplace, and during a break period, lunch, or before or after the workday.  In all cases, interviewers </w:t>
      </w:r>
      <w:proofErr w:type="gramStart"/>
      <w:r w:rsidRPr="003041B8">
        <w:t>are instructed</w:t>
      </w:r>
      <w:proofErr w:type="gramEnd"/>
      <w:r w:rsidRPr="003041B8">
        <w:t>, and employers are informed ahead of time, that the interview process is not to interfere with the employer’s production activities.</w:t>
      </w:r>
    </w:p>
    <w:p w:rsidR="00B550A7" w:rsidRPr="003041B8"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3041B8">
        <w:t xml:space="preserve">    </w:t>
      </w:r>
    </w:p>
    <w:p w:rsidR="00B550A7" w:rsidRPr="003041B8"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3041B8">
        <w:t>This information collection does not have significant economic impact on small entities.</w:t>
      </w:r>
    </w:p>
    <w:p w:rsidR="00B550A7" w:rsidRDefault="00B550A7" w:rsidP="009A48FC">
      <w:pPr>
        <w:rPr>
          <w:rFonts w:cs="Arial"/>
          <w:szCs w:val="20"/>
        </w:rPr>
      </w:pPr>
    </w:p>
    <w:p w:rsidR="00B550A7" w:rsidRDefault="00B550A7" w:rsidP="00806AAF">
      <w:pPr>
        <w:tabs>
          <w:tab w:val="left" w:pos="360"/>
        </w:tabs>
        <w:autoSpaceDE w:val="0"/>
        <w:autoSpaceDN w:val="0"/>
        <w:adjustRightInd w:val="0"/>
        <w:ind w:left="360" w:hanging="360"/>
        <w:rPr>
          <w:rFonts w:cs="Arial"/>
          <w:b/>
          <w:szCs w:val="20"/>
        </w:rPr>
      </w:pPr>
      <w:r w:rsidRPr="00727D8E">
        <w:rPr>
          <w:rFonts w:cs="Arial"/>
          <w:b/>
          <w:szCs w:val="20"/>
        </w:rPr>
        <w:t>6.</w:t>
      </w:r>
      <w:r w:rsidR="00A51A85">
        <w:rPr>
          <w:rFonts w:cs="Arial"/>
          <w:b/>
          <w:szCs w:val="20"/>
        </w:rPr>
        <w:tab/>
      </w:r>
      <w:r w:rsidR="00B94D41" w:rsidRPr="00B94D41">
        <w:rPr>
          <w:b/>
        </w:rPr>
        <w:t xml:space="preserve">Describe the consequence to Federal program or policy activities if the collection </w:t>
      </w:r>
      <w:proofErr w:type="gramStart"/>
      <w:r w:rsidR="00B94D41" w:rsidRPr="00B94D41">
        <w:rPr>
          <w:b/>
        </w:rPr>
        <w:t>is not conducted</w:t>
      </w:r>
      <w:proofErr w:type="gramEnd"/>
      <w:r w:rsidR="00B94D41" w:rsidRPr="00B94D41">
        <w:rPr>
          <w:b/>
        </w:rPr>
        <w:t xml:space="preserve"> or is conducted less frequently, as well as any technical or legal obstacles to reducing burden.</w:t>
      </w:r>
      <w:r w:rsidR="00B94D41">
        <w:t xml:space="preserve"> </w:t>
      </w:r>
    </w:p>
    <w:p w:rsidR="00B550A7" w:rsidRDefault="00B550A7" w:rsidP="009A48FC">
      <w:pPr>
        <w:rPr>
          <w:rFonts w:cs="Arial"/>
          <w:b/>
          <w:szCs w:val="20"/>
        </w:rPr>
      </w:pPr>
    </w:p>
    <w:p w:rsidR="00B550A7"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NAWS </w:t>
      </w:r>
      <w:proofErr w:type="gramStart"/>
      <w:r>
        <w:t>is conducted</w:t>
      </w:r>
      <w:proofErr w:type="gramEnd"/>
      <w:r>
        <w:t xml:space="preserve"> yearly in three cycles to ensure sensitivity to seasonal fluctuations in labor across the country.  Staggered sampling </w:t>
      </w:r>
      <w:proofErr w:type="gramStart"/>
      <w:r>
        <w:t>cannot be avoided</w:t>
      </w:r>
      <w:proofErr w:type="gramEnd"/>
      <w:r>
        <w:t xml:space="preserve"> due to the seasonality of crop employment.  A representative random sample of employed farm workers </w:t>
      </w:r>
      <w:proofErr w:type="gramStart"/>
      <w:r>
        <w:t>can only be obtained</w:t>
      </w:r>
      <w:proofErr w:type="gramEnd"/>
      <w:r>
        <w:t xml:space="preserve"> by conducting interviews at various times in the year.  The seasonality </w:t>
      </w:r>
      <w:r w:rsidR="00D3471A">
        <w:t xml:space="preserve">of crop employment and the </w:t>
      </w:r>
      <w:r>
        <w:t>mobility of workers require seasonal sampling in order to avoid bias.</w:t>
      </w:r>
    </w:p>
    <w:p w:rsidR="00B550A7" w:rsidRPr="003041B8"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550A7" w:rsidRPr="003041B8" w:rsidRDefault="00B550A7" w:rsidP="00806AAF">
      <w:pPr>
        <w:tabs>
          <w:tab w:val="left" w:pos="360"/>
        </w:tabs>
        <w:autoSpaceDE w:val="0"/>
        <w:autoSpaceDN w:val="0"/>
        <w:adjustRightInd w:val="0"/>
        <w:ind w:left="360" w:hanging="360"/>
        <w:rPr>
          <w:b/>
        </w:rPr>
      </w:pPr>
      <w:r w:rsidRPr="004F6D05">
        <w:rPr>
          <w:rFonts w:cs="Arial"/>
          <w:b/>
          <w:szCs w:val="20"/>
        </w:rPr>
        <w:t>7</w:t>
      </w:r>
      <w:r w:rsidRPr="003041B8">
        <w:rPr>
          <w:b/>
        </w:rPr>
        <w:t>.</w:t>
      </w:r>
      <w:r w:rsidR="00A51A85">
        <w:rPr>
          <w:b/>
        </w:rPr>
        <w:tab/>
      </w:r>
      <w:r w:rsidR="00B94D41" w:rsidRPr="00806AAF">
        <w:rPr>
          <w:b/>
        </w:rPr>
        <w:t xml:space="preserve">Explain any special circumstances that would cause an information collection to be conducted in a manner inconsistent with the general information guidelines in </w:t>
      </w:r>
      <w:proofErr w:type="gramStart"/>
      <w:r w:rsidR="00B94D41" w:rsidRPr="00806AAF">
        <w:rPr>
          <w:b/>
        </w:rPr>
        <w:t>5</w:t>
      </w:r>
      <w:proofErr w:type="gramEnd"/>
      <w:r w:rsidR="00B94D41" w:rsidRPr="00806AAF">
        <w:rPr>
          <w:b/>
        </w:rPr>
        <w:t xml:space="preserve"> CFR 1320.5.</w:t>
      </w:r>
      <w:r w:rsidR="00431C90" w:rsidRPr="00806AAF">
        <w:rPr>
          <w:b/>
        </w:rPr>
        <w:t xml:space="preserve"> </w:t>
      </w:r>
    </w:p>
    <w:p w:rsidR="00B550A7" w:rsidRDefault="00B550A7" w:rsidP="009A48FC">
      <w:pPr>
        <w:rPr>
          <w:rFonts w:cs="Arial"/>
          <w:b/>
          <w:szCs w:val="20"/>
        </w:rPr>
      </w:pPr>
    </w:p>
    <w:p w:rsidR="00B550A7"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cs="Arial"/>
          <w:szCs w:val="20"/>
        </w:rPr>
      </w:pPr>
      <w:r>
        <w:rPr>
          <w:rFonts w:cs="Arial"/>
          <w:szCs w:val="20"/>
        </w:rPr>
        <w:t xml:space="preserve">This information collection is consistent with </w:t>
      </w:r>
      <w:proofErr w:type="gramStart"/>
      <w:r>
        <w:rPr>
          <w:rFonts w:cs="Arial"/>
          <w:szCs w:val="20"/>
        </w:rPr>
        <w:t>5</w:t>
      </w:r>
      <w:proofErr w:type="gramEnd"/>
      <w:r>
        <w:rPr>
          <w:rFonts w:cs="Arial"/>
          <w:szCs w:val="20"/>
        </w:rPr>
        <w:t xml:space="preserve"> </w:t>
      </w:r>
      <w:r w:rsidRPr="003041B8">
        <w:t>CFR</w:t>
      </w:r>
      <w:r>
        <w:rPr>
          <w:rFonts w:cs="Arial"/>
          <w:szCs w:val="20"/>
        </w:rPr>
        <w:t xml:space="preserve"> 1320.5.</w:t>
      </w:r>
    </w:p>
    <w:p w:rsidR="00B550A7" w:rsidRDefault="00B550A7" w:rsidP="009A48FC">
      <w:pPr>
        <w:rPr>
          <w:rFonts w:cs="Arial"/>
          <w:b/>
          <w:szCs w:val="20"/>
        </w:rPr>
      </w:pPr>
    </w:p>
    <w:p w:rsidR="00B550A7" w:rsidRDefault="00B550A7" w:rsidP="00806AAF">
      <w:pPr>
        <w:tabs>
          <w:tab w:val="left" w:pos="360"/>
        </w:tabs>
        <w:autoSpaceDE w:val="0"/>
        <w:autoSpaceDN w:val="0"/>
        <w:adjustRightInd w:val="0"/>
        <w:ind w:left="360" w:hanging="360"/>
        <w:rPr>
          <w:rFonts w:cs="Arial"/>
          <w:b/>
          <w:szCs w:val="20"/>
        </w:rPr>
      </w:pPr>
      <w:r w:rsidRPr="00CA130E">
        <w:rPr>
          <w:rFonts w:cs="Arial"/>
          <w:b/>
          <w:szCs w:val="20"/>
        </w:rPr>
        <w:t>8.</w:t>
      </w:r>
      <w:r w:rsidR="00A51A85">
        <w:rPr>
          <w:rFonts w:cs="Arial"/>
          <w:b/>
          <w:szCs w:val="20"/>
        </w:rPr>
        <w:tab/>
      </w:r>
      <w:r w:rsidR="00431C90" w:rsidRPr="003041B8">
        <w:rPr>
          <w:rFonts w:cs="Arial"/>
          <w:b/>
          <w:szCs w:val="20"/>
        </w:rPr>
        <w:t xml:space="preserve">If applicable, provide a copy and identify the date and page number of publication in the Federal Register of the agency's notice, required by </w:t>
      </w:r>
      <w:proofErr w:type="gramStart"/>
      <w:r w:rsidR="00431C90" w:rsidRPr="003041B8">
        <w:rPr>
          <w:rFonts w:cs="Arial"/>
          <w:b/>
          <w:szCs w:val="20"/>
        </w:rPr>
        <w:t>5</w:t>
      </w:r>
      <w:proofErr w:type="gramEnd"/>
      <w:r w:rsidR="00431C90" w:rsidRPr="003041B8">
        <w:rPr>
          <w:rFonts w:cs="Arial"/>
          <w:b/>
          <w:szCs w:val="20"/>
        </w:rPr>
        <w:t xml:space="preserve"> CFR 1320.8(d), soliciting </w:t>
      </w:r>
      <w:r w:rsidR="00431C90" w:rsidRPr="003041B8">
        <w:rPr>
          <w:b/>
        </w:rPr>
        <w:t>comments</w:t>
      </w:r>
      <w:r w:rsidR="00431C90" w:rsidRPr="003041B8">
        <w:rPr>
          <w:rFonts w:cs="Arial"/>
          <w:b/>
          <w:szCs w:val="20"/>
        </w:rPr>
        <w:t xml:space="preserve"> on the information collection prior to submission to OMB. Summarize public comments received in response to that notice and describe actions taken by the agency in response to these comments. </w:t>
      </w:r>
      <w:r w:rsidR="003A7DF6">
        <w:rPr>
          <w:rFonts w:cs="Arial"/>
          <w:b/>
          <w:szCs w:val="20"/>
        </w:rPr>
        <w:t xml:space="preserve"> </w:t>
      </w:r>
      <w:r w:rsidR="00431C90" w:rsidRPr="003041B8">
        <w:rPr>
          <w:rFonts w:cs="Arial"/>
          <w:b/>
          <w:szCs w:val="20"/>
        </w:rPr>
        <w:t>Specifically address comments received on cost and hour burden.</w:t>
      </w:r>
      <w:r w:rsidR="00431C90" w:rsidRPr="00806AAF">
        <w:rPr>
          <w:rFonts w:cs="Arial"/>
          <w:b/>
          <w:szCs w:val="20"/>
        </w:rPr>
        <w:t xml:space="preserve"> </w:t>
      </w:r>
    </w:p>
    <w:p w:rsidR="00B550A7" w:rsidRDefault="00B550A7" w:rsidP="009A48FC">
      <w:pPr>
        <w:rPr>
          <w:rFonts w:cs="Arial"/>
          <w:b/>
          <w:szCs w:val="20"/>
        </w:rPr>
      </w:pPr>
    </w:p>
    <w:p w:rsidR="003A7EE8" w:rsidRDefault="00B70EBE" w:rsidP="005F776E">
      <w:pPr>
        <w:ind w:left="360"/>
      </w:pPr>
      <w:r>
        <w:rPr>
          <w:rFonts w:cs="Arial"/>
          <w:szCs w:val="20"/>
        </w:rPr>
        <w:t xml:space="preserve">As </w:t>
      </w:r>
      <w:r w:rsidRPr="00E02DAB">
        <w:t>required</w:t>
      </w:r>
      <w:r>
        <w:rPr>
          <w:rFonts w:cs="Arial"/>
          <w:szCs w:val="20"/>
        </w:rPr>
        <w:t xml:space="preserve"> by the Paperwork Reduction Act of 1995 (44 USC. 3506(c</w:t>
      </w:r>
      <w:proofErr w:type="gramStart"/>
      <w:r>
        <w:rPr>
          <w:rFonts w:cs="Arial"/>
          <w:szCs w:val="20"/>
        </w:rPr>
        <w:t>)(</w:t>
      </w:r>
      <w:proofErr w:type="gramEnd"/>
      <w:r>
        <w:rPr>
          <w:rFonts w:cs="Arial"/>
          <w:szCs w:val="20"/>
        </w:rPr>
        <w:t xml:space="preserve">2)(A)), ETA published a notice in the </w:t>
      </w:r>
      <w:r w:rsidRPr="002D3991">
        <w:rPr>
          <w:rFonts w:cs="Arial"/>
          <w:szCs w:val="20"/>
          <w:u w:val="single"/>
        </w:rPr>
        <w:t>Federal</w:t>
      </w:r>
      <w:r>
        <w:rPr>
          <w:rFonts w:cs="Arial"/>
          <w:szCs w:val="20"/>
        </w:rPr>
        <w:t xml:space="preserve"> </w:t>
      </w:r>
      <w:r w:rsidRPr="002D3991">
        <w:rPr>
          <w:rFonts w:cs="Arial"/>
          <w:szCs w:val="20"/>
          <w:u w:val="single"/>
        </w:rPr>
        <w:t>Register</w:t>
      </w:r>
      <w:r>
        <w:rPr>
          <w:rFonts w:cs="Arial"/>
          <w:szCs w:val="20"/>
        </w:rPr>
        <w:t xml:space="preserve"> on </w:t>
      </w:r>
      <w:r w:rsidR="00724322">
        <w:rPr>
          <w:rFonts w:cs="Arial"/>
          <w:szCs w:val="20"/>
        </w:rPr>
        <w:t>06</w:t>
      </w:r>
      <w:r w:rsidRPr="00AF14FC">
        <w:rPr>
          <w:rFonts w:cs="Arial"/>
          <w:szCs w:val="20"/>
        </w:rPr>
        <w:t>/</w:t>
      </w:r>
      <w:r w:rsidR="00724322">
        <w:rPr>
          <w:rFonts w:cs="Arial"/>
          <w:szCs w:val="20"/>
        </w:rPr>
        <w:t>26</w:t>
      </w:r>
      <w:r w:rsidRPr="00AF14FC">
        <w:rPr>
          <w:rFonts w:cs="Arial"/>
          <w:szCs w:val="20"/>
        </w:rPr>
        <w:t>/201</w:t>
      </w:r>
      <w:r w:rsidR="00724322">
        <w:rPr>
          <w:rFonts w:cs="Arial"/>
          <w:szCs w:val="20"/>
        </w:rPr>
        <w:t>5</w:t>
      </w:r>
      <w:r w:rsidRPr="00AF14FC">
        <w:rPr>
          <w:rFonts w:cs="Arial"/>
          <w:szCs w:val="20"/>
        </w:rPr>
        <w:t xml:space="preserve"> (</w:t>
      </w:r>
      <w:r w:rsidR="00683C3C">
        <w:rPr>
          <w:rFonts w:cs="Arial"/>
          <w:szCs w:val="20"/>
        </w:rPr>
        <w:t>80</w:t>
      </w:r>
      <w:r w:rsidRPr="00AF14FC">
        <w:rPr>
          <w:rFonts w:cs="Arial"/>
          <w:szCs w:val="20"/>
        </w:rPr>
        <w:t xml:space="preserve"> FR </w:t>
      </w:r>
      <w:r w:rsidR="00683C3C">
        <w:rPr>
          <w:rFonts w:cs="Arial"/>
          <w:szCs w:val="20"/>
        </w:rPr>
        <w:t>36853</w:t>
      </w:r>
      <w:r w:rsidRPr="00AF14FC">
        <w:rPr>
          <w:rFonts w:cs="Arial"/>
          <w:szCs w:val="20"/>
        </w:rPr>
        <w:t xml:space="preserve">), seeking public comment on the proposed </w:t>
      </w:r>
      <w:r w:rsidR="00AF14FC">
        <w:rPr>
          <w:rFonts w:cs="Arial"/>
          <w:szCs w:val="20"/>
        </w:rPr>
        <w:t>changes</w:t>
      </w:r>
      <w:r w:rsidR="00394E06" w:rsidRPr="00AF14FC">
        <w:rPr>
          <w:rFonts w:cs="Arial"/>
          <w:szCs w:val="20"/>
        </w:rPr>
        <w:t xml:space="preserve">. </w:t>
      </w:r>
      <w:r w:rsidR="00AF14FC">
        <w:rPr>
          <w:rFonts w:cs="Arial"/>
          <w:szCs w:val="20"/>
        </w:rPr>
        <w:t xml:space="preserve">  </w:t>
      </w:r>
      <w:r w:rsidRPr="00AF14FC">
        <w:rPr>
          <w:rFonts w:cs="Arial"/>
          <w:szCs w:val="20"/>
        </w:rPr>
        <w:t xml:space="preserve">ETA received </w:t>
      </w:r>
      <w:r w:rsidR="00CA4F35">
        <w:rPr>
          <w:rFonts w:cs="Arial"/>
          <w:szCs w:val="20"/>
        </w:rPr>
        <w:t>four sets of</w:t>
      </w:r>
      <w:r w:rsidR="00CA4F35" w:rsidRPr="00AF14FC">
        <w:rPr>
          <w:rFonts w:cs="Arial"/>
          <w:szCs w:val="20"/>
        </w:rPr>
        <w:t xml:space="preserve"> </w:t>
      </w:r>
      <w:r w:rsidRPr="00AF14FC">
        <w:rPr>
          <w:rFonts w:cs="Arial"/>
          <w:szCs w:val="20"/>
        </w:rPr>
        <w:t xml:space="preserve">comments </w:t>
      </w:r>
      <w:r w:rsidR="00CA4F35">
        <w:rPr>
          <w:rFonts w:cs="Arial"/>
          <w:szCs w:val="20"/>
        </w:rPr>
        <w:t xml:space="preserve">(letters) in response to this notice.  </w:t>
      </w:r>
      <w:r w:rsidR="003A7EE8">
        <w:t xml:space="preserve">Each letter expressed support for the continuation of the NAWS.  In one letter, the commenter asked that it be notified if changes to the questionnaire will </w:t>
      </w:r>
      <w:proofErr w:type="gramStart"/>
      <w:r w:rsidR="003A7EE8">
        <w:t>impact</w:t>
      </w:r>
      <w:proofErr w:type="gramEnd"/>
      <w:r w:rsidR="003A7EE8">
        <w:t xml:space="preserve"> its ability to generate estimates of the number of international migrant farm workers and their incomes, which are needed to annually update international transaction accounts and gross domestic product.  ETA assures that none of the proposed changes will affect </w:t>
      </w:r>
      <w:r w:rsidR="002E50C3">
        <w:t>this commenter’s</w:t>
      </w:r>
      <w:r w:rsidR="003A7EE8">
        <w:t xml:space="preserve"> ability to produce these economic figures.</w:t>
      </w:r>
    </w:p>
    <w:p w:rsidR="009B0ACF" w:rsidRDefault="003A7EE8" w:rsidP="005F776E">
      <w:pPr>
        <w:ind w:left="360"/>
      </w:pPr>
      <w:r>
        <w:lastRenderedPageBreak/>
        <w:t>Three of the letters offered suggestions for:  retaining and/or modifying existing questions; adding new questions</w:t>
      </w:r>
      <w:proofErr w:type="gramStart"/>
      <w:r>
        <w:t>;</w:t>
      </w:r>
      <w:proofErr w:type="gramEnd"/>
      <w:r>
        <w:t xml:space="preserve"> and modifying questions that ETA has proposed.  </w:t>
      </w:r>
      <w:proofErr w:type="gramStart"/>
      <w:r w:rsidR="009B0ACF">
        <w:t>As a result</w:t>
      </w:r>
      <w:proofErr w:type="gramEnd"/>
      <w:r w:rsidR="009B0ACF">
        <w:t xml:space="preserve"> of these comments we will make the following questionnaire changes:</w:t>
      </w:r>
    </w:p>
    <w:p w:rsidR="009B0ACF" w:rsidRDefault="009B0ACF" w:rsidP="005F776E">
      <w:pPr>
        <w:ind w:left="360"/>
      </w:pPr>
    </w:p>
    <w:p w:rsidR="009B0ACF" w:rsidRDefault="009B0ACF" w:rsidP="005F776E">
      <w:pPr>
        <w:numPr>
          <w:ilvl w:val="0"/>
          <w:numId w:val="10"/>
        </w:numPr>
      </w:pPr>
      <w:r>
        <w:t xml:space="preserve">Add a </w:t>
      </w:r>
      <w:proofErr w:type="spellStart"/>
      <w:r w:rsidR="00A85A50">
        <w:t>sub</w:t>
      </w:r>
      <w:r>
        <w:t>question</w:t>
      </w:r>
      <w:proofErr w:type="spellEnd"/>
      <w:r>
        <w:t xml:space="preserve"> about the availability of cellphone texting feature to the Digital Information section;</w:t>
      </w:r>
    </w:p>
    <w:p w:rsidR="009B0ACF" w:rsidRDefault="009B0ACF" w:rsidP="005F776E">
      <w:pPr>
        <w:numPr>
          <w:ilvl w:val="0"/>
          <w:numId w:val="10"/>
        </w:numPr>
      </w:pPr>
      <w:r>
        <w:t>Remove the response category “Smartphone” from the Digital Information section;</w:t>
      </w:r>
    </w:p>
    <w:p w:rsidR="009B0ACF" w:rsidRDefault="009B0ACF" w:rsidP="005F776E">
      <w:pPr>
        <w:numPr>
          <w:ilvl w:val="0"/>
          <w:numId w:val="10"/>
        </w:numPr>
      </w:pPr>
      <w:r>
        <w:t>Add a question about taking GED classes to the Education and Training section;</w:t>
      </w:r>
    </w:p>
    <w:p w:rsidR="009B0ACF" w:rsidRDefault="009B0ACF" w:rsidP="005F776E">
      <w:pPr>
        <w:numPr>
          <w:ilvl w:val="0"/>
          <w:numId w:val="10"/>
        </w:numPr>
      </w:pPr>
      <w:r>
        <w:t>Retain questions A16, D2, D3, and D29;</w:t>
      </w:r>
    </w:p>
    <w:p w:rsidR="009B0ACF" w:rsidRDefault="009B0ACF" w:rsidP="005F776E">
      <w:pPr>
        <w:numPr>
          <w:ilvl w:val="0"/>
          <w:numId w:val="10"/>
        </w:numPr>
      </w:pPr>
      <w:r>
        <w:t>Retain and modify response categories in question G4;</w:t>
      </w:r>
    </w:p>
    <w:p w:rsidR="009B0ACF" w:rsidRDefault="009B0ACF" w:rsidP="005F776E">
      <w:pPr>
        <w:numPr>
          <w:ilvl w:val="0"/>
          <w:numId w:val="10"/>
        </w:numPr>
      </w:pPr>
      <w:r>
        <w:t>Separate injury and illness in questions HA1 and HA15;</w:t>
      </w:r>
    </w:p>
    <w:p w:rsidR="009B0ACF" w:rsidRDefault="009B0ACF" w:rsidP="005F776E">
      <w:pPr>
        <w:numPr>
          <w:ilvl w:val="0"/>
          <w:numId w:val="10"/>
        </w:numPr>
      </w:pPr>
      <w:r>
        <w:t>Ask question HA18 (sought health care) for injury and illness;</w:t>
      </w:r>
    </w:p>
    <w:p w:rsidR="009B0ACF" w:rsidRDefault="009B0ACF" w:rsidP="005F776E">
      <w:pPr>
        <w:numPr>
          <w:ilvl w:val="0"/>
          <w:numId w:val="10"/>
        </w:numPr>
      </w:pPr>
      <w:r>
        <w:t>Separate “No insurance/ Too expensive” in response category “e”, question HA8;</w:t>
      </w:r>
    </w:p>
    <w:p w:rsidR="009B0ACF" w:rsidRDefault="009B0ACF" w:rsidP="005F776E">
      <w:pPr>
        <w:numPr>
          <w:ilvl w:val="0"/>
          <w:numId w:val="10"/>
        </w:numPr>
      </w:pPr>
      <w:r>
        <w:t>Modify question D65 to distinguish if respondent lives in a labor camp or a migrant center.</w:t>
      </w:r>
    </w:p>
    <w:p w:rsidR="009B0ACF" w:rsidRDefault="009B0ACF" w:rsidP="005F776E">
      <w:pPr>
        <w:ind w:left="360"/>
      </w:pPr>
    </w:p>
    <w:p w:rsidR="00A85A50" w:rsidRDefault="00A85A50" w:rsidP="005F776E">
      <w:pPr>
        <w:ind w:left="360"/>
      </w:pPr>
      <w:r>
        <w:t xml:space="preserve">With these changes, it </w:t>
      </w:r>
      <w:proofErr w:type="gramStart"/>
      <w:r>
        <w:t>is anticipated</w:t>
      </w:r>
      <w:proofErr w:type="gramEnd"/>
      <w:r>
        <w:t xml:space="preserve"> that the estimated additional burden per farm worker respondent will increase by less than one minute.  As such, no changes </w:t>
      </w:r>
      <w:proofErr w:type="gramStart"/>
      <w:r>
        <w:t>were made</w:t>
      </w:r>
      <w:proofErr w:type="gramEnd"/>
      <w:r>
        <w:t xml:space="preserve"> to the estimated burden hours (see Table 2) following the review of public comments.</w:t>
      </w:r>
    </w:p>
    <w:p w:rsidR="00A85A50" w:rsidRDefault="00A85A50" w:rsidP="005F776E">
      <w:pPr>
        <w:ind w:left="360"/>
      </w:pPr>
    </w:p>
    <w:p w:rsidR="003A7EE8" w:rsidRDefault="003A7EE8" w:rsidP="005F776E">
      <w:pPr>
        <w:ind w:left="360"/>
      </w:pPr>
      <w:r>
        <w:t xml:space="preserve">In Table 1, below, the summarized comments and ETA’s responses </w:t>
      </w:r>
      <w:proofErr w:type="gramStart"/>
      <w:r>
        <w:t>are grouped</w:t>
      </w:r>
      <w:proofErr w:type="gramEnd"/>
      <w:r>
        <w:t xml:space="preserve"> by the following categories:  Digital Information, Education and Training, Existing Questions, Health, Housing, and New Questions (received in public comments).</w:t>
      </w:r>
    </w:p>
    <w:p w:rsidR="003A7EE8" w:rsidRDefault="003A7EE8" w:rsidP="003A7EE8">
      <w:pPr>
        <w:ind w:left="360"/>
      </w:pPr>
    </w:p>
    <w:p w:rsidR="003A7EE8" w:rsidRPr="002B6131" w:rsidRDefault="003A7EE8" w:rsidP="005F776E">
      <w:pPr>
        <w:ind w:left="360"/>
        <w:rPr>
          <w:b/>
        </w:rPr>
      </w:pPr>
      <w:proofErr w:type="gramStart"/>
      <w:r>
        <w:rPr>
          <w:b/>
        </w:rPr>
        <w:t>Table 1.</w:t>
      </w:r>
      <w:proofErr w:type="gramEnd"/>
      <w:r w:rsidRPr="002B6131">
        <w:rPr>
          <w:b/>
        </w:rPr>
        <w:t xml:space="preserve"> </w:t>
      </w:r>
      <w:r>
        <w:rPr>
          <w:b/>
        </w:rPr>
        <w:t xml:space="preserve"> </w:t>
      </w:r>
      <w:r w:rsidRPr="002B6131">
        <w:rPr>
          <w:b/>
        </w:rPr>
        <w:t>Summary of Public Comments and ETA’s Response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72"/>
        <w:tblGridChange w:id="0">
          <w:tblGrid>
            <w:gridCol w:w="4536"/>
            <w:gridCol w:w="4572"/>
          </w:tblGrid>
        </w:tblGridChange>
      </w:tblGrid>
      <w:tr w:rsidR="007C6846" w:rsidTr="00755EC0">
        <w:tc>
          <w:tcPr>
            <w:tcW w:w="4416" w:type="dxa"/>
            <w:shd w:val="clear" w:color="auto" w:fill="auto"/>
          </w:tcPr>
          <w:p w:rsidR="003A7EE8" w:rsidRPr="00441BAF" w:rsidRDefault="003A7EE8" w:rsidP="00755EC0">
            <w:pPr>
              <w:rPr>
                <w:b/>
              </w:rPr>
            </w:pPr>
            <w:r w:rsidRPr="00441BAF">
              <w:rPr>
                <w:b/>
              </w:rPr>
              <w:t>Digital Information</w:t>
            </w:r>
          </w:p>
          <w:p w:rsidR="003A7EE8" w:rsidRPr="00441BAF" w:rsidRDefault="003A7EE8" w:rsidP="00441BAF">
            <w:pPr>
              <w:ind w:left="360"/>
              <w:rPr>
                <w:b/>
              </w:rPr>
            </w:pPr>
          </w:p>
          <w:p w:rsidR="003A7EE8" w:rsidRDefault="003A7EE8" w:rsidP="00755EC0">
            <w:r>
              <w:t>There were two suggestions for asking respondents where they access digital information, for example at home, a public library, or other place.</w:t>
            </w:r>
          </w:p>
          <w:p w:rsidR="003A7EE8" w:rsidRDefault="003A7EE8" w:rsidP="00755EC0">
            <w:r>
              <w:t>__________________________________</w:t>
            </w:r>
          </w:p>
          <w:p w:rsidR="003A7EE8" w:rsidRDefault="00E07578" w:rsidP="00755EC0">
            <w:r>
              <w:t>I</w:t>
            </w:r>
            <w:r w:rsidR="003A7EE8">
              <w:t xml:space="preserve">t </w:t>
            </w:r>
            <w:proofErr w:type="gramStart"/>
            <w:r w:rsidR="003A7EE8">
              <w:t>was suggested</w:t>
            </w:r>
            <w:proofErr w:type="gramEnd"/>
            <w:r w:rsidR="003A7EE8">
              <w:t xml:space="preserve"> that the first question concerning access to digital information sources be rephrased and broken up so that it will be clearer to respondents and “more specific about internet use, text messaging, apps, and other ways people communicate using a computer or mobile phone.”  Specifically, it was suggested that the question could be rephrased as:</w:t>
            </w:r>
          </w:p>
          <w:p w:rsidR="003A7EE8" w:rsidRDefault="003A7EE8" w:rsidP="00755EC0"/>
          <w:p w:rsidR="00A85A50" w:rsidRDefault="00A85A50" w:rsidP="00755EC0"/>
          <w:p w:rsidR="003A7EE8" w:rsidRDefault="003A7EE8" w:rsidP="00755EC0">
            <w:r>
              <w:lastRenderedPageBreak/>
              <w:t>Do you or any member of your family use the internet?  If YES, then how do you access the internet?</w:t>
            </w:r>
          </w:p>
          <w:p w:rsidR="003A7EE8" w:rsidRDefault="003A7EE8" w:rsidP="00441BAF">
            <w:pPr>
              <w:numPr>
                <w:ilvl w:val="0"/>
                <w:numId w:val="8"/>
              </w:numPr>
              <w:ind w:left="360"/>
            </w:pPr>
            <w:r>
              <w:t>Computer</w:t>
            </w:r>
          </w:p>
          <w:p w:rsidR="003A7EE8" w:rsidRDefault="003A7EE8" w:rsidP="00441BAF">
            <w:pPr>
              <w:numPr>
                <w:ilvl w:val="0"/>
                <w:numId w:val="8"/>
              </w:numPr>
              <w:ind w:left="360"/>
            </w:pPr>
            <w:r>
              <w:t>Cell phone</w:t>
            </w:r>
          </w:p>
          <w:p w:rsidR="003A7EE8" w:rsidRDefault="003A7EE8" w:rsidP="00441BAF">
            <w:pPr>
              <w:numPr>
                <w:ilvl w:val="0"/>
                <w:numId w:val="8"/>
              </w:numPr>
              <w:ind w:left="360"/>
            </w:pPr>
            <w:r>
              <w:t>Tablet</w:t>
            </w:r>
          </w:p>
          <w:p w:rsidR="003A7EE8" w:rsidRDefault="003A7EE8" w:rsidP="00441BAF">
            <w:pPr>
              <w:numPr>
                <w:ilvl w:val="0"/>
                <w:numId w:val="8"/>
              </w:numPr>
              <w:ind w:left="360"/>
            </w:pPr>
            <w:r>
              <w:t>Other [Specify]</w:t>
            </w:r>
          </w:p>
          <w:p w:rsidR="003A7EE8" w:rsidRDefault="003A7EE8" w:rsidP="00441BAF">
            <w:pPr>
              <w:ind w:left="360"/>
            </w:pPr>
          </w:p>
          <w:p w:rsidR="003A7EE8" w:rsidRDefault="002E50C3" w:rsidP="00755EC0">
            <w:r>
              <w:t xml:space="preserve">and followed </w:t>
            </w:r>
            <w:r w:rsidR="003A7EE8">
              <w:t>by:</w:t>
            </w:r>
          </w:p>
          <w:p w:rsidR="003A7EE8" w:rsidRDefault="003A7EE8" w:rsidP="00441BAF">
            <w:pPr>
              <w:ind w:left="360"/>
            </w:pPr>
          </w:p>
          <w:p w:rsidR="003A7EE8" w:rsidRDefault="003A7EE8" w:rsidP="00755EC0">
            <w:r>
              <w:t>How else do you receive and send information on your cell phone?</w:t>
            </w:r>
          </w:p>
          <w:p w:rsidR="003A7EE8" w:rsidRDefault="003A7EE8" w:rsidP="00441BAF">
            <w:pPr>
              <w:numPr>
                <w:ilvl w:val="0"/>
                <w:numId w:val="9"/>
              </w:numPr>
              <w:ind w:left="360"/>
            </w:pPr>
            <w:r>
              <w:t>Voice calls</w:t>
            </w:r>
          </w:p>
          <w:p w:rsidR="003A7EE8" w:rsidRDefault="003A7EE8" w:rsidP="00441BAF">
            <w:pPr>
              <w:numPr>
                <w:ilvl w:val="0"/>
                <w:numId w:val="9"/>
              </w:numPr>
              <w:ind w:left="360"/>
            </w:pPr>
            <w:r>
              <w:t>Text messaging</w:t>
            </w:r>
          </w:p>
          <w:p w:rsidR="003A7EE8" w:rsidRDefault="003A7EE8" w:rsidP="00441BAF">
            <w:pPr>
              <w:numPr>
                <w:ilvl w:val="0"/>
                <w:numId w:val="9"/>
              </w:numPr>
              <w:ind w:left="360"/>
            </w:pPr>
            <w:r>
              <w:t>Facebook</w:t>
            </w:r>
          </w:p>
          <w:p w:rsidR="003A7EE8" w:rsidRDefault="003A7EE8" w:rsidP="00441BAF">
            <w:pPr>
              <w:numPr>
                <w:ilvl w:val="0"/>
                <w:numId w:val="9"/>
              </w:numPr>
              <w:ind w:left="360"/>
            </w:pPr>
            <w:r>
              <w:t>Other apps [Specify]</w:t>
            </w:r>
          </w:p>
          <w:p w:rsidR="003A7EE8" w:rsidRDefault="003A7EE8" w:rsidP="00441BAF">
            <w:pPr>
              <w:numPr>
                <w:ilvl w:val="0"/>
                <w:numId w:val="9"/>
              </w:numPr>
              <w:ind w:left="360"/>
            </w:pPr>
            <w:r>
              <w:t>Other [Specify]</w:t>
            </w:r>
          </w:p>
          <w:p w:rsidR="00E07578" w:rsidRDefault="00E07578" w:rsidP="00755EC0"/>
          <w:p w:rsidR="003A7EE8" w:rsidRDefault="003A7EE8" w:rsidP="00755EC0">
            <w:r>
              <w:t xml:space="preserve">One commenter also suggested that questions about barriers or limitations to access </w:t>
            </w:r>
            <w:proofErr w:type="gramStart"/>
            <w:r>
              <w:t>be asked</w:t>
            </w:r>
            <w:proofErr w:type="gramEnd"/>
            <w:r>
              <w:t>.</w:t>
            </w:r>
          </w:p>
          <w:p w:rsidR="003A7EE8" w:rsidRDefault="003A7EE8" w:rsidP="00755EC0">
            <w:r>
              <w:t>___________________________________</w:t>
            </w:r>
          </w:p>
          <w:p w:rsidR="003A7EE8" w:rsidRDefault="003A7EE8" w:rsidP="00755EC0">
            <w:r>
              <w:t xml:space="preserve">Lastly, it </w:t>
            </w:r>
            <w:proofErr w:type="gramStart"/>
            <w:r>
              <w:t>was suggested</w:t>
            </w:r>
            <w:proofErr w:type="gramEnd"/>
            <w:r>
              <w:t xml:space="preserve"> that the category “Smartphone” be deleted from the list of possible responses to the question about types of devices used.</w:t>
            </w:r>
          </w:p>
        </w:tc>
        <w:tc>
          <w:tcPr>
            <w:tcW w:w="4692" w:type="dxa"/>
            <w:shd w:val="clear" w:color="auto" w:fill="auto"/>
          </w:tcPr>
          <w:p w:rsidR="003A7EE8" w:rsidRPr="00441BAF" w:rsidRDefault="003A7EE8" w:rsidP="00755EC0">
            <w:pPr>
              <w:rPr>
                <w:b/>
              </w:rPr>
            </w:pPr>
            <w:r w:rsidRPr="00441BAF">
              <w:rPr>
                <w:b/>
              </w:rPr>
              <w:lastRenderedPageBreak/>
              <w:t>ETA’s Response</w:t>
            </w:r>
          </w:p>
          <w:p w:rsidR="003A7EE8" w:rsidRPr="00441BAF" w:rsidRDefault="003A7EE8" w:rsidP="00755EC0">
            <w:pPr>
              <w:rPr>
                <w:b/>
              </w:rPr>
            </w:pPr>
          </w:p>
          <w:p w:rsidR="003A7EE8" w:rsidRDefault="003A7EE8" w:rsidP="00755EC0">
            <w:r>
              <w:t xml:space="preserve">The proposed questionnaire already asks where information sources </w:t>
            </w:r>
            <w:proofErr w:type="gramStart"/>
            <w:r>
              <w:t>are used</w:t>
            </w:r>
            <w:proofErr w:type="gramEnd"/>
            <w:r>
              <w:t>, if the respondent answers that he/she uses a computer and/ or a tablet.</w:t>
            </w:r>
          </w:p>
          <w:p w:rsidR="003A7EE8" w:rsidRDefault="003A7EE8" w:rsidP="00755EC0">
            <w:r>
              <w:t>__________________________________</w:t>
            </w:r>
          </w:p>
          <w:p w:rsidR="003A7EE8" w:rsidRDefault="003A7EE8" w:rsidP="00755EC0">
            <w:r>
              <w:t>The first question worked well during testing.</w:t>
            </w:r>
          </w:p>
          <w:p w:rsidR="003A7EE8" w:rsidRDefault="003A7EE8" w:rsidP="00441BAF">
            <w:pPr>
              <w:ind w:left="360"/>
            </w:pPr>
          </w:p>
          <w:p w:rsidR="003A7EE8" w:rsidRDefault="003A7EE8" w:rsidP="00441BAF">
            <w:pPr>
              <w:ind w:left="360"/>
            </w:pPr>
          </w:p>
          <w:p w:rsidR="003A7EE8" w:rsidRDefault="003A7EE8" w:rsidP="00441BAF">
            <w:pPr>
              <w:ind w:left="360"/>
            </w:pPr>
          </w:p>
          <w:p w:rsidR="003A7EE8" w:rsidRDefault="003A7EE8" w:rsidP="00441BAF">
            <w:pPr>
              <w:ind w:left="360"/>
            </w:pPr>
          </w:p>
          <w:p w:rsidR="003A7EE8" w:rsidRDefault="003A7EE8" w:rsidP="00441BAF">
            <w:pPr>
              <w:ind w:left="360"/>
            </w:pPr>
          </w:p>
          <w:p w:rsidR="003A7EE8" w:rsidRDefault="003A7EE8" w:rsidP="00441BAF">
            <w:pPr>
              <w:ind w:left="360"/>
            </w:pPr>
          </w:p>
          <w:p w:rsidR="003A7EE8" w:rsidRDefault="003A7EE8" w:rsidP="00441BAF">
            <w:pPr>
              <w:ind w:left="360"/>
            </w:pPr>
          </w:p>
          <w:p w:rsidR="003A7EE8" w:rsidRDefault="003A7EE8" w:rsidP="00441BAF">
            <w:pPr>
              <w:ind w:left="360"/>
            </w:pPr>
          </w:p>
          <w:p w:rsidR="00A85A50" w:rsidRDefault="00A85A50" w:rsidP="00441BAF">
            <w:pPr>
              <w:ind w:left="360"/>
            </w:pPr>
          </w:p>
          <w:p w:rsidR="003A7EE8" w:rsidRDefault="003A7EE8" w:rsidP="00755EC0">
            <w:r>
              <w:lastRenderedPageBreak/>
              <w:t xml:space="preserve">As some respondents have access </w:t>
            </w:r>
            <w:proofErr w:type="gramStart"/>
            <w:r>
              <w:t>to but do</w:t>
            </w:r>
            <w:proofErr w:type="gramEnd"/>
            <w:r>
              <w:t xml:space="preserve"> not use digital information sources, it is necessary to first ask about access and then inquire about use.  For the time being, ETA will administer these questions as currently written.</w:t>
            </w:r>
          </w:p>
          <w:p w:rsidR="003A7EE8" w:rsidRDefault="003A7EE8" w:rsidP="00441BAF">
            <w:pPr>
              <w:ind w:left="360"/>
            </w:pPr>
          </w:p>
          <w:p w:rsidR="003A7EE8" w:rsidRDefault="003A7EE8" w:rsidP="00441BAF">
            <w:pPr>
              <w:ind w:left="360"/>
            </w:pPr>
          </w:p>
          <w:p w:rsidR="003A7EE8" w:rsidRDefault="003A7EE8" w:rsidP="00441BAF">
            <w:pPr>
              <w:ind w:left="360"/>
            </w:pPr>
          </w:p>
          <w:p w:rsidR="006D792A" w:rsidRDefault="006D792A" w:rsidP="00755EC0"/>
          <w:p w:rsidR="005124E9" w:rsidRDefault="0022318F" w:rsidP="00755EC0">
            <w:r>
              <w:t>We will ask respondents if they have texting capability with their cell phone, and will consider the proposed deta</w:t>
            </w:r>
            <w:r w:rsidR="006D792A">
              <w:t xml:space="preserve">iled questions about cell phone </w:t>
            </w:r>
            <w:r>
              <w:t>use in a future information collection.</w:t>
            </w:r>
          </w:p>
          <w:p w:rsidR="0022318F" w:rsidRDefault="0022318F" w:rsidP="00755EC0"/>
          <w:p w:rsidR="0022318F" w:rsidRDefault="0022318F" w:rsidP="00755EC0"/>
          <w:p w:rsidR="0022318F" w:rsidRDefault="0022318F" w:rsidP="00755EC0"/>
          <w:p w:rsidR="0022318F" w:rsidRDefault="006D792A" w:rsidP="00755EC0">
            <w:r>
              <w:t>ETA will consider adding questions about barriers and limitations questions in a future information collection.</w:t>
            </w:r>
          </w:p>
          <w:p w:rsidR="0022318F" w:rsidRDefault="0022318F" w:rsidP="00755EC0">
            <w:r>
              <w:t>__________________________________</w:t>
            </w:r>
          </w:p>
          <w:p w:rsidR="003A7EE8" w:rsidRPr="004D42CF" w:rsidRDefault="003A7EE8" w:rsidP="00755EC0">
            <w:r>
              <w:t xml:space="preserve">“Smartphone” </w:t>
            </w:r>
            <w:proofErr w:type="gramStart"/>
            <w:r>
              <w:t>will be</w:t>
            </w:r>
            <w:r w:rsidR="00E07578">
              <w:t xml:space="preserve"> deleted</w:t>
            </w:r>
            <w:proofErr w:type="gramEnd"/>
            <w:r w:rsidR="00E07578">
              <w:t xml:space="preserve"> as a response</w:t>
            </w:r>
            <w:r w:rsidR="000F0DA7">
              <w:t xml:space="preserve"> category</w:t>
            </w:r>
            <w:r w:rsidR="0022318F">
              <w:t>.</w:t>
            </w:r>
          </w:p>
        </w:tc>
      </w:tr>
      <w:tr w:rsidR="007C6846" w:rsidTr="00755EC0">
        <w:tc>
          <w:tcPr>
            <w:tcW w:w="4416" w:type="dxa"/>
            <w:shd w:val="clear" w:color="auto" w:fill="auto"/>
          </w:tcPr>
          <w:p w:rsidR="003A7EE8" w:rsidRPr="00441BAF" w:rsidRDefault="003A7EE8" w:rsidP="00755EC0">
            <w:pPr>
              <w:rPr>
                <w:b/>
              </w:rPr>
            </w:pPr>
            <w:r w:rsidRPr="00441BAF">
              <w:rPr>
                <w:b/>
              </w:rPr>
              <w:lastRenderedPageBreak/>
              <w:t>Education and Training</w:t>
            </w:r>
          </w:p>
          <w:p w:rsidR="003A7EE8" w:rsidRDefault="003A7EE8" w:rsidP="00755EC0"/>
          <w:p w:rsidR="003A7EE8" w:rsidRDefault="003A7EE8" w:rsidP="00755EC0">
            <w:r>
              <w:t>There were five comments on this proposed series of questions.</w:t>
            </w:r>
          </w:p>
          <w:p w:rsidR="003A7EE8" w:rsidRDefault="003A7EE8" w:rsidP="00755EC0">
            <w:r>
              <w:t>_________________________________</w:t>
            </w:r>
          </w:p>
          <w:p w:rsidR="003A7EE8" w:rsidRDefault="003A7EE8" w:rsidP="00755EC0">
            <w:r>
              <w:t xml:space="preserve">Three comments concerned response codes to proposed questions 4, 8, 11, and 12, which ask about completion of training, having considered attending training, why training was not attended, and special training classes for farm workers, respectively.  In two instances, the commenter suggested that additional response codes be added, and in one </w:t>
            </w:r>
            <w:proofErr w:type="gramStart"/>
            <w:r>
              <w:t>instance</w:t>
            </w:r>
            <w:proofErr w:type="gramEnd"/>
            <w:r>
              <w:t xml:space="preserve"> the commenter suggested that response codes be modified.</w:t>
            </w:r>
          </w:p>
          <w:p w:rsidR="003A7EE8" w:rsidRDefault="003A7EE8" w:rsidP="00755EC0"/>
          <w:p w:rsidR="003A7EE8" w:rsidRDefault="003A7EE8" w:rsidP="00755EC0"/>
          <w:p w:rsidR="003A7EE8" w:rsidRDefault="00D215FA" w:rsidP="00755EC0">
            <w:r>
              <w:lastRenderedPageBreak/>
              <w:t>________________________________</w:t>
            </w:r>
          </w:p>
          <w:p w:rsidR="003A7EE8" w:rsidRDefault="003A7EE8" w:rsidP="00755EC0">
            <w:r>
              <w:t xml:space="preserve">It </w:t>
            </w:r>
            <w:proofErr w:type="gramStart"/>
            <w:r>
              <w:t>was suggested</w:t>
            </w:r>
            <w:proofErr w:type="gramEnd"/>
            <w:r>
              <w:t xml:space="preserve"> that, for the question about worker safety training, it is irrelevant to ask if the training was completed.  Instead, it would be useful to know if the respondent understood the training, and if not, why not.</w:t>
            </w:r>
          </w:p>
          <w:p w:rsidR="003A7EE8" w:rsidRDefault="003A7EE8" w:rsidP="00441BAF">
            <w:pPr>
              <w:ind w:left="360"/>
            </w:pPr>
          </w:p>
          <w:p w:rsidR="003A7EE8" w:rsidRDefault="003A7EE8" w:rsidP="00441BAF">
            <w:pPr>
              <w:ind w:left="360"/>
            </w:pPr>
          </w:p>
          <w:p w:rsidR="003A7EE8" w:rsidRDefault="003A7EE8" w:rsidP="00755EC0"/>
          <w:p w:rsidR="004544E6" w:rsidRDefault="004544E6" w:rsidP="00755EC0"/>
          <w:p w:rsidR="003A7EE8" w:rsidRDefault="003A7EE8" w:rsidP="00755EC0">
            <w:r>
              <w:t>_________________________________</w:t>
            </w:r>
          </w:p>
          <w:p w:rsidR="003A7EE8" w:rsidRDefault="003A7EE8" w:rsidP="00755EC0">
            <w:r>
              <w:t xml:space="preserve">One commenter suggested adding a question about graduate equivalency diploma (GED) classes that </w:t>
            </w:r>
            <w:proofErr w:type="gramStart"/>
            <w:r>
              <w:t>would be tabulated</w:t>
            </w:r>
            <w:proofErr w:type="gramEnd"/>
            <w:r>
              <w:t xml:space="preserve"> separately from English as a Second L</w:t>
            </w:r>
            <w:r w:rsidR="002E50C3">
              <w:t>anguage (ESL) or “basic skills”</w:t>
            </w:r>
            <w:r w:rsidR="007C6846">
              <w:t xml:space="preserve"> classes</w:t>
            </w:r>
            <w:r>
              <w:t>.</w:t>
            </w:r>
          </w:p>
          <w:p w:rsidR="007C6846" w:rsidRDefault="007C6846" w:rsidP="00755EC0"/>
          <w:p w:rsidR="003A7EE8" w:rsidRDefault="003A7EE8" w:rsidP="00755EC0">
            <w:r>
              <w:t xml:space="preserve">Finally, it was suggested that “information” </w:t>
            </w:r>
            <w:proofErr w:type="gramStart"/>
            <w:r>
              <w:t>may</w:t>
            </w:r>
            <w:proofErr w:type="gramEnd"/>
            <w:r>
              <w:t xml:space="preserve"> be a more suitable term for these questions than “training” as some studies have shown that farm workers who received “training” reported not receiving it because their understanding of the word training implies specific directions on how to use a particular type of equipment or handle a particular type of material.</w:t>
            </w:r>
          </w:p>
          <w:p w:rsidR="003A7EE8" w:rsidRDefault="003A7EE8" w:rsidP="00441BAF">
            <w:pPr>
              <w:ind w:left="360"/>
            </w:pPr>
          </w:p>
        </w:tc>
        <w:tc>
          <w:tcPr>
            <w:tcW w:w="4692" w:type="dxa"/>
            <w:shd w:val="clear" w:color="auto" w:fill="auto"/>
          </w:tcPr>
          <w:p w:rsidR="003A7EE8" w:rsidRPr="00441BAF" w:rsidRDefault="003A7EE8" w:rsidP="00755EC0">
            <w:pPr>
              <w:rPr>
                <w:b/>
              </w:rPr>
            </w:pPr>
            <w:r w:rsidRPr="00441BAF">
              <w:rPr>
                <w:b/>
              </w:rPr>
              <w:lastRenderedPageBreak/>
              <w:t>ETA’s Response</w:t>
            </w:r>
          </w:p>
          <w:p w:rsidR="003A7EE8" w:rsidRPr="00441BAF" w:rsidRDefault="003A7EE8" w:rsidP="00441BAF">
            <w:pPr>
              <w:ind w:left="360"/>
              <w:rPr>
                <w:b/>
              </w:rPr>
            </w:pPr>
          </w:p>
          <w:p w:rsidR="003A7EE8" w:rsidRPr="00441BAF" w:rsidRDefault="003A7EE8" w:rsidP="005F776E">
            <w:pPr>
              <w:rPr>
                <w:b/>
              </w:rPr>
            </w:pPr>
          </w:p>
          <w:p w:rsidR="003A7EE8" w:rsidRPr="00441BAF" w:rsidRDefault="003A7EE8" w:rsidP="00755EC0">
            <w:pPr>
              <w:rPr>
                <w:b/>
              </w:rPr>
            </w:pPr>
            <w:r w:rsidRPr="00441BAF">
              <w:rPr>
                <w:b/>
              </w:rPr>
              <w:t>_________________________________</w:t>
            </w:r>
          </w:p>
          <w:p w:rsidR="00D215FA" w:rsidRDefault="003A7EE8" w:rsidP="00755EC0">
            <w:pPr>
              <w:pBdr>
                <w:bottom w:val="single" w:sz="12" w:space="1" w:color="auto"/>
              </w:pBdr>
            </w:pPr>
            <w:r>
              <w:t xml:space="preserve">NAWS response categories </w:t>
            </w:r>
            <w:proofErr w:type="gramStart"/>
            <w:r>
              <w:t>are developed</w:t>
            </w:r>
            <w:proofErr w:type="gramEnd"/>
            <w:r>
              <w:t xml:space="preserve"> through testing and reflect common responses.  </w:t>
            </w:r>
            <w:r w:rsidR="00D215FA">
              <w:t>When</w:t>
            </w:r>
            <w:r>
              <w:t xml:space="preserve"> respondents’ answers do not match existing categories, the interviewer writes down the response on the questionnaire or in a provided text field.  Non-standard responses </w:t>
            </w:r>
            <w:proofErr w:type="gramStart"/>
            <w:r>
              <w:t>are routinely assessed</w:t>
            </w:r>
            <w:proofErr w:type="gramEnd"/>
            <w:r>
              <w:t xml:space="preserve"> to determine if response categories need to be modified or augmented.  In these questions (4, 8, 11, and 12), the responses are not read to the respondent.  Rather, the interviewer enter</w:t>
            </w:r>
            <w:r w:rsidR="00D215FA">
              <w:t>s</w:t>
            </w:r>
            <w:r>
              <w:t xml:space="preserve"> all the codes or mark</w:t>
            </w:r>
            <w:r w:rsidR="00D215FA">
              <w:t>s</w:t>
            </w:r>
            <w:r>
              <w:t xml:space="preserve"> all the responses that </w:t>
            </w:r>
            <w:r w:rsidR="00D215FA">
              <w:t xml:space="preserve">correspond to the </w:t>
            </w:r>
            <w:r>
              <w:t>respondent</w:t>
            </w:r>
            <w:r w:rsidR="00D215FA">
              <w:t>’s answers.</w:t>
            </w:r>
          </w:p>
          <w:p w:rsidR="00D215FA" w:rsidRDefault="00D215FA" w:rsidP="00755EC0">
            <w:pPr>
              <w:pBdr>
                <w:bottom w:val="single" w:sz="12" w:space="1" w:color="auto"/>
              </w:pBdr>
            </w:pPr>
            <w:r>
              <w:lastRenderedPageBreak/>
              <w:t>___________________________________</w:t>
            </w:r>
          </w:p>
          <w:p w:rsidR="007C6846" w:rsidRDefault="003A7EE8" w:rsidP="00755EC0">
            <w:pPr>
              <w:pBdr>
                <w:bottom w:val="single" w:sz="12" w:space="1" w:color="auto"/>
              </w:pBdr>
            </w:pPr>
            <w:r>
              <w:t xml:space="preserve">ETA agrees that training comprehension, especially comprehension of safety training, is important to assess and will consider this question domain for a future information collection.  It may be necessary to pilot questions about comprehension.  As there are several types of safety training, e.g., heat stress, pesticides, injuries, it is likely that a questionnaire grid </w:t>
            </w:r>
            <w:proofErr w:type="gramStart"/>
            <w:r>
              <w:t>would be needed</w:t>
            </w:r>
            <w:proofErr w:type="gramEnd"/>
            <w:r>
              <w:t>.</w:t>
            </w:r>
          </w:p>
          <w:p w:rsidR="007C6846" w:rsidRDefault="007C6846" w:rsidP="00755EC0">
            <w:pPr>
              <w:pBdr>
                <w:bottom w:val="single" w:sz="12" w:space="1" w:color="auto"/>
              </w:pBdr>
            </w:pPr>
            <w:r>
              <w:t>___________________________________</w:t>
            </w:r>
          </w:p>
          <w:p w:rsidR="007C6846" w:rsidRDefault="003A7EE8" w:rsidP="00755EC0">
            <w:pPr>
              <w:pBdr>
                <w:bottom w:val="single" w:sz="12" w:space="1" w:color="auto"/>
              </w:pBdr>
            </w:pPr>
            <w:r>
              <w:t>ETA will make this change to the proposed education and training grid by entering a separate row for GED between row D (ESL) and row E (basic skills).</w:t>
            </w:r>
          </w:p>
          <w:p w:rsidR="007C6846" w:rsidRDefault="007C6846" w:rsidP="00755EC0">
            <w:pPr>
              <w:pBdr>
                <w:bottom w:val="single" w:sz="12" w:space="1" w:color="auto"/>
              </w:pBdr>
            </w:pPr>
          </w:p>
          <w:p w:rsidR="007C6846" w:rsidRDefault="007C6846" w:rsidP="00755EC0">
            <w:pPr>
              <w:pBdr>
                <w:bottom w:val="single" w:sz="12" w:space="1" w:color="auto"/>
              </w:pBdr>
            </w:pPr>
          </w:p>
          <w:p w:rsidR="00545AD9" w:rsidRPr="003209A1" w:rsidRDefault="003A7EE8" w:rsidP="00755EC0">
            <w:pPr>
              <w:pBdr>
                <w:bottom w:val="single" w:sz="12" w:space="1" w:color="auto"/>
              </w:pBdr>
            </w:pPr>
            <w:r>
              <w:t xml:space="preserve">This is an important observation.  Although this issue has not come up in the many years of administering NAWS pesticide training questions, it </w:t>
            </w:r>
            <w:proofErr w:type="gramStart"/>
            <w:r>
              <w:t>will be discussed</w:t>
            </w:r>
            <w:proofErr w:type="gramEnd"/>
            <w:r>
              <w:t xml:space="preserve"> at the next NAWS interviewer training session and a determination will be made about adding dialogue regarding what is meant by “training” when training questions are admin</w:t>
            </w:r>
            <w:r w:rsidR="00545AD9">
              <w:t>istered.</w:t>
            </w:r>
          </w:p>
        </w:tc>
      </w:tr>
      <w:tr w:rsidR="007C6846" w:rsidTr="00755EC0">
        <w:tc>
          <w:tcPr>
            <w:tcW w:w="4416" w:type="dxa"/>
            <w:shd w:val="clear" w:color="auto" w:fill="auto"/>
          </w:tcPr>
          <w:p w:rsidR="003A7EE8" w:rsidRPr="00441BAF" w:rsidRDefault="003A7EE8" w:rsidP="00755EC0">
            <w:pPr>
              <w:rPr>
                <w:b/>
              </w:rPr>
            </w:pPr>
            <w:r w:rsidRPr="00441BAF">
              <w:rPr>
                <w:b/>
              </w:rPr>
              <w:lastRenderedPageBreak/>
              <w:t>Existing Questions</w:t>
            </w:r>
          </w:p>
          <w:p w:rsidR="003A7EE8" w:rsidRPr="00441BAF" w:rsidRDefault="003A7EE8" w:rsidP="00755EC0">
            <w:pPr>
              <w:rPr>
                <w:b/>
              </w:rPr>
            </w:pPr>
          </w:p>
          <w:p w:rsidR="003A7EE8" w:rsidRDefault="003A7EE8" w:rsidP="00755EC0">
            <w:r>
              <w:t xml:space="preserve">It </w:t>
            </w:r>
            <w:proofErr w:type="gramStart"/>
            <w:r>
              <w:t>was suggested</w:t>
            </w:r>
            <w:proofErr w:type="gramEnd"/>
            <w:r>
              <w:t xml:space="preserve"> that 1</w:t>
            </w:r>
            <w:r w:rsidR="00A85A50">
              <w:t>4</w:t>
            </w:r>
            <w:r>
              <w:t xml:space="preserve"> of the 75 questions that ETA has proposed discontinuing or replacing be retained.  In addition, ETA received recommendations to modify seven que</w:t>
            </w:r>
            <w:r w:rsidR="009032AA">
              <w:t xml:space="preserve">stions </w:t>
            </w:r>
            <w:r>
              <w:t>and relocate seven questions.</w:t>
            </w:r>
            <w:r w:rsidR="009032AA">
              <w:t xml:space="preserve">  </w:t>
            </w:r>
            <w:r>
              <w:t xml:space="preserve">Questions that </w:t>
            </w:r>
            <w:proofErr w:type="gramStart"/>
            <w:r>
              <w:t>were recommended</w:t>
            </w:r>
            <w:proofErr w:type="gramEnd"/>
            <w:r>
              <w:t xml:space="preserve"> to be retained, modified, or relocated are listed below.</w:t>
            </w:r>
          </w:p>
          <w:p w:rsidR="003A7EE8" w:rsidRDefault="003A7EE8" w:rsidP="00755EC0"/>
          <w:p w:rsidR="003A7EE8" w:rsidRDefault="003A7EE8" w:rsidP="00755EC0">
            <w:r w:rsidRPr="00441BAF">
              <w:rPr>
                <w:b/>
              </w:rPr>
              <w:t>Recommended to be retained (1</w:t>
            </w:r>
            <w:r w:rsidR="00A85A50">
              <w:rPr>
                <w:b/>
              </w:rPr>
              <w:t>4</w:t>
            </w:r>
            <w:r w:rsidRPr="00441BAF">
              <w:rPr>
                <w:b/>
              </w:rPr>
              <w:t>)</w:t>
            </w:r>
            <w:r>
              <w:t>:</w:t>
            </w:r>
          </w:p>
          <w:p w:rsidR="003A7EE8" w:rsidRDefault="00A85A50" w:rsidP="00755EC0">
            <w:proofErr w:type="gramStart"/>
            <w:r>
              <w:t xml:space="preserve">A16, </w:t>
            </w:r>
            <w:r w:rsidR="003A7EE8">
              <w:t>B3, B4, D2, D3, D20, D21, D28, D29, D39a, E1, EP5, EP6, and EP7.</w:t>
            </w:r>
            <w:proofErr w:type="gramEnd"/>
          </w:p>
          <w:p w:rsidR="003A7EE8" w:rsidRDefault="003A7EE8" w:rsidP="00755EC0"/>
          <w:p w:rsidR="00A85A50" w:rsidRDefault="00A85A50" w:rsidP="00755EC0"/>
          <w:p w:rsidR="00A85A50" w:rsidRPr="00A76C0C" w:rsidRDefault="00A85A50" w:rsidP="00755EC0"/>
          <w:p w:rsidR="003A7EE8" w:rsidRPr="00441BAF" w:rsidRDefault="003A7EE8" w:rsidP="00755EC0">
            <w:pPr>
              <w:rPr>
                <w:b/>
              </w:rPr>
            </w:pPr>
            <w:r w:rsidRPr="00441BAF">
              <w:rPr>
                <w:b/>
              </w:rPr>
              <w:lastRenderedPageBreak/>
              <w:t>Recommended to be modified (7):</w:t>
            </w:r>
          </w:p>
          <w:p w:rsidR="003A7EE8" w:rsidRDefault="003A7EE8" w:rsidP="00755EC0">
            <w:r>
              <w:t>A7, B2, B10, D7, D34a, D35, G4.</w:t>
            </w:r>
          </w:p>
          <w:p w:rsidR="003A7EE8" w:rsidRDefault="003A7EE8" w:rsidP="00441BAF">
            <w:pPr>
              <w:ind w:left="360"/>
            </w:pPr>
          </w:p>
          <w:p w:rsidR="003A7EE8" w:rsidRDefault="003A7EE8" w:rsidP="00441BAF">
            <w:pPr>
              <w:ind w:left="360"/>
            </w:pPr>
          </w:p>
          <w:p w:rsidR="003A7EE8" w:rsidRDefault="003A7EE8" w:rsidP="00441BAF">
            <w:pPr>
              <w:ind w:left="360"/>
            </w:pPr>
            <w:bookmarkStart w:id="1" w:name="_GoBack"/>
            <w:bookmarkEnd w:id="1"/>
          </w:p>
          <w:p w:rsidR="003A7EE8" w:rsidRDefault="003A7EE8" w:rsidP="00441BAF">
            <w:pPr>
              <w:ind w:left="360"/>
            </w:pPr>
          </w:p>
          <w:p w:rsidR="003A7EE8" w:rsidRPr="00441BAF" w:rsidRDefault="003A7EE8" w:rsidP="00755EC0">
            <w:pPr>
              <w:rPr>
                <w:b/>
              </w:rPr>
            </w:pPr>
            <w:r w:rsidRPr="00441BAF">
              <w:rPr>
                <w:b/>
              </w:rPr>
              <w:t>Recommended to be relocated (7):</w:t>
            </w:r>
          </w:p>
          <w:p w:rsidR="003A7EE8" w:rsidRDefault="003A7EE8" w:rsidP="00755EC0">
            <w:r>
              <w:t>B7, B8, B20, B21, B22, B23, B24.</w:t>
            </w:r>
          </w:p>
          <w:p w:rsidR="003A7EE8" w:rsidRDefault="003A7EE8" w:rsidP="00755EC0"/>
          <w:p w:rsidR="003A7EE8" w:rsidRPr="00D65695" w:rsidRDefault="003A7EE8" w:rsidP="00755EC0">
            <w:r>
              <w:t xml:space="preserve">These questions ask about language and it </w:t>
            </w:r>
            <w:proofErr w:type="gramStart"/>
            <w:r>
              <w:t>was suggested</w:t>
            </w:r>
            <w:proofErr w:type="gramEnd"/>
            <w:r>
              <w:t xml:space="preserve"> that they be moved to the beginning of the questionnaire so that the interviewer will quickly establish the dominant language of the respondent and use that language for the interview.</w:t>
            </w:r>
          </w:p>
        </w:tc>
        <w:tc>
          <w:tcPr>
            <w:tcW w:w="4692" w:type="dxa"/>
            <w:shd w:val="clear" w:color="auto" w:fill="auto"/>
          </w:tcPr>
          <w:p w:rsidR="003A7EE8" w:rsidRPr="00441BAF" w:rsidRDefault="003A7EE8" w:rsidP="00755EC0">
            <w:pPr>
              <w:rPr>
                <w:b/>
              </w:rPr>
            </w:pPr>
            <w:r w:rsidRPr="00441BAF">
              <w:rPr>
                <w:b/>
              </w:rPr>
              <w:lastRenderedPageBreak/>
              <w:t>ETA’s Response</w:t>
            </w:r>
          </w:p>
          <w:p w:rsidR="003A7EE8" w:rsidRPr="00441BAF" w:rsidRDefault="003A7EE8" w:rsidP="00755EC0">
            <w:pPr>
              <w:rPr>
                <w:b/>
              </w:rPr>
            </w:pPr>
          </w:p>
          <w:p w:rsidR="003A7EE8" w:rsidRDefault="003A7EE8" w:rsidP="00755EC0">
            <w:r>
              <w:t xml:space="preserve">ETA appreciates the feedback it received on proposed changes to the questionnaire.  </w:t>
            </w:r>
            <w:r w:rsidR="009032AA">
              <w:t>T</w:t>
            </w:r>
            <w:r>
              <w:t xml:space="preserve">he questions that </w:t>
            </w:r>
            <w:proofErr w:type="gramStart"/>
            <w:r>
              <w:t>will be retained, modified, or relocated</w:t>
            </w:r>
            <w:proofErr w:type="gramEnd"/>
            <w:r>
              <w:t xml:space="preserve"> are </w:t>
            </w:r>
            <w:r w:rsidR="009032AA">
              <w:t xml:space="preserve">briefly </w:t>
            </w:r>
            <w:r>
              <w:t>annotated here.</w:t>
            </w:r>
          </w:p>
          <w:p w:rsidR="003A7EE8" w:rsidRDefault="003A7EE8" w:rsidP="00755EC0"/>
          <w:p w:rsidR="006529EA" w:rsidRDefault="006529EA" w:rsidP="00755EC0"/>
          <w:p w:rsidR="006529EA" w:rsidRDefault="006529EA" w:rsidP="00755EC0"/>
          <w:p w:rsidR="006529EA" w:rsidRDefault="006529EA" w:rsidP="00755EC0"/>
          <w:p w:rsidR="006529EA" w:rsidRDefault="006529EA" w:rsidP="00755EC0"/>
          <w:p w:rsidR="003A7EE8" w:rsidRDefault="00A85A50" w:rsidP="00755EC0">
            <w:r>
              <w:t xml:space="preserve">Questions A16, </w:t>
            </w:r>
            <w:r w:rsidR="003A7EE8">
              <w:t xml:space="preserve">D2, D3, and D29 </w:t>
            </w:r>
            <w:proofErr w:type="gramStart"/>
            <w:r w:rsidR="003A7EE8">
              <w:t>will be retained</w:t>
            </w:r>
            <w:proofErr w:type="gramEnd"/>
            <w:r w:rsidR="003A7EE8">
              <w:t xml:space="preserve">.  The others </w:t>
            </w:r>
            <w:proofErr w:type="gramStart"/>
            <w:r w:rsidR="003A7EE8">
              <w:t>will be discontinued and considered for the future on a rotating basis</w:t>
            </w:r>
            <w:proofErr w:type="gramEnd"/>
            <w:r w:rsidR="003A7EE8">
              <w:t>.</w:t>
            </w:r>
          </w:p>
          <w:p w:rsidR="003A7EE8" w:rsidRDefault="003A7EE8" w:rsidP="00755EC0"/>
          <w:p w:rsidR="00A85A50" w:rsidRDefault="00A85A50" w:rsidP="00755EC0"/>
          <w:p w:rsidR="003A7EE8" w:rsidRDefault="000D0B20" w:rsidP="00755EC0">
            <w:r>
              <w:lastRenderedPageBreak/>
              <w:t>The G4 response category</w:t>
            </w:r>
            <w:r w:rsidR="003A7EE8">
              <w:t xml:space="preserve"> “disaster assistance” </w:t>
            </w:r>
            <w:proofErr w:type="gramStart"/>
            <w:r w:rsidR="003A7EE8">
              <w:t>will be retained</w:t>
            </w:r>
            <w:proofErr w:type="gramEnd"/>
            <w:r w:rsidR="003A7EE8">
              <w:t xml:space="preserve">.  In addition, </w:t>
            </w:r>
            <w:r>
              <w:t xml:space="preserve">the G4 </w:t>
            </w:r>
            <w:r w:rsidR="003A7EE8">
              <w:t xml:space="preserve">“legal services” </w:t>
            </w:r>
            <w:r>
              <w:t xml:space="preserve">response </w:t>
            </w:r>
            <w:proofErr w:type="gramStart"/>
            <w:r w:rsidR="003A7EE8">
              <w:t>will be changed</w:t>
            </w:r>
            <w:proofErr w:type="gramEnd"/>
            <w:r w:rsidR="003A7EE8">
              <w:t xml:space="preserve"> to “legal advice or services”.  The other suggested modifications </w:t>
            </w:r>
            <w:proofErr w:type="gramStart"/>
            <w:r w:rsidR="003A7EE8">
              <w:t>will not be implemented</w:t>
            </w:r>
            <w:proofErr w:type="gramEnd"/>
            <w:r w:rsidR="003A7EE8">
              <w:t>.</w:t>
            </w:r>
          </w:p>
          <w:p w:rsidR="003A7EE8" w:rsidRDefault="003A7EE8" w:rsidP="00755EC0"/>
          <w:p w:rsidR="003A7EE8" w:rsidRDefault="003A7EE8" w:rsidP="00441BAF">
            <w:pPr>
              <w:ind w:left="360"/>
            </w:pPr>
          </w:p>
          <w:p w:rsidR="003A7EE8" w:rsidRDefault="003A7EE8" w:rsidP="00441BAF">
            <w:pPr>
              <w:ind w:left="360"/>
            </w:pPr>
          </w:p>
          <w:p w:rsidR="003A7EE8" w:rsidRPr="00166830" w:rsidRDefault="003A7EE8" w:rsidP="00755EC0">
            <w:r>
              <w:t>This is an interesting observation about the questionnaire.  Interviewers, however, quickly ascertain the best language for the interview moments after the respondent is selected (</w:t>
            </w:r>
            <w:r w:rsidR="000D0B20">
              <w:t>randomly</w:t>
            </w:r>
            <w:r w:rsidR="009032AA">
              <w:t xml:space="preserve">, </w:t>
            </w:r>
            <w:r>
              <w:t>by lottery</w:t>
            </w:r>
            <w:r w:rsidR="009032AA">
              <w:t>,</w:t>
            </w:r>
            <w:r>
              <w:t xml:space="preserve"> or by census).  These questions, like all NAWS questions, </w:t>
            </w:r>
            <w:proofErr w:type="gramStart"/>
            <w:r>
              <w:t>are strategically placed</w:t>
            </w:r>
            <w:proofErr w:type="gramEnd"/>
            <w:r>
              <w:t xml:space="preserve"> to meet several objectives, including interview flow and optimization of questionnaire domains.</w:t>
            </w:r>
          </w:p>
        </w:tc>
      </w:tr>
      <w:tr w:rsidR="007C6846" w:rsidTr="00755EC0">
        <w:tc>
          <w:tcPr>
            <w:tcW w:w="4416" w:type="dxa"/>
            <w:shd w:val="clear" w:color="auto" w:fill="auto"/>
          </w:tcPr>
          <w:p w:rsidR="003A7EE8" w:rsidRPr="00441BAF" w:rsidRDefault="003A7EE8" w:rsidP="00755EC0">
            <w:pPr>
              <w:rPr>
                <w:b/>
              </w:rPr>
            </w:pPr>
            <w:r w:rsidRPr="00441BAF">
              <w:rPr>
                <w:b/>
              </w:rPr>
              <w:lastRenderedPageBreak/>
              <w:t>Health</w:t>
            </w:r>
          </w:p>
          <w:p w:rsidR="003A7EE8" w:rsidRDefault="003A7EE8" w:rsidP="00755EC0"/>
          <w:p w:rsidR="009550B8" w:rsidRDefault="009550B8" w:rsidP="00755EC0">
            <w:r>
              <w:t>There were eight types of comments about the proposed health questions.</w:t>
            </w:r>
          </w:p>
          <w:p w:rsidR="009550B8" w:rsidRDefault="009550B8" w:rsidP="00755EC0"/>
          <w:p w:rsidR="009550B8" w:rsidRDefault="009550B8" w:rsidP="00755EC0">
            <w:r>
              <w:t>Two commenters suggested separating illness and injury in proposed questions HA1</w:t>
            </w:r>
            <w:r w:rsidR="00962079">
              <w:t>5</w:t>
            </w:r>
            <w:r>
              <w:t xml:space="preserve"> (family members) and HA1 (respondent) which ask </w:t>
            </w:r>
            <w:r w:rsidR="00962079">
              <w:t xml:space="preserve">about reasons for using </w:t>
            </w:r>
            <w:r>
              <w:t>health care services in the last year.</w:t>
            </w:r>
          </w:p>
          <w:p w:rsidR="003A7EE8" w:rsidRDefault="009550B8" w:rsidP="00755EC0">
            <w:r>
              <w:t>_________________________________</w:t>
            </w:r>
          </w:p>
          <w:p w:rsidR="009550B8" w:rsidRDefault="009550B8" w:rsidP="00755EC0"/>
          <w:p w:rsidR="009550B8" w:rsidRDefault="009550B8" w:rsidP="00755EC0">
            <w:r>
              <w:t>Three commenters suggested adding a sub-question to HA1 and HA1</w:t>
            </w:r>
            <w:r w:rsidR="00962079">
              <w:t xml:space="preserve">5 to inquire if family members and the respondent </w:t>
            </w:r>
            <w:r>
              <w:t xml:space="preserve">used any </w:t>
            </w:r>
            <w:r w:rsidR="00962079">
              <w:t>type of health care service for behavioral health concerns, such as depression, alcoholism, and intimate partner violence, and one commenter suggesting adding a response category for using mental health counseling to HA15.  In addition, one commenter suggested asking the respondent, in HA15, if he/she sought health care in the last year for pesticide exposure and workplace assault.</w:t>
            </w:r>
          </w:p>
          <w:p w:rsidR="009550B8" w:rsidRDefault="00701FF9" w:rsidP="00755EC0">
            <w:r>
              <w:t>________________________________</w:t>
            </w:r>
          </w:p>
          <w:p w:rsidR="00701FF9" w:rsidRDefault="00701FF9" w:rsidP="00755EC0"/>
          <w:p w:rsidR="009700DE" w:rsidRDefault="00701FF9" w:rsidP="00755EC0">
            <w:r>
              <w:t>Two commenters suggested that the</w:t>
            </w:r>
            <w:r w:rsidR="009700DE">
              <w:t xml:space="preserve"> questions on quality of and access to health care (HA1 – HA9) </w:t>
            </w:r>
            <w:proofErr w:type="gramStart"/>
            <w:r w:rsidR="009700DE">
              <w:t>be administered</w:t>
            </w:r>
            <w:proofErr w:type="gramEnd"/>
            <w:r w:rsidR="009700DE">
              <w:t xml:space="preserve"> to family members as well as to the respondent, and that they replace questions HA15-HA18, which are administered to spouses and children under the age of 22.  In addition, one commenter asked why questions HA15-HA18 </w:t>
            </w:r>
            <w:proofErr w:type="gramStart"/>
            <w:r w:rsidR="009700DE">
              <w:t>will</w:t>
            </w:r>
            <w:proofErr w:type="gramEnd"/>
            <w:r w:rsidR="009700DE">
              <w:t xml:space="preserve"> only be administered to children who are under the age of 22, and why not under the age of 26.</w:t>
            </w:r>
          </w:p>
          <w:p w:rsidR="00D215FA" w:rsidRDefault="00D215FA" w:rsidP="00755EC0">
            <w:r>
              <w:t>________________________________</w:t>
            </w:r>
          </w:p>
          <w:p w:rsidR="00D215FA" w:rsidRDefault="00D215FA" w:rsidP="00755EC0"/>
          <w:p w:rsidR="00545AD9" w:rsidRDefault="00545AD9" w:rsidP="00755EC0">
            <w:r>
              <w:t xml:space="preserve">Two commenters suggested that respondents be asked why their family members </w:t>
            </w:r>
            <w:proofErr w:type="gramStart"/>
            <w:r>
              <w:t>didn’t</w:t>
            </w:r>
            <w:proofErr w:type="gramEnd"/>
            <w:r>
              <w:t xml:space="preserve"> use health care services in the last year for an illness or an injury</w:t>
            </w:r>
            <w:r w:rsidR="004544E6">
              <w:t xml:space="preserve"> (HA18)</w:t>
            </w:r>
            <w:r>
              <w:t>, in each case where the respondent informs that a family member did not use health care for an illness or injury.</w:t>
            </w:r>
          </w:p>
          <w:p w:rsidR="0075553B" w:rsidRDefault="0075553B" w:rsidP="00755EC0">
            <w:r>
              <w:t>____________________________________</w:t>
            </w:r>
          </w:p>
          <w:p w:rsidR="0075553B" w:rsidRDefault="0075553B" w:rsidP="00755EC0"/>
          <w:p w:rsidR="00F401CC" w:rsidRDefault="00AF601D" w:rsidP="00755EC0">
            <w:r>
              <w:t>Two commenters expressed concerns about the validity of the General Anxiety Disorder (GAD)-</w:t>
            </w:r>
            <w:r w:rsidR="00F401CC">
              <w:t>7</w:t>
            </w:r>
            <w:r>
              <w:t xml:space="preserve"> </w:t>
            </w:r>
            <w:proofErr w:type="gramStart"/>
            <w:r>
              <w:t>scale</w:t>
            </w:r>
            <w:proofErr w:type="gramEnd"/>
            <w:r>
              <w:t xml:space="preserve"> for Spanish speaking and indigenous farm worker</w:t>
            </w:r>
            <w:r w:rsidR="003C0925">
              <w:t>s</w:t>
            </w:r>
            <w:r>
              <w:t xml:space="preserve"> in the United States, because the GAD</w:t>
            </w:r>
            <w:r w:rsidR="00F401CC">
              <w:t>-7</w:t>
            </w:r>
            <w:r>
              <w:t xml:space="preserve"> was validated with urban populati</w:t>
            </w:r>
            <w:r w:rsidR="00F401CC">
              <w:t>ons in Spain.</w:t>
            </w:r>
          </w:p>
          <w:p w:rsidR="00F401CC" w:rsidRDefault="00F401CC" w:rsidP="00755EC0"/>
          <w:p w:rsidR="00AF601D" w:rsidRDefault="00F401CC" w:rsidP="00755EC0">
            <w:proofErr w:type="gramStart"/>
            <w:r>
              <w:t>In addition, one commenter expressed concern about the phrasing “Feeling nervous, anxious or on edge” in the first GAD-7 question, noting that there has been some academic research on the meaning and the use of the work “</w:t>
            </w:r>
            <w:proofErr w:type="spellStart"/>
            <w:r>
              <w:t>nervios</w:t>
            </w:r>
            <w:proofErr w:type="spellEnd"/>
            <w:r>
              <w:t xml:space="preserve">” in farmworker communities” and that the question “could ask simply if the respondent has felt </w:t>
            </w:r>
            <w:proofErr w:type="spellStart"/>
            <w:r>
              <w:t>nervios</w:t>
            </w:r>
            <w:proofErr w:type="spellEnd"/>
            <w:r>
              <w:t xml:space="preserve"> rather than adding the words “anxious” or “on edge”, which are encompassed in the term </w:t>
            </w:r>
            <w:proofErr w:type="spellStart"/>
            <w:r>
              <w:t>nervios</w:t>
            </w:r>
            <w:proofErr w:type="spellEnd"/>
            <w:r>
              <w:t>.”</w:t>
            </w:r>
            <w:proofErr w:type="gramEnd"/>
          </w:p>
          <w:p w:rsidR="0075553B" w:rsidRDefault="0075553B" w:rsidP="00755EC0"/>
          <w:p w:rsidR="0075553B" w:rsidRDefault="0075553B"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p w:rsidR="005124E9" w:rsidRDefault="005124E9" w:rsidP="00755EC0">
            <w:r>
              <w:t>_________________________________</w:t>
            </w:r>
          </w:p>
          <w:p w:rsidR="005124E9" w:rsidRDefault="005124E9" w:rsidP="00755EC0"/>
          <w:p w:rsidR="005124E9" w:rsidRDefault="008A6B66" w:rsidP="00755EC0">
            <w:r>
              <w:t>There were three types of comments about response categories in various health questions.</w:t>
            </w:r>
          </w:p>
          <w:p w:rsidR="008A6B66" w:rsidRDefault="008A6B66" w:rsidP="00755EC0"/>
          <w:p w:rsidR="008A6B66" w:rsidRDefault="008A6B66" w:rsidP="00755EC0">
            <w:r>
              <w:t>Two commenters suggesting adding new response categories to questions concerning the type of health care provider.  One commenter suggested adding the response category “curandero” (</w:t>
            </w:r>
            <w:r w:rsidR="0078761A">
              <w:t xml:space="preserve">traditional </w:t>
            </w:r>
            <w:r>
              <w:t>healer</w:t>
            </w:r>
            <w:r w:rsidR="0078761A">
              <w:t>) to questions HA2 and HA16, and one commenter suggested adding the response category “Community Health Worker” to question HA16.</w:t>
            </w:r>
          </w:p>
          <w:p w:rsidR="000C3627" w:rsidRDefault="000C3627" w:rsidP="00755EC0">
            <w:r>
              <w:t>_________________________________</w:t>
            </w:r>
          </w:p>
          <w:p w:rsidR="000C3627" w:rsidRDefault="000C3627" w:rsidP="00755EC0"/>
          <w:p w:rsidR="000C3627" w:rsidRDefault="000C3627" w:rsidP="00755EC0">
            <w:r>
              <w:t xml:space="preserve">Two commenters suggested separating “Too expensive / No insurance” in </w:t>
            </w:r>
            <w:r w:rsidR="00092D89">
              <w:t xml:space="preserve">question HA8, </w:t>
            </w:r>
            <w:r>
              <w:t xml:space="preserve">response category “e”, noting that often </w:t>
            </w:r>
            <w:proofErr w:type="gramStart"/>
            <w:r>
              <w:t>times</w:t>
            </w:r>
            <w:proofErr w:type="gramEnd"/>
            <w:r>
              <w:t xml:space="preserve"> farm workers have insurance but they are unable to use it due to large deductibles and co-pays.</w:t>
            </w:r>
          </w:p>
          <w:p w:rsidR="00092D89" w:rsidRDefault="00633E90" w:rsidP="00755EC0">
            <w:r>
              <w:t>__________________________________</w:t>
            </w:r>
          </w:p>
          <w:p w:rsidR="005124E9" w:rsidRDefault="00092D89" w:rsidP="00755EC0">
            <w:r>
              <w:t>Three commenters expressed concern that the interviewer (or the respondent) will not be able to distinguish between health care services sought at a “community health center” from those sought at a “migrant health clinic”, both of which are response categories to a number of questions about health services.  The suggestion is that, to avoid confusion and errors, interviewers should simply code for “community health center.”</w:t>
            </w:r>
          </w:p>
        </w:tc>
        <w:tc>
          <w:tcPr>
            <w:tcW w:w="4692" w:type="dxa"/>
            <w:shd w:val="clear" w:color="auto" w:fill="auto"/>
          </w:tcPr>
          <w:p w:rsidR="003A7EE8" w:rsidRPr="00441BAF" w:rsidRDefault="003A7EE8" w:rsidP="00755EC0">
            <w:pPr>
              <w:rPr>
                <w:b/>
              </w:rPr>
            </w:pPr>
            <w:r w:rsidRPr="00441BAF">
              <w:rPr>
                <w:b/>
              </w:rPr>
              <w:lastRenderedPageBreak/>
              <w:t>ETA’s Response</w:t>
            </w:r>
          </w:p>
          <w:p w:rsidR="003A7EE8" w:rsidRDefault="003A7EE8" w:rsidP="00755EC0"/>
          <w:p w:rsidR="009550B8" w:rsidRDefault="009550B8" w:rsidP="00441BAF">
            <w:pPr>
              <w:ind w:left="360"/>
            </w:pPr>
          </w:p>
          <w:p w:rsidR="009550B8" w:rsidRDefault="009550B8" w:rsidP="00441BAF">
            <w:pPr>
              <w:ind w:left="360"/>
            </w:pPr>
          </w:p>
          <w:p w:rsidR="009550B8" w:rsidRDefault="009550B8" w:rsidP="00441BAF">
            <w:pPr>
              <w:ind w:left="360"/>
            </w:pPr>
          </w:p>
          <w:p w:rsidR="009550B8" w:rsidRDefault="009550B8" w:rsidP="00755EC0">
            <w:proofErr w:type="gramStart"/>
            <w:r>
              <w:t>ETA agrees with this suggestion and will make the change in both HA1</w:t>
            </w:r>
            <w:r w:rsidR="00962079">
              <w:t>5</w:t>
            </w:r>
            <w:r>
              <w:t xml:space="preserve"> and HA1.</w:t>
            </w:r>
            <w:proofErr w:type="gramEnd"/>
          </w:p>
          <w:p w:rsidR="00962079" w:rsidRDefault="00962079" w:rsidP="00755EC0"/>
          <w:p w:rsidR="00962079" w:rsidRDefault="00962079" w:rsidP="00755EC0"/>
          <w:p w:rsidR="00962079" w:rsidRDefault="00962079" w:rsidP="00755EC0"/>
          <w:p w:rsidR="00962079" w:rsidRDefault="00962079" w:rsidP="00755EC0">
            <w:r>
              <w:t>___________________________________</w:t>
            </w:r>
          </w:p>
          <w:p w:rsidR="00962079" w:rsidRDefault="00962079" w:rsidP="00755EC0"/>
          <w:p w:rsidR="00962079" w:rsidRDefault="002B7624" w:rsidP="00755EC0">
            <w:r>
              <w:t xml:space="preserve">These are important health domains and ETA will discuss them with its NAWS Federal partners.  At this time, however, it will not be possible to add these domains to the NAWS.  Several of these domains </w:t>
            </w:r>
            <w:r w:rsidR="00D215FA">
              <w:t>might</w:t>
            </w:r>
            <w:r>
              <w:t xml:space="preserve"> require cognitive and pilot testing.</w:t>
            </w:r>
          </w:p>
          <w:p w:rsidR="00DB3532" w:rsidRDefault="00DB3532" w:rsidP="00755EC0"/>
          <w:p w:rsidR="00DB3532" w:rsidRDefault="00DB3532" w:rsidP="00755EC0"/>
          <w:p w:rsidR="00DB3532" w:rsidRDefault="00DB3532" w:rsidP="00755EC0"/>
          <w:p w:rsidR="00DB3532" w:rsidRDefault="00DB3532" w:rsidP="00755EC0"/>
          <w:p w:rsidR="00DB3532" w:rsidRDefault="00DB3532" w:rsidP="00755EC0"/>
          <w:p w:rsidR="00DB3532" w:rsidRDefault="00DB3532" w:rsidP="00755EC0"/>
          <w:p w:rsidR="00DB3532" w:rsidRDefault="00DB3532" w:rsidP="00755EC0"/>
          <w:p w:rsidR="00DB3532" w:rsidRDefault="00DB3532" w:rsidP="00755EC0">
            <w:r>
              <w:t>___________________________________</w:t>
            </w:r>
          </w:p>
          <w:p w:rsidR="00DB3532" w:rsidRDefault="00DB3532" w:rsidP="00755EC0"/>
          <w:p w:rsidR="00DB3532" w:rsidRDefault="00DB3532" w:rsidP="00755EC0">
            <w:r>
              <w:t xml:space="preserve">Asking respondents to answer the HA1-HA9 questions about all family members would be burdensome to both the respondent and the interviewer and could </w:t>
            </w:r>
            <w:proofErr w:type="gramStart"/>
            <w:r>
              <w:t>impact</w:t>
            </w:r>
            <w:proofErr w:type="gramEnd"/>
            <w:r>
              <w:t xml:space="preserve"> data quality.  At this time, the health information about family members that will be collected in questions HA15-HA18 will meet the information needs of the sponsoring NAWS Federal partner.  At this time, only health information on spouses and children who are under the age of 22 </w:t>
            </w:r>
            <w:proofErr w:type="gramStart"/>
            <w:r>
              <w:t>will be collected</w:t>
            </w:r>
            <w:proofErr w:type="gramEnd"/>
            <w:r>
              <w:t>.</w:t>
            </w:r>
          </w:p>
          <w:p w:rsidR="00D215FA" w:rsidRDefault="00D215FA" w:rsidP="00755EC0">
            <w:r>
              <w:t>____________________________________</w:t>
            </w:r>
          </w:p>
          <w:p w:rsidR="00D215FA" w:rsidRDefault="00D215FA" w:rsidP="00755EC0"/>
          <w:p w:rsidR="00545AD9" w:rsidRDefault="00545AD9" w:rsidP="00755EC0">
            <w:r>
              <w:t>ETA will make this change</w:t>
            </w:r>
            <w:r w:rsidR="0075553B">
              <w:t>.</w:t>
            </w:r>
          </w:p>
          <w:p w:rsidR="0075553B" w:rsidRDefault="0075553B" w:rsidP="00755EC0"/>
          <w:p w:rsidR="0075553B" w:rsidRDefault="0075553B" w:rsidP="00755EC0"/>
          <w:p w:rsidR="0075553B" w:rsidRDefault="0075553B" w:rsidP="00755EC0"/>
          <w:p w:rsidR="0075553B" w:rsidRDefault="0075553B" w:rsidP="00755EC0"/>
          <w:p w:rsidR="0075553B" w:rsidRDefault="0075553B" w:rsidP="00755EC0"/>
          <w:p w:rsidR="0075553B" w:rsidRDefault="0075553B" w:rsidP="00755EC0"/>
          <w:p w:rsidR="0075553B" w:rsidRDefault="0075553B" w:rsidP="00755EC0">
            <w:r>
              <w:t>___________________________________</w:t>
            </w:r>
          </w:p>
          <w:p w:rsidR="0075553B" w:rsidRDefault="0075553B" w:rsidP="00755EC0"/>
          <w:p w:rsidR="00615ABA" w:rsidRPr="005F776E" w:rsidRDefault="00615ABA" w:rsidP="00615ABA">
            <w:r>
              <w:t xml:space="preserve">This feedback on the GAD-7 </w:t>
            </w:r>
            <w:proofErr w:type="gramStart"/>
            <w:r>
              <w:t>is appreciated</w:t>
            </w:r>
            <w:proofErr w:type="gramEnd"/>
            <w:r>
              <w:t xml:space="preserve">.  In addition to </w:t>
            </w:r>
            <w:proofErr w:type="gramStart"/>
            <w:r>
              <w:t>being validated</w:t>
            </w:r>
            <w:proofErr w:type="gramEnd"/>
            <w:r>
              <w:t xml:space="preserve"> in Spain, the</w:t>
            </w:r>
            <w:r w:rsidR="003C0925">
              <w:t xml:space="preserve"> </w:t>
            </w:r>
            <w:r w:rsidRPr="005F776E">
              <w:t xml:space="preserve">GAD-7 was used in a study in which participants were predominantly Mexican American and were drawn from a single 5,000 square mile, border county. </w:t>
            </w:r>
            <w:r w:rsidR="003C0925" w:rsidRPr="005F776E">
              <w:t xml:space="preserve"> </w:t>
            </w:r>
            <w:r w:rsidRPr="005F776E">
              <w:t xml:space="preserve">This study evaluated the reliability, structural validity, and convergent validity of the English and Spanish language versions of the GAD-7 for Hispanic Americans in the United States. </w:t>
            </w:r>
            <w:r w:rsidR="003C0925" w:rsidRPr="005F776E">
              <w:t xml:space="preserve"> </w:t>
            </w:r>
            <w:r w:rsidRPr="005F776E">
              <w:t xml:space="preserve">A community sample of 436 Hispanic Americans with an English (n = 210) or Spanish (n = 226) language preference completed the GAD-7. </w:t>
            </w:r>
            <w:r w:rsidR="003C0925" w:rsidRPr="005F776E">
              <w:t xml:space="preserve"> </w:t>
            </w:r>
            <w:r w:rsidRPr="005F776E">
              <w:t xml:space="preserve">The findings suggested that scores on the English and Spanish versions of the GAD-7 are reliable and structurally valid for use with Hispanic Americans. </w:t>
            </w:r>
          </w:p>
          <w:p w:rsidR="00615ABA" w:rsidRPr="005F776E" w:rsidRDefault="00615ABA" w:rsidP="00615ABA"/>
          <w:p w:rsidR="00615ABA" w:rsidRPr="005F776E" w:rsidRDefault="00615ABA" w:rsidP="00615ABA">
            <w:r w:rsidRPr="005F776E">
              <w:t xml:space="preserve">“In sum, the present study provides evidence supporting the GAD-7 as a good assessment </w:t>
            </w:r>
            <w:r w:rsidRPr="005F776E">
              <w:lastRenderedPageBreak/>
              <w:t>option for researchers, clinicians, and other health professionals who want a reliable and valid screening tool for GAD in English or Spanish for use with Hispanic Americans. The</w:t>
            </w:r>
            <w:r w:rsidR="003C0925" w:rsidRPr="005F776E">
              <w:t xml:space="preserve"> </w:t>
            </w:r>
            <w:r w:rsidRPr="005F776E">
              <w:t>unidimensional GAD-7 can be reliably and validly used among Hispanic Americans with an English or Spanish language preference.”  (</w:t>
            </w:r>
            <w:proofErr w:type="gramStart"/>
            <w:r w:rsidRPr="005F776E">
              <w:t>page</w:t>
            </w:r>
            <w:proofErr w:type="gramEnd"/>
            <w:r w:rsidRPr="005F776E">
              <w:t xml:space="preserve"> 468</w:t>
            </w:r>
            <w:r w:rsidR="00D74F41" w:rsidRPr="005F776E">
              <w:t xml:space="preserve"> of referenced article, see below</w:t>
            </w:r>
            <w:r w:rsidRPr="005F776E">
              <w:t>)</w:t>
            </w:r>
            <w:r w:rsidR="00D74F41" w:rsidRPr="005F776E">
              <w:t>.</w:t>
            </w:r>
          </w:p>
          <w:p w:rsidR="00615ABA" w:rsidRPr="005F776E" w:rsidRDefault="00615ABA" w:rsidP="00615ABA"/>
          <w:p w:rsidR="00615ABA" w:rsidRPr="005F776E" w:rsidRDefault="00615ABA" w:rsidP="00615ABA">
            <w:r w:rsidRPr="005F776E">
              <w:t xml:space="preserve">While the sample is not hired immigrant farm workers, the participants were primarily Mexican Americans from a border county suggesting that the instrument </w:t>
            </w:r>
            <w:proofErr w:type="gramStart"/>
            <w:r w:rsidRPr="005F776E">
              <w:t>can be</w:t>
            </w:r>
            <w:r w:rsidR="003C0925" w:rsidRPr="005F776E">
              <w:t xml:space="preserve"> used</w:t>
            </w:r>
            <w:proofErr w:type="gramEnd"/>
            <w:r w:rsidR="003C0925" w:rsidRPr="005F776E">
              <w:t xml:space="preserve"> with Hispanics in the United States.</w:t>
            </w:r>
            <w:r w:rsidRPr="005F776E">
              <w:t xml:space="preserve"> </w:t>
            </w:r>
          </w:p>
          <w:p w:rsidR="005124E9" w:rsidRPr="005F776E" w:rsidRDefault="005124E9" w:rsidP="00615ABA"/>
          <w:p w:rsidR="00615ABA" w:rsidRPr="005F776E" w:rsidRDefault="00615ABA" w:rsidP="00615ABA">
            <w:r w:rsidRPr="005F776E">
              <w:t xml:space="preserve">Reference: </w:t>
            </w:r>
          </w:p>
          <w:p w:rsidR="00615ABA" w:rsidRPr="005F776E" w:rsidRDefault="00615ABA" w:rsidP="00755EC0">
            <w:r w:rsidRPr="005F776E">
              <w:t xml:space="preserve">Mills SD, Fox RS, </w:t>
            </w:r>
            <w:proofErr w:type="spellStart"/>
            <w:r w:rsidRPr="005F776E">
              <w:t>Malcarne</w:t>
            </w:r>
            <w:proofErr w:type="spellEnd"/>
            <w:r w:rsidRPr="005F776E">
              <w:t xml:space="preserve"> VL, </w:t>
            </w:r>
            <w:proofErr w:type="spellStart"/>
            <w:r w:rsidRPr="005F776E">
              <w:t>Roesch</w:t>
            </w:r>
            <w:proofErr w:type="spellEnd"/>
            <w:r w:rsidRPr="005F776E">
              <w:t xml:space="preserve"> SC, </w:t>
            </w:r>
            <w:proofErr w:type="spellStart"/>
            <w:r w:rsidRPr="005F776E">
              <w:t>Champgagne</w:t>
            </w:r>
            <w:proofErr w:type="spellEnd"/>
            <w:r w:rsidRPr="005F776E">
              <w:t xml:space="preserve"> BR, Sadler GR. The psychometric properties of the Generalized Anxiety Disorder-7 scale in Hispanic Americans with English or Spanish Language preference. Cultural Diversity Ethnic Minority Psychology 2014 July; 20(3):463-468. doi:10.1037/a0036523</w:t>
            </w:r>
          </w:p>
          <w:p w:rsidR="005124E9" w:rsidRDefault="005124E9" w:rsidP="00755EC0">
            <w:r>
              <w:t>___________________________________</w:t>
            </w:r>
          </w:p>
          <w:p w:rsidR="005124E9" w:rsidRDefault="005124E9" w:rsidP="00755EC0"/>
          <w:p w:rsidR="005124E9" w:rsidRDefault="005124E9" w:rsidP="00755EC0"/>
          <w:p w:rsidR="000C3627" w:rsidRDefault="000C3627" w:rsidP="00755EC0"/>
          <w:p w:rsidR="000C3627" w:rsidRDefault="000C3627" w:rsidP="00755EC0"/>
          <w:p w:rsidR="000C3627" w:rsidRDefault="000C3627" w:rsidP="00755EC0"/>
          <w:p w:rsidR="000C3627" w:rsidRDefault="000C3627" w:rsidP="00755EC0">
            <w:r>
              <w:t xml:space="preserve">NAWS response categories </w:t>
            </w:r>
            <w:proofErr w:type="gramStart"/>
            <w:r>
              <w:t>are developed</w:t>
            </w:r>
            <w:proofErr w:type="gramEnd"/>
            <w:r>
              <w:t xml:space="preserve"> through testing and reflect common responses.  When respondents’ answers do not match existing categories, the interviewer writes down the response on the questionnaire or in a provided text field.  Non-standard responses </w:t>
            </w:r>
            <w:proofErr w:type="gramStart"/>
            <w:r>
              <w:t>are routinely assessed</w:t>
            </w:r>
            <w:proofErr w:type="gramEnd"/>
            <w:r>
              <w:t xml:space="preserve"> to determine if response categories need to be modified or augmented.</w:t>
            </w:r>
          </w:p>
          <w:p w:rsidR="000C3627" w:rsidRDefault="000C3627" w:rsidP="00755EC0">
            <w:r>
              <w:t>___________________________________</w:t>
            </w:r>
          </w:p>
          <w:p w:rsidR="000C3627" w:rsidRDefault="000C3627" w:rsidP="00755EC0"/>
          <w:p w:rsidR="000C3627" w:rsidRDefault="000C3627" w:rsidP="00755EC0">
            <w:r>
              <w:t>ETA will make this change.</w:t>
            </w:r>
          </w:p>
          <w:p w:rsidR="00092D89" w:rsidRDefault="00092D89" w:rsidP="00755EC0"/>
          <w:p w:rsidR="00092D89" w:rsidRDefault="00092D89" w:rsidP="00755EC0"/>
          <w:p w:rsidR="00092D89" w:rsidRDefault="00092D89" w:rsidP="00755EC0"/>
          <w:p w:rsidR="00092D89" w:rsidRDefault="00092D89" w:rsidP="00755EC0"/>
          <w:p w:rsidR="00092D89" w:rsidRDefault="00092D89" w:rsidP="00755EC0"/>
          <w:p w:rsidR="00092D89" w:rsidRDefault="00633E90" w:rsidP="00755EC0">
            <w:r>
              <w:t>__________________________________</w:t>
            </w:r>
          </w:p>
          <w:p w:rsidR="00092D89" w:rsidRDefault="00092D89" w:rsidP="00755EC0">
            <w:r>
              <w:t xml:space="preserve">These response categories will remain separate in the various health questions, but they </w:t>
            </w:r>
            <w:proofErr w:type="gramStart"/>
            <w:r>
              <w:t>will typically be combined</w:t>
            </w:r>
            <w:proofErr w:type="gramEnd"/>
            <w:r>
              <w:t xml:space="preserve"> when data are tabulated and reported.  These response categories </w:t>
            </w:r>
            <w:proofErr w:type="gramStart"/>
            <w:r>
              <w:t>were joined</w:t>
            </w:r>
            <w:proofErr w:type="gramEnd"/>
            <w:r>
              <w:t xml:space="preserve"> previously, but NAWS Federal partners asked ETA to separate them to meet information reporting needs.</w:t>
            </w:r>
          </w:p>
        </w:tc>
      </w:tr>
      <w:tr w:rsidR="007C6846" w:rsidTr="00755EC0">
        <w:tc>
          <w:tcPr>
            <w:tcW w:w="4416" w:type="dxa"/>
            <w:shd w:val="clear" w:color="auto" w:fill="auto"/>
          </w:tcPr>
          <w:p w:rsidR="003A7EE8" w:rsidRDefault="00295B07" w:rsidP="00755EC0">
            <w:pPr>
              <w:rPr>
                <w:b/>
              </w:rPr>
            </w:pPr>
            <w:r w:rsidRPr="005F776E">
              <w:rPr>
                <w:b/>
              </w:rPr>
              <w:lastRenderedPageBreak/>
              <w:t>Housing</w:t>
            </w:r>
          </w:p>
          <w:p w:rsidR="00295B07" w:rsidRDefault="00295B07" w:rsidP="00755EC0"/>
          <w:p w:rsidR="00295B07" w:rsidRPr="00295B07" w:rsidRDefault="00295B07" w:rsidP="00755EC0">
            <w:r>
              <w:t>Three commenters suggested that the proposed new question on housing (D65), in which respondents would be asked if they live in a labor camp or Migrant Center, was confusing and that the question could be rephrased as “Do you live in a labor camp run by your employer or labor contractor, or a Migrant Center run by a public agency?”.  The proposed responses for this modified question would be “employer labor camp”, “FLC labor camp”, or “Migrant Center”.</w:t>
            </w:r>
          </w:p>
        </w:tc>
        <w:tc>
          <w:tcPr>
            <w:tcW w:w="4692" w:type="dxa"/>
            <w:shd w:val="clear" w:color="auto" w:fill="auto"/>
          </w:tcPr>
          <w:p w:rsidR="00295B07" w:rsidRPr="00441BAF" w:rsidRDefault="00295B07" w:rsidP="00755EC0">
            <w:pPr>
              <w:rPr>
                <w:b/>
              </w:rPr>
            </w:pPr>
            <w:r w:rsidRPr="00441BAF">
              <w:rPr>
                <w:b/>
              </w:rPr>
              <w:t>ETA’s Response</w:t>
            </w:r>
          </w:p>
          <w:p w:rsidR="003A7EE8" w:rsidRDefault="003A7EE8" w:rsidP="005F776E"/>
          <w:p w:rsidR="00295B07" w:rsidRDefault="00295B07" w:rsidP="005F776E">
            <w:r>
              <w:t>The intention was to combine information from this question w</w:t>
            </w:r>
            <w:r w:rsidR="00310D3E">
              <w:t>ith information from question D</w:t>
            </w:r>
            <w:r>
              <w:t xml:space="preserve">35 to determine if the respondent lived in an employer labor camp or a migrant center.  </w:t>
            </w:r>
            <w:proofErr w:type="gramStart"/>
            <w:r>
              <w:t>However, ETA agrees with the suggestion and will make this change, as it will facilitate data analysis and reporting, especially for users of the NAWS public data file.</w:t>
            </w:r>
            <w:proofErr w:type="gramEnd"/>
          </w:p>
        </w:tc>
      </w:tr>
      <w:tr w:rsidR="007C6846" w:rsidTr="00755EC0">
        <w:tc>
          <w:tcPr>
            <w:tcW w:w="4416" w:type="dxa"/>
            <w:shd w:val="clear" w:color="auto" w:fill="auto"/>
          </w:tcPr>
          <w:p w:rsidR="003A7EE8" w:rsidRPr="005F776E" w:rsidRDefault="00AA28A3" w:rsidP="005F776E">
            <w:pPr>
              <w:rPr>
                <w:b/>
              </w:rPr>
            </w:pPr>
            <w:r w:rsidRPr="005F776E">
              <w:rPr>
                <w:b/>
              </w:rPr>
              <w:t>Proposed New Questions</w:t>
            </w:r>
          </w:p>
          <w:p w:rsidR="00AA28A3" w:rsidRDefault="00AA28A3" w:rsidP="005F776E"/>
          <w:p w:rsidR="00D72F26" w:rsidRDefault="00D72F26" w:rsidP="005F776E">
            <w:r>
              <w:t>Collectively, three commenters proposed ten new questions.  Of these, six concerned farm labor supply, and four concerned health issues.</w:t>
            </w:r>
          </w:p>
          <w:p w:rsidR="00D72F26" w:rsidRDefault="00D72F26" w:rsidP="005F776E"/>
          <w:p w:rsidR="00D72F26" w:rsidRDefault="00D72F26" w:rsidP="005F776E">
            <w:r>
              <w:t>Propo</w:t>
            </w:r>
            <w:r w:rsidR="006065C4">
              <w:t>sed farm labor supply questions:</w:t>
            </w:r>
          </w:p>
          <w:p w:rsidR="00D72F26" w:rsidRDefault="00D72F26" w:rsidP="005F776E"/>
          <w:p w:rsidR="00D72F26" w:rsidRDefault="00D72F26" w:rsidP="005F776E">
            <w:r>
              <w:t>One commenter suggested that a special supplement on immigration status of farm worker families</w:t>
            </w:r>
            <w:r w:rsidR="006065C4">
              <w:t xml:space="preserve"> that focuses on administrative </w:t>
            </w:r>
            <w:r>
              <w:t xml:space="preserve">relief </w:t>
            </w:r>
            <w:proofErr w:type="gramStart"/>
            <w:r>
              <w:t>be added</w:t>
            </w:r>
            <w:proofErr w:type="gramEnd"/>
            <w:r>
              <w:t xml:space="preserve"> because this kind of information has important implications for farm labor supply.  The first three questions of the proposed supplement would ask </w:t>
            </w:r>
            <w:r w:rsidR="006065C4">
              <w:t>about awareness of the Deferred Action Program for Childhood Arrivals (DACA), whether the respondent or any family members had applied or planned to apply for DACA, and barriers to applying.  The last three questions would address family-sponsorship visas and the status of family petitions.</w:t>
            </w:r>
            <w:r>
              <w:t xml:space="preserve"> </w:t>
            </w:r>
          </w:p>
          <w:p w:rsidR="00D72F26" w:rsidRDefault="006065C4" w:rsidP="005F776E">
            <w:r>
              <w:t>__________________________________</w:t>
            </w:r>
          </w:p>
          <w:p w:rsidR="006C6FAB" w:rsidRDefault="006C6FAB" w:rsidP="005F776E"/>
          <w:p w:rsidR="006C6FAB" w:rsidRDefault="006C6FAB" w:rsidP="005F776E">
            <w:r>
              <w:t>Proposed health questions:</w:t>
            </w:r>
          </w:p>
          <w:p w:rsidR="000A19BC" w:rsidRDefault="000A19BC" w:rsidP="005F776E"/>
          <w:p w:rsidR="0040788A" w:rsidRDefault="0040788A" w:rsidP="005F776E">
            <w:r>
              <w:t xml:space="preserve">1) </w:t>
            </w:r>
            <w:r w:rsidR="006C6FAB">
              <w:t xml:space="preserve">Are towels available </w:t>
            </w:r>
            <w:r>
              <w:t>for drying washed hands</w:t>
            </w:r>
            <w:r w:rsidR="006C6FAB">
              <w:t>?  T</w:t>
            </w:r>
            <w:r>
              <w:t xml:space="preserve">his </w:t>
            </w:r>
            <w:r w:rsidR="006C6FAB">
              <w:t xml:space="preserve">question </w:t>
            </w:r>
            <w:r>
              <w:t>would be added to the current</w:t>
            </w:r>
            <w:r w:rsidR="006C6FAB">
              <w:t xml:space="preserve"> section on workplace hygiene</w:t>
            </w:r>
          </w:p>
          <w:p w:rsidR="000A19BC" w:rsidRDefault="000A19BC" w:rsidP="005F776E"/>
          <w:p w:rsidR="0040788A" w:rsidRDefault="0040788A" w:rsidP="005F776E">
            <w:r>
              <w:t xml:space="preserve">2) </w:t>
            </w:r>
            <w:r w:rsidR="006C6FAB">
              <w:t xml:space="preserve">Was there </w:t>
            </w:r>
            <w:r w:rsidR="000A19BC">
              <w:t xml:space="preserve">follow </w:t>
            </w:r>
            <w:r w:rsidR="00FC2038">
              <w:t xml:space="preserve">up treatment for </w:t>
            </w:r>
            <w:r w:rsidR="000A19BC">
              <w:t>an abnormal pap smear result</w:t>
            </w:r>
            <w:r w:rsidR="006C6FAB">
              <w:t>?  T</w:t>
            </w:r>
            <w:r w:rsidR="000A19BC">
              <w:t xml:space="preserve">his </w:t>
            </w:r>
            <w:r w:rsidR="006C6FAB">
              <w:t xml:space="preserve">question </w:t>
            </w:r>
            <w:proofErr w:type="gramStart"/>
            <w:r w:rsidR="000A19BC">
              <w:t>would be added</w:t>
            </w:r>
            <w:proofErr w:type="gramEnd"/>
            <w:r w:rsidR="000A19BC">
              <w:t xml:space="preserve"> after question NH6 (for women only):  “Have you ever had a PAP SMEAR TEST?”</w:t>
            </w:r>
          </w:p>
          <w:p w:rsidR="000A19BC" w:rsidRDefault="000A19BC" w:rsidP="005F776E"/>
          <w:p w:rsidR="000A19BC" w:rsidRDefault="000A19BC" w:rsidP="005F776E">
            <w:r>
              <w:t xml:space="preserve">3) </w:t>
            </w:r>
            <w:r w:rsidR="00883326">
              <w:t>Did the respondent seek and/or receive</w:t>
            </w:r>
            <w:r>
              <w:t xml:space="preserve"> treatment for stress and anxiety, for example advi</w:t>
            </w:r>
            <w:r w:rsidR="00883326">
              <w:t>ce, counseling, and medication?  T</w:t>
            </w:r>
            <w:r>
              <w:t>his would be a follow up question to GAD-7</w:t>
            </w:r>
            <w:r w:rsidR="00883326">
              <w:t>).</w:t>
            </w:r>
          </w:p>
          <w:p w:rsidR="000A19BC" w:rsidRDefault="000A19BC" w:rsidP="005F776E"/>
          <w:p w:rsidR="000A19BC" w:rsidRDefault="000A19BC" w:rsidP="005F776E">
            <w:r>
              <w:t xml:space="preserve">4) </w:t>
            </w:r>
            <w:r w:rsidR="00883326">
              <w:t xml:space="preserve">Did the respondent ever have an </w:t>
            </w:r>
            <w:r>
              <w:t>injury</w:t>
            </w:r>
            <w:r w:rsidR="00883326">
              <w:t xml:space="preserve"> at work</w:t>
            </w:r>
            <w:r w:rsidR="003A275D">
              <w:t>?</w:t>
            </w:r>
          </w:p>
          <w:p w:rsidR="000A19BC" w:rsidRDefault="000A19BC" w:rsidP="005F776E"/>
          <w:p w:rsidR="000A19BC" w:rsidRDefault="000A19BC" w:rsidP="005F776E">
            <w:r>
              <w:t>Regarding the latter, one commenter strongly recommended that at least one question about workplace injuries be added, noting that it found it problematic that there is no injury question in the individual health history section (NH1- NH6).</w:t>
            </w:r>
          </w:p>
          <w:p w:rsidR="003B4062" w:rsidRDefault="003B4062" w:rsidP="005F776E"/>
        </w:tc>
        <w:tc>
          <w:tcPr>
            <w:tcW w:w="4692" w:type="dxa"/>
            <w:shd w:val="clear" w:color="auto" w:fill="auto"/>
          </w:tcPr>
          <w:p w:rsidR="00AA28A3" w:rsidRPr="00441BAF" w:rsidRDefault="00AA28A3" w:rsidP="00755EC0">
            <w:pPr>
              <w:rPr>
                <w:b/>
              </w:rPr>
            </w:pPr>
            <w:r w:rsidRPr="00441BAF">
              <w:rPr>
                <w:b/>
              </w:rPr>
              <w:t>ETA’s Response</w:t>
            </w:r>
          </w:p>
          <w:p w:rsidR="003A7EE8" w:rsidRDefault="003A7EE8" w:rsidP="005F776E"/>
          <w:p w:rsidR="006065C4" w:rsidRDefault="006065C4" w:rsidP="005F776E"/>
          <w:p w:rsidR="006065C4" w:rsidRDefault="006065C4" w:rsidP="005F776E"/>
          <w:p w:rsidR="006065C4" w:rsidRDefault="006065C4" w:rsidP="005F776E"/>
          <w:p w:rsidR="006065C4" w:rsidRDefault="006065C4" w:rsidP="005F776E"/>
          <w:p w:rsidR="006065C4" w:rsidRDefault="006065C4" w:rsidP="005F776E"/>
          <w:p w:rsidR="006065C4" w:rsidRDefault="006065C4" w:rsidP="005F776E"/>
          <w:p w:rsidR="006065C4" w:rsidRDefault="006065C4" w:rsidP="005F776E"/>
          <w:p w:rsidR="006065C4" w:rsidRDefault="006065C4" w:rsidP="005F776E">
            <w:r>
              <w:t xml:space="preserve">The NAWS began in 1988 to answer questions about farm labor supply and the proposed questions are interesting domains to consider.  ETA will discuss these domains with NAWS Federal partners and will consider them for a future information collection.  The current questionnaire </w:t>
            </w:r>
            <w:proofErr w:type="gramStart"/>
            <w:r>
              <w:t>is already designed</w:t>
            </w:r>
            <w:proofErr w:type="gramEnd"/>
            <w:r>
              <w:t xml:space="preserve"> to capture if farm workers obtained a work authorization status through DACA.</w:t>
            </w:r>
          </w:p>
          <w:p w:rsidR="006065C4" w:rsidRDefault="006065C4" w:rsidP="005F776E"/>
          <w:p w:rsidR="006065C4" w:rsidRDefault="006065C4" w:rsidP="005F776E"/>
          <w:p w:rsidR="006065C4" w:rsidRDefault="006065C4" w:rsidP="005F776E"/>
          <w:p w:rsidR="006065C4" w:rsidRDefault="006065C4" w:rsidP="005F776E"/>
          <w:p w:rsidR="006065C4" w:rsidRDefault="006065C4" w:rsidP="005F776E"/>
          <w:p w:rsidR="006065C4" w:rsidRDefault="006065C4" w:rsidP="005F776E">
            <w:r>
              <w:t>__________________________________</w:t>
            </w:r>
          </w:p>
          <w:p w:rsidR="003A275D" w:rsidRDefault="003A275D" w:rsidP="005F776E"/>
          <w:p w:rsidR="003A275D" w:rsidRDefault="003A275D" w:rsidP="005F776E"/>
          <w:p w:rsidR="003A275D" w:rsidRDefault="003A275D" w:rsidP="005F776E"/>
          <w:p w:rsidR="003A275D" w:rsidRDefault="003A275D" w:rsidP="005F776E">
            <w:r>
              <w:t xml:space="preserve">ETA will discuss these proposed questions (1, 2, and 3) with NAWS Federal partners to determine if they or similar questions </w:t>
            </w:r>
            <w:proofErr w:type="gramStart"/>
            <w:r>
              <w:t>should be proposed</w:t>
            </w:r>
            <w:proofErr w:type="gramEnd"/>
            <w:r>
              <w:t xml:space="preserve"> for a future information collection.</w:t>
            </w:r>
          </w:p>
          <w:p w:rsidR="003A275D" w:rsidRDefault="003A275D" w:rsidP="005F776E"/>
          <w:p w:rsidR="003A275D" w:rsidRDefault="003A275D" w:rsidP="005F776E"/>
          <w:p w:rsidR="003A275D" w:rsidRDefault="003A275D" w:rsidP="005F776E"/>
          <w:p w:rsidR="003A275D" w:rsidRDefault="003A275D" w:rsidP="005F776E"/>
          <w:p w:rsidR="003A275D" w:rsidRDefault="003A275D" w:rsidP="005F776E"/>
          <w:p w:rsidR="003A275D" w:rsidRDefault="003A275D" w:rsidP="005F776E"/>
          <w:p w:rsidR="003A275D" w:rsidRDefault="003A275D" w:rsidP="005F776E"/>
          <w:p w:rsidR="003A275D" w:rsidRDefault="003A275D" w:rsidP="005F776E"/>
          <w:p w:rsidR="003A275D" w:rsidRDefault="003A275D" w:rsidP="005F776E"/>
          <w:p w:rsidR="003A275D" w:rsidRDefault="003A275D" w:rsidP="005F776E"/>
          <w:p w:rsidR="003A275D" w:rsidRDefault="003A275D" w:rsidP="005F776E">
            <w:r>
              <w:t>ETA will discuss this proposed question with NAWS Federal partners.  Previous occupational injury surveillance in the NAWS has included a series of questions to determine if reported injuries meet qualifying criteria.  It is likely that future questions about workplace injuries would also include the qualifying/screening questions.  At this time, it is not possible to add injury questions to the NAWS.</w:t>
            </w:r>
          </w:p>
        </w:tc>
      </w:tr>
    </w:tbl>
    <w:p w:rsidR="003A7EE8" w:rsidRDefault="003A7EE8" w:rsidP="003A7EE8">
      <w:pPr>
        <w:ind w:left="360"/>
      </w:pPr>
    </w:p>
    <w:p w:rsidR="00B70EBE" w:rsidRDefault="00B70EBE" w:rsidP="003A7EE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cs="Arial"/>
          <w:szCs w:val="20"/>
        </w:rPr>
      </w:pPr>
    </w:p>
    <w:p w:rsidR="00B70EBE" w:rsidRDefault="00B70EBE"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3B19B2" w:rsidRDefault="003B19B2"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3B19B2" w:rsidRDefault="003B19B2"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70EBE" w:rsidRDefault="00B70EBE" w:rsidP="00EE0D32">
      <w:pPr>
        <w:tabs>
          <w:tab w:val="left" w:pos="360"/>
        </w:tabs>
        <w:autoSpaceDE w:val="0"/>
        <w:autoSpaceDN w:val="0"/>
        <w:adjustRightInd w:val="0"/>
        <w:ind w:left="360"/>
        <w:rPr>
          <w:b/>
          <w:bCs/>
        </w:rPr>
      </w:pPr>
      <w:r w:rsidRPr="00806AAF">
        <w:rPr>
          <w:b/>
          <w:bCs/>
        </w:rPr>
        <w:t xml:space="preserve">Describe efforts to consult with persons outside the agency to obtain their views on </w:t>
      </w:r>
      <w:r w:rsidRPr="00806AAF">
        <w:rPr>
          <w:b/>
          <w:szCs w:val="20"/>
        </w:rPr>
        <w:t>the</w:t>
      </w:r>
      <w:r w:rsidRPr="00806AAF">
        <w:rPr>
          <w:b/>
          <w:bCs/>
        </w:rPr>
        <w:t xml:space="preserve"> availability of data, frequency of collection, the clarity of instructions and record-keeping, disclosure, or reporting format (if any), and on the data elements to be recorded, disclosed, or reported.</w:t>
      </w:r>
    </w:p>
    <w:p w:rsidR="003B19B2" w:rsidRPr="00806AAF" w:rsidRDefault="003B19B2" w:rsidP="00EE0D32">
      <w:pPr>
        <w:tabs>
          <w:tab w:val="left" w:pos="360"/>
        </w:tabs>
        <w:autoSpaceDE w:val="0"/>
        <w:autoSpaceDN w:val="0"/>
        <w:adjustRightInd w:val="0"/>
        <w:ind w:left="360"/>
      </w:pPr>
    </w:p>
    <w:p w:rsidR="00B550A7" w:rsidRDefault="00B550A7" w:rsidP="00EE0D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DOL consult</w:t>
      </w:r>
      <w:r w:rsidR="00B70EBE">
        <w:t>s</w:t>
      </w:r>
      <w:r>
        <w:t xml:space="preserve"> with many outside agencies regarding the availability of information on the demographic, employment, and health characteristics of farm workers</w:t>
      </w:r>
      <w:r w:rsidR="00B70EBE">
        <w:t xml:space="preserve">, including </w:t>
      </w:r>
      <w:r>
        <w:t xml:space="preserve">the Departments of Agriculture, Health and Human Services, Homeland Security, </w:t>
      </w:r>
      <w:r w:rsidR="00AF14FC">
        <w:t xml:space="preserve">and </w:t>
      </w:r>
      <w:r>
        <w:t xml:space="preserve">Education, the Bureau of the Census, the Bureau of Economic Analysis, </w:t>
      </w:r>
      <w:r w:rsidR="00F42848">
        <w:t xml:space="preserve">and the </w:t>
      </w:r>
      <w:r>
        <w:t xml:space="preserve">EPA.  These departments and agencies </w:t>
      </w:r>
      <w:r w:rsidR="00AF14FC">
        <w:t xml:space="preserve">support the NAWS </w:t>
      </w:r>
      <w:r>
        <w:t xml:space="preserve">as a means of complementing other data available to them.  Indirect but useful data about farm workers are available from USDA, which conducts the Census of Agriculture and the </w:t>
      </w:r>
      <w:r w:rsidR="00AF14FC">
        <w:t>FLS</w:t>
      </w:r>
      <w:r>
        <w:t xml:space="preserve">.  None of the USDA </w:t>
      </w:r>
      <w:r w:rsidR="00AD1B85">
        <w:t>or</w:t>
      </w:r>
      <w:r w:rsidR="00F42848">
        <w:t xml:space="preserve"> FLS </w:t>
      </w:r>
      <w:r>
        <w:t xml:space="preserve">data, however, </w:t>
      </w:r>
      <w:proofErr w:type="gramStart"/>
      <w:r>
        <w:t>overlap</w:t>
      </w:r>
      <w:proofErr w:type="gramEnd"/>
      <w:r>
        <w:t xml:space="preserve"> with NAWS data.</w:t>
      </w:r>
    </w:p>
    <w:p w:rsidR="00B550A7"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550A7" w:rsidRPr="003041B8" w:rsidRDefault="001705E1"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In the last year, </w:t>
      </w:r>
      <w:r w:rsidR="00B550A7" w:rsidRPr="003041B8">
        <w:t>E</w:t>
      </w:r>
      <w:r w:rsidR="00B91874">
        <w:t>T</w:t>
      </w:r>
      <w:r w:rsidR="00AF14FC">
        <w:t xml:space="preserve">A </w:t>
      </w:r>
      <w:r>
        <w:t xml:space="preserve">has </w:t>
      </w:r>
      <w:r w:rsidR="00426FD4">
        <w:t xml:space="preserve">also </w:t>
      </w:r>
      <w:r w:rsidR="00B550A7" w:rsidRPr="003041B8">
        <w:t xml:space="preserve">consulted with </w:t>
      </w:r>
      <w:r w:rsidR="00AF14FC">
        <w:t xml:space="preserve">NIOSH, health experts at NIOSH-funded agricultural health and safety centers, HRSA, and HRSA and ETA grantees </w:t>
      </w:r>
      <w:r>
        <w:t>about the NAWS questionnaire and the survey’s findings</w:t>
      </w:r>
      <w:r w:rsidR="00B550A7" w:rsidRPr="003041B8">
        <w:t xml:space="preserve">.  </w:t>
      </w:r>
      <w:r>
        <w:t xml:space="preserve">In addition, ETA and the NAWS contractor have presented survey findings </w:t>
      </w:r>
      <w:r w:rsidR="00A200A1">
        <w:t xml:space="preserve">and overviews of proposed questionnaire changes </w:t>
      </w:r>
      <w:r>
        <w:t xml:space="preserve">to the entities from whom the information is collected.  Various presentations </w:t>
      </w:r>
      <w:proofErr w:type="gramStart"/>
      <w:r>
        <w:t>were made</w:t>
      </w:r>
      <w:proofErr w:type="gramEnd"/>
      <w:r>
        <w:t xml:space="preserve"> with agricultural employer and farm labor contractor associations, as well at events where farm workers and farm worker advocates were present.  V</w:t>
      </w:r>
      <w:r w:rsidRPr="003041B8">
        <w:t xml:space="preserve">aluable </w:t>
      </w:r>
      <w:r>
        <w:t xml:space="preserve">feedback on the NAWS </w:t>
      </w:r>
      <w:proofErr w:type="gramStart"/>
      <w:r>
        <w:t>was provided</w:t>
      </w:r>
      <w:proofErr w:type="gramEnd"/>
      <w:r>
        <w:t xml:space="preserve"> from stakeholders at these presentations.</w:t>
      </w:r>
    </w:p>
    <w:p w:rsidR="00B550A7" w:rsidRPr="003041B8"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550A7" w:rsidRDefault="00B550A7" w:rsidP="00806AAF">
      <w:pPr>
        <w:tabs>
          <w:tab w:val="left" w:pos="360"/>
        </w:tabs>
        <w:autoSpaceDE w:val="0"/>
        <w:autoSpaceDN w:val="0"/>
        <w:adjustRightInd w:val="0"/>
        <w:ind w:left="360" w:hanging="360"/>
        <w:rPr>
          <w:rFonts w:cs="Arial"/>
          <w:b/>
          <w:szCs w:val="20"/>
        </w:rPr>
      </w:pPr>
      <w:r>
        <w:rPr>
          <w:rFonts w:cs="Arial"/>
          <w:b/>
          <w:szCs w:val="20"/>
        </w:rPr>
        <w:t>9.</w:t>
      </w:r>
      <w:r w:rsidR="00A51A85">
        <w:rPr>
          <w:rFonts w:cs="Arial"/>
          <w:b/>
          <w:szCs w:val="20"/>
        </w:rPr>
        <w:tab/>
      </w:r>
      <w:r w:rsidR="00431C90" w:rsidRPr="00431C90">
        <w:rPr>
          <w:b/>
        </w:rPr>
        <w:t>Explain any decision to provide any payment or gift to respondents, other than remuneration of contractors or grantees.</w:t>
      </w:r>
      <w:r w:rsidR="00431C90">
        <w:t xml:space="preserve"> </w:t>
      </w:r>
    </w:p>
    <w:p w:rsidR="00B550A7" w:rsidRDefault="00B550A7" w:rsidP="009A48FC">
      <w:pPr>
        <w:rPr>
          <w:rFonts w:cs="Arial"/>
          <w:b/>
          <w:szCs w:val="20"/>
        </w:rPr>
      </w:pPr>
    </w:p>
    <w:p w:rsidR="00B550A7"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cs="Arial"/>
          <w:szCs w:val="20"/>
        </w:rPr>
      </w:pPr>
      <w:r>
        <w:rPr>
          <w:rFonts w:cs="Arial"/>
          <w:szCs w:val="20"/>
        </w:rPr>
        <w:t>Farm workers will be compensated $20 for their time responding to the survey to offset the inconvenience and any expense incurred to participate</w:t>
      </w:r>
      <w:r w:rsidR="0023220D">
        <w:rPr>
          <w:rFonts w:cs="Arial"/>
          <w:szCs w:val="20"/>
        </w:rPr>
        <w:t xml:space="preserve"> (</w:t>
      </w:r>
      <w:r>
        <w:rPr>
          <w:rFonts w:cs="Arial"/>
          <w:szCs w:val="20"/>
        </w:rPr>
        <w:t xml:space="preserve">e.g., </w:t>
      </w:r>
      <w:proofErr w:type="gramStart"/>
      <w:r>
        <w:rPr>
          <w:rFonts w:cs="Arial"/>
          <w:szCs w:val="20"/>
        </w:rPr>
        <w:t>child care</w:t>
      </w:r>
      <w:proofErr w:type="gramEnd"/>
      <w:r w:rsidR="0023220D">
        <w:rPr>
          <w:rFonts w:cs="Arial"/>
          <w:szCs w:val="20"/>
        </w:rPr>
        <w:t>)</w:t>
      </w:r>
      <w:r>
        <w:rPr>
          <w:rFonts w:cs="Arial"/>
          <w:szCs w:val="20"/>
        </w:rPr>
        <w:t xml:space="preserve">.  NAWS interviewers provide the incentive just prior to the start of the interview.  There will be no additional incentive payment to respondents for </w:t>
      </w:r>
      <w:r w:rsidRPr="003041B8">
        <w:t>answering</w:t>
      </w:r>
      <w:r>
        <w:rPr>
          <w:rFonts w:cs="Arial"/>
          <w:szCs w:val="20"/>
        </w:rPr>
        <w:t xml:space="preserve"> the </w:t>
      </w:r>
      <w:r w:rsidR="00C509E2">
        <w:rPr>
          <w:rFonts w:cs="Arial"/>
          <w:szCs w:val="20"/>
        </w:rPr>
        <w:t>proposed new</w:t>
      </w:r>
      <w:r>
        <w:rPr>
          <w:rFonts w:cs="Arial"/>
          <w:szCs w:val="20"/>
        </w:rPr>
        <w:t xml:space="preserve"> questions. </w:t>
      </w:r>
      <w:r w:rsidRPr="0027623F">
        <w:rPr>
          <w:rFonts w:ascii="Calibri" w:hAnsi="Calibri" w:cs="Calibri"/>
          <w:color w:val="000000"/>
          <w:sz w:val="22"/>
          <w:szCs w:val="22"/>
        </w:rPr>
        <w:t xml:space="preserve"> </w:t>
      </w:r>
      <w:r>
        <w:rPr>
          <w:rFonts w:cs="Calibri"/>
          <w:color w:val="000000"/>
          <w:szCs w:val="22"/>
        </w:rPr>
        <w:t>R</w:t>
      </w:r>
      <w:r w:rsidRPr="007F7D16">
        <w:rPr>
          <w:rFonts w:cs="Calibri"/>
          <w:color w:val="000000"/>
          <w:szCs w:val="22"/>
        </w:rPr>
        <w:t>esearch indicat</w:t>
      </w:r>
      <w:r>
        <w:rPr>
          <w:rFonts w:cs="Calibri"/>
          <w:color w:val="000000"/>
          <w:szCs w:val="22"/>
        </w:rPr>
        <w:t>es</w:t>
      </w:r>
      <w:r w:rsidRPr="007F7D16">
        <w:rPr>
          <w:rFonts w:cs="Calibri"/>
          <w:color w:val="000000"/>
          <w:szCs w:val="22"/>
        </w:rPr>
        <w:t xml:space="preserve"> </w:t>
      </w:r>
      <w:r w:rsidR="0023220D">
        <w:rPr>
          <w:rFonts w:cs="Calibri"/>
          <w:color w:val="000000"/>
          <w:szCs w:val="22"/>
        </w:rPr>
        <w:t xml:space="preserve">that </w:t>
      </w:r>
      <w:r w:rsidRPr="007F7D16">
        <w:rPr>
          <w:rFonts w:cs="Calibri"/>
          <w:color w:val="000000"/>
          <w:szCs w:val="22"/>
        </w:rPr>
        <w:t>incentives increase response rates in social research (</w:t>
      </w:r>
      <w:proofErr w:type="spellStart"/>
      <w:r w:rsidRPr="007F7D16">
        <w:rPr>
          <w:rFonts w:cs="Calibri"/>
          <w:color w:val="000000"/>
          <w:szCs w:val="22"/>
        </w:rPr>
        <w:t>Ryu</w:t>
      </w:r>
      <w:proofErr w:type="spellEnd"/>
      <w:r w:rsidRPr="007F7D16">
        <w:rPr>
          <w:rFonts w:cs="Calibri"/>
          <w:color w:val="000000"/>
          <w:szCs w:val="22"/>
        </w:rPr>
        <w:t>, Cooper, &amp; Marans, 2006)</w:t>
      </w:r>
      <w:r>
        <w:rPr>
          <w:rFonts w:cs="Calibri"/>
          <w:color w:val="000000"/>
          <w:szCs w:val="22"/>
        </w:rPr>
        <w:t xml:space="preserve">.  </w:t>
      </w:r>
      <w:r w:rsidRPr="007F7D16">
        <w:rPr>
          <w:rFonts w:cs="Calibri"/>
          <w:color w:val="000000"/>
          <w:szCs w:val="22"/>
        </w:rPr>
        <w:t>According to the National Science Foundation, monetary incentives improve study participation and offset the costs of follow-up and recruitment of non-respondents (Zhang, 2010).</w:t>
      </w:r>
      <w:r>
        <w:rPr>
          <w:rFonts w:cs="Calibri"/>
          <w:color w:val="000000"/>
          <w:szCs w:val="22"/>
        </w:rPr>
        <w:t xml:space="preserve">  Incentives are not expected to exceed $</w:t>
      </w:r>
      <w:r w:rsidR="000E7E88">
        <w:rPr>
          <w:rFonts w:cs="Calibri"/>
          <w:color w:val="000000"/>
          <w:szCs w:val="22"/>
        </w:rPr>
        <w:t>6</w:t>
      </w:r>
      <w:r w:rsidR="00296B26">
        <w:rPr>
          <w:rFonts w:cs="Calibri"/>
          <w:color w:val="000000"/>
          <w:szCs w:val="22"/>
        </w:rPr>
        <w:t>7</w:t>
      </w:r>
      <w:r>
        <w:rPr>
          <w:rFonts w:cs="Calibri"/>
          <w:color w:val="000000"/>
          <w:szCs w:val="22"/>
        </w:rPr>
        <w:t>,</w:t>
      </w:r>
      <w:r w:rsidR="00296B26">
        <w:rPr>
          <w:rFonts w:cs="Calibri"/>
          <w:color w:val="000000"/>
          <w:szCs w:val="22"/>
        </w:rPr>
        <w:t>38</w:t>
      </w:r>
      <w:r>
        <w:rPr>
          <w:rFonts w:cs="Calibri"/>
          <w:color w:val="000000"/>
          <w:szCs w:val="22"/>
        </w:rPr>
        <w:t>0 (</w:t>
      </w:r>
      <w:r w:rsidR="000E7E88">
        <w:rPr>
          <w:rFonts w:cs="Calibri"/>
          <w:color w:val="000000"/>
          <w:szCs w:val="22"/>
        </w:rPr>
        <w:t>3</w:t>
      </w:r>
      <w:r w:rsidR="009825C8">
        <w:rPr>
          <w:rFonts w:cs="Calibri"/>
          <w:color w:val="000000"/>
          <w:szCs w:val="22"/>
        </w:rPr>
        <w:t>,</w:t>
      </w:r>
      <w:r w:rsidR="00296B26">
        <w:rPr>
          <w:rFonts w:cs="Calibri"/>
          <w:color w:val="000000"/>
          <w:szCs w:val="22"/>
        </w:rPr>
        <w:t>369</w:t>
      </w:r>
      <w:r w:rsidR="000E7E88">
        <w:rPr>
          <w:rFonts w:cs="Calibri"/>
          <w:color w:val="000000"/>
          <w:szCs w:val="22"/>
        </w:rPr>
        <w:t xml:space="preserve"> </w:t>
      </w:r>
      <w:r>
        <w:rPr>
          <w:rFonts w:cs="Calibri"/>
          <w:color w:val="000000"/>
          <w:szCs w:val="22"/>
        </w:rPr>
        <w:t>responses x $20).</w:t>
      </w:r>
    </w:p>
    <w:p w:rsidR="00B550A7" w:rsidRDefault="00B550A7" w:rsidP="009A48FC">
      <w:pPr>
        <w:rPr>
          <w:rFonts w:cs="Arial"/>
          <w:szCs w:val="20"/>
        </w:rPr>
      </w:pPr>
    </w:p>
    <w:p w:rsidR="00B550A7" w:rsidRDefault="00B550A7" w:rsidP="00806AAF">
      <w:pPr>
        <w:tabs>
          <w:tab w:val="left" w:pos="360"/>
        </w:tabs>
        <w:autoSpaceDE w:val="0"/>
        <w:autoSpaceDN w:val="0"/>
        <w:adjustRightInd w:val="0"/>
        <w:ind w:left="360" w:hanging="360"/>
        <w:rPr>
          <w:rFonts w:cs="Arial"/>
          <w:b/>
          <w:szCs w:val="20"/>
        </w:rPr>
      </w:pPr>
      <w:r w:rsidRPr="007A0C22">
        <w:rPr>
          <w:rFonts w:cs="Arial"/>
          <w:b/>
          <w:szCs w:val="20"/>
        </w:rPr>
        <w:t>10.</w:t>
      </w:r>
      <w:r w:rsidR="00A51A85">
        <w:rPr>
          <w:rFonts w:cs="Arial"/>
          <w:b/>
          <w:szCs w:val="20"/>
        </w:rPr>
        <w:tab/>
      </w:r>
      <w:r w:rsidR="00431C90" w:rsidRPr="003041B8">
        <w:rPr>
          <w:b/>
        </w:rPr>
        <w:t>Describe</w:t>
      </w:r>
      <w:r w:rsidR="00431C90" w:rsidRPr="00431C90">
        <w:rPr>
          <w:b/>
        </w:rPr>
        <w:t xml:space="preserve"> any assurance of confidentiality provided to respondents and the basis for the assurance in statute, regulation, or agency policy.</w:t>
      </w:r>
    </w:p>
    <w:p w:rsidR="00B550A7" w:rsidRDefault="00B550A7" w:rsidP="009A48FC">
      <w:pPr>
        <w:rPr>
          <w:rFonts w:cs="Arial"/>
          <w:b/>
          <w:szCs w:val="20"/>
        </w:rPr>
      </w:pPr>
    </w:p>
    <w:p w:rsidR="00B550A7"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survey collects information on wages and working conditions, legal status, occupational health, and recruitment practices.  The workers </w:t>
      </w:r>
      <w:proofErr w:type="gramStart"/>
      <w:r>
        <w:t xml:space="preserve">are </w:t>
      </w:r>
      <w:r w:rsidR="00A15DC0">
        <w:t>informed</w:t>
      </w:r>
      <w:proofErr w:type="gramEnd"/>
      <w:r w:rsidR="00A15DC0">
        <w:t xml:space="preserve"> that</w:t>
      </w:r>
      <w:r>
        <w:t xml:space="preserve"> their information </w:t>
      </w:r>
      <w:r w:rsidR="00A15DC0">
        <w:t>wi</w:t>
      </w:r>
      <w:r w:rsidR="00F57F09">
        <w:t xml:space="preserve">ll be kept private to the extent possible </w:t>
      </w:r>
      <w:r w:rsidR="00A15DC0">
        <w:t xml:space="preserve">under the law </w:t>
      </w:r>
      <w:r>
        <w:t xml:space="preserve">to help them overcome any resistance to discussing these issues.  The workers </w:t>
      </w:r>
      <w:proofErr w:type="gramStart"/>
      <w:r>
        <w:t xml:space="preserve">are </w:t>
      </w:r>
      <w:r w:rsidR="00F57F09">
        <w:t xml:space="preserve">also </w:t>
      </w:r>
      <w:r>
        <w:t>informed</w:t>
      </w:r>
      <w:proofErr w:type="gramEnd"/>
      <w:r>
        <w:t xml:space="preserve"> of the purposes of the information collection as well as the safeguards to protect </w:t>
      </w:r>
      <w:r w:rsidR="00B91874">
        <w:t>their privacy</w:t>
      </w:r>
      <w:r>
        <w:t>.</w:t>
      </w:r>
    </w:p>
    <w:p w:rsidR="00B550A7"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Respondents </w:t>
      </w:r>
      <w:proofErr w:type="gramStart"/>
      <w:r>
        <w:t>are also informed</w:t>
      </w:r>
      <w:proofErr w:type="gramEnd"/>
      <w:r>
        <w:t xml:space="preserve"> of the limitations concerning the privacy assurance.  </w:t>
      </w:r>
      <w:proofErr w:type="gramStart"/>
      <w:r>
        <w:t xml:space="preserve">Specifically, they are informed that:  1) under written agreement with </w:t>
      </w:r>
      <w:r w:rsidR="003A484E">
        <w:t>f</w:t>
      </w:r>
      <w:r>
        <w:t>ederal research agencies, ETA may release certain information necessary for research after all identifying information has been removed; and 2) unless required by law, or necessary for litigation or legal proceedings and except as indicated in the privacy statement, ETA will hold all personal identifiers</w:t>
      </w:r>
      <w:r w:rsidR="0023220D">
        <w:t xml:space="preserve"> (</w:t>
      </w:r>
      <w:r>
        <w:t>e.g. name and address</w:t>
      </w:r>
      <w:r w:rsidR="0023220D">
        <w:t>)</w:t>
      </w:r>
      <w:r>
        <w:t xml:space="preserve"> in total confidence and will not release them.</w:t>
      </w:r>
      <w:proofErr w:type="gramEnd"/>
    </w:p>
    <w:p w:rsidR="00D3471A" w:rsidRDefault="00B550A7" w:rsidP="00EE0D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Interviewers </w:t>
      </w:r>
      <w:proofErr w:type="gramStart"/>
      <w:r>
        <w:t>are sworn</w:t>
      </w:r>
      <w:proofErr w:type="gramEnd"/>
      <w:r>
        <w:t xml:space="preserve"> to protect the privacy of both agricultural employers and farm worker respondents.  To protect the identity of agricultural employers, only the direct-hire employees of the contractor who have been made agents </w:t>
      </w:r>
      <w:r w:rsidR="00874894">
        <w:t xml:space="preserve">of the Bureau of Labor Statistics </w:t>
      </w:r>
      <w:r>
        <w:t>and who have sworn to abide by the privacy safeguards may have access to the names and address</w:t>
      </w:r>
      <w:r w:rsidR="00ED2CD2">
        <w:t>es</w:t>
      </w:r>
      <w:r>
        <w:t xml:space="preserve"> of employers and may only use this information </w:t>
      </w:r>
      <w:proofErr w:type="gramStart"/>
      <w:r>
        <w:t>for the purpose of</w:t>
      </w:r>
      <w:proofErr w:type="gramEnd"/>
      <w:r>
        <w:t xml:space="preserve"> locating hired crop workers.  Workers are interviewed alone to protect their privacy.  Additionally, </w:t>
      </w:r>
      <w:proofErr w:type="gramStart"/>
      <w:r>
        <w:t>farm worker respondents will be protected by ETA’s System of Records</w:t>
      </w:r>
      <w:proofErr w:type="gramEnd"/>
      <w:r>
        <w:t xml:space="preserve"> for the NAWS, which was established under the Privacy Act (5 USC 552a).  At the conclusion of the survey, all records of the names and addresses </w:t>
      </w:r>
      <w:proofErr w:type="gramStart"/>
      <w:r>
        <w:t>will be destroyed</w:t>
      </w:r>
      <w:proofErr w:type="gramEnd"/>
      <w:r>
        <w:t>.</w:t>
      </w:r>
    </w:p>
    <w:p w:rsidR="00B550A7" w:rsidRDefault="00B550A7"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  </w:t>
      </w:r>
    </w:p>
    <w:p w:rsidR="00B550A7" w:rsidRDefault="00B550A7" w:rsidP="00296B26">
      <w:pPr>
        <w:tabs>
          <w:tab w:val="left" w:pos="360"/>
        </w:tabs>
        <w:autoSpaceDE w:val="0"/>
        <w:autoSpaceDN w:val="0"/>
        <w:adjustRightInd w:val="0"/>
        <w:ind w:left="360" w:hanging="360"/>
        <w:rPr>
          <w:rFonts w:cs="Arial"/>
          <w:b/>
          <w:szCs w:val="20"/>
        </w:rPr>
      </w:pPr>
      <w:r>
        <w:rPr>
          <w:rFonts w:cs="Arial"/>
          <w:b/>
          <w:szCs w:val="20"/>
        </w:rPr>
        <w:t>11.</w:t>
      </w:r>
      <w:r w:rsidR="00A51A85">
        <w:rPr>
          <w:rFonts w:cs="Arial"/>
          <w:b/>
          <w:szCs w:val="20"/>
        </w:rPr>
        <w:tab/>
      </w:r>
      <w:r w:rsidR="00431C90" w:rsidRPr="00431C90">
        <w:rPr>
          <w:b/>
        </w:rPr>
        <w:t xml:space="preserve">Provide additional justification for any questions of a sensitive nature, such as sexual behavior and attitudes, religious beliefs, and other matters that </w:t>
      </w:r>
      <w:proofErr w:type="gramStart"/>
      <w:r w:rsidR="00431C90" w:rsidRPr="00431C90">
        <w:rPr>
          <w:b/>
        </w:rPr>
        <w:t>are commonly considered</w:t>
      </w:r>
      <w:proofErr w:type="gramEnd"/>
      <w:r w:rsidR="00431C90" w:rsidRPr="00431C90">
        <w:rPr>
          <w:b/>
        </w:rPr>
        <w:t xml:space="preserve"> private. This justification should include the reasons why the agency considers the questions necessary, the specific uses to be made of the information, the explanation to </w:t>
      </w:r>
      <w:proofErr w:type="gramStart"/>
      <w:r w:rsidR="00431C90" w:rsidRPr="00431C90">
        <w:rPr>
          <w:b/>
        </w:rPr>
        <w:t>be given</w:t>
      </w:r>
      <w:proofErr w:type="gramEnd"/>
      <w:r w:rsidR="00431C90" w:rsidRPr="00431C90">
        <w:rPr>
          <w:b/>
        </w:rPr>
        <w:t xml:space="preserve"> to persons from whom the information is requested, and any steps to be taken to obtain their consent.</w:t>
      </w:r>
      <w:r w:rsidR="00431C90">
        <w:t xml:space="preserve"> </w:t>
      </w:r>
    </w:p>
    <w:p w:rsidR="00B550A7" w:rsidRDefault="00B550A7" w:rsidP="009A48FC">
      <w:pPr>
        <w:rPr>
          <w:rFonts w:cs="Arial"/>
          <w:b/>
          <w:szCs w:val="20"/>
        </w:rPr>
      </w:pPr>
    </w:p>
    <w:p w:rsidR="00B550A7" w:rsidRDefault="00A4454D"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Of the proposed </w:t>
      </w:r>
      <w:r w:rsidR="00C86052">
        <w:t xml:space="preserve">questions, those on </w:t>
      </w:r>
      <w:r w:rsidR="00B550A7">
        <w:t xml:space="preserve">health are likely to be the most sensitive.  Based on responses to </w:t>
      </w:r>
      <w:r w:rsidR="00874894">
        <w:t xml:space="preserve">similar </w:t>
      </w:r>
      <w:r w:rsidR="00B550A7">
        <w:t>questions</w:t>
      </w:r>
      <w:r w:rsidR="00874894">
        <w:t xml:space="preserve"> in previous administrations of the survey</w:t>
      </w:r>
      <w:r w:rsidR="00B550A7">
        <w:t xml:space="preserve">, however, it is evident that the </w:t>
      </w:r>
      <w:r w:rsidR="006E1E30">
        <w:t xml:space="preserve">privacy </w:t>
      </w:r>
      <w:r w:rsidR="00B550A7">
        <w:t xml:space="preserve">assurances, as well as the rapport that develops between the interviewer and respondent, make them less intrusive.  </w:t>
      </w:r>
      <w:r>
        <w:t>F</w:t>
      </w:r>
      <w:r w:rsidR="00B550A7">
        <w:t xml:space="preserve">ederal agencies </w:t>
      </w:r>
      <w:r>
        <w:t>with</w:t>
      </w:r>
      <w:r w:rsidR="00B550A7">
        <w:t xml:space="preserve"> mandates concerning the health status of farm workers </w:t>
      </w:r>
      <w:r w:rsidR="00874894">
        <w:t xml:space="preserve">need the additional information that </w:t>
      </w:r>
      <w:proofErr w:type="gramStart"/>
      <w:r w:rsidR="00874894">
        <w:t>will be made</w:t>
      </w:r>
      <w:proofErr w:type="gramEnd"/>
      <w:r w:rsidR="00874894">
        <w:t xml:space="preserve"> available by the new health questions</w:t>
      </w:r>
      <w:r w:rsidR="00B550A7">
        <w:t xml:space="preserve"> to plan, implement and evaluate their programs effectively.  Farm workers respond well to all the health questions and the data obtained is of high quality.  Information </w:t>
      </w:r>
      <w:proofErr w:type="gramStart"/>
      <w:r w:rsidR="00B550A7">
        <w:t>will be analyzed</w:t>
      </w:r>
      <w:proofErr w:type="gramEnd"/>
      <w:r w:rsidR="00B550A7">
        <w:t xml:space="preserve"> in aggregate form and individual health histories will not be available to researchers.  The </w:t>
      </w:r>
      <w:r w:rsidR="006E1E30">
        <w:t xml:space="preserve">privacy </w:t>
      </w:r>
      <w:r w:rsidR="00B550A7">
        <w:t xml:space="preserve">of the respondents </w:t>
      </w:r>
      <w:proofErr w:type="gramStart"/>
      <w:r w:rsidR="00B550A7">
        <w:t>will be guaranteed</w:t>
      </w:r>
      <w:proofErr w:type="gramEnd"/>
      <w:r w:rsidR="00B550A7">
        <w:t>.</w:t>
      </w:r>
    </w:p>
    <w:p w:rsidR="00296B26" w:rsidRDefault="00296B26" w:rsidP="00806AA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550A7" w:rsidRDefault="00B550A7" w:rsidP="00A4454D">
      <w:pPr>
        <w:tabs>
          <w:tab w:val="left" w:pos="360"/>
        </w:tabs>
        <w:autoSpaceDE w:val="0"/>
        <w:autoSpaceDN w:val="0"/>
        <w:adjustRightInd w:val="0"/>
        <w:ind w:left="360" w:hanging="360"/>
        <w:rPr>
          <w:rFonts w:cs="Arial"/>
          <w:b/>
          <w:szCs w:val="20"/>
        </w:rPr>
      </w:pPr>
      <w:r w:rsidRPr="00143212">
        <w:rPr>
          <w:rFonts w:cs="Arial"/>
          <w:b/>
          <w:szCs w:val="20"/>
        </w:rPr>
        <w:t>12.</w:t>
      </w:r>
      <w:r w:rsidR="00A51A85">
        <w:rPr>
          <w:rFonts w:cs="Arial"/>
          <w:b/>
          <w:szCs w:val="20"/>
        </w:rPr>
        <w:tab/>
      </w:r>
      <w:r w:rsidR="00431C90" w:rsidRPr="00806AAF">
        <w:rPr>
          <w:rFonts w:cs="Arial"/>
          <w:b/>
          <w:szCs w:val="20"/>
        </w:rPr>
        <w:t xml:space="preserve">Provide estimates of the hour burden of the collection of information.  The statement should indicate the number of respondents, frequency of response, annual hour burden, and an explanation of how the burden </w:t>
      </w:r>
      <w:proofErr w:type="gramStart"/>
      <w:r w:rsidR="00431C90" w:rsidRPr="00806AAF">
        <w:rPr>
          <w:rFonts w:cs="Arial"/>
          <w:b/>
          <w:szCs w:val="20"/>
        </w:rPr>
        <w:t>was estimated</w:t>
      </w:r>
      <w:proofErr w:type="gramEnd"/>
      <w:r w:rsidR="00431C90" w:rsidRPr="00806AAF">
        <w:rPr>
          <w:rFonts w:cs="Arial"/>
          <w:b/>
          <w:szCs w:val="20"/>
        </w:rPr>
        <w:t xml:space="preserve">.  Provide estimates of annualized cost to respondents for the hour burdens for collections of information, identifying and using appropriate wage rate categories. </w:t>
      </w:r>
    </w:p>
    <w:p w:rsidR="00B550A7" w:rsidRDefault="00B550A7" w:rsidP="00806AAF">
      <w:pPr>
        <w:tabs>
          <w:tab w:val="left" w:pos="360"/>
        </w:tabs>
        <w:autoSpaceDE w:val="0"/>
        <w:autoSpaceDN w:val="0"/>
        <w:adjustRightInd w:val="0"/>
        <w:ind w:left="360" w:hanging="360"/>
        <w:rPr>
          <w:rFonts w:cs="Arial"/>
          <w:b/>
          <w:szCs w:val="20"/>
        </w:rPr>
      </w:pPr>
    </w:p>
    <w:p w:rsidR="007859F9" w:rsidRPr="00806AAF" w:rsidRDefault="007859F9" w:rsidP="00806AAF">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806AAF">
        <w:t xml:space="preserve">Burden hour calculations </w:t>
      </w:r>
      <w:proofErr w:type="gramStart"/>
      <w:r w:rsidRPr="00806AAF">
        <w:t>are shown</w:t>
      </w:r>
      <w:proofErr w:type="gramEnd"/>
      <w:r w:rsidRPr="00806AAF">
        <w:t xml:space="preserve"> below.  </w:t>
      </w:r>
      <w:r w:rsidR="00C06649">
        <w:t xml:space="preserve">On average, it will take 60 minutes </w:t>
      </w:r>
      <w:r w:rsidR="006F7D85">
        <w:t xml:space="preserve">to administer this </w:t>
      </w:r>
      <w:r w:rsidR="00485492">
        <w:t>questionnaire</w:t>
      </w:r>
      <w:r w:rsidR="006F7D85" w:rsidRPr="00394E06">
        <w:t>.  Th</w:t>
      </w:r>
      <w:r w:rsidR="00230808">
        <w:t xml:space="preserve">is estimate </w:t>
      </w:r>
      <w:r w:rsidR="00814B04">
        <w:t xml:space="preserve">is based on:  1) </w:t>
      </w:r>
      <w:r w:rsidR="00230808">
        <w:t xml:space="preserve">the </w:t>
      </w:r>
      <w:r w:rsidR="00814B04">
        <w:t xml:space="preserve">contractor’s experience estimating </w:t>
      </w:r>
      <w:r w:rsidR="00C06649">
        <w:t xml:space="preserve">burden </w:t>
      </w:r>
      <w:r w:rsidR="00814B04">
        <w:t xml:space="preserve">changes </w:t>
      </w:r>
      <w:r w:rsidR="00230808">
        <w:t>during its 26 years administering the NAWS</w:t>
      </w:r>
      <w:r w:rsidR="00814B04">
        <w:t>; 2) mock interviews</w:t>
      </w:r>
      <w:r w:rsidR="00230808">
        <w:t xml:space="preserve"> </w:t>
      </w:r>
      <w:r w:rsidR="004D153A">
        <w:t xml:space="preserve">with </w:t>
      </w:r>
      <w:r w:rsidR="00814B04">
        <w:t>contractor staff</w:t>
      </w:r>
      <w:r w:rsidR="00C06649">
        <w:t>, including interviewers</w:t>
      </w:r>
      <w:r w:rsidR="00814B04">
        <w:t xml:space="preserve">; and 3) pilot testing in three parts of the country with farm workers who were gathered for focus group </w:t>
      </w:r>
      <w:r w:rsidR="006F3FEC">
        <w:t>(</w:t>
      </w:r>
      <w:r w:rsidR="00814B04">
        <w:t>cognitive</w:t>
      </w:r>
      <w:r w:rsidR="006F3FEC">
        <w:t>)</w:t>
      </w:r>
      <w:r w:rsidR="00814B04">
        <w:t xml:space="preserve"> testing</w:t>
      </w:r>
      <w:r w:rsidR="00C06649">
        <w:t xml:space="preserve"> of the </w:t>
      </w:r>
      <w:r w:rsidR="00485492">
        <w:t>questionnaire</w:t>
      </w:r>
      <w:r w:rsidR="00814B04">
        <w:t xml:space="preserve">.  The estimated average time is </w:t>
      </w:r>
      <w:r w:rsidR="006F7D85" w:rsidRPr="00394E06">
        <w:t xml:space="preserve">comparable to the average </w:t>
      </w:r>
      <w:r w:rsidR="00485492">
        <w:t>time</w:t>
      </w:r>
      <w:r w:rsidR="006F7D85">
        <w:t xml:space="preserve"> required in previous </w:t>
      </w:r>
      <w:r w:rsidR="00485492">
        <w:t>administrations of the NAWS after</w:t>
      </w:r>
      <w:r w:rsidR="006F7D85">
        <w:t xml:space="preserve"> accounting for differences in questionnaire content. </w:t>
      </w:r>
    </w:p>
    <w:p w:rsidR="007F18CE" w:rsidRDefault="007F18CE" w:rsidP="00806AAF">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550A7" w:rsidRDefault="007F18CE" w:rsidP="002A39A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While all respondents </w:t>
      </w:r>
      <w:r w:rsidR="00874894">
        <w:t xml:space="preserve">will </w:t>
      </w:r>
      <w:r>
        <w:t xml:space="preserve">answer the primary questions, </w:t>
      </w:r>
      <w:r w:rsidR="00874894">
        <w:t xml:space="preserve">only those who have children under the age of six will answer the seven ACF-sponsored questions on </w:t>
      </w:r>
      <w:proofErr w:type="gramStart"/>
      <w:r w:rsidR="00874894">
        <w:t>child care</w:t>
      </w:r>
      <w:proofErr w:type="gramEnd"/>
      <w:r w:rsidR="00874894">
        <w:t xml:space="preserve"> services.  Based on recent administrations of the questionnaire, </w:t>
      </w:r>
      <w:r w:rsidR="00AD1B85">
        <w:t xml:space="preserve">it </w:t>
      </w:r>
      <w:proofErr w:type="gramStart"/>
      <w:r w:rsidR="00AD1B85">
        <w:t>is estimated</w:t>
      </w:r>
      <w:proofErr w:type="gramEnd"/>
      <w:r w:rsidR="00AD1B85">
        <w:t xml:space="preserve"> that approximately 20 percent of the </w:t>
      </w:r>
      <w:r w:rsidR="00AD1B85" w:rsidRPr="00CA2DD0">
        <w:t>3,</w:t>
      </w:r>
      <w:r w:rsidR="00AD6812" w:rsidRPr="00CA2DD0">
        <w:t>369</w:t>
      </w:r>
      <w:r w:rsidR="00AD1B85">
        <w:t xml:space="preserve"> respondents will have children under the age of six.</w:t>
      </w:r>
    </w:p>
    <w:p w:rsidR="007F18CE" w:rsidRDefault="007F18CE" w:rsidP="00806AAF">
      <w:pPr>
        <w:pStyle w:val="ListBullet"/>
        <w:numPr>
          <w:ilvl w:val="0"/>
          <w:numId w:val="0"/>
        </w:numPr>
        <w:ind w:left="360"/>
      </w:pPr>
    </w:p>
    <w:p w:rsidR="007F18CE" w:rsidRPr="00A35D76" w:rsidRDefault="007F18CE" w:rsidP="00806AAF">
      <w:pPr>
        <w:pStyle w:val="ListBullet"/>
        <w:numPr>
          <w:ilvl w:val="0"/>
          <w:numId w:val="0"/>
        </w:numPr>
        <w:ind w:left="360"/>
      </w:pPr>
      <w:r>
        <w:t>Taking into consideration all family types, the average time per worker respondent is 60 minutes</w:t>
      </w:r>
      <w:r w:rsidR="00394E06">
        <w:t xml:space="preserve">. </w:t>
      </w:r>
      <w:r w:rsidR="00F56A50">
        <w:t xml:space="preserve"> </w:t>
      </w:r>
      <w:r>
        <w:t>Assuming a farm worker</w:t>
      </w:r>
      <w:r w:rsidRPr="00F05970">
        <w:t>’s</w:t>
      </w:r>
      <w:r>
        <w:t xml:space="preserve"> time is worth </w:t>
      </w:r>
      <w:r w:rsidRPr="00CA2DD0">
        <w:t>$</w:t>
      </w:r>
      <w:r w:rsidR="00904CFE" w:rsidRPr="00CA2DD0">
        <w:t>1</w:t>
      </w:r>
      <w:r w:rsidR="00904CFE">
        <w:t>1</w:t>
      </w:r>
      <w:r w:rsidR="00A46E10" w:rsidRPr="00CA2DD0">
        <w:t>.</w:t>
      </w:r>
      <w:r w:rsidR="00904CFE">
        <w:t xml:space="preserve">34 </w:t>
      </w:r>
      <w:r>
        <w:t xml:space="preserve">per hour </w:t>
      </w:r>
      <w:hyperlink r:id="rId8" w:history="1">
        <w:r w:rsidR="00904CFE" w:rsidRPr="001D2CF8">
          <w:rPr>
            <w:rStyle w:val="Hyperlink"/>
          </w:rPr>
          <w:t>http://usda.mannlib.cornell.edu/usda/current/FarmLabo/FarmLabo-05-21-2015.pdf</w:t>
        </w:r>
      </w:hyperlink>
      <w:r w:rsidR="00904CFE">
        <w:t xml:space="preserve"> </w:t>
      </w:r>
      <w:r>
        <w:t xml:space="preserve">and the </w:t>
      </w:r>
      <w:r w:rsidR="00394E06">
        <w:t>total farm</w:t>
      </w:r>
      <w:r>
        <w:t xml:space="preserve"> worker burden hours are </w:t>
      </w:r>
      <w:proofErr w:type="gramStart"/>
      <w:r w:rsidRPr="00CA2DD0">
        <w:t>3,</w:t>
      </w:r>
      <w:r w:rsidR="00A46E10" w:rsidRPr="00CA2DD0">
        <w:t>436</w:t>
      </w:r>
      <w:r>
        <w:t>,</w:t>
      </w:r>
      <w:proofErr w:type="gramEnd"/>
      <w:r>
        <w:t xml:space="preserve"> the total cost is </w:t>
      </w:r>
      <w:r w:rsidRPr="00CA2DD0">
        <w:t>$</w:t>
      </w:r>
      <w:r w:rsidR="00904CFE" w:rsidRPr="00CA2DD0">
        <w:t>3</w:t>
      </w:r>
      <w:r w:rsidR="00904CFE">
        <w:t>8</w:t>
      </w:r>
      <w:r w:rsidRPr="00CA2DD0">
        <w:t>,</w:t>
      </w:r>
      <w:r w:rsidR="00904CFE">
        <w:t xml:space="preserve">964 </w:t>
      </w:r>
      <w:r>
        <w:t>of worker time.</w:t>
      </w:r>
    </w:p>
    <w:p w:rsidR="00B550A7" w:rsidRDefault="00B550A7" w:rsidP="00F05970">
      <w:pPr>
        <w:tabs>
          <w:tab w:val="left" w:pos="0"/>
          <w:tab w:val="left" w:pos="703"/>
          <w:tab w:val="right" w:pos="9229"/>
          <w:tab w:val="left" w:pos="9360"/>
        </w:tabs>
      </w:pPr>
    </w:p>
    <w:p w:rsidR="00B525AF" w:rsidRDefault="007F18CE" w:rsidP="00B525AF">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F18CE">
        <w:t xml:space="preserve">In addition, as an establishment survey, employers </w:t>
      </w:r>
      <w:proofErr w:type="gramStart"/>
      <w:r w:rsidR="00230808">
        <w:t>are contacted</w:t>
      </w:r>
      <w:proofErr w:type="gramEnd"/>
      <w:r w:rsidR="00230808">
        <w:t xml:space="preserve"> </w:t>
      </w:r>
      <w:r w:rsidRPr="007F18CE">
        <w:t xml:space="preserve">to gain permission to sample their workers. </w:t>
      </w:r>
      <w:r w:rsidR="00F56A50">
        <w:t xml:space="preserve"> </w:t>
      </w:r>
      <w:r w:rsidRPr="007F18CE">
        <w:t xml:space="preserve">In FY </w:t>
      </w:r>
      <w:r w:rsidR="00CB3FEF" w:rsidRPr="007F18CE">
        <w:t>201</w:t>
      </w:r>
      <w:r w:rsidR="00CB3FEF">
        <w:t>4</w:t>
      </w:r>
      <w:r w:rsidRPr="007F18CE">
        <w:t xml:space="preserve">, </w:t>
      </w:r>
      <w:r w:rsidR="00CB3FEF">
        <w:t>2,823</w:t>
      </w:r>
      <w:r w:rsidRPr="007F18CE">
        <w:t xml:space="preserve"> workers </w:t>
      </w:r>
      <w:proofErr w:type="gramStart"/>
      <w:r w:rsidRPr="007F18CE">
        <w:t>were interviewed</w:t>
      </w:r>
      <w:proofErr w:type="gramEnd"/>
      <w:r w:rsidRPr="007F18CE">
        <w:t xml:space="preserve"> on </w:t>
      </w:r>
      <w:r w:rsidR="00CB3FEF">
        <w:t>583</w:t>
      </w:r>
      <w:r w:rsidR="00CB3FEF" w:rsidRPr="007F18CE">
        <w:t xml:space="preserve"> </w:t>
      </w:r>
      <w:r w:rsidRPr="007F18CE">
        <w:t xml:space="preserve">farms, or about </w:t>
      </w:r>
      <w:r w:rsidR="00CB3FEF">
        <w:t>4</w:t>
      </w:r>
      <w:r w:rsidRPr="007F18CE">
        <w:t>.8 workers per farm</w:t>
      </w:r>
      <w:r w:rsidR="00394E06" w:rsidRPr="007F18CE">
        <w:t xml:space="preserve">. </w:t>
      </w:r>
      <w:r w:rsidR="00F56A50">
        <w:t xml:space="preserve"> </w:t>
      </w:r>
      <w:r w:rsidR="00B525AF">
        <w:t>A total of 3,149</w:t>
      </w:r>
      <w:r w:rsidR="00B525AF" w:rsidRPr="007F18CE">
        <w:t xml:space="preserve"> farms were </w:t>
      </w:r>
      <w:r w:rsidR="00B525AF">
        <w:t xml:space="preserve">contacted and 1,207 of them were </w:t>
      </w:r>
      <w:r w:rsidR="00B525AF" w:rsidRPr="007F18CE">
        <w:t>determined to be eligible for participation, meaning that farm workers were employed there when interviewers arrived to speak with the employer</w:t>
      </w:r>
      <w:r w:rsidR="00B525AF">
        <w:t>, for a farm eligibility rate of 38 percent (1,207/3,149 = 38%).</w:t>
      </w:r>
      <w:r w:rsidR="00B525AF" w:rsidRPr="007F18CE">
        <w:t xml:space="preserve"> </w:t>
      </w:r>
      <w:r w:rsidR="00B525AF">
        <w:t xml:space="preserve"> </w:t>
      </w:r>
      <w:r w:rsidR="00B525AF" w:rsidRPr="007F18CE">
        <w:t xml:space="preserve">Interviews were conducted at </w:t>
      </w:r>
      <w:r w:rsidR="00B525AF">
        <w:t>583</w:t>
      </w:r>
      <w:r w:rsidR="00B525AF" w:rsidRPr="007F18CE">
        <w:t xml:space="preserve"> of the eligible farms, for a response rate of 4</w:t>
      </w:r>
      <w:r w:rsidR="00B525AF">
        <w:t>8</w:t>
      </w:r>
      <w:r w:rsidR="00B525AF" w:rsidRPr="007F18CE">
        <w:t xml:space="preserve"> percent </w:t>
      </w:r>
      <w:r w:rsidR="00B525AF">
        <w:t xml:space="preserve">(583/1,207 = 48%).  </w:t>
      </w:r>
      <w:r w:rsidR="00B525AF" w:rsidRPr="007F18CE">
        <w:t xml:space="preserve">Assuming the </w:t>
      </w:r>
      <w:r w:rsidR="00B525AF">
        <w:t xml:space="preserve">establishment eligibility rate and response rate will be at least 38 percent and 48 percent, respectively, then approximately 3,847 </w:t>
      </w:r>
      <w:r w:rsidR="00B525AF" w:rsidRPr="007F18CE">
        <w:t>establishments will need to be approa</w:t>
      </w:r>
      <w:r w:rsidR="00B525AF">
        <w:t>ched and invited to participate in order to interview 3,369 farm workers on approximately 702 farms in FY 2016 (target sample size ÷ interviews per farm ÷ eligibility rate ÷ response rate = total establishments to contact):</w:t>
      </w:r>
    </w:p>
    <w:p w:rsidR="00B525AF" w:rsidRDefault="00B525AF" w:rsidP="00B525AF">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525AF" w:rsidRPr="003613F1" w:rsidRDefault="00B525AF" w:rsidP="00B525AF">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pPr>
      <w:r w:rsidRPr="003613F1">
        <w:t>3,</w:t>
      </w:r>
      <w:r>
        <w:t>369</w:t>
      </w:r>
      <w:r w:rsidRPr="003613F1">
        <w:t xml:space="preserve"> </w:t>
      </w:r>
      <w:r>
        <w:t>interviews ÷ 4.8 interviews per farm ÷ .38 ÷ .48 = 3,847 establishments to contact</w:t>
      </w:r>
    </w:p>
    <w:p w:rsidR="00B525AF" w:rsidRDefault="00B525AF" w:rsidP="00B525AF">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2B31E8" w:rsidRDefault="00B525AF" w:rsidP="002B31E8">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discussion with ineligible employers lasts, on average, five minutes, while the discussion with eligible employers can be from ten to 14 minutes, depending on the number of questions the eligible employer has about the survey.  The average discussion time with eligible employers is approximately 12 minutes.  Assuming an </w:t>
      </w:r>
      <w:r w:rsidR="00973D3F">
        <w:t xml:space="preserve">agricultural </w:t>
      </w:r>
      <w:r>
        <w:t>employer</w:t>
      </w:r>
      <w:r w:rsidRPr="00F05970">
        <w:t>’s</w:t>
      </w:r>
      <w:r>
        <w:t xml:space="preserve"> time is worth </w:t>
      </w:r>
      <w:r w:rsidRPr="00CA2DD0">
        <w:t>$</w:t>
      </w:r>
      <w:r w:rsidR="00973D3F">
        <w:t xml:space="preserve">34.89 </w:t>
      </w:r>
      <w:r>
        <w:t xml:space="preserve">per hour </w:t>
      </w:r>
      <w:hyperlink r:id="rId9" w:history="1">
        <w:r w:rsidR="00973D3F" w:rsidRPr="001D2CF8">
          <w:rPr>
            <w:rStyle w:val="Hyperlink"/>
          </w:rPr>
          <w:t>http://www.bls.gov/oes/current/oes119013.htm</w:t>
        </w:r>
      </w:hyperlink>
      <w:r w:rsidR="00973D3F">
        <w:t xml:space="preserve"> </w:t>
      </w:r>
      <w:r>
        <w:t xml:space="preserve">and the number of burden hours is 491, the total </w:t>
      </w:r>
      <w:r w:rsidRPr="00394E06">
        <w:t>cost is $</w:t>
      </w:r>
      <w:r w:rsidR="00973D3F">
        <w:t>17</w:t>
      </w:r>
      <w:r w:rsidRPr="00CA2DD0">
        <w:t>,</w:t>
      </w:r>
      <w:r w:rsidR="00973D3F">
        <w:t>131</w:t>
      </w:r>
      <w:r w:rsidR="00973D3F" w:rsidRPr="00394E06">
        <w:t xml:space="preserve"> </w:t>
      </w:r>
      <w:r w:rsidRPr="00394E06">
        <w:t>of</w:t>
      </w:r>
      <w:r>
        <w:t xml:space="preserve"> employer time.</w:t>
      </w:r>
    </w:p>
    <w:p w:rsidR="008B7EF5" w:rsidRDefault="00B738C2" w:rsidP="00B738C2">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p>
    <w:p w:rsidR="00D460FA" w:rsidRDefault="008B7EF5" w:rsidP="00B738C2">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br w:type="page"/>
      </w:r>
    </w:p>
    <w:p w:rsidR="00B738C2" w:rsidRPr="00B21385" w:rsidRDefault="00D460FA" w:rsidP="00B738C2">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proofErr w:type="gramStart"/>
      <w:r w:rsidR="00B738C2" w:rsidRPr="00B21385">
        <w:rPr>
          <w:b/>
        </w:rPr>
        <w:t xml:space="preserve">Table </w:t>
      </w:r>
      <w:r w:rsidR="00CA4F35">
        <w:rPr>
          <w:b/>
        </w:rPr>
        <w:t>2</w:t>
      </w:r>
      <w:r w:rsidR="00B738C2" w:rsidRPr="00B21385">
        <w:rPr>
          <w:b/>
        </w:rPr>
        <w:t>.</w:t>
      </w:r>
      <w:proofErr w:type="gramEnd"/>
      <w:r w:rsidR="00B738C2" w:rsidRPr="00B21385">
        <w:rPr>
          <w:b/>
        </w:rPr>
        <w:t xml:space="preserve"> Estimated Burden Hours Associated with the FY 2016 NAWS</w:t>
      </w:r>
    </w:p>
    <w:tbl>
      <w:tblPr>
        <w:tblW w:w="8965" w:type="dxa"/>
        <w:tblInd w:w="468" w:type="dxa"/>
        <w:tblLook w:val="04A0" w:firstRow="1" w:lastRow="0" w:firstColumn="1" w:lastColumn="0" w:noHBand="0" w:noVBand="1"/>
      </w:tblPr>
      <w:tblGrid>
        <w:gridCol w:w="2624"/>
        <w:gridCol w:w="2335"/>
        <w:gridCol w:w="1443"/>
        <w:gridCol w:w="1608"/>
        <w:gridCol w:w="955"/>
      </w:tblGrid>
      <w:tr w:rsidR="00B738C2" w:rsidTr="00FB4547">
        <w:trPr>
          <w:trHeight w:val="682"/>
        </w:trPr>
        <w:tc>
          <w:tcPr>
            <w:tcW w:w="2624"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B738C2" w:rsidRPr="00425CCB" w:rsidRDefault="00B738C2" w:rsidP="00FB4547">
            <w:pPr>
              <w:rPr>
                <w:color w:val="000000"/>
                <w:sz w:val="22"/>
                <w:szCs w:val="22"/>
              </w:rPr>
            </w:pPr>
            <w:r w:rsidRPr="00425CCB">
              <w:rPr>
                <w:color w:val="000000"/>
                <w:sz w:val="22"/>
                <w:szCs w:val="22"/>
              </w:rPr>
              <w:t xml:space="preserve">Who will be </w:t>
            </w:r>
            <w:proofErr w:type="gramStart"/>
            <w:r w:rsidRPr="00425CCB">
              <w:rPr>
                <w:color w:val="000000"/>
                <w:sz w:val="22"/>
                <w:szCs w:val="22"/>
              </w:rPr>
              <w:t>interviewed</w:t>
            </w:r>
            <w:r>
              <w:rPr>
                <w:color w:val="000000"/>
                <w:sz w:val="22"/>
                <w:szCs w:val="22"/>
              </w:rPr>
              <w:t>/contacted</w:t>
            </w:r>
            <w:proofErr w:type="gramEnd"/>
            <w:r w:rsidRPr="00425CCB">
              <w:rPr>
                <w:color w:val="000000"/>
                <w:sz w:val="22"/>
                <w:szCs w:val="22"/>
              </w:rPr>
              <w:t>?</w:t>
            </w:r>
          </w:p>
        </w:tc>
        <w:tc>
          <w:tcPr>
            <w:tcW w:w="2335" w:type="dxa"/>
            <w:tcBorders>
              <w:top w:val="single" w:sz="8" w:space="0" w:color="auto"/>
              <w:left w:val="nil"/>
              <w:bottom w:val="double" w:sz="6" w:space="0" w:color="auto"/>
              <w:right w:val="single" w:sz="8" w:space="0" w:color="auto"/>
            </w:tcBorders>
            <w:shd w:val="clear" w:color="auto" w:fill="auto"/>
            <w:vAlign w:val="center"/>
            <w:hideMark/>
          </w:tcPr>
          <w:p w:rsidR="00B738C2" w:rsidRPr="00425CCB" w:rsidRDefault="00B738C2" w:rsidP="00FB4547">
            <w:pPr>
              <w:jc w:val="center"/>
              <w:rPr>
                <w:color w:val="000000"/>
                <w:sz w:val="22"/>
                <w:szCs w:val="22"/>
              </w:rPr>
            </w:pPr>
            <w:r w:rsidRPr="00425CCB">
              <w:rPr>
                <w:color w:val="000000"/>
                <w:sz w:val="22"/>
                <w:szCs w:val="22"/>
              </w:rPr>
              <w:t>Survey Instrument</w:t>
            </w:r>
          </w:p>
        </w:tc>
        <w:tc>
          <w:tcPr>
            <w:tcW w:w="1443" w:type="dxa"/>
            <w:tcBorders>
              <w:top w:val="single" w:sz="8" w:space="0" w:color="auto"/>
              <w:left w:val="nil"/>
              <w:bottom w:val="double" w:sz="6" w:space="0" w:color="auto"/>
              <w:right w:val="single" w:sz="8" w:space="0" w:color="auto"/>
            </w:tcBorders>
            <w:shd w:val="clear" w:color="auto" w:fill="auto"/>
            <w:vAlign w:val="center"/>
            <w:hideMark/>
          </w:tcPr>
          <w:p w:rsidR="00B738C2" w:rsidRPr="00425CCB" w:rsidRDefault="00B738C2" w:rsidP="00FB4547">
            <w:pPr>
              <w:rPr>
                <w:color w:val="000000"/>
                <w:sz w:val="22"/>
                <w:szCs w:val="22"/>
              </w:rPr>
            </w:pPr>
            <w:r w:rsidRPr="00425CCB">
              <w:rPr>
                <w:color w:val="000000"/>
                <w:sz w:val="22"/>
                <w:szCs w:val="22"/>
              </w:rPr>
              <w:t>Respondents per Year</w:t>
            </w:r>
          </w:p>
        </w:tc>
        <w:tc>
          <w:tcPr>
            <w:tcW w:w="1608" w:type="dxa"/>
            <w:tcBorders>
              <w:top w:val="single" w:sz="8" w:space="0" w:color="auto"/>
              <w:left w:val="nil"/>
              <w:bottom w:val="double" w:sz="6" w:space="0" w:color="auto"/>
              <w:right w:val="single" w:sz="8" w:space="0" w:color="auto"/>
            </w:tcBorders>
            <w:shd w:val="clear" w:color="auto" w:fill="auto"/>
            <w:vAlign w:val="center"/>
            <w:hideMark/>
          </w:tcPr>
          <w:p w:rsidR="00B738C2" w:rsidRPr="00425CCB" w:rsidRDefault="00B738C2" w:rsidP="00FB4547">
            <w:pPr>
              <w:rPr>
                <w:color w:val="000000"/>
                <w:sz w:val="22"/>
                <w:szCs w:val="22"/>
              </w:rPr>
            </w:pPr>
            <w:r w:rsidRPr="00425CCB">
              <w:rPr>
                <w:color w:val="000000"/>
                <w:sz w:val="22"/>
                <w:szCs w:val="22"/>
              </w:rPr>
              <w:t>Average Time per Respondent</w:t>
            </w:r>
          </w:p>
        </w:tc>
        <w:tc>
          <w:tcPr>
            <w:tcW w:w="955" w:type="dxa"/>
            <w:tcBorders>
              <w:top w:val="single" w:sz="8" w:space="0" w:color="auto"/>
              <w:left w:val="nil"/>
              <w:bottom w:val="double" w:sz="6" w:space="0" w:color="auto"/>
              <w:right w:val="single" w:sz="8" w:space="0" w:color="auto"/>
            </w:tcBorders>
            <w:shd w:val="clear" w:color="auto" w:fill="auto"/>
            <w:vAlign w:val="center"/>
            <w:hideMark/>
          </w:tcPr>
          <w:p w:rsidR="00B738C2" w:rsidRPr="00425CCB" w:rsidRDefault="00B738C2" w:rsidP="00FB4547">
            <w:pPr>
              <w:jc w:val="center"/>
              <w:rPr>
                <w:color w:val="000000"/>
                <w:sz w:val="22"/>
                <w:szCs w:val="22"/>
              </w:rPr>
            </w:pPr>
            <w:r w:rsidRPr="00425CCB">
              <w:rPr>
                <w:color w:val="000000"/>
                <w:sz w:val="22"/>
                <w:szCs w:val="22"/>
              </w:rPr>
              <w:t>Total Hours</w:t>
            </w:r>
          </w:p>
        </w:tc>
      </w:tr>
      <w:tr w:rsidR="00B738C2" w:rsidTr="00FB4547">
        <w:trPr>
          <w:trHeight w:val="765"/>
        </w:trPr>
        <w:tc>
          <w:tcPr>
            <w:tcW w:w="2624" w:type="dxa"/>
            <w:tcBorders>
              <w:top w:val="nil"/>
              <w:left w:val="single" w:sz="8" w:space="0" w:color="auto"/>
              <w:bottom w:val="single" w:sz="8" w:space="0" w:color="auto"/>
              <w:right w:val="single" w:sz="8" w:space="0" w:color="auto"/>
            </w:tcBorders>
            <w:shd w:val="clear" w:color="auto" w:fill="auto"/>
            <w:vAlign w:val="center"/>
            <w:hideMark/>
          </w:tcPr>
          <w:p w:rsidR="00B738C2" w:rsidRPr="00425CCB" w:rsidRDefault="00B738C2" w:rsidP="00FB4547">
            <w:pPr>
              <w:rPr>
                <w:color w:val="000000"/>
                <w:sz w:val="22"/>
                <w:szCs w:val="22"/>
              </w:rPr>
            </w:pPr>
            <w:r w:rsidRPr="00425CCB">
              <w:rPr>
                <w:color w:val="000000"/>
                <w:sz w:val="22"/>
                <w:szCs w:val="22"/>
              </w:rPr>
              <w:t>Farm Workers</w:t>
            </w:r>
          </w:p>
        </w:tc>
        <w:tc>
          <w:tcPr>
            <w:tcW w:w="2335" w:type="dxa"/>
            <w:tcBorders>
              <w:top w:val="nil"/>
              <w:left w:val="nil"/>
              <w:bottom w:val="single" w:sz="8" w:space="0" w:color="auto"/>
              <w:right w:val="single" w:sz="8" w:space="0" w:color="auto"/>
            </w:tcBorders>
            <w:shd w:val="clear" w:color="auto" w:fill="auto"/>
            <w:vAlign w:val="center"/>
            <w:hideMark/>
          </w:tcPr>
          <w:p w:rsidR="00B738C2" w:rsidRPr="00425CCB" w:rsidRDefault="00B738C2" w:rsidP="00EE0D32">
            <w:pPr>
              <w:rPr>
                <w:color w:val="000000"/>
                <w:sz w:val="22"/>
                <w:szCs w:val="22"/>
              </w:rPr>
            </w:pPr>
            <w:r w:rsidRPr="00425CCB">
              <w:rPr>
                <w:color w:val="000000"/>
                <w:sz w:val="22"/>
                <w:szCs w:val="22"/>
              </w:rPr>
              <w:t>Primary Questionnaire, with proposed changes</w:t>
            </w:r>
          </w:p>
        </w:tc>
        <w:tc>
          <w:tcPr>
            <w:tcW w:w="1443" w:type="dxa"/>
            <w:tcBorders>
              <w:top w:val="nil"/>
              <w:left w:val="nil"/>
              <w:bottom w:val="single" w:sz="8" w:space="0" w:color="auto"/>
              <w:right w:val="single" w:sz="8" w:space="0" w:color="auto"/>
            </w:tcBorders>
            <w:shd w:val="clear" w:color="auto" w:fill="auto"/>
            <w:vAlign w:val="center"/>
            <w:hideMark/>
          </w:tcPr>
          <w:p w:rsidR="00B738C2" w:rsidRPr="00425CCB" w:rsidRDefault="00B738C2" w:rsidP="00FB4547">
            <w:pPr>
              <w:jc w:val="center"/>
              <w:rPr>
                <w:color w:val="000000"/>
                <w:sz w:val="22"/>
                <w:szCs w:val="22"/>
              </w:rPr>
            </w:pPr>
            <w:r w:rsidRPr="00425CCB">
              <w:rPr>
                <w:color w:val="000000"/>
                <w:sz w:val="22"/>
                <w:szCs w:val="22"/>
              </w:rPr>
              <w:t>3,369</w:t>
            </w:r>
          </w:p>
        </w:tc>
        <w:tc>
          <w:tcPr>
            <w:tcW w:w="1608" w:type="dxa"/>
            <w:tcBorders>
              <w:top w:val="nil"/>
              <w:left w:val="nil"/>
              <w:bottom w:val="single" w:sz="8" w:space="0" w:color="auto"/>
              <w:right w:val="single" w:sz="8" w:space="0" w:color="auto"/>
            </w:tcBorders>
            <w:shd w:val="clear" w:color="auto" w:fill="auto"/>
            <w:vAlign w:val="center"/>
            <w:hideMark/>
          </w:tcPr>
          <w:p w:rsidR="00B738C2" w:rsidRPr="00425CCB" w:rsidRDefault="00B738C2" w:rsidP="00FB4547">
            <w:pPr>
              <w:rPr>
                <w:color w:val="000000"/>
                <w:sz w:val="22"/>
                <w:szCs w:val="22"/>
              </w:rPr>
            </w:pPr>
            <w:r w:rsidRPr="00425CCB">
              <w:rPr>
                <w:color w:val="000000"/>
                <w:sz w:val="22"/>
                <w:szCs w:val="22"/>
              </w:rPr>
              <w:t>60 minutes</w:t>
            </w:r>
          </w:p>
        </w:tc>
        <w:tc>
          <w:tcPr>
            <w:tcW w:w="955" w:type="dxa"/>
            <w:tcBorders>
              <w:top w:val="nil"/>
              <w:left w:val="nil"/>
              <w:bottom w:val="single" w:sz="8" w:space="0" w:color="auto"/>
              <w:right w:val="single" w:sz="8" w:space="0" w:color="auto"/>
            </w:tcBorders>
            <w:shd w:val="clear" w:color="auto" w:fill="auto"/>
            <w:vAlign w:val="center"/>
            <w:hideMark/>
          </w:tcPr>
          <w:p w:rsidR="00B738C2" w:rsidRPr="00425CCB" w:rsidRDefault="00B738C2" w:rsidP="00FB4547">
            <w:pPr>
              <w:jc w:val="center"/>
              <w:rPr>
                <w:color w:val="000000"/>
                <w:sz w:val="22"/>
                <w:szCs w:val="22"/>
              </w:rPr>
            </w:pPr>
            <w:r w:rsidRPr="00425CCB">
              <w:rPr>
                <w:color w:val="000000"/>
                <w:sz w:val="22"/>
                <w:szCs w:val="22"/>
              </w:rPr>
              <w:t>3,369</w:t>
            </w:r>
          </w:p>
        </w:tc>
      </w:tr>
      <w:tr w:rsidR="00B738C2" w:rsidTr="00FB4547">
        <w:trPr>
          <w:trHeight w:val="520"/>
        </w:trPr>
        <w:tc>
          <w:tcPr>
            <w:tcW w:w="2624" w:type="dxa"/>
            <w:tcBorders>
              <w:top w:val="nil"/>
              <w:left w:val="single" w:sz="8" w:space="0" w:color="auto"/>
              <w:bottom w:val="single" w:sz="8" w:space="0" w:color="auto"/>
              <w:right w:val="single" w:sz="8" w:space="0" w:color="auto"/>
            </w:tcBorders>
            <w:shd w:val="clear" w:color="auto" w:fill="auto"/>
            <w:vAlign w:val="center"/>
            <w:hideMark/>
          </w:tcPr>
          <w:p w:rsidR="00B738C2" w:rsidRPr="00425CCB" w:rsidRDefault="00B738C2" w:rsidP="00FB4547">
            <w:pPr>
              <w:rPr>
                <w:color w:val="000000"/>
                <w:sz w:val="22"/>
                <w:szCs w:val="22"/>
              </w:rPr>
            </w:pPr>
            <w:r w:rsidRPr="00425CCB">
              <w:rPr>
                <w:color w:val="000000"/>
                <w:sz w:val="22"/>
                <w:szCs w:val="22"/>
              </w:rPr>
              <w:t xml:space="preserve">Farm Workers with children </w:t>
            </w:r>
            <w:r>
              <w:rPr>
                <w:color w:val="000000"/>
                <w:sz w:val="22"/>
                <w:szCs w:val="22"/>
              </w:rPr>
              <w:t>under age six</w:t>
            </w:r>
          </w:p>
        </w:tc>
        <w:tc>
          <w:tcPr>
            <w:tcW w:w="2335" w:type="dxa"/>
            <w:tcBorders>
              <w:top w:val="nil"/>
              <w:left w:val="nil"/>
              <w:bottom w:val="single" w:sz="8" w:space="0" w:color="auto"/>
              <w:right w:val="single" w:sz="8" w:space="0" w:color="auto"/>
            </w:tcBorders>
            <w:shd w:val="clear" w:color="auto" w:fill="auto"/>
            <w:vAlign w:val="center"/>
            <w:hideMark/>
          </w:tcPr>
          <w:p w:rsidR="00B738C2" w:rsidRPr="00425CCB" w:rsidRDefault="00B738C2" w:rsidP="00FB4547">
            <w:pPr>
              <w:jc w:val="center"/>
              <w:rPr>
                <w:color w:val="000000"/>
                <w:sz w:val="22"/>
                <w:szCs w:val="22"/>
              </w:rPr>
            </w:pPr>
            <w:r w:rsidRPr="00425CCB">
              <w:rPr>
                <w:color w:val="000000"/>
                <w:sz w:val="22"/>
                <w:szCs w:val="22"/>
              </w:rPr>
              <w:t>Child Care Questions*</w:t>
            </w:r>
          </w:p>
        </w:tc>
        <w:tc>
          <w:tcPr>
            <w:tcW w:w="1443" w:type="dxa"/>
            <w:tcBorders>
              <w:top w:val="nil"/>
              <w:left w:val="nil"/>
              <w:bottom w:val="single" w:sz="8" w:space="0" w:color="auto"/>
              <w:right w:val="single" w:sz="8" w:space="0" w:color="auto"/>
            </w:tcBorders>
            <w:shd w:val="clear" w:color="auto" w:fill="auto"/>
            <w:vAlign w:val="center"/>
            <w:hideMark/>
          </w:tcPr>
          <w:p w:rsidR="00B738C2" w:rsidRPr="00425CCB" w:rsidRDefault="00B738C2" w:rsidP="00FB4547">
            <w:pPr>
              <w:jc w:val="center"/>
              <w:rPr>
                <w:color w:val="000000"/>
                <w:sz w:val="22"/>
                <w:szCs w:val="22"/>
              </w:rPr>
            </w:pPr>
            <w:r w:rsidRPr="00425CCB">
              <w:rPr>
                <w:color w:val="000000"/>
                <w:sz w:val="22"/>
                <w:szCs w:val="22"/>
              </w:rPr>
              <w:t xml:space="preserve">     674*</w:t>
            </w:r>
          </w:p>
        </w:tc>
        <w:tc>
          <w:tcPr>
            <w:tcW w:w="1608" w:type="dxa"/>
            <w:tcBorders>
              <w:top w:val="nil"/>
              <w:left w:val="nil"/>
              <w:bottom w:val="single" w:sz="8" w:space="0" w:color="auto"/>
              <w:right w:val="single" w:sz="8" w:space="0" w:color="auto"/>
            </w:tcBorders>
            <w:shd w:val="clear" w:color="auto" w:fill="auto"/>
            <w:vAlign w:val="center"/>
            <w:hideMark/>
          </w:tcPr>
          <w:p w:rsidR="00B738C2" w:rsidRPr="00425CCB" w:rsidRDefault="00B738C2" w:rsidP="00FB4547">
            <w:pPr>
              <w:jc w:val="center"/>
              <w:rPr>
                <w:color w:val="000000"/>
                <w:sz w:val="22"/>
                <w:szCs w:val="22"/>
              </w:rPr>
            </w:pPr>
            <w:r w:rsidRPr="00425CCB">
              <w:rPr>
                <w:color w:val="000000"/>
                <w:sz w:val="22"/>
                <w:szCs w:val="22"/>
              </w:rPr>
              <w:t>6 minutes</w:t>
            </w:r>
          </w:p>
        </w:tc>
        <w:tc>
          <w:tcPr>
            <w:tcW w:w="955" w:type="dxa"/>
            <w:tcBorders>
              <w:top w:val="nil"/>
              <w:left w:val="nil"/>
              <w:bottom w:val="single" w:sz="8" w:space="0" w:color="auto"/>
              <w:right w:val="single" w:sz="8" w:space="0" w:color="auto"/>
            </w:tcBorders>
            <w:shd w:val="clear" w:color="auto" w:fill="auto"/>
            <w:vAlign w:val="center"/>
            <w:hideMark/>
          </w:tcPr>
          <w:p w:rsidR="00B738C2" w:rsidRPr="00425CCB" w:rsidRDefault="00B738C2" w:rsidP="00FB4547">
            <w:pPr>
              <w:jc w:val="center"/>
              <w:rPr>
                <w:color w:val="000000"/>
                <w:sz w:val="22"/>
                <w:szCs w:val="22"/>
              </w:rPr>
            </w:pPr>
            <w:r w:rsidRPr="00425CCB">
              <w:rPr>
                <w:color w:val="000000"/>
                <w:sz w:val="22"/>
                <w:szCs w:val="22"/>
              </w:rPr>
              <w:t xml:space="preserve">   </w:t>
            </w:r>
            <w:r>
              <w:rPr>
                <w:color w:val="000000"/>
                <w:sz w:val="22"/>
                <w:szCs w:val="22"/>
              </w:rPr>
              <w:t xml:space="preserve"> </w:t>
            </w:r>
            <w:r w:rsidRPr="00425CCB">
              <w:rPr>
                <w:color w:val="000000"/>
                <w:sz w:val="22"/>
                <w:szCs w:val="22"/>
              </w:rPr>
              <w:t>67</w:t>
            </w:r>
          </w:p>
        </w:tc>
      </w:tr>
      <w:tr w:rsidR="00B738C2" w:rsidTr="00FB4547">
        <w:trPr>
          <w:trHeight w:val="330"/>
        </w:trPr>
        <w:tc>
          <w:tcPr>
            <w:tcW w:w="2624" w:type="dxa"/>
            <w:tcBorders>
              <w:top w:val="nil"/>
              <w:left w:val="single" w:sz="8" w:space="0" w:color="auto"/>
              <w:bottom w:val="single" w:sz="8" w:space="0" w:color="auto"/>
              <w:right w:val="single" w:sz="8" w:space="0" w:color="auto"/>
            </w:tcBorders>
            <w:shd w:val="clear" w:color="auto" w:fill="auto"/>
            <w:vAlign w:val="center"/>
            <w:hideMark/>
          </w:tcPr>
          <w:p w:rsidR="00B738C2" w:rsidRPr="00425CCB" w:rsidRDefault="00B738C2" w:rsidP="00FB4547">
            <w:pPr>
              <w:rPr>
                <w:color w:val="000000"/>
                <w:sz w:val="22"/>
                <w:szCs w:val="22"/>
              </w:rPr>
            </w:pPr>
            <w:r>
              <w:rPr>
                <w:color w:val="000000"/>
                <w:sz w:val="22"/>
                <w:szCs w:val="22"/>
              </w:rPr>
              <w:t xml:space="preserve">Ineligible </w:t>
            </w:r>
            <w:r w:rsidRPr="00425CCB">
              <w:rPr>
                <w:color w:val="000000"/>
                <w:sz w:val="22"/>
                <w:szCs w:val="22"/>
              </w:rPr>
              <w:t>Employers</w:t>
            </w:r>
          </w:p>
        </w:tc>
        <w:tc>
          <w:tcPr>
            <w:tcW w:w="2335" w:type="dxa"/>
            <w:tcBorders>
              <w:top w:val="nil"/>
              <w:left w:val="nil"/>
              <w:bottom w:val="single" w:sz="8" w:space="0" w:color="auto"/>
              <w:right w:val="single" w:sz="8" w:space="0" w:color="auto"/>
            </w:tcBorders>
            <w:shd w:val="clear" w:color="auto" w:fill="auto"/>
            <w:vAlign w:val="center"/>
            <w:hideMark/>
          </w:tcPr>
          <w:p w:rsidR="00B738C2" w:rsidRPr="00425CCB" w:rsidRDefault="00B738C2" w:rsidP="00FB4547">
            <w:pPr>
              <w:jc w:val="center"/>
              <w:rPr>
                <w:color w:val="000000"/>
                <w:sz w:val="22"/>
                <w:szCs w:val="22"/>
              </w:rPr>
            </w:pPr>
            <w:r w:rsidRPr="00425CCB">
              <w:rPr>
                <w:color w:val="000000"/>
                <w:sz w:val="22"/>
                <w:szCs w:val="22"/>
              </w:rPr>
              <w:t>Point of Contact Only</w:t>
            </w:r>
          </w:p>
        </w:tc>
        <w:tc>
          <w:tcPr>
            <w:tcW w:w="1443" w:type="dxa"/>
            <w:tcBorders>
              <w:top w:val="nil"/>
              <w:left w:val="nil"/>
              <w:bottom w:val="single" w:sz="8" w:space="0" w:color="auto"/>
              <w:right w:val="single" w:sz="8" w:space="0" w:color="auto"/>
            </w:tcBorders>
            <w:shd w:val="clear" w:color="auto" w:fill="auto"/>
            <w:vAlign w:val="center"/>
            <w:hideMark/>
          </w:tcPr>
          <w:p w:rsidR="00B738C2" w:rsidRPr="00425CCB" w:rsidRDefault="00B738C2" w:rsidP="00FB4547">
            <w:pPr>
              <w:jc w:val="center"/>
              <w:rPr>
                <w:color w:val="000000"/>
                <w:sz w:val="22"/>
                <w:szCs w:val="22"/>
              </w:rPr>
            </w:pPr>
            <w:r>
              <w:rPr>
                <w:color w:val="000000"/>
                <w:sz w:val="22"/>
                <w:szCs w:val="22"/>
              </w:rPr>
              <w:t>2,385</w:t>
            </w:r>
          </w:p>
        </w:tc>
        <w:tc>
          <w:tcPr>
            <w:tcW w:w="1608" w:type="dxa"/>
            <w:tcBorders>
              <w:top w:val="nil"/>
              <w:left w:val="nil"/>
              <w:bottom w:val="single" w:sz="8" w:space="0" w:color="auto"/>
              <w:right w:val="single" w:sz="8" w:space="0" w:color="auto"/>
            </w:tcBorders>
            <w:shd w:val="clear" w:color="auto" w:fill="auto"/>
            <w:vAlign w:val="center"/>
            <w:hideMark/>
          </w:tcPr>
          <w:p w:rsidR="00B738C2" w:rsidRPr="00425CCB" w:rsidRDefault="00B738C2" w:rsidP="00FB4547">
            <w:pPr>
              <w:jc w:val="center"/>
              <w:rPr>
                <w:color w:val="000000"/>
                <w:sz w:val="22"/>
                <w:szCs w:val="22"/>
              </w:rPr>
            </w:pPr>
            <w:r>
              <w:rPr>
                <w:color w:val="000000"/>
                <w:sz w:val="22"/>
                <w:szCs w:val="22"/>
              </w:rPr>
              <w:t>5</w:t>
            </w:r>
            <w:r w:rsidRPr="00425CCB">
              <w:rPr>
                <w:color w:val="000000"/>
                <w:sz w:val="22"/>
                <w:szCs w:val="22"/>
              </w:rPr>
              <w:t xml:space="preserve"> minute</w:t>
            </w:r>
            <w:r>
              <w:rPr>
                <w:color w:val="000000"/>
                <w:sz w:val="22"/>
                <w:szCs w:val="22"/>
              </w:rPr>
              <w:t>s</w:t>
            </w:r>
          </w:p>
        </w:tc>
        <w:tc>
          <w:tcPr>
            <w:tcW w:w="955" w:type="dxa"/>
            <w:tcBorders>
              <w:top w:val="nil"/>
              <w:left w:val="nil"/>
              <w:bottom w:val="single" w:sz="8" w:space="0" w:color="auto"/>
              <w:right w:val="single" w:sz="8" w:space="0" w:color="auto"/>
            </w:tcBorders>
            <w:shd w:val="clear" w:color="auto" w:fill="auto"/>
            <w:vAlign w:val="center"/>
            <w:hideMark/>
          </w:tcPr>
          <w:p w:rsidR="00B738C2" w:rsidRPr="00425CCB" w:rsidRDefault="00B738C2" w:rsidP="00FB4547">
            <w:pPr>
              <w:jc w:val="center"/>
              <w:rPr>
                <w:color w:val="000000"/>
                <w:sz w:val="22"/>
                <w:szCs w:val="22"/>
              </w:rPr>
            </w:pPr>
            <w:r w:rsidRPr="00425CCB">
              <w:rPr>
                <w:color w:val="000000"/>
                <w:sz w:val="22"/>
                <w:szCs w:val="22"/>
              </w:rPr>
              <w:t xml:space="preserve">  </w:t>
            </w:r>
            <w:r>
              <w:rPr>
                <w:color w:val="000000"/>
                <w:sz w:val="22"/>
                <w:szCs w:val="22"/>
              </w:rPr>
              <w:t>199</w:t>
            </w:r>
          </w:p>
        </w:tc>
      </w:tr>
      <w:tr w:rsidR="00B738C2" w:rsidTr="00FB4547">
        <w:trPr>
          <w:trHeight w:val="330"/>
        </w:trPr>
        <w:tc>
          <w:tcPr>
            <w:tcW w:w="2624" w:type="dxa"/>
            <w:tcBorders>
              <w:top w:val="nil"/>
              <w:left w:val="single" w:sz="8" w:space="0" w:color="auto"/>
              <w:bottom w:val="single" w:sz="8" w:space="0" w:color="auto"/>
              <w:right w:val="single" w:sz="8" w:space="0" w:color="auto"/>
            </w:tcBorders>
            <w:shd w:val="clear" w:color="auto" w:fill="auto"/>
            <w:vAlign w:val="center"/>
          </w:tcPr>
          <w:p w:rsidR="00B738C2" w:rsidRDefault="00B738C2" w:rsidP="00FB4547">
            <w:pPr>
              <w:rPr>
                <w:color w:val="000000"/>
                <w:sz w:val="22"/>
                <w:szCs w:val="22"/>
              </w:rPr>
            </w:pPr>
            <w:r>
              <w:rPr>
                <w:color w:val="000000"/>
                <w:sz w:val="22"/>
                <w:szCs w:val="22"/>
              </w:rPr>
              <w:t>Eligible Employers</w:t>
            </w:r>
          </w:p>
        </w:tc>
        <w:tc>
          <w:tcPr>
            <w:tcW w:w="2335" w:type="dxa"/>
            <w:tcBorders>
              <w:top w:val="nil"/>
              <w:left w:val="nil"/>
              <w:bottom w:val="single" w:sz="8" w:space="0" w:color="auto"/>
              <w:right w:val="single" w:sz="8" w:space="0" w:color="auto"/>
            </w:tcBorders>
            <w:shd w:val="clear" w:color="auto" w:fill="auto"/>
            <w:vAlign w:val="center"/>
          </w:tcPr>
          <w:p w:rsidR="00B738C2" w:rsidRPr="00425CCB" w:rsidRDefault="00B738C2" w:rsidP="00FB4547">
            <w:pPr>
              <w:jc w:val="center"/>
              <w:rPr>
                <w:color w:val="000000"/>
                <w:sz w:val="22"/>
                <w:szCs w:val="22"/>
              </w:rPr>
            </w:pPr>
            <w:r>
              <w:rPr>
                <w:color w:val="000000"/>
                <w:sz w:val="22"/>
                <w:szCs w:val="22"/>
              </w:rPr>
              <w:t>Point of Contact Only</w:t>
            </w:r>
          </w:p>
        </w:tc>
        <w:tc>
          <w:tcPr>
            <w:tcW w:w="1443" w:type="dxa"/>
            <w:tcBorders>
              <w:top w:val="nil"/>
              <w:left w:val="nil"/>
              <w:bottom w:val="single" w:sz="8" w:space="0" w:color="auto"/>
              <w:right w:val="single" w:sz="8" w:space="0" w:color="auto"/>
            </w:tcBorders>
            <w:shd w:val="clear" w:color="auto" w:fill="auto"/>
            <w:vAlign w:val="center"/>
          </w:tcPr>
          <w:p w:rsidR="00B738C2" w:rsidRPr="00425CCB" w:rsidRDefault="00B738C2" w:rsidP="00FB4547">
            <w:pPr>
              <w:jc w:val="center"/>
              <w:rPr>
                <w:color w:val="000000"/>
                <w:sz w:val="22"/>
                <w:szCs w:val="22"/>
              </w:rPr>
            </w:pPr>
            <w:r>
              <w:rPr>
                <w:color w:val="000000"/>
                <w:sz w:val="22"/>
                <w:szCs w:val="22"/>
              </w:rPr>
              <w:t>1,462</w:t>
            </w:r>
          </w:p>
        </w:tc>
        <w:tc>
          <w:tcPr>
            <w:tcW w:w="1608" w:type="dxa"/>
            <w:tcBorders>
              <w:top w:val="nil"/>
              <w:left w:val="nil"/>
              <w:bottom w:val="single" w:sz="8" w:space="0" w:color="auto"/>
              <w:right w:val="single" w:sz="8" w:space="0" w:color="auto"/>
            </w:tcBorders>
            <w:shd w:val="clear" w:color="auto" w:fill="auto"/>
            <w:vAlign w:val="center"/>
          </w:tcPr>
          <w:p w:rsidR="00B738C2" w:rsidRPr="00425CCB" w:rsidRDefault="00B738C2" w:rsidP="00FB4547">
            <w:pPr>
              <w:jc w:val="center"/>
              <w:rPr>
                <w:color w:val="000000"/>
                <w:sz w:val="22"/>
                <w:szCs w:val="22"/>
              </w:rPr>
            </w:pPr>
            <w:r>
              <w:rPr>
                <w:color w:val="000000"/>
                <w:sz w:val="22"/>
                <w:szCs w:val="22"/>
              </w:rPr>
              <w:t>12 minutes</w:t>
            </w:r>
          </w:p>
        </w:tc>
        <w:tc>
          <w:tcPr>
            <w:tcW w:w="955" w:type="dxa"/>
            <w:tcBorders>
              <w:top w:val="nil"/>
              <w:left w:val="nil"/>
              <w:bottom w:val="single" w:sz="8" w:space="0" w:color="auto"/>
              <w:right w:val="single" w:sz="8" w:space="0" w:color="auto"/>
            </w:tcBorders>
            <w:shd w:val="clear" w:color="auto" w:fill="auto"/>
            <w:vAlign w:val="center"/>
          </w:tcPr>
          <w:p w:rsidR="00B738C2" w:rsidRPr="00425CCB" w:rsidRDefault="00B738C2" w:rsidP="00FB4547">
            <w:pPr>
              <w:jc w:val="center"/>
              <w:rPr>
                <w:color w:val="000000"/>
                <w:sz w:val="22"/>
                <w:szCs w:val="22"/>
              </w:rPr>
            </w:pPr>
            <w:r>
              <w:rPr>
                <w:color w:val="000000"/>
                <w:sz w:val="22"/>
                <w:szCs w:val="22"/>
              </w:rPr>
              <w:t xml:space="preserve">  292</w:t>
            </w:r>
          </w:p>
        </w:tc>
      </w:tr>
      <w:tr w:rsidR="00B738C2" w:rsidTr="00FB4547">
        <w:trPr>
          <w:trHeight w:val="330"/>
        </w:trPr>
        <w:tc>
          <w:tcPr>
            <w:tcW w:w="2624" w:type="dxa"/>
            <w:tcBorders>
              <w:top w:val="nil"/>
              <w:left w:val="single" w:sz="8" w:space="0" w:color="auto"/>
              <w:bottom w:val="single" w:sz="8" w:space="0" w:color="auto"/>
              <w:right w:val="single" w:sz="8" w:space="0" w:color="auto"/>
            </w:tcBorders>
            <w:shd w:val="clear" w:color="auto" w:fill="auto"/>
            <w:vAlign w:val="center"/>
            <w:hideMark/>
          </w:tcPr>
          <w:p w:rsidR="00B738C2" w:rsidRPr="00425CCB" w:rsidRDefault="00B738C2" w:rsidP="00FB4547">
            <w:pPr>
              <w:rPr>
                <w:color w:val="000000"/>
                <w:sz w:val="22"/>
                <w:szCs w:val="22"/>
              </w:rPr>
            </w:pPr>
            <w:r w:rsidRPr="00425CCB">
              <w:rPr>
                <w:color w:val="000000"/>
                <w:sz w:val="22"/>
                <w:szCs w:val="22"/>
              </w:rPr>
              <w:t>Total</w:t>
            </w:r>
          </w:p>
        </w:tc>
        <w:tc>
          <w:tcPr>
            <w:tcW w:w="2335" w:type="dxa"/>
            <w:tcBorders>
              <w:top w:val="nil"/>
              <w:left w:val="nil"/>
              <w:bottom w:val="single" w:sz="8" w:space="0" w:color="auto"/>
              <w:right w:val="single" w:sz="8" w:space="0" w:color="auto"/>
            </w:tcBorders>
            <w:shd w:val="clear" w:color="auto" w:fill="auto"/>
            <w:vAlign w:val="center"/>
            <w:hideMark/>
          </w:tcPr>
          <w:p w:rsidR="00B738C2" w:rsidRPr="00425CCB" w:rsidRDefault="00B738C2" w:rsidP="00FB4547">
            <w:pPr>
              <w:rPr>
                <w:color w:val="000000"/>
                <w:sz w:val="22"/>
                <w:szCs w:val="22"/>
              </w:rPr>
            </w:pPr>
            <w:r w:rsidRPr="00425CCB">
              <w:rPr>
                <w:color w:val="000000"/>
                <w:sz w:val="22"/>
                <w:szCs w:val="22"/>
              </w:rPr>
              <w:t> </w:t>
            </w:r>
          </w:p>
        </w:tc>
        <w:tc>
          <w:tcPr>
            <w:tcW w:w="1443" w:type="dxa"/>
            <w:tcBorders>
              <w:top w:val="nil"/>
              <w:left w:val="nil"/>
              <w:bottom w:val="single" w:sz="8" w:space="0" w:color="auto"/>
              <w:right w:val="single" w:sz="8" w:space="0" w:color="auto"/>
            </w:tcBorders>
            <w:shd w:val="clear" w:color="auto" w:fill="auto"/>
            <w:vAlign w:val="center"/>
            <w:hideMark/>
          </w:tcPr>
          <w:p w:rsidR="00B738C2" w:rsidRPr="00425CCB" w:rsidRDefault="00B738C2" w:rsidP="00FB4547">
            <w:pPr>
              <w:jc w:val="center"/>
              <w:rPr>
                <w:color w:val="000000"/>
                <w:sz w:val="22"/>
                <w:szCs w:val="22"/>
              </w:rPr>
            </w:pPr>
            <w:r>
              <w:rPr>
                <w:color w:val="000000"/>
                <w:sz w:val="22"/>
                <w:szCs w:val="22"/>
              </w:rPr>
              <w:t>7</w:t>
            </w:r>
            <w:r w:rsidRPr="00425CCB">
              <w:rPr>
                <w:color w:val="000000"/>
                <w:sz w:val="22"/>
                <w:szCs w:val="22"/>
              </w:rPr>
              <w:t>,</w:t>
            </w:r>
            <w:r>
              <w:rPr>
                <w:color w:val="000000"/>
                <w:sz w:val="22"/>
                <w:szCs w:val="22"/>
              </w:rPr>
              <w:t>216</w:t>
            </w:r>
          </w:p>
        </w:tc>
        <w:tc>
          <w:tcPr>
            <w:tcW w:w="1608" w:type="dxa"/>
            <w:tcBorders>
              <w:top w:val="nil"/>
              <w:left w:val="nil"/>
              <w:bottom w:val="single" w:sz="8" w:space="0" w:color="auto"/>
              <w:right w:val="single" w:sz="8" w:space="0" w:color="auto"/>
            </w:tcBorders>
            <w:shd w:val="clear" w:color="auto" w:fill="auto"/>
            <w:vAlign w:val="center"/>
            <w:hideMark/>
          </w:tcPr>
          <w:p w:rsidR="00B738C2" w:rsidRPr="00425CCB" w:rsidRDefault="00B738C2" w:rsidP="00FB4547">
            <w:pPr>
              <w:rPr>
                <w:color w:val="000000"/>
                <w:sz w:val="22"/>
                <w:szCs w:val="22"/>
              </w:rPr>
            </w:pPr>
            <w:r w:rsidRPr="00425CCB">
              <w:rPr>
                <w:color w:val="000000"/>
                <w:sz w:val="22"/>
                <w:szCs w:val="22"/>
              </w:rPr>
              <w:t> </w:t>
            </w:r>
          </w:p>
        </w:tc>
        <w:tc>
          <w:tcPr>
            <w:tcW w:w="955" w:type="dxa"/>
            <w:tcBorders>
              <w:top w:val="nil"/>
              <w:left w:val="nil"/>
              <w:bottom w:val="single" w:sz="8" w:space="0" w:color="auto"/>
              <w:right w:val="single" w:sz="8" w:space="0" w:color="auto"/>
            </w:tcBorders>
            <w:shd w:val="clear" w:color="auto" w:fill="auto"/>
            <w:vAlign w:val="center"/>
            <w:hideMark/>
          </w:tcPr>
          <w:p w:rsidR="00B738C2" w:rsidRPr="00425CCB" w:rsidRDefault="00B738C2" w:rsidP="00FB4547">
            <w:pPr>
              <w:jc w:val="center"/>
              <w:rPr>
                <w:color w:val="000000"/>
                <w:sz w:val="22"/>
                <w:szCs w:val="22"/>
              </w:rPr>
            </w:pPr>
            <w:r w:rsidRPr="00425CCB">
              <w:rPr>
                <w:color w:val="000000"/>
                <w:sz w:val="22"/>
                <w:szCs w:val="22"/>
              </w:rPr>
              <w:t>3,</w:t>
            </w:r>
            <w:r>
              <w:rPr>
                <w:color w:val="000000"/>
                <w:sz w:val="22"/>
                <w:szCs w:val="22"/>
              </w:rPr>
              <w:t>927</w:t>
            </w:r>
          </w:p>
        </w:tc>
      </w:tr>
    </w:tbl>
    <w:p w:rsidR="00B738C2" w:rsidRDefault="00B738C2" w:rsidP="00B738C2">
      <w:pPr>
        <w:tabs>
          <w:tab w:val="left" w:pos="360"/>
          <w:tab w:val="left" w:pos="703"/>
          <w:tab w:val="right" w:pos="9229"/>
          <w:tab w:val="left" w:pos="9360"/>
        </w:tabs>
        <w:ind w:left="360"/>
        <w:rPr>
          <w:sz w:val="22"/>
          <w:szCs w:val="22"/>
        </w:rPr>
      </w:pPr>
      <w:r w:rsidRPr="009D00C2">
        <w:rPr>
          <w:sz w:val="22"/>
          <w:szCs w:val="22"/>
        </w:rPr>
        <w:t>* Not included in total respondents; they are a subset of the Primary Questionnaire respondents.</w:t>
      </w:r>
    </w:p>
    <w:p w:rsidR="00B738C2" w:rsidRDefault="00B738C2" w:rsidP="00B738C2">
      <w:pPr>
        <w:tabs>
          <w:tab w:val="left" w:pos="360"/>
          <w:tab w:val="left" w:pos="703"/>
          <w:tab w:val="right" w:pos="9229"/>
          <w:tab w:val="left" w:pos="9360"/>
        </w:tabs>
        <w:ind w:left="360"/>
        <w:rPr>
          <w:sz w:val="22"/>
          <w:szCs w:val="22"/>
        </w:rPr>
      </w:pPr>
      <w:r>
        <w:rPr>
          <w:sz w:val="22"/>
          <w:szCs w:val="22"/>
        </w:rPr>
        <w:t xml:space="preserve">Source:  These estimates </w:t>
      </w:r>
      <w:proofErr w:type="gramStart"/>
      <w:r>
        <w:rPr>
          <w:sz w:val="22"/>
          <w:szCs w:val="22"/>
        </w:rPr>
        <w:t>are based</w:t>
      </w:r>
      <w:proofErr w:type="gramEnd"/>
      <w:r>
        <w:rPr>
          <w:sz w:val="22"/>
          <w:szCs w:val="22"/>
        </w:rPr>
        <w:t xml:space="preserve"> on previous administrations of the NAWS.  Survey background information is available </w:t>
      </w:r>
      <w:proofErr w:type="gramStart"/>
      <w:r>
        <w:rPr>
          <w:sz w:val="22"/>
          <w:szCs w:val="22"/>
        </w:rPr>
        <w:t>at:</w:t>
      </w:r>
      <w:proofErr w:type="gramEnd"/>
      <w:r>
        <w:rPr>
          <w:sz w:val="22"/>
          <w:szCs w:val="22"/>
        </w:rPr>
        <w:t xml:space="preserve">  </w:t>
      </w:r>
      <w:hyperlink r:id="rId10" w:history="1">
        <w:r w:rsidRPr="00394243">
          <w:rPr>
            <w:rStyle w:val="Hyperlink"/>
            <w:sz w:val="22"/>
            <w:szCs w:val="22"/>
          </w:rPr>
          <w:t>http://www.doleta.gov/agworker/naws.cfm</w:t>
        </w:r>
      </w:hyperlink>
    </w:p>
    <w:p w:rsidR="007742A6" w:rsidRDefault="007742A6" w:rsidP="00806AAF">
      <w:pPr>
        <w:pStyle w:val="ListBullet"/>
        <w:numPr>
          <w:ilvl w:val="0"/>
          <w:numId w:val="0"/>
        </w:numPr>
      </w:pPr>
    </w:p>
    <w:p w:rsidR="00B550A7" w:rsidRDefault="00B550A7" w:rsidP="00806AAF">
      <w:pPr>
        <w:tabs>
          <w:tab w:val="left" w:pos="360"/>
        </w:tabs>
        <w:autoSpaceDE w:val="0"/>
        <w:autoSpaceDN w:val="0"/>
        <w:adjustRightInd w:val="0"/>
        <w:ind w:left="360" w:hanging="360"/>
      </w:pPr>
      <w:r>
        <w:rPr>
          <w:b/>
        </w:rPr>
        <w:t>13.</w:t>
      </w:r>
      <w:r w:rsidR="00A51A85">
        <w:rPr>
          <w:b/>
        </w:rPr>
        <w:tab/>
      </w:r>
      <w:r w:rsidR="00431C90" w:rsidRPr="00431C90">
        <w:rPr>
          <w:b/>
        </w:rPr>
        <w:t xml:space="preserve">Provide </w:t>
      </w:r>
      <w:r w:rsidR="00431C90" w:rsidRPr="003041B8">
        <w:rPr>
          <w:rFonts w:cs="Arial"/>
          <w:b/>
          <w:szCs w:val="20"/>
        </w:rPr>
        <w:t>an</w:t>
      </w:r>
      <w:r w:rsidR="00431C90" w:rsidRPr="00431C90">
        <w:rPr>
          <w:b/>
        </w:rPr>
        <w:t xml:space="preserve"> estimate for the total annual cost burden to respondents or record keepers resulting from the collection of information.</w:t>
      </w:r>
      <w:r w:rsidR="00431C90" w:rsidRPr="00CE3C52">
        <w:t xml:space="preserve"> </w:t>
      </w:r>
    </w:p>
    <w:p w:rsidR="00B550A7" w:rsidRDefault="00B550A7" w:rsidP="00F05970">
      <w:pPr>
        <w:tabs>
          <w:tab w:val="left" w:pos="0"/>
          <w:tab w:val="left" w:pos="703"/>
          <w:tab w:val="right" w:pos="9229"/>
          <w:tab w:val="left" w:pos="9360"/>
        </w:tabs>
      </w:pPr>
    </w:p>
    <w:p w:rsidR="00B550A7" w:rsidRDefault="00B550A7" w:rsidP="00806AAF">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ETA associates no burden with this information collection beyond the value of respondents’ time.</w:t>
      </w:r>
    </w:p>
    <w:p w:rsidR="00B550A7" w:rsidRDefault="00B550A7" w:rsidP="00F05970">
      <w:pPr>
        <w:tabs>
          <w:tab w:val="left" w:pos="0"/>
          <w:tab w:val="left" w:pos="703"/>
          <w:tab w:val="right" w:pos="9229"/>
          <w:tab w:val="left" w:pos="9360"/>
        </w:tabs>
      </w:pPr>
    </w:p>
    <w:p w:rsidR="00B550A7" w:rsidRPr="00806AAF" w:rsidRDefault="00B550A7" w:rsidP="00806AAF">
      <w:pPr>
        <w:tabs>
          <w:tab w:val="left" w:pos="360"/>
        </w:tabs>
        <w:autoSpaceDE w:val="0"/>
        <w:autoSpaceDN w:val="0"/>
        <w:adjustRightInd w:val="0"/>
        <w:ind w:left="360" w:hanging="360"/>
        <w:rPr>
          <w:b/>
        </w:rPr>
      </w:pPr>
      <w:r w:rsidRPr="006923E6">
        <w:rPr>
          <w:b/>
        </w:rPr>
        <w:t>14.</w:t>
      </w:r>
      <w:r w:rsidR="00A51A85" w:rsidRPr="006923E6">
        <w:rPr>
          <w:b/>
        </w:rPr>
        <w:tab/>
      </w:r>
      <w:r w:rsidR="00431C90" w:rsidRPr="00806AAF">
        <w:rPr>
          <w:b/>
        </w:rPr>
        <w:t xml:space="preserve">Provide estimates of annualized cost to the Federal government; provide a description of the method used to estimate </w:t>
      </w:r>
      <w:proofErr w:type="gramStart"/>
      <w:r w:rsidR="00431C90" w:rsidRPr="00806AAF">
        <w:rPr>
          <w:b/>
        </w:rPr>
        <w:t>cost which</w:t>
      </w:r>
      <w:proofErr w:type="gramEnd"/>
      <w:r w:rsidR="00431C90" w:rsidRPr="00806AAF">
        <w:rPr>
          <w:b/>
        </w:rPr>
        <w:t xml:space="preserve"> should include quantification of hours, operational expenses, and any other expense that would not have been incurred without this collection of information. </w:t>
      </w:r>
    </w:p>
    <w:p w:rsidR="00B550A7" w:rsidRDefault="00B550A7" w:rsidP="00F05970">
      <w:pPr>
        <w:tabs>
          <w:tab w:val="left" w:pos="0"/>
          <w:tab w:val="left" w:pos="703"/>
          <w:tab w:val="right" w:pos="9229"/>
          <w:tab w:val="left" w:pos="9360"/>
        </w:tabs>
      </w:pPr>
    </w:p>
    <w:p w:rsidR="00B550A7" w:rsidRDefault="00B550A7" w:rsidP="00806AAF">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estimated total survey </w:t>
      </w:r>
      <w:r w:rsidRPr="00F31545">
        <w:t xml:space="preserve">cost for FY </w:t>
      </w:r>
      <w:r w:rsidR="00C87867" w:rsidRPr="00F31545">
        <w:t>201</w:t>
      </w:r>
      <w:r w:rsidR="00C87867">
        <w:t>6</w:t>
      </w:r>
      <w:r w:rsidR="00C87867" w:rsidRPr="00F31545">
        <w:t xml:space="preserve"> </w:t>
      </w:r>
      <w:r w:rsidRPr="00F31545">
        <w:t xml:space="preserve">is </w:t>
      </w:r>
      <w:r w:rsidR="0006742E" w:rsidRPr="00B914C6">
        <w:t>$</w:t>
      </w:r>
      <w:r w:rsidR="00FA0BD1">
        <w:t>5,351,374</w:t>
      </w:r>
      <w:r w:rsidR="008B7EF5">
        <w:t>.</w:t>
      </w:r>
      <w:r w:rsidRPr="00F31545">
        <w:t xml:space="preserve">  This</w:t>
      </w:r>
      <w:r>
        <w:t xml:space="preserve"> includes the cost of the contract and ETA employee time ($12</w:t>
      </w:r>
      <w:r w:rsidR="003A7DF6">
        <w:t>2</w:t>
      </w:r>
      <w:r>
        <w:t>,</w:t>
      </w:r>
      <w:r w:rsidR="003A7DF6">
        <w:t>350</w:t>
      </w:r>
      <w:r>
        <w:t>).  The contract costs include sampling, questionnaire design and testing, data collection, and report and public data set preparation.</w:t>
      </w:r>
    </w:p>
    <w:p w:rsidR="00FA0BD1" w:rsidRDefault="00FA0BD1" w:rsidP="00806AAF">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FA0BD1" w:rsidRPr="00127E83" w:rsidRDefault="00FA0BD1" w:rsidP="00FA0BD1">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roofErr w:type="gramStart"/>
      <w:r w:rsidRPr="00127E83">
        <w:rPr>
          <w:b/>
        </w:rPr>
        <w:t xml:space="preserve">Table </w:t>
      </w:r>
      <w:r w:rsidR="00CA4F35">
        <w:rPr>
          <w:b/>
        </w:rPr>
        <w:t>3</w:t>
      </w:r>
      <w:r w:rsidRPr="00127E83">
        <w:rPr>
          <w:b/>
        </w:rPr>
        <w:t>.</w:t>
      </w:r>
      <w:proofErr w:type="gramEnd"/>
      <w:r w:rsidRPr="00127E83">
        <w:rPr>
          <w:b/>
        </w:rPr>
        <w:t xml:space="preserve">  Estimated Total Survey Costs for FY 2016</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1170"/>
        <w:gridCol w:w="1350"/>
      </w:tblGrid>
      <w:tr w:rsidR="00FA0BD1" w:rsidTr="00FB4547">
        <w:tc>
          <w:tcPr>
            <w:tcW w:w="4410" w:type="dxa"/>
            <w:tcBorders>
              <w:bottom w:val="double" w:sz="4" w:space="0" w:color="auto"/>
            </w:tcBorders>
            <w:shd w:val="clear" w:color="auto" w:fill="auto"/>
          </w:tcPr>
          <w:p w:rsidR="00FA0BD1" w:rsidRPr="00FB4547"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B4547">
              <w:rPr>
                <w:b/>
              </w:rPr>
              <w:t>Category</w:t>
            </w:r>
          </w:p>
        </w:tc>
        <w:tc>
          <w:tcPr>
            <w:tcW w:w="1170" w:type="dxa"/>
            <w:tcBorders>
              <w:bottom w:val="double" w:sz="4" w:space="0" w:color="auto"/>
            </w:tcBorders>
            <w:shd w:val="clear" w:color="auto" w:fill="auto"/>
          </w:tcPr>
          <w:p w:rsidR="00FA0BD1" w:rsidRPr="00FB4547"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B4547">
              <w:rPr>
                <w:b/>
              </w:rPr>
              <w:t>Hours</w:t>
            </w:r>
          </w:p>
        </w:tc>
        <w:tc>
          <w:tcPr>
            <w:tcW w:w="1350" w:type="dxa"/>
            <w:tcBorders>
              <w:bottom w:val="double" w:sz="4" w:space="0" w:color="auto"/>
            </w:tcBorders>
            <w:shd w:val="clear" w:color="auto" w:fill="auto"/>
          </w:tcPr>
          <w:p w:rsidR="00FA0BD1" w:rsidRPr="00FB4547"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B4547">
              <w:rPr>
                <w:b/>
              </w:rPr>
              <w:t>Cost</w:t>
            </w:r>
          </w:p>
        </w:tc>
      </w:tr>
      <w:tr w:rsidR="00FA0BD1" w:rsidTr="00FB4547">
        <w:tc>
          <w:tcPr>
            <w:tcW w:w="4410" w:type="dxa"/>
            <w:tcBorders>
              <w:top w:val="double" w:sz="4" w:space="0" w:color="auto"/>
            </w:tcBorders>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Sampling</w:t>
            </w:r>
          </w:p>
        </w:tc>
        <w:tc>
          <w:tcPr>
            <w:tcW w:w="1170" w:type="dxa"/>
            <w:tcBorders>
              <w:top w:val="double" w:sz="4" w:space="0" w:color="auto"/>
            </w:tcBorders>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4,506</w:t>
            </w:r>
          </w:p>
        </w:tc>
        <w:tc>
          <w:tcPr>
            <w:tcW w:w="1350" w:type="dxa"/>
            <w:tcBorders>
              <w:top w:val="double" w:sz="4" w:space="0" w:color="auto"/>
            </w:tcBorders>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$516,411</w:t>
            </w:r>
          </w:p>
        </w:tc>
      </w:tr>
      <w:tr w:rsidR="00FA0BD1" w:rsidTr="00FB4547">
        <w:tc>
          <w:tcPr>
            <w:tcW w:w="4410" w:type="dxa"/>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Questionnaire Design and Testing</w:t>
            </w:r>
          </w:p>
        </w:tc>
        <w:tc>
          <w:tcPr>
            <w:tcW w:w="1170" w:type="dxa"/>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1,112</w:t>
            </w:r>
          </w:p>
        </w:tc>
        <w:tc>
          <w:tcPr>
            <w:tcW w:w="1350" w:type="dxa"/>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$164,741</w:t>
            </w:r>
          </w:p>
        </w:tc>
      </w:tr>
      <w:tr w:rsidR="00FA0BD1" w:rsidTr="00FB4547">
        <w:tc>
          <w:tcPr>
            <w:tcW w:w="4410" w:type="dxa"/>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Data Collection and Data Set Preparation</w:t>
            </w:r>
          </w:p>
        </w:tc>
        <w:tc>
          <w:tcPr>
            <w:tcW w:w="1170" w:type="dxa"/>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51,926</w:t>
            </w:r>
          </w:p>
        </w:tc>
        <w:tc>
          <w:tcPr>
            <w:tcW w:w="1350" w:type="dxa"/>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$3,907,119</w:t>
            </w:r>
          </w:p>
        </w:tc>
      </w:tr>
      <w:tr w:rsidR="00FA0BD1" w:rsidTr="00FB4547">
        <w:tc>
          <w:tcPr>
            <w:tcW w:w="4410" w:type="dxa"/>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Reports and Analyses</w:t>
            </w:r>
          </w:p>
        </w:tc>
        <w:tc>
          <w:tcPr>
            <w:tcW w:w="1170" w:type="dxa"/>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6,508</w:t>
            </w:r>
          </w:p>
        </w:tc>
        <w:tc>
          <w:tcPr>
            <w:tcW w:w="1350" w:type="dxa"/>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$640,753</w:t>
            </w:r>
          </w:p>
        </w:tc>
      </w:tr>
      <w:tr w:rsidR="00FA0BD1" w:rsidTr="00FB4547">
        <w:tc>
          <w:tcPr>
            <w:tcW w:w="4410" w:type="dxa"/>
            <w:tcBorders>
              <w:bottom w:val="double" w:sz="4" w:space="0" w:color="auto"/>
            </w:tcBorders>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ETA Employee Time</w:t>
            </w:r>
          </w:p>
        </w:tc>
        <w:tc>
          <w:tcPr>
            <w:tcW w:w="1170" w:type="dxa"/>
            <w:tcBorders>
              <w:bottom w:val="double" w:sz="4" w:space="0" w:color="auto"/>
            </w:tcBorders>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1,878</w:t>
            </w:r>
          </w:p>
        </w:tc>
        <w:tc>
          <w:tcPr>
            <w:tcW w:w="1350" w:type="dxa"/>
            <w:tcBorders>
              <w:bottom w:val="double" w:sz="4" w:space="0" w:color="auto"/>
            </w:tcBorders>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$122,350</w:t>
            </w:r>
          </w:p>
        </w:tc>
      </w:tr>
      <w:tr w:rsidR="00FA0BD1" w:rsidTr="00FB4547">
        <w:tc>
          <w:tcPr>
            <w:tcW w:w="4410" w:type="dxa"/>
            <w:tcBorders>
              <w:top w:val="double" w:sz="4" w:space="0" w:color="auto"/>
            </w:tcBorders>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w:t>
            </w:r>
          </w:p>
        </w:tc>
        <w:tc>
          <w:tcPr>
            <w:tcW w:w="1170" w:type="dxa"/>
            <w:tcBorders>
              <w:top w:val="double" w:sz="4" w:space="0" w:color="auto"/>
            </w:tcBorders>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65,930</w:t>
            </w:r>
          </w:p>
        </w:tc>
        <w:tc>
          <w:tcPr>
            <w:tcW w:w="1350" w:type="dxa"/>
            <w:tcBorders>
              <w:top w:val="double" w:sz="4" w:space="0" w:color="auto"/>
            </w:tcBorders>
            <w:shd w:val="clear" w:color="auto" w:fill="auto"/>
          </w:tcPr>
          <w:p w:rsidR="00FA0BD1" w:rsidRDefault="00FA0BD1" w:rsidP="00FB4547">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$5,351,374</w:t>
            </w:r>
          </w:p>
        </w:tc>
      </w:tr>
    </w:tbl>
    <w:p w:rsidR="00FA0BD1" w:rsidRDefault="00FA0BD1" w:rsidP="00FA0BD1">
      <w:pPr>
        <w:tabs>
          <w:tab w:val="left" w:pos="360"/>
        </w:tabs>
        <w:autoSpaceDE w:val="0"/>
        <w:autoSpaceDN w:val="0"/>
        <w:adjustRightInd w:val="0"/>
      </w:pPr>
      <w:r>
        <w:tab/>
        <w:t xml:space="preserve">Source:  Contract costs </w:t>
      </w:r>
      <w:proofErr w:type="gramStart"/>
      <w:r>
        <w:t>are based</w:t>
      </w:r>
      <w:proofErr w:type="gramEnd"/>
      <w:r>
        <w:t xml:space="preserve"> on internal ETA contract budget files.</w:t>
      </w:r>
    </w:p>
    <w:p w:rsidR="002B31E8" w:rsidRDefault="002B31E8" w:rsidP="009D00C2">
      <w:pPr>
        <w:tabs>
          <w:tab w:val="left" w:pos="360"/>
        </w:tabs>
        <w:autoSpaceDE w:val="0"/>
        <w:autoSpaceDN w:val="0"/>
        <w:adjustRightInd w:val="0"/>
        <w:ind w:left="360" w:hanging="360"/>
        <w:rPr>
          <w:b/>
        </w:rPr>
      </w:pPr>
    </w:p>
    <w:p w:rsidR="00B550A7" w:rsidRDefault="00B550A7" w:rsidP="009D00C2">
      <w:pPr>
        <w:tabs>
          <w:tab w:val="left" w:pos="360"/>
        </w:tabs>
        <w:autoSpaceDE w:val="0"/>
        <w:autoSpaceDN w:val="0"/>
        <w:adjustRightInd w:val="0"/>
        <w:ind w:left="360" w:hanging="360"/>
        <w:rPr>
          <w:b/>
        </w:rPr>
      </w:pPr>
      <w:r>
        <w:rPr>
          <w:b/>
        </w:rPr>
        <w:t>15.</w:t>
      </w:r>
      <w:r w:rsidR="00A51A85">
        <w:rPr>
          <w:b/>
        </w:rPr>
        <w:tab/>
      </w:r>
      <w:r w:rsidR="00431C90" w:rsidRPr="00431C90">
        <w:rPr>
          <w:b/>
        </w:rPr>
        <w:t>Explain the reasons for any program changes or adjustments reported on the burden worksheet.</w:t>
      </w:r>
      <w:r w:rsidR="00431C90">
        <w:t xml:space="preserve"> </w:t>
      </w:r>
    </w:p>
    <w:p w:rsidR="00B550A7" w:rsidRDefault="00B550A7" w:rsidP="00F05970">
      <w:pPr>
        <w:tabs>
          <w:tab w:val="left" w:pos="0"/>
          <w:tab w:val="left" w:pos="703"/>
          <w:tab w:val="right" w:pos="9229"/>
          <w:tab w:val="left" w:pos="9360"/>
        </w:tabs>
      </w:pPr>
    </w:p>
    <w:p w:rsidR="00D44F76" w:rsidRDefault="006F5FF3" w:rsidP="006F5FF3">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ab/>
      </w:r>
      <w:r w:rsidR="00B3652E">
        <w:t>Ther</w:t>
      </w:r>
      <w:r w:rsidR="00F56A50">
        <w:t xml:space="preserve">e </w:t>
      </w:r>
      <w:r w:rsidR="00B325E3">
        <w:t>will be a</w:t>
      </w:r>
      <w:r w:rsidR="00F23306">
        <w:t>n</w:t>
      </w:r>
      <w:r w:rsidR="00B325E3">
        <w:t xml:space="preserve"> </w:t>
      </w:r>
      <w:r w:rsidR="00F23306">
        <w:t>in</w:t>
      </w:r>
      <w:r w:rsidR="00B325E3">
        <w:t xml:space="preserve">crease of </w:t>
      </w:r>
      <w:r w:rsidR="00FA0BD1">
        <w:t xml:space="preserve">528 </w:t>
      </w:r>
      <w:r w:rsidR="00F56A50">
        <w:t xml:space="preserve">burden hours (see Table </w:t>
      </w:r>
      <w:r w:rsidR="003B19B2">
        <w:t xml:space="preserve">4 </w:t>
      </w:r>
      <w:r w:rsidR="00F56A50">
        <w:t>below)</w:t>
      </w:r>
      <w:r w:rsidR="000C7473">
        <w:t xml:space="preserve">, most of which is </w:t>
      </w:r>
      <w:r w:rsidR="00F23306">
        <w:t xml:space="preserve">associated with </w:t>
      </w:r>
      <w:r w:rsidR="000C7473">
        <w:t xml:space="preserve">changes to farm worker and </w:t>
      </w:r>
      <w:r w:rsidR="00F23306">
        <w:t>employer sample size.</w:t>
      </w:r>
      <w:r w:rsidR="00F56A50">
        <w:t xml:space="preserve">  </w:t>
      </w:r>
      <w:r w:rsidR="00F23306">
        <w:t xml:space="preserve">The </w:t>
      </w:r>
      <w:r w:rsidR="000C7473">
        <w:t>increase of 369 farm worker respondents</w:t>
      </w:r>
      <w:r w:rsidR="003D25C4">
        <w:t xml:space="preserve">, which results in an increase of 369 hours, </w:t>
      </w:r>
      <w:r w:rsidR="00F23306">
        <w:t xml:space="preserve">is necessary for </w:t>
      </w:r>
      <w:r w:rsidR="000C7473">
        <w:t>reporting point estimates on key demographic and employment characteristics at the desired level of precision, taking into account the survey’s statistical design.</w:t>
      </w:r>
    </w:p>
    <w:p w:rsidR="00D44F76" w:rsidRDefault="00D44F76" w:rsidP="001F55D2">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44F76" w:rsidRDefault="00D44F76" w:rsidP="00D44F76">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ab/>
        <w:t xml:space="preserve">With the overall increase in farm worker respondents, it is estimated that 74 additional farm worker parents will answer the questions on </w:t>
      </w:r>
      <w:proofErr w:type="gramStart"/>
      <w:r>
        <w:t>child care</w:t>
      </w:r>
      <w:proofErr w:type="gramEnd"/>
      <w:r>
        <w:t xml:space="preserve">, resulting in an increase of 7 hours.  </w:t>
      </w:r>
      <w:proofErr w:type="gramStart"/>
      <w:r>
        <w:t>Although the proposed questions on education and training, digital literacy, labor camp residence, GAD, health history, and quality and access to health care will require an additional nine minutes per respondent, this burden will be offset by the same amount with the deletion of the EPA seven-item supplement, the deletion of 17 other questions from the primary questionnaire, and the stem and/or response category modifications to six questions.</w:t>
      </w:r>
      <w:proofErr w:type="gramEnd"/>
      <w:r>
        <w:t xml:space="preserve">  </w:t>
      </w:r>
    </w:p>
    <w:p w:rsidR="00D44F76" w:rsidRDefault="00D44F76" w:rsidP="00D44F76">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rsidR="00D44F76" w:rsidRDefault="00D44F76" w:rsidP="00D44F76">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ab/>
        <w:t xml:space="preserve">Although there is an increase of 524 eligible employers (from 938 to 1,462), there is an associated decrease of 21 burden hours.  The decrease obtains because NAWS interviewers have become more efficient explaining the purpose of the survey and responding to employer’s questions, and now spend approximately 12 minutes, on average, with eligible employers, rather than 20 minutes.  There is an increase of 199 hours associated with contacts with ineligible employers.  The burden hours associated with this group </w:t>
      </w:r>
      <w:proofErr w:type="gramStart"/>
      <w:r>
        <w:t>were not previously estimated</w:t>
      </w:r>
      <w:proofErr w:type="gramEnd"/>
      <w:r>
        <w:t>.</w:t>
      </w:r>
    </w:p>
    <w:p w:rsidR="00D44F76" w:rsidRDefault="00D44F76" w:rsidP="008B7EF5">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50A7" w:rsidRDefault="00D44F76" w:rsidP="006F5FF3">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ab/>
      </w:r>
      <w:r w:rsidR="00E4358F">
        <w:t xml:space="preserve">With the temporary discontinuation of the NIOSH-sponsored injury and musculoskeletal questions, which will result in a decrease of 26 hours, there will be a net addition of </w:t>
      </w:r>
      <w:r>
        <w:t xml:space="preserve">528 </w:t>
      </w:r>
      <w:r w:rsidR="00E4358F">
        <w:t>burden hours.</w:t>
      </w:r>
    </w:p>
    <w:p w:rsidR="002B31E8" w:rsidRDefault="008B7EF5" w:rsidP="00F05970">
      <w:pPr>
        <w:tabs>
          <w:tab w:val="left" w:pos="0"/>
          <w:tab w:val="left" w:pos="703"/>
          <w:tab w:val="right" w:pos="9229"/>
          <w:tab w:val="left" w:pos="9360"/>
        </w:tabs>
      </w:pPr>
      <w:r>
        <w:br w:type="page"/>
      </w:r>
    </w:p>
    <w:p w:rsidR="009B5018" w:rsidRDefault="009B5018" w:rsidP="009B5018">
      <w:pPr>
        <w:tabs>
          <w:tab w:val="left" w:pos="360"/>
          <w:tab w:val="left" w:pos="703"/>
          <w:tab w:val="right" w:pos="9229"/>
          <w:tab w:val="left" w:pos="9360"/>
        </w:tabs>
        <w:ind w:left="360"/>
      </w:pPr>
      <w:proofErr w:type="gramStart"/>
      <w:r>
        <w:rPr>
          <w:b/>
        </w:rPr>
        <w:t xml:space="preserve">Table </w:t>
      </w:r>
      <w:r w:rsidR="00CA4F35">
        <w:rPr>
          <w:b/>
        </w:rPr>
        <w:t>4</w:t>
      </w:r>
      <w:r>
        <w:rPr>
          <w:b/>
        </w:rPr>
        <w:t>.</w:t>
      </w:r>
      <w:proofErr w:type="gramEnd"/>
      <w:r>
        <w:rPr>
          <w:b/>
        </w:rPr>
        <w:t xml:space="preserve"> Change in Burden Hours Associated with the FY 2016 NAWS</w:t>
      </w:r>
    </w:p>
    <w:tbl>
      <w:tblPr>
        <w:tblW w:w="9108" w:type="dxa"/>
        <w:tblInd w:w="468" w:type="dxa"/>
        <w:tblLayout w:type="fixed"/>
        <w:tblLook w:val="04A0" w:firstRow="1" w:lastRow="0" w:firstColumn="1" w:lastColumn="0" w:noHBand="0" w:noVBand="1"/>
      </w:tblPr>
      <w:tblGrid>
        <w:gridCol w:w="1890"/>
        <w:gridCol w:w="1170"/>
        <w:gridCol w:w="720"/>
        <w:gridCol w:w="990"/>
        <w:gridCol w:w="810"/>
        <w:gridCol w:w="1260"/>
        <w:gridCol w:w="1051"/>
        <w:gridCol w:w="1217"/>
      </w:tblGrid>
      <w:tr w:rsidR="009B5018" w:rsidTr="00FB4547">
        <w:trPr>
          <w:trHeight w:val="900"/>
        </w:trPr>
        <w:tc>
          <w:tcPr>
            <w:tcW w:w="1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B5018" w:rsidRDefault="009B5018" w:rsidP="00FB4547">
            <w:pPr>
              <w:jc w:val="center"/>
              <w:rPr>
                <w:color w:val="000000"/>
              </w:rPr>
            </w:pPr>
            <w:r>
              <w:rPr>
                <w:color w:val="000000"/>
              </w:rPr>
              <w:t>Respondent Type</w:t>
            </w:r>
          </w:p>
        </w:tc>
        <w:tc>
          <w:tcPr>
            <w:tcW w:w="1890" w:type="dxa"/>
            <w:gridSpan w:val="2"/>
            <w:tcBorders>
              <w:top w:val="single" w:sz="8" w:space="0" w:color="auto"/>
              <w:left w:val="nil"/>
              <w:bottom w:val="double" w:sz="6" w:space="0" w:color="auto"/>
              <w:right w:val="single" w:sz="8" w:space="0" w:color="000000"/>
            </w:tcBorders>
            <w:shd w:val="clear" w:color="auto" w:fill="auto"/>
            <w:vAlign w:val="center"/>
            <w:hideMark/>
          </w:tcPr>
          <w:p w:rsidR="009B5018" w:rsidRDefault="009B5018" w:rsidP="00FB4547">
            <w:pPr>
              <w:jc w:val="center"/>
              <w:rPr>
                <w:color w:val="000000"/>
                <w:sz w:val="22"/>
                <w:szCs w:val="22"/>
              </w:rPr>
            </w:pPr>
            <w:r>
              <w:rPr>
                <w:color w:val="000000"/>
                <w:sz w:val="22"/>
                <w:szCs w:val="22"/>
              </w:rPr>
              <w:t>Respondents per Year</w:t>
            </w:r>
          </w:p>
        </w:tc>
        <w:tc>
          <w:tcPr>
            <w:tcW w:w="1800" w:type="dxa"/>
            <w:gridSpan w:val="2"/>
            <w:tcBorders>
              <w:top w:val="single" w:sz="8" w:space="0" w:color="auto"/>
              <w:left w:val="nil"/>
              <w:bottom w:val="double" w:sz="6" w:space="0" w:color="auto"/>
              <w:right w:val="single" w:sz="8" w:space="0" w:color="000000"/>
            </w:tcBorders>
            <w:shd w:val="clear" w:color="auto" w:fill="auto"/>
            <w:vAlign w:val="center"/>
            <w:hideMark/>
          </w:tcPr>
          <w:p w:rsidR="009B5018" w:rsidRDefault="009B5018" w:rsidP="00FB4547">
            <w:pPr>
              <w:jc w:val="center"/>
              <w:rPr>
                <w:color w:val="000000"/>
                <w:sz w:val="22"/>
                <w:szCs w:val="22"/>
              </w:rPr>
            </w:pPr>
            <w:r>
              <w:rPr>
                <w:color w:val="000000"/>
                <w:sz w:val="22"/>
                <w:szCs w:val="22"/>
              </w:rPr>
              <w:t>Average Time per Respondent (minutes)</w:t>
            </w:r>
          </w:p>
        </w:tc>
        <w:tc>
          <w:tcPr>
            <w:tcW w:w="2311" w:type="dxa"/>
            <w:gridSpan w:val="2"/>
            <w:tcBorders>
              <w:top w:val="single" w:sz="8" w:space="0" w:color="auto"/>
              <w:left w:val="nil"/>
              <w:bottom w:val="double" w:sz="6" w:space="0" w:color="auto"/>
              <w:right w:val="single" w:sz="8" w:space="0" w:color="000000"/>
            </w:tcBorders>
            <w:shd w:val="clear" w:color="auto" w:fill="auto"/>
            <w:vAlign w:val="center"/>
            <w:hideMark/>
          </w:tcPr>
          <w:p w:rsidR="009B5018" w:rsidRDefault="009B5018" w:rsidP="00FB4547">
            <w:pPr>
              <w:jc w:val="center"/>
              <w:rPr>
                <w:color w:val="000000"/>
                <w:sz w:val="22"/>
                <w:szCs w:val="22"/>
              </w:rPr>
            </w:pPr>
            <w:r>
              <w:rPr>
                <w:color w:val="000000"/>
                <w:sz w:val="22"/>
                <w:szCs w:val="22"/>
              </w:rPr>
              <w:t>Total Hours</w:t>
            </w:r>
          </w:p>
        </w:tc>
        <w:tc>
          <w:tcPr>
            <w:tcW w:w="1217" w:type="dxa"/>
            <w:tcBorders>
              <w:top w:val="single" w:sz="8" w:space="0" w:color="auto"/>
              <w:left w:val="nil"/>
              <w:bottom w:val="double" w:sz="6" w:space="0" w:color="auto"/>
              <w:right w:val="single" w:sz="8" w:space="0" w:color="auto"/>
            </w:tcBorders>
            <w:shd w:val="clear" w:color="auto" w:fill="auto"/>
            <w:vAlign w:val="center"/>
            <w:hideMark/>
          </w:tcPr>
          <w:p w:rsidR="009B5018" w:rsidRDefault="009B5018" w:rsidP="00FB4547">
            <w:pPr>
              <w:jc w:val="center"/>
              <w:rPr>
                <w:color w:val="000000"/>
                <w:sz w:val="22"/>
                <w:szCs w:val="22"/>
              </w:rPr>
            </w:pPr>
            <w:r>
              <w:rPr>
                <w:color w:val="000000"/>
                <w:sz w:val="22"/>
                <w:szCs w:val="22"/>
              </w:rPr>
              <w:t>Change</w:t>
            </w:r>
          </w:p>
          <w:p w:rsidR="009B5018" w:rsidRDefault="009B5018" w:rsidP="00FB4547">
            <w:pPr>
              <w:jc w:val="center"/>
              <w:rPr>
                <w:color w:val="000000"/>
                <w:sz w:val="22"/>
                <w:szCs w:val="22"/>
              </w:rPr>
            </w:pPr>
            <w:r>
              <w:rPr>
                <w:color w:val="000000"/>
                <w:sz w:val="22"/>
                <w:szCs w:val="22"/>
              </w:rPr>
              <w:t>(Hours)</w:t>
            </w:r>
          </w:p>
        </w:tc>
      </w:tr>
      <w:tr w:rsidR="009B5018" w:rsidTr="00FB4547">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B5018" w:rsidRDefault="009B5018" w:rsidP="00FB4547">
            <w:pPr>
              <w:rPr>
                <w:color w:val="000000"/>
              </w:rPr>
            </w:pPr>
          </w:p>
        </w:tc>
        <w:tc>
          <w:tcPr>
            <w:tcW w:w="1170" w:type="dxa"/>
            <w:tcBorders>
              <w:top w:val="nil"/>
              <w:left w:val="nil"/>
              <w:bottom w:val="double" w:sz="6" w:space="0" w:color="auto"/>
              <w:right w:val="single" w:sz="8" w:space="0" w:color="auto"/>
            </w:tcBorders>
            <w:shd w:val="clear" w:color="auto" w:fill="auto"/>
            <w:vAlign w:val="center"/>
            <w:hideMark/>
          </w:tcPr>
          <w:p w:rsidR="009B5018" w:rsidRDefault="009B5018" w:rsidP="00FB4547">
            <w:pPr>
              <w:rPr>
                <w:color w:val="000000"/>
                <w:sz w:val="22"/>
                <w:szCs w:val="22"/>
              </w:rPr>
            </w:pPr>
            <w:r>
              <w:rPr>
                <w:color w:val="000000"/>
                <w:sz w:val="22"/>
                <w:szCs w:val="22"/>
              </w:rPr>
              <w:t>Previous</w:t>
            </w:r>
          </w:p>
        </w:tc>
        <w:tc>
          <w:tcPr>
            <w:tcW w:w="720" w:type="dxa"/>
            <w:tcBorders>
              <w:top w:val="nil"/>
              <w:left w:val="nil"/>
              <w:bottom w:val="double" w:sz="6" w:space="0" w:color="auto"/>
              <w:right w:val="single" w:sz="8" w:space="0" w:color="auto"/>
            </w:tcBorders>
            <w:shd w:val="clear" w:color="auto" w:fill="auto"/>
            <w:vAlign w:val="center"/>
            <w:hideMark/>
          </w:tcPr>
          <w:p w:rsidR="009B5018" w:rsidRDefault="009B5018" w:rsidP="00FB4547">
            <w:pPr>
              <w:rPr>
                <w:color w:val="000000"/>
                <w:sz w:val="22"/>
                <w:szCs w:val="22"/>
              </w:rPr>
            </w:pPr>
            <w:r>
              <w:rPr>
                <w:color w:val="000000"/>
                <w:sz w:val="22"/>
                <w:szCs w:val="22"/>
              </w:rPr>
              <w:t>New</w:t>
            </w:r>
          </w:p>
        </w:tc>
        <w:tc>
          <w:tcPr>
            <w:tcW w:w="990" w:type="dxa"/>
            <w:tcBorders>
              <w:top w:val="nil"/>
              <w:left w:val="nil"/>
              <w:bottom w:val="double" w:sz="6" w:space="0" w:color="auto"/>
              <w:right w:val="single" w:sz="8" w:space="0" w:color="auto"/>
            </w:tcBorders>
            <w:shd w:val="clear" w:color="auto" w:fill="auto"/>
            <w:vAlign w:val="center"/>
            <w:hideMark/>
          </w:tcPr>
          <w:p w:rsidR="009B5018" w:rsidRDefault="009B5018" w:rsidP="00FB4547">
            <w:pPr>
              <w:rPr>
                <w:color w:val="000000"/>
                <w:sz w:val="22"/>
                <w:szCs w:val="22"/>
              </w:rPr>
            </w:pPr>
            <w:r>
              <w:rPr>
                <w:color w:val="000000"/>
                <w:sz w:val="22"/>
                <w:szCs w:val="22"/>
              </w:rPr>
              <w:t>Previous</w:t>
            </w:r>
          </w:p>
        </w:tc>
        <w:tc>
          <w:tcPr>
            <w:tcW w:w="810" w:type="dxa"/>
            <w:tcBorders>
              <w:top w:val="nil"/>
              <w:left w:val="nil"/>
              <w:bottom w:val="double" w:sz="6" w:space="0" w:color="auto"/>
              <w:right w:val="single" w:sz="8" w:space="0" w:color="auto"/>
            </w:tcBorders>
            <w:shd w:val="clear" w:color="auto" w:fill="auto"/>
            <w:vAlign w:val="center"/>
            <w:hideMark/>
          </w:tcPr>
          <w:p w:rsidR="009B5018" w:rsidRDefault="009B5018" w:rsidP="00FB4547">
            <w:pPr>
              <w:rPr>
                <w:color w:val="000000"/>
                <w:sz w:val="22"/>
                <w:szCs w:val="22"/>
              </w:rPr>
            </w:pPr>
            <w:r>
              <w:rPr>
                <w:color w:val="000000"/>
                <w:sz w:val="22"/>
                <w:szCs w:val="22"/>
              </w:rPr>
              <w:t>New</w:t>
            </w:r>
          </w:p>
        </w:tc>
        <w:tc>
          <w:tcPr>
            <w:tcW w:w="1260" w:type="dxa"/>
            <w:tcBorders>
              <w:top w:val="nil"/>
              <w:left w:val="nil"/>
              <w:bottom w:val="double" w:sz="6" w:space="0" w:color="auto"/>
              <w:right w:val="single" w:sz="8" w:space="0" w:color="auto"/>
            </w:tcBorders>
            <w:shd w:val="clear" w:color="auto" w:fill="auto"/>
            <w:vAlign w:val="center"/>
            <w:hideMark/>
          </w:tcPr>
          <w:p w:rsidR="009B5018" w:rsidRDefault="009B5018" w:rsidP="00FB4547">
            <w:pPr>
              <w:rPr>
                <w:color w:val="000000"/>
                <w:sz w:val="22"/>
                <w:szCs w:val="22"/>
              </w:rPr>
            </w:pPr>
            <w:r>
              <w:rPr>
                <w:color w:val="000000"/>
                <w:sz w:val="22"/>
                <w:szCs w:val="22"/>
              </w:rPr>
              <w:t>Previous</w:t>
            </w:r>
          </w:p>
        </w:tc>
        <w:tc>
          <w:tcPr>
            <w:tcW w:w="1051" w:type="dxa"/>
            <w:tcBorders>
              <w:top w:val="nil"/>
              <w:left w:val="nil"/>
              <w:bottom w:val="double" w:sz="6" w:space="0" w:color="auto"/>
              <w:right w:val="single" w:sz="8" w:space="0" w:color="auto"/>
            </w:tcBorders>
            <w:shd w:val="clear" w:color="auto" w:fill="auto"/>
            <w:vAlign w:val="center"/>
            <w:hideMark/>
          </w:tcPr>
          <w:p w:rsidR="009B5018" w:rsidRDefault="009B5018" w:rsidP="00FB4547">
            <w:pPr>
              <w:rPr>
                <w:color w:val="000000"/>
                <w:sz w:val="22"/>
                <w:szCs w:val="22"/>
              </w:rPr>
            </w:pPr>
            <w:r>
              <w:rPr>
                <w:color w:val="000000"/>
                <w:sz w:val="22"/>
                <w:szCs w:val="22"/>
              </w:rPr>
              <w:t>New</w:t>
            </w:r>
          </w:p>
        </w:tc>
        <w:tc>
          <w:tcPr>
            <w:tcW w:w="1217" w:type="dxa"/>
            <w:tcBorders>
              <w:top w:val="nil"/>
              <w:left w:val="nil"/>
              <w:bottom w:val="double" w:sz="6" w:space="0" w:color="auto"/>
              <w:right w:val="single" w:sz="8" w:space="0" w:color="auto"/>
            </w:tcBorders>
            <w:shd w:val="clear" w:color="auto" w:fill="auto"/>
            <w:vAlign w:val="center"/>
            <w:hideMark/>
          </w:tcPr>
          <w:p w:rsidR="009B5018" w:rsidRDefault="009B5018" w:rsidP="00FB4547">
            <w:pPr>
              <w:jc w:val="center"/>
              <w:rPr>
                <w:color w:val="000000"/>
                <w:sz w:val="22"/>
                <w:szCs w:val="22"/>
              </w:rPr>
            </w:pPr>
            <w:r>
              <w:rPr>
                <w:color w:val="000000"/>
                <w:sz w:val="22"/>
                <w:szCs w:val="22"/>
              </w:rPr>
              <w:t>FY 2016</w:t>
            </w:r>
          </w:p>
        </w:tc>
      </w:tr>
      <w:tr w:rsidR="009B5018" w:rsidTr="00FB4547">
        <w:trPr>
          <w:trHeight w:val="33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9B5018" w:rsidRDefault="009B5018" w:rsidP="00FB4547">
            <w:pPr>
              <w:rPr>
                <w:color w:val="000000"/>
              </w:rPr>
            </w:pPr>
            <w:r>
              <w:rPr>
                <w:color w:val="000000"/>
              </w:rPr>
              <w:t>Farm Workers</w:t>
            </w:r>
          </w:p>
        </w:tc>
        <w:tc>
          <w:tcPr>
            <w:tcW w:w="1170"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color w:val="000000"/>
                <w:sz w:val="22"/>
                <w:szCs w:val="22"/>
              </w:rPr>
            </w:pPr>
            <w:r w:rsidRPr="00A544E7">
              <w:rPr>
                <w:color w:val="000000"/>
                <w:sz w:val="22"/>
                <w:szCs w:val="22"/>
              </w:rPr>
              <w:t>3,000</w:t>
            </w:r>
          </w:p>
        </w:tc>
        <w:tc>
          <w:tcPr>
            <w:tcW w:w="720"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color w:val="000000"/>
                <w:sz w:val="22"/>
                <w:szCs w:val="22"/>
              </w:rPr>
            </w:pPr>
            <w:r w:rsidRPr="00A544E7">
              <w:rPr>
                <w:color w:val="000000"/>
                <w:sz w:val="22"/>
                <w:szCs w:val="22"/>
              </w:rPr>
              <w:t>3,</w:t>
            </w:r>
            <w:r>
              <w:rPr>
                <w:color w:val="000000"/>
                <w:sz w:val="22"/>
                <w:szCs w:val="22"/>
              </w:rPr>
              <w:t>369</w:t>
            </w:r>
          </w:p>
        </w:tc>
        <w:tc>
          <w:tcPr>
            <w:tcW w:w="990"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color w:val="000000"/>
                <w:sz w:val="22"/>
                <w:szCs w:val="22"/>
              </w:rPr>
            </w:pPr>
            <w:r w:rsidRPr="00A544E7">
              <w:rPr>
                <w:color w:val="000000"/>
                <w:sz w:val="22"/>
                <w:szCs w:val="22"/>
              </w:rPr>
              <w:t>60</w:t>
            </w:r>
          </w:p>
        </w:tc>
        <w:tc>
          <w:tcPr>
            <w:tcW w:w="810"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color w:val="000000"/>
                <w:sz w:val="22"/>
                <w:szCs w:val="22"/>
              </w:rPr>
            </w:pPr>
            <w:r w:rsidRPr="00A544E7">
              <w:rPr>
                <w:color w:val="000000"/>
                <w:sz w:val="22"/>
                <w:szCs w:val="22"/>
              </w:rPr>
              <w:t>60</w:t>
            </w:r>
          </w:p>
        </w:tc>
        <w:tc>
          <w:tcPr>
            <w:tcW w:w="1260"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color w:val="000000"/>
                <w:sz w:val="22"/>
                <w:szCs w:val="22"/>
              </w:rPr>
            </w:pPr>
            <w:r w:rsidRPr="00806AAF">
              <w:rPr>
                <w:color w:val="000000"/>
                <w:sz w:val="22"/>
                <w:szCs w:val="22"/>
              </w:rPr>
              <w:t>3,000</w:t>
            </w:r>
          </w:p>
        </w:tc>
        <w:tc>
          <w:tcPr>
            <w:tcW w:w="1051"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color w:val="000000"/>
                <w:sz w:val="22"/>
                <w:szCs w:val="22"/>
              </w:rPr>
            </w:pPr>
            <w:r w:rsidRPr="00A544E7">
              <w:rPr>
                <w:color w:val="000000"/>
                <w:sz w:val="22"/>
                <w:szCs w:val="22"/>
              </w:rPr>
              <w:t>3,</w:t>
            </w:r>
            <w:r>
              <w:rPr>
                <w:color w:val="000000"/>
                <w:sz w:val="22"/>
                <w:szCs w:val="22"/>
              </w:rPr>
              <w:t>369</w:t>
            </w:r>
          </w:p>
        </w:tc>
        <w:tc>
          <w:tcPr>
            <w:tcW w:w="1217"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color w:val="000000"/>
                <w:sz w:val="22"/>
                <w:szCs w:val="22"/>
              </w:rPr>
            </w:pPr>
            <w:r>
              <w:rPr>
                <w:color w:val="000000"/>
                <w:sz w:val="22"/>
                <w:szCs w:val="22"/>
              </w:rPr>
              <w:t>+ 369</w:t>
            </w:r>
          </w:p>
        </w:tc>
      </w:tr>
      <w:tr w:rsidR="009B5018" w:rsidTr="00FB4547">
        <w:trPr>
          <w:trHeight w:val="960"/>
        </w:trPr>
        <w:tc>
          <w:tcPr>
            <w:tcW w:w="1890" w:type="dxa"/>
            <w:tcBorders>
              <w:top w:val="nil"/>
              <w:left w:val="single" w:sz="8" w:space="0" w:color="auto"/>
              <w:bottom w:val="single" w:sz="8" w:space="0" w:color="auto"/>
              <w:right w:val="single" w:sz="8" w:space="0" w:color="auto"/>
            </w:tcBorders>
            <w:shd w:val="clear" w:color="auto" w:fill="auto"/>
            <w:vAlign w:val="center"/>
          </w:tcPr>
          <w:p w:rsidR="009B5018" w:rsidRDefault="009B5018" w:rsidP="00FB4547">
            <w:pPr>
              <w:rPr>
                <w:color w:val="000000"/>
              </w:rPr>
            </w:pPr>
            <w:r>
              <w:rPr>
                <w:color w:val="000000"/>
              </w:rPr>
              <w:t>Farm Worker Parents with Children Less than Six Years old</w:t>
            </w:r>
          </w:p>
        </w:tc>
        <w:tc>
          <w:tcPr>
            <w:tcW w:w="117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sidRPr="00A544E7">
              <w:rPr>
                <w:color w:val="000000"/>
                <w:sz w:val="22"/>
                <w:szCs w:val="22"/>
              </w:rPr>
              <w:t>600</w:t>
            </w:r>
            <w:r>
              <w:rPr>
                <w:color w:val="000000"/>
              </w:rPr>
              <w:t>*</w:t>
            </w:r>
          </w:p>
        </w:tc>
        <w:tc>
          <w:tcPr>
            <w:tcW w:w="72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sidRPr="00A544E7">
              <w:rPr>
                <w:color w:val="000000"/>
                <w:sz w:val="22"/>
                <w:szCs w:val="22"/>
              </w:rPr>
              <w:t>6</w:t>
            </w:r>
            <w:r>
              <w:rPr>
                <w:color w:val="000000"/>
                <w:sz w:val="22"/>
                <w:szCs w:val="22"/>
              </w:rPr>
              <w:t>74</w:t>
            </w:r>
            <w:r>
              <w:rPr>
                <w:color w:val="000000"/>
              </w:rPr>
              <w:t>*</w:t>
            </w:r>
          </w:p>
        </w:tc>
        <w:tc>
          <w:tcPr>
            <w:tcW w:w="99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sidRPr="00A544E7">
              <w:rPr>
                <w:color w:val="000000"/>
                <w:sz w:val="22"/>
                <w:szCs w:val="22"/>
              </w:rPr>
              <w:t>6</w:t>
            </w:r>
          </w:p>
        </w:tc>
        <w:tc>
          <w:tcPr>
            <w:tcW w:w="81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sidRPr="00A544E7">
              <w:rPr>
                <w:color w:val="000000"/>
                <w:sz w:val="22"/>
                <w:szCs w:val="22"/>
              </w:rPr>
              <w:t>6</w:t>
            </w:r>
          </w:p>
        </w:tc>
        <w:tc>
          <w:tcPr>
            <w:tcW w:w="126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sidRPr="00A544E7">
              <w:rPr>
                <w:color w:val="000000"/>
                <w:sz w:val="22"/>
                <w:szCs w:val="22"/>
              </w:rPr>
              <w:t>60</w:t>
            </w:r>
          </w:p>
        </w:tc>
        <w:tc>
          <w:tcPr>
            <w:tcW w:w="1051"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sidRPr="00A544E7">
              <w:rPr>
                <w:color w:val="000000"/>
                <w:sz w:val="22"/>
                <w:szCs w:val="22"/>
              </w:rPr>
              <w:t>6</w:t>
            </w:r>
            <w:r>
              <w:rPr>
                <w:color w:val="000000"/>
                <w:sz w:val="22"/>
                <w:szCs w:val="22"/>
              </w:rPr>
              <w:t>7</w:t>
            </w:r>
          </w:p>
        </w:tc>
        <w:tc>
          <w:tcPr>
            <w:tcW w:w="1217" w:type="dxa"/>
            <w:tcBorders>
              <w:top w:val="nil"/>
              <w:left w:val="nil"/>
              <w:bottom w:val="single" w:sz="8" w:space="0" w:color="auto"/>
              <w:right w:val="single" w:sz="8" w:space="0" w:color="auto"/>
            </w:tcBorders>
            <w:shd w:val="clear" w:color="auto" w:fill="auto"/>
            <w:vAlign w:val="center"/>
          </w:tcPr>
          <w:p w:rsidR="009B5018" w:rsidRPr="00A544E7" w:rsidDel="003758F2" w:rsidRDefault="009B5018" w:rsidP="00FB4547">
            <w:pPr>
              <w:jc w:val="center"/>
              <w:rPr>
                <w:color w:val="000000"/>
                <w:sz w:val="22"/>
                <w:szCs w:val="22"/>
              </w:rPr>
            </w:pPr>
            <w:r>
              <w:rPr>
                <w:color w:val="000000"/>
                <w:sz w:val="22"/>
                <w:szCs w:val="22"/>
              </w:rPr>
              <w:t>+7</w:t>
            </w:r>
          </w:p>
        </w:tc>
      </w:tr>
      <w:tr w:rsidR="009B5018" w:rsidTr="00FB4547">
        <w:trPr>
          <w:trHeight w:val="960"/>
        </w:trPr>
        <w:tc>
          <w:tcPr>
            <w:tcW w:w="1890" w:type="dxa"/>
            <w:tcBorders>
              <w:top w:val="nil"/>
              <w:left w:val="single" w:sz="8" w:space="0" w:color="auto"/>
              <w:bottom w:val="single" w:sz="8" w:space="0" w:color="auto"/>
              <w:right w:val="single" w:sz="8" w:space="0" w:color="auto"/>
            </w:tcBorders>
            <w:shd w:val="clear" w:color="auto" w:fill="auto"/>
            <w:vAlign w:val="center"/>
          </w:tcPr>
          <w:p w:rsidR="009B5018" w:rsidRDefault="009B5018" w:rsidP="00FB4547">
            <w:pPr>
              <w:rPr>
                <w:color w:val="000000"/>
              </w:rPr>
            </w:pPr>
            <w:r>
              <w:rPr>
                <w:color w:val="000000"/>
              </w:rPr>
              <w:t>Farm Workers with a Qualifying Injury</w:t>
            </w:r>
          </w:p>
        </w:tc>
        <w:tc>
          <w:tcPr>
            <w:tcW w:w="117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sidRPr="00A544E7">
              <w:rPr>
                <w:color w:val="000000"/>
                <w:sz w:val="22"/>
                <w:szCs w:val="22"/>
              </w:rPr>
              <w:t>106</w:t>
            </w:r>
            <w:r>
              <w:rPr>
                <w:color w:val="000000"/>
              </w:rPr>
              <w:t>*</w:t>
            </w:r>
          </w:p>
        </w:tc>
        <w:tc>
          <w:tcPr>
            <w:tcW w:w="72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Pr>
                <w:color w:val="000000"/>
                <w:sz w:val="22"/>
                <w:szCs w:val="22"/>
              </w:rPr>
              <w:t>0</w:t>
            </w:r>
            <w:r>
              <w:rPr>
                <w:color w:val="000000"/>
              </w:rPr>
              <w:t>*</w:t>
            </w:r>
          </w:p>
        </w:tc>
        <w:tc>
          <w:tcPr>
            <w:tcW w:w="99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sidRPr="00A544E7">
              <w:rPr>
                <w:color w:val="000000"/>
                <w:sz w:val="22"/>
                <w:szCs w:val="22"/>
              </w:rPr>
              <w:t>10</w:t>
            </w:r>
          </w:p>
        </w:tc>
        <w:tc>
          <w:tcPr>
            <w:tcW w:w="81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Pr>
                <w:color w:val="000000"/>
                <w:sz w:val="22"/>
                <w:szCs w:val="22"/>
              </w:rPr>
              <w:t>0</w:t>
            </w:r>
          </w:p>
        </w:tc>
        <w:tc>
          <w:tcPr>
            <w:tcW w:w="126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sidRPr="00A544E7">
              <w:rPr>
                <w:color w:val="000000"/>
                <w:sz w:val="22"/>
                <w:szCs w:val="22"/>
              </w:rPr>
              <w:t>18</w:t>
            </w:r>
          </w:p>
        </w:tc>
        <w:tc>
          <w:tcPr>
            <w:tcW w:w="1051"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Pr>
                <w:color w:val="000000"/>
                <w:sz w:val="22"/>
                <w:szCs w:val="22"/>
              </w:rPr>
              <w:t>0</w:t>
            </w:r>
          </w:p>
        </w:tc>
        <w:tc>
          <w:tcPr>
            <w:tcW w:w="1217" w:type="dxa"/>
            <w:tcBorders>
              <w:top w:val="nil"/>
              <w:left w:val="nil"/>
              <w:bottom w:val="single" w:sz="8" w:space="0" w:color="auto"/>
              <w:right w:val="single" w:sz="8" w:space="0" w:color="auto"/>
            </w:tcBorders>
            <w:shd w:val="clear" w:color="auto" w:fill="auto"/>
            <w:vAlign w:val="center"/>
          </w:tcPr>
          <w:p w:rsidR="009B5018" w:rsidRPr="00A544E7" w:rsidDel="003758F2" w:rsidRDefault="009B5018" w:rsidP="00FB4547">
            <w:pPr>
              <w:jc w:val="center"/>
              <w:rPr>
                <w:color w:val="000000"/>
                <w:sz w:val="22"/>
                <w:szCs w:val="22"/>
              </w:rPr>
            </w:pPr>
            <w:r>
              <w:rPr>
                <w:color w:val="000000"/>
                <w:sz w:val="22"/>
                <w:szCs w:val="22"/>
              </w:rPr>
              <w:t>- 18</w:t>
            </w:r>
          </w:p>
        </w:tc>
      </w:tr>
      <w:tr w:rsidR="009B5018" w:rsidTr="00FB4547">
        <w:trPr>
          <w:trHeight w:val="960"/>
        </w:trPr>
        <w:tc>
          <w:tcPr>
            <w:tcW w:w="1890" w:type="dxa"/>
            <w:tcBorders>
              <w:top w:val="nil"/>
              <w:left w:val="single" w:sz="8" w:space="0" w:color="auto"/>
              <w:bottom w:val="single" w:sz="8" w:space="0" w:color="auto"/>
              <w:right w:val="single" w:sz="8" w:space="0" w:color="auto"/>
            </w:tcBorders>
            <w:shd w:val="clear" w:color="auto" w:fill="auto"/>
            <w:vAlign w:val="center"/>
          </w:tcPr>
          <w:p w:rsidR="009B5018" w:rsidRDefault="009B5018" w:rsidP="00FB4547">
            <w:pPr>
              <w:rPr>
                <w:color w:val="000000"/>
              </w:rPr>
            </w:pPr>
            <w:r>
              <w:rPr>
                <w:color w:val="000000"/>
              </w:rPr>
              <w:t>Farm Workers with a Musculoskeletal Problem</w:t>
            </w:r>
          </w:p>
        </w:tc>
        <w:tc>
          <w:tcPr>
            <w:tcW w:w="117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sidRPr="00A544E7">
              <w:rPr>
                <w:color w:val="000000"/>
                <w:sz w:val="22"/>
                <w:szCs w:val="22"/>
              </w:rPr>
              <w:t>480</w:t>
            </w:r>
            <w:r>
              <w:rPr>
                <w:color w:val="000000"/>
              </w:rPr>
              <w:t>*</w:t>
            </w:r>
          </w:p>
        </w:tc>
        <w:tc>
          <w:tcPr>
            <w:tcW w:w="72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Pr>
                <w:color w:val="000000"/>
                <w:sz w:val="22"/>
                <w:szCs w:val="22"/>
              </w:rPr>
              <w:t>0</w:t>
            </w:r>
            <w:r>
              <w:rPr>
                <w:color w:val="000000"/>
              </w:rPr>
              <w:t>*</w:t>
            </w:r>
          </w:p>
        </w:tc>
        <w:tc>
          <w:tcPr>
            <w:tcW w:w="99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sidRPr="00A544E7">
              <w:rPr>
                <w:color w:val="000000"/>
                <w:sz w:val="22"/>
                <w:szCs w:val="22"/>
              </w:rPr>
              <w:t>1</w:t>
            </w:r>
          </w:p>
        </w:tc>
        <w:tc>
          <w:tcPr>
            <w:tcW w:w="81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Pr>
                <w:color w:val="000000"/>
                <w:sz w:val="22"/>
                <w:szCs w:val="22"/>
              </w:rPr>
              <w:t>0</w:t>
            </w:r>
          </w:p>
        </w:tc>
        <w:tc>
          <w:tcPr>
            <w:tcW w:w="126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sidRPr="00A544E7">
              <w:rPr>
                <w:color w:val="000000"/>
                <w:sz w:val="22"/>
                <w:szCs w:val="22"/>
              </w:rPr>
              <w:t>8</w:t>
            </w:r>
          </w:p>
        </w:tc>
        <w:tc>
          <w:tcPr>
            <w:tcW w:w="1051"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Pr>
                <w:color w:val="000000"/>
                <w:sz w:val="22"/>
                <w:szCs w:val="22"/>
              </w:rPr>
              <w:t>0</w:t>
            </w:r>
          </w:p>
        </w:tc>
        <w:tc>
          <w:tcPr>
            <w:tcW w:w="1217"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Pr>
                <w:color w:val="000000"/>
                <w:sz w:val="22"/>
                <w:szCs w:val="22"/>
              </w:rPr>
              <w:t>- 8</w:t>
            </w:r>
          </w:p>
        </w:tc>
      </w:tr>
      <w:tr w:rsidR="009B5018" w:rsidTr="00FB4547">
        <w:trPr>
          <w:trHeight w:val="330"/>
        </w:trPr>
        <w:tc>
          <w:tcPr>
            <w:tcW w:w="1890" w:type="dxa"/>
            <w:tcBorders>
              <w:top w:val="nil"/>
              <w:left w:val="single" w:sz="8" w:space="0" w:color="auto"/>
              <w:bottom w:val="single" w:sz="8" w:space="0" w:color="auto"/>
              <w:right w:val="single" w:sz="8" w:space="0" w:color="auto"/>
            </w:tcBorders>
            <w:shd w:val="clear" w:color="auto" w:fill="auto"/>
            <w:vAlign w:val="center"/>
          </w:tcPr>
          <w:p w:rsidR="009B5018" w:rsidRDefault="009B5018" w:rsidP="00FB4547">
            <w:pPr>
              <w:rPr>
                <w:color w:val="000000"/>
              </w:rPr>
            </w:pPr>
            <w:r>
              <w:rPr>
                <w:color w:val="000000"/>
              </w:rPr>
              <w:t>Ineligible Employers</w:t>
            </w:r>
          </w:p>
        </w:tc>
        <w:tc>
          <w:tcPr>
            <w:tcW w:w="117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Pr>
                <w:color w:val="000000"/>
                <w:sz w:val="22"/>
                <w:szCs w:val="22"/>
              </w:rPr>
              <w:t>Not Estimated</w:t>
            </w:r>
          </w:p>
        </w:tc>
        <w:tc>
          <w:tcPr>
            <w:tcW w:w="720" w:type="dxa"/>
            <w:tcBorders>
              <w:top w:val="nil"/>
              <w:left w:val="nil"/>
              <w:bottom w:val="single" w:sz="8" w:space="0" w:color="auto"/>
              <w:right w:val="single" w:sz="8" w:space="0" w:color="auto"/>
            </w:tcBorders>
            <w:shd w:val="clear" w:color="auto" w:fill="auto"/>
            <w:vAlign w:val="center"/>
          </w:tcPr>
          <w:p w:rsidR="009B5018" w:rsidRDefault="009B5018" w:rsidP="00FB4547">
            <w:pPr>
              <w:jc w:val="center"/>
              <w:rPr>
                <w:color w:val="000000"/>
                <w:sz w:val="22"/>
                <w:szCs w:val="22"/>
              </w:rPr>
            </w:pPr>
            <w:r>
              <w:rPr>
                <w:color w:val="000000"/>
                <w:sz w:val="22"/>
                <w:szCs w:val="22"/>
              </w:rPr>
              <w:t>2,385</w:t>
            </w:r>
          </w:p>
        </w:tc>
        <w:tc>
          <w:tcPr>
            <w:tcW w:w="99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Pr>
                <w:color w:val="000000"/>
                <w:sz w:val="22"/>
                <w:szCs w:val="22"/>
              </w:rPr>
              <w:t>0</w:t>
            </w:r>
          </w:p>
        </w:tc>
        <w:tc>
          <w:tcPr>
            <w:tcW w:w="81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Pr>
                <w:color w:val="000000"/>
                <w:sz w:val="22"/>
                <w:szCs w:val="22"/>
              </w:rPr>
              <w:t>5</w:t>
            </w:r>
          </w:p>
        </w:tc>
        <w:tc>
          <w:tcPr>
            <w:tcW w:w="1260"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Pr>
                <w:color w:val="000000"/>
                <w:sz w:val="22"/>
                <w:szCs w:val="22"/>
              </w:rPr>
              <w:t>0</w:t>
            </w:r>
          </w:p>
        </w:tc>
        <w:tc>
          <w:tcPr>
            <w:tcW w:w="1051"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Pr>
                <w:color w:val="000000"/>
                <w:sz w:val="22"/>
                <w:szCs w:val="22"/>
              </w:rPr>
              <w:t>199</w:t>
            </w:r>
          </w:p>
        </w:tc>
        <w:tc>
          <w:tcPr>
            <w:tcW w:w="1217" w:type="dxa"/>
            <w:tcBorders>
              <w:top w:val="nil"/>
              <w:left w:val="nil"/>
              <w:bottom w:val="single" w:sz="8" w:space="0" w:color="auto"/>
              <w:right w:val="single" w:sz="8" w:space="0" w:color="auto"/>
            </w:tcBorders>
            <w:shd w:val="clear" w:color="auto" w:fill="auto"/>
            <w:vAlign w:val="center"/>
          </w:tcPr>
          <w:p w:rsidR="009B5018" w:rsidRDefault="009B5018" w:rsidP="00FB4547">
            <w:pPr>
              <w:jc w:val="center"/>
              <w:rPr>
                <w:color w:val="000000"/>
                <w:sz w:val="22"/>
                <w:szCs w:val="22"/>
              </w:rPr>
            </w:pPr>
            <w:r>
              <w:rPr>
                <w:color w:val="000000"/>
                <w:sz w:val="22"/>
                <w:szCs w:val="22"/>
              </w:rPr>
              <w:t>+ 199</w:t>
            </w:r>
          </w:p>
        </w:tc>
      </w:tr>
      <w:tr w:rsidR="009B5018" w:rsidTr="00FB4547">
        <w:trPr>
          <w:trHeight w:val="33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9B5018" w:rsidRDefault="009B5018" w:rsidP="00FB4547">
            <w:pPr>
              <w:rPr>
                <w:color w:val="000000"/>
              </w:rPr>
            </w:pPr>
            <w:r>
              <w:rPr>
                <w:color w:val="000000"/>
              </w:rPr>
              <w:t>Eligible Employers</w:t>
            </w:r>
          </w:p>
        </w:tc>
        <w:tc>
          <w:tcPr>
            <w:tcW w:w="1170"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color w:val="000000"/>
                <w:sz w:val="22"/>
                <w:szCs w:val="22"/>
              </w:rPr>
            </w:pPr>
            <w:r w:rsidRPr="00A544E7">
              <w:rPr>
                <w:color w:val="000000"/>
                <w:sz w:val="22"/>
                <w:szCs w:val="22"/>
              </w:rPr>
              <w:t>938</w:t>
            </w:r>
          </w:p>
        </w:tc>
        <w:tc>
          <w:tcPr>
            <w:tcW w:w="720"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color w:val="000000"/>
                <w:sz w:val="22"/>
                <w:szCs w:val="22"/>
              </w:rPr>
            </w:pPr>
            <w:r>
              <w:rPr>
                <w:color w:val="000000"/>
                <w:sz w:val="22"/>
                <w:szCs w:val="22"/>
              </w:rPr>
              <w:t>1,462</w:t>
            </w:r>
          </w:p>
        </w:tc>
        <w:tc>
          <w:tcPr>
            <w:tcW w:w="990"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color w:val="000000"/>
                <w:sz w:val="22"/>
                <w:szCs w:val="22"/>
              </w:rPr>
            </w:pPr>
            <w:r>
              <w:rPr>
                <w:color w:val="000000"/>
                <w:sz w:val="22"/>
                <w:szCs w:val="22"/>
              </w:rPr>
              <w:t>20</w:t>
            </w:r>
          </w:p>
        </w:tc>
        <w:tc>
          <w:tcPr>
            <w:tcW w:w="810"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color w:val="000000"/>
                <w:sz w:val="22"/>
                <w:szCs w:val="22"/>
              </w:rPr>
            </w:pPr>
            <w:r>
              <w:rPr>
                <w:color w:val="000000"/>
                <w:sz w:val="22"/>
                <w:szCs w:val="22"/>
              </w:rPr>
              <w:t>12</w:t>
            </w:r>
          </w:p>
        </w:tc>
        <w:tc>
          <w:tcPr>
            <w:tcW w:w="1260"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color w:val="000000"/>
                <w:sz w:val="22"/>
                <w:szCs w:val="22"/>
              </w:rPr>
            </w:pPr>
            <w:r w:rsidRPr="00A544E7">
              <w:rPr>
                <w:color w:val="000000"/>
                <w:sz w:val="22"/>
                <w:szCs w:val="22"/>
              </w:rPr>
              <w:t>313</w:t>
            </w:r>
          </w:p>
        </w:tc>
        <w:tc>
          <w:tcPr>
            <w:tcW w:w="1051"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Pr>
                <w:color w:val="000000"/>
                <w:sz w:val="22"/>
                <w:szCs w:val="22"/>
              </w:rPr>
              <w:t>292</w:t>
            </w:r>
          </w:p>
        </w:tc>
        <w:tc>
          <w:tcPr>
            <w:tcW w:w="1217"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color w:val="000000"/>
                <w:sz w:val="22"/>
                <w:szCs w:val="22"/>
              </w:rPr>
            </w:pPr>
            <w:r>
              <w:rPr>
                <w:color w:val="000000"/>
                <w:sz w:val="22"/>
                <w:szCs w:val="22"/>
              </w:rPr>
              <w:t>- 21</w:t>
            </w:r>
          </w:p>
        </w:tc>
      </w:tr>
      <w:tr w:rsidR="009B5018" w:rsidTr="00FB4547">
        <w:trPr>
          <w:trHeight w:val="33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9B5018" w:rsidRDefault="009B5018" w:rsidP="00FB4547">
            <w:pPr>
              <w:rPr>
                <w:b/>
                <w:bCs/>
                <w:color w:val="000000"/>
              </w:rPr>
            </w:pPr>
            <w:r>
              <w:rPr>
                <w:b/>
                <w:bCs/>
                <w:color w:val="000000"/>
              </w:rPr>
              <w:t>Total</w:t>
            </w:r>
          </w:p>
        </w:tc>
        <w:tc>
          <w:tcPr>
            <w:tcW w:w="1170"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color w:val="000000"/>
                <w:sz w:val="22"/>
                <w:szCs w:val="22"/>
              </w:rPr>
            </w:pPr>
            <w:r w:rsidRPr="00806AAF">
              <w:rPr>
                <w:color w:val="000000"/>
                <w:sz w:val="22"/>
                <w:szCs w:val="22"/>
              </w:rPr>
              <w:t>3</w:t>
            </w:r>
            <w:r>
              <w:rPr>
                <w:color w:val="000000"/>
                <w:sz w:val="22"/>
                <w:szCs w:val="22"/>
              </w:rPr>
              <w:t>,</w:t>
            </w:r>
            <w:r w:rsidRPr="00806AAF">
              <w:rPr>
                <w:color w:val="000000"/>
                <w:sz w:val="22"/>
                <w:szCs w:val="22"/>
              </w:rPr>
              <w:t>938</w:t>
            </w:r>
          </w:p>
        </w:tc>
        <w:tc>
          <w:tcPr>
            <w:tcW w:w="720"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color w:val="000000"/>
                <w:sz w:val="22"/>
                <w:szCs w:val="22"/>
              </w:rPr>
            </w:pPr>
            <w:r>
              <w:rPr>
                <w:color w:val="000000"/>
                <w:sz w:val="22"/>
                <w:szCs w:val="22"/>
              </w:rPr>
              <w:t>7,216</w:t>
            </w:r>
          </w:p>
        </w:tc>
        <w:tc>
          <w:tcPr>
            <w:tcW w:w="990"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b/>
                <w:bCs/>
                <w:color w:val="000000"/>
              </w:rPr>
            </w:pPr>
            <w:r w:rsidRPr="00A544E7">
              <w:rPr>
                <w:b/>
                <w:bCs/>
                <w:color w:val="000000"/>
              </w:rPr>
              <w:t> </w:t>
            </w:r>
          </w:p>
        </w:tc>
        <w:tc>
          <w:tcPr>
            <w:tcW w:w="810"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b/>
                <w:bCs/>
                <w:color w:val="000000"/>
              </w:rPr>
            </w:pPr>
            <w:r w:rsidRPr="00A544E7">
              <w:rPr>
                <w:b/>
                <w:bCs/>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color w:val="000000"/>
                <w:sz w:val="22"/>
                <w:szCs w:val="22"/>
              </w:rPr>
            </w:pPr>
            <w:r w:rsidRPr="00806AAF">
              <w:rPr>
                <w:color w:val="000000"/>
                <w:sz w:val="22"/>
                <w:szCs w:val="22"/>
              </w:rPr>
              <w:t>3,399</w:t>
            </w:r>
          </w:p>
        </w:tc>
        <w:tc>
          <w:tcPr>
            <w:tcW w:w="1051" w:type="dxa"/>
            <w:tcBorders>
              <w:top w:val="nil"/>
              <w:left w:val="nil"/>
              <w:bottom w:val="single" w:sz="8" w:space="0" w:color="auto"/>
              <w:right w:val="single" w:sz="8" w:space="0" w:color="auto"/>
            </w:tcBorders>
            <w:shd w:val="clear" w:color="auto" w:fill="auto"/>
            <w:vAlign w:val="center"/>
          </w:tcPr>
          <w:p w:rsidR="009B5018" w:rsidRPr="00A544E7" w:rsidRDefault="009B5018" w:rsidP="00FB4547">
            <w:pPr>
              <w:jc w:val="center"/>
              <w:rPr>
                <w:color w:val="000000"/>
                <w:sz w:val="22"/>
                <w:szCs w:val="22"/>
              </w:rPr>
            </w:pPr>
            <w:r w:rsidRPr="00A544E7">
              <w:rPr>
                <w:color w:val="000000"/>
                <w:sz w:val="22"/>
                <w:szCs w:val="22"/>
              </w:rPr>
              <w:t>3,</w:t>
            </w:r>
            <w:r>
              <w:rPr>
                <w:color w:val="000000"/>
                <w:sz w:val="22"/>
                <w:szCs w:val="22"/>
              </w:rPr>
              <w:t>927</w:t>
            </w:r>
          </w:p>
        </w:tc>
        <w:tc>
          <w:tcPr>
            <w:tcW w:w="1217" w:type="dxa"/>
            <w:tcBorders>
              <w:top w:val="nil"/>
              <w:left w:val="nil"/>
              <w:bottom w:val="single" w:sz="8" w:space="0" w:color="auto"/>
              <w:right w:val="single" w:sz="8" w:space="0" w:color="auto"/>
            </w:tcBorders>
            <w:shd w:val="clear" w:color="auto" w:fill="auto"/>
            <w:vAlign w:val="center"/>
            <w:hideMark/>
          </w:tcPr>
          <w:p w:rsidR="009B5018" w:rsidRPr="00A544E7" w:rsidRDefault="009B5018" w:rsidP="00FB4547">
            <w:pPr>
              <w:jc w:val="center"/>
              <w:rPr>
                <w:b/>
                <w:bCs/>
                <w:color w:val="000000"/>
                <w:sz w:val="22"/>
                <w:szCs w:val="22"/>
              </w:rPr>
            </w:pPr>
            <w:r>
              <w:rPr>
                <w:b/>
                <w:bCs/>
                <w:color w:val="000000"/>
                <w:sz w:val="22"/>
                <w:szCs w:val="22"/>
              </w:rPr>
              <w:t>+ 528</w:t>
            </w:r>
          </w:p>
        </w:tc>
      </w:tr>
    </w:tbl>
    <w:p w:rsidR="009B5018" w:rsidRPr="009D00C2" w:rsidRDefault="009B5018" w:rsidP="009B5018">
      <w:pPr>
        <w:tabs>
          <w:tab w:val="left" w:pos="360"/>
          <w:tab w:val="left" w:pos="703"/>
          <w:tab w:val="right" w:pos="9229"/>
          <w:tab w:val="left" w:pos="9360"/>
        </w:tabs>
        <w:ind w:left="360"/>
        <w:rPr>
          <w:sz w:val="22"/>
          <w:szCs w:val="22"/>
        </w:rPr>
      </w:pPr>
      <w:r w:rsidRPr="009D00C2">
        <w:rPr>
          <w:sz w:val="22"/>
          <w:szCs w:val="22"/>
        </w:rPr>
        <w:t>* Not included in total respondents; they are a subset of the Primary Questionnaire respondents.</w:t>
      </w:r>
    </w:p>
    <w:p w:rsidR="002B31E8" w:rsidRDefault="002B31E8" w:rsidP="0076202B">
      <w:pPr>
        <w:tabs>
          <w:tab w:val="left" w:pos="360"/>
        </w:tabs>
        <w:autoSpaceDE w:val="0"/>
        <w:autoSpaceDN w:val="0"/>
        <w:adjustRightInd w:val="0"/>
        <w:ind w:left="360" w:hanging="360"/>
        <w:rPr>
          <w:b/>
        </w:rPr>
      </w:pPr>
    </w:p>
    <w:p w:rsidR="00B550A7" w:rsidRDefault="00B550A7" w:rsidP="0076202B">
      <w:pPr>
        <w:tabs>
          <w:tab w:val="left" w:pos="360"/>
        </w:tabs>
        <w:autoSpaceDE w:val="0"/>
        <w:autoSpaceDN w:val="0"/>
        <w:adjustRightInd w:val="0"/>
        <w:ind w:left="360" w:hanging="360"/>
      </w:pPr>
      <w:r>
        <w:rPr>
          <w:b/>
        </w:rPr>
        <w:t>16.</w:t>
      </w:r>
      <w:r w:rsidR="00A51A85">
        <w:rPr>
          <w:b/>
        </w:rPr>
        <w:tab/>
      </w:r>
      <w:r w:rsidR="00431C90" w:rsidRPr="00431C90">
        <w:rPr>
          <w:b/>
        </w:rPr>
        <w:t xml:space="preserve">For collections of information whose results </w:t>
      </w:r>
      <w:proofErr w:type="gramStart"/>
      <w:r w:rsidR="00431C90" w:rsidRPr="00431C90">
        <w:rPr>
          <w:b/>
        </w:rPr>
        <w:t>will be published</w:t>
      </w:r>
      <w:proofErr w:type="gramEnd"/>
      <w:r w:rsidR="00431C90" w:rsidRPr="00431C90">
        <w:rPr>
          <w:b/>
        </w:rPr>
        <w:t xml:space="preserve">, outline plans for tabulation and publication. </w:t>
      </w:r>
      <w:r w:rsidR="00413F4B">
        <w:rPr>
          <w:b/>
        </w:rPr>
        <w:t xml:space="preserve"> </w:t>
      </w:r>
      <w:r w:rsidR="00431C90" w:rsidRPr="00431C90">
        <w:rPr>
          <w:b/>
        </w:rPr>
        <w:t xml:space="preserve">Address any complex analytical techniques that </w:t>
      </w:r>
      <w:proofErr w:type="gramStart"/>
      <w:r w:rsidR="00431C90" w:rsidRPr="00431C90">
        <w:rPr>
          <w:b/>
        </w:rPr>
        <w:t>will be used</w:t>
      </w:r>
      <w:proofErr w:type="gramEnd"/>
      <w:r w:rsidR="00431C90" w:rsidRPr="00431C90">
        <w:rPr>
          <w:b/>
        </w:rPr>
        <w:t>. Provide the time schedule for the entire project, including beginning and ending dates of the collection of information, completion of report, publication dates, and other actions.</w:t>
      </w:r>
      <w:r w:rsidR="00431C90">
        <w:t xml:space="preserve"> </w:t>
      </w:r>
    </w:p>
    <w:p w:rsidR="00B550A7" w:rsidRDefault="00B550A7" w:rsidP="00F05970">
      <w:pPr>
        <w:tabs>
          <w:tab w:val="left" w:pos="0"/>
          <w:tab w:val="left" w:pos="703"/>
          <w:tab w:val="right" w:pos="9229"/>
          <w:tab w:val="left" w:pos="9360"/>
        </w:tabs>
      </w:pPr>
    </w:p>
    <w:p w:rsidR="000D7EDE" w:rsidRDefault="0030786B" w:rsidP="00806AAF">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most recent dissemination of NAWS </w:t>
      </w:r>
      <w:r w:rsidR="00DA65A0">
        <w:t>data</w:t>
      </w:r>
      <w:r>
        <w:t xml:space="preserve"> was the July 2014 release of </w:t>
      </w:r>
      <w:r w:rsidR="00DA65A0">
        <w:t xml:space="preserve">the 1989-2012 </w:t>
      </w:r>
      <w:r>
        <w:t xml:space="preserve">public access data </w:t>
      </w:r>
      <w:r w:rsidR="00DA65A0">
        <w:t>file, which replaced the 1989-2009 file.  T</w:t>
      </w:r>
      <w:r>
        <w:t xml:space="preserve">he </w:t>
      </w:r>
      <w:r w:rsidR="00DA65A0">
        <w:t>July 2014 release included</w:t>
      </w:r>
      <w:r>
        <w:t xml:space="preserve"> a set of </w:t>
      </w:r>
      <w:r w:rsidR="00DA65A0">
        <w:t xml:space="preserve">22 tables, </w:t>
      </w:r>
      <w:r>
        <w:t>charts</w:t>
      </w:r>
      <w:r w:rsidR="00DA65A0">
        <w:t>, and text summaries,</w:t>
      </w:r>
      <w:r>
        <w:t xml:space="preserve"> </w:t>
      </w:r>
      <w:r w:rsidR="00FB0CF1">
        <w:t>including results for all of t</w:t>
      </w:r>
      <w:r>
        <w:t>he NAWS health data from 1999-2010</w:t>
      </w:r>
      <w:r w:rsidR="00FB0CF1">
        <w:t xml:space="preserve">, grouped by </w:t>
      </w:r>
      <w:r w:rsidR="00B66056">
        <w:t>two-</w:t>
      </w:r>
      <w:r w:rsidR="00FB0CF1">
        <w:t>year intervals</w:t>
      </w:r>
      <w:r>
        <w:t xml:space="preserve">.  </w:t>
      </w:r>
      <w:r w:rsidR="000D7EDE">
        <w:t>A restricted use data set is also available to researchers needing information not in the public ac</w:t>
      </w:r>
      <w:r w:rsidR="00DA65A0">
        <w:t xml:space="preserve">cess data.  Additional findings, </w:t>
      </w:r>
      <w:r w:rsidR="000D7EDE">
        <w:t xml:space="preserve">including regional </w:t>
      </w:r>
      <w:r w:rsidR="00DA65A0">
        <w:t xml:space="preserve">summaries of data, </w:t>
      </w:r>
      <w:proofErr w:type="gramStart"/>
      <w:r w:rsidR="00DA65A0">
        <w:t>have</w:t>
      </w:r>
      <w:r w:rsidR="000D7EDE">
        <w:t xml:space="preserve"> </w:t>
      </w:r>
      <w:r w:rsidR="00DA65A0">
        <w:t>been</w:t>
      </w:r>
      <w:r w:rsidR="000D7EDE">
        <w:t xml:space="preserve"> presented</w:t>
      </w:r>
      <w:proofErr w:type="gramEnd"/>
      <w:r w:rsidR="000D7EDE">
        <w:t xml:space="preserve"> at various stakeholder forums. </w:t>
      </w:r>
      <w:r w:rsidR="00DA65A0">
        <w:t xml:space="preserve"> </w:t>
      </w:r>
      <w:r w:rsidR="000D7EDE">
        <w:t xml:space="preserve">Recent forums include the </w:t>
      </w:r>
      <w:r w:rsidR="00B66056">
        <w:t>HRSA-</w:t>
      </w:r>
      <w:r w:rsidR="000D7EDE">
        <w:t>sponsored Migrant Stream Forums</w:t>
      </w:r>
      <w:r w:rsidR="00B66056">
        <w:t>,</w:t>
      </w:r>
      <w:r w:rsidR="000D7EDE">
        <w:t xml:space="preserve"> the Migrant Education and Identification and Rec</w:t>
      </w:r>
      <w:r w:rsidR="00DA65A0">
        <w:t>ruitment conference</w:t>
      </w:r>
      <w:r w:rsidR="00B66056">
        <w:t>,</w:t>
      </w:r>
      <w:r w:rsidR="00DA65A0">
        <w:t xml:space="preserve"> and the ETA-</w:t>
      </w:r>
      <w:r w:rsidR="000D7EDE">
        <w:t xml:space="preserve">sponsored conference of Region 6 (West Coast) Monitor Advocates and </w:t>
      </w:r>
      <w:r w:rsidR="009B5018">
        <w:t>NFJP</w:t>
      </w:r>
      <w:r w:rsidR="000D7EDE">
        <w:t xml:space="preserve"> grantees. </w:t>
      </w:r>
      <w:r w:rsidR="00DA65A0">
        <w:t xml:space="preserve"> </w:t>
      </w:r>
      <w:r w:rsidR="000D7EDE">
        <w:t xml:space="preserve">The presentation slides from these forums </w:t>
      </w:r>
      <w:proofErr w:type="gramStart"/>
      <w:r w:rsidR="000D7EDE">
        <w:t>are distributed to attendees and posted for other interested stakeholders and researchers</w:t>
      </w:r>
      <w:proofErr w:type="gramEnd"/>
      <w:r w:rsidR="000D7EDE">
        <w:t>.  The NAWS contractor produces national level reports</w:t>
      </w:r>
      <w:r w:rsidR="009B5018">
        <w:t xml:space="preserve">.  The next report, which will summarize data that </w:t>
      </w:r>
      <w:proofErr w:type="gramStart"/>
      <w:r w:rsidR="009B5018">
        <w:t>was collected</w:t>
      </w:r>
      <w:proofErr w:type="gramEnd"/>
      <w:r w:rsidR="009B5018">
        <w:t xml:space="preserve"> in fiscal years 2011-2012</w:t>
      </w:r>
      <w:r w:rsidR="008B7EF5">
        <w:t>,</w:t>
      </w:r>
      <w:r w:rsidR="009B5018">
        <w:t xml:space="preserve"> </w:t>
      </w:r>
      <w:r w:rsidR="000D7EDE">
        <w:t>is under review at ETA for publication later this year.</w:t>
      </w:r>
      <w:r w:rsidR="00FB0CF1">
        <w:t xml:space="preserve"> </w:t>
      </w:r>
    </w:p>
    <w:p w:rsidR="00722ABF" w:rsidRDefault="00722ABF" w:rsidP="00806AAF">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0D7EDE" w:rsidRDefault="000D7EDE" w:rsidP="002B31E8">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The proposed questions</w:t>
      </w:r>
      <w:r w:rsidR="00FB0CF1">
        <w:t xml:space="preserve"> will be part of the </w:t>
      </w:r>
      <w:r w:rsidR="00701139">
        <w:t>FY</w:t>
      </w:r>
      <w:r w:rsidR="009B5018">
        <w:t xml:space="preserve"> </w:t>
      </w:r>
      <w:r w:rsidR="00701139">
        <w:t>2016-</w:t>
      </w:r>
      <w:r w:rsidR="00C87867">
        <w:t xml:space="preserve">2018 </w:t>
      </w:r>
      <w:r w:rsidR="00FB0CF1">
        <w:t xml:space="preserve">data collection and included in the </w:t>
      </w:r>
      <w:r w:rsidR="003758F2">
        <w:t xml:space="preserve">national report </w:t>
      </w:r>
      <w:r w:rsidR="00C87867">
        <w:t xml:space="preserve">that </w:t>
      </w:r>
      <w:proofErr w:type="gramStart"/>
      <w:r w:rsidR="00C87867">
        <w:t xml:space="preserve">will </w:t>
      </w:r>
      <w:r w:rsidR="003758F2">
        <w:t>be produce</w:t>
      </w:r>
      <w:r w:rsidR="00DA65A0">
        <w:t>d</w:t>
      </w:r>
      <w:proofErr w:type="gramEnd"/>
      <w:r w:rsidR="003758F2">
        <w:t xml:space="preserve"> in FY</w:t>
      </w:r>
      <w:r w:rsidR="00DA65A0">
        <w:t xml:space="preserve"> </w:t>
      </w:r>
      <w:r w:rsidR="00701139">
        <w:t>2018</w:t>
      </w:r>
      <w:r w:rsidR="003758F2">
        <w:t xml:space="preserve">. </w:t>
      </w:r>
      <w:r w:rsidR="009B5018">
        <w:t xml:space="preserve"> </w:t>
      </w:r>
      <w:r w:rsidR="00FB0CF1">
        <w:t xml:space="preserve">The data </w:t>
      </w:r>
      <w:proofErr w:type="gramStart"/>
      <w:r w:rsidR="00FB0CF1">
        <w:t>will be added</w:t>
      </w:r>
      <w:proofErr w:type="gramEnd"/>
      <w:r w:rsidR="00FB0CF1">
        <w:t xml:space="preserve"> to the NAWS</w:t>
      </w:r>
      <w:r w:rsidR="00701139">
        <w:t xml:space="preserve"> 1989-</w:t>
      </w:r>
      <w:r w:rsidR="00C87867">
        <w:t xml:space="preserve">2018 </w:t>
      </w:r>
      <w:r w:rsidR="00DA65A0">
        <w:t>public access data file</w:t>
      </w:r>
      <w:r w:rsidR="00FB0CF1">
        <w:t xml:space="preserve">.  It </w:t>
      </w:r>
      <w:proofErr w:type="gramStart"/>
      <w:r w:rsidR="00FB0CF1">
        <w:t>is anticipated</w:t>
      </w:r>
      <w:proofErr w:type="gramEnd"/>
      <w:r w:rsidR="00FB0CF1">
        <w:t xml:space="preserve"> that researchers will use this data to compare to PIAAC data and other national and interna</w:t>
      </w:r>
      <w:r w:rsidR="00DA65A0">
        <w:t>tional data on broadband access.</w:t>
      </w:r>
      <w:r w:rsidR="00FB0CF1">
        <w:t xml:space="preserve"> Health policy researchers will access either the public </w:t>
      </w:r>
      <w:proofErr w:type="gramStart"/>
      <w:r w:rsidR="00FB0CF1">
        <w:t>or restricted</w:t>
      </w:r>
      <w:proofErr w:type="gramEnd"/>
      <w:r w:rsidR="00FB0CF1">
        <w:t xml:space="preserve"> data to develop models explaining health behavior.</w:t>
      </w:r>
      <w:r w:rsidR="007D160E">
        <w:t xml:space="preserve">  </w:t>
      </w:r>
      <w:r w:rsidR="00DA65A0">
        <w:t xml:space="preserve">HRSA and ETA </w:t>
      </w:r>
      <w:r w:rsidR="00111D3E">
        <w:t xml:space="preserve">will conduct additional analyses </w:t>
      </w:r>
      <w:r w:rsidR="007D160E">
        <w:t>to meet the needs of their program</w:t>
      </w:r>
      <w:r w:rsidR="00DA65A0">
        <w:t>s</w:t>
      </w:r>
      <w:r w:rsidR="007D160E">
        <w:t xml:space="preserve"> and grantees.</w:t>
      </w:r>
    </w:p>
    <w:p w:rsidR="00B550A7" w:rsidRDefault="00B550A7" w:rsidP="00F05970"/>
    <w:p w:rsidR="00B550A7" w:rsidRDefault="00B550A7" w:rsidP="00806AAF">
      <w:pPr>
        <w:tabs>
          <w:tab w:val="left" w:pos="360"/>
        </w:tabs>
        <w:autoSpaceDE w:val="0"/>
        <w:autoSpaceDN w:val="0"/>
        <w:adjustRightInd w:val="0"/>
        <w:ind w:left="360" w:hanging="360"/>
        <w:rPr>
          <w:b/>
        </w:rPr>
      </w:pPr>
      <w:r>
        <w:rPr>
          <w:b/>
        </w:rPr>
        <w:t>17.</w:t>
      </w:r>
      <w:r w:rsidR="00A51A85">
        <w:rPr>
          <w:b/>
        </w:rPr>
        <w:tab/>
      </w:r>
      <w:r w:rsidR="00431C90" w:rsidRPr="00431C90">
        <w:rPr>
          <w:b/>
        </w:rPr>
        <w:t xml:space="preserve">If seeking approval </w:t>
      </w:r>
      <w:proofErr w:type="gramStart"/>
      <w:r w:rsidR="00431C90" w:rsidRPr="00431C90">
        <w:rPr>
          <w:b/>
        </w:rPr>
        <w:t>to not display</w:t>
      </w:r>
      <w:proofErr w:type="gramEnd"/>
      <w:r w:rsidR="00431C90" w:rsidRPr="00431C90">
        <w:rPr>
          <w:b/>
        </w:rPr>
        <w:t xml:space="preserve"> the expiration date for OMB approval of the information collection, explain the reasons that display would be inappropriate.</w:t>
      </w:r>
      <w:r w:rsidR="00431C90" w:rsidRPr="00CE3C52">
        <w:t xml:space="preserve"> </w:t>
      </w:r>
    </w:p>
    <w:p w:rsidR="00B550A7" w:rsidRDefault="00B550A7" w:rsidP="00F05970">
      <w:pPr>
        <w:tabs>
          <w:tab w:val="left" w:pos="0"/>
          <w:tab w:val="left" w:pos="703"/>
          <w:tab w:val="right" w:pos="9229"/>
          <w:tab w:val="left" w:pos="9360"/>
        </w:tabs>
        <w:rPr>
          <w:b/>
        </w:rPr>
      </w:pPr>
    </w:p>
    <w:p w:rsidR="00B550A7" w:rsidRDefault="00B550A7" w:rsidP="00806AAF">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OMB Clearance Number and Expiration Date </w:t>
      </w:r>
      <w:proofErr w:type="gramStart"/>
      <w:r>
        <w:t>are published</w:t>
      </w:r>
      <w:proofErr w:type="gramEnd"/>
      <w:r>
        <w:t xml:space="preserve"> on the main NAWS questionnaire in the upper left-hand corner.</w:t>
      </w:r>
    </w:p>
    <w:p w:rsidR="00B550A7" w:rsidRDefault="00B550A7" w:rsidP="00F05970">
      <w:pPr>
        <w:tabs>
          <w:tab w:val="left" w:pos="0"/>
          <w:tab w:val="left" w:pos="703"/>
          <w:tab w:val="right" w:pos="9229"/>
          <w:tab w:val="left" w:pos="9360"/>
        </w:tabs>
      </w:pPr>
    </w:p>
    <w:p w:rsidR="00B550A7" w:rsidRDefault="00B550A7" w:rsidP="00806AAF">
      <w:pPr>
        <w:tabs>
          <w:tab w:val="left" w:pos="360"/>
        </w:tabs>
        <w:autoSpaceDE w:val="0"/>
        <w:autoSpaceDN w:val="0"/>
        <w:adjustRightInd w:val="0"/>
        <w:ind w:left="360" w:hanging="360"/>
        <w:rPr>
          <w:b/>
        </w:rPr>
      </w:pPr>
      <w:r>
        <w:rPr>
          <w:b/>
        </w:rPr>
        <w:t>18.</w:t>
      </w:r>
      <w:r w:rsidR="00A51A85">
        <w:rPr>
          <w:b/>
        </w:rPr>
        <w:tab/>
      </w:r>
      <w:r w:rsidR="002244D3" w:rsidRPr="002244D3">
        <w:rPr>
          <w:b/>
        </w:rPr>
        <w:t>Explain each exception to the topics of the certification statement identified in “Certification for Paperwork Reduction Act Submissions” (</w:t>
      </w:r>
      <w:proofErr w:type="gramStart"/>
      <w:r w:rsidR="002244D3" w:rsidRPr="002244D3">
        <w:rPr>
          <w:b/>
        </w:rPr>
        <w:t>5</w:t>
      </w:r>
      <w:proofErr w:type="gramEnd"/>
      <w:r w:rsidR="002244D3" w:rsidRPr="002244D3">
        <w:rPr>
          <w:b/>
        </w:rPr>
        <w:t xml:space="preserve"> CFR 1320.9).</w:t>
      </w:r>
      <w:r w:rsidR="002244D3">
        <w:t xml:space="preserve"> </w:t>
      </w:r>
    </w:p>
    <w:p w:rsidR="00B550A7" w:rsidRDefault="00B550A7" w:rsidP="00F05970">
      <w:pPr>
        <w:tabs>
          <w:tab w:val="left" w:pos="0"/>
          <w:tab w:val="right" w:pos="9229"/>
          <w:tab w:val="left" w:pos="9360"/>
        </w:tabs>
        <w:rPr>
          <w:b/>
        </w:rPr>
      </w:pPr>
    </w:p>
    <w:p w:rsidR="00B550A7" w:rsidRPr="00464A34" w:rsidRDefault="00B550A7" w:rsidP="00806AAF">
      <w:pPr>
        <w:tabs>
          <w:tab w:val="left" w:pos="360"/>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sectPr w:rsidR="00B550A7" w:rsidRPr="00464A34" w:rsidSect="00F0597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1440" w:footer="1440" w:gutter="0"/>
          <w:cols w:space="720"/>
          <w:noEndnote/>
        </w:sectPr>
      </w:pPr>
      <w:r>
        <w:t xml:space="preserve">This item is not applicable to this information collection because no exceptions </w:t>
      </w:r>
      <w:proofErr w:type="gramStart"/>
      <w:r>
        <w:t>are sought</w:t>
      </w:r>
      <w:proofErr w:type="gramEnd"/>
      <w:r>
        <w:t>.</w:t>
      </w:r>
    </w:p>
    <w:p w:rsidR="00B550A7" w:rsidRPr="00247D7C" w:rsidRDefault="00B550A7" w:rsidP="00F05970">
      <w:pPr>
        <w:rPr>
          <w:b/>
        </w:rPr>
      </w:pPr>
      <w:r w:rsidRPr="00247D7C">
        <w:rPr>
          <w:b/>
        </w:rPr>
        <w:t>REFERENCES</w:t>
      </w:r>
    </w:p>
    <w:p w:rsidR="00B550A7" w:rsidRDefault="00B550A7" w:rsidP="00F05970"/>
    <w:p w:rsidR="00DE2FAB" w:rsidRDefault="00DE2FAB" w:rsidP="00F05970">
      <w:r>
        <w:t xml:space="preserve">Alves Pena, A. (2011). </w:t>
      </w:r>
      <w:proofErr w:type="gramStart"/>
      <w:r>
        <w:t xml:space="preserve">The Effects of Continuing Education Participation on Agricultural </w:t>
      </w:r>
      <w:r w:rsidR="002235D7">
        <w:t>Worker Outcomes.</w:t>
      </w:r>
      <w:proofErr w:type="gramEnd"/>
      <w:r w:rsidR="002235D7">
        <w:t xml:space="preserve"> </w:t>
      </w:r>
      <w:proofErr w:type="gramStart"/>
      <w:r w:rsidR="002235D7">
        <w:t>Washington, DC: U.S. Department of Labor, Employment and Training Administration.</w:t>
      </w:r>
      <w:proofErr w:type="gramEnd"/>
    </w:p>
    <w:p w:rsidR="00D74F41" w:rsidRDefault="00D74F41" w:rsidP="00F05970"/>
    <w:p w:rsidR="00D74F41" w:rsidRPr="00D74F41" w:rsidRDefault="00D74F41" w:rsidP="00F05970">
      <w:r w:rsidRPr="005F776E">
        <w:rPr>
          <w:color w:val="002060"/>
        </w:rPr>
        <w:t xml:space="preserve">Mills SD, Fox RS, </w:t>
      </w:r>
      <w:proofErr w:type="spellStart"/>
      <w:r w:rsidRPr="005F776E">
        <w:rPr>
          <w:color w:val="002060"/>
        </w:rPr>
        <w:t>Malcarne</w:t>
      </w:r>
      <w:proofErr w:type="spellEnd"/>
      <w:r w:rsidRPr="005F776E">
        <w:rPr>
          <w:color w:val="002060"/>
        </w:rPr>
        <w:t xml:space="preserve"> VL, </w:t>
      </w:r>
      <w:proofErr w:type="spellStart"/>
      <w:r w:rsidRPr="005F776E">
        <w:rPr>
          <w:color w:val="002060"/>
        </w:rPr>
        <w:t>Roesch</w:t>
      </w:r>
      <w:proofErr w:type="spellEnd"/>
      <w:r w:rsidRPr="005F776E">
        <w:rPr>
          <w:color w:val="002060"/>
        </w:rPr>
        <w:t xml:space="preserve"> SC, </w:t>
      </w:r>
      <w:proofErr w:type="spellStart"/>
      <w:r w:rsidRPr="005F776E">
        <w:rPr>
          <w:color w:val="002060"/>
        </w:rPr>
        <w:t>Champgagne</w:t>
      </w:r>
      <w:proofErr w:type="spellEnd"/>
      <w:r w:rsidRPr="005F776E">
        <w:rPr>
          <w:color w:val="002060"/>
        </w:rPr>
        <w:t xml:space="preserve"> BR, Sadler GR. The psychometric properties of the Generalized Anxiety Disorder-7 scale in Hispanic Americans with English or Spanish Language preference. Cultural Diversity Ethnic Minority Psychology 2014 July; 20(3):463-468. </w:t>
      </w:r>
      <w:proofErr w:type="gramStart"/>
      <w:r w:rsidRPr="005F776E">
        <w:rPr>
          <w:color w:val="002060"/>
        </w:rPr>
        <w:t>doi:</w:t>
      </w:r>
      <w:proofErr w:type="gramEnd"/>
      <w:r w:rsidRPr="005F776E">
        <w:rPr>
          <w:color w:val="002060"/>
        </w:rPr>
        <w:t>10.1037/a0036523</w:t>
      </w:r>
    </w:p>
    <w:p w:rsidR="00B550A7" w:rsidRDefault="00B550A7" w:rsidP="00F05970"/>
    <w:p w:rsidR="00B550A7" w:rsidRPr="00905B07" w:rsidRDefault="00B550A7" w:rsidP="00F05970">
      <w:pPr>
        <w:rPr>
          <w:color w:val="000000"/>
        </w:rPr>
      </w:pPr>
      <w:proofErr w:type="spellStart"/>
      <w:r w:rsidRPr="00905B07">
        <w:rPr>
          <w:rFonts w:cs="Calibri"/>
          <w:color w:val="000000"/>
        </w:rPr>
        <w:t>Ryu</w:t>
      </w:r>
      <w:proofErr w:type="spellEnd"/>
      <w:r w:rsidRPr="00905B07">
        <w:rPr>
          <w:rFonts w:cs="Calibri"/>
          <w:color w:val="000000"/>
        </w:rPr>
        <w:t xml:space="preserve">, E., </w:t>
      </w:r>
      <w:proofErr w:type="spellStart"/>
      <w:r w:rsidRPr="00905B07">
        <w:rPr>
          <w:rFonts w:cs="Calibri"/>
          <w:color w:val="000000"/>
        </w:rPr>
        <w:t>Couper</w:t>
      </w:r>
      <w:proofErr w:type="spellEnd"/>
      <w:r w:rsidRPr="00905B07">
        <w:rPr>
          <w:rFonts w:cs="Calibri"/>
          <w:color w:val="000000"/>
        </w:rPr>
        <w:t xml:space="preserve">, M, &amp; Marans, R. (2006) Survey incentives: Cash vs. in-kind; Face-to-face vs. mail; Response rate vs. nonresponse error. </w:t>
      </w:r>
      <w:r w:rsidRPr="00905B07">
        <w:rPr>
          <w:rFonts w:cs="Calibri"/>
          <w:i/>
          <w:color w:val="000000"/>
        </w:rPr>
        <w:t xml:space="preserve">International Journal of Public Opinion Research, 18 </w:t>
      </w:r>
      <w:r w:rsidRPr="00905B07">
        <w:rPr>
          <w:rFonts w:cs="Calibri"/>
          <w:color w:val="000000"/>
        </w:rPr>
        <w:t>(1): 89-106.</w:t>
      </w:r>
    </w:p>
    <w:p w:rsidR="00B550A7" w:rsidRDefault="00B550A7" w:rsidP="009A48FC">
      <w:pPr>
        <w:rPr>
          <w:rFonts w:cs="Arial"/>
          <w:szCs w:val="20"/>
        </w:rPr>
      </w:pPr>
    </w:p>
    <w:p w:rsidR="00B550A7" w:rsidRPr="00093285" w:rsidRDefault="00B550A7" w:rsidP="009A48FC">
      <w:pPr>
        <w:rPr>
          <w:rFonts w:cs="Arial"/>
          <w:color w:val="000000"/>
          <w:szCs w:val="20"/>
        </w:rPr>
      </w:pPr>
      <w:proofErr w:type="gramStart"/>
      <w:r w:rsidRPr="00093285">
        <w:rPr>
          <w:rFonts w:cs="Calibri"/>
          <w:color w:val="000000"/>
          <w:szCs w:val="22"/>
        </w:rPr>
        <w:t>Zhang, F. (2010).</w:t>
      </w:r>
      <w:proofErr w:type="gramEnd"/>
      <w:r w:rsidRPr="00093285">
        <w:rPr>
          <w:rFonts w:cs="Calibri"/>
          <w:color w:val="000000"/>
          <w:szCs w:val="22"/>
        </w:rPr>
        <w:t xml:space="preserve"> </w:t>
      </w:r>
      <w:proofErr w:type="gramStart"/>
      <w:r w:rsidRPr="00910893">
        <w:rPr>
          <w:rFonts w:cs="Calibri"/>
          <w:iCs/>
          <w:color w:val="000000"/>
          <w:szCs w:val="22"/>
        </w:rPr>
        <w:t>Incentive experiments: NSF experiences</w:t>
      </w:r>
      <w:r w:rsidRPr="00093285">
        <w:rPr>
          <w:rFonts w:cs="Calibri"/>
          <w:i/>
          <w:iCs/>
          <w:color w:val="000000"/>
          <w:szCs w:val="22"/>
        </w:rPr>
        <w:t>.</w:t>
      </w:r>
      <w:proofErr w:type="gramEnd"/>
      <w:r w:rsidRPr="00093285">
        <w:rPr>
          <w:rFonts w:cs="Calibri"/>
          <w:i/>
          <w:iCs/>
          <w:color w:val="000000"/>
          <w:szCs w:val="22"/>
        </w:rPr>
        <w:t xml:space="preserve"> (</w:t>
      </w:r>
      <w:r w:rsidRPr="00093285">
        <w:rPr>
          <w:rFonts w:cs="Calibri"/>
          <w:color w:val="000000"/>
          <w:szCs w:val="22"/>
        </w:rPr>
        <w:t xml:space="preserve">Working Paper SRS 11-200). </w:t>
      </w:r>
      <w:proofErr w:type="gramStart"/>
      <w:r w:rsidRPr="00093285">
        <w:rPr>
          <w:rFonts w:cs="Calibri"/>
          <w:color w:val="000000"/>
          <w:szCs w:val="22"/>
        </w:rPr>
        <w:t>Arlington, VA: National Science Foundation, Division of Science Resources Statistics.</w:t>
      </w:r>
      <w:proofErr w:type="gramEnd"/>
    </w:p>
    <w:sectPr w:rsidR="00B550A7" w:rsidRPr="00093285" w:rsidSect="00F7634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55A" w:rsidRDefault="0043555A">
      <w:r>
        <w:separator/>
      </w:r>
    </w:p>
    <w:p w:rsidR="0043555A" w:rsidRDefault="0043555A"/>
  </w:endnote>
  <w:endnote w:type="continuationSeparator" w:id="0">
    <w:p w:rsidR="0043555A" w:rsidRDefault="0043555A">
      <w:r>
        <w:continuationSeparator/>
      </w:r>
    </w:p>
    <w:p w:rsidR="0043555A" w:rsidRDefault="00435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6F" w:rsidRDefault="003A4F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13F" w:rsidRDefault="00BD213F">
    <w:pPr>
      <w:spacing w:line="240" w:lineRule="exact"/>
    </w:pPr>
  </w:p>
  <w:p w:rsidR="00BD213F" w:rsidRDefault="00BD213F">
    <w:pPr>
      <w:framePr w:w="9361"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755EC0">
      <w:rPr>
        <w:noProof/>
        <w:sz w:val="20"/>
      </w:rPr>
      <w:t>14</w:t>
    </w:r>
    <w:r>
      <w:rPr>
        <w:sz w:val="20"/>
      </w:rPr>
      <w:fldChar w:fldCharType="end"/>
    </w:r>
  </w:p>
  <w:p w:rsidR="00BD213F" w:rsidRDefault="00BD213F">
    <w:pP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6F" w:rsidRDefault="003A4F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55A" w:rsidRDefault="0043555A">
      <w:r>
        <w:separator/>
      </w:r>
    </w:p>
    <w:p w:rsidR="0043555A" w:rsidRDefault="0043555A"/>
  </w:footnote>
  <w:footnote w:type="continuationSeparator" w:id="0">
    <w:p w:rsidR="0043555A" w:rsidRDefault="0043555A">
      <w:r>
        <w:continuationSeparator/>
      </w:r>
    </w:p>
    <w:p w:rsidR="0043555A" w:rsidRDefault="004355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6F" w:rsidRDefault="003A4F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6F" w:rsidRDefault="003A4F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6F" w:rsidRDefault="003A4F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DCA38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FE1E9F"/>
    <w:multiLevelType w:val="hybridMultilevel"/>
    <w:tmpl w:val="C89697F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5E453A"/>
    <w:multiLevelType w:val="hybridMultilevel"/>
    <w:tmpl w:val="D6FAB3CA"/>
    <w:lvl w:ilvl="0" w:tplc="BF743F00">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D40AA0"/>
    <w:multiLevelType w:val="hybridMultilevel"/>
    <w:tmpl w:val="236C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C550EE"/>
    <w:multiLevelType w:val="hybridMultilevel"/>
    <w:tmpl w:val="2864CAE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FF21D50"/>
    <w:multiLevelType w:val="hybridMultilevel"/>
    <w:tmpl w:val="92E0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BD5C38"/>
    <w:multiLevelType w:val="hybridMultilevel"/>
    <w:tmpl w:val="62BE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E92491"/>
    <w:multiLevelType w:val="hybridMultilevel"/>
    <w:tmpl w:val="13EC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253208"/>
    <w:multiLevelType w:val="singleLevel"/>
    <w:tmpl w:val="127ED37C"/>
    <w:lvl w:ilvl="0">
      <w:start w:val="18"/>
      <w:numFmt w:val="decimal"/>
      <w:lvlText w:val="%1."/>
      <w:lvlJc w:val="left"/>
      <w:pPr>
        <w:tabs>
          <w:tab w:val="num" w:pos="705"/>
        </w:tabs>
        <w:ind w:left="705" w:hanging="705"/>
      </w:pPr>
      <w:rPr>
        <w:rFonts w:cs="Times New Roman" w:hint="default"/>
      </w:rPr>
    </w:lvl>
  </w:abstractNum>
  <w:abstractNum w:abstractNumId="9">
    <w:nsid w:val="77A25B0F"/>
    <w:multiLevelType w:val="hybridMultilevel"/>
    <w:tmpl w:val="5A96AA0C"/>
    <w:lvl w:ilvl="0" w:tplc="73C854CA">
      <w:start w:val="15"/>
      <w:numFmt w:val="decimal"/>
      <w:lvlText w:val="%1."/>
      <w:lvlJc w:val="left"/>
      <w:pPr>
        <w:tabs>
          <w:tab w:val="num" w:pos="1065"/>
        </w:tabs>
        <w:ind w:left="1065" w:hanging="7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9"/>
  </w:num>
  <w:num w:numId="3">
    <w:abstractNumId w:val="2"/>
  </w:num>
  <w:num w:numId="4">
    <w:abstractNumId w:val="0"/>
  </w:num>
  <w:num w:numId="5">
    <w:abstractNumId w:val="3"/>
  </w:num>
  <w:num w:numId="6">
    <w:abstractNumId w:val="7"/>
  </w:num>
  <w:num w:numId="7">
    <w:abstractNumId w:val="6"/>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FC"/>
    <w:rsid w:val="00001C1B"/>
    <w:rsid w:val="00003D01"/>
    <w:rsid w:val="00013A8B"/>
    <w:rsid w:val="000248C4"/>
    <w:rsid w:val="0004368B"/>
    <w:rsid w:val="00050721"/>
    <w:rsid w:val="0006742E"/>
    <w:rsid w:val="0007000A"/>
    <w:rsid w:val="000724BF"/>
    <w:rsid w:val="00083A13"/>
    <w:rsid w:val="00092D89"/>
    <w:rsid w:val="00093285"/>
    <w:rsid w:val="00094922"/>
    <w:rsid w:val="000A19BC"/>
    <w:rsid w:val="000B4B08"/>
    <w:rsid w:val="000C2A41"/>
    <w:rsid w:val="000C3627"/>
    <w:rsid w:val="000C5D3F"/>
    <w:rsid w:val="000C7473"/>
    <w:rsid w:val="000D0B20"/>
    <w:rsid w:val="000D198A"/>
    <w:rsid w:val="000D7EDE"/>
    <w:rsid w:val="000E0BC5"/>
    <w:rsid w:val="000E526A"/>
    <w:rsid w:val="000E705A"/>
    <w:rsid w:val="000E7E88"/>
    <w:rsid w:val="000F08BE"/>
    <w:rsid w:val="000F0DA7"/>
    <w:rsid w:val="001007C3"/>
    <w:rsid w:val="001118A7"/>
    <w:rsid w:val="00111D3E"/>
    <w:rsid w:val="001138A5"/>
    <w:rsid w:val="00117C07"/>
    <w:rsid w:val="001234B2"/>
    <w:rsid w:val="001306AB"/>
    <w:rsid w:val="001338E2"/>
    <w:rsid w:val="00143212"/>
    <w:rsid w:val="00156706"/>
    <w:rsid w:val="00156848"/>
    <w:rsid w:val="00160577"/>
    <w:rsid w:val="0016317A"/>
    <w:rsid w:val="001705E1"/>
    <w:rsid w:val="00170E97"/>
    <w:rsid w:val="00174DC4"/>
    <w:rsid w:val="00177D45"/>
    <w:rsid w:val="00183009"/>
    <w:rsid w:val="00183559"/>
    <w:rsid w:val="00190A36"/>
    <w:rsid w:val="001920F6"/>
    <w:rsid w:val="001B1E86"/>
    <w:rsid w:val="001B29E9"/>
    <w:rsid w:val="001C1F96"/>
    <w:rsid w:val="001D3D1E"/>
    <w:rsid w:val="001E164F"/>
    <w:rsid w:val="001F1FCD"/>
    <w:rsid w:val="001F4C66"/>
    <w:rsid w:val="001F54E4"/>
    <w:rsid w:val="001F55D2"/>
    <w:rsid w:val="00216DAE"/>
    <w:rsid w:val="0022318F"/>
    <w:rsid w:val="002235D7"/>
    <w:rsid w:val="002244D3"/>
    <w:rsid w:val="00225D27"/>
    <w:rsid w:val="00230808"/>
    <w:rsid w:val="0023220D"/>
    <w:rsid w:val="00236BCF"/>
    <w:rsid w:val="00240C5A"/>
    <w:rsid w:val="00242E38"/>
    <w:rsid w:val="00247D7C"/>
    <w:rsid w:val="002527C0"/>
    <w:rsid w:val="00255220"/>
    <w:rsid w:val="002749C7"/>
    <w:rsid w:val="002749F2"/>
    <w:rsid w:val="0027623F"/>
    <w:rsid w:val="00277889"/>
    <w:rsid w:val="002779EE"/>
    <w:rsid w:val="00295B07"/>
    <w:rsid w:val="00296B26"/>
    <w:rsid w:val="00296FAF"/>
    <w:rsid w:val="002A115D"/>
    <w:rsid w:val="002A39A7"/>
    <w:rsid w:val="002A467F"/>
    <w:rsid w:val="002B0325"/>
    <w:rsid w:val="002B31E8"/>
    <w:rsid w:val="002B7624"/>
    <w:rsid w:val="002C1030"/>
    <w:rsid w:val="002D1064"/>
    <w:rsid w:val="002D3991"/>
    <w:rsid w:val="002E01C6"/>
    <w:rsid w:val="002E1D56"/>
    <w:rsid w:val="002E50C3"/>
    <w:rsid w:val="002F0A79"/>
    <w:rsid w:val="002F0F4A"/>
    <w:rsid w:val="002F5AA4"/>
    <w:rsid w:val="0030279F"/>
    <w:rsid w:val="003041B8"/>
    <w:rsid w:val="00304788"/>
    <w:rsid w:val="00304907"/>
    <w:rsid w:val="0030786B"/>
    <w:rsid w:val="00310D3E"/>
    <w:rsid w:val="00311DC6"/>
    <w:rsid w:val="00313726"/>
    <w:rsid w:val="00316CE6"/>
    <w:rsid w:val="00332920"/>
    <w:rsid w:val="00340548"/>
    <w:rsid w:val="00345684"/>
    <w:rsid w:val="00353A8D"/>
    <w:rsid w:val="00360389"/>
    <w:rsid w:val="00361253"/>
    <w:rsid w:val="003627B3"/>
    <w:rsid w:val="00372A65"/>
    <w:rsid w:val="003758F2"/>
    <w:rsid w:val="003810CD"/>
    <w:rsid w:val="00384310"/>
    <w:rsid w:val="003859EF"/>
    <w:rsid w:val="003877DE"/>
    <w:rsid w:val="003923E5"/>
    <w:rsid w:val="00394E06"/>
    <w:rsid w:val="003A039A"/>
    <w:rsid w:val="003A275D"/>
    <w:rsid w:val="003A484E"/>
    <w:rsid w:val="003A48D2"/>
    <w:rsid w:val="003A4F6F"/>
    <w:rsid w:val="003A7DF6"/>
    <w:rsid w:val="003A7EE8"/>
    <w:rsid w:val="003B19B2"/>
    <w:rsid w:val="003B1D77"/>
    <w:rsid w:val="003B3899"/>
    <w:rsid w:val="003B38D9"/>
    <w:rsid w:val="003B4062"/>
    <w:rsid w:val="003B6A75"/>
    <w:rsid w:val="003C0850"/>
    <w:rsid w:val="003C0925"/>
    <w:rsid w:val="003D25C4"/>
    <w:rsid w:val="003D4B45"/>
    <w:rsid w:val="003D58DF"/>
    <w:rsid w:val="003E07F7"/>
    <w:rsid w:val="003E3103"/>
    <w:rsid w:val="003E3AC1"/>
    <w:rsid w:val="003E6DAF"/>
    <w:rsid w:val="003F4F75"/>
    <w:rsid w:val="003F5877"/>
    <w:rsid w:val="003F79AE"/>
    <w:rsid w:val="004005A1"/>
    <w:rsid w:val="0040788A"/>
    <w:rsid w:val="00413F4B"/>
    <w:rsid w:val="0041720E"/>
    <w:rsid w:val="00425D31"/>
    <w:rsid w:val="00425FCA"/>
    <w:rsid w:val="00426FD4"/>
    <w:rsid w:val="00431C90"/>
    <w:rsid w:val="004324BB"/>
    <w:rsid w:val="0043555A"/>
    <w:rsid w:val="00441271"/>
    <w:rsid w:val="00441BAF"/>
    <w:rsid w:val="004462DF"/>
    <w:rsid w:val="004544E6"/>
    <w:rsid w:val="00464A34"/>
    <w:rsid w:val="00465052"/>
    <w:rsid w:val="00480C3D"/>
    <w:rsid w:val="00484436"/>
    <w:rsid w:val="00484495"/>
    <w:rsid w:val="00485492"/>
    <w:rsid w:val="00487FF4"/>
    <w:rsid w:val="004920A7"/>
    <w:rsid w:val="00497FAC"/>
    <w:rsid w:val="004B0DF5"/>
    <w:rsid w:val="004B0F86"/>
    <w:rsid w:val="004B4102"/>
    <w:rsid w:val="004B7850"/>
    <w:rsid w:val="004C1F90"/>
    <w:rsid w:val="004C4BE3"/>
    <w:rsid w:val="004D153A"/>
    <w:rsid w:val="004D238D"/>
    <w:rsid w:val="004D7FD4"/>
    <w:rsid w:val="004F0A2F"/>
    <w:rsid w:val="004F278B"/>
    <w:rsid w:val="004F3C8B"/>
    <w:rsid w:val="004F6789"/>
    <w:rsid w:val="004F6D05"/>
    <w:rsid w:val="0051191C"/>
    <w:rsid w:val="005124E9"/>
    <w:rsid w:val="00512FE7"/>
    <w:rsid w:val="00523472"/>
    <w:rsid w:val="005237DE"/>
    <w:rsid w:val="0052439D"/>
    <w:rsid w:val="00524D33"/>
    <w:rsid w:val="0053621E"/>
    <w:rsid w:val="00536259"/>
    <w:rsid w:val="005413A7"/>
    <w:rsid w:val="005430B7"/>
    <w:rsid w:val="00545AD9"/>
    <w:rsid w:val="005528E5"/>
    <w:rsid w:val="0055446F"/>
    <w:rsid w:val="005608DC"/>
    <w:rsid w:val="0056487B"/>
    <w:rsid w:val="00564B86"/>
    <w:rsid w:val="0056507D"/>
    <w:rsid w:val="0057234A"/>
    <w:rsid w:val="005729DC"/>
    <w:rsid w:val="00577A58"/>
    <w:rsid w:val="00591BF6"/>
    <w:rsid w:val="0059525F"/>
    <w:rsid w:val="0059752A"/>
    <w:rsid w:val="005A7241"/>
    <w:rsid w:val="005B03A5"/>
    <w:rsid w:val="005B22A1"/>
    <w:rsid w:val="005C1F5D"/>
    <w:rsid w:val="005C22C5"/>
    <w:rsid w:val="005D378C"/>
    <w:rsid w:val="005E15B4"/>
    <w:rsid w:val="005E2848"/>
    <w:rsid w:val="005E29F0"/>
    <w:rsid w:val="005E3E0C"/>
    <w:rsid w:val="005E4CCF"/>
    <w:rsid w:val="005E6E9D"/>
    <w:rsid w:val="005E7BB3"/>
    <w:rsid w:val="005F242A"/>
    <w:rsid w:val="005F3937"/>
    <w:rsid w:val="005F776E"/>
    <w:rsid w:val="006065C4"/>
    <w:rsid w:val="00610294"/>
    <w:rsid w:val="00615ABA"/>
    <w:rsid w:val="0062014F"/>
    <w:rsid w:val="00624671"/>
    <w:rsid w:val="006271CA"/>
    <w:rsid w:val="00633E90"/>
    <w:rsid w:val="00634C80"/>
    <w:rsid w:val="00634F24"/>
    <w:rsid w:val="00640116"/>
    <w:rsid w:val="0064411B"/>
    <w:rsid w:val="006470DF"/>
    <w:rsid w:val="00651B98"/>
    <w:rsid w:val="006529EA"/>
    <w:rsid w:val="006600E3"/>
    <w:rsid w:val="00665174"/>
    <w:rsid w:val="00683C3C"/>
    <w:rsid w:val="00684EE7"/>
    <w:rsid w:val="006923E6"/>
    <w:rsid w:val="006A06DF"/>
    <w:rsid w:val="006A2DE9"/>
    <w:rsid w:val="006B2774"/>
    <w:rsid w:val="006C4B6F"/>
    <w:rsid w:val="006C6FAB"/>
    <w:rsid w:val="006D792A"/>
    <w:rsid w:val="006E0B68"/>
    <w:rsid w:val="006E1E30"/>
    <w:rsid w:val="006E2C6C"/>
    <w:rsid w:val="006E31BC"/>
    <w:rsid w:val="006F2182"/>
    <w:rsid w:val="006F3FEC"/>
    <w:rsid w:val="006F4F27"/>
    <w:rsid w:val="006F5FF3"/>
    <w:rsid w:val="006F7D85"/>
    <w:rsid w:val="00701139"/>
    <w:rsid w:val="00701FF9"/>
    <w:rsid w:val="007121CB"/>
    <w:rsid w:val="007146A1"/>
    <w:rsid w:val="00721393"/>
    <w:rsid w:val="00722ABF"/>
    <w:rsid w:val="00723F67"/>
    <w:rsid w:val="00724322"/>
    <w:rsid w:val="007250FD"/>
    <w:rsid w:val="00727D8E"/>
    <w:rsid w:val="007363AC"/>
    <w:rsid w:val="00742C23"/>
    <w:rsid w:val="00743C9B"/>
    <w:rsid w:val="00753331"/>
    <w:rsid w:val="0075553B"/>
    <w:rsid w:val="00755EC0"/>
    <w:rsid w:val="0076202B"/>
    <w:rsid w:val="00762DA0"/>
    <w:rsid w:val="00772EA0"/>
    <w:rsid w:val="00773AF6"/>
    <w:rsid w:val="007742A6"/>
    <w:rsid w:val="00776469"/>
    <w:rsid w:val="0078503A"/>
    <w:rsid w:val="007859F9"/>
    <w:rsid w:val="0078761A"/>
    <w:rsid w:val="00792001"/>
    <w:rsid w:val="0079657A"/>
    <w:rsid w:val="007A0C22"/>
    <w:rsid w:val="007A4F76"/>
    <w:rsid w:val="007A52C5"/>
    <w:rsid w:val="007A5B14"/>
    <w:rsid w:val="007B3CAC"/>
    <w:rsid w:val="007C6846"/>
    <w:rsid w:val="007C6CF6"/>
    <w:rsid w:val="007D160E"/>
    <w:rsid w:val="007E228F"/>
    <w:rsid w:val="007F18CE"/>
    <w:rsid w:val="007F496A"/>
    <w:rsid w:val="007F568C"/>
    <w:rsid w:val="007F5D5A"/>
    <w:rsid w:val="007F7D16"/>
    <w:rsid w:val="00800683"/>
    <w:rsid w:val="00806AAF"/>
    <w:rsid w:val="00814B04"/>
    <w:rsid w:val="00817116"/>
    <w:rsid w:val="00822058"/>
    <w:rsid w:val="0082365B"/>
    <w:rsid w:val="00824F4C"/>
    <w:rsid w:val="008329B7"/>
    <w:rsid w:val="00834D77"/>
    <w:rsid w:val="00844659"/>
    <w:rsid w:val="0085108D"/>
    <w:rsid w:val="0085583C"/>
    <w:rsid w:val="00857CDA"/>
    <w:rsid w:val="0086215C"/>
    <w:rsid w:val="008670AD"/>
    <w:rsid w:val="00874894"/>
    <w:rsid w:val="0088115C"/>
    <w:rsid w:val="00882179"/>
    <w:rsid w:val="00883326"/>
    <w:rsid w:val="008927EB"/>
    <w:rsid w:val="008A5CAC"/>
    <w:rsid w:val="008A6B66"/>
    <w:rsid w:val="008B57F7"/>
    <w:rsid w:val="008B7EF5"/>
    <w:rsid w:val="008C4074"/>
    <w:rsid w:val="008C7657"/>
    <w:rsid w:val="008D01EC"/>
    <w:rsid w:val="008D688B"/>
    <w:rsid w:val="008D7A68"/>
    <w:rsid w:val="008E19D3"/>
    <w:rsid w:val="008E1C29"/>
    <w:rsid w:val="008E67CE"/>
    <w:rsid w:val="008E6B78"/>
    <w:rsid w:val="008F2A17"/>
    <w:rsid w:val="008F6F1D"/>
    <w:rsid w:val="008F7382"/>
    <w:rsid w:val="009032AA"/>
    <w:rsid w:val="00904CFE"/>
    <w:rsid w:val="00905B07"/>
    <w:rsid w:val="00910893"/>
    <w:rsid w:val="00923DDA"/>
    <w:rsid w:val="0092404E"/>
    <w:rsid w:val="00930CA3"/>
    <w:rsid w:val="0094062E"/>
    <w:rsid w:val="009416D6"/>
    <w:rsid w:val="00941D42"/>
    <w:rsid w:val="00951B14"/>
    <w:rsid w:val="0095282E"/>
    <w:rsid w:val="009550B8"/>
    <w:rsid w:val="00955F33"/>
    <w:rsid w:val="00962079"/>
    <w:rsid w:val="009633E3"/>
    <w:rsid w:val="009635C8"/>
    <w:rsid w:val="00965F93"/>
    <w:rsid w:val="009700DE"/>
    <w:rsid w:val="009712E2"/>
    <w:rsid w:val="00973D3F"/>
    <w:rsid w:val="0098146F"/>
    <w:rsid w:val="009825C8"/>
    <w:rsid w:val="00985FB0"/>
    <w:rsid w:val="009A191E"/>
    <w:rsid w:val="009A48FC"/>
    <w:rsid w:val="009B0ACF"/>
    <w:rsid w:val="009B5018"/>
    <w:rsid w:val="009B789F"/>
    <w:rsid w:val="009C1AD2"/>
    <w:rsid w:val="009D00C2"/>
    <w:rsid w:val="009D1886"/>
    <w:rsid w:val="009D37F0"/>
    <w:rsid w:val="009E7181"/>
    <w:rsid w:val="009F0BDA"/>
    <w:rsid w:val="009F262E"/>
    <w:rsid w:val="009F62E1"/>
    <w:rsid w:val="00A07BA5"/>
    <w:rsid w:val="00A109F8"/>
    <w:rsid w:val="00A15DC0"/>
    <w:rsid w:val="00A200A1"/>
    <w:rsid w:val="00A22BE9"/>
    <w:rsid w:val="00A25469"/>
    <w:rsid w:val="00A30662"/>
    <w:rsid w:val="00A355B2"/>
    <w:rsid w:val="00A40EB6"/>
    <w:rsid w:val="00A41F5C"/>
    <w:rsid w:val="00A4404B"/>
    <w:rsid w:val="00A4454D"/>
    <w:rsid w:val="00A46E10"/>
    <w:rsid w:val="00A51A85"/>
    <w:rsid w:val="00A544E7"/>
    <w:rsid w:val="00A575E3"/>
    <w:rsid w:val="00A618BA"/>
    <w:rsid w:val="00A61B05"/>
    <w:rsid w:val="00A63885"/>
    <w:rsid w:val="00A74CAC"/>
    <w:rsid w:val="00A80E6E"/>
    <w:rsid w:val="00A85A50"/>
    <w:rsid w:val="00A9745A"/>
    <w:rsid w:val="00AA28A3"/>
    <w:rsid w:val="00AA6715"/>
    <w:rsid w:val="00AA68BD"/>
    <w:rsid w:val="00AA7FD1"/>
    <w:rsid w:val="00AB297D"/>
    <w:rsid w:val="00AB5420"/>
    <w:rsid w:val="00AB6941"/>
    <w:rsid w:val="00AC24FE"/>
    <w:rsid w:val="00AC41ED"/>
    <w:rsid w:val="00AD1B85"/>
    <w:rsid w:val="00AD423D"/>
    <w:rsid w:val="00AD6812"/>
    <w:rsid w:val="00AE17A4"/>
    <w:rsid w:val="00AF14FC"/>
    <w:rsid w:val="00AF2032"/>
    <w:rsid w:val="00AF4614"/>
    <w:rsid w:val="00AF4FD7"/>
    <w:rsid w:val="00AF5443"/>
    <w:rsid w:val="00AF601D"/>
    <w:rsid w:val="00B01FFD"/>
    <w:rsid w:val="00B05301"/>
    <w:rsid w:val="00B15725"/>
    <w:rsid w:val="00B17A20"/>
    <w:rsid w:val="00B20D9A"/>
    <w:rsid w:val="00B21A6D"/>
    <w:rsid w:val="00B22FAD"/>
    <w:rsid w:val="00B248F9"/>
    <w:rsid w:val="00B325E3"/>
    <w:rsid w:val="00B35D3E"/>
    <w:rsid w:val="00B35EB4"/>
    <w:rsid w:val="00B3652E"/>
    <w:rsid w:val="00B377CB"/>
    <w:rsid w:val="00B402ED"/>
    <w:rsid w:val="00B4210B"/>
    <w:rsid w:val="00B46BF9"/>
    <w:rsid w:val="00B47B0B"/>
    <w:rsid w:val="00B525AF"/>
    <w:rsid w:val="00B53A9B"/>
    <w:rsid w:val="00B550A7"/>
    <w:rsid w:val="00B57016"/>
    <w:rsid w:val="00B633F6"/>
    <w:rsid w:val="00B66056"/>
    <w:rsid w:val="00B70EBE"/>
    <w:rsid w:val="00B738C2"/>
    <w:rsid w:val="00B74196"/>
    <w:rsid w:val="00B769C1"/>
    <w:rsid w:val="00B776F1"/>
    <w:rsid w:val="00B80A0C"/>
    <w:rsid w:val="00B84E6E"/>
    <w:rsid w:val="00B91874"/>
    <w:rsid w:val="00B94D41"/>
    <w:rsid w:val="00B97D5E"/>
    <w:rsid w:val="00BC519B"/>
    <w:rsid w:val="00BC7274"/>
    <w:rsid w:val="00BD1ECB"/>
    <w:rsid w:val="00BD213F"/>
    <w:rsid w:val="00BE5465"/>
    <w:rsid w:val="00BE628A"/>
    <w:rsid w:val="00BE6D91"/>
    <w:rsid w:val="00BF2944"/>
    <w:rsid w:val="00C02CEF"/>
    <w:rsid w:val="00C05500"/>
    <w:rsid w:val="00C06649"/>
    <w:rsid w:val="00C10C04"/>
    <w:rsid w:val="00C1149F"/>
    <w:rsid w:val="00C13C5D"/>
    <w:rsid w:val="00C30376"/>
    <w:rsid w:val="00C35D5A"/>
    <w:rsid w:val="00C36EA4"/>
    <w:rsid w:val="00C40A25"/>
    <w:rsid w:val="00C40AA7"/>
    <w:rsid w:val="00C509E2"/>
    <w:rsid w:val="00C55833"/>
    <w:rsid w:val="00C60548"/>
    <w:rsid w:val="00C6058A"/>
    <w:rsid w:val="00C63169"/>
    <w:rsid w:val="00C64DAD"/>
    <w:rsid w:val="00C74E7C"/>
    <w:rsid w:val="00C80EF2"/>
    <w:rsid w:val="00C811B8"/>
    <w:rsid w:val="00C86052"/>
    <w:rsid w:val="00C87867"/>
    <w:rsid w:val="00C943D4"/>
    <w:rsid w:val="00C948ED"/>
    <w:rsid w:val="00CA130E"/>
    <w:rsid w:val="00CA2DD0"/>
    <w:rsid w:val="00CA4854"/>
    <w:rsid w:val="00CA4F35"/>
    <w:rsid w:val="00CB3FEF"/>
    <w:rsid w:val="00CB696D"/>
    <w:rsid w:val="00CB7747"/>
    <w:rsid w:val="00CC3423"/>
    <w:rsid w:val="00CF00A0"/>
    <w:rsid w:val="00CF21AD"/>
    <w:rsid w:val="00CF28B7"/>
    <w:rsid w:val="00CF51F6"/>
    <w:rsid w:val="00D00C5B"/>
    <w:rsid w:val="00D116B3"/>
    <w:rsid w:val="00D215FA"/>
    <w:rsid w:val="00D22251"/>
    <w:rsid w:val="00D22634"/>
    <w:rsid w:val="00D25B23"/>
    <w:rsid w:val="00D303D5"/>
    <w:rsid w:val="00D33386"/>
    <w:rsid w:val="00D3471A"/>
    <w:rsid w:val="00D44AE4"/>
    <w:rsid w:val="00D44F76"/>
    <w:rsid w:val="00D460FA"/>
    <w:rsid w:val="00D47F58"/>
    <w:rsid w:val="00D52703"/>
    <w:rsid w:val="00D72F26"/>
    <w:rsid w:val="00D74F41"/>
    <w:rsid w:val="00D76986"/>
    <w:rsid w:val="00D80190"/>
    <w:rsid w:val="00D87292"/>
    <w:rsid w:val="00D87680"/>
    <w:rsid w:val="00D905E9"/>
    <w:rsid w:val="00D96401"/>
    <w:rsid w:val="00D96AFA"/>
    <w:rsid w:val="00DA65A0"/>
    <w:rsid w:val="00DB2495"/>
    <w:rsid w:val="00DB3532"/>
    <w:rsid w:val="00DC0BD7"/>
    <w:rsid w:val="00DC5EEE"/>
    <w:rsid w:val="00DD0E19"/>
    <w:rsid w:val="00DD31FB"/>
    <w:rsid w:val="00DD7006"/>
    <w:rsid w:val="00DE0A7D"/>
    <w:rsid w:val="00DE2FAB"/>
    <w:rsid w:val="00DE5D0C"/>
    <w:rsid w:val="00DF32DF"/>
    <w:rsid w:val="00E07578"/>
    <w:rsid w:val="00E2131C"/>
    <w:rsid w:val="00E329F8"/>
    <w:rsid w:val="00E4358F"/>
    <w:rsid w:val="00E4390E"/>
    <w:rsid w:val="00E44E8A"/>
    <w:rsid w:val="00E45DFC"/>
    <w:rsid w:val="00E46FF2"/>
    <w:rsid w:val="00E536EE"/>
    <w:rsid w:val="00E53809"/>
    <w:rsid w:val="00E53C13"/>
    <w:rsid w:val="00E57798"/>
    <w:rsid w:val="00E6005F"/>
    <w:rsid w:val="00E625CD"/>
    <w:rsid w:val="00E6350C"/>
    <w:rsid w:val="00E70073"/>
    <w:rsid w:val="00E7114E"/>
    <w:rsid w:val="00E91395"/>
    <w:rsid w:val="00E92258"/>
    <w:rsid w:val="00E94485"/>
    <w:rsid w:val="00E94C4F"/>
    <w:rsid w:val="00EC0909"/>
    <w:rsid w:val="00ED131E"/>
    <w:rsid w:val="00ED2CD2"/>
    <w:rsid w:val="00ED2F75"/>
    <w:rsid w:val="00ED3E75"/>
    <w:rsid w:val="00ED3FAD"/>
    <w:rsid w:val="00EE0D32"/>
    <w:rsid w:val="00F05970"/>
    <w:rsid w:val="00F229AC"/>
    <w:rsid w:val="00F23306"/>
    <w:rsid w:val="00F24CF5"/>
    <w:rsid w:val="00F26017"/>
    <w:rsid w:val="00F26ACF"/>
    <w:rsid w:val="00F31545"/>
    <w:rsid w:val="00F401CC"/>
    <w:rsid w:val="00F409D6"/>
    <w:rsid w:val="00F42848"/>
    <w:rsid w:val="00F46688"/>
    <w:rsid w:val="00F56A50"/>
    <w:rsid w:val="00F57F09"/>
    <w:rsid w:val="00F62540"/>
    <w:rsid w:val="00F6502C"/>
    <w:rsid w:val="00F71B1F"/>
    <w:rsid w:val="00F749C0"/>
    <w:rsid w:val="00F76340"/>
    <w:rsid w:val="00F86FD3"/>
    <w:rsid w:val="00F92DF9"/>
    <w:rsid w:val="00F93B8D"/>
    <w:rsid w:val="00F97D1C"/>
    <w:rsid w:val="00FA0BD1"/>
    <w:rsid w:val="00FA68F9"/>
    <w:rsid w:val="00FB038A"/>
    <w:rsid w:val="00FB0CF1"/>
    <w:rsid w:val="00FB0DA2"/>
    <w:rsid w:val="00FB4547"/>
    <w:rsid w:val="00FB69BC"/>
    <w:rsid w:val="00FC2038"/>
    <w:rsid w:val="00FC5106"/>
    <w:rsid w:val="00FD1F51"/>
    <w:rsid w:val="00FD6F01"/>
    <w:rsid w:val="00FE018F"/>
    <w:rsid w:val="00FE3663"/>
    <w:rsid w:val="00FE4A3A"/>
    <w:rsid w:val="00FE78B8"/>
    <w:rsid w:val="00FF404C"/>
    <w:rsid w:val="00FF6224"/>
    <w:rsid w:val="00FF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40"/>
    <w:rPr>
      <w:sz w:val="24"/>
      <w:szCs w:val="24"/>
    </w:rPr>
  </w:style>
  <w:style w:type="paragraph" w:styleId="Heading1">
    <w:name w:val="heading 1"/>
    <w:basedOn w:val="Normal"/>
    <w:next w:val="Normal"/>
    <w:link w:val="Heading1Char"/>
    <w:uiPriority w:val="99"/>
    <w:qFormat/>
    <w:rsid w:val="00F05970"/>
    <w:pPr>
      <w:keepNext/>
      <w:widowControl w:val="0"/>
      <w:tabs>
        <w:tab w:val="left" w:pos="0"/>
        <w:tab w:val="righ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E5465"/>
    <w:rPr>
      <w:rFonts w:ascii="Cambria" w:hAnsi="Cambria" w:cs="Times New Roman"/>
      <w:b/>
      <w:bCs/>
      <w:kern w:val="32"/>
      <w:sz w:val="32"/>
      <w:szCs w:val="32"/>
    </w:rPr>
  </w:style>
  <w:style w:type="paragraph" w:styleId="BalloonText">
    <w:name w:val="Balloon Text"/>
    <w:basedOn w:val="Normal"/>
    <w:link w:val="BalloonTextChar"/>
    <w:uiPriority w:val="99"/>
    <w:semiHidden/>
    <w:rsid w:val="0027623F"/>
    <w:rPr>
      <w:rFonts w:ascii="Tahoma" w:hAnsi="Tahoma" w:cs="Tahoma"/>
      <w:sz w:val="16"/>
      <w:szCs w:val="16"/>
    </w:rPr>
  </w:style>
  <w:style w:type="character" w:customStyle="1" w:styleId="BalloonTextChar">
    <w:name w:val="Balloon Text Char"/>
    <w:link w:val="BalloonText"/>
    <w:uiPriority w:val="99"/>
    <w:semiHidden/>
    <w:locked/>
    <w:rsid w:val="00BE5465"/>
    <w:rPr>
      <w:rFonts w:cs="Times New Roman"/>
      <w:sz w:val="2"/>
    </w:rPr>
  </w:style>
  <w:style w:type="character" w:styleId="Hyperlink">
    <w:name w:val="Hyperlink"/>
    <w:uiPriority w:val="99"/>
    <w:rsid w:val="001007C3"/>
    <w:rPr>
      <w:rFonts w:cs="Times New Roman"/>
      <w:color w:val="0000FF"/>
      <w:u w:val="single"/>
    </w:rPr>
  </w:style>
  <w:style w:type="paragraph" w:styleId="ListParagraph">
    <w:name w:val="List Paragraph"/>
    <w:basedOn w:val="Normal"/>
    <w:uiPriority w:val="99"/>
    <w:qFormat/>
    <w:rsid w:val="00824F4C"/>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F05970"/>
    <w:pPr>
      <w:widowControl w:val="0"/>
      <w:tabs>
        <w:tab w:val="center" w:pos="4320"/>
        <w:tab w:val="right" w:pos="8640"/>
      </w:tabs>
      <w:autoSpaceDE w:val="0"/>
      <w:autoSpaceDN w:val="0"/>
      <w:adjustRightInd w:val="0"/>
    </w:pPr>
  </w:style>
  <w:style w:type="character" w:customStyle="1" w:styleId="HeaderChar">
    <w:name w:val="Header Char"/>
    <w:link w:val="Header"/>
    <w:uiPriority w:val="99"/>
    <w:semiHidden/>
    <w:locked/>
    <w:rsid w:val="00BE5465"/>
    <w:rPr>
      <w:rFonts w:cs="Times New Roman"/>
      <w:sz w:val="24"/>
      <w:szCs w:val="24"/>
    </w:rPr>
  </w:style>
  <w:style w:type="paragraph" w:styleId="Footer">
    <w:name w:val="footer"/>
    <w:basedOn w:val="Normal"/>
    <w:link w:val="FooterChar"/>
    <w:uiPriority w:val="99"/>
    <w:rsid w:val="004005A1"/>
    <w:pPr>
      <w:tabs>
        <w:tab w:val="center" w:pos="4320"/>
        <w:tab w:val="right" w:pos="8640"/>
      </w:tabs>
    </w:pPr>
  </w:style>
  <w:style w:type="character" w:customStyle="1" w:styleId="FooterChar">
    <w:name w:val="Footer Char"/>
    <w:link w:val="Footer"/>
    <w:uiPriority w:val="99"/>
    <w:semiHidden/>
    <w:locked/>
    <w:rsid w:val="00BE5465"/>
    <w:rPr>
      <w:rFonts w:cs="Times New Roman"/>
      <w:sz w:val="24"/>
      <w:szCs w:val="24"/>
    </w:rPr>
  </w:style>
  <w:style w:type="character" w:customStyle="1" w:styleId="footnoteref">
    <w:name w:val="footnote ref"/>
    <w:uiPriority w:val="99"/>
    <w:rsid w:val="00665174"/>
  </w:style>
  <w:style w:type="table" w:styleId="TableGrid">
    <w:name w:val="Table Grid"/>
    <w:basedOn w:val="TableNormal"/>
    <w:rsid w:val="00252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F242A"/>
    <w:rPr>
      <w:sz w:val="20"/>
      <w:szCs w:val="20"/>
    </w:rPr>
  </w:style>
  <w:style w:type="character" w:customStyle="1" w:styleId="FootnoteTextChar">
    <w:name w:val="Footnote Text Char"/>
    <w:link w:val="FootnoteText"/>
    <w:semiHidden/>
    <w:locked/>
    <w:rsid w:val="00BE5465"/>
    <w:rPr>
      <w:rFonts w:cs="Times New Roman"/>
      <w:sz w:val="20"/>
      <w:szCs w:val="20"/>
    </w:rPr>
  </w:style>
  <w:style w:type="character" w:styleId="FootnoteReference">
    <w:name w:val="footnote reference"/>
    <w:semiHidden/>
    <w:rsid w:val="005F242A"/>
    <w:rPr>
      <w:rFonts w:cs="Times New Roman"/>
      <w:vertAlign w:val="superscript"/>
    </w:rPr>
  </w:style>
  <w:style w:type="character" w:styleId="CommentReference">
    <w:name w:val="annotation reference"/>
    <w:uiPriority w:val="99"/>
    <w:semiHidden/>
    <w:rsid w:val="00D33386"/>
    <w:rPr>
      <w:rFonts w:cs="Times New Roman"/>
      <w:sz w:val="16"/>
      <w:szCs w:val="16"/>
    </w:rPr>
  </w:style>
  <w:style w:type="paragraph" w:styleId="CommentText">
    <w:name w:val="annotation text"/>
    <w:basedOn w:val="Normal"/>
    <w:link w:val="CommentTextChar"/>
    <w:uiPriority w:val="99"/>
    <w:semiHidden/>
    <w:rsid w:val="00D33386"/>
    <w:rPr>
      <w:sz w:val="20"/>
      <w:szCs w:val="20"/>
    </w:rPr>
  </w:style>
  <w:style w:type="character" w:customStyle="1" w:styleId="CommentTextChar">
    <w:name w:val="Comment Text Char"/>
    <w:link w:val="CommentText"/>
    <w:uiPriority w:val="99"/>
    <w:semiHidden/>
    <w:locked/>
    <w:rsid w:val="00BE5465"/>
    <w:rPr>
      <w:rFonts w:cs="Times New Roman"/>
      <w:sz w:val="20"/>
      <w:szCs w:val="20"/>
    </w:rPr>
  </w:style>
  <w:style w:type="paragraph" w:styleId="CommentSubject">
    <w:name w:val="annotation subject"/>
    <w:basedOn w:val="CommentText"/>
    <w:next w:val="CommentText"/>
    <w:link w:val="CommentSubjectChar"/>
    <w:uiPriority w:val="99"/>
    <w:semiHidden/>
    <w:rsid w:val="00D33386"/>
    <w:rPr>
      <w:b/>
      <w:bCs/>
    </w:rPr>
  </w:style>
  <w:style w:type="character" w:customStyle="1" w:styleId="CommentSubjectChar">
    <w:name w:val="Comment Subject Char"/>
    <w:link w:val="CommentSubject"/>
    <w:uiPriority w:val="99"/>
    <w:semiHidden/>
    <w:locked/>
    <w:rsid w:val="00BE5465"/>
    <w:rPr>
      <w:rFonts w:cs="Times New Roman"/>
      <w:b/>
      <w:bCs/>
      <w:sz w:val="20"/>
      <w:szCs w:val="20"/>
    </w:rPr>
  </w:style>
  <w:style w:type="paragraph" w:styleId="Revision">
    <w:name w:val="Revision"/>
    <w:hidden/>
    <w:uiPriority w:val="99"/>
    <w:semiHidden/>
    <w:rsid w:val="003041B8"/>
    <w:rPr>
      <w:sz w:val="24"/>
      <w:szCs w:val="24"/>
    </w:rPr>
  </w:style>
  <w:style w:type="paragraph" w:styleId="ListBullet">
    <w:name w:val="List Bullet"/>
    <w:basedOn w:val="Normal"/>
    <w:uiPriority w:val="99"/>
    <w:unhideWhenUsed/>
    <w:rsid w:val="004B4102"/>
    <w:pPr>
      <w:numPr>
        <w:numId w:val="4"/>
      </w:numPr>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40"/>
    <w:rPr>
      <w:sz w:val="24"/>
      <w:szCs w:val="24"/>
    </w:rPr>
  </w:style>
  <w:style w:type="paragraph" w:styleId="Heading1">
    <w:name w:val="heading 1"/>
    <w:basedOn w:val="Normal"/>
    <w:next w:val="Normal"/>
    <w:link w:val="Heading1Char"/>
    <w:uiPriority w:val="99"/>
    <w:qFormat/>
    <w:rsid w:val="00F05970"/>
    <w:pPr>
      <w:keepNext/>
      <w:widowControl w:val="0"/>
      <w:tabs>
        <w:tab w:val="left" w:pos="0"/>
        <w:tab w:val="righ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E5465"/>
    <w:rPr>
      <w:rFonts w:ascii="Cambria" w:hAnsi="Cambria" w:cs="Times New Roman"/>
      <w:b/>
      <w:bCs/>
      <w:kern w:val="32"/>
      <w:sz w:val="32"/>
      <w:szCs w:val="32"/>
    </w:rPr>
  </w:style>
  <w:style w:type="paragraph" w:styleId="BalloonText">
    <w:name w:val="Balloon Text"/>
    <w:basedOn w:val="Normal"/>
    <w:link w:val="BalloonTextChar"/>
    <w:uiPriority w:val="99"/>
    <w:semiHidden/>
    <w:rsid w:val="0027623F"/>
    <w:rPr>
      <w:rFonts w:ascii="Tahoma" w:hAnsi="Tahoma" w:cs="Tahoma"/>
      <w:sz w:val="16"/>
      <w:szCs w:val="16"/>
    </w:rPr>
  </w:style>
  <w:style w:type="character" w:customStyle="1" w:styleId="BalloonTextChar">
    <w:name w:val="Balloon Text Char"/>
    <w:link w:val="BalloonText"/>
    <w:uiPriority w:val="99"/>
    <w:semiHidden/>
    <w:locked/>
    <w:rsid w:val="00BE5465"/>
    <w:rPr>
      <w:rFonts w:cs="Times New Roman"/>
      <w:sz w:val="2"/>
    </w:rPr>
  </w:style>
  <w:style w:type="character" w:styleId="Hyperlink">
    <w:name w:val="Hyperlink"/>
    <w:uiPriority w:val="99"/>
    <w:rsid w:val="001007C3"/>
    <w:rPr>
      <w:rFonts w:cs="Times New Roman"/>
      <w:color w:val="0000FF"/>
      <w:u w:val="single"/>
    </w:rPr>
  </w:style>
  <w:style w:type="paragraph" w:styleId="ListParagraph">
    <w:name w:val="List Paragraph"/>
    <w:basedOn w:val="Normal"/>
    <w:uiPriority w:val="99"/>
    <w:qFormat/>
    <w:rsid w:val="00824F4C"/>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F05970"/>
    <w:pPr>
      <w:widowControl w:val="0"/>
      <w:tabs>
        <w:tab w:val="center" w:pos="4320"/>
        <w:tab w:val="right" w:pos="8640"/>
      </w:tabs>
      <w:autoSpaceDE w:val="0"/>
      <w:autoSpaceDN w:val="0"/>
      <w:adjustRightInd w:val="0"/>
    </w:pPr>
  </w:style>
  <w:style w:type="character" w:customStyle="1" w:styleId="HeaderChar">
    <w:name w:val="Header Char"/>
    <w:link w:val="Header"/>
    <w:uiPriority w:val="99"/>
    <w:semiHidden/>
    <w:locked/>
    <w:rsid w:val="00BE5465"/>
    <w:rPr>
      <w:rFonts w:cs="Times New Roman"/>
      <w:sz w:val="24"/>
      <w:szCs w:val="24"/>
    </w:rPr>
  </w:style>
  <w:style w:type="paragraph" w:styleId="Footer">
    <w:name w:val="footer"/>
    <w:basedOn w:val="Normal"/>
    <w:link w:val="FooterChar"/>
    <w:uiPriority w:val="99"/>
    <w:rsid w:val="004005A1"/>
    <w:pPr>
      <w:tabs>
        <w:tab w:val="center" w:pos="4320"/>
        <w:tab w:val="right" w:pos="8640"/>
      </w:tabs>
    </w:pPr>
  </w:style>
  <w:style w:type="character" w:customStyle="1" w:styleId="FooterChar">
    <w:name w:val="Footer Char"/>
    <w:link w:val="Footer"/>
    <w:uiPriority w:val="99"/>
    <w:semiHidden/>
    <w:locked/>
    <w:rsid w:val="00BE5465"/>
    <w:rPr>
      <w:rFonts w:cs="Times New Roman"/>
      <w:sz w:val="24"/>
      <w:szCs w:val="24"/>
    </w:rPr>
  </w:style>
  <w:style w:type="character" w:customStyle="1" w:styleId="footnoteref">
    <w:name w:val="footnote ref"/>
    <w:uiPriority w:val="99"/>
    <w:rsid w:val="00665174"/>
  </w:style>
  <w:style w:type="table" w:styleId="TableGrid">
    <w:name w:val="Table Grid"/>
    <w:basedOn w:val="TableNormal"/>
    <w:rsid w:val="00252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F242A"/>
    <w:rPr>
      <w:sz w:val="20"/>
      <w:szCs w:val="20"/>
    </w:rPr>
  </w:style>
  <w:style w:type="character" w:customStyle="1" w:styleId="FootnoteTextChar">
    <w:name w:val="Footnote Text Char"/>
    <w:link w:val="FootnoteText"/>
    <w:semiHidden/>
    <w:locked/>
    <w:rsid w:val="00BE5465"/>
    <w:rPr>
      <w:rFonts w:cs="Times New Roman"/>
      <w:sz w:val="20"/>
      <w:szCs w:val="20"/>
    </w:rPr>
  </w:style>
  <w:style w:type="character" w:styleId="FootnoteReference">
    <w:name w:val="footnote reference"/>
    <w:semiHidden/>
    <w:rsid w:val="005F242A"/>
    <w:rPr>
      <w:rFonts w:cs="Times New Roman"/>
      <w:vertAlign w:val="superscript"/>
    </w:rPr>
  </w:style>
  <w:style w:type="character" w:styleId="CommentReference">
    <w:name w:val="annotation reference"/>
    <w:uiPriority w:val="99"/>
    <w:semiHidden/>
    <w:rsid w:val="00D33386"/>
    <w:rPr>
      <w:rFonts w:cs="Times New Roman"/>
      <w:sz w:val="16"/>
      <w:szCs w:val="16"/>
    </w:rPr>
  </w:style>
  <w:style w:type="paragraph" w:styleId="CommentText">
    <w:name w:val="annotation text"/>
    <w:basedOn w:val="Normal"/>
    <w:link w:val="CommentTextChar"/>
    <w:uiPriority w:val="99"/>
    <w:semiHidden/>
    <w:rsid w:val="00D33386"/>
    <w:rPr>
      <w:sz w:val="20"/>
      <w:szCs w:val="20"/>
    </w:rPr>
  </w:style>
  <w:style w:type="character" w:customStyle="1" w:styleId="CommentTextChar">
    <w:name w:val="Comment Text Char"/>
    <w:link w:val="CommentText"/>
    <w:uiPriority w:val="99"/>
    <w:semiHidden/>
    <w:locked/>
    <w:rsid w:val="00BE5465"/>
    <w:rPr>
      <w:rFonts w:cs="Times New Roman"/>
      <w:sz w:val="20"/>
      <w:szCs w:val="20"/>
    </w:rPr>
  </w:style>
  <w:style w:type="paragraph" w:styleId="CommentSubject">
    <w:name w:val="annotation subject"/>
    <w:basedOn w:val="CommentText"/>
    <w:next w:val="CommentText"/>
    <w:link w:val="CommentSubjectChar"/>
    <w:uiPriority w:val="99"/>
    <w:semiHidden/>
    <w:rsid w:val="00D33386"/>
    <w:rPr>
      <w:b/>
      <w:bCs/>
    </w:rPr>
  </w:style>
  <w:style w:type="character" w:customStyle="1" w:styleId="CommentSubjectChar">
    <w:name w:val="Comment Subject Char"/>
    <w:link w:val="CommentSubject"/>
    <w:uiPriority w:val="99"/>
    <w:semiHidden/>
    <w:locked/>
    <w:rsid w:val="00BE5465"/>
    <w:rPr>
      <w:rFonts w:cs="Times New Roman"/>
      <w:b/>
      <w:bCs/>
      <w:sz w:val="20"/>
      <w:szCs w:val="20"/>
    </w:rPr>
  </w:style>
  <w:style w:type="paragraph" w:styleId="Revision">
    <w:name w:val="Revision"/>
    <w:hidden/>
    <w:uiPriority w:val="99"/>
    <w:semiHidden/>
    <w:rsid w:val="003041B8"/>
    <w:rPr>
      <w:sz w:val="24"/>
      <w:szCs w:val="24"/>
    </w:rPr>
  </w:style>
  <w:style w:type="paragraph" w:styleId="ListBullet">
    <w:name w:val="List Bullet"/>
    <w:basedOn w:val="Normal"/>
    <w:uiPriority w:val="99"/>
    <w:unhideWhenUsed/>
    <w:rsid w:val="004B4102"/>
    <w:pPr>
      <w:numPr>
        <w:numId w:val="4"/>
      </w:numPr>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95718">
      <w:bodyDiv w:val="1"/>
      <w:marLeft w:val="0"/>
      <w:marRight w:val="0"/>
      <w:marTop w:val="0"/>
      <w:marBottom w:val="0"/>
      <w:divBdr>
        <w:top w:val="none" w:sz="0" w:space="0" w:color="auto"/>
        <w:left w:val="none" w:sz="0" w:space="0" w:color="auto"/>
        <w:bottom w:val="none" w:sz="0" w:space="0" w:color="auto"/>
        <w:right w:val="none" w:sz="0" w:space="0" w:color="auto"/>
      </w:divBdr>
      <w:divsChild>
        <w:div w:id="1843427097">
          <w:marLeft w:val="547"/>
          <w:marRight w:val="0"/>
          <w:marTop w:val="130"/>
          <w:marBottom w:val="0"/>
          <w:divBdr>
            <w:top w:val="none" w:sz="0" w:space="0" w:color="auto"/>
            <w:left w:val="none" w:sz="0" w:space="0" w:color="auto"/>
            <w:bottom w:val="none" w:sz="0" w:space="0" w:color="auto"/>
            <w:right w:val="none" w:sz="0" w:space="0" w:color="auto"/>
          </w:divBdr>
        </w:div>
      </w:divsChild>
    </w:div>
    <w:div w:id="1352756492">
      <w:bodyDiv w:val="1"/>
      <w:marLeft w:val="0"/>
      <w:marRight w:val="0"/>
      <w:marTop w:val="0"/>
      <w:marBottom w:val="0"/>
      <w:divBdr>
        <w:top w:val="none" w:sz="0" w:space="0" w:color="auto"/>
        <w:left w:val="none" w:sz="0" w:space="0" w:color="auto"/>
        <w:bottom w:val="none" w:sz="0" w:space="0" w:color="auto"/>
        <w:right w:val="none" w:sz="0" w:space="0" w:color="auto"/>
      </w:divBdr>
    </w:div>
    <w:div w:id="1461803267">
      <w:bodyDiv w:val="1"/>
      <w:marLeft w:val="0"/>
      <w:marRight w:val="0"/>
      <w:marTop w:val="0"/>
      <w:marBottom w:val="0"/>
      <w:divBdr>
        <w:top w:val="none" w:sz="0" w:space="0" w:color="auto"/>
        <w:left w:val="none" w:sz="0" w:space="0" w:color="auto"/>
        <w:bottom w:val="none" w:sz="0" w:space="0" w:color="auto"/>
        <w:right w:val="none" w:sz="0" w:space="0" w:color="auto"/>
      </w:divBdr>
    </w:div>
    <w:div w:id="1964726150">
      <w:bodyDiv w:val="1"/>
      <w:marLeft w:val="0"/>
      <w:marRight w:val="0"/>
      <w:marTop w:val="0"/>
      <w:marBottom w:val="0"/>
      <w:divBdr>
        <w:top w:val="none" w:sz="0" w:space="0" w:color="auto"/>
        <w:left w:val="none" w:sz="0" w:space="0" w:color="auto"/>
        <w:bottom w:val="none" w:sz="0" w:space="0" w:color="auto"/>
        <w:right w:val="none" w:sz="0" w:space="0" w:color="auto"/>
      </w:divBdr>
    </w:div>
    <w:div w:id="2036538590">
      <w:bodyDiv w:val="1"/>
      <w:marLeft w:val="0"/>
      <w:marRight w:val="0"/>
      <w:marTop w:val="0"/>
      <w:marBottom w:val="0"/>
      <w:divBdr>
        <w:top w:val="none" w:sz="0" w:space="0" w:color="auto"/>
        <w:left w:val="none" w:sz="0" w:space="0" w:color="auto"/>
        <w:bottom w:val="none" w:sz="0" w:space="0" w:color="auto"/>
        <w:right w:val="none" w:sz="0" w:space="0" w:color="auto"/>
      </w:divBdr>
    </w:div>
    <w:div w:id="207345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da.mannlib.cornell.edu/usda/current/FarmLabo/FarmLabo-05-21-2015.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oleta.gov/agworker/naws.cfm" TargetMode="External"/><Relationship Id="rId4" Type="http://schemas.openxmlformats.org/officeDocument/2006/relationships/settings" Target="settings.xml"/><Relationship Id="rId9" Type="http://schemas.openxmlformats.org/officeDocument/2006/relationships/hyperlink" Target="http://www.bls.gov/oes/current/oes119013.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9851</Words>
  <Characters>56156</Characters>
  <Application>Microsoft Office Word</Application>
  <DocSecurity>0</DocSecurity>
  <Lines>467</Lines>
  <Paragraphs>131</Paragraphs>
  <ScaleCrop>false</ScaleCrop>
  <Company/>
  <LinksUpToDate>false</LinksUpToDate>
  <CharactersWithSpaces>65876</CharactersWithSpaces>
  <SharedDoc>false</SharedDoc>
  <HLinks>
    <vt:vector size="18" baseType="variant">
      <vt:variant>
        <vt:i4>7929973</vt:i4>
      </vt:variant>
      <vt:variant>
        <vt:i4>6</vt:i4>
      </vt:variant>
      <vt:variant>
        <vt:i4>0</vt:i4>
      </vt:variant>
      <vt:variant>
        <vt:i4>5</vt:i4>
      </vt:variant>
      <vt:variant>
        <vt:lpwstr>http://www.doleta.gov/agworker/naws.cfm</vt:lpwstr>
      </vt:variant>
      <vt:variant>
        <vt:lpwstr/>
      </vt:variant>
      <vt:variant>
        <vt:i4>1835096</vt:i4>
      </vt:variant>
      <vt:variant>
        <vt:i4>3</vt:i4>
      </vt:variant>
      <vt:variant>
        <vt:i4>0</vt:i4>
      </vt:variant>
      <vt:variant>
        <vt:i4>5</vt:i4>
      </vt:variant>
      <vt:variant>
        <vt:lpwstr>http://www.bls.gov/oes/current/oes119013.htm</vt:lpwstr>
      </vt:variant>
      <vt:variant>
        <vt:lpwstr/>
      </vt:variant>
      <vt:variant>
        <vt:i4>1310732</vt:i4>
      </vt:variant>
      <vt:variant>
        <vt:i4>0</vt:i4>
      </vt:variant>
      <vt:variant>
        <vt:i4>0</vt:i4>
      </vt:variant>
      <vt:variant>
        <vt:i4>5</vt:i4>
      </vt:variant>
      <vt:variant>
        <vt:lpwstr>http://usda.mannlib.cornell.edu/usda/current/FarmLabo/FarmLabo-05-21-2015.pdf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2015-08-31T23:07:00Z</dcterms:created>
  <dcterms:modified xsi:type="dcterms:W3CDTF">2015-08-31T23:08:00Z</dcterms:modified>
</cp:coreProperties>
</file>