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B26A3" w14:textId="77777777" w:rsidR="0035525E" w:rsidRDefault="00B53232" w:rsidP="006127BF">
      <w:pPr>
        <w:pBdr>
          <w:bottom w:val="single" w:sz="24" w:space="3" w:color="auto"/>
        </w:pBdr>
        <w:jc w:val="center"/>
        <w:rPr>
          <w:rFonts w:ascii="Calibri" w:hAnsi="Calibri" w:cs="Calibri"/>
          <w:color w:val="000000"/>
          <w:szCs w:val="24"/>
        </w:rPr>
      </w:pPr>
      <w:bookmarkStart w:id="0" w:name="OLE_LINK2"/>
      <w:bookmarkStart w:id="1" w:name="OLE_LINK3"/>
      <w:bookmarkStart w:id="2" w:name="OLE_LINK5"/>
      <w:bookmarkStart w:id="3" w:name="OLE_LINK6"/>
      <w:r>
        <w:rPr>
          <w:rFonts w:ascii="Calibri" w:hAnsi="Calibri" w:cs="Calibri"/>
          <w:color w:val="000000"/>
          <w:szCs w:val="24"/>
        </w:rPr>
        <w:t>TIME SENSITIVE</w:t>
      </w:r>
    </w:p>
    <w:p w14:paraId="3235FCB4" w14:textId="77777777" w:rsidR="00B53232" w:rsidRDefault="00B53232" w:rsidP="009B59EA">
      <w:pPr>
        <w:pBdr>
          <w:bottom w:val="single" w:sz="24" w:space="3" w:color="auto"/>
        </w:pBdr>
        <w:rPr>
          <w:rFonts w:ascii="Calibri" w:hAnsi="Calibri" w:cs="Calibri"/>
          <w:color w:val="000000"/>
          <w:szCs w:val="24"/>
        </w:rPr>
      </w:pPr>
    </w:p>
    <w:p w14:paraId="5C2C55CA" w14:textId="77777777" w:rsidR="00B53232" w:rsidRPr="00824350" w:rsidRDefault="00B53232" w:rsidP="009B59EA">
      <w:pPr>
        <w:pBdr>
          <w:bottom w:val="single" w:sz="24" w:space="3" w:color="auto"/>
        </w:pBdr>
        <w:rPr>
          <w:rFonts w:ascii="Calibri" w:hAnsi="Calibri" w:cs="Calibri"/>
          <w:color w:val="000000"/>
          <w:szCs w:val="24"/>
        </w:rPr>
      </w:pPr>
    </w:p>
    <w:bookmarkEnd w:id="0"/>
    <w:bookmarkEnd w:id="1"/>
    <w:p w14:paraId="2BE3FC67" w14:textId="77777777" w:rsidR="0035525E" w:rsidRPr="00824350" w:rsidRDefault="0035525E" w:rsidP="007E3203">
      <w:pPr>
        <w:tabs>
          <w:tab w:val="center" w:pos="4680"/>
        </w:tabs>
        <w:rPr>
          <w:rFonts w:ascii="Calibri" w:hAnsi="Calibri" w:cs="Calibri"/>
          <w:b/>
          <w:bCs/>
          <w:szCs w:val="24"/>
        </w:rPr>
      </w:pPr>
    </w:p>
    <w:p w14:paraId="6456C2F9" w14:textId="77777777" w:rsidR="00AB377A" w:rsidRPr="00AB377A" w:rsidRDefault="00052989" w:rsidP="00AB377A">
      <w:pPr>
        <w:tabs>
          <w:tab w:val="center" w:pos="4680"/>
        </w:tabs>
        <w:rPr>
          <w:rFonts w:ascii="Calibri" w:hAnsi="Calibri" w:cs="Calibri"/>
          <w:b/>
          <w:bCs/>
          <w:szCs w:val="24"/>
        </w:rPr>
      </w:pPr>
      <w:r>
        <w:rPr>
          <w:rFonts w:ascii="Calibri" w:hAnsi="Calibri" w:cs="Calibri"/>
          <w:b/>
          <w:bCs/>
          <w:szCs w:val="24"/>
        </w:rPr>
        <w:t xml:space="preserve">Extended </w:t>
      </w:r>
      <w:r w:rsidR="00AB377A" w:rsidRPr="00AB377A">
        <w:rPr>
          <w:rFonts w:ascii="Calibri" w:hAnsi="Calibri" w:cs="Calibri"/>
          <w:b/>
          <w:bCs/>
          <w:szCs w:val="24"/>
        </w:rPr>
        <w:t xml:space="preserve">Evaluation of </w:t>
      </w:r>
      <w:r w:rsidR="00B53232">
        <w:rPr>
          <w:rFonts w:ascii="Calibri" w:hAnsi="Calibri" w:cs="Calibri"/>
          <w:b/>
          <w:bCs/>
          <w:szCs w:val="24"/>
        </w:rPr>
        <w:t>the</w:t>
      </w:r>
      <w:r>
        <w:rPr>
          <w:rFonts w:ascii="Calibri" w:hAnsi="Calibri" w:cs="Calibri"/>
          <w:b/>
          <w:bCs/>
          <w:szCs w:val="24"/>
        </w:rPr>
        <w:t xml:space="preserve"> National Tobacco Prevention and Control</w:t>
      </w:r>
      <w:r w:rsidR="00B53232" w:rsidRPr="00AB377A">
        <w:rPr>
          <w:rFonts w:ascii="Calibri" w:hAnsi="Calibri" w:cs="Calibri"/>
          <w:b/>
          <w:bCs/>
          <w:szCs w:val="24"/>
        </w:rPr>
        <w:t xml:space="preserve"> </w:t>
      </w:r>
      <w:r w:rsidR="00B53232">
        <w:rPr>
          <w:rFonts w:ascii="Calibri" w:hAnsi="Calibri" w:cs="Calibri"/>
          <w:b/>
          <w:bCs/>
          <w:szCs w:val="24"/>
        </w:rPr>
        <w:t xml:space="preserve">Public </w:t>
      </w:r>
      <w:r w:rsidR="00AB377A" w:rsidRPr="00AB377A">
        <w:rPr>
          <w:rFonts w:ascii="Calibri" w:hAnsi="Calibri" w:cs="Calibri"/>
          <w:b/>
          <w:bCs/>
          <w:szCs w:val="24"/>
        </w:rPr>
        <w:t>Education Campaign</w:t>
      </w:r>
    </w:p>
    <w:p w14:paraId="6F82B634" w14:textId="77777777" w:rsidR="0035525E" w:rsidRDefault="0035525E" w:rsidP="007E3203">
      <w:pPr>
        <w:tabs>
          <w:tab w:val="center" w:pos="4680"/>
        </w:tabs>
        <w:rPr>
          <w:rFonts w:ascii="Calibri" w:hAnsi="Calibri" w:cs="Calibri"/>
          <w:b/>
          <w:szCs w:val="24"/>
        </w:rPr>
      </w:pPr>
    </w:p>
    <w:p w14:paraId="0494CA60" w14:textId="77777777" w:rsidR="00B53232" w:rsidRPr="00824350" w:rsidRDefault="00B53232" w:rsidP="007E3203">
      <w:pPr>
        <w:tabs>
          <w:tab w:val="center" w:pos="4680"/>
        </w:tabs>
        <w:rPr>
          <w:rFonts w:ascii="Calibri" w:hAnsi="Calibri" w:cs="Calibri"/>
          <w:b/>
          <w:szCs w:val="24"/>
        </w:rPr>
      </w:pPr>
    </w:p>
    <w:p w14:paraId="5B24847D" w14:textId="77777777" w:rsidR="0035525E" w:rsidRPr="00824350" w:rsidRDefault="0035525E" w:rsidP="007E3203">
      <w:pPr>
        <w:tabs>
          <w:tab w:val="center" w:pos="4680"/>
        </w:tabs>
        <w:rPr>
          <w:rFonts w:ascii="Calibri" w:hAnsi="Calibri" w:cs="Calibri"/>
          <w:szCs w:val="24"/>
        </w:rPr>
      </w:pPr>
    </w:p>
    <w:p w14:paraId="22FB916B" w14:textId="77777777" w:rsidR="0035525E" w:rsidRPr="00824350" w:rsidRDefault="0035525E" w:rsidP="007E3203">
      <w:pPr>
        <w:tabs>
          <w:tab w:val="center" w:pos="4680"/>
        </w:tabs>
        <w:rPr>
          <w:rFonts w:ascii="Calibri" w:hAnsi="Calibri" w:cs="Calibri"/>
          <w:szCs w:val="24"/>
        </w:rPr>
      </w:pPr>
    </w:p>
    <w:p w14:paraId="28067FD4" w14:textId="77777777" w:rsidR="0035525E" w:rsidRPr="00824350" w:rsidRDefault="0035525E" w:rsidP="007E3203">
      <w:pPr>
        <w:tabs>
          <w:tab w:val="center" w:pos="4680"/>
        </w:tabs>
        <w:rPr>
          <w:rFonts w:ascii="Calibri" w:hAnsi="Calibri" w:cs="Calibri"/>
          <w:szCs w:val="24"/>
        </w:rPr>
      </w:pPr>
      <w:r w:rsidRPr="00824350">
        <w:rPr>
          <w:rFonts w:ascii="Calibri" w:hAnsi="Calibri" w:cs="Calibri"/>
          <w:szCs w:val="24"/>
        </w:rPr>
        <w:t>Supporting Statement: Part A</w:t>
      </w:r>
    </w:p>
    <w:p w14:paraId="1C62A635" w14:textId="77777777" w:rsidR="0035525E" w:rsidRPr="00824350" w:rsidRDefault="0035525E" w:rsidP="007E3203">
      <w:pPr>
        <w:rPr>
          <w:rFonts w:ascii="Calibri" w:hAnsi="Calibri" w:cs="Calibri"/>
          <w:szCs w:val="24"/>
        </w:rPr>
      </w:pPr>
    </w:p>
    <w:p w14:paraId="0F8F0FF4" w14:textId="77777777" w:rsidR="0035525E" w:rsidRPr="00824350" w:rsidRDefault="0035525E" w:rsidP="007E3203">
      <w:pPr>
        <w:tabs>
          <w:tab w:val="center" w:pos="4680"/>
        </w:tabs>
        <w:rPr>
          <w:rFonts w:ascii="Calibri" w:hAnsi="Calibri" w:cs="Calibri"/>
          <w:szCs w:val="24"/>
        </w:rPr>
      </w:pPr>
      <w:r w:rsidRPr="00824350">
        <w:rPr>
          <w:rFonts w:ascii="Calibri" w:hAnsi="Calibri" w:cs="Calibri"/>
          <w:szCs w:val="24"/>
        </w:rPr>
        <w:t xml:space="preserve">Centers for Disease Control and Prevention </w:t>
      </w:r>
    </w:p>
    <w:p w14:paraId="7E63CF2A" w14:textId="77777777" w:rsidR="0035525E" w:rsidRPr="00824350" w:rsidRDefault="0035525E" w:rsidP="007E3203">
      <w:pPr>
        <w:tabs>
          <w:tab w:val="center" w:pos="4680"/>
        </w:tabs>
        <w:rPr>
          <w:rFonts w:ascii="Calibri" w:hAnsi="Calibri" w:cs="Calibri"/>
          <w:szCs w:val="24"/>
        </w:rPr>
      </w:pPr>
      <w:r w:rsidRPr="00824350">
        <w:rPr>
          <w:rFonts w:ascii="Calibri" w:hAnsi="Calibri" w:cs="Calibri"/>
          <w:szCs w:val="24"/>
        </w:rPr>
        <w:t>National Center for Chronic Disease Prevention and Health Promotion</w:t>
      </w:r>
    </w:p>
    <w:p w14:paraId="560F820E" w14:textId="77777777" w:rsidR="0035525E" w:rsidRPr="00824350" w:rsidRDefault="0035525E" w:rsidP="007E3203">
      <w:pPr>
        <w:tabs>
          <w:tab w:val="center" w:pos="4680"/>
        </w:tabs>
        <w:rPr>
          <w:rFonts w:ascii="Calibri" w:hAnsi="Calibri" w:cs="Calibri"/>
          <w:szCs w:val="24"/>
        </w:rPr>
      </w:pPr>
      <w:r w:rsidRPr="00824350">
        <w:rPr>
          <w:rFonts w:ascii="Calibri" w:hAnsi="Calibri" w:cs="Calibri"/>
          <w:szCs w:val="24"/>
        </w:rPr>
        <w:t>Office of Smoking and Health</w:t>
      </w:r>
    </w:p>
    <w:p w14:paraId="2BFD4068" w14:textId="77777777" w:rsidR="0035525E" w:rsidRPr="00824350" w:rsidRDefault="0035525E" w:rsidP="007E3203">
      <w:pPr>
        <w:tabs>
          <w:tab w:val="center" w:pos="4680"/>
        </w:tabs>
        <w:rPr>
          <w:rStyle w:val="Strong"/>
          <w:rFonts w:ascii="Calibri" w:hAnsi="Calibri" w:cs="Calibri"/>
          <w:b w:val="0"/>
          <w:szCs w:val="24"/>
        </w:rPr>
      </w:pPr>
      <w:r w:rsidRPr="00824350">
        <w:rPr>
          <w:rFonts w:ascii="Calibri" w:hAnsi="Calibri" w:cs="Calibri"/>
          <w:szCs w:val="24"/>
        </w:rPr>
        <w:t>Health Communications Branch</w:t>
      </w:r>
    </w:p>
    <w:p w14:paraId="2D9CB025" w14:textId="77777777" w:rsidR="0035525E" w:rsidRPr="00824350" w:rsidRDefault="0035525E" w:rsidP="007E3203">
      <w:pPr>
        <w:rPr>
          <w:rFonts w:ascii="Calibri" w:hAnsi="Calibri" w:cs="Calibri"/>
          <w:bCs/>
          <w:color w:val="000000"/>
          <w:szCs w:val="24"/>
        </w:rPr>
      </w:pPr>
    </w:p>
    <w:p w14:paraId="6F1E5787" w14:textId="77777777" w:rsidR="0035525E" w:rsidRPr="00824350" w:rsidRDefault="0035525E" w:rsidP="007E3203">
      <w:pPr>
        <w:rPr>
          <w:rFonts w:ascii="Calibri" w:hAnsi="Calibri" w:cs="Calibri"/>
          <w:bCs/>
          <w:color w:val="000000"/>
          <w:szCs w:val="24"/>
        </w:rPr>
      </w:pPr>
    </w:p>
    <w:p w14:paraId="7A10B8F2" w14:textId="77777777" w:rsidR="0035525E" w:rsidRPr="00824350" w:rsidRDefault="0035525E" w:rsidP="007E3203">
      <w:pPr>
        <w:pBdr>
          <w:top w:val="single" w:sz="24" w:space="1" w:color="auto"/>
        </w:pBdr>
        <w:rPr>
          <w:rFonts w:ascii="Calibri" w:hAnsi="Calibri" w:cs="Calibri"/>
          <w:color w:val="000000"/>
          <w:szCs w:val="24"/>
        </w:rPr>
      </w:pPr>
    </w:p>
    <w:bookmarkEnd w:id="2"/>
    <w:bookmarkEnd w:id="3"/>
    <w:p w14:paraId="6E94131F" w14:textId="77777777" w:rsidR="0035525E" w:rsidRPr="00824350" w:rsidRDefault="0035525E" w:rsidP="007E3203">
      <w:pPr>
        <w:pStyle w:val="Footer"/>
        <w:tabs>
          <w:tab w:val="clear" w:pos="4320"/>
          <w:tab w:val="clear" w:pos="8640"/>
        </w:tabs>
        <w:rPr>
          <w:rFonts w:ascii="Calibri" w:hAnsi="Calibri" w:cs="Calibri"/>
          <w:szCs w:val="24"/>
        </w:rPr>
      </w:pPr>
    </w:p>
    <w:p w14:paraId="41AE8C2A" w14:textId="77777777" w:rsidR="0035525E" w:rsidRPr="00824350" w:rsidRDefault="0035525E" w:rsidP="007E3203">
      <w:pPr>
        <w:pStyle w:val="Footer"/>
        <w:tabs>
          <w:tab w:val="clear" w:pos="4320"/>
          <w:tab w:val="clear" w:pos="8640"/>
        </w:tabs>
        <w:rPr>
          <w:rFonts w:ascii="Calibri" w:hAnsi="Calibri" w:cs="Calibri"/>
          <w:szCs w:val="24"/>
        </w:rPr>
      </w:pPr>
    </w:p>
    <w:p w14:paraId="6044037E" w14:textId="77777777" w:rsidR="0035525E" w:rsidRPr="00E9675D" w:rsidRDefault="0035525E" w:rsidP="007E3203">
      <w:pPr>
        <w:pStyle w:val="Footer"/>
        <w:tabs>
          <w:tab w:val="clear" w:pos="4320"/>
          <w:tab w:val="clear" w:pos="8640"/>
        </w:tabs>
        <w:rPr>
          <w:rFonts w:asciiTheme="minorHAnsi" w:hAnsiTheme="minorHAnsi"/>
          <w:szCs w:val="24"/>
        </w:rPr>
      </w:pPr>
    </w:p>
    <w:p w14:paraId="2C46E99E" w14:textId="00FBF838" w:rsidR="0035525E" w:rsidRPr="00E9675D" w:rsidRDefault="00930278" w:rsidP="001E24E5">
      <w:pPr>
        <w:pStyle w:val="Footer"/>
        <w:tabs>
          <w:tab w:val="clear" w:pos="4320"/>
          <w:tab w:val="clear" w:pos="8640"/>
        </w:tabs>
        <w:rPr>
          <w:rFonts w:asciiTheme="minorHAnsi" w:hAnsiTheme="minorHAnsi"/>
          <w:szCs w:val="24"/>
        </w:rPr>
      </w:pPr>
      <w:r>
        <w:rPr>
          <w:rFonts w:asciiTheme="minorHAnsi" w:hAnsiTheme="minorHAnsi"/>
          <w:szCs w:val="24"/>
        </w:rPr>
        <w:t>September 10</w:t>
      </w:r>
      <w:bookmarkStart w:id="4" w:name="_GoBack"/>
      <w:bookmarkEnd w:id="4"/>
      <w:r w:rsidR="00D15363" w:rsidRPr="00E9675D">
        <w:rPr>
          <w:rFonts w:asciiTheme="minorHAnsi" w:hAnsiTheme="minorHAnsi"/>
          <w:szCs w:val="24"/>
        </w:rPr>
        <w:t xml:space="preserve">, </w:t>
      </w:r>
      <w:r w:rsidR="001D7AFB" w:rsidRPr="00E9675D">
        <w:rPr>
          <w:rFonts w:asciiTheme="minorHAnsi" w:hAnsiTheme="minorHAnsi"/>
          <w:szCs w:val="24"/>
        </w:rPr>
        <w:t>2015</w:t>
      </w:r>
    </w:p>
    <w:p w14:paraId="377D1B01" w14:textId="77777777" w:rsidR="0035525E" w:rsidRPr="00E9675D" w:rsidRDefault="003E291F" w:rsidP="003E291F">
      <w:pPr>
        <w:pStyle w:val="Footer"/>
        <w:tabs>
          <w:tab w:val="clear" w:pos="4320"/>
          <w:tab w:val="clear" w:pos="8640"/>
          <w:tab w:val="left" w:pos="5625"/>
        </w:tabs>
        <w:rPr>
          <w:rFonts w:asciiTheme="minorHAnsi" w:hAnsiTheme="minorHAnsi"/>
          <w:szCs w:val="24"/>
        </w:rPr>
      </w:pPr>
      <w:r w:rsidRPr="00E9675D">
        <w:rPr>
          <w:rFonts w:asciiTheme="minorHAnsi" w:hAnsiTheme="minorHAnsi"/>
          <w:szCs w:val="24"/>
        </w:rPr>
        <w:tab/>
      </w:r>
    </w:p>
    <w:p w14:paraId="5581CF93" w14:textId="77777777" w:rsidR="0035525E" w:rsidRPr="00E9675D" w:rsidRDefault="0035525E" w:rsidP="007E3203">
      <w:pPr>
        <w:pStyle w:val="Footer"/>
        <w:tabs>
          <w:tab w:val="clear" w:pos="4320"/>
          <w:tab w:val="clear" w:pos="8640"/>
        </w:tabs>
        <w:rPr>
          <w:rFonts w:asciiTheme="minorHAnsi" w:hAnsiTheme="minorHAnsi"/>
          <w:szCs w:val="24"/>
        </w:rPr>
      </w:pPr>
    </w:p>
    <w:p w14:paraId="70052EEA" w14:textId="77777777" w:rsidR="0035525E" w:rsidRPr="00E9675D" w:rsidRDefault="0035525E" w:rsidP="007E3203">
      <w:pPr>
        <w:pStyle w:val="Footer"/>
        <w:tabs>
          <w:tab w:val="clear" w:pos="4320"/>
          <w:tab w:val="clear" w:pos="8640"/>
        </w:tabs>
        <w:rPr>
          <w:rFonts w:asciiTheme="minorHAnsi" w:hAnsiTheme="minorHAnsi"/>
          <w:szCs w:val="24"/>
        </w:rPr>
      </w:pPr>
    </w:p>
    <w:p w14:paraId="11E5B229" w14:textId="77777777" w:rsidR="0035525E" w:rsidRPr="00E9675D" w:rsidRDefault="001D7AFB" w:rsidP="007E3203">
      <w:pPr>
        <w:pStyle w:val="Footer"/>
        <w:tabs>
          <w:tab w:val="clear" w:pos="4320"/>
          <w:tab w:val="clear" w:pos="8640"/>
        </w:tabs>
        <w:rPr>
          <w:rFonts w:asciiTheme="minorHAnsi" w:hAnsiTheme="minorHAnsi"/>
          <w:szCs w:val="24"/>
        </w:rPr>
      </w:pPr>
      <w:r w:rsidRPr="00E9675D">
        <w:rPr>
          <w:rFonts w:asciiTheme="minorHAnsi" w:hAnsiTheme="minorHAnsi"/>
          <w:szCs w:val="24"/>
        </w:rPr>
        <w:t>Project Manager</w:t>
      </w:r>
      <w:r w:rsidR="0035525E" w:rsidRPr="00E9675D">
        <w:rPr>
          <w:rFonts w:asciiTheme="minorHAnsi" w:hAnsiTheme="minorHAnsi"/>
          <w:szCs w:val="24"/>
        </w:rPr>
        <w:t xml:space="preserve">:  </w:t>
      </w:r>
      <w:r w:rsidRPr="00E9675D">
        <w:rPr>
          <w:rFonts w:asciiTheme="minorHAnsi" w:hAnsiTheme="minorHAnsi"/>
          <w:szCs w:val="24"/>
        </w:rPr>
        <w:t>Deesha Patel, MPH</w:t>
      </w:r>
    </w:p>
    <w:p w14:paraId="33F078C8" w14:textId="77777777" w:rsidR="001D7AFB" w:rsidRPr="00E9675D" w:rsidRDefault="001D7AFB" w:rsidP="001D7AFB">
      <w:pPr>
        <w:pStyle w:val="Footer"/>
        <w:tabs>
          <w:tab w:val="clear" w:pos="4320"/>
          <w:tab w:val="clear" w:pos="8640"/>
        </w:tabs>
        <w:rPr>
          <w:rFonts w:asciiTheme="minorHAnsi" w:hAnsiTheme="minorHAnsi"/>
          <w:szCs w:val="24"/>
        </w:rPr>
      </w:pPr>
      <w:r w:rsidRPr="00E9675D">
        <w:rPr>
          <w:rFonts w:asciiTheme="minorHAnsi" w:hAnsiTheme="minorHAnsi"/>
          <w:szCs w:val="24"/>
        </w:rPr>
        <w:t>Phone:  770-488-8503</w:t>
      </w:r>
    </w:p>
    <w:p w14:paraId="2B5658BD" w14:textId="77777777" w:rsidR="001D7AFB" w:rsidRPr="00E9675D" w:rsidRDefault="001D7AFB" w:rsidP="001D7AFB">
      <w:pPr>
        <w:pStyle w:val="Footer"/>
        <w:tabs>
          <w:tab w:val="clear" w:pos="4320"/>
          <w:tab w:val="clear" w:pos="8640"/>
        </w:tabs>
        <w:rPr>
          <w:rFonts w:asciiTheme="minorHAnsi" w:hAnsiTheme="minorHAnsi"/>
          <w:szCs w:val="24"/>
        </w:rPr>
      </w:pPr>
      <w:r w:rsidRPr="00E9675D">
        <w:rPr>
          <w:rFonts w:asciiTheme="minorHAnsi" w:hAnsiTheme="minorHAnsi"/>
          <w:szCs w:val="24"/>
        </w:rPr>
        <w:t>Fax:</w:t>
      </w:r>
      <w:r w:rsidRPr="00E9675D">
        <w:rPr>
          <w:rFonts w:asciiTheme="minorHAnsi" w:hAnsiTheme="minorHAnsi"/>
          <w:szCs w:val="24"/>
        </w:rPr>
        <w:tab/>
        <w:t xml:space="preserve"> 770-488-5939</w:t>
      </w:r>
    </w:p>
    <w:p w14:paraId="2A971A76" w14:textId="77777777" w:rsidR="001D7AFB" w:rsidRPr="00E9675D" w:rsidRDefault="001D7AFB" w:rsidP="001D7AFB">
      <w:pPr>
        <w:pStyle w:val="Footer"/>
        <w:tabs>
          <w:tab w:val="clear" w:pos="4320"/>
          <w:tab w:val="clear" w:pos="8640"/>
        </w:tabs>
        <w:rPr>
          <w:rFonts w:asciiTheme="minorHAnsi" w:hAnsiTheme="minorHAnsi"/>
          <w:szCs w:val="24"/>
        </w:rPr>
      </w:pPr>
      <w:r w:rsidRPr="00E9675D">
        <w:rPr>
          <w:rFonts w:asciiTheme="minorHAnsi" w:hAnsiTheme="minorHAnsi"/>
          <w:szCs w:val="24"/>
        </w:rPr>
        <w:t>Email address:</w:t>
      </w:r>
      <w:r w:rsidRPr="00E9675D">
        <w:rPr>
          <w:rFonts w:asciiTheme="minorHAnsi" w:hAnsiTheme="minorHAnsi"/>
          <w:szCs w:val="24"/>
        </w:rPr>
        <w:tab/>
        <w:t xml:space="preserve">   DPatel3@cdc.gov</w:t>
      </w:r>
    </w:p>
    <w:p w14:paraId="01DEE581" w14:textId="77777777" w:rsidR="001D7AFB" w:rsidRPr="00E9675D" w:rsidRDefault="001D7AFB" w:rsidP="001D7AFB">
      <w:pPr>
        <w:rPr>
          <w:rFonts w:asciiTheme="minorHAnsi" w:hAnsiTheme="minorHAnsi"/>
          <w:szCs w:val="24"/>
        </w:rPr>
      </w:pPr>
      <w:r w:rsidRPr="00E9675D">
        <w:rPr>
          <w:rFonts w:asciiTheme="minorHAnsi" w:hAnsiTheme="minorHAnsi"/>
          <w:szCs w:val="24"/>
        </w:rPr>
        <w:t>Centers for Disease Control and Prevention</w:t>
      </w:r>
    </w:p>
    <w:p w14:paraId="5F174806" w14:textId="77777777" w:rsidR="001D7AFB" w:rsidRPr="00E9675D" w:rsidRDefault="001D7AFB" w:rsidP="001D7AFB">
      <w:pPr>
        <w:rPr>
          <w:rFonts w:asciiTheme="minorHAnsi" w:hAnsiTheme="minorHAnsi"/>
          <w:szCs w:val="24"/>
        </w:rPr>
      </w:pPr>
      <w:r w:rsidRPr="00E9675D">
        <w:rPr>
          <w:rFonts w:asciiTheme="minorHAnsi" w:hAnsiTheme="minorHAnsi"/>
          <w:szCs w:val="24"/>
        </w:rPr>
        <w:t>4770 Buford Highway, Mailstop F-79</w:t>
      </w:r>
    </w:p>
    <w:p w14:paraId="1B32F6EF" w14:textId="77777777" w:rsidR="0035525E" w:rsidRPr="00E9675D" w:rsidRDefault="001D7AFB" w:rsidP="007E3203">
      <w:pPr>
        <w:rPr>
          <w:rFonts w:asciiTheme="minorHAnsi" w:hAnsiTheme="minorHAnsi" w:cs="Calibri"/>
          <w:szCs w:val="24"/>
        </w:rPr>
      </w:pPr>
      <w:smartTag w:uri="urn:schemas-microsoft-com:office:smarttags" w:element="place">
        <w:r w:rsidRPr="00E9675D">
          <w:rPr>
            <w:rFonts w:asciiTheme="minorHAnsi" w:hAnsiTheme="minorHAnsi"/>
            <w:szCs w:val="24"/>
          </w:rPr>
          <w:t>Atlanta</w:t>
        </w:r>
      </w:smartTag>
      <w:r w:rsidRPr="00E9675D">
        <w:rPr>
          <w:rFonts w:asciiTheme="minorHAnsi" w:hAnsiTheme="minorHAnsi"/>
          <w:szCs w:val="24"/>
        </w:rPr>
        <w:t xml:space="preserve"> </w:t>
      </w:r>
      <w:smartTag w:uri="urn:schemas-microsoft-com:office:smarttags" w:element="State">
        <w:r w:rsidRPr="00E9675D">
          <w:rPr>
            <w:rFonts w:asciiTheme="minorHAnsi" w:hAnsiTheme="minorHAnsi"/>
            <w:szCs w:val="24"/>
          </w:rPr>
          <w:t>GA</w:t>
        </w:r>
      </w:smartTag>
      <w:r w:rsidRPr="00E9675D">
        <w:rPr>
          <w:rFonts w:asciiTheme="minorHAnsi" w:hAnsiTheme="minorHAnsi"/>
          <w:szCs w:val="24"/>
        </w:rPr>
        <w:t xml:space="preserve">  30341</w:t>
      </w:r>
    </w:p>
    <w:p w14:paraId="0D37F6C2" w14:textId="77777777" w:rsidR="0035525E" w:rsidRPr="00824350" w:rsidRDefault="0035525E" w:rsidP="007A7421">
      <w:pPr>
        <w:widowControl/>
        <w:rPr>
          <w:rFonts w:ascii="Calibri" w:hAnsi="Calibri" w:cs="Calibri"/>
          <w:szCs w:val="24"/>
        </w:rPr>
      </w:pPr>
    </w:p>
    <w:p w14:paraId="37023257" w14:textId="77777777" w:rsidR="0035525E" w:rsidRPr="00824350" w:rsidRDefault="00EE6400" w:rsidP="007A7421">
      <w:pPr>
        <w:widowControl/>
        <w:rPr>
          <w:rFonts w:ascii="Calibri" w:hAnsi="Calibri" w:cs="Calibri"/>
          <w:b/>
          <w:szCs w:val="24"/>
        </w:rPr>
      </w:pPr>
      <w:r>
        <w:rPr>
          <w:rFonts w:ascii="Calibri" w:hAnsi="Calibri" w:cs="Calibri"/>
          <w:b/>
          <w:szCs w:val="24"/>
        </w:rPr>
        <w:t>HHS/ASPE HAS APPROVED SUBMISSION OF</w:t>
      </w:r>
      <w:r w:rsidR="00B53232">
        <w:rPr>
          <w:rFonts w:ascii="Calibri" w:hAnsi="Calibri" w:cs="Calibri"/>
          <w:b/>
          <w:szCs w:val="24"/>
        </w:rPr>
        <w:t xml:space="preserve"> </w:t>
      </w:r>
      <w:r>
        <w:rPr>
          <w:rFonts w:ascii="Calibri" w:hAnsi="Calibri" w:cs="Calibri"/>
          <w:b/>
          <w:szCs w:val="24"/>
        </w:rPr>
        <w:t>THIS ICR TO OMB</w:t>
      </w:r>
    </w:p>
    <w:p w14:paraId="6A52007B" w14:textId="77777777" w:rsidR="0035525E" w:rsidRPr="00824350" w:rsidRDefault="0035525E" w:rsidP="007A7421">
      <w:pPr>
        <w:widowControl/>
        <w:rPr>
          <w:rFonts w:ascii="Calibri" w:hAnsi="Calibri" w:cs="Calibri"/>
          <w:b/>
          <w:szCs w:val="24"/>
        </w:rPr>
      </w:pPr>
    </w:p>
    <w:p w14:paraId="66E95675" w14:textId="77777777" w:rsidR="0035525E" w:rsidRPr="00824350" w:rsidRDefault="0035525E" w:rsidP="007A7421">
      <w:pPr>
        <w:widowControl/>
        <w:rPr>
          <w:rFonts w:ascii="Calibri" w:hAnsi="Calibri" w:cs="Calibri"/>
          <w:b/>
          <w:szCs w:val="24"/>
        </w:rPr>
      </w:pPr>
    </w:p>
    <w:p w14:paraId="20A6B64D" w14:textId="77777777" w:rsidR="0035525E" w:rsidRPr="00824350" w:rsidRDefault="0035525E" w:rsidP="007A7421">
      <w:pPr>
        <w:widowControl/>
        <w:rPr>
          <w:rFonts w:ascii="Calibri" w:hAnsi="Calibri" w:cs="Calibri"/>
          <w:b/>
          <w:szCs w:val="24"/>
        </w:rPr>
      </w:pPr>
    </w:p>
    <w:p w14:paraId="36AC5BC0" w14:textId="77777777" w:rsidR="0035525E" w:rsidRPr="00824350" w:rsidRDefault="0035525E" w:rsidP="007A7421">
      <w:pPr>
        <w:widowControl/>
        <w:rPr>
          <w:rFonts w:ascii="Calibri" w:hAnsi="Calibri" w:cs="Calibri"/>
          <w:b/>
          <w:szCs w:val="24"/>
        </w:rPr>
      </w:pPr>
      <w:r w:rsidRPr="00824350">
        <w:rPr>
          <w:rFonts w:ascii="Calibri" w:hAnsi="Calibri" w:cs="Calibri"/>
          <w:b/>
          <w:szCs w:val="24"/>
        </w:rPr>
        <w:br w:type="page"/>
      </w:r>
    </w:p>
    <w:p w14:paraId="0D489BEF" w14:textId="77777777" w:rsidR="0035525E" w:rsidRPr="00824350" w:rsidRDefault="0035525E" w:rsidP="007A7421">
      <w:pPr>
        <w:widowControl/>
        <w:rPr>
          <w:rFonts w:ascii="Calibri" w:hAnsi="Calibri" w:cs="Calibri"/>
          <w:b/>
          <w:szCs w:val="24"/>
        </w:rPr>
      </w:pPr>
      <w:r w:rsidRPr="00824350">
        <w:rPr>
          <w:rFonts w:ascii="Calibri" w:hAnsi="Calibri" w:cs="Calibri"/>
          <w:b/>
          <w:szCs w:val="24"/>
        </w:rPr>
        <w:lastRenderedPageBreak/>
        <w:t>Table of Contents</w:t>
      </w:r>
    </w:p>
    <w:p w14:paraId="3592E8BB" w14:textId="77777777" w:rsidR="0035525E" w:rsidRPr="00824350" w:rsidRDefault="0035525E" w:rsidP="007E3203">
      <w:pPr>
        <w:tabs>
          <w:tab w:val="left" w:pos="0"/>
          <w:tab w:val="left" w:pos="8640"/>
          <w:tab w:val="left" w:pos="9360"/>
        </w:tabs>
        <w:spacing w:line="240" w:lineRule="exact"/>
        <w:rPr>
          <w:rFonts w:ascii="Calibri" w:hAnsi="Calibri" w:cs="Calibri"/>
          <w:szCs w:val="24"/>
        </w:rPr>
      </w:pPr>
      <w:r w:rsidRPr="00824350">
        <w:rPr>
          <w:rFonts w:ascii="Calibri" w:hAnsi="Calibri" w:cs="Calibri"/>
          <w:szCs w:val="24"/>
        </w:rPr>
        <w:t xml:space="preserve">        </w:t>
      </w:r>
    </w:p>
    <w:p w14:paraId="5FF71DA8" w14:textId="77777777" w:rsidR="0035525E" w:rsidRPr="00824350" w:rsidRDefault="0035525E" w:rsidP="007E3203">
      <w:pPr>
        <w:tabs>
          <w:tab w:val="left" w:pos="0"/>
          <w:tab w:val="left" w:pos="8640"/>
          <w:tab w:val="left" w:pos="9360"/>
        </w:tabs>
        <w:spacing w:line="240" w:lineRule="exact"/>
        <w:rPr>
          <w:rFonts w:ascii="Calibri" w:hAnsi="Calibri" w:cs="Calibri"/>
          <w:b/>
          <w:szCs w:val="24"/>
        </w:rPr>
      </w:pPr>
      <w:r w:rsidRPr="00824350">
        <w:rPr>
          <w:rFonts w:ascii="Calibri" w:hAnsi="Calibri" w:cs="Calibri"/>
          <w:szCs w:val="24"/>
        </w:rPr>
        <w:t xml:space="preserve">        </w:t>
      </w:r>
      <w:r w:rsidRPr="00824350">
        <w:rPr>
          <w:rFonts w:ascii="Calibri" w:hAnsi="Calibri" w:cs="Calibri"/>
          <w:b/>
          <w:szCs w:val="24"/>
        </w:rPr>
        <w:t>Section</w:t>
      </w:r>
      <w:r w:rsidRPr="00824350">
        <w:rPr>
          <w:rFonts w:ascii="Calibri" w:hAnsi="Calibri" w:cs="Calibri"/>
          <w:b/>
          <w:szCs w:val="24"/>
        </w:rPr>
        <w:tab/>
      </w:r>
    </w:p>
    <w:p w14:paraId="26399A10" w14:textId="77777777" w:rsidR="0035525E" w:rsidRPr="00824350" w:rsidRDefault="0035525E" w:rsidP="007E3203">
      <w:pPr>
        <w:tabs>
          <w:tab w:val="left" w:pos="0"/>
          <w:tab w:val="left" w:pos="8640"/>
          <w:tab w:val="left" w:pos="9360"/>
        </w:tabs>
        <w:spacing w:line="240" w:lineRule="exact"/>
        <w:rPr>
          <w:rFonts w:ascii="Calibri" w:hAnsi="Calibri" w:cs="Calibri"/>
          <w:szCs w:val="24"/>
        </w:rPr>
      </w:pPr>
      <w:r w:rsidRPr="00824350">
        <w:rPr>
          <w:rFonts w:ascii="Calibri" w:hAnsi="Calibri" w:cs="Calibri"/>
          <w:b/>
          <w:szCs w:val="24"/>
        </w:rPr>
        <w:t xml:space="preserve">        </w:t>
      </w:r>
    </w:p>
    <w:p w14:paraId="0AD81E19" w14:textId="77777777" w:rsidR="0035525E" w:rsidRPr="00824350" w:rsidRDefault="0035525E" w:rsidP="007E3203">
      <w:pPr>
        <w:tabs>
          <w:tab w:val="left" w:pos="0"/>
          <w:tab w:val="left" w:pos="288"/>
          <w:tab w:val="left" w:pos="1170"/>
          <w:tab w:val="right" w:leader="dot" w:pos="8208"/>
          <w:tab w:val="left" w:pos="8640"/>
          <w:tab w:val="left" w:pos="9360"/>
        </w:tabs>
        <w:spacing w:line="240" w:lineRule="exact"/>
        <w:ind w:left="288" w:firstLine="882"/>
        <w:rPr>
          <w:rFonts w:ascii="Calibri" w:hAnsi="Calibri" w:cs="Calibri"/>
          <w:szCs w:val="24"/>
        </w:rPr>
      </w:pPr>
      <w:r w:rsidRPr="00824350">
        <w:rPr>
          <w:rFonts w:ascii="Calibri" w:hAnsi="Calibri" w:cs="Calibri"/>
          <w:szCs w:val="24"/>
        </w:rPr>
        <w:t>A.  Justification</w:t>
      </w:r>
    </w:p>
    <w:p w14:paraId="20076719"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p>
    <w:p w14:paraId="570ADE88"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w:t>
      </w:r>
      <w:r w:rsidRPr="00824350">
        <w:rPr>
          <w:rFonts w:ascii="Calibri" w:hAnsi="Calibri" w:cs="Calibri"/>
          <w:szCs w:val="24"/>
        </w:rPr>
        <w:tab/>
        <w:t>Circumstances Making the Collection of Information Necessary</w:t>
      </w:r>
      <w:r w:rsidRPr="00824350">
        <w:rPr>
          <w:rFonts w:ascii="Calibri" w:hAnsi="Calibri" w:cs="Calibri"/>
          <w:szCs w:val="24"/>
        </w:rPr>
        <w:tab/>
      </w:r>
    </w:p>
    <w:p w14:paraId="5707E6F0"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A.2.</w:t>
      </w:r>
      <w:r w:rsidRPr="00824350">
        <w:rPr>
          <w:rFonts w:ascii="Calibri" w:hAnsi="Calibri" w:cs="Calibri"/>
          <w:szCs w:val="24"/>
        </w:rPr>
        <w:tab/>
        <w:t>Purposes and Use of Information Collection</w:t>
      </w:r>
    </w:p>
    <w:p w14:paraId="653375BA"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A.3.</w:t>
      </w:r>
      <w:r w:rsidRPr="00824350">
        <w:rPr>
          <w:rFonts w:ascii="Calibri" w:hAnsi="Calibri" w:cs="Calibri"/>
          <w:szCs w:val="24"/>
        </w:rPr>
        <w:tab/>
        <w:t>Use of Improved Information Technology and Burden Reduction</w:t>
      </w:r>
      <w:r w:rsidRPr="00824350">
        <w:rPr>
          <w:rFonts w:ascii="Calibri" w:hAnsi="Calibri" w:cs="Calibri"/>
          <w:szCs w:val="24"/>
        </w:rPr>
        <w:tab/>
      </w:r>
    </w:p>
    <w:p w14:paraId="02385A08"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A.4.</w:t>
      </w:r>
      <w:r w:rsidRPr="00824350">
        <w:rPr>
          <w:rFonts w:ascii="Calibri" w:hAnsi="Calibri" w:cs="Calibri"/>
          <w:szCs w:val="24"/>
        </w:rPr>
        <w:tab/>
        <w:t>Efforts to Identify Duplication and Use of Similar Information</w:t>
      </w:r>
      <w:r w:rsidRPr="00824350">
        <w:rPr>
          <w:rFonts w:ascii="Calibri" w:hAnsi="Calibri" w:cs="Calibri"/>
          <w:szCs w:val="24"/>
        </w:rPr>
        <w:tab/>
      </w:r>
    </w:p>
    <w:p w14:paraId="46E2A93E"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A.5.</w:t>
      </w:r>
      <w:r w:rsidRPr="00824350">
        <w:rPr>
          <w:rFonts w:ascii="Calibri" w:hAnsi="Calibri" w:cs="Calibri"/>
          <w:szCs w:val="24"/>
        </w:rPr>
        <w:tab/>
        <w:t>Impact on Small Businesses or Other Small Entities</w:t>
      </w:r>
    </w:p>
    <w:p w14:paraId="00837C2E"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A.6.</w:t>
      </w:r>
      <w:r w:rsidRPr="00824350">
        <w:rPr>
          <w:rFonts w:ascii="Calibri" w:hAnsi="Calibri" w:cs="Calibri"/>
          <w:szCs w:val="24"/>
        </w:rPr>
        <w:tab/>
        <w:t>Consequences of Collecting the Information Less Frequently</w:t>
      </w:r>
    </w:p>
    <w:p w14:paraId="4F3FB439"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A.7.</w:t>
      </w:r>
      <w:r w:rsidRPr="00824350">
        <w:rPr>
          <w:rFonts w:ascii="Calibri" w:hAnsi="Calibri" w:cs="Calibri"/>
          <w:szCs w:val="24"/>
        </w:rPr>
        <w:tab/>
        <w:t>Special Circumstances</w:t>
      </w:r>
    </w:p>
    <w:p w14:paraId="59F1BB6F"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A.8.</w:t>
      </w:r>
      <w:r w:rsidRPr="00824350">
        <w:rPr>
          <w:rFonts w:ascii="Calibri" w:hAnsi="Calibri" w:cs="Calibri"/>
          <w:szCs w:val="24"/>
        </w:rPr>
        <w:tab/>
        <w:t xml:space="preserve">Comments in Response to the FR Notice and Consultation </w:t>
      </w:r>
    </w:p>
    <w:p w14:paraId="29B076A1"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A.8.a.</w:t>
      </w:r>
      <w:r w:rsidRPr="00824350">
        <w:rPr>
          <w:rFonts w:ascii="Calibri" w:hAnsi="Calibri" w:cs="Calibri"/>
          <w:szCs w:val="24"/>
        </w:rPr>
        <w:tab/>
        <w:t>Federal Register Notice</w:t>
      </w:r>
    </w:p>
    <w:p w14:paraId="71C3C824"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A.8.b</w:t>
      </w:r>
      <w:r w:rsidRPr="00824350">
        <w:rPr>
          <w:rFonts w:ascii="Calibri" w:hAnsi="Calibri" w:cs="Calibri"/>
          <w:szCs w:val="24"/>
        </w:rPr>
        <w:tab/>
        <w:t>Outside Consultation</w:t>
      </w:r>
    </w:p>
    <w:p w14:paraId="7EE1FC1E"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A.9.</w:t>
      </w:r>
      <w:r w:rsidRPr="00824350">
        <w:rPr>
          <w:rFonts w:ascii="Calibri" w:hAnsi="Calibri" w:cs="Calibri"/>
          <w:szCs w:val="24"/>
        </w:rPr>
        <w:tab/>
        <w:t>Explanation of Any Payment or Gift to Respondents</w:t>
      </w:r>
    </w:p>
    <w:p w14:paraId="3E921298" w14:textId="77777777" w:rsidR="0035525E"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A.10.</w:t>
      </w:r>
      <w:r w:rsidRPr="00824350">
        <w:rPr>
          <w:rFonts w:ascii="Calibri" w:hAnsi="Calibri" w:cs="Calibri"/>
          <w:szCs w:val="24"/>
        </w:rPr>
        <w:tab/>
        <w:t>Assurance of Confidentiality Provided to Respondents</w:t>
      </w:r>
    </w:p>
    <w:p w14:paraId="04E02943" w14:textId="77777777" w:rsidR="001D7AFB" w:rsidRPr="00824350" w:rsidRDefault="001D7AFB"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Pr>
          <w:rFonts w:ascii="Calibri" w:hAnsi="Calibri" w:cs="Calibri"/>
          <w:szCs w:val="24"/>
        </w:rPr>
        <w:t>A.10.1  Privacy Impact Assessment Information</w:t>
      </w:r>
    </w:p>
    <w:p w14:paraId="269BB33A"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A.11.</w:t>
      </w:r>
      <w:r w:rsidRPr="00824350">
        <w:rPr>
          <w:rFonts w:ascii="Calibri" w:hAnsi="Calibri" w:cs="Calibri"/>
          <w:szCs w:val="24"/>
        </w:rPr>
        <w:tab/>
        <w:t>Justification for Sensitive Questions</w:t>
      </w:r>
    </w:p>
    <w:p w14:paraId="3E378147"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A.12.</w:t>
      </w:r>
      <w:r w:rsidRPr="00824350">
        <w:rPr>
          <w:rFonts w:ascii="Calibri" w:hAnsi="Calibri" w:cs="Calibri"/>
          <w:szCs w:val="24"/>
        </w:rPr>
        <w:tab/>
        <w:t>Estimates of Annualized Burden Hours and Cost</w:t>
      </w:r>
    </w:p>
    <w:p w14:paraId="72674606"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A.13.</w:t>
      </w:r>
      <w:r w:rsidRPr="00824350">
        <w:rPr>
          <w:rFonts w:ascii="Calibri" w:hAnsi="Calibri" w:cs="Calibri"/>
          <w:szCs w:val="24"/>
        </w:rPr>
        <w:tab/>
        <w:t xml:space="preserve">Estimates of Annualized Respondent Capital and </w:t>
      </w:r>
    </w:p>
    <w:p w14:paraId="7EF64E16"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rPr>
          <w:rFonts w:ascii="Calibri" w:hAnsi="Calibri" w:cs="Calibri"/>
          <w:szCs w:val="24"/>
        </w:rPr>
      </w:pPr>
      <w:r w:rsidRPr="00824350">
        <w:rPr>
          <w:rFonts w:ascii="Calibri" w:hAnsi="Calibri" w:cs="Calibri"/>
          <w:szCs w:val="24"/>
        </w:rPr>
        <w:t>Maintenance Costs</w:t>
      </w:r>
    </w:p>
    <w:p w14:paraId="4A1E9036"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A.14.</w:t>
      </w:r>
      <w:r w:rsidRPr="00824350">
        <w:rPr>
          <w:rFonts w:ascii="Calibri" w:hAnsi="Calibri" w:cs="Calibri"/>
          <w:szCs w:val="24"/>
        </w:rPr>
        <w:tab/>
        <w:t>Estimates of Annualized Cost to the Federal Government</w:t>
      </w:r>
    </w:p>
    <w:p w14:paraId="118F48F4"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A.15.</w:t>
      </w:r>
      <w:r w:rsidRPr="00824350">
        <w:rPr>
          <w:rFonts w:ascii="Calibri" w:hAnsi="Calibri" w:cs="Calibri"/>
          <w:szCs w:val="24"/>
        </w:rPr>
        <w:tab/>
        <w:t>Explanation for Program Changes or Adjustments</w:t>
      </w:r>
    </w:p>
    <w:p w14:paraId="40EE6A3E"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A.16.</w:t>
      </w:r>
      <w:r w:rsidRPr="00824350">
        <w:rPr>
          <w:rFonts w:ascii="Calibri" w:hAnsi="Calibri" w:cs="Calibri"/>
          <w:szCs w:val="24"/>
        </w:rPr>
        <w:tab/>
        <w:t>Plans for Tabulation and Publication and Project Time Schedule</w:t>
      </w:r>
      <w:r w:rsidRPr="00824350">
        <w:rPr>
          <w:rFonts w:ascii="Calibri" w:hAnsi="Calibri" w:cs="Calibri"/>
          <w:szCs w:val="24"/>
        </w:rPr>
        <w:tab/>
      </w:r>
    </w:p>
    <w:p w14:paraId="156EAFCE" w14:textId="77777777" w:rsidR="0035525E" w:rsidRPr="00824350" w:rsidRDefault="0035525E" w:rsidP="007E3203">
      <w:pPr>
        <w:tabs>
          <w:tab w:val="left" w:pos="0"/>
          <w:tab w:val="left" w:pos="1440"/>
          <w:tab w:val="left" w:pos="2160"/>
          <w:tab w:val="left" w:pos="801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A.17.</w:t>
      </w:r>
      <w:r w:rsidRPr="00824350">
        <w:rPr>
          <w:rFonts w:ascii="Calibri" w:hAnsi="Calibri" w:cs="Calibri"/>
          <w:szCs w:val="24"/>
        </w:rPr>
        <w:tab/>
        <w:t>Reason(s) Display of OMB Expiration Date is Inappropriate</w:t>
      </w:r>
      <w:r w:rsidRPr="00824350">
        <w:rPr>
          <w:rFonts w:ascii="Calibri" w:hAnsi="Calibri" w:cs="Calibri"/>
          <w:szCs w:val="24"/>
        </w:rPr>
        <w:tab/>
      </w:r>
    </w:p>
    <w:p w14:paraId="525B3F29" w14:textId="77777777" w:rsidR="0035525E" w:rsidRPr="00824350" w:rsidRDefault="0035525E" w:rsidP="007E3203">
      <w:pPr>
        <w:tabs>
          <w:tab w:val="left" w:pos="0"/>
          <w:tab w:val="left" w:pos="1440"/>
          <w:tab w:val="left" w:pos="2160"/>
          <w:tab w:val="left" w:pos="762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A.18.</w:t>
      </w:r>
      <w:r w:rsidRPr="00824350">
        <w:rPr>
          <w:rFonts w:ascii="Calibri" w:hAnsi="Calibri" w:cs="Calibri"/>
          <w:szCs w:val="24"/>
        </w:rPr>
        <w:tab/>
        <w:t>Exceptions to the Certification Statement</w:t>
      </w:r>
      <w:r w:rsidRPr="00824350">
        <w:rPr>
          <w:rFonts w:ascii="Calibri" w:hAnsi="Calibri" w:cs="Calibri"/>
          <w:szCs w:val="24"/>
        </w:rPr>
        <w:tab/>
      </w:r>
    </w:p>
    <w:p w14:paraId="1192F31F" w14:textId="77777777"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p>
    <w:p w14:paraId="4D859CF7" w14:textId="77777777" w:rsidR="0035525E" w:rsidRPr="00824350" w:rsidRDefault="0035525E" w:rsidP="00D7315A">
      <w:pPr>
        <w:tabs>
          <w:tab w:val="left" w:pos="0"/>
          <w:tab w:val="left" w:pos="1440"/>
          <w:tab w:val="left" w:pos="2160"/>
          <w:tab w:val="right" w:leader="dot" w:pos="8208"/>
          <w:tab w:val="left" w:pos="8640"/>
          <w:tab w:val="left" w:pos="9360"/>
        </w:tabs>
        <w:spacing w:line="240" w:lineRule="exact"/>
        <w:rPr>
          <w:rFonts w:ascii="Calibri" w:hAnsi="Calibri" w:cs="Calibri"/>
          <w:szCs w:val="24"/>
        </w:rPr>
      </w:pPr>
      <w:r w:rsidRPr="00824350">
        <w:rPr>
          <w:rFonts w:ascii="Calibri" w:hAnsi="Calibri" w:cs="Calibri"/>
          <w:szCs w:val="24"/>
        </w:rPr>
        <w:t xml:space="preserve">                  </w:t>
      </w:r>
    </w:p>
    <w:p w14:paraId="19E38C1F" w14:textId="77777777" w:rsidR="0035525E" w:rsidRPr="00824350" w:rsidRDefault="0035525E" w:rsidP="007E3203">
      <w:pPr>
        <w:tabs>
          <w:tab w:val="left" w:pos="0"/>
          <w:tab w:val="right" w:leader="dot" w:pos="8208"/>
          <w:tab w:val="left" w:pos="8640"/>
          <w:tab w:val="left" w:pos="9360"/>
        </w:tabs>
        <w:spacing w:line="240" w:lineRule="exact"/>
        <w:rPr>
          <w:rFonts w:ascii="Calibri" w:hAnsi="Calibri" w:cs="Calibri"/>
          <w:b/>
          <w:szCs w:val="24"/>
        </w:rPr>
      </w:pPr>
    </w:p>
    <w:p w14:paraId="49833350" w14:textId="77777777" w:rsidR="0035525E" w:rsidRPr="00824350" w:rsidRDefault="0035525E" w:rsidP="00A30A87">
      <w:pPr>
        <w:tabs>
          <w:tab w:val="left" w:pos="0"/>
          <w:tab w:val="right" w:leader="dot" w:pos="8208"/>
          <w:tab w:val="left" w:pos="8640"/>
          <w:tab w:val="left" w:pos="9360"/>
        </w:tabs>
        <w:spacing w:line="240" w:lineRule="exact"/>
        <w:ind w:firstLine="450"/>
        <w:rPr>
          <w:rFonts w:ascii="Calibri" w:hAnsi="Calibri" w:cs="Calibri"/>
          <w:szCs w:val="24"/>
        </w:rPr>
      </w:pPr>
      <w:r w:rsidRPr="00824350">
        <w:rPr>
          <w:rFonts w:ascii="Calibri" w:hAnsi="Calibri" w:cs="Calibri"/>
          <w:b/>
          <w:szCs w:val="24"/>
        </w:rPr>
        <w:t>List of Exhibits</w:t>
      </w:r>
    </w:p>
    <w:p w14:paraId="49546ACA" w14:textId="77777777" w:rsidR="0035525E" w:rsidRPr="00824350" w:rsidRDefault="0035525E" w:rsidP="007E3203">
      <w:pPr>
        <w:tabs>
          <w:tab w:val="left" w:pos="0"/>
          <w:tab w:val="left" w:pos="288"/>
          <w:tab w:val="right" w:leader="dot" w:pos="8208"/>
          <w:tab w:val="left" w:pos="8640"/>
          <w:tab w:val="left" w:pos="9360"/>
        </w:tabs>
        <w:spacing w:line="240" w:lineRule="exact"/>
        <w:ind w:left="288"/>
        <w:rPr>
          <w:rFonts w:ascii="Calibri" w:hAnsi="Calibri" w:cs="Calibri"/>
          <w:szCs w:val="24"/>
        </w:rPr>
      </w:pPr>
      <w:r w:rsidRPr="00824350">
        <w:rPr>
          <w:rFonts w:ascii="Calibri" w:hAnsi="Calibri" w:cs="Calibri"/>
          <w:szCs w:val="24"/>
        </w:rPr>
        <w:t xml:space="preserve">      </w:t>
      </w:r>
    </w:p>
    <w:p w14:paraId="4691A258" w14:textId="664008CD" w:rsidR="0035525E" w:rsidRPr="00824350" w:rsidRDefault="005663DF" w:rsidP="00A30A87">
      <w:pPr>
        <w:tabs>
          <w:tab w:val="left" w:pos="0"/>
          <w:tab w:val="left" w:pos="288"/>
          <w:tab w:val="right" w:leader="dot" w:pos="8208"/>
          <w:tab w:val="left" w:pos="8640"/>
          <w:tab w:val="left" w:pos="9360"/>
        </w:tabs>
        <w:ind w:firstLine="1166"/>
        <w:rPr>
          <w:rFonts w:ascii="Calibri" w:hAnsi="Calibri" w:cs="Calibri"/>
          <w:szCs w:val="24"/>
        </w:rPr>
      </w:pPr>
      <w:r>
        <w:rPr>
          <w:rFonts w:ascii="Calibri" w:hAnsi="Calibri" w:cs="Calibri"/>
          <w:szCs w:val="24"/>
        </w:rPr>
        <w:t xml:space="preserve">Exhibit </w:t>
      </w:r>
      <w:r w:rsidR="006B105E">
        <w:rPr>
          <w:rFonts w:ascii="Calibri" w:hAnsi="Calibri" w:cs="Calibri"/>
          <w:szCs w:val="24"/>
        </w:rPr>
        <w:t>1</w:t>
      </w:r>
      <w:r w:rsidR="0035525E" w:rsidRPr="00824350">
        <w:rPr>
          <w:rFonts w:ascii="Calibri" w:hAnsi="Calibri" w:cs="Calibri"/>
          <w:szCs w:val="24"/>
        </w:rPr>
        <w:t>. Estimated One-Year Annualized Burden</w:t>
      </w:r>
    </w:p>
    <w:p w14:paraId="5C0DF770" w14:textId="419E9FED" w:rsidR="0035525E" w:rsidRDefault="005663DF" w:rsidP="00A30A87">
      <w:pPr>
        <w:tabs>
          <w:tab w:val="left" w:pos="0"/>
          <w:tab w:val="left" w:pos="288"/>
          <w:tab w:val="right" w:leader="dot" w:pos="8208"/>
          <w:tab w:val="left" w:pos="8640"/>
          <w:tab w:val="left" w:pos="9360"/>
        </w:tabs>
        <w:ind w:firstLine="1166"/>
        <w:rPr>
          <w:rFonts w:ascii="Calibri" w:hAnsi="Calibri" w:cs="Calibri"/>
          <w:szCs w:val="24"/>
        </w:rPr>
      </w:pPr>
      <w:r>
        <w:rPr>
          <w:rFonts w:ascii="Calibri" w:hAnsi="Calibri" w:cs="Calibri"/>
          <w:szCs w:val="24"/>
        </w:rPr>
        <w:t xml:space="preserve">Exhibit </w:t>
      </w:r>
      <w:r w:rsidR="006B105E">
        <w:rPr>
          <w:rFonts w:ascii="Calibri" w:hAnsi="Calibri" w:cs="Calibri"/>
          <w:szCs w:val="24"/>
        </w:rPr>
        <w:t>2</w:t>
      </w:r>
      <w:r w:rsidR="0035525E" w:rsidRPr="00824350">
        <w:rPr>
          <w:rFonts w:ascii="Calibri" w:hAnsi="Calibri" w:cs="Calibri"/>
          <w:szCs w:val="24"/>
        </w:rPr>
        <w:t>. Estimated One-Year Annualized Cost to Respondents</w:t>
      </w:r>
    </w:p>
    <w:p w14:paraId="3C6D9CC1" w14:textId="7D6A1FCF" w:rsidR="0035525E" w:rsidRPr="00824350" w:rsidRDefault="005663DF" w:rsidP="00A30A87">
      <w:pPr>
        <w:tabs>
          <w:tab w:val="left" w:pos="0"/>
          <w:tab w:val="left" w:pos="288"/>
          <w:tab w:val="right" w:leader="dot" w:pos="8208"/>
          <w:tab w:val="left" w:pos="8640"/>
          <w:tab w:val="left" w:pos="9360"/>
        </w:tabs>
        <w:ind w:firstLine="1166"/>
        <w:rPr>
          <w:rFonts w:ascii="Calibri" w:hAnsi="Calibri" w:cs="Calibri"/>
          <w:szCs w:val="24"/>
        </w:rPr>
      </w:pPr>
      <w:r>
        <w:rPr>
          <w:rFonts w:ascii="Calibri" w:hAnsi="Calibri" w:cs="Calibri"/>
          <w:szCs w:val="24"/>
        </w:rPr>
        <w:t xml:space="preserve">Exhibit </w:t>
      </w:r>
      <w:r w:rsidR="006B105E">
        <w:rPr>
          <w:rFonts w:ascii="Calibri" w:hAnsi="Calibri" w:cs="Calibri"/>
          <w:szCs w:val="24"/>
        </w:rPr>
        <w:t>3</w:t>
      </w:r>
      <w:r w:rsidR="0035525E" w:rsidRPr="00824350">
        <w:rPr>
          <w:rFonts w:ascii="Calibri" w:hAnsi="Calibri" w:cs="Calibri"/>
          <w:szCs w:val="24"/>
        </w:rPr>
        <w:t>. Project Schedule</w:t>
      </w:r>
    </w:p>
    <w:p w14:paraId="54237BC4" w14:textId="77777777" w:rsidR="0035525E" w:rsidRPr="00824350" w:rsidRDefault="0035525E" w:rsidP="007E3203">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rFonts w:ascii="Calibri" w:hAnsi="Calibri" w:cs="Calibri"/>
          <w:szCs w:val="24"/>
          <w:u w:val="single"/>
        </w:rPr>
      </w:pPr>
    </w:p>
    <w:p w14:paraId="704FFE5E" w14:textId="77777777" w:rsidR="0035525E" w:rsidRPr="00824350" w:rsidRDefault="0035525E" w:rsidP="007E3203">
      <w:pPr>
        <w:tabs>
          <w:tab w:val="left" w:pos="0"/>
          <w:tab w:val="left" w:pos="288"/>
          <w:tab w:val="right" w:leader="dot" w:pos="8208"/>
          <w:tab w:val="left" w:pos="8640"/>
          <w:tab w:val="left" w:pos="9360"/>
        </w:tabs>
        <w:spacing w:line="240" w:lineRule="exact"/>
        <w:ind w:left="288"/>
        <w:rPr>
          <w:rFonts w:ascii="Calibri" w:hAnsi="Calibri" w:cs="Calibri"/>
          <w:szCs w:val="24"/>
        </w:rPr>
      </w:pPr>
    </w:p>
    <w:p w14:paraId="47DE5921" w14:textId="77777777" w:rsidR="0035525E" w:rsidRPr="00824350" w:rsidRDefault="0035525E" w:rsidP="007E3203">
      <w:pPr>
        <w:widowControl/>
        <w:ind w:firstLine="450"/>
        <w:rPr>
          <w:rFonts w:ascii="Calibri" w:hAnsi="Calibri" w:cs="Calibri"/>
          <w:b/>
          <w:szCs w:val="24"/>
        </w:rPr>
      </w:pPr>
      <w:r w:rsidRPr="00824350">
        <w:rPr>
          <w:rFonts w:ascii="Calibri" w:hAnsi="Calibri" w:cs="Calibri"/>
          <w:b/>
          <w:szCs w:val="24"/>
        </w:rPr>
        <w:br w:type="page"/>
      </w:r>
    </w:p>
    <w:p w14:paraId="380E1FEE" w14:textId="77777777" w:rsidR="0035525E" w:rsidRPr="00824350" w:rsidRDefault="0035525E" w:rsidP="007E3203">
      <w:pPr>
        <w:widowControl/>
        <w:ind w:firstLine="450"/>
        <w:rPr>
          <w:rFonts w:ascii="Calibri" w:hAnsi="Calibri" w:cs="Calibri"/>
          <w:szCs w:val="24"/>
        </w:rPr>
      </w:pPr>
      <w:r w:rsidRPr="00824350">
        <w:rPr>
          <w:rFonts w:ascii="Calibri" w:hAnsi="Calibri" w:cs="Calibri"/>
          <w:b/>
          <w:szCs w:val="24"/>
        </w:rPr>
        <w:lastRenderedPageBreak/>
        <w:t>List of Attachments</w:t>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p>
    <w:p w14:paraId="10EBB83E" w14:textId="77777777" w:rsidR="0035525E" w:rsidRPr="00824350" w:rsidRDefault="0035525E" w:rsidP="00A30A87">
      <w:pPr>
        <w:rPr>
          <w:rFonts w:ascii="Calibri" w:hAnsi="Calibri" w:cs="Calibri"/>
          <w:b/>
          <w:szCs w:val="24"/>
        </w:rPr>
      </w:pPr>
    </w:p>
    <w:p w14:paraId="3E07E0A4" w14:textId="77777777" w:rsidR="00173AAF" w:rsidRPr="00BE3C03" w:rsidRDefault="00173AAF" w:rsidP="00173AAF">
      <w:pPr>
        <w:ind w:left="630"/>
        <w:rPr>
          <w:rFonts w:ascii="Calibri" w:hAnsi="Calibri" w:cs="Calibri"/>
          <w:bCs/>
          <w:szCs w:val="24"/>
        </w:rPr>
      </w:pPr>
      <w:r w:rsidRPr="00BE3C03">
        <w:rPr>
          <w:rFonts w:ascii="Calibri" w:hAnsi="Calibri" w:cs="Calibri"/>
          <w:bCs/>
          <w:szCs w:val="24"/>
        </w:rPr>
        <w:t>A-1. Public Health Service Act</w:t>
      </w:r>
    </w:p>
    <w:p w14:paraId="4F41BD4F" w14:textId="77777777" w:rsidR="00173AAF" w:rsidRPr="00BE3C03" w:rsidRDefault="00173AAF" w:rsidP="00173AAF">
      <w:pPr>
        <w:ind w:left="630"/>
        <w:rPr>
          <w:rFonts w:ascii="Calibri" w:hAnsi="Calibri" w:cs="Calibri"/>
          <w:bCs/>
          <w:szCs w:val="24"/>
        </w:rPr>
      </w:pPr>
      <w:r w:rsidRPr="00BE3C03">
        <w:rPr>
          <w:rFonts w:ascii="Calibri" w:hAnsi="Calibri" w:cs="Calibri"/>
          <w:bCs/>
          <w:szCs w:val="24"/>
        </w:rPr>
        <w:t>A-2. Family Smoking Prevention and Tobacco Control Act</w:t>
      </w:r>
    </w:p>
    <w:p w14:paraId="28084F5A" w14:textId="77777777" w:rsidR="00173AAF" w:rsidRDefault="00173AAF" w:rsidP="00173AAF">
      <w:pPr>
        <w:ind w:left="630"/>
        <w:rPr>
          <w:rFonts w:ascii="Calibri" w:hAnsi="Calibri" w:cs="Calibri"/>
          <w:bCs/>
          <w:szCs w:val="24"/>
        </w:rPr>
      </w:pPr>
      <w:r w:rsidRPr="00BE3C03">
        <w:rPr>
          <w:rFonts w:ascii="Calibri" w:hAnsi="Calibri" w:cs="Calibri"/>
          <w:bCs/>
          <w:szCs w:val="24"/>
        </w:rPr>
        <w:t>A-3. PPHF</w:t>
      </w:r>
    </w:p>
    <w:p w14:paraId="61D8E664" w14:textId="602DF9C7" w:rsidR="00AB377A" w:rsidRDefault="00AB377A" w:rsidP="00AB377A">
      <w:pPr>
        <w:ind w:left="630"/>
        <w:rPr>
          <w:rFonts w:ascii="Calibri" w:hAnsi="Calibri" w:cs="Calibri"/>
          <w:bCs/>
          <w:szCs w:val="24"/>
        </w:rPr>
      </w:pPr>
      <w:r>
        <w:rPr>
          <w:rFonts w:ascii="Calibri" w:hAnsi="Calibri" w:cs="Calibri"/>
          <w:bCs/>
          <w:szCs w:val="24"/>
        </w:rPr>
        <w:t xml:space="preserve">B. </w:t>
      </w:r>
      <w:r w:rsidR="0075509C">
        <w:rPr>
          <w:rFonts w:ascii="Calibri" w:hAnsi="Calibri" w:cs="Calibri"/>
          <w:bCs/>
          <w:szCs w:val="24"/>
        </w:rPr>
        <w:t xml:space="preserve">60-Day </w:t>
      </w:r>
      <w:r>
        <w:rPr>
          <w:rFonts w:ascii="Calibri" w:hAnsi="Calibri" w:cs="Calibri"/>
          <w:bCs/>
          <w:szCs w:val="24"/>
        </w:rPr>
        <w:t>Federal Register Notice</w:t>
      </w:r>
    </w:p>
    <w:p w14:paraId="0BF9842F" w14:textId="5ED4313D" w:rsidR="00173AAF" w:rsidRDefault="004027CF" w:rsidP="00173AAF">
      <w:pPr>
        <w:ind w:left="630"/>
        <w:rPr>
          <w:rFonts w:ascii="Calibri" w:hAnsi="Calibri" w:cs="Calibri"/>
          <w:bCs/>
          <w:szCs w:val="24"/>
        </w:rPr>
      </w:pPr>
      <w:r>
        <w:rPr>
          <w:rFonts w:ascii="Calibri" w:hAnsi="Calibri" w:cs="Calibri"/>
          <w:bCs/>
          <w:szCs w:val="24"/>
        </w:rPr>
        <w:t>C</w:t>
      </w:r>
      <w:r w:rsidR="00173AAF">
        <w:rPr>
          <w:rFonts w:ascii="Calibri" w:hAnsi="Calibri" w:cs="Calibri"/>
          <w:bCs/>
          <w:szCs w:val="24"/>
        </w:rPr>
        <w:t xml:space="preserve">. Screening </w:t>
      </w:r>
      <w:r w:rsidR="00F94E75">
        <w:rPr>
          <w:rFonts w:ascii="Calibri" w:hAnsi="Calibri" w:cs="Calibri"/>
          <w:bCs/>
          <w:szCs w:val="24"/>
        </w:rPr>
        <w:t xml:space="preserve">&amp; Consent </w:t>
      </w:r>
      <w:r w:rsidR="00173AAF">
        <w:rPr>
          <w:rFonts w:ascii="Calibri" w:hAnsi="Calibri" w:cs="Calibri"/>
          <w:bCs/>
          <w:szCs w:val="24"/>
        </w:rPr>
        <w:t>Questionnaire</w:t>
      </w:r>
      <w:r w:rsidR="00453E2B">
        <w:rPr>
          <w:rFonts w:ascii="Calibri" w:hAnsi="Calibri" w:cs="Calibri"/>
          <w:bCs/>
          <w:szCs w:val="24"/>
        </w:rPr>
        <w:t>—English and Spanish</w:t>
      </w:r>
    </w:p>
    <w:p w14:paraId="7E50A67C" w14:textId="1651CCDD" w:rsidR="00173AAF" w:rsidRDefault="009D64C4" w:rsidP="00831D33">
      <w:pPr>
        <w:ind w:left="630"/>
        <w:rPr>
          <w:rFonts w:ascii="Calibri" w:hAnsi="Calibri" w:cs="Calibri"/>
          <w:bCs/>
          <w:szCs w:val="24"/>
        </w:rPr>
      </w:pPr>
      <w:r>
        <w:rPr>
          <w:rFonts w:ascii="Calibri" w:hAnsi="Calibri" w:cs="Calibri"/>
          <w:bCs/>
          <w:szCs w:val="24"/>
        </w:rPr>
        <w:t>D</w:t>
      </w:r>
      <w:r w:rsidR="00173AAF">
        <w:rPr>
          <w:rFonts w:ascii="Calibri" w:hAnsi="Calibri" w:cs="Calibri"/>
          <w:bCs/>
          <w:szCs w:val="24"/>
        </w:rPr>
        <w:t xml:space="preserve">. </w:t>
      </w:r>
      <w:r w:rsidR="00833FC8">
        <w:rPr>
          <w:rFonts w:ascii="Calibri" w:hAnsi="Calibri" w:cs="Calibri"/>
          <w:bCs/>
          <w:szCs w:val="24"/>
        </w:rPr>
        <w:t xml:space="preserve">Waves </w:t>
      </w:r>
      <w:r w:rsidR="00831D33">
        <w:rPr>
          <w:rFonts w:ascii="Calibri" w:hAnsi="Calibri" w:cs="Calibri"/>
          <w:bCs/>
          <w:szCs w:val="24"/>
        </w:rPr>
        <w:t>A</w:t>
      </w:r>
      <w:r w:rsidR="000A78F4">
        <w:rPr>
          <w:rFonts w:ascii="Calibri" w:hAnsi="Calibri" w:cs="Calibri"/>
          <w:bCs/>
          <w:szCs w:val="24"/>
        </w:rPr>
        <w:t>-D</w:t>
      </w:r>
      <w:r w:rsidR="002F0F64">
        <w:rPr>
          <w:rFonts w:ascii="Calibri" w:hAnsi="Calibri" w:cs="Calibri"/>
          <w:bCs/>
          <w:szCs w:val="24"/>
        </w:rPr>
        <w:t xml:space="preserve"> </w:t>
      </w:r>
      <w:r w:rsidR="00054982">
        <w:rPr>
          <w:rFonts w:ascii="Calibri" w:hAnsi="Calibri" w:cs="Calibri"/>
          <w:bCs/>
          <w:szCs w:val="24"/>
        </w:rPr>
        <w:t xml:space="preserve">Smoker </w:t>
      </w:r>
      <w:r w:rsidR="00173AAF">
        <w:rPr>
          <w:rFonts w:ascii="Calibri" w:hAnsi="Calibri" w:cs="Calibri"/>
          <w:bCs/>
          <w:szCs w:val="24"/>
        </w:rPr>
        <w:t>Survey</w:t>
      </w:r>
      <w:r w:rsidR="00054982">
        <w:rPr>
          <w:rFonts w:ascii="Calibri" w:hAnsi="Calibri" w:cs="Calibri"/>
          <w:bCs/>
          <w:szCs w:val="24"/>
        </w:rPr>
        <w:t>—English and Spanish</w:t>
      </w:r>
    </w:p>
    <w:p w14:paraId="770FD1B7" w14:textId="24BA9DAA" w:rsidR="00173AAF" w:rsidRDefault="00054982" w:rsidP="00173AAF">
      <w:pPr>
        <w:ind w:left="630"/>
        <w:rPr>
          <w:rFonts w:ascii="Calibri" w:hAnsi="Calibri" w:cs="Calibri"/>
          <w:bCs/>
          <w:szCs w:val="24"/>
        </w:rPr>
      </w:pPr>
      <w:r>
        <w:rPr>
          <w:rFonts w:ascii="Calibri" w:hAnsi="Calibri" w:cs="Calibri"/>
          <w:bCs/>
          <w:szCs w:val="24"/>
        </w:rPr>
        <w:t>E</w:t>
      </w:r>
      <w:r w:rsidR="00173AAF">
        <w:rPr>
          <w:rFonts w:ascii="Calibri" w:hAnsi="Calibri" w:cs="Calibri"/>
          <w:bCs/>
          <w:szCs w:val="24"/>
        </w:rPr>
        <w:t xml:space="preserve">. </w:t>
      </w:r>
      <w:r w:rsidR="00833FC8">
        <w:rPr>
          <w:rFonts w:ascii="Calibri" w:hAnsi="Calibri" w:cs="Calibri"/>
          <w:bCs/>
          <w:szCs w:val="24"/>
        </w:rPr>
        <w:t>Waves</w:t>
      </w:r>
      <w:r>
        <w:rPr>
          <w:rFonts w:ascii="Calibri" w:hAnsi="Calibri" w:cs="Calibri"/>
          <w:bCs/>
          <w:szCs w:val="24"/>
        </w:rPr>
        <w:t xml:space="preserve"> </w:t>
      </w:r>
      <w:r w:rsidR="00831D33">
        <w:rPr>
          <w:rFonts w:ascii="Calibri" w:hAnsi="Calibri" w:cs="Calibri"/>
          <w:bCs/>
          <w:szCs w:val="24"/>
        </w:rPr>
        <w:t>A</w:t>
      </w:r>
      <w:r w:rsidR="000A78F4">
        <w:rPr>
          <w:rFonts w:ascii="Calibri" w:hAnsi="Calibri" w:cs="Calibri"/>
          <w:bCs/>
          <w:szCs w:val="24"/>
        </w:rPr>
        <w:t>-D</w:t>
      </w:r>
      <w:r w:rsidR="00653C40">
        <w:rPr>
          <w:rFonts w:ascii="Calibri" w:hAnsi="Calibri" w:cs="Calibri"/>
          <w:bCs/>
          <w:szCs w:val="24"/>
        </w:rPr>
        <w:t xml:space="preserve"> </w:t>
      </w:r>
      <w:r>
        <w:rPr>
          <w:rFonts w:ascii="Calibri" w:hAnsi="Calibri" w:cs="Calibri"/>
          <w:bCs/>
          <w:szCs w:val="24"/>
        </w:rPr>
        <w:t xml:space="preserve">Nonsmoker </w:t>
      </w:r>
      <w:r w:rsidR="00173AAF">
        <w:rPr>
          <w:rFonts w:ascii="Calibri" w:hAnsi="Calibri" w:cs="Calibri"/>
          <w:bCs/>
          <w:szCs w:val="24"/>
        </w:rPr>
        <w:t>Survey</w:t>
      </w:r>
      <w:r>
        <w:rPr>
          <w:rFonts w:ascii="Calibri" w:hAnsi="Calibri" w:cs="Calibri"/>
          <w:bCs/>
          <w:szCs w:val="24"/>
        </w:rPr>
        <w:t>—English and Spanish</w:t>
      </w:r>
    </w:p>
    <w:p w14:paraId="34ED3E43" w14:textId="263F496B" w:rsidR="00B87D8C" w:rsidRDefault="00054982" w:rsidP="00173AAF">
      <w:pPr>
        <w:ind w:left="630"/>
        <w:rPr>
          <w:rFonts w:ascii="Calibri" w:hAnsi="Calibri" w:cs="Calibri"/>
          <w:bCs/>
          <w:szCs w:val="24"/>
        </w:rPr>
      </w:pPr>
      <w:r>
        <w:rPr>
          <w:rFonts w:ascii="Calibri" w:hAnsi="Calibri" w:cs="Calibri"/>
          <w:bCs/>
          <w:szCs w:val="24"/>
        </w:rPr>
        <w:t>F</w:t>
      </w:r>
      <w:r w:rsidR="00B87D8C">
        <w:rPr>
          <w:rFonts w:ascii="Calibri" w:hAnsi="Calibri" w:cs="Calibri"/>
          <w:bCs/>
          <w:szCs w:val="24"/>
        </w:rPr>
        <w:t>. KnowledgePanel Recruitment Procedures</w:t>
      </w:r>
    </w:p>
    <w:p w14:paraId="0C7A4FA8" w14:textId="71AE51FE" w:rsidR="004027CF" w:rsidRDefault="00054982" w:rsidP="004027CF">
      <w:pPr>
        <w:ind w:left="630"/>
        <w:rPr>
          <w:rFonts w:ascii="Calibri" w:hAnsi="Calibri" w:cs="Calibri"/>
          <w:bCs/>
          <w:szCs w:val="24"/>
        </w:rPr>
      </w:pPr>
      <w:r>
        <w:rPr>
          <w:rFonts w:ascii="Calibri" w:hAnsi="Calibri" w:cs="Calibri"/>
          <w:bCs/>
          <w:szCs w:val="24"/>
        </w:rPr>
        <w:t>G</w:t>
      </w:r>
      <w:r w:rsidR="004027CF">
        <w:rPr>
          <w:rFonts w:ascii="Calibri" w:hAnsi="Calibri" w:cs="Calibri"/>
          <w:bCs/>
          <w:szCs w:val="24"/>
        </w:rPr>
        <w:t>. RTI IRB Approval Notice</w:t>
      </w:r>
    </w:p>
    <w:p w14:paraId="4B4EA62A" w14:textId="478C5EAE" w:rsidR="004027CF" w:rsidRDefault="00054982" w:rsidP="004027CF">
      <w:pPr>
        <w:ind w:left="630"/>
        <w:rPr>
          <w:rFonts w:ascii="Calibri" w:hAnsi="Calibri" w:cs="Calibri"/>
          <w:bCs/>
          <w:szCs w:val="24"/>
        </w:rPr>
      </w:pPr>
      <w:r>
        <w:rPr>
          <w:rFonts w:ascii="Calibri" w:hAnsi="Calibri" w:cs="Calibri"/>
          <w:bCs/>
          <w:szCs w:val="24"/>
        </w:rPr>
        <w:t>H</w:t>
      </w:r>
      <w:r w:rsidR="004027CF">
        <w:rPr>
          <w:rFonts w:ascii="Calibri" w:hAnsi="Calibri" w:cs="Calibri"/>
          <w:bCs/>
          <w:szCs w:val="24"/>
        </w:rPr>
        <w:t>. GfK Privacy and Security Procedures</w:t>
      </w:r>
    </w:p>
    <w:p w14:paraId="234973B3" w14:textId="6F191824" w:rsidR="00173AAF" w:rsidRDefault="00054982" w:rsidP="00173AAF">
      <w:pPr>
        <w:ind w:left="630"/>
        <w:rPr>
          <w:rFonts w:ascii="Calibri" w:hAnsi="Calibri" w:cs="Calibri"/>
          <w:bCs/>
          <w:szCs w:val="24"/>
        </w:rPr>
      </w:pPr>
      <w:r>
        <w:rPr>
          <w:rFonts w:ascii="Calibri" w:hAnsi="Calibri" w:cs="Calibri"/>
          <w:bCs/>
          <w:szCs w:val="24"/>
        </w:rPr>
        <w:t>I</w:t>
      </w:r>
      <w:r w:rsidR="00173AAF">
        <w:rPr>
          <w:rFonts w:ascii="Calibri" w:hAnsi="Calibri" w:cs="Calibri"/>
          <w:bCs/>
          <w:szCs w:val="24"/>
        </w:rPr>
        <w:t>-1. ABS Sample Invitation Letter</w:t>
      </w:r>
    </w:p>
    <w:p w14:paraId="53E856B8" w14:textId="30C0229A" w:rsidR="00173AAF" w:rsidRDefault="00054982" w:rsidP="00173AAF">
      <w:pPr>
        <w:ind w:left="630"/>
        <w:rPr>
          <w:rFonts w:ascii="Calibri" w:hAnsi="Calibri" w:cs="Calibri"/>
          <w:bCs/>
          <w:szCs w:val="24"/>
        </w:rPr>
      </w:pPr>
      <w:r>
        <w:rPr>
          <w:rFonts w:ascii="Calibri" w:hAnsi="Calibri" w:cs="Calibri"/>
          <w:bCs/>
          <w:szCs w:val="24"/>
        </w:rPr>
        <w:t>I</w:t>
      </w:r>
      <w:r w:rsidR="00173AAF">
        <w:rPr>
          <w:rFonts w:ascii="Calibri" w:hAnsi="Calibri" w:cs="Calibri"/>
          <w:bCs/>
          <w:szCs w:val="24"/>
        </w:rPr>
        <w:t>-2. KnowledgePanel Email Invitation and Reminders</w:t>
      </w:r>
    </w:p>
    <w:p w14:paraId="1353AFA2" w14:textId="55FC3BCB" w:rsidR="00173AAF" w:rsidRDefault="00054982" w:rsidP="00173AAF">
      <w:pPr>
        <w:ind w:left="630"/>
        <w:rPr>
          <w:rFonts w:ascii="Calibri" w:hAnsi="Calibri" w:cs="Calibri"/>
          <w:bCs/>
          <w:szCs w:val="24"/>
        </w:rPr>
      </w:pPr>
      <w:r>
        <w:rPr>
          <w:rFonts w:ascii="Calibri" w:hAnsi="Calibri" w:cs="Calibri"/>
          <w:bCs/>
          <w:szCs w:val="24"/>
        </w:rPr>
        <w:t>I</w:t>
      </w:r>
      <w:r w:rsidR="00173AAF">
        <w:rPr>
          <w:rFonts w:ascii="Calibri" w:hAnsi="Calibri" w:cs="Calibri"/>
          <w:bCs/>
          <w:szCs w:val="24"/>
        </w:rPr>
        <w:t>-3. ABS Sample Postcard Reminders</w:t>
      </w:r>
    </w:p>
    <w:p w14:paraId="14AEEB8D" w14:textId="38D4C812" w:rsidR="00D77DF2" w:rsidRDefault="00D77DF2" w:rsidP="00173AAF">
      <w:pPr>
        <w:ind w:left="630"/>
        <w:rPr>
          <w:rFonts w:ascii="Calibri" w:hAnsi="Calibri" w:cs="Calibri"/>
          <w:bCs/>
          <w:szCs w:val="24"/>
        </w:rPr>
      </w:pPr>
      <w:r>
        <w:rPr>
          <w:rFonts w:ascii="Calibri" w:hAnsi="Calibri" w:cs="Calibri"/>
          <w:bCs/>
          <w:szCs w:val="24"/>
        </w:rPr>
        <w:t>J. Source of Respondents for Each Wave of Data Collection</w:t>
      </w:r>
    </w:p>
    <w:p w14:paraId="0C8584B7" w14:textId="77777777" w:rsidR="0035525E" w:rsidRPr="00824350" w:rsidRDefault="0035525E" w:rsidP="004F1D70">
      <w:pPr>
        <w:ind w:left="630"/>
        <w:rPr>
          <w:rFonts w:ascii="Calibri" w:hAnsi="Calibri" w:cs="Calibri"/>
          <w:bCs/>
          <w:szCs w:val="24"/>
        </w:rPr>
      </w:pPr>
    </w:p>
    <w:p w14:paraId="7941100F" w14:textId="77777777" w:rsidR="00B53232" w:rsidRDefault="00B53232" w:rsidP="00B53232">
      <w:pPr>
        <w:rPr>
          <w:rFonts w:ascii="Calibri" w:hAnsi="Calibri" w:cs="Calibri"/>
          <w:szCs w:val="24"/>
        </w:rPr>
      </w:pPr>
      <w:r>
        <w:rPr>
          <w:rFonts w:ascii="Calibri" w:hAnsi="Calibri" w:cs="Calibri"/>
          <w:szCs w:val="24"/>
        </w:rPr>
        <w:br w:type="page"/>
      </w:r>
    </w:p>
    <w:p w14:paraId="5011F666" w14:textId="77777777" w:rsidR="00D15363" w:rsidRDefault="00D15363" w:rsidP="006127BF">
      <w:pPr>
        <w:jc w:val="center"/>
        <w:rPr>
          <w:rFonts w:ascii="Calibri" w:hAnsi="Calibri" w:cs="Calibri"/>
          <w:szCs w:val="24"/>
        </w:rPr>
      </w:pPr>
    </w:p>
    <w:p w14:paraId="5C269712" w14:textId="77777777" w:rsidR="00D15363" w:rsidRDefault="00D15363" w:rsidP="006127BF">
      <w:pPr>
        <w:jc w:val="center"/>
        <w:rPr>
          <w:rFonts w:ascii="Calibri" w:hAnsi="Calibri" w:cs="Calibri"/>
          <w:szCs w:val="24"/>
        </w:rPr>
      </w:pPr>
    </w:p>
    <w:p w14:paraId="4F7E7C95" w14:textId="77777777" w:rsidR="00D15363" w:rsidRDefault="00D15363" w:rsidP="006127BF">
      <w:pPr>
        <w:jc w:val="center"/>
        <w:rPr>
          <w:rFonts w:ascii="Calibri" w:hAnsi="Calibri" w:cs="Calibri"/>
          <w:szCs w:val="24"/>
        </w:rPr>
      </w:pPr>
    </w:p>
    <w:p w14:paraId="427E4150" w14:textId="77777777" w:rsidR="00D15363" w:rsidRDefault="00D15363" w:rsidP="006127BF">
      <w:pPr>
        <w:jc w:val="center"/>
        <w:rPr>
          <w:rFonts w:ascii="Calibri" w:hAnsi="Calibri" w:cs="Calibri"/>
          <w:szCs w:val="24"/>
        </w:rPr>
      </w:pPr>
    </w:p>
    <w:p w14:paraId="009C6419" w14:textId="77777777" w:rsidR="00D15363" w:rsidRDefault="00D15363" w:rsidP="006127BF">
      <w:pPr>
        <w:jc w:val="center"/>
        <w:rPr>
          <w:rFonts w:ascii="Calibri" w:hAnsi="Calibri" w:cs="Calibri"/>
          <w:szCs w:val="24"/>
        </w:rPr>
      </w:pPr>
    </w:p>
    <w:p w14:paraId="0AB8B1E2" w14:textId="77777777" w:rsidR="00D15363" w:rsidRDefault="00D15363" w:rsidP="006127BF">
      <w:pPr>
        <w:jc w:val="center"/>
        <w:rPr>
          <w:rFonts w:ascii="Calibri" w:hAnsi="Calibri" w:cs="Calibri"/>
          <w:szCs w:val="24"/>
        </w:rPr>
      </w:pPr>
    </w:p>
    <w:p w14:paraId="6A8CD150" w14:textId="77777777" w:rsidR="00D15363" w:rsidRDefault="00D15363" w:rsidP="006127BF">
      <w:pPr>
        <w:jc w:val="center"/>
        <w:rPr>
          <w:rFonts w:ascii="Calibri" w:hAnsi="Calibri" w:cs="Calibri"/>
          <w:szCs w:val="24"/>
        </w:rPr>
      </w:pPr>
    </w:p>
    <w:p w14:paraId="3746E7D5" w14:textId="77777777" w:rsidR="00D15363" w:rsidRDefault="00D15363" w:rsidP="006127BF">
      <w:pPr>
        <w:jc w:val="center"/>
        <w:rPr>
          <w:rFonts w:ascii="Calibri" w:hAnsi="Calibri" w:cs="Calibri"/>
          <w:szCs w:val="24"/>
        </w:rPr>
      </w:pPr>
    </w:p>
    <w:p w14:paraId="3638989E" w14:textId="77777777" w:rsidR="00D15363" w:rsidRDefault="00D15363" w:rsidP="006127BF">
      <w:pPr>
        <w:jc w:val="center"/>
        <w:rPr>
          <w:rFonts w:ascii="Calibri" w:hAnsi="Calibri" w:cs="Calibri"/>
          <w:szCs w:val="24"/>
        </w:rPr>
      </w:pPr>
    </w:p>
    <w:p w14:paraId="3443AEC1" w14:textId="77777777" w:rsidR="00D15363" w:rsidRDefault="00D15363" w:rsidP="006127BF">
      <w:pPr>
        <w:jc w:val="center"/>
        <w:rPr>
          <w:rFonts w:ascii="Calibri" w:hAnsi="Calibri" w:cs="Calibri"/>
          <w:szCs w:val="24"/>
        </w:rPr>
      </w:pPr>
    </w:p>
    <w:p w14:paraId="2393F549" w14:textId="77777777" w:rsidR="00D15363" w:rsidRDefault="00D15363" w:rsidP="006127BF">
      <w:pPr>
        <w:jc w:val="center"/>
        <w:rPr>
          <w:rFonts w:ascii="Calibri" w:hAnsi="Calibri" w:cs="Calibri"/>
          <w:szCs w:val="24"/>
        </w:rPr>
      </w:pPr>
    </w:p>
    <w:p w14:paraId="7E35BCD2" w14:textId="77777777" w:rsidR="00D15363" w:rsidRDefault="00D15363" w:rsidP="006127BF">
      <w:pPr>
        <w:jc w:val="center"/>
        <w:rPr>
          <w:rFonts w:ascii="Calibri" w:hAnsi="Calibri" w:cs="Calibri"/>
          <w:szCs w:val="24"/>
        </w:rPr>
      </w:pPr>
    </w:p>
    <w:p w14:paraId="6E99B32E" w14:textId="77777777" w:rsidR="00D15363" w:rsidRDefault="00D15363" w:rsidP="00D15363">
      <w:pPr>
        <w:rPr>
          <w:rFonts w:ascii="Calibri" w:hAnsi="Calibri" w:cs="Calibri"/>
          <w:szCs w:val="24"/>
        </w:rPr>
      </w:pPr>
    </w:p>
    <w:p w14:paraId="197BE552" w14:textId="77777777" w:rsidR="00D15363" w:rsidRDefault="00D15363" w:rsidP="006127BF">
      <w:pPr>
        <w:jc w:val="center"/>
        <w:rPr>
          <w:rFonts w:ascii="Calibri" w:hAnsi="Calibri" w:cs="Calibri"/>
          <w:szCs w:val="24"/>
        </w:rPr>
      </w:pPr>
    </w:p>
    <w:p w14:paraId="41194D23" w14:textId="77777777" w:rsidR="00D15363" w:rsidRDefault="00D15363" w:rsidP="006127BF">
      <w:pPr>
        <w:jc w:val="center"/>
        <w:rPr>
          <w:rFonts w:ascii="Calibri" w:hAnsi="Calibri" w:cs="Calibri"/>
          <w:szCs w:val="24"/>
        </w:rPr>
      </w:pPr>
    </w:p>
    <w:p w14:paraId="02B10319" w14:textId="77777777" w:rsidR="00D15363" w:rsidRDefault="00D15363" w:rsidP="006127BF">
      <w:pPr>
        <w:jc w:val="center"/>
        <w:rPr>
          <w:rFonts w:ascii="Calibri" w:hAnsi="Calibri" w:cs="Calibri"/>
          <w:szCs w:val="24"/>
        </w:rPr>
      </w:pPr>
    </w:p>
    <w:p w14:paraId="5BD07F37" w14:textId="77777777" w:rsidR="00D15363" w:rsidRDefault="00D15363" w:rsidP="006127BF">
      <w:pPr>
        <w:jc w:val="center"/>
        <w:rPr>
          <w:rFonts w:ascii="Calibri" w:hAnsi="Calibri" w:cs="Calibri"/>
          <w:szCs w:val="24"/>
        </w:rPr>
      </w:pPr>
    </w:p>
    <w:p w14:paraId="68AD5678" w14:textId="77777777" w:rsidR="00D15363" w:rsidRDefault="00D15363" w:rsidP="006127BF">
      <w:pPr>
        <w:jc w:val="center"/>
        <w:rPr>
          <w:rFonts w:ascii="Calibri" w:hAnsi="Calibri" w:cs="Calibri"/>
          <w:szCs w:val="24"/>
        </w:rPr>
      </w:pPr>
      <w:r>
        <w:rPr>
          <w:rFonts w:ascii="Calibri" w:hAnsi="Calibri" w:cs="Calibri"/>
          <w:szCs w:val="24"/>
        </w:rPr>
        <w:t>This page intentionally left blank.</w:t>
      </w:r>
      <w:r>
        <w:rPr>
          <w:rFonts w:ascii="Calibri" w:hAnsi="Calibri" w:cs="Calibri"/>
          <w:szCs w:val="24"/>
        </w:rPr>
        <w:br w:type="page"/>
      </w:r>
    </w:p>
    <w:p w14:paraId="5CDB233E" w14:textId="17CACB41" w:rsidR="00B64A30" w:rsidRDefault="002B41B3" w:rsidP="006127BF">
      <w:pPr>
        <w:jc w:val="center"/>
        <w:rPr>
          <w:rFonts w:ascii="Calibri" w:hAnsi="Calibri" w:cs="Calibri"/>
          <w:szCs w:val="24"/>
        </w:rPr>
      </w:pPr>
      <w:r w:rsidRPr="00B21960">
        <w:rPr>
          <w:noProof/>
          <w:szCs w:val="24"/>
        </w:rPr>
        <mc:AlternateContent>
          <mc:Choice Requires="wps">
            <w:drawing>
              <wp:anchor distT="45720" distB="45720" distL="114300" distR="114300" simplePos="0" relativeHeight="251659264" behindDoc="0" locked="0" layoutInCell="1" allowOverlap="1" wp14:anchorId="39F6E37D" wp14:editId="72BEAB9E">
                <wp:simplePos x="0" y="0"/>
                <wp:positionH relativeFrom="margin">
                  <wp:align>left</wp:align>
                </wp:positionH>
                <wp:positionV relativeFrom="paragraph">
                  <wp:posOffset>301625</wp:posOffset>
                </wp:positionV>
                <wp:extent cx="5525770" cy="416242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4162425"/>
                        </a:xfrm>
                        <a:prstGeom prst="rect">
                          <a:avLst/>
                        </a:prstGeom>
                        <a:solidFill>
                          <a:srgbClr val="FFFFFF"/>
                        </a:solidFill>
                        <a:ln w="9525">
                          <a:solidFill>
                            <a:srgbClr val="000000"/>
                          </a:solidFill>
                          <a:miter lim="800000"/>
                          <a:headEnd/>
                          <a:tailEnd/>
                        </a:ln>
                      </wps:spPr>
                      <wps:txbx>
                        <w:txbxContent>
                          <w:p w14:paraId="4BD82094" w14:textId="7EC3DAA7" w:rsidR="00261B59" w:rsidRDefault="00261B59" w:rsidP="0045365D">
                            <w:pPr>
                              <w:pStyle w:val="ListParagraph"/>
                              <w:numPr>
                                <w:ilvl w:val="0"/>
                                <w:numId w:val="12"/>
                              </w:numPr>
                              <w:ind w:left="360"/>
                            </w:pPr>
                            <w:r>
                              <w:t xml:space="preserve">Goal of the study: This study will enable Centers for Disease Control and Prevention (CDC) to measure exposure and awareness of the 2015 </w:t>
                            </w:r>
                            <w:r w:rsidRPr="00506FBA">
                              <w:rPr>
                                <w:i/>
                                <w:iCs/>
                              </w:rPr>
                              <w:t>Tips From Former Smokers</w:t>
                            </w:r>
                            <w:r>
                              <w:t xml:space="preserve"> campaign (The Campaign) among smokers and nonsmokers in the United States. This study is an extension of a longitudinal web-based survey under currently-approved ICR 0920-0923.  </w:t>
                            </w:r>
                          </w:p>
                          <w:p w14:paraId="43CF49BD" w14:textId="77777777" w:rsidR="00261B59" w:rsidRPr="00E51981" w:rsidRDefault="00261B59" w:rsidP="00062EBA">
                            <w:pPr>
                              <w:pStyle w:val="ListParagraph"/>
                              <w:ind w:left="360"/>
                            </w:pPr>
                          </w:p>
                          <w:p w14:paraId="3D66BCE2" w14:textId="0F79D6B2" w:rsidR="00261B59" w:rsidRPr="00713214" w:rsidRDefault="00261B59" w:rsidP="00713214">
                            <w:pPr>
                              <w:pStyle w:val="ListParagraph"/>
                              <w:numPr>
                                <w:ilvl w:val="0"/>
                                <w:numId w:val="12"/>
                              </w:numPr>
                              <w:ind w:left="360"/>
                            </w:pPr>
                            <w:r>
                              <w:rPr>
                                <w:bCs/>
                                <w:szCs w:val="24"/>
                              </w:rPr>
                              <w:t xml:space="preserve">Intended use of the resulting data: These data will be used to inform CDC and relevant stakeholders about the effectiveness of the 2015 Campaign and to help inform the evaluation of the campaign in 2016. This will include providing data on the reach of The Campaign among its target audiences and the impact of The Campaign on quit attempts among smokers and other key outcomes. </w:t>
                            </w:r>
                          </w:p>
                          <w:p w14:paraId="4F60EB4B" w14:textId="77777777" w:rsidR="00261B59" w:rsidRDefault="00261B59" w:rsidP="00713214">
                            <w:pPr>
                              <w:pStyle w:val="ListParagraph"/>
                            </w:pPr>
                          </w:p>
                          <w:p w14:paraId="6BEBC7E7" w14:textId="34A902AA" w:rsidR="00261B59" w:rsidRPr="00E51981" w:rsidRDefault="00261B59" w:rsidP="00713214">
                            <w:pPr>
                              <w:pStyle w:val="ListParagraph"/>
                              <w:numPr>
                                <w:ilvl w:val="0"/>
                                <w:numId w:val="12"/>
                              </w:numPr>
                              <w:ind w:left="360"/>
                            </w:pPr>
                            <w:r>
                              <w:t>Methods to be used to collect data: Data will be collected via an ongoing longitudinal web-based survey of smokers and nonsmokers, recruited from a probability sample of U.S. households. All surveys will be self-administered online.</w:t>
                            </w:r>
                          </w:p>
                          <w:p w14:paraId="29691241" w14:textId="77777777" w:rsidR="00261B59" w:rsidRDefault="00261B59" w:rsidP="002B41B3">
                            <w:pPr>
                              <w:pStyle w:val="ListParagraph"/>
                              <w:ind w:left="360"/>
                            </w:pPr>
                          </w:p>
                          <w:p w14:paraId="31E16E09" w14:textId="6A9D6AC3" w:rsidR="00261B59" w:rsidRDefault="00261B59" w:rsidP="002B41B3">
                            <w:pPr>
                              <w:pStyle w:val="ListParagraph"/>
                              <w:numPr>
                                <w:ilvl w:val="0"/>
                                <w:numId w:val="12"/>
                              </w:numPr>
                              <w:ind w:left="360"/>
                            </w:pPr>
                            <w:r>
                              <w:t>The subpopulation to be studied: Smokers and nonsmokers in the United States.</w:t>
                            </w:r>
                          </w:p>
                          <w:p w14:paraId="30472CEE" w14:textId="77777777" w:rsidR="00261B59" w:rsidRDefault="00261B59" w:rsidP="002B41B3">
                            <w:pPr>
                              <w:pStyle w:val="ListParagraph"/>
                            </w:pPr>
                          </w:p>
                          <w:p w14:paraId="35938240" w14:textId="3C36C1CF" w:rsidR="00261B59" w:rsidRDefault="00261B59" w:rsidP="00FB227D">
                            <w:pPr>
                              <w:pStyle w:val="ListParagraph"/>
                              <w:numPr>
                                <w:ilvl w:val="0"/>
                                <w:numId w:val="12"/>
                              </w:numPr>
                              <w:ind w:left="360"/>
                            </w:pPr>
                            <w:r>
                              <w:t xml:space="preserve">How the data will be analyzed: Multivariate logistic regressions will be used to estimate  outcome variables of interest </w:t>
                            </w:r>
                            <w:r w:rsidRPr="00B64A30">
                              <w:t>controlling for other confounding variables</w:t>
                            </w:r>
                            <w:r>
                              <w:t xml:space="preserve"> measured in the survey.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6E37D" id="_x0000_t202" coordsize="21600,21600" o:spt="202" path="m,l,21600r21600,l21600,xe">
                <v:stroke joinstyle="miter"/>
                <v:path gradientshapeok="t" o:connecttype="rect"/>
              </v:shapetype>
              <v:shape id="Text Box 2" o:spid="_x0000_s1026" type="#_x0000_t202" style="position:absolute;left:0;text-align:left;margin-left:0;margin-top:23.75pt;width:435.1pt;height:3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">
                <v:textbox>
                  <w:txbxContent>
                    <w:p w14:paraId="4BD82094" w14:textId="7EC3DAA7" w:rsidR="00261B59" w:rsidRDefault="00261B59" w:rsidP="0045365D">
                      <w:pPr>
                        <w:pStyle w:val="ListParagraph"/>
                        <w:numPr>
                          <w:ilvl w:val="0"/>
                          <w:numId w:val="12"/>
                        </w:numPr>
                        <w:ind w:left="360"/>
                      </w:pPr>
                      <w:r>
                        <w:t xml:space="preserve">Goal of the study: This study will enable Centers for Disease Control and Prevention (CDC) to measure exposure and awareness of the 2015 </w:t>
                      </w:r>
                      <w:r w:rsidRPr="00506FBA">
                        <w:rPr>
                          <w:i/>
                          <w:iCs/>
                        </w:rPr>
                        <w:t>Tips From Former Smokers</w:t>
                      </w:r>
                      <w:r>
                        <w:t xml:space="preserve"> campaign (The Campaign) among smokers and nonsmokers in the United States. This study is an extension of a longitudinal web-based survey under currently-approved ICR 0920-0923.  </w:t>
                      </w:r>
                    </w:p>
                    <w:p w14:paraId="43CF49BD" w14:textId="77777777" w:rsidR="00261B59" w:rsidRPr="00E51981" w:rsidRDefault="00261B59" w:rsidP="00062EBA">
                      <w:pPr>
                        <w:pStyle w:val="ListParagraph"/>
                        <w:ind w:left="360"/>
                      </w:pPr>
                    </w:p>
                    <w:p w14:paraId="3D66BCE2" w14:textId="0F79D6B2" w:rsidR="00261B59" w:rsidRPr="00713214" w:rsidRDefault="00261B59" w:rsidP="00713214">
                      <w:pPr>
                        <w:pStyle w:val="ListParagraph"/>
                        <w:numPr>
                          <w:ilvl w:val="0"/>
                          <w:numId w:val="12"/>
                        </w:numPr>
                        <w:ind w:left="360"/>
                      </w:pPr>
                      <w:r>
                        <w:rPr>
                          <w:bCs/>
                          <w:szCs w:val="24"/>
                        </w:rPr>
                        <w:t xml:space="preserve">Intended use of the resulting data: These data will be used to inform CDC and relevant stakeholders about the effectiveness of the 2015 Campaign and to help inform the evaluation of the campaign in 2016. This will include providing data on the reach of The Campaign among its target audiences and the impact of The Campaign on quit attempts among smokers and other key outcomes. </w:t>
                      </w:r>
                    </w:p>
                    <w:p w14:paraId="4F60EB4B" w14:textId="77777777" w:rsidR="00261B59" w:rsidRDefault="00261B59" w:rsidP="00713214">
                      <w:pPr>
                        <w:pStyle w:val="ListParagraph"/>
                      </w:pPr>
                    </w:p>
                    <w:p w14:paraId="6BEBC7E7" w14:textId="34A902AA" w:rsidR="00261B59" w:rsidRPr="00E51981" w:rsidRDefault="00261B59" w:rsidP="00713214">
                      <w:pPr>
                        <w:pStyle w:val="ListParagraph"/>
                        <w:numPr>
                          <w:ilvl w:val="0"/>
                          <w:numId w:val="12"/>
                        </w:numPr>
                        <w:ind w:left="360"/>
                      </w:pPr>
                      <w:r>
                        <w:t>Methods to be used to collect data: Data will be collected via an ongoing longitudinal web-based survey of smokers and nonsmokers, recruited from a probability sample of U.S. households. All surveys will be self-administered online.</w:t>
                      </w:r>
                    </w:p>
                    <w:p w14:paraId="29691241" w14:textId="77777777" w:rsidR="00261B59" w:rsidRDefault="00261B59" w:rsidP="002B41B3">
                      <w:pPr>
                        <w:pStyle w:val="ListParagraph"/>
                        <w:ind w:left="360"/>
                      </w:pPr>
                    </w:p>
                    <w:p w14:paraId="31E16E09" w14:textId="6A9D6AC3" w:rsidR="00261B59" w:rsidRDefault="00261B59" w:rsidP="002B41B3">
                      <w:pPr>
                        <w:pStyle w:val="ListParagraph"/>
                        <w:numPr>
                          <w:ilvl w:val="0"/>
                          <w:numId w:val="12"/>
                        </w:numPr>
                        <w:ind w:left="360"/>
                      </w:pPr>
                      <w:r>
                        <w:t>The subpopulation to be studied: Smokers and nonsmokers in the United States.</w:t>
                      </w:r>
                    </w:p>
                    <w:p w14:paraId="30472CEE" w14:textId="77777777" w:rsidR="00261B59" w:rsidRDefault="00261B59" w:rsidP="002B41B3">
                      <w:pPr>
                        <w:pStyle w:val="ListParagraph"/>
                      </w:pPr>
                    </w:p>
                    <w:p w14:paraId="35938240" w14:textId="3C36C1CF" w:rsidR="00261B59" w:rsidRDefault="00261B59" w:rsidP="00FB227D">
                      <w:pPr>
                        <w:pStyle w:val="ListParagraph"/>
                        <w:numPr>
                          <w:ilvl w:val="0"/>
                          <w:numId w:val="12"/>
                        </w:numPr>
                        <w:ind w:left="360"/>
                      </w:pPr>
                      <w:r>
                        <w:t xml:space="preserve">How the data will be analyzed: Multivariate logistic regressions will be used to estimate  outcome variables of interest </w:t>
                      </w:r>
                      <w:r w:rsidRPr="00B64A30">
                        <w:t>controlling for other confounding variables</w:t>
                      </w:r>
                      <w:r>
                        <w:t xml:space="preserve"> measured in the survey. </w:t>
                      </w:r>
                    </w:p>
                  </w:txbxContent>
                </v:textbox>
                <w10:wrap type="square" anchorx="margin"/>
              </v:shape>
            </w:pict>
          </mc:Fallback>
        </mc:AlternateContent>
      </w:r>
      <w:r w:rsidR="00B53232">
        <w:rPr>
          <w:rFonts w:ascii="Calibri" w:hAnsi="Calibri" w:cs="Calibri"/>
          <w:szCs w:val="24"/>
        </w:rPr>
        <w:t>THIS INFORMATION COLLE</w:t>
      </w:r>
      <w:r w:rsidR="00A172AD">
        <w:rPr>
          <w:rFonts w:ascii="Calibri" w:hAnsi="Calibri" w:cs="Calibri"/>
          <w:szCs w:val="24"/>
        </w:rPr>
        <w:t>CTION REQUEST IS TIME-SENSITIVE</w:t>
      </w:r>
    </w:p>
    <w:p w14:paraId="4AD250D9" w14:textId="77777777" w:rsidR="00B64A30" w:rsidRPr="00B64A30" w:rsidRDefault="00B64A30" w:rsidP="00062EBA">
      <w:pPr>
        <w:rPr>
          <w:rFonts w:ascii="Calibri" w:hAnsi="Calibri" w:cs="Calibri"/>
          <w:szCs w:val="24"/>
        </w:rPr>
      </w:pPr>
    </w:p>
    <w:p w14:paraId="6C789AA0" w14:textId="77777777" w:rsidR="00B64A30" w:rsidRPr="00B64A30" w:rsidRDefault="00B64A30" w:rsidP="00062EBA">
      <w:pPr>
        <w:rPr>
          <w:rFonts w:ascii="Calibri" w:hAnsi="Calibri" w:cs="Calibri"/>
          <w:szCs w:val="24"/>
        </w:rPr>
      </w:pPr>
    </w:p>
    <w:p w14:paraId="0DB11F1F" w14:textId="77777777" w:rsidR="00B64A30" w:rsidRPr="00B64A30" w:rsidRDefault="00B64A30" w:rsidP="00062EBA">
      <w:pPr>
        <w:rPr>
          <w:rFonts w:ascii="Calibri" w:hAnsi="Calibri" w:cs="Calibri"/>
          <w:szCs w:val="24"/>
        </w:rPr>
      </w:pPr>
    </w:p>
    <w:p w14:paraId="2701E447" w14:textId="77777777" w:rsidR="00B64A30" w:rsidRPr="00B64A30" w:rsidRDefault="00B64A30" w:rsidP="00062EBA">
      <w:pPr>
        <w:rPr>
          <w:rFonts w:ascii="Calibri" w:hAnsi="Calibri" w:cs="Calibri"/>
          <w:szCs w:val="24"/>
        </w:rPr>
      </w:pPr>
    </w:p>
    <w:p w14:paraId="0BA4E3BC" w14:textId="77777777" w:rsidR="00B64A30" w:rsidRPr="00B64A30" w:rsidRDefault="00B64A30" w:rsidP="00062EBA">
      <w:pPr>
        <w:rPr>
          <w:rFonts w:ascii="Calibri" w:hAnsi="Calibri" w:cs="Calibri"/>
          <w:szCs w:val="24"/>
        </w:rPr>
      </w:pPr>
    </w:p>
    <w:p w14:paraId="4533B23C" w14:textId="77777777" w:rsidR="00B64A30" w:rsidRPr="00B64A30" w:rsidRDefault="00B64A30" w:rsidP="00062EBA">
      <w:pPr>
        <w:rPr>
          <w:rFonts w:ascii="Calibri" w:hAnsi="Calibri" w:cs="Calibri"/>
          <w:szCs w:val="24"/>
        </w:rPr>
      </w:pPr>
    </w:p>
    <w:p w14:paraId="7CC5C9FB" w14:textId="77777777" w:rsidR="00B64A30" w:rsidRPr="00B64A30" w:rsidRDefault="00B64A30" w:rsidP="00062EBA">
      <w:pPr>
        <w:rPr>
          <w:rFonts w:ascii="Calibri" w:hAnsi="Calibri" w:cs="Calibri"/>
          <w:szCs w:val="24"/>
        </w:rPr>
      </w:pPr>
    </w:p>
    <w:p w14:paraId="71C1D5A0" w14:textId="77777777" w:rsidR="00B64A30" w:rsidRPr="00B64A30" w:rsidRDefault="00B64A30" w:rsidP="00062EBA">
      <w:pPr>
        <w:rPr>
          <w:rFonts w:ascii="Calibri" w:hAnsi="Calibri" w:cs="Calibri"/>
          <w:szCs w:val="24"/>
        </w:rPr>
      </w:pPr>
    </w:p>
    <w:p w14:paraId="496EEA33" w14:textId="77777777" w:rsidR="00B64A30" w:rsidRPr="00B64A30" w:rsidRDefault="00B64A30" w:rsidP="00062EBA">
      <w:pPr>
        <w:rPr>
          <w:rFonts w:ascii="Calibri" w:hAnsi="Calibri" w:cs="Calibri"/>
          <w:szCs w:val="24"/>
        </w:rPr>
      </w:pPr>
    </w:p>
    <w:p w14:paraId="1BD39670" w14:textId="77777777" w:rsidR="00B64A30" w:rsidRPr="00B64A30" w:rsidRDefault="00B64A30" w:rsidP="00062EBA">
      <w:pPr>
        <w:rPr>
          <w:rFonts w:ascii="Calibri" w:hAnsi="Calibri" w:cs="Calibri"/>
          <w:szCs w:val="24"/>
        </w:rPr>
      </w:pPr>
    </w:p>
    <w:p w14:paraId="4ECAC686" w14:textId="77777777" w:rsidR="00B64A30" w:rsidRPr="00B64A30" w:rsidRDefault="00B64A30" w:rsidP="00062EBA">
      <w:pPr>
        <w:rPr>
          <w:rFonts w:ascii="Calibri" w:hAnsi="Calibri" w:cs="Calibri"/>
          <w:szCs w:val="24"/>
        </w:rPr>
      </w:pPr>
    </w:p>
    <w:p w14:paraId="24D74B9A" w14:textId="77777777" w:rsidR="00B64A30" w:rsidRPr="00B64A30" w:rsidRDefault="00B64A30" w:rsidP="00062EBA">
      <w:pPr>
        <w:rPr>
          <w:rFonts w:ascii="Calibri" w:hAnsi="Calibri" w:cs="Calibri"/>
          <w:szCs w:val="24"/>
        </w:rPr>
      </w:pPr>
    </w:p>
    <w:p w14:paraId="1EE362CF" w14:textId="77777777" w:rsidR="00B64A30" w:rsidRPr="00B64A30" w:rsidRDefault="00B64A30" w:rsidP="00062EBA">
      <w:pPr>
        <w:rPr>
          <w:rFonts w:ascii="Calibri" w:hAnsi="Calibri" w:cs="Calibri"/>
          <w:szCs w:val="24"/>
        </w:rPr>
      </w:pPr>
    </w:p>
    <w:p w14:paraId="374B70B9" w14:textId="77777777" w:rsidR="00B64A30" w:rsidRPr="00B64A30" w:rsidRDefault="00B64A30" w:rsidP="00062EBA">
      <w:pPr>
        <w:rPr>
          <w:rFonts w:ascii="Calibri" w:hAnsi="Calibri" w:cs="Calibri"/>
          <w:szCs w:val="24"/>
        </w:rPr>
      </w:pPr>
    </w:p>
    <w:p w14:paraId="2BD0A64A" w14:textId="77777777" w:rsidR="00B64A30" w:rsidRPr="00B64A30" w:rsidRDefault="00B64A30" w:rsidP="00062EBA">
      <w:pPr>
        <w:rPr>
          <w:rFonts w:ascii="Calibri" w:hAnsi="Calibri" w:cs="Calibri"/>
          <w:szCs w:val="24"/>
        </w:rPr>
      </w:pPr>
    </w:p>
    <w:p w14:paraId="4A5FA1F3" w14:textId="77777777" w:rsidR="00B64A30" w:rsidRPr="00B64A30" w:rsidRDefault="00B64A30" w:rsidP="00062EBA">
      <w:pPr>
        <w:rPr>
          <w:rFonts w:ascii="Calibri" w:hAnsi="Calibri" w:cs="Calibri"/>
          <w:szCs w:val="24"/>
        </w:rPr>
      </w:pPr>
    </w:p>
    <w:p w14:paraId="6AFE6230" w14:textId="77777777" w:rsidR="00B64A30" w:rsidRPr="00B64A30" w:rsidRDefault="00B64A30" w:rsidP="00062EBA">
      <w:pPr>
        <w:rPr>
          <w:rFonts w:ascii="Calibri" w:hAnsi="Calibri" w:cs="Calibri"/>
          <w:szCs w:val="24"/>
        </w:rPr>
      </w:pPr>
    </w:p>
    <w:p w14:paraId="59E44405" w14:textId="51D4C7B6" w:rsidR="00B53232" w:rsidRPr="00B64A30" w:rsidRDefault="00B53232" w:rsidP="00062EBA">
      <w:pPr>
        <w:rPr>
          <w:rFonts w:ascii="Calibri" w:hAnsi="Calibri" w:cs="Calibri"/>
          <w:szCs w:val="24"/>
        </w:rPr>
      </w:pPr>
    </w:p>
    <w:p w14:paraId="5DE3DFB5" w14:textId="4547F908" w:rsidR="00B53232" w:rsidRDefault="00B53232" w:rsidP="006127BF">
      <w:pPr>
        <w:jc w:val="center"/>
        <w:rPr>
          <w:rFonts w:ascii="Calibri" w:hAnsi="Calibri" w:cs="Calibri"/>
          <w:szCs w:val="24"/>
        </w:rPr>
      </w:pPr>
      <w:r>
        <w:rPr>
          <w:rFonts w:ascii="Calibri" w:hAnsi="Calibri" w:cs="Calibri"/>
          <w:szCs w:val="24"/>
        </w:rPr>
        <w:t>OM</w:t>
      </w:r>
      <w:r w:rsidR="00AB1F17">
        <w:rPr>
          <w:rFonts w:ascii="Calibri" w:hAnsi="Calibri" w:cs="Calibri"/>
          <w:szCs w:val="24"/>
        </w:rPr>
        <w:t xml:space="preserve">B APPROVAL IS REQUESTED </w:t>
      </w:r>
      <w:r w:rsidR="00A172AD">
        <w:rPr>
          <w:rFonts w:ascii="Calibri" w:hAnsi="Calibri" w:cs="Calibri"/>
          <w:szCs w:val="24"/>
        </w:rPr>
        <w:t>AS SOON AS POSSIBLE</w:t>
      </w:r>
    </w:p>
    <w:p w14:paraId="0A0A08F6" w14:textId="77777777" w:rsidR="00B53232" w:rsidRDefault="00B53232" w:rsidP="006127BF">
      <w:pPr>
        <w:rPr>
          <w:rFonts w:ascii="Calibri" w:hAnsi="Calibri" w:cs="Calibri"/>
          <w:szCs w:val="24"/>
        </w:rPr>
      </w:pPr>
    </w:p>
    <w:p w14:paraId="3E066F8D" w14:textId="77777777" w:rsidR="00B53232" w:rsidRDefault="00B53232" w:rsidP="006127BF">
      <w:pPr>
        <w:rPr>
          <w:rFonts w:ascii="Calibri" w:hAnsi="Calibri" w:cs="Calibri"/>
          <w:szCs w:val="24"/>
        </w:rPr>
      </w:pPr>
    </w:p>
    <w:p w14:paraId="396F7DD7" w14:textId="6CE961D0" w:rsidR="002B41B3" w:rsidRDefault="002B41B3" w:rsidP="00B87FCE">
      <w:pPr>
        <w:ind w:firstLine="720"/>
        <w:rPr>
          <w:rFonts w:ascii="Calibri" w:hAnsi="Calibri" w:cs="Calibri"/>
          <w:szCs w:val="24"/>
        </w:rPr>
      </w:pPr>
    </w:p>
    <w:p w14:paraId="73600C92" w14:textId="10ADB44C" w:rsidR="00B53232" w:rsidRDefault="0035525E" w:rsidP="00B87FCE">
      <w:pPr>
        <w:ind w:firstLine="720"/>
        <w:rPr>
          <w:rFonts w:ascii="Calibri" w:hAnsi="Calibri" w:cs="Calibri"/>
          <w:szCs w:val="24"/>
        </w:rPr>
      </w:pPr>
      <w:r w:rsidRPr="00824350">
        <w:rPr>
          <w:rFonts w:ascii="Calibri" w:hAnsi="Calibri" w:cs="Calibri"/>
          <w:szCs w:val="24"/>
        </w:rPr>
        <w:br w:type="page"/>
      </w:r>
    </w:p>
    <w:p w14:paraId="46CF4256" w14:textId="77777777" w:rsidR="0035525E" w:rsidRDefault="001938A2" w:rsidP="006127BF">
      <w:pPr>
        <w:rPr>
          <w:rFonts w:ascii="Calibri" w:hAnsi="Calibri" w:cs="Calibri"/>
          <w:b/>
          <w:szCs w:val="24"/>
        </w:rPr>
      </w:pPr>
      <w:r>
        <w:rPr>
          <w:rFonts w:ascii="Calibri" w:hAnsi="Calibri" w:cs="Calibri"/>
          <w:b/>
          <w:szCs w:val="24"/>
        </w:rPr>
        <w:t>Overview</w:t>
      </w:r>
    </w:p>
    <w:p w14:paraId="1830BC7B" w14:textId="77777777" w:rsidR="00941E79" w:rsidRPr="00824350" w:rsidRDefault="00941E79" w:rsidP="006127BF">
      <w:pPr>
        <w:rPr>
          <w:rFonts w:ascii="Calibri" w:hAnsi="Calibri" w:cs="Calibri"/>
          <w:b/>
          <w:szCs w:val="24"/>
        </w:rPr>
      </w:pPr>
    </w:p>
    <w:p w14:paraId="07EE007F" w14:textId="46C361C3" w:rsidR="0045430E" w:rsidRDefault="00B13C5A" w:rsidP="00D75C93">
      <w:pPr>
        <w:ind w:firstLine="720"/>
        <w:rPr>
          <w:rFonts w:ascii="Calibri" w:hAnsi="Calibri" w:cs="Calibri"/>
          <w:szCs w:val="24"/>
        </w:rPr>
      </w:pPr>
      <w:r>
        <w:rPr>
          <w:rFonts w:ascii="Calibri" w:hAnsi="Calibri" w:cs="Calibri"/>
          <w:szCs w:val="24"/>
        </w:rPr>
        <w:t xml:space="preserve">In 2012, HHS/CDC launched Phase 1 of the </w:t>
      </w:r>
      <w:r w:rsidR="00DC2333" w:rsidRPr="00DC2333">
        <w:rPr>
          <w:rFonts w:ascii="Calibri" w:hAnsi="Calibri" w:cs="Calibri"/>
          <w:szCs w:val="24"/>
        </w:rPr>
        <w:t>National Tobacco Prevention and Control Public Education Campaign</w:t>
      </w:r>
      <w:r w:rsidR="003C0C1D">
        <w:rPr>
          <w:rFonts w:ascii="Calibri" w:hAnsi="Calibri" w:cs="Calibri"/>
          <w:szCs w:val="24"/>
        </w:rPr>
        <w:t xml:space="preserve"> (The Campaign)</w:t>
      </w:r>
      <w:r>
        <w:rPr>
          <w:rFonts w:ascii="Calibri" w:hAnsi="Calibri" w:cs="Calibri"/>
          <w:szCs w:val="24"/>
        </w:rPr>
        <w:t xml:space="preserve">.  </w:t>
      </w:r>
      <w:r w:rsidR="001B213C">
        <w:rPr>
          <w:rFonts w:ascii="Calibri" w:hAnsi="Calibri" w:cs="Calibri"/>
          <w:szCs w:val="24"/>
        </w:rPr>
        <w:t xml:space="preserve">The primary objectives of </w:t>
      </w:r>
      <w:r w:rsidR="003C0C1D">
        <w:rPr>
          <w:rFonts w:ascii="Calibri" w:hAnsi="Calibri" w:cs="Calibri"/>
          <w:szCs w:val="24"/>
        </w:rPr>
        <w:t>T</w:t>
      </w:r>
      <w:r w:rsidR="001B213C">
        <w:rPr>
          <w:rFonts w:ascii="Calibri" w:hAnsi="Calibri" w:cs="Calibri"/>
          <w:szCs w:val="24"/>
        </w:rPr>
        <w:t xml:space="preserve">he </w:t>
      </w:r>
      <w:r w:rsidR="003C0C1D">
        <w:rPr>
          <w:rFonts w:ascii="Calibri" w:hAnsi="Calibri" w:cs="Calibri"/>
          <w:szCs w:val="24"/>
        </w:rPr>
        <w:t>C</w:t>
      </w:r>
      <w:r w:rsidR="001B213C">
        <w:rPr>
          <w:rFonts w:ascii="Calibri" w:hAnsi="Calibri" w:cs="Calibri"/>
          <w:szCs w:val="24"/>
        </w:rPr>
        <w:t xml:space="preserve">ampaign are to encourage smokers to quit smoking and to encourage </w:t>
      </w:r>
      <w:r w:rsidR="00D94E8D">
        <w:rPr>
          <w:rFonts w:ascii="Calibri" w:hAnsi="Calibri" w:cs="Calibri"/>
          <w:szCs w:val="24"/>
        </w:rPr>
        <w:t>nonsmoker</w:t>
      </w:r>
      <w:r w:rsidR="001B213C">
        <w:rPr>
          <w:rFonts w:ascii="Calibri" w:hAnsi="Calibri" w:cs="Calibri"/>
          <w:szCs w:val="24"/>
        </w:rPr>
        <w:t xml:space="preserve">s to communicate with smokers about the dangers of smoking. </w:t>
      </w:r>
      <w:r w:rsidR="008C5ECB">
        <w:rPr>
          <w:rFonts w:ascii="Calibri" w:hAnsi="Calibri" w:cs="Calibri"/>
          <w:szCs w:val="24"/>
        </w:rPr>
        <w:t xml:space="preserve">To evaluate </w:t>
      </w:r>
      <w:r w:rsidR="0059633C">
        <w:rPr>
          <w:rFonts w:ascii="Calibri" w:hAnsi="Calibri" w:cs="Calibri"/>
          <w:szCs w:val="24"/>
        </w:rPr>
        <w:t>T</w:t>
      </w:r>
      <w:r w:rsidR="001B213C">
        <w:rPr>
          <w:rFonts w:ascii="Calibri" w:hAnsi="Calibri" w:cs="Calibri"/>
          <w:szCs w:val="24"/>
        </w:rPr>
        <w:t xml:space="preserve">he </w:t>
      </w:r>
      <w:r w:rsidR="0059633C">
        <w:rPr>
          <w:rFonts w:ascii="Calibri" w:hAnsi="Calibri" w:cs="Calibri"/>
          <w:szCs w:val="24"/>
        </w:rPr>
        <w:t>C</w:t>
      </w:r>
      <w:r w:rsidR="001B213C">
        <w:rPr>
          <w:rFonts w:ascii="Calibri" w:hAnsi="Calibri" w:cs="Calibri"/>
          <w:szCs w:val="24"/>
        </w:rPr>
        <w:t>ampaign</w:t>
      </w:r>
      <w:r w:rsidR="008C5ECB">
        <w:rPr>
          <w:rFonts w:ascii="Calibri" w:hAnsi="Calibri" w:cs="Calibri"/>
          <w:szCs w:val="24"/>
        </w:rPr>
        <w:t>, CDC obtained OMB approval for information collection</w:t>
      </w:r>
      <w:r w:rsidR="007941E1">
        <w:rPr>
          <w:rFonts w:ascii="Calibri" w:hAnsi="Calibri" w:cs="Calibri"/>
          <w:szCs w:val="24"/>
        </w:rPr>
        <w:t>s</w:t>
      </w:r>
      <w:r w:rsidR="008C5ECB">
        <w:rPr>
          <w:rFonts w:ascii="Calibri" w:hAnsi="Calibri" w:cs="Calibri"/>
          <w:szCs w:val="24"/>
        </w:rPr>
        <w:t xml:space="preserve"> </w:t>
      </w:r>
      <w:r w:rsidR="009D4694">
        <w:rPr>
          <w:rFonts w:ascii="Calibri" w:hAnsi="Calibri" w:cs="Calibri"/>
          <w:szCs w:val="24"/>
        </w:rPr>
        <w:t xml:space="preserve">beginning in </w:t>
      </w:r>
      <w:r w:rsidR="008C5ECB">
        <w:rPr>
          <w:rFonts w:ascii="Calibri" w:hAnsi="Calibri" w:cs="Calibri"/>
          <w:szCs w:val="24"/>
        </w:rPr>
        <w:t>2012 (</w:t>
      </w:r>
      <w:r w:rsidR="00192F34">
        <w:rPr>
          <w:rFonts w:ascii="Calibri" w:hAnsi="Calibri" w:cs="Calibri"/>
          <w:szCs w:val="24"/>
        </w:rPr>
        <w:t>OMB No. 0920-0923</w:t>
      </w:r>
      <w:r w:rsidR="009D4694">
        <w:rPr>
          <w:rFonts w:ascii="Calibri" w:hAnsi="Calibri" w:cs="Calibri"/>
          <w:szCs w:val="24"/>
        </w:rPr>
        <w:t>)</w:t>
      </w:r>
      <w:r w:rsidR="001F5C3B">
        <w:rPr>
          <w:rFonts w:ascii="Calibri" w:hAnsi="Calibri" w:cs="Calibri"/>
          <w:szCs w:val="24"/>
        </w:rPr>
        <w:t xml:space="preserve">. </w:t>
      </w:r>
      <w:r w:rsidR="003925DD">
        <w:rPr>
          <w:rFonts w:ascii="Calibri" w:hAnsi="Calibri" w:cs="Calibri"/>
          <w:szCs w:val="24"/>
        </w:rPr>
        <w:t xml:space="preserve">Baseline and follow-up surveys were conducted with both </w:t>
      </w:r>
      <w:r w:rsidR="00A33705">
        <w:rPr>
          <w:rFonts w:ascii="Calibri" w:hAnsi="Calibri" w:cs="Calibri"/>
          <w:szCs w:val="24"/>
        </w:rPr>
        <w:t xml:space="preserve">smokers and </w:t>
      </w:r>
      <w:r w:rsidR="00D94E8D">
        <w:rPr>
          <w:rFonts w:ascii="Calibri" w:hAnsi="Calibri" w:cs="Calibri"/>
          <w:szCs w:val="24"/>
        </w:rPr>
        <w:t>nonsmoker</w:t>
      </w:r>
      <w:r w:rsidR="00A33705">
        <w:rPr>
          <w:rFonts w:ascii="Calibri" w:hAnsi="Calibri" w:cs="Calibri"/>
          <w:szCs w:val="24"/>
        </w:rPr>
        <w:t>s.</w:t>
      </w:r>
      <w:r w:rsidR="008C4076">
        <w:rPr>
          <w:rFonts w:ascii="Calibri" w:hAnsi="Calibri" w:cs="Calibri"/>
          <w:szCs w:val="24"/>
        </w:rPr>
        <w:t xml:space="preserve"> </w:t>
      </w:r>
      <w:r w:rsidR="002350D0">
        <w:rPr>
          <w:rFonts w:ascii="Calibri" w:hAnsi="Calibri" w:cs="Calibri"/>
          <w:szCs w:val="24"/>
        </w:rPr>
        <w:t xml:space="preserve">In 2013, CDC launched </w:t>
      </w:r>
      <w:r w:rsidR="00192F34">
        <w:rPr>
          <w:rFonts w:ascii="Calibri" w:hAnsi="Calibri" w:cs="Calibri"/>
          <w:szCs w:val="24"/>
        </w:rPr>
        <w:t xml:space="preserve">Phase 2 of </w:t>
      </w:r>
      <w:r w:rsidR="0059633C">
        <w:rPr>
          <w:rFonts w:ascii="Calibri" w:hAnsi="Calibri" w:cs="Calibri"/>
          <w:szCs w:val="24"/>
        </w:rPr>
        <w:t>T</w:t>
      </w:r>
      <w:r w:rsidR="00192F34">
        <w:rPr>
          <w:rFonts w:ascii="Calibri" w:hAnsi="Calibri" w:cs="Calibri"/>
          <w:szCs w:val="24"/>
        </w:rPr>
        <w:t xml:space="preserve">he </w:t>
      </w:r>
      <w:r w:rsidR="0059633C">
        <w:rPr>
          <w:rFonts w:ascii="Calibri" w:hAnsi="Calibri" w:cs="Calibri"/>
          <w:szCs w:val="24"/>
        </w:rPr>
        <w:t>C</w:t>
      </w:r>
      <w:r w:rsidR="00192F34">
        <w:rPr>
          <w:rFonts w:ascii="Calibri" w:hAnsi="Calibri" w:cs="Calibri"/>
          <w:szCs w:val="24"/>
        </w:rPr>
        <w:t xml:space="preserve">ampaign </w:t>
      </w:r>
      <w:r w:rsidR="002350D0">
        <w:rPr>
          <w:rFonts w:ascii="Calibri" w:hAnsi="Calibri" w:cs="Calibri"/>
          <w:szCs w:val="24"/>
        </w:rPr>
        <w:t>and</w:t>
      </w:r>
      <w:r w:rsidR="00192F34">
        <w:rPr>
          <w:rFonts w:ascii="Calibri" w:hAnsi="Calibri" w:cs="Calibri"/>
          <w:szCs w:val="24"/>
        </w:rPr>
        <w:t xml:space="preserve"> conducted </w:t>
      </w:r>
      <w:r w:rsidR="009D4694">
        <w:rPr>
          <w:rFonts w:ascii="Calibri" w:hAnsi="Calibri" w:cs="Calibri"/>
          <w:szCs w:val="24"/>
        </w:rPr>
        <w:t xml:space="preserve">an </w:t>
      </w:r>
      <w:r w:rsidR="00C41369">
        <w:rPr>
          <w:rFonts w:ascii="Calibri" w:hAnsi="Calibri" w:cs="Calibri"/>
          <w:szCs w:val="24"/>
        </w:rPr>
        <w:t xml:space="preserve">additional survey with smokers and one additional survey with </w:t>
      </w:r>
      <w:r w:rsidR="00D94E8D">
        <w:rPr>
          <w:rFonts w:ascii="Calibri" w:hAnsi="Calibri" w:cs="Calibri"/>
          <w:szCs w:val="24"/>
        </w:rPr>
        <w:t>nonsmoker</w:t>
      </w:r>
      <w:r w:rsidR="00C41369">
        <w:rPr>
          <w:rFonts w:ascii="Calibri" w:hAnsi="Calibri" w:cs="Calibri"/>
          <w:szCs w:val="24"/>
        </w:rPr>
        <w:t>s</w:t>
      </w:r>
      <w:r w:rsidR="009D64C4">
        <w:rPr>
          <w:rFonts w:ascii="Calibri" w:hAnsi="Calibri" w:cs="Calibri"/>
          <w:szCs w:val="24"/>
        </w:rPr>
        <w:t>, also</w:t>
      </w:r>
      <w:r w:rsidR="009D4694">
        <w:rPr>
          <w:rFonts w:ascii="Calibri" w:hAnsi="Calibri" w:cs="Calibri"/>
          <w:szCs w:val="24"/>
        </w:rPr>
        <w:t xml:space="preserve"> under Information Collection Request (ICR) </w:t>
      </w:r>
      <w:r w:rsidR="001F5C3B">
        <w:rPr>
          <w:rFonts w:ascii="Calibri" w:hAnsi="Calibri" w:cs="Calibri"/>
          <w:szCs w:val="24"/>
        </w:rPr>
        <w:t>OMB No. 0920-0923.</w:t>
      </w:r>
      <w:r w:rsidR="008C5ECB">
        <w:rPr>
          <w:rFonts w:ascii="Calibri" w:hAnsi="Calibri" w:cs="Calibri"/>
          <w:szCs w:val="24"/>
        </w:rPr>
        <w:t xml:space="preserve"> </w:t>
      </w:r>
      <w:r w:rsidR="001F73B7">
        <w:rPr>
          <w:rFonts w:ascii="Calibri" w:hAnsi="Calibri" w:cs="Calibri"/>
          <w:szCs w:val="24"/>
        </w:rPr>
        <w:t xml:space="preserve">CDC </w:t>
      </w:r>
      <w:r w:rsidR="00674A37">
        <w:rPr>
          <w:rFonts w:ascii="Calibri" w:hAnsi="Calibri" w:cs="Calibri"/>
          <w:szCs w:val="24"/>
        </w:rPr>
        <w:t>recently completed</w:t>
      </w:r>
      <w:r w:rsidR="001F73B7">
        <w:rPr>
          <w:rFonts w:ascii="Calibri" w:hAnsi="Calibri" w:cs="Calibri"/>
          <w:szCs w:val="24"/>
        </w:rPr>
        <w:t xml:space="preserve"> collect</w:t>
      </w:r>
      <w:r w:rsidR="008C4076">
        <w:rPr>
          <w:rFonts w:ascii="Calibri" w:hAnsi="Calibri" w:cs="Calibri"/>
          <w:szCs w:val="24"/>
        </w:rPr>
        <w:t>ing</w:t>
      </w:r>
      <w:r w:rsidR="001F73B7">
        <w:rPr>
          <w:rFonts w:ascii="Calibri" w:hAnsi="Calibri" w:cs="Calibri"/>
          <w:szCs w:val="24"/>
        </w:rPr>
        <w:t xml:space="preserve"> </w:t>
      </w:r>
      <w:r w:rsidR="001938A2">
        <w:rPr>
          <w:rFonts w:ascii="Calibri" w:hAnsi="Calibri" w:cs="Calibri"/>
          <w:szCs w:val="24"/>
        </w:rPr>
        <w:t xml:space="preserve">the </w:t>
      </w:r>
      <w:r w:rsidR="001F73B7">
        <w:rPr>
          <w:rFonts w:ascii="Calibri" w:hAnsi="Calibri" w:cs="Calibri"/>
          <w:szCs w:val="24"/>
        </w:rPr>
        <w:t xml:space="preserve">information needed to evaluate </w:t>
      </w:r>
      <w:r>
        <w:rPr>
          <w:rFonts w:ascii="Calibri" w:hAnsi="Calibri" w:cs="Calibri"/>
          <w:szCs w:val="24"/>
        </w:rPr>
        <w:t>P</w:t>
      </w:r>
      <w:r w:rsidR="00CB4A8E">
        <w:rPr>
          <w:rFonts w:ascii="Calibri" w:hAnsi="Calibri" w:cs="Calibri"/>
          <w:szCs w:val="24"/>
        </w:rPr>
        <w:t>hase 3 of</w:t>
      </w:r>
      <w:r>
        <w:rPr>
          <w:rFonts w:ascii="Calibri" w:hAnsi="Calibri" w:cs="Calibri"/>
          <w:szCs w:val="24"/>
        </w:rPr>
        <w:t xml:space="preserve"> </w:t>
      </w:r>
      <w:r w:rsidR="0059633C">
        <w:rPr>
          <w:rFonts w:ascii="Calibri" w:hAnsi="Calibri" w:cs="Calibri"/>
          <w:szCs w:val="24"/>
        </w:rPr>
        <w:t>T</w:t>
      </w:r>
      <w:r w:rsidR="00CB4A8E">
        <w:rPr>
          <w:rFonts w:ascii="Calibri" w:hAnsi="Calibri" w:cs="Calibri"/>
          <w:szCs w:val="24"/>
        </w:rPr>
        <w:t xml:space="preserve">he </w:t>
      </w:r>
      <w:r w:rsidR="0059633C">
        <w:rPr>
          <w:rFonts w:ascii="Calibri" w:hAnsi="Calibri" w:cs="Calibri"/>
          <w:szCs w:val="24"/>
        </w:rPr>
        <w:t>C</w:t>
      </w:r>
      <w:r w:rsidR="00560018">
        <w:rPr>
          <w:rFonts w:ascii="Calibri" w:hAnsi="Calibri" w:cs="Calibri"/>
          <w:szCs w:val="24"/>
        </w:rPr>
        <w:t>ampaign</w:t>
      </w:r>
      <w:r w:rsidR="001F73B7">
        <w:rPr>
          <w:rFonts w:ascii="Calibri" w:hAnsi="Calibri" w:cs="Calibri"/>
          <w:szCs w:val="24"/>
        </w:rPr>
        <w:t>, which</w:t>
      </w:r>
      <w:r w:rsidR="00560018">
        <w:rPr>
          <w:rFonts w:ascii="Calibri" w:hAnsi="Calibri" w:cs="Calibri"/>
          <w:szCs w:val="24"/>
        </w:rPr>
        <w:t xml:space="preserve"> </w:t>
      </w:r>
      <w:r>
        <w:rPr>
          <w:rFonts w:ascii="Calibri" w:hAnsi="Calibri" w:cs="Calibri"/>
          <w:szCs w:val="24"/>
        </w:rPr>
        <w:t>launch</w:t>
      </w:r>
      <w:r w:rsidR="008C4076">
        <w:rPr>
          <w:rFonts w:ascii="Calibri" w:hAnsi="Calibri" w:cs="Calibri"/>
          <w:szCs w:val="24"/>
        </w:rPr>
        <w:t>ed</w:t>
      </w:r>
      <w:r>
        <w:rPr>
          <w:rFonts w:ascii="Calibri" w:hAnsi="Calibri" w:cs="Calibri"/>
          <w:szCs w:val="24"/>
        </w:rPr>
        <w:t xml:space="preserve"> in early 2014.</w:t>
      </w:r>
      <w:r w:rsidR="008C4076">
        <w:rPr>
          <w:rFonts w:ascii="Calibri" w:hAnsi="Calibri" w:cs="Calibri"/>
          <w:szCs w:val="24"/>
        </w:rPr>
        <w:t xml:space="preserve"> The evaluation of </w:t>
      </w:r>
      <w:r w:rsidR="0059633C">
        <w:rPr>
          <w:rFonts w:ascii="Calibri" w:hAnsi="Calibri" w:cs="Calibri"/>
          <w:szCs w:val="24"/>
        </w:rPr>
        <w:t>The</w:t>
      </w:r>
      <w:r w:rsidR="008C4076">
        <w:rPr>
          <w:rFonts w:ascii="Calibri" w:hAnsi="Calibri" w:cs="Calibri"/>
          <w:szCs w:val="24"/>
        </w:rPr>
        <w:t xml:space="preserve"> </w:t>
      </w:r>
      <w:r w:rsidR="0059633C">
        <w:rPr>
          <w:rFonts w:ascii="Calibri" w:hAnsi="Calibri" w:cs="Calibri"/>
          <w:szCs w:val="24"/>
        </w:rPr>
        <w:t>Ca</w:t>
      </w:r>
      <w:r w:rsidR="008C4076">
        <w:rPr>
          <w:rFonts w:ascii="Calibri" w:hAnsi="Calibri" w:cs="Calibri"/>
          <w:szCs w:val="24"/>
        </w:rPr>
        <w:t xml:space="preserve">mpaign </w:t>
      </w:r>
      <w:r w:rsidR="0059633C">
        <w:rPr>
          <w:rFonts w:ascii="Calibri" w:hAnsi="Calibri" w:cs="Calibri"/>
          <w:szCs w:val="24"/>
        </w:rPr>
        <w:t xml:space="preserve">in 2014 </w:t>
      </w:r>
      <w:r w:rsidR="008C4076">
        <w:rPr>
          <w:rFonts w:ascii="Calibri" w:hAnsi="Calibri" w:cs="Calibri"/>
          <w:szCs w:val="24"/>
        </w:rPr>
        <w:t xml:space="preserve">consists of </w:t>
      </w:r>
      <w:r w:rsidR="00674A37">
        <w:rPr>
          <w:rFonts w:ascii="Calibri" w:hAnsi="Calibri" w:cs="Calibri"/>
          <w:szCs w:val="24"/>
        </w:rPr>
        <w:t xml:space="preserve">a longitudinal cohort using </w:t>
      </w:r>
      <w:r w:rsidR="00D75C93">
        <w:rPr>
          <w:rFonts w:ascii="Calibri" w:hAnsi="Calibri" w:cs="Calibri"/>
          <w:szCs w:val="24"/>
        </w:rPr>
        <w:t xml:space="preserve">4 </w:t>
      </w:r>
      <w:r w:rsidR="008C4076">
        <w:rPr>
          <w:rFonts w:ascii="Calibri" w:hAnsi="Calibri" w:cs="Calibri"/>
          <w:szCs w:val="24"/>
        </w:rPr>
        <w:t>waves of online surveys involving smokers and</w:t>
      </w:r>
      <w:r w:rsidR="00392A80">
        <w:rPr>
          <w:rFonts w:ascii="Calibri" w:hAnsi="Calibri" w:cs="Calibri"/>
          <w:szCs w:val="24"/>
        </w:rPr>
        <w:t xml:space="preserve"> 3 waves involving</w:t>
      </w:r>
      <w:r w:rsidR="008C4076">
        <w:rPr>
          <w:rFonts w:ascii="Calibri" w:hAnsi="Calibri" w:cs="Calibri"/>
          <w:szCs w:val="24"/>
        </w:rPr>
        <w:t xml:space="preserve"> </w:t>
      </w:r>
      <w:r w:rsidR="00D94E8D">
        <w:rPr>
          <w:rFonts w:ascii="Calibri" w:hAnsi="Calibri" w:cs="Calibri"/>
          <w:szCs w:val="24"/>
        </w:rPr>
        <w:t>nonsmoker</w:t>
      </w:r>
      <w:r w:rsidR="008C4076">
        <w:rPr>
          <w:rFonts w:ascii="Calibri" w:hAnsi="Calibri" w:cs="Calibri"/>
          <w:szCs w:val="24"/>
        </w:rPr>
        <w:t xml:space="preserve">s  to assess their awareness of and reactions to the 2014 </w:t>
      </w:r>
      <w:r w:rsidR="0059633C">
        <w:rPr>
          <w:rFonts w:ascii="Calibri" w:hAnsi="Calibri" w:cs="Calibri"/>
          <w:szCs w:val="24"/>
        </w:rPr>
        <w:t xml:space="preserve">advertisements </w:t>
      </w:r>
      <w:r w:rsidR="00052989">
        <w:rPr>
          <w:rFonts w:ascii="Calibri" w:hAnsi="Calibri" w:cs="Calibri"/>
          <w:szCs w:val="24"/>
        </w:rPr>
        <w:t xml:space="preserve">as related to The Campaign’s objectives </w:t>
      </w:r>
      <w:r w:rsidR="008C4076">
        <w:rPr>
          <w:rFonts w:ascii="Calibri" w:hAnsi="Calibri" w:cs="Calibri"/>
          <w:szCs w:val="24"/>
        </w:rPr>
        <w:t xml:space="preserve">(see currently-approved </w:t>
      </w:r>
      <w:r w:rsidR="009D4694">
        <w:rPr>
          <w:rFonts w:ascii="Calibri" w:hAnsi="Calibri" w:cs="Calibri"/>
          <w:szCs w:val="24"/>
        </w:rPr>
        <w:t>ICR</w:t>
      </w:r>
      <w:r w:rsidR="008C4076">
        <w:rPr>
          <w:rFonts w:ascii="Calibri" w:hAnsi="Calibri" w:cs="Calibri"/>
          <w:szCs w:val="24"/>
        </w:rPr>
        <w:t xml:space="preserve"> 0920-0923, exp. 3/31/2017).</w:t>
      </w:r>
      <w:r>
        <w:rPr>
          <w:rFonts w:ascii="Calibri" w:hAnsi="Calibri" w:cs="Calibri"/>
          <w:szCs w:val="24"/>
        </w:rPr>
        <w:t xml:space="preserve"> </w:t>
      </w:r>
    </w:p>
    <w:p w14:paraId="353D145A" w14:textId="77777777" w:rsidR="00A923D4" w:rsidRDefault="00A923D4" w:rsidP="00D75C93">
      <w:pPr>
        <w:ind w:firstLine="720"/>
        <w:rPr>
          <w:rFonts w:ascii="Calibri" w:hAnsi="Calibri" w:cs="Calibri"/>
          <w:szCs w:val="24"/>
        </w:rPr>
      </w:pPr>
    </w:p>
    <w:p w14:paraId="50B7957D" w14:textId="77777777" w:rsidR="00AF75AA" w:rsidRDefault="00AF75AA" w:rsidP="00AF75AA">
      <w:pPr>
        <w:rPr>
          <w:rFonts w:ascii="Calibri" w:hAnsi="Calibri" w:cs="Calibri"/>
          <w:szCs w:val="24"/>
        </w:rPr>
      </w:pPr>
    </w:p>
    <w:p w14:paraId="16AB9D5D" w14:textId="60089D02" w:rsidR="00C50175" w:rsidRDefault="00AF75AA" w:rsidP="00D75C93">
      <w:pPr>
        <w:rPr>
          <w:rFonts w:ascii="Calibri" w:hAnsi="Calibri" w:cs="Calibri"/>
          <w:szCs w:val="24"/>
        </w:rPr>
      </w:pPr>
      <w:r>
        <w:rPr>
          <w:rFonts w:ascii="Calibri" w:hAnsi="Calibri" w:cs="Calibri"/>
          <w:szCs w:val="24"/>
        </w:rPr>
        <w:tab/>
        <w:t xml:space="preserve">Phase 4 of </w:t>
      </w:r>
      <w:r w:rsidR="0059633C">
        <w:rPr>
          <w:rFonts w:ascii="Calibri" w:hAnsi="Calibri" w:cs="Calibri"/>
          <w:szCs w:val="24"/>
        </w:rPr>
        <w:t>The C</w:t>
      </w:r>
      <w:r>
        <w:rPr>
          <w:rFonts w:ascii="Calibri" w:hAnsi="Calibri" w:cs="Calibri"/>
          <w:szCs w:val="24"/>
        </w:rPr>
        <w:t xml:space="preserve">ampaign </w:t>
      </w:r>
      <w:r w:rsidR="009D64C4">
        <w:rPr>
          <w:rFonts w:ascii="Calibri" w:hAnsi="Calibri" w:cs="Calibri"/>
          <w:szCs w:val="24"/>
        </w:rPr>
        <w:t xml:space="preserve">was implemented </w:t>
      </w:r>
      <w:r w:rsidR="009C2284">
        <w:rPr>
          <w:rFonts w:ascii="Calibri" w:hAnsi="Calibri" w:cs="Calibri"/>
          <w:szCs w:val="24"/>
        </w:rPr>
        <w:t>o</w:t>
      </w:r>
      <w:r w:rsidR="009D64C4">
        <w:rPr>
          <w:rFonts w:ascii="Calibri" w:hAnsi="Calibri" w:cs="Calibri"/>
          <w:szCs w:val="24"/>
        </w:rPr>
        <w:t>n</w:t>
      </w:r>
      <w:r w:rsidR="0075509C">
        <w:rPr>
          <w:rFonts w:ascii="Calibri" w:hAnsi="Calibri" w:cs="Calibri"/>
          <w:szCs w:val="24"/>
        </w:rPr>
        <w:t xml:space="preserve"> March</w:t>
      </w:r>
      <w:r w:rsidR="009C2284">
        <w:rPr>
          <w:rFonts w:ascii="Calibri" w:hAnsi="Calibri" w:cs="Calibri"/>
          <w:szCs w:val="24"/>
        </w:rPr>
        <w:t xml:space="preserve"> 30,</w:t>
      </w:r>
      <w:r w:rsidR="0075509C">
        <w:rPr>
          <w:rFonts w:ascii="Calibri" w:hAnsi="Calibri" w:cs="Calibri"/>
          <w:szCs w:val="24"/>
        </w:rPr>
        <w:t xml:space="preserve"> 2015</w:t>
      </w:r>
      <w:r w:rsidR="009C2284">
        <w:rPr>
          <w:rFonts w:ascii="Calibri" w:hAnsi="Calibri" w:cs="Calibri"/>
          <w:szCs w:val="24"/>
        </w:rPr>
        <w:t xml:space="preserve"> and ended on August 16, 2015</w:t>
      </w:r>
      <w:r w:rsidR="00294FD0">
        <w:rPr>
          <w:rFonts w:ascii="Calibri" w:hAnsi="Calibri" w:cs="Calibri"/>
          <w:szCs w:val="24"/>
        </w:rPr>
        <w:t>.</w:t>
      </w:r>
      <w:r>
        <w:rPr>
          <w:rFonts w:ascii="Calibri" w:hAnsi="Calibri" w:cs="Calibri"/>
          <w:szCs w:val="24"/>
        </w:rPr>
        <w:t xml:space="preserve"> </w:t>
      </w:r>
      <w:r w:rsidR="009A6283">
        <w:rPr>
          <w:rFonts w:ascii="Calibri" w:hAnsi="Calibri" w:cs="Calibri"/>
          <w:szCs w:val="24"/>
        </w:rPr>
        <w:t>The third wave of data collected to evaluate Phase 3 of the campaign immediately preceded the implementation of the Phase 4 (</w:t>
      </w:r>
      <w:r w:rsidR="00674A37">
        <w:rPr>
          <w:rFonts w:ascii="Calibri" w:hAnsi="Calibri" w:cs="Calibri"/>
          <w:szCs w:val="24"/>
        </w:rPr>
        <w:t xml:space="preserve">data collected </w:t>
      </w:r>
      <w:r w:rsidR="009A6283">
        <w:rPr>
          <w:rFonts w:ascii="Calibri" w:hAnsi="Calibri" w:cs="Calibri"/>
          <w:szCs w:val="24"/>
        </w:rPr>
        <w:t>January 5</w:t>
      </w:r>
      <w:r w:rsidR="009A6283" w:rsidRPr="00345E8E">
        <w:rPr>
          <w:rFonts w:ascii="Calibri" w:hAnsi="Calibri" w:cs="Calibri"/>
          <w:szCs w:val="24"/>
          <w:vertAlign w:val="superscript"/>
        </w:rPr>
        <w:t>th</w:t>
      </w:r>
      <w:r w:rsidR="009A6283">
        <w:rPr>
          <w:rFonts w:ascii="Calibri" w:hAnsi="Calibri" w:cs="Calibri"/>
          <w:szCs w:val="24"/>
        </w:rPr>
        <w:t xml:space="preserve"> to March 16</w:t>
      </w:r>
      <w:r w:rsidR="009A6283" w:rsidRPr="00345E8E">
        <w:rPr>
          <w:rFonts w:ascii="Calibri" w:hAnsi="Calibri" w:cs="Calibri"/>
          <w:szCs w:val="24"/>
          <w:vertAlign w:val="superscript"/>
        </w:rPr>
        <w:t>th</w:t>
      </w:r>
      <w:r w:rsidR="009A6283">
        <w:rPr>
          <w:rFonts w:ascii="Calibri" w:hAnsi="Calibri" w:cs="Calibri"/>
          <w:szCs w:val="24"/>
        </w:rPr>
        <w:t xml:space="preserve"> 2015). These data </w:t>
      </w:r>
      <w:r w:rsidR="00674A37">
        <w:rPr>
          <w:rFonts w:ascii="Calibri" w:hAnsi="Calibri" w:cs="Calibri"/>
          <w:szCs w:val="24"/>
        </w:rPr>
        <w:t xml:space="preserve">will serve </w:t>
      </w:r>
      <w:r w:rsidR="009A6283">
        <w:rPr>
          <w:rFonts w:ascii="Calibri" w:hAnsi="Calibri" w:cs="Calibri"/>
          <w:szCs w:val="24"/>
        </w:rPr>
        <w:t>as a pre-campaign</w:t>
      </w:r>
      <w:r w:rsidR="00674A37">
        <w:rPr>
          <w:rFonts w:ascii="Calibri" w:hAnsi="Calibri" w:cs="Calibri"/>
          <w:szCs w:val="24"/>
        </w:rPr>
        <w:t xml:space="preserve"> baseline for Phase 4. </w:t>
      </w:r>
      <w:r w:rsidR="006326E2">
        <w:rPr>
          <w:rFonts w:ascii="Calibri" w:hAnsi="Calibri" w:cs="Calibri"/>
          <w:szCs w:val="24"/>
        </w:rPr>
        <w:t>CDC p</w:t>
      </w:r>
      <w:r w:rsidR="00BB2962">
        <w:rPr>
          <w:rFonts w:ascii="Calibri" w:hAnsi="Calibri" w:cs="Calibri"/>
          <w:szCs w:val="24"/>
        </w:rPr>
        <w:t xml:space="preserve">roposes to field </w:t>
      </w:r>
      <w:r w:rsidR="000A78F4">
        <w:rPr>
          <w:rFonts w:ascii="Calibri" w:hAnsi="Calibri" w:cs="Calibri"/>
          <w:szCs w:val="24"/>
        </w:rPr>
        <w:t xml:space="preserve">4 </w:t>
      </w:r>
      <w:r w:rsidR="00BB2962">
        <w:rPr>
          <w:rFonts w:ascii="Calibri" w:hAnsi="Calibri" w:cs="Calibri"/>
          <w:szCs w:val="24"/>
        </w:rPr>
        <w:t xml:space="preserve">new waves of survey data collection to </w:t>
      </w:r>
      <w:r w:rsidR="009D64C4">
        <w:rPr>
          <w:rFonts w:ascii="Calibri" w:hAnsi="Calibri" w:cs="Calibri"/>
          <w:szCs w:val="24"/>
        </w:rPr>
        <w:t>fully evaluate</w:t>
      </w:r>
      <w:r w:rsidR="00BB2962">
        <w:rPr>
          <w:rFonts w:ascii="Calibri" w:hAnsi="Calibri" w:cs="Calibri"/>
          <w:szCs w:val="24"/>
        </w:rPr>
        <w:t xml:space="preserve"> </w:t>
      </w:r>
      <w:r w:rsidR="001B19D4">
        <w:rPr>
          <w:rFonts w:ascii="Calibri" w:hAnsi="Calibri" w:cs="Calibri"/>
          <w:szCs w:val="24"/>
        </w:rPr>
        <w:t>Phase 4</w:t>
      </w:r>
      <w:r w:rsidR="00BB2962">
        <w:rPr>
          <w:rFonts w:ascii="Calibri" w:hAnsi="Calibri" w:cs="Calibri"/>
          <w:szCs w:val="24"/>
        </w:rPr>
        <w:t xml:space="preserve"> of The Campaign</w:t>
      </w:r>
      <w:r w:rsidR="001B19D4">
        <w:rPr>
          <w:rFonts w:ascii="Calibri" w:hAnsi="Calibri" w:cs="Calibri"/>
          <w:szCs w:val="24"/>
        </w:rPr>
        <w:t xml:space="preserve">. </w:t>
      </w:r>
      <w:r w:rsidR="00BB2962">
        <w:rPr>
          <w:rFonts w:ascii="Calibri" w:hAnsi="Calibri" w:cs="Calibri"/>
          <w:szCs w:val="24"/>
        </w:rPr>
        <w:t>The first wave</w:t>
      </w:r>
      <w:r w:rsidR="00605150">
        <w:rPr>
          <w:rFonts w:ascii="Calibri" w:hAnsi="Calibri" w:cs="Calibri"/>
          <w:szCs w:val="24"/>
        </w:rPr>
        <w:t xml:space="preserve"> (</w:t>
      </w:r>
      <w:r w:rsidR="001B19D4">
        <w:rPr>
          <w:rFonts w:ascii="Calibri" w:hAnsi="Calibri" w:cs="Calibri"/>
          <w:szCs w:val="24"/>
        </w:rPr>
        <w:t>Wave A</w:t>
      </w:r>
      <w:r w:rsidR="00605150">
        <w:rPr>
          <w:rFonts w:ascii="Calibri" w:hAnsi="Calibri" w:cs="Calibri"/>
          <w:szCs w:val="24"/>
        </w:rPr>
        <w:t>)</w:t>
      </w:r>
      <w:r w:rsidR="00BB2962">
        <w:rPr>
          <w:rFonts w:ascii="Calibri" w:hAnsi="Calibri" w:cs="Calibri"/>
          <w:szCs w:val="24"/>
        </w:rPr>
        <w:t xml:space="preserve"> is planned to launch in </w:t>
      </w:r>
      <w:r w:rsidR="009C2284">
        <w:rPr>
          <w:rFonts w:ascii="Calibri" w:hAnsi="Calibri" w:cs="Calibri"/>
          <w:szCs w:val="24"/>
        </w:rPr>
        <w:t xml:space="preserve">September </w:t>
      </w:r>
      <w:r w:rsidR="00BB2962">
        <w:rPr>
          <w:rFonts w:ascii="Calibri" w:hAnsi="Calibri" w:cs="Calibri"/>
          <w:szCs w:val="24"/>
        </w:rPr>
        <w:t xml:space="preserve">2015 following the conclusion of the Phase 4 campaign. </w:t>
      </w:r>
      <w:r w:rsidR="00D75C93">
        <w:rPr>
          <w:rFonts w:ascii="Calibri" w:hAnsi="Calibri" w:cs="Calibri"/>
          <w:szCs w:val="24"/>
        </w:rPr>
        <w:t>This first wave will serve as an initial post-campaign assessment of Phase 4 ad awareness, campaign exposure, and key outcomes of interest. Wave B of this data collection will then be fielded</w:t>
      </w:r>
      <w:r w:rsidR="005E443E">
        <w:rPr>
          <w:rFonts w:ascii="Calibri" w:hAnsi="Calibri" w:cs="Calibri"/>
          <w:szCs w:val="24"/>
        </w:rPr>
        <w:t xml:space="preserve"> approximately</w:t>
      </w:r>
      <w:r w:rsidR="00D75C93">
        <w:rPr>
          <w:rFonts w:ascii="Calibri" w:hAnsi="Calibri" w:cs="Calibri"/>
          <w:szCs w:val="24"/>
        </w:rPr>
        <w:t xml:space="preserve"> from </w:t>
      </w:r>
      <w:r w:rsidR="005E443E">
        <w:rPr>
          <w:rFonts w:ascii="Calibri" w:hAnsi="Calibri" w:cs="Calibri"/>
          <w:szCs w:val="24"/>
        </w:rPr>
        <w:t xml:space="preserve">March </w:t>
      </w:r>
      <w:r w:rsidR="00D75C93">
        <w:rPr>
          <w:rFonts w:ascii="Calibri" w:hAnsi="Calibri" w:cs="Calibri"/>
          <w:szCs w:val="24"/>
        </w:rPr>
        <w:t xml:space="preserve">to </w:t>
      </w:r>
      <w:r w:rsidR="005E443E">
        <w:rPr>
          <w:rFonts w:ascii="Calibri" w:hAnsi="Calibri" w:cs="Calibri"/>
          <w:szCs w:val="24"/>
        </w:rPr>
        <w:t>June</w:t>
      </w:r>
      <w:r w:rsidR="00D75C93">
        <w:rPr>
          <w:rFonts w:ascii="Calibri" w:hAnsi="Calibri" w:cs="Calibri"/>
          <w:szCs w:val="24"/>
        </w:rPr>
        <w:t xml:space="preserve"> 2016 to serve as a 6-month follow-up for purposes of assessing 6-month sustained cigarette cessation. Wave C will be conducted </w:t>
      </w:r>
      <w:r w:rsidR="005E443E">
        <w:rPr>
          <w:rFonts w:ascii="Calibri" w:hAnsi="Calibri" w:cs="Calibri"/>
          <w:szCs w:val="24"/>
        </w:rPr>
        <w:t xml:space="preserve">approximately </w:t>
      </w:r>
      <w:r w:rsidR="00D75C93">
        <w:rPr>
          <w:rFonts w:ascii="Calibri" w:hAnsi="Calibri" w:cs="Calibri"/>
          <w:szCs w:val="24"/>
        </w:rPr>
        <w:t>from Ju</w:t>
      </w:r>
      <w:r w:rsidR="005E443E">
        <w:rPr>
          <w:rFonts w:ascii="Calibri" w:hAnsi="Calibri" w:cs="Calibri"/>
          <w:szCs w:val="24"/>
        </w:rPr>
        <w:t>ly</w:t>
      </w:r>
      <w:r w:rsidR="00D75C93">
        <w:rPr>
          <w:rFonts w:ascii="Calibri" w:hAnsi="Calibri" w:cs="Calibri"/>
          <w:szCs w:val="24"/>
        </w:rPr>
        <w:t xml:space="preserve"> to </w:t>
      </w:r>
      <w:r w:rsidR="005E443E">
        <w:rPr>
          <w:rFonts w:ascii="Calibri" w:hAnsi="Calibri" w:cs="Calibri"/>
          <w:szCs w:val="24"/>
        </w:rPr>
        <w:t>September</w:t>
      </w:r>
      <w:r w:rsidR="00D75C93">
        <w:rPr>
          <w:rFonts w:ascii="Calibri" w:hAnsi="Calibri" w:cs="Calibri"/>
          <w:szCs w:val="24"/>
        </w:rPr>
        <w:t xml:space="preserve"> 2016 and Wave D will be fielded </w:t>
      </w:r>
      <w:r w:rsidR="005E443E">
        <w:rPr>
          <w:rFonts w:ascii="Calibri" w:hAnsi="Calibri" w:cs="Calibri"/>
          <w:szCs w:val="24"/>
        </w:rPr>
        <w:t xml:space="preserve">approximately </w:t>
      </w:r>
      <w:r w:rsidR="00D75C93">
        <w:rPr>
          <w:rFonts w:ascii="Calibri" w:hAnsi="Calibri" w:cs="Calibri"/>
          <w:szCs w:val="24"/>
        </w:rPr>
        <w:t xml:space="preserve">from </w:t>
      </w:r>
      <w:r w:rsidR="005E443E">
        <w:rPr>
          <w:rFonts w:ascii="Calibri" w:hAnsi="Calibri" w:cs="Calibri"/>
          <w:szCs w:val="24"/>
        </w:rPr>
        <w:t>October</w:t>
      </w:r>
      <w:r w:rsidR="00D75C93">
        <w:rPr>
          <w:rFonts w:ascii="Calibri" w:hAnsi="Calibri" w:cs="Calibri"/>
          <w:szCs w:val="24"/>
        </w:rPr>
        <w:t xml:space="preserve"> to </w:t>
      </w:r>
      <w:r w:rsidR="005E443E">
        <w:rPr>
          <w:rFonts w:ascii="Calibri" w:hAnsi="Calibri" w:cs="Calibri"/>
          <w:szCs w:val="24"/>
        </w:rPr>
        <w:t>December</w:t>
      </w:r>
      <w:r w:rsidR="00D75C93">
        <w:rPr>
          <w:rFonts w:ascii="Calibri" w:hAnsi="Calibri" w:cs="Calibri"/>
          <w:szCs w:val="24"/>
        </w:rPr>
        <w:t xml:space="preserve"> 2016 to serve as final long-term follow-ups for assessing continued sustained cigarette abstinence.</w:t>
      </w:r>
      <w:r w:rsidR="00A039A3">
        <w:rPr>
          <w:rFonts w:ascii="Calibri" w:hAnsi="Calibri" w:cs="Calibri"/>
          <w:szCs w:val="24"/>
        </w:rPr>
        <w:t xml:space="preserve"> These data collection will also help to inform the evaluation of Phase 5 of The Campaign. </w:t>
      </w:r>
    </w:p>
    <w:p w14:paraId="5366CD45" w14:textId="77777777" w:rsidR="004B1806" w:rsidRDefault="004B1806" w:rsidP="00D75C93">
      <w:pPr>
        <w:rPr>
          <w:rFonts w:ascii="Calibri" w:hAnsi="Calibri" w:cs="Calibri"/>
          <w:szCs w:val="24"/>
        </w:rPr>
      </w:pPr>
    </w:p>
    <w:p w14:paraId="2AF1B0B6" w14:textId="43D96048" w:rsidR="00AF75AA" w:rsidRDefault="00504F5A" w:rsidP="001B19D4">
      <w:pPr>
        <w:ind w:firstLine="720"/>
        <w:rPr>
          <w:rFonts w:ascii="Calibri" w:hAnsi="Calibri" w:cs="Calibri"/>
          <w:szCs w:val="24"/>
        </w:rPr>
      </w:pPr>
      <w:r>
        <w:rPr>
          <w:rFonts w:ascii="Calibri" w:hAnsi="Calibri" w:cs="Calibri"/>
          <w:szCs w:val="24"/>
        </w:rPr>
        <w:t xml:space="preserve">This data collection will continue to utilize the longitudinal cohort implemented to evaluate Phase 3 of The Campaign in 2014. </w:t>
      </w:r>
      <w:r w:rsidR="00605150">
        <w:rPr>
          <w:rFonts w:ascii="Calibri" w:hAnsi="Calibri" w:cs="Calibri"/>
          <w:szCs w:val="24"/>
        </w:rPr>
        <w:t>Each data collection wave will consist of separate surveys of smokers and nonsmokers since The Campaign targets specific outcomes among each of these populations. These data collections a</w:t>
      </w:r>
      <w:r w:rsidR="006326E2">
        <w:rPr>
          <w:rFonts w:ascii="Calibri" w:hAnsi="Calibri" w:cs="Calibri"/>
          <w:szCs w:val="24"/>
        </w:rPr>
        <w:t>re necessary for</w:t>
      </w:r>
      <w:r w:rsidR="004D3E35">
        <w:rPr>
          <w:rFonts w:ascii="Calibri" w:hAnsi="Calibri" w:cs="Calibri"/>
          <w:szCs w:val="24"/>
        </w:rPr>
        <w:t xml:space="preserve"> measuring</w:t>
      </w:r>
      <w:r w:rsidR="006326E2">
        <w:rPr>
          <w:rFonts w:ascii="Calibri" w:hAnsi="Calibri" w:cs="Calibri"/>
          <w:szCs w:val="24"/>
        </w:rPr>
        <w:t xml:space="preserve"> </w:t>
      </w:r>
      <w:r w:rsidR="00605150">
        <w:rPr>
          <w:rFonts w:ascii="Calibri" w:hAnsi="Calibri" w:cs="Calibri"/>
          <w:szCs w:val="24"/>
        </w:rPr>
        <w:t xml:space="preserve">awareness of </w:t>
      </w:r>
      <w:r w:rsidR="0059633C">
        <w:rPr>
          <w:rFonts w:ascii="Calibri" w:hAnsi="Calibri" w:cs="Calibri"/>
          <w:szCs w:val="24"/>
        </w:rPr>
        <w:t>The</w:t>
      </w:r>
      <w:r w:rsidR="00C50175">
        <w:rPr>
          <w:rFonts w:ascii="Calibri" w:hAnsi="Calibri" w:cs="Calibri"/>
          <w:szCs w:val="24"/>
        </w:rPr>
        <w:t xml:space="preserve"> 2015</w:t>
      </w:r>
      <w:r w:rsidR="0059633C">
        <w:rPr>
          <w:rFonts w:ascii="Calibri" w:hAnsi="Calibri" w:cs="Calibri"/>
          <w:szCs w:val="24"/>
        </w:rPr>
        <w:t xml:space="preserve"> Campaign</w:t>
      </w:r>
      <w:r w:rsidR="00010C5B">
        <w:rPr>
          <w:rFonts w:ascii="Calibri" w:hAnsi="Calibri" w:cs="Calibri"/>
          <w:szCs w:val="24"/>
        </w:rPr>
        <w:t xml:space="preserve"> (Phase 4)</w:t>
      </w:r>
      <w:r w:rsidR="00C50175">
        <w:rPr>
          <w:rFonts w:ascii="Calibri" w:hAnsi="Calibri" w:cs="Calibri"/>
          <w:szCs w:val="24"/>
        </w:rPr>
        <w:t xml:space="preserve"> and related outcomes</w:t>
      </w:r>
      <w:r w:rsidR="00605150">
        <w:rPr>
          <w:rFonts w:ascii="Calibri" w:hAnsi="Calibri" w:cs="Calibri"/>
          <w:szCs w:val="24"/>
        </w:rPr>
        <w:t xml:space="preserve"> among its target </w:t>
      </w:r>
      <w:r w:rsidR="00684CA1">
        <w:rPr>
          <w:rFonts w:ascii="Calibri" w:hAnsi="Calibri" w:cs="Calibri"/>
          <w:szCs w:val="24"/>
        </w:rPr>
        <w:t>audience</w:t>
      </w:r>
      <w:r w:rsidR="005E443E">
        <w:rPr>
          <w:rFonts w:ascii="Calibri" w:hAnsi="Calibri" w:cs="Calibri"/>
          <w:szCs w:val="24"/>
        </w:rPr>
        <w:t xml:space="preserve"> as well as informing the evaluation of The 2016 Campaign</w:t>
      </w:r>
      <w:r w:rsidR="001B19D4">
        <w:rPr>
          <w:rFonts w:ascii="Calibri" w:hAnsi="Calibri" w:cs="Calibri"/>
          <w:szCs w:val="24"/>
        </w:rPr>
        <w:t xml:space="preserve">. </w:t>
      </w:r>
    </w:p>
    <w:p w14:paraId="1515046C" w14:textId="77777777" w:rsidR="00AF75AA" w:rsidRDefault="00AF75AA" w:rsidP="00AF75AA">
      <w:pPr>
        <w:rPr>
          <w:rFonts w:ascii="Calibri" w:hAnsi="Calibri" w:cs="Calibri"/>
          <w:szCs w:val="24"/>
        </w:rPr>
      </w:pPr>
    </w:p>
    <w:p w14:paraId="62574F97" w14:textId="77777777" w:rsidR="005F2C83" w:rsidRDefault="005F2C83" w:rsidP="006127BF">
      <w:pPr>
        <w:rPr>
          <w:rFonts w:ascii="Calibri" w:hAnsi="Calibri" w:cs="Calibri"/>
          <w:szCs w:val="24"/>
        </w:rPr>
      </w:pPr>
      <w:r>
        <w:rPr>
          <w:rFonts w:ascii="Calibri" w:hAnsi="Calibri" w:cs="Calibri"/>
          <w:szCs w:val="24"/>
        </w:rPr>
        <w:t xml:space="preserve">OMB approval is requested for two years. </w:t>
      </w:r>
    </w:p>
    <w:p w14:paraId="1D4E9FEB" w14:textId="77777777" w:rsidR="00244CF3" w:rsidRDefault="00244CF3" w:rsidP="006127BF">
      <w:pPr>
        <w:rPr>
          <w:rFonts w:ascii="Calibri" w:hAnsi="Calibri" w:cs="Calibri"/>
          <w:szCs w:val="24"/>
        </w:rPr>
      </w:pPr>
    </w:p>
    <w:p w14:paraId="5B14B428" w14:textId="77777777" w:rsidR="00AC1274" w:rsidRDefault="00AC1274" w:rsidP="0060792A">
      <w:pPr>
        <w:tabs>
          <w:tab w:val="left" w:pos="0"/>
        </w:tabs>
        <w:spacing w:line="360" w:lineRule="auto"/>
        <w:outlineLvl w:val="1"/>
        <w:rPr>
          <w:rFonts w:ascii="Calibri" w:hAnsi="Calibri" w:cs="Calibri"/>
          <w:b/>
          <w:szCs w:val="24"/>
        </w:rPr>
      </w:pPr>
    </w:p>
    <w:p w14:paraId="445059E4" w14:textId="77777777" w:rsidR="0035525E" w:rsidRPr="00824350" w:rsidRDefault="0035525E" w:rsidP="0060792A">
      <w:pPr>
        <w:tabs>
          <w:tab w:val="left" w:pos="0"/>
        </w:tabs>
        <w:spacing w:line="360" w:lineRule="auto"/>
        <w:outlineLvl w:val="1"/>
        <w:rPr>
          <w:rFonts w:ascii="Calibri" w:hAnsi="Calibri" w:cs="Calibri"/>
          <w:b/>
          <w:szCs w:val="24"/>
        </w:rPr>
      </w:pPr>
      <w:r w:rsidRPr="00824350">
        <w:rPr>
          <w:rFonts w:ascii="Calibri" w:hAnsi="Calibri" w:cs="Calibri"/>
          <w:b/>
          <w:szCs w:val="24"/>
        </w:rPr>
        <w:t>A.</w:t>
      </w:r>
      <w:r w:rsidRPr="00824350">
        <w:rPr>
          <w:rFonts w:ascii="Calibri" w:hAnsi="Calibri" w:cs="Calibri"/>
          <w:b/>
          <w:szCs w:val="24"/>
        </w:rPr>
        <w:tab/>
        <w:t>Justification</w:t>
      </w:r>
    </w:p>
    <w:p w14:paraId="5995673A" w14:textId="77777777" w:rsidR="00AC1274" w:rsidRDefault="00AC1274" w:rsidP="005C5699">
      <w:pPr>
        <w:pStyle w:val="Heading2"/>
        <w:tabs>
          <w:tab w:val="clear" w:pos="1080"/>
          <w:tab w:val="left" w:pos="720"/>
        </w:tabs>
        <w:spacing w:line="360" w:lineRule="auto"/>
        <w:rPr>
          <w:rFonts w:ascii="Calibri" w:hAnsi="Calibri" w:cs="Calibri"/>
          <w:szCs w:val="24"/>
        </w:rPr>
      </w:pPr>
    </w:p>
    <w:p w14:paraId="53A60F62" w14:textId="77777777" w:rsidR="0035525E" w:rsidRPr="00824350" w:rsidRDefault="0035525E" w:rsidP="005C5699">
      <w:pPr>
        <w:pStyle w:val="Heading2"/>
        <w:tabs>
          <w:tab w:val="clear" w:pos="1080"/>
          <w:tab w:val="left" w:pos="720"/>
        </w:tabs>
        <w:spacing w:line="360" w:lineRule="auto"/>
        <w:rPr>
          <w:rFonts w:ascii="Calibri" w:hAnsi="Calibri" w:cs="Calibri"/>
          <w:szCs w:val="24"/>
        </w:rPr>
      </w:pPr>
      <w:r w:rsidRPr="00824350">
        <w:rPr>
          <w:rFonts w:ascii="Calibri" w:hAnsi="Calibri" w:cs="Calibri"/>
          <w:szCs w:val="24"/>
        </w:rPr>
        <w:t>A.1.</w:t>
      </w:r>
      <w:r w:rsidRPr="00824350">
        <w:rPr>
          <w:rFonts w:ascii="Calibri" w:hAnsi="Calibri" w:cs="Calibri"/>
          <w:szCs w:val="24"/>
        </w:rPr>
        <w:tab/>
        <w:t>Circumstances Making the Collection of Information Necessary</w:t>
      </w:r>
    </w:p>
    <w:p w14:paraId="24A91159" w14:textId="77777777" w:rsidR="0035525E" w:rsidRPr="00824350"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050B48A5" w14:textId="77777777" w:rsidR="0035525E" w:rsidRPr="00824350" w:rsidRDefault="0035525E" w:rsidP="0004220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szCs w:val="24"/>
        </w:rPr>
        <w:tab/>
        <w:t>The primary mission of the Health Communications Branch (HCB) of the Office on Smoking and Health (OSH) at the Centers for Disease Control and Prevention (CDC) is to serve as a public health resource for tobacco and health information.  Through the HCB, OSH develops and distributes information about tobacco and health to the public, professionals, various branches of government, and other interested groups nationwide using a wide array of formats and media channels.  OSH also maintains a reference library of tobacco-related communication materials, called the</w:t>
      </w:r>
      <w:r w:rsidRPr="00824350">
        <w:rPr>
          <w:rFonts w:ascii="Calibri" w:hAnsi="Calibri" w:cs="Calibri"/>
        </w:rPr>
        <w:t xml:space="preserve"> Media Campaign Resource Center (MCRC), </w:t>
      </w:r>
      <w:r w:rsidR="003C0C1D" w:rsidRPr="003C0C1D">
        <w:rPr>
          <w:rFonts w:ascii="Calibri" w:hAnsi="Calibri" w:cs="Calibri"/>
        </w:rPr>
        <w:t>which contains CDC-licensed advertisements developed by state health departments, nonprofit organizations, and the federal government</w:t>
      </w:r>
      <w:r w:rsidRPr="00824350">
        <w:rPr>
          <w:rFonts w:ascii="Calibri" w:hAnsi="Calibri" w:cs="Calibri"/>
        </w:rPr>
        <w:t xml:space="preserve">.  </w:t>
      </w:r>
      <w:r w:rsidRPr="00824350">
        <w:rPr>
          <w:rFonts w:ascii="Calibri" w:hAnsi="Calibri" w:cs="Calibri"/>
          <w:szCs w:val="24"/>
        </w:rPr>
        <w:t>CDC is authorized to conduct information collection supporting these activities under the Public Health Service Act (41USC 241) Section 301 (</w:t>
      </w:r>
      <w:r w:rsidRPr="00C45BDB">
        <w:rPr>
          <w:rFonts w:ascii="Calibri" w:hAnsi="Calibri" w:cs="Calibri"/>
          <w:b/>
          <w:szCs w:val="24"/>
        </w:rPr>
        <w:t>Attachment A-1</w:t>
      </w:r>
      <w:r w:rsidRPr="00C45BDB">
        <w:rPr>
          <w:rFonts w:ascii="Calibri" w:hAnsi="Calibri" w:cs="Calibri"/>
          <w:szCs w:val="24"/>
        </w:rPr>
        <w:t>).</w:t>
      </w:r>
      <w:r w:rsidRPr="00824350">
        <w:rPr>
          <w:rFonts w:ascii="Calibri" w:hAnsi="Calibri" w:cs="Calibri"/>
        </w:rPr>
        <w:t xml:space="preserve">  OSH also collaborates closely with the Center for Tobacco </w:t>
      </w:r>
      <w:r w:rsidR="009439F8">
        <w:rPr>
          <w:rFonts w:ascii="Calibri" w:hAnsi="Calibri" w:cs="Calibri"/>
        </w:rPr>
        <w:t>Products</w:t>
      </w:r>
      <w:r w:rsidRPr="00824350">
        <w:rPr>
          <w:rFonts w:ascii="Calibri" w:hAnsi="Calibri" w:cs="Calibri"/>
        </w:rPr>
        <w:t xml:space="preserve"> (CT</w:t>
      </w:r>
      <w:r w:rsidR="009439F8">
        <w:rPr>
          <w:rFonts w:ascii="Calibri" w:hAnsi="Calibri" w:cs="Calibri"/>
        </w:rPr>
        <w:t>P</w:t>
      </w:r>
      <w:r w:rsidRPr="00824350">
        <w:rPr>
          <w:rFonts w:ascii="Calibri" w:hAnsi="Calibri" w:cs="Calibri"/>
        </w:rPr>
        <w:t>) in the Food and Drug Administration (FDA)</w:t>
      </w:r>
      <w:r w:rsidR="002613D9">
        <w:rPr>
          <w:rFonts w:ascii="Calibri" w:hAnsi="Calibri" w:cs="Calibri"/>
        </w:rPr>
        <w:t xml:space="preserve"> and other federal agencies on tobacco control</w:t>
      </w:r>
      <w:r w:rsidRPr="00824350">
        <w:rPr>
          <w:rFonts w:ascii="Calibri" w:hAnsi="Calibri" w:cs="Calibri"/>
        </w:rPr>
        <w:t xml:space="preserve">.  Since 2009, the FDA has gained broad authority to regulate tobacco product advertising through the Family Smoking Prevention and Tobacco Control Act </w:t>
      </w:r>
      <w:r w:rsidRPr="00C45BDB">
        <w:rPr>
          <w:rFonts w:ascii="Calibri" w:hAnsi="Calibri" w:cs="Calibri"/>
        </w:rPr>
        <w:t>(</w:t>
      </w:r>
      <w:r w:rsidRPr="00C45BDB">
        <w:rPr>
          <w:rFonts w:ascii="Calibri" w:hAnsi="Calibri" w:cs="Calibri"/>
          <w:b/>
        </w:rPr>
        <w:t>Attachment A-2</w:t>
      </w:r>
      <w:r w:rsidRPr="00C45BDB">
        <w:rPr>
          <w:rFonts w:ascii="Calibri" w:hAnsi="Calibri" w:cs="Calibri"/>
        </w:rPr>
        <w:t>).</w:t>
      </w:r>
    </w:p>
    <w:p w14:paraId="1CEE9618" w14:textId="77777777" w:rsidR="00042207" w:rsidRDefault="00042207" w:rsidP="00042207">
      <w:pPr>
        <w:ind w:firstLine="720"/>
        <w:rPr>
          <w:rFonts w:ascii="Calibri" w:hAnsi="Calibri" w:cs="Calibri"/>
          <w:szCs w:val="24"/>
        </w:rPr>
      </w:pPr>
    </w:p>
    <w:p w14:paraId="0800DA62" w14:textId="054F942F" w:rsidR="00A22F5D" w:rsidRDefault="0035525E" w:rsidP="00294FD0">
      <w:pPr>
        <w:ind w:firstLine="720"/>
        <w:rPr>
          <w:rFonts w:ascii="Calibri" w:hAnsi="Calibri" w:cs="Calibri"/>
          <w:szCs w:val="24"/>
        </w:rPr>
      </w:pPr>
      <w:r w:rsidRPr="00824350">
        <w:rPr>
          <w:rFonts w:ascii="Calibri" w:hAnsi="Calibri" w:cs="Calibri"/>
          <w:szCs w:val="24"/>
        </w:rPr>
        <w:t xml:space="preserve">The recent enactment of the Affordable Care Act (ACA) established the Prevention and Public Health Fund (PPHF) which contains essential disease prevention initiatives to help reduce the health and financial burden of tobacco use </w:t>
      </w:r>
      <w:r w:rsidRPr="00C45BDB">
        <w:rPr>
          <w:rFonts w:ascii="Calibri" w:hAnsi="Calibri" w:cs="Calibri"/>
          <w:szCs w:val="24"/>
        </w:rPr>
        <w:t>(</w:t>
      </w:r>
      <w:r w:rsidRPr="00C45BDB">
        <w:rPr>
          <w:rFonts w:ascii="Calibri" w:hAnsi="Calibri" w:cs="Calibri"/>
          <w:b/>
          <w:szCs w:val="24"/>
        </w:rPr>
        <w:t>Attachment A-3</w:t>
      </w:r>
      <w:r w:rsidRPr="00C45BDB">
        <w:rPr>
          <w:rFonts w:ascii="Calibri" w:hAnsi="Calibri" w:cs="Calibri"/>
          <w:szCs w:val="24"/>
        </w:rPr>
        <w:t>).</w:t>
      </w:r>
      <w:r w:rsidRPr="00824350">
        <w:rPr>
          <w:rFonts w:ascii="Calibri" w:hAnsi="Calibri" w:cs="Calibri"/>
          <w:szCs w:val="24"/>
        </w:rPr>
        <w:t xml:space="preserve"> One of these major initiatives includes the implementation of a national, evidence-based media campaign to increase awareness of the health consequences of tobacco use and exposure to secondhand smoke. This campaign</w:t>
      </w:r>
      <w:r w:rsidR="00944F08">
        <w:rPr>
          <w:rFonts w:ascii="Calibri" w:hAnsi="Calibri" w:cs="Calibri"/>
          <w:szCs w:val="24"/>
        </w:rPr>
        <w:t xml:space="preserve">, called </w:t>
      </w:r>
      <w:r w:rsidR="00944F08" w:rsidRPr="00944F08">
        <w:rPr>
          <w:rFonts w:ascii="Calibri" w:hAnsi="Calibri" w:cs="Calibri"/>
          <w:i/>
          <w:szCs w:val="24"/>
        </w:rPr>
        <w:t xml:space="preserve">Tips </w:t>
      </w:r>
      <w:r w:rsidR="009D64C4">
        <w:rPr>
          <w:rFonts w:ascii="Calibri" w:hAnsi="Calibri" w:cs="Calibri"/>
          <w:i/>
          <w:szCs w:val="24"/>
        </w:rPr>
        <w:t>F</w:t>
      </w:r>
      <w:r w:rsidR="00944F08" w:rsidRPr="00944F08">
        <w:rPr>
          <w:rFonts w:ascii="Calibri" w:hAnsi="Calibri" w:cs="Calibri"/>
          <w:i/>
          <w:szCs w:val="24"/>
        </w:rPr>
        <w:t>rom Former Smokers</w:t>
      </w:r>
      <w:r w:rsidR="00944F08">
        <w:rPr>
          <w:rFonts w:ascii="Calibri" w:hAnsi="Calibri" w:cs="Calibri"/>
          <w:szCs w:val="24"/>
        </w:rPr>
        <w:t>,</w:t>
      </w:r>
      <w:r w:rsidR="00A22F5D">
        <w:rPr>
          <w:rFonts w:ascii="Calibri" w:hAnsi="Calibri" w:cs="Calibri"/>
          <w:szCs w:val="24"/>
        </w:rPr>
        <w:t xml:space="preserve"> aired in </w:t>
      </w:r>
      <w:r w:rsidR="005E443E">
        <w:rPr>
          <w:rFonts w:ascii="Calibri" w:hAnsi="Calibri" w:cs="Calibri"/>
          <w:szCs w:val="24"/>
        </w:rPr>
        <w:t>4</w:t>
      </w:r>
      <w:r w:rsidR="005F2C83">
        <w:rPr>
          <w:rFonts w:ascii="Calibri" w:hAnsi="Calibri" w:cs="Calibri"/>
          <w:szCs w:val="24"/>
        </w:rPr>
        <w:t xml:space="preserve"> </w:t>
      </w:r>
      <w:r w:rsidR="00A22F5D">
        <w:rPr>
          <w:rFonts w:ascii="Calibri" w:hAnsi="Calibri" w:cs="Calibri"/>
          <w:szCs w:val="24"/>
        </w:rPr>
        <w:t>phases in 2012</w:t>
      </w:r>
      <w:r w:rsidR="005F2C83">
        <w:rPr>
          <w:rFonts w:ascii="Calibri" w:hAnsi="Calibri" w:cs="Calibri"/>
          <w:szCs w:val="24"/>
        </w:rPr>
        <w:t xml:space="preserve">, 2013, </w:t>
      </w:r>
      <w:r w:rsidR="00944F08">
        <w:rPr>
          <w:rFonts w:ascii="Calibri" w:hAnsi="Calibri" w:cs="Calibri"/>
          <w:szCs w:val="24"/>
        </w:rPr>
        <w:t xml:space="preserve"> 2014</w:t>
      </w:r>
      <w:r w:rsidR="005F2C83">
        <w:rPr>
          <w:rFonts w:ascii="Calibri" w:hAnsi="Calibri" w:cs="Calibri"/>
          <w:szCs w:val="24"/>
        </w:rPr>
        <w:t>,</w:t>
      </w:r>
      <w:r w:rsidR="005E443E">
        <w:rPr>
          <w:rFonts w:ascii="Calibri" w:hAnsi="Calibri" w:cs="Calibri"/>
          <w:szCs w:val="24"/>
        </w:rPr>
        <w:t xml:space="preserve"> and 2015</w:t>
      </w:r>
      <w:r w:rsidR="005F2C83">
        <w:rPr>
          <w:rFonts w:ascii="Calibri" w:hAnsi="Calibri" w:cs="Calibri"/>
          <w:szCs w:val="24"/>
        </w:rPr>
        <w:t xml:space="preserve"> respectively</w:t>
      </w:r>
      <w:r w:rsidR="00A22F5D">
        <w:rPr>
          <w:rFonts w:ascii="Calibri" w:hAnsi="Calibri" w:cs="Calibri"/>
          <w:szCs w:val="24"/>
        </w:rPr>
        <w:t xml:space="preserve">. </w:t>
      </w:r>
      <w:r w:rsidR="00944F08">
        <w:rPr>
          <w:rFonts w:ascii="Calibri" w:hAnsi="Calibri" w:cs="Calibri"/>
          <w:szCs w:val="24"/>
        </w:rPr>
        <w:t xml:space="preserve">Evaluation of </w:t>
      </w:r>
      <w:r w:rsidR="005F2C83">
        <w:rPr>
          <w:rFonts w:ascii="Calibri" w:hAnsi="Calibri" w:cs="Calibri"/>
          <w:szCs w:val="24"/>
        </w:rPr>
        <w:t>the</w:t>
      </w:r>
      <w:r w:rsidR="00944F08">
        <w:rPr>
          <w:rFonts w:ascii="Calibri" w:hAnsi="Calibri" w:cs="Calibri"/>
          <w:szCs w:val="24"/>
        </w:rPr>
        <w:t xml:space="preserve"> </w:t>
      </w:r>
      <w:r w:rsidR="009040F2">
        <w:rPr>
          <w:rFonts w:ascii="Calibri" w:hAnsi="Calibri" w:cs="Calibri"/>
          <w:szCs w:val="24"/>
        </w:rPr>
        <w:t xml:space="preserve">fourth </w:t>
      </w:r>
      <w:r w:rsidR="00944F08">
        <w:rPr>
          <w:rFonts w:ascii="Calibri" w:hAnsi="Calibri" w:cs="Calibri"/>
          <w:szCs w:val="24"/>
        </w:rPr>
        <w:t xml:space="preserve">phase in </w:t>
      </w:r>
      <w:r w:rsidR="00042207">
        <w:rPr>
          <w:rFonts w:ascii="Calibri" w:hAnsi="Calibri" w:cs="Calibri"/>
          <w:szCs w:val="24"/>
        </w:rPr>
        <w:t>2015</w:t>
      </w:r>
      <w:r w:rsidR="00944F08">
        <w:rPr>
          <w:rFonts w:ascii="Calibri" w:hAnsi="Calibri" w:cs="Calibri"/>
          <w:szCs w:val="24"/>
        </w:rPr>
        <w:t xml:space="preserve"> is the focus of this information collection request. </w:t>
      </w:r>
      <w:r w:rsidR="001B0057">
        <w:rPr>
          <w:rFonts w:ascii="Calibri" w:hAnsi="Calibri" w:cs="Calibri"/>
          <w:szCs w:val="24"/>
        </w:rPr>
        <w:t>Similar to the previous phases, t</w:t>
      </w:r>
      <w:r w:rsidR="00944F08">
        <w:rPr>
          <w:rFonts w:ascii="Calibri" w:hAnsi="Calibri" w:cs="Calibri"/>
          <w:szCs w:val="24"/>
        </w:rPr>
        <w:t xml:space="preserve">he </w:t>
      </w:r>
      <w:r w:rsidR="005F2C83">
        <w:rPr>
          <w:rFonts w:ascii="Calibri" w:hAnsi="Calibri" w:cs="Calibri"/>
          <w:szCs w:val="24"/>
        </w:rPr>
        <w:t>fourth</w:t>
      </w:r>
      <w:r w:rsidR="00944F08">
        <w:rPr>
          <w:rFonts w:ascii="Calibri" w:hAnsi="Calibri" w:cs="Calibri"/>
          <w:szCs w:val="24"/>
        </w:rPr>
        <w:t xml:space="preserve"> phase </w:t>
      </w:r>
      <w:r w:rsidR="00506FBA">
        <w:rPr>
          <w:rFonts w:ascii="Calibri" w:hAnsi="Calibri" w:cs="Calibri"/>
          <w:szCs w:val="24"/>
        </w:rPr>
        <w:t>which aired from March to August 2015</w:t>
      </w:r>
      <w:r w:rsidR="00010C5B">
        <w:rPr>
          <w:rFonts w:ascii="Calibri" w:hAnsi="Calibri" w:cs="Calibri"/>
          <w:szCs w:val="24"/>
        </w:rPr>
        <w:t xml:space="preserve"> </w:t>
      </w:r>
      <w:r w:rsidRPr="00824350">
        <w:rPr>
          <w:rFonts w:ascii="Calibri" w:hAnsi="Calibri" w:cs="Calibri"/>
          <w:szCs w:val="24"/>
        </w:rPr>
        <w:t>include</w:t>
      </w:r>
      <w:r w:rsidR="00111C06">
        <w:rPr>
          <w:rFonts w:ascii="Calibri" w:hAnsi="Calibri" w:cs="Calibri"/>
          <w:szCs w:val="24"/>
        </w:rPr>
        <w:t>s</w:t>
      </w:r>
      <w:r w:rsidRPr="00824350">
        <w:rPr>
          <w:rFonts w:ascii="Calibri" w:hAnsi="Calibri" w:cs="Calibri"/>
          <w:szCs w:val="24"/>
        </w:rPr>
        <w:t xml:space="preserve"> evidence-based paid media advertising that highlights the negative health consequences of smoking. The Campaign’s primary target audience is adult smokers</w:t>
      </w:r>
      <w:r w:rsidR="009439F8">
        <w:rPr>
          <w:rFonts w:ascii="Calibri" w:hAnsi="Calibri" w:cs="Calibri"/>
          <w:szCs w:val="24"/>
        </w:rPr>
        <w:t>. The Campaign</w:t>
      </w:r>
      <w:r w:rsidRPr="00824350">
        <w:rPr>
          <w:rFonts w:ascii="Calibri" w:hAnsi="Calibri" w:cs="Calibri"/>
          <w:szCs w:val="24"/>
        </w:rPr>
        <w:t xml:space="preserve"> </w:t>
      </w:r>
      <w:r w:rsidR="00111C06">
        <w:rPr>
          <w:rFonts w:ascii="Calibri" w:hAnsi="Calibri" w:cs="Calibri"/>
          <w:szCs w:val="24"/>
        </w:rPr>
        <w:t>includes</w:t>
      </w:r>
      <w:r w:rsidRPr="00824350">
        <w:rPr>
          <w:rFonts w:ascii="Calibri" w:hAnsi="Calibri" w:cs="Calibri"/>
          <w:szCs w:val="24"/>
        </w:rPr>
        <w:t xml:space="preserve"> paid </w:t>
      </w:r>
      <w:r w:rsidR="00E82092" w:rsidRPr="00824350">
        <w:rPr>
          <w:rFonts w:ascii="Calibri" w:hAnsi="Calibri" w:cs="Calibri"/>
          <w:szCs w:val="24"/>
        </w:rPr>
        <w:t>advertisements aimed</w:t>
      </w:r>
      <w:r w:rsidRPr="00824350">
        <w:rPr>
          <w:rFonts w:ascii="Calibri" w:hAnsi="Calibri" w:cs="Calibri"/>
          <w:szCs w:val="24"/>
        </w:rPr>
        <w:t xml:space="preserve"> at providing </w:t>
      </w:r>
      <w:r w:rsidR="009439F8">
        <w:rPr>
          <w:rFonts w:ascii="Calibri" w:hAnsi="Calibri" w:cs="Calibri"/>
          <w:szCs w:val="24"/>
        </w:rPr>
        <w:t xml:space="preserve">motivation and </w:t>
      </w:r>
      <w:r w:rsidRPr="00824350">
        <w:rPr>
          <w:rFonts w:ascii="Calibri" w:hAnsi="Calibri" w:cs="Calibri"/>
          <w:szCs w:val="24"/>
        </w:rPr>
        <w:t xml:space="preserve">support to smokers </w:t>
      </w:r>
      <w:r w:rsidR="009439F8">
        <w:rPr>
          <w:rFonts w:ascii="Calibri" w:hAnsi="Calibri" w:cs="Calibri"/>
          <w:szCs w:val="24"/>
        </w:rPr>
        <w:t>to quit</w:t>
      </w:r>
      <w:r w:rsidRPr="00824350">
        <w:rPr>
          <w:rFonts w:ascii="Calibri" w:hAnsi="Calibri" w:cs="Calibri"/>
          <w:szCs w:val="24"/>
        </w:rPr>
        <w:t xml:space="preserve">, with information and other resources to increase smokers’ chances of success in their attempts to quit smoking. </w:t>
      </w:r>
      <w:r w:rsidR="009439F8">
        <w:rPr>
          <w:rFonts w:ascii="Calibri" w:hAnsi="Calibri" w:cs="Calibri"/>
          <w:szCs w:val="24"/>
        </w:rPr>
        <w:t>Thus, the</w:t>
      </w:r>
      <w:r w:rsidRPr="00824350">
        <w:rPr>
          <w:rFonts w:ascii="Calibri" w:hAnsi="Calibri" w:cs="Calibri"/>
          <w:szCs w:val="24"/>
        </w:rPr>
        <w:t xml:space="preserve"> primary objective of The Campaign is to </w:t>
      </w:r>
      <w:r w:rsidR="00A22F5D">
        <w:rPr>
          <w:rFonts w:ascii="Calibri" w:hAnsi="Calibri" w:cs="Calibri"/>
          <w:szCs w:val="24"/>
        </w:rPr>
        <w:t>encourage smokers to attempt to quit smoking</w:t>
      </w:r>
      <w:r w:rsidRPr="00824350">
        <w:rPr>
          <w:rFonts w:ascii="Calibri" w:hAnsi="Calibri" w:cs="Calibri"/>
          <w:szCs w:val="24"/>
        </w:rPr>
        <w:t xml:space="preserve">. A secondary audience for The Campaign is adult </w:t>
      </w:r>
      <w:r w:rsidR="00D94E8D">
        <w:rPr>
          <w:rFonts w:ascii="Calibri" w:hAnsi="Calibri" w:cs="Calibri"/>
          <w:szCs w:val="24"/>
        </w:rPr>
        <w:t>nonsmoker</w:t>
      </w:r>
      <w:r w:rsidRPr="00824350">
        <w:rPr>
          <w:rFonts w:ascii="Calibri" w:hAnsi="Calibri" w:cs="Calibri"/>
          <w:szCs w:val="24"/>
        </w:rPr>
        <w:t xml:space="preserve">s. A key objective for the </w:t>
      </w:r>
      <w:r w:rsidR="00D94E8D">
        <w:rPr>
          <w:rFonts w:ascii="Calibri" w:hAnsi="Calibri" w:cs="Calibri"/>
          <w:szCs w:val="24"/>
        </w:rPr>
        <w:t>nonsmoker</w:t>
      </w:r>
      <w:r w:rsidRPr="00824350">
        <w:rPr>
          <w:rFonts w:ascii="Calibri" w:hAnsi="Calibri" w:cs="Calibri"/>
          <w:szCs w:val="24"/>
        </w:rPr>
        <w:t xml:space="preserve"> audience is to encourage </w:t>
      </w:r>
      <w:r w:rsidR="00D94E8D">
        <w:rPr>
          <w:rFonts w:ascii="Calibri" w:hAnsi="Calibri" w:cs="Calibri"/>
          <w:szCs w:val="24"/>
        </w:rPr>
        <w:t>nonsmoker</w:t>
      </w:r>
      <w:r w:rsidRPr="00824350">
        <w:rPr>
          <w:rFonts w:ascii="Calibri" w:hAnsi="Calibri" w:cs="Calibri"/>
          <w:szCs w:val="24"/>
        </w:rPr>
        <w:t xml:space="preserve">s to communicate with smokers they may know (including family and friends) </w:t>
      </w:r>
      <w:r w:rsidR="00A22F5D">
        <w:rPr>
          <w:rFonts w:ascii="Calibri" w:hAnsi="Calibri" w:cs="Calibri"/>
          <w:szCs w:val="24"/>
        </w:rPr>
        <w:t>about the dangers of smoking</w:t>
      </w:r>
      <w:r w:rsidR="00BE5F2F">
        <w:rPr>
          <w:rFonts w:ascii="Calibri" w:hAnsi="Calibri" w:cs="Calibri"/>
          <w:szCs w:val="24"/>
        </w:rPr>
        <w:t xml:space="preserve"> and to encourage them to quit</w:t>
      </w:r>
      <w:r w:rsidR="00A22F5D">
        <w:rPr>
          <w:rFonts w:ascii="Calibri" w:hAnsi="Calibri" w:cs="Calibri"/>
          <w:szCs w:val="24"/>
        </w:rPr>
        <w:t xml:space="preserve">. </w:t>
      </w:r>
      <w:r w:rsidRPr="00824350">
        <w:rPr>
          <w:rFonts w:ascii="Calibri" w:hAnsi="Calibri" w:cs="Calibri"/>
          <w:szCs w:val="24"/>
        </w:rPr>
        <w:t xml:space="preserve">In addition to television advertisements that </w:t>
      </w:r>
      <w:r w:rsidR="001B0057">
        <w:rPr>
          <w:rFonts w:ascii="Calibri" w:hAnsi="Calibri" w:cs="Calibri"/>
          <w:szCs w:val="24"/>
        </w:rPr>
        <w:t>aired</w:t>
      </w:r>
      <w:r w:rsidRPr="00824350">
        <w:rPr>
          <w:rFonts w:ascii="Calibri" w:hAnsi="Calibri" w:cs="Calibri"/>
          <w:szCs w:val="24"/>
        </w:rPr>
        <w:t xml:space="preserve"> nationally </w:t>
      </w:r>
      <w:r w:rsidR="00843F35">
        <w:rPr>
          <w:rFonts w:ascii="Calibri" w:hAnsi="Calibri" w:cs="Calibri"/>
          <w:szCs w:val="24"/>
        </w:rPr>
        <w:t>in</w:t>
      </w:r>
      <w:r w:rsidR="009439F8">
        <w:rPr>
          <w:rFonts w:ascii="Calibri" w:hAnsi="Calibri" w:cs="Calibri"/>
          <w:szCs w:val="24"/>
        </w:rPr>
        <w:t xml:space="preserve"> </w:t>
      </w:r>
      <w:r w:rsidR="005F2C83">
        <w:rPr>
          <w:rFonts w:ascii="Calibri" w:hAnsi="Calibri" w:cs="Calibri"/>
          <w:szCs w:val="24"/>
        </w:rPr>
        <w:t>2015</w:t>
      </w:r>
      <w:r w:rsidR="00111C06">
        <w:rPr>
          <w:rFonts w:ascii="Calibri" w:hAnsi="Calibri" w:cs="Calibri"/>
          <w:szCs w:val="24"/>
        </w:rPr>
        <w:t>,</w:t>
      </w:r>
      <w:r w:rsidRPr="00824350">
        <w:rPr>
          <w:rFonts w:ascii="Calibri" w:hAnsi="Calibri" w:cs="Calibri"/>
          <w:szCs w:val="24"/>
        </w:rPr>
        <w:t xml:space="preserve"> The Campaign </w:t>
      </w:r>
      <w:r w:rsidR="001B0057">
        <w:rPr>
          <w:rFonts w:ascii="Calibri" w:hAnsi="Calibri" w:cs="Calibri"/>
          <w:szCs w:val="24"/>
        </w:rPr>
        <w:t>included</w:t>
      </w:r>
      <w:r w:rsidRPr="00824350">
        <w:rPr>
          <w:rFonts w:ascii="Calibri" w:hAnsi="Calibri" w:cs="Calibri"/>
          <w:szCs w:val="24"/>
        </w:rPr>
        <w:t xml:space="preserve"> complementary ads in radio, Internet, print, outdoor, and other media formats. </w:t>
      </w:r>
    </w:p>
    <w:p w14:paraId="23C695E7" w14:textId="77777777" w:rsidR="00042207" w:rsidRDefault="00042207" w:rsidP="00042207">
      <w:pPr>
        <w:ind w:firstLine="720"/>
        <w:rPr>
          <w:rFonts w:ascii="Calibri" w:hAnsi="Calibri" w:cs="Calibri"/>
          <w:szCs w:val="24"/>
        </w:rPr>
      </w:pPr>
    </w:p>
    <w:p w14:paraId="14719085" w14:textId="64418C10" w:rsidR="00B77C99" w:rsidRPr="00D323BE" w:rsidRDefault="0035525E" w:rsidP="00042207">
      <w:pPr>
        <w:ind w:firstLine="720"/>
        <w:rPr>
          <w:rFonts w:ascii="Calibri" w:hAnsi="Calibri" w:cs="Calibri"/>
          <w:szCs w:val="24"/>
        </w:rPr>
      </w:pPr>
      <w:r w:rsidRPr="00824350">
        <w:rPr>
          <w:rFonts w:ascii="Calibri" w:hAnsi="Calibri" w:cs="Calibri"/>
          <w:szCs w:val="24"/>
        </w:rPr>
        <w:t xml:space="preserve">The goal of the proposed information collection is to evaluate the reach of The Campaign among intended audiences and to examine the effectiveness of these efforts in impacting specific cognitive and behavioral outcomes that are targeted by </w:t>
      </w:r>
      <w:r w:rsidR="000C07D9">
        <w:rPr>
          <w:rFonts w:ascii="Calibri" w:hAnsi="Calibri" w:cs="Calibri"/>
          <w:szCs w:val="24"/>
        </w:rPr>
        <w:t xml:space="preserve">Phase </w:t>
      </w:r>
      <w:r w:rsidR="005F2C83">
        <w:rPr>
          <w:rFonts w:ascii="Calibri" w:hAnsi="Calibri" w:cs="Calibri"/>
          <w:szCs w:val="24"/>
        </w:rPr>
        <w:t>4</w:t>
      </w:r>
      <w:r w:rsidR="009040F2">
        <w:rPr>
          <w:rFonts w:ascii="Calibri" w:hAnsi="Calibri" w:cs="Calibri"/>
          <w:szCs w:val="24"/>
        </w:rPr>
        <w:t xml:space="preserve"> </w:t>
      </w:r>
      <w:r w:rsidR="000C07D9">
        <w:rPr>
          <w:rFonts w:ascii="Calibri" w:hAnsi="Calibri" w:cs="Calibri"/>
          <w:szCs w:val="24"/>
        </w:rPr>
        <w:t xml:space="preserve">of </w:t>
      </w:r>
      <w:r w:rsidRPr="00824350">
        <w:rPr>
          <w:rFonts w:ascii="Calibri" w:hAnsi="Calibri" w:cs="Calibri"/>
          <w:szCs w:val="24"/>
        </w:rPr>
        <w:t xml:space="preserve">The Campaign. </w:t>
      </w:r>
      <w:r w:rsidR="00A22F5D">
        <w:rPr>
          <w:rFonts w:ascii="Calibri" w:hAnsi="Calibri" w:cs="Calibri"/>
          <w:szCs w:val="24"/>
        </w:rPr>
        <w:t>This will require customized surveys that will capture all unique messages and components of The Campaign.</w:t>
      </w:r>
      <w:r w:rsidR="00DA468C">
        <w:rPr>
          <w:rFonts w:ascii="Calibri" w:hAnsi="Calibri" w:cs="Calibri"/>
          <w:szCs w:val="24"/>
        </w:rPr>
        <w:t xml:space="preserve"> For example, The Campaign’s messages will focus on specific health conditions that are caused by smoking, </w:t>
      </w:r>
      <w:r w:rsidR="00111C06">
        <w:rPr>
          <w:rFonts w:ascii="Calibri" w:hAnsi="Calibri" w:cs="Calibri"/>
          <w:szCs w:val="24"/>
        </w:rPr>
        <w:t>such as</w:t>
      </w:r>
      <w:r w:rsidR="001F5C3B">
        <w:rPr>
          <w:rFonts w:ascii="Calibri" w:hAnsi="Calibri" w:cs="Calibri"/>
          <w:szCs w:val="24"/>
        </w:rPr>
        <w:t xml:space="preserve"> chronic obstructive pulmonary disease,</w:t>
      </w:r>
      <w:r w:rsidR="00052989">
        <w:rPr>
          <w:rFonts w:ascii="Calibri" w:hAnsi="Calibri" w:cs="Calibri"/>
          <w:szCs w:val="24"/>
        </w:rPr>
        <w:t xml:space="preserve"> </w:t>
      </w:r>
      <w:r w:rsidR="003C0C1D">
        <w:rPr>
          <w:rFonts w:ascii="Calibri" w:hAnsi="Calibri" w:cs="Calibri"/>
          <w:szCs w:val="24"/>
        </w:rPr>
        <w:t>macular degeneration</w:t>
      </w:r>
      <w:r w:rsidR="001F5C3B">
        <w:rPr>
          <w:rFonts w:ascii="Calibri" w:hAnsi="Calibri" w:cs="Calibri"/>
          <w:szCs w:val="24"/>
        </w:rPr>
        <w:t>,</w:t>
      </w:r>
      <w:r w:rsidR="003C0C1D">
        <w:rPr>
          <w:rFonts w:ascii="Calibri" w:hAnsi="Calibri" w:cs="Calibri"/>
          <w:szCs w:val="24"/>
        </w:rPr>
        <w:t xml:space="preserve"> and </w:t>
      </w:r>
      <w:r w:rsidR="0059633C">
        <w:rPr>
          <w:rFonts w:ascii="Calibri" w:hAnsi="Calibri" w:cs="Calibri"/>
          <w:szCs w:val="24"/>
        </w:rPr>
        <w:t>colorectal</w:t>
      </w:r>
      <w:r w:rsidR="003C0C1D">
        <w:rPr>
          <w:rFonts w:ascii="Calibri" w:hAnsi="Calibri" w:cs="Calibri"/>
          <w:szCs w:val="24"/>
        </w:rPr>
        <w:t xml:space="preserve"> cancer</w:t>
      </w:r>
      <w:r w:rsidR="00DA468C">
        <w:rPr>
          <w:rFonts w:ascii="Calibri" w:hAnsi="Calibri" w:cs="Calibri"/>
          <w:szCs w:val="24"/>
        </w:rPr>
        <w:t xml:space="preserve">. Hence, it is critical that we measure smokers’ and </w:t>
      </w:r>
      <w:r w:rsidR="00D94E8D">
        <w:rPr>
          <w:rFonts w:ascii="Calibri" w:hAnsi="Calibri" w:cs="Calibri"/>
          <w:szCs w:val="24"/>
        </w:rPr>
        <w:t>nonsmoker</w:t>
      </w:r>
      <w:r w:rsidR="00DA468C">
        <w:rPr>
          <w:rFonts w:ascii="Calibri" w:hAnsi="Calibri" w:cs="Calibri"/>
          <w:szCs w:val="24"/>
        </w:rPr>
        <w:t>s</w:t>
      </w:r>
      <w:r w:rsidR="001F5C3B">
        <w:rPr>
          <w:rFonts w:ascii="Calibri" w:hAnsi="Calibri" w:cs="Calibri"/>
          <w:szCs w:val="24"/>
        </w:rPr>
        <w:t>’</w:t>
      </w:r>
      <w:r w:rsidR="00DA468C">
        <w:rPr>
          <w:rFonts w:ascii="Calibri" w:hAnsi="Calibri" w:cs="Calibri"/>
          <w:szCs w:val="24"/>
        </w:rPr>
        <w:t xml:space="preserve"> knowledge of these conditions and other key messages that are featured in Campaign ads.</w:t>
      </w:r>
      <w:r w:rsidR="00A22F5D">
        <w:rPr>
          <w:rFonts w:ascii="Calibri" w:hAnsi="Calibri" w:cs="Calibri"/>
          <w:szCs w:val="24"/>
        </w:rPr>
        <w:t xml:space="preserve"> </w:t>
      </w:r>
      <w:r w:rsidR="00052BEE">
        <w:rPr>
          <w:rFonts w:ascii="Calibri" w:hAnsi="Calibri" w:cs="Calibri"/>
          <w:szCs w:val="24"/>
        </w:rPr>
        <w:t xml:space="preserve"> </w:t>
      </w:r>
    </w:p>
    <w:p w14:paraId="63C1EA5F" w14:textId="77777777" w:rsidR="0035525E" w:rsidRPr="00824350" w:rsidRDefault="0035525E" w:rsidP="001E24E5">
      <w:pPr>
        <w:spacing w:line="360" w:lineRule="auto"/>
        <w:rPr>
          <w:rFonts w:ascii="Calibri" w:hAnsi="Calibri" w:cs="Calibri"/>
          <w:b/>
          <w:bCs/>
          <w:iCs/>
          <w:szCs w:val="24"/>
        </w:rPr>
      </w:pPr>
    </w:p>
    <w:p w14:paraId="01D5BD25" w14:textId="77777777" w:rsidR="00DE57A9" w:rsidRDefault="00DE57A9" w:rsidP="004721CC">
      <w:pPr>
        <w:spacing w:line="360" w:lineRule="auto"/>
        <w:rPr>
          <w:rFonts w:ascii="Calibri" w:hAnsi="Calibri" w:cs="Calibri"/>
          <w:szCs w:val="24"/>
          <w:u w:val="single"/>
        </w:rPr>
      </w:pPr>
    </w:p>
    <w:p w14:paraId="21493739" w14:textId="77777777" w:rsidR="0035525E" w:rsidRPr="00824350" w:rsidRDefault="0035525E" w:rsidP="004721CC">
      <w:pPr>
        <w:spacing w:line="360" w:lineRule="auto"/>
        <w:rPr>
          <w:rFonts w:ascii="Calibri" w:hAnsi="Calibri" w:cs="Calibri"/>
          <w:szCs w:val="24"/>
          <w:u w:val="single"/>
        </w:rPr>
      </w:pPr>
      <w:r w:rsidRPr="00824350">
        <w:rPr>
          <w:rFonts w:ascii="Calibri" w:hAnsi="Calibri" w:cs="Calibri"/>
          <w:szCs w:val="24"/>
          <w:u w:val="single"/>
        </w:rPr>
        <w:t>Identification of Website(s) and Website Content Directed at Children Under 13 Years of Age</w:t>
      </w:r>
    </w:p>
    <w:p w14:paraId="10D85117" w14:textId="77777777" w:rsidR="0035525E" w:rsidRPr="00824350" w:rsidRDefault="0035525E" w:rsidP="001E49B9">
      <w:pPr>
        <w:pStyle w:val="CommentText"/>
        <w:ind w:firstLine="720"/>
        <w:rPr>
          <w:rFonts w:ascii="Calibri" w:hAnsi="Calibri" w:cs="Calibri"/>
          <w:b/>
          <w:bCs/>
          <w:sz w:val="24"/>
          <w:szCs w:val="24"/>
        </w:rPr>
      </w:pPr>
      <w:r w:rsidRPr="00824350">
        <w:rPr>
          <w:rFonts w:ascii="Calibri" w:hAnsi="Calibri" w:cs="Calibri"/>
          <w:sz w:val="24"/>
          <w:szCs w:val="24"/>
        </w:rPr>
        <w:t xml:space="preserve">All participants will be 18 years of age or older. </w:t>
      </w:r>
      <w:r w:rsidR="00442456">
        <w:rPr>
          <w:rFonts w:ascii="Calibri" w:hAnsi="Calibri" w:cs="Calibri"/>
          <w:sz w:val="24"/>
          <w:szCs w:val="24"/>
        </w:rPr>
        <w:t>The Campaign W</w:t>
      </w:r>
      <w:r w:rsidR="006555F8">
        <w:rPr>
          <w:rFonts w:ascii="Calibri" w:hAnsi="Calibri" w:cs="Calibri"/>
          <w:sz w:val="24"/>
          <w:szCs w:val="24"/>
        </w:rPr>
        <w:t>ebsite does not</w:t>
      </w:r>
      <w:r w:rsidRPr="00824350">
        <w:rPr>
          <w:rFonts w:ascii="Calibri" w:hAnsi="Calibri" w:cs="Calibri"/>
          <w:sz w:val="24"/>
          <w:szCs w:val="24"/>
        </w:rPr>
        <w:t xml:space="preserve"> have content directed to children younger than age 13. In addition, the Web-based </w:t>
      </w:r>
      <w:r w:rsidR="00D53046">
        <w:rPr>
          <w:rFonts w:ascii="Calibri" w:hAnsi="Calibri" w:cs="Calibri"/>
          <w:sz w:val="24"/>
          <w:szCs w:val="24"/>
        </w:rPr>
        <w:t>surveys</w:t>
      </w:r>
      <w:r w:rsidRPr="00824350">
        <w:rPr>
          <w:rFonts w:ascii="Calibri" w:hAnsi="Calibri" w:cs="Calibri"/>
          <w:sz w:val="24"/>
          <w:szCs w:val="24"/>
        </w:rPr>
        <w:t xml:space="preserve"> will only be accessible to participants of the study. </w:t>
      </w:r>
    </w:p>
    <w:p w14:paraId="55AB887D" w14:textId="77777777" w:rsidR="0035525E" w:rsidRPr="00824350" w:rsidRDefault="0035525E" w:rsidP="00F56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824350">
        <w:rPr>
          <w:rFonts w:ascii="Calibri" w:hAnsi="Calibri" w:cs="Calibri"/>
          <w:b/>
          <w:szCs w:val="24"/>
        </w:rPr>
        <w:t xml:space="preserve"> </w:t>
      </w:r>
    </w:p>
    <w:p w14:paraId="30A018E6" w14:textId="77777777" w:rsidR="0035525E" w:rsidRPr="00824350" w:rsidRDefault="0035525E" w:rsidP="00F56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824350">
        <w:rPr>
          <w:rFonts w:ascii="Calibri" w:hAnsi="Calibri" w:cs="Calibri"/>
          <w:b/>
          <w:szCs w:val="24"/>
        </w:rPr>
        <w:t>A.2.</w:t>
      </w:r>
      <w:r w:rsidRPr="00824350">
        <w:rPr>
          <w:rFonts w:ascii="Calibri" w:hAnsi="Calibri" w:cs="Calibri"/>
          <w:b/>
          <w:szCs w:val="24"/>
        </w:rPr>
        <w:tab/>
        <w:t>Purposes and Use of Information Collection</w:t>
      </w:r>
    </w:p>
    <w:p w14:paraId="22FDE4E1" w14:textId="77777777" w:rsidR="00A00DDD" w:rsidRPr="00824350" w:rsidRDefault="00A00DDD" w:rsidP="00A00DDD">
      <w:pPr>
        <w:spacing w:line="360" w:lineRule="auto"/>
        <w:rPr>
          <w:rFonts w:ascii="Calibri" w:hAnsi="Calibri" w:cs="Calibri"/>
          <w:szCs w:val="24"/>
          <w:u w:val="single"/>
        </w:rPr>
      </w:pPr>
      <w:r w:rsidRPr="00824350">
        <w:rPr>
          <w:rFonts w:ascii="Calibri" w:hAnsi="Calibri" w:cs="Calibri"/>
          <w:szCs w:val="24"/>
          <w:u w:val="single"/>
        </w:rPr>
        <w:t>Overview of the Information Collection</w:t>
      </w:r>
      <w:r>
        <w:rPr>
          <w:rFonts w:ascii="Calibri" w:hAnsi="Calibri" w:cs="Calibri"/>
          <w:szCs w:val="24"/>
          <w:u w:val="single"/>
        </w:rPr>
        <w:t xml:space="preserve"> Systems</w:t>
      </w:r>
    </w:p>
    <w:p w14:paraId="08E80234" w14:textId="77777777" w:rsidR="00527ECA" w:rsidRDefault="00527ECA" w:rsidP="00527ECA">
      <w:pPr>
        <w:rPr>
          <w:color w:val="1F497D"/>
        </w:rPr>
      </w:pPr>
    </w:p>
    <w:p w14:paraId="1C64BB1D" w14:textId="5B9E3502" w:rsidR="00EF4E8F" w:rsidRDefault="00EF4E8F" w:rsidP="00EF4E8F">
      <w:pPr>
        <w:pStyle w:val="bodytextpsg"/>
        <w:spacing w:after="0" w:line="240" w:lineRule="auto"/>
        <w:rPr>
          <w:rFonts w:ascii="Calibri" w:hAnsi="Calibri" w:cs="Calibri"/>
        </w:rPr>
      </w:pPr>
      <w:r w:rsidRPr="007A1A23">
        <w:rPr>
          <w:rFonts w:asciiTheme="minorHAnsi" w:hAnsiTheme="minorHAnsi" w:cs="Calibri"/>
          <w:szCs w:val="24"/>
        </w:rPr>
        <w:t xml:space="preserve">Evaluation results from Phases 1, 2, and 3 of The Campaign have primarily been used to inform the development and implementation of Phase 4 </w:t>
      </w:r>
      <w:r w:rsidR="00345E8E">
        <w:rPr>
          <w:rFonts w:asciiTheme="minorHAnsi" w:hAnsiTheme="minorHAnsi" w:cs="Calibri"/>
          <w:szCs w:val="24"/>
        </w:rPr>
        <w:t xml:space="preserve">of </w:t>
      </w:r>
      <w:r w:rsidRPr="007A1A23">
        <w:rPr>
          <w:rFonts w:asciiTheme="minorHAnsi" w:hAnsiTheme="minorHAnsi" w:cs="Calibri"/>
          <w:szCs w:val="24"/>
        </w:rPr>
        <w:t xml:space="preserve">The Campaign.  Results for the evaluation of Phase 1 of The Campaign </w:t>
      </w:r>
      <w:r w:rsidRPr="007A1A23">
        <w:rPr>
          <w:rFonts w:asciiTheme="minorHAnsi" w:hAnsiTheme="minorHAnsi"/>
          <w:szCs w:val="24"/>
        </w:rPr>
        <w:t xml:space="preserve">indicate that the campaign </w:t>
      </w:r>
      <w:r>
        <w:rPr>
          <w:rFonts w:asciiTheme="minorHAnsi" w:hAnsiTheme="minorHAnsi"/>
          <w:szCs w:val="24"/>
        </w:rPr>
        <w:t>had</w:t>
      </w:r>
      <w:r w:rsidRPr="007A1A23">
        <w:rPr>
          <w:rFonts w:asciiTheme="minorHAnsi" w:hAnsiTheme="minorHAnsi"/>
          <w:szCs w:val="24"/>
        </w:rPr>
        <w:t xml:space="preserve"> high levels of awareness among smokers and nonsmokers and was </w:t>
      </w:r>
      <w:r w:rsidRPr="007A1A23">
        <w:rPr>
          <w:rFonts w:asciiTheme="minorHAnsi" w:hAnsiTheme="minorHAnsi" w:cs="ScalaLancetPro-Bold"/>
          <w:bCs/>
          <w:szCs w:val="24"/>
        </w:rPr>
        <w:t>effective at increasing population-level quit attempts;</w:t>
      </w:r>
      <w:r w:rsidRPr="007A1A23">
        <w:rPr>
          <w:rFonts w:asciiTheme="minorHAnsi" w:hAnsiTheme="minorHAnsi" w:cs="ScalaLancetPro-Bold"/>
          <w:b/>
          <w:bCs/>
          <w:szCs w:val="24"/>
        </w:rPr>
        <w:t xml:space="preserve"> </w:t>
      </w:r>
      <w:r w:rsidRPr="007A1A23">
        <w:rPr>
          <w:rFonts w:asciiTheme="minorHAnsi" w:hAnsiTheme="minorHAnsi"/>
          <w:color w:val="000000"/>
          <w:szCs w:val="24"/>
        </w:rPr>
        <w:t>quit attempt rates increased the most among African Americans</w:t>
      </w:r>
      <w:r>
        <w:rPr>
          <w:rFonts w:asciiTheme="minorHAnsi" w:hAnsiTheme="minorHAnsi"/>
          <w:color w:val="000000"/>
          <w:szCs w:val="24"/>
        </w:rPr>
        <w:t xml:space="preserve"> (</w:t>
      </w:r>
      <w:r w:rsidRPr="000F4FE7">
        <w:rPr>
          <w:rFonts w:asciiTheme="minorHAnsi" w:hAnsiTheme="minorHAnsi"/>
          <w:color w:val="000000"/>
          <w:szCs w:val="24"/>
        </w:rPr>
        <w:t>Mc</w:t>
      </w:r>
      <w:r w:rsidR="000F4FE7" w:rsidRPr="000F4FE7">
        <w:rPr>
          <w:rFonts w:asciiTheme="minorHAnsi" w:hAnsiTheme="minorHAnsi"/>
          <w:color w:val="000000"/>
          <w:szCs w:val="24"/>
        </w:rPr>
        <w:t>A</w:t>
      </w:r>
      <w:r w:rsidRPr="000F4FE7">
        <w:rPr>
          <w:rFonts w:asciiTheme="minorHAnsi" w:hAnsiTheme="minorHAnsi"/>
          <w:color w:val="000000"/>
          <w:szCs w:val="24"/>
        </w:rPr>
        <w:t>fee</w:t>
      </w:r>
      <w:r w:rsidR="000F4FE7">
        <w:rPr>
          <w:rFonts w:asciiTheme="minorHAnsi" w:hAnsiTheme="minorHAnsi"/>
          <w:color w:val="000000"/>
          <w:szCs w:val="24"/>
        </w:rPr>
        <w:t xml:space="preserve"> et al, </w:t>
      </w:r>
      <w:r w:rsidR="000F4FE7" w:rsidRPr="000F4FE7">
        <w:rPr>
          <w:rFonts w:asciiTheme="minorHAnsi" w:hAnsiTheme="minorHAnsi"/>
          <w:color w:val="000000"/>
          <w:szCs w:val="24"/>
        </w:rPr>
        <w:t>2013</w:t>
      </w:r>
      <w:r>
        <w:rPr>
          <w:rFonts w:asciiTheme="minorHAnsi" w:hAnsiTheme="minorHAnsi"/>
          <w:color w:val="000000"/>
          <w:szCs w:val="24"/>
        </w:rPr>
        <w:t>)</w:t>
      </w:r>
      <w:r w:rsidRPr="007A1A23">
        <w:rPr>
          <w:rFonts w:asciiTheme="minorHAnsi" w:hAnsiTheme="minorHAnsi"/>
          <w:color w:val="000000"/>
          <w:szCs w:val="24"/>
        </w:rPr>
        <w:t xml:space="preserve">. In addition, </w:t>
      </w:r>
      <w:r>
        <w:rPr>
          <w:rFonts w:asciiTheme="minorHAnsi" w:eastAsiaTheme="minorHAnsi" w:hAnsiTheme="minorHAnsi" w:cs="Arial"/>
          <w:color w:val="000000"/>
          <w:szCs w:val="24"/>
        </w:rPr>
        <w:t xml:space="preserve">this </w:t>
      </w:r>
      <w:r w:rsidRPr="007A1A23">
        <w:rPr>
          <w:rFonts w:asciiTheme="minorHAnsi" w:eastAsiaTheme="minorHAnsi" w:hAnsiTheme="minorHAnsi" w:cs="Arial"/>
          <w:color w:val="000000"/>
          <w:szCs w:val="24"/>
        </w:rPr>
        <w:t xml:space="preserve">national, federally funded mass media antismoking campaign can be extremely cost-effective to reduce the burden of tobacco use. </w:t>
      </w:r>
      <w:r>
        <w:rPr>
          <w:rFonts w:asciiTheme="minorHAnsi" w:eastAsiaTheme="minorHAnsi" w:hAnsiTheme="minorHAnsi" w:cs="Arial"/>
          <w:color w:val="000000"/>
          <w:szCs w:val="24"/>
        </w:rPr>
        <w:t xml:space="preserve">Phase 1 of the Campaign is estimated to have </w:t>
      </w:r>
      <w:r w:rsidRPr="007A1A23">
        <w:rPr>
          <w:rFonts w:asciiTheme="minorHAnsi" w:eastAsiaTheme="minorHAnsi" w:hAnsiTheme="minorHAnsi" w:cs="Arial"/>
          <w:color w:val="000000"/>
          <w:szCs w:val="24"/>
        </w:rPr>
        <w:t>saved an estimated 179,099 quality-adjusted life years (QALYs) and prevented 17,109 premature deaths in the United States</w:t>
      </w:r>
      <w:r>
        <w:rPr>
          <w:rFonts w:asciiTheme="minorHAnsi" w:eastAsiaTheme="minorHAnsi" w:hAnsiTheme="minorHAnsi" w:cs="Arial"/>
          <w:color w:val="000000"/>
          <w:szCs w:val="24"/>
        </w:rPr>
        <w:t xml:space="preserve"> (</w:t>
      </w:r>
      <w:r w:rsidR="000F4FE7">
        <w:rPr>
          <w:rFonts w:asciiTheme="minorHAnsi" w:eastAsiaTheme="minorHAnsi" w:hAnsiTheme="minorHAnsi" w:cs="Arial"/>
          <w:color w:val="000000"/>
          <w:szCs w:val="24"/>
        </w:rPr>
        <w:t>Xu et al, 2015</w:t>
      </w:r>
      <w:r>
        <w:rPr>
          <w:rFonts w:asciiTheme="minorHAnsi" w:eastAsiaTheme="minorHAnsi" w:hAnsiTheme="minorHAnsi" w:cs="Arial"/>
          <w:color w:val="000000"/>
          <w:szCs w:val="24"/>
        </w:rPr>
        <w:t>)</w:t>
      </w:r>
      <w:r w:rsidRPr="007A1A23">
        <w:rPr>
          <w:rFonts w:asciiTheme="minorHAnsi" w:eastAsiaTheme="minorHAnsi" w:hAnsiTheme="minorHAnsi" w:cs="Arial"/>
          <w:color w:val="000000"/>
          <w:szCs w:val="24"/>
        </w:rPr>
        <w:t xml:space="preserve">. With a campaign cost of roughly $48 million, </w:t>
      </w:r>
      <w:r>
        <w:rPr>
          <w:rFonts w:asciiTheme="minorHAnsi" w:eastAsiaTheme="minorHAnsi" w:hAnsiTheme="minorHAnsi" w:cs="Arial"/>
          <w:color w:val="000000"/>
          <w:szCs w:val="24"/>
        </w:rPr>
        <w:t xml:space="preserve">The Campaign </w:t>
      </w:r>
      <w:r w:rsidRPr="007A1A23">
        <w:rPr>
          <w:rFonts w:asciiTheme="minorHAnsi" w:eastAsiaTheme="minorHAnsi" w:hAnsiTheme="minorHAnsi" w:cs="Arial"/>
          <w:color w:val="000000"/>
          <w:szCs w:val="24"/>
        </w:rPr>
        <w:t>spent approximately $480 per quitter, $2,819 per premature death averted, $393 per life-years saved and $268 per QALY gained.</w:t>
      </w:r>
      <w:r w:rsidRPr="000802D0">
        <w:rPr>
          <w:rFonts w:ascii="Arial" w:eastAsiaTheme="minorHAnsi" w:hAnsi="Arial" w:cs="Arial"/>
          <w:color w:val="000000"/>
          <w:sz w:val="18"/>
          <w:szCs w:val="18"/>
        </w:rPr>
        <w:t xml:space="preserve"> </w:t>
      </w:r>
      <w:r w:rsidRPr="00BD0AD2">
        <w:rPr>
          <w:rFonts w:asciiTheme="minorHAnsi" w:eastAsiaTheme="minorHAnsi" w:hAnsiTheme="minorHAnsi" w:cs="Arial"/>
          <w:color w:val="000000"/>
          <w:szCs w:val="24"/>
        </w:rPr>
        <w:t xml:space="preserve">Additional </w:t>
      </w:r>
      <w:r w:rsidRPr="00BD0AD2">
        <w:rPr>
          <w:rFonts w:asciiTheme="minorHAnsi" w:hAnsiTheme="minorHAnsi" w:cs="Calibri"/>
          <w:szCs w:val="24"/>
        </w:rPr>
        <w:t>evaluation results for Phase</w:t>
      </w:r>
      <w:r>
        <w:rPr>
          <w:rFonts w:ascii="Calibri" w:hAnsi="Calibri" w:cs="Calibri"/>
        </w:rPr>
        <w:t xml:space="preserve"> 2 of The Campaign have been shared with HHS, CDC, and FDA officials and other stakeholders to inform planned health communication efforts within the Department. Phase 3 data collection was completed in June 2015 </w:t>
      </w:r>
      <w:r w:rsidR="00345E8E">
        <w:rPr>
          <w:rFonts w:ascii="Calibri" w:hAnsi="Calibri" w:cs="Calibri"/>
        </w:rPr>
        <w:t>and analyses</w:t>
      </w:r>
      <w:r>
        <w:rPr>
          <w:rFonts w:ascii="Calibri" w:hAnsi="Calibri" w:cs="Calibri"/>
        </w:rPr>
        <w:t xml:space="preserve"> are ongoing. </w:t>
      </w:r>
    </w:p>
    <w:p w14:paraId="5F6B087F" w14:textId="77777777" w:rsidR="00EF4E8F" w:rsidRDefault="00EF4E8F" w:rsidP="003E7CDC">
      <w:pPr>
        <w:pStyle w:val="bodytextpsg"/>
        <w:spacing w:after="0" w:line="240" w:lineRule="auto"/>
        <w:rPr>
          <w:rFonts w:ascii="Calibri" w:hAnsi="Calibri" w:cs="Calibri"/>
        </w:rPr>
      </w:pPr>
    </w:p>
    <w:p w14:paraId="4943D313" w14:textId="508A615C" w:rsidR="003E7CDC" w:rsidRDefault="003E7CDC" w:rsidP="003E7CDC">
      <w:pPr>
        <w:pStyle w:val="bodytextpsg"/>
        <w:spacing w:after="0" w:line="240" w:lineRule="auto"/>
        <w:rPr>
          <w:rFonts w:ascii="Calibri" w:hAnsi="Calibri" w:cs="Calibri"/>
        </w:rPr>
      </w:pPr>
      <w:r>
        <w:rPr>
          <w:rFonts w:ascii="Calibri" w:hAnsi="Calibri" w:cs="Calibri"/>
        </w:rPr>
        <w:t>Four waves of information collection will be collected from individual participants in a</w:t>
      </w:r>
      <w:r w:rsidR="00EF4E8F">
        <w:rPr>
          <w:rFonts w:ascii="Calibri" w:hAnsi="Calibri" w:cs="Calibri"/>
        </w:rPr>
        <w:t xml:space="preserve">n existing longitudinal </w:t>
      </w:r>
      <w:r>
        <w:rPr>
          <w:rFonts w:ascii="Calibri" w:hAnsi="Calibri" w:cs="Calibri"/>
        </w:rPr>
        <w:t>web-based panel</w:t>
      </w:r>
      <w:r w:rsidR="00EF4E8F">
        <w:rPr>
          <w:rFonts w:ascii="Calibri" w:hAnsi="Calibri" w:cs="Calibri"/>
        </w:rPr>
        <w:t xml:space="preserve"> </w:t>
      </w:r>
      <w:r>
        <w:rPr>
          <w:rFonts w:ascii="Calibri" w:hAnsi="Calibri" w:cs="Calibri"/>
        </w:rPr>
        <w:t xml:space="preserve">. The participants will be recruited from two sources: (1) an online longitudinal cohort of adult smokers and nonsmokers, sampled randomly from postal mailing addresses in the United States (address-based sample, or ABS); and (2) the existing GfK KnowledgePanel, an established long-term online panel of U.S. adults. The ABS sample will be recruited by GFK, utilizing nearly identical recruitment methods that are used in the recruitment of KnowledgePanel (see </w:t>
      </w:r>
      <w:r w:rsidRPr="00DE57A9">
        <w:rPr>
          <w:rFonts w:ascii="Calibri" w:hAnsi="Calibri" w:cs="Calibri"/>
          <w:b/>
        </w:rPr>
        <w:t>Attachment F</w:t>
      </w:r>
      <w:r>
        <w:rPr>
          <w:rFonts w:ascii="Calibri" w:hAnsi="Calibri" w:cs="Calibri"/>
        </w:rPr>
        <w:t xml:space="preserve">). </w:t>
      </w:r>
      <w:r w:rsidR="00632E1B">
        <w:rPr>
          <w:rFonts w:ascii="Calibri" w:hAnsi="Calibri" w:cs="Calibri"/>
          <w:szCs w:val="24"/>
        </w:rPr>
        <w:t xml:space="preserve">ABS-sourced participants will make up approximately 65% of the total sample between smokers and nonsmokers (35% will originate from KnowledgePanel). </w:t>
      </w:r>
      <w:r>
        <w:rPr>
          <w:rFonts w:ascii="Calibri" w:hAnsi="Calibri" w:cs="Calibri"/>
        </w:rPr>
        <w:t xml:space="preserve">The GfK KnowledgePanel will be used in combination with the ABS-sourced cohort to support larger sample sizes that will allow for more in-depth subgroup analysis, </w:t>
      </w:r>
      <w:r w:rsidR="00EF4E8F">
        <w:rPr>
          <w:rFonts w:ascii="Calibri" w:hAnsi="Calibri" w:cs="Calibri"/>
        </w:rPr>
        <w:t xml:space="preserve">such as racial/ethnic minorities, </w:t>
      </w:r>
      <w:r>
        <w:rPr>
          <w:rFonts w:ascii="Calibri" w:hAnsi="Calibri" w:cs="Calibri"/>
        </w:rPr>
        <w:t xml:space="preserve">which is a key objective for CDC. All online surveys, regardless of sample source, will be conducted via the GfK KnowledgePanel Web portal for self-administered surveys. </w:t>
      </w:r>
    </w:p>
    <w:p w14:paraId="4A05614F" w14:textId="77777777" w:rsidR="003E7CDC" w:rsidRDefault="003E7CDC" w:rsidP="003E7CDC">
      <w:pPr>
        <w:pStyle w:val="bodytextpsg"/>
        <w:spacing w:after="0" w:line="240" w:lineRule="auto"/>
        <w:rPr>
          <w:rFonts w:ascii="Calibri" w:hAnsi="Calibri" w:cs="Calibri"/>
        </w:rPr>
      </w:pPr>
    </w:p>
    <w:p w14:paraId="4B72F2A2" w14:textId="77777777" w:rsidR="003E7CDC" w:rsidRDefault="003E7CDC" w:rsidP="003E7CDC">
      <w:pPr>
        <w:pStyle w:val="bodytextpsg"/>
        <w:spacing w:after="0" w:line="240" w:lineRule="auto"/>
        <w:rPr>
          <w:rFonts w:ascii="Calibri" w:hAnsi="Calibri" w:cs="Calibri"/>
        </w:rPr>
      </w:pPr>
      <w:r w:rsidRPr="00824350">
        <w:rPr>
          <w:rFonts w:ascii="Calibri" w:hAnsi="Calibri" w:cs="Calibri"/>
        </w:rPr>
        <w:t xml:space="preserve">All procedures have been developed in accordance with federal, state, and local guidelines to ensure that the rights and privacy of participants are protected and maintained. The RTI Institutional Review Board (IRB) reviewed and approved all instruments, informed </w:t>
      </w:r>
      <w:r w:rsidRPr="00C45BDB">
        <w:rPr>
          <w:rFonts w:ascii="Calibri" w:hAnsi="Calibri" w:cs="Calibri"/>
        </w:rPr>
        <w:t xml:space="preserve">consent materials, and data collection and management procedures (see RTI IRB approval notice in </w:t>
      </w:r>
      <w:r w:rsidRPr="00C45BDB">
        <w:rPr>
          <w:rFonts w:ascii="Calibri" w:hAnsi="Calibri" w:cs="Calibri"/>
          <w:b/>
          <w:bCs/>
        </w:rPr>
        <w:t xml:space="preserve">Attachment </w:t>
      </w:r>
      <w:r>
        <w:rPr>
          <w:rFonts w:ascii="Calibri" w:hAnsi="Calibri" w:cs="Calibri"/>
          <w:b/>
          <w:bCs/>
        </w:rPr>
        <w:t>G</w:t>
      </w:r>
      <w:r w:rsidRPr="00C45BDB">
        <w:rPr>
          <w:rFonts w:ascii="Calibri" w:hAnsi="Calibri" w:cs="Calibri"/>
          <w:bCs/>
        </w:rPr>
        <w:t>)</w:t>
      </w:r>
      <w:r w:rsidRPr="00C45BDB">
        <w:rPr>
          <w:rFonts w:ascii="Calibri" w:hAnsi="Calibri" w:cs="Calibri"/>
          <w:b/>
          <w:bCs/>
        </w:rPr>
        <w:t xml:space="preserve">. </w:t>
      </w:r>
      <w:r w:rsidRPr="00824350">
        <w:rPr>
          <w:rFonts w:ascii="Calibri" w:hAnsi="Calibri" w:cs="Calibri"/>
        </w:rPr>
        <w:t xml:space="preserve"> </w:t>
      </w:r>
    </w:p>
    <w:p w14:paraId="13D31003" w14:textId="77777777" w:rsidR="003E7CDC" w:rsidRPr="00DE57A9" w:rsidRDefault="003E7CDC" w:rsidP="003E7CDC">
      <w:pPr>
        <w:pStyle w:val="bodytextpsg"/>
        <w:spacing w:after="0" w:line="240" w:lineRule="auto"/>
        <w:rPr>
          <w:rFonts w:ascii="Calibri" w:hAnsi="Calibri" w:cs="Calibri"/>
        </w:rPr>
      </w:pPr>
    </w:p>
    <w:p w14:paraId="231A10CB" w14:textId="77777777" w:rsidR="003E7CDC" w:rsidRPr="00824350" w:rsidRDefault="003E7CDC" w:rsidP="003E7CDC">
      <w:pPr>
        <w:spacing w:line="360" w:lineRule="auto"/>
        <w:rPr>
          <w:rFonts w:ascii="Calibri" w:hAnsi="Calibri" w:cs="Calibri"/>
          <w:szCs w:val="24"/>
          <w:u w:val="single"/>
        </w:rPr>
      </w:pPr>
      <w:r w:rsidRPr="00824350">
        <w:rPr>
          <w:rFonts w:ascii="Calibri" w:hAnsi="Calibri" w:cs="Calibri"/>
          <w:szCs w:val="24"/>
          <w:u w:val="single"/>
        </w:rPr>
        <w:t>Items of Information to be Collected</w:t>
      </w:r>
    </w:p>
    <w:p w14:paraId="3C7F37DA" w14:textId="55E4A9DA" w:rsidR="004346A0" w:rsidRPr="00D64F84" w:rsidRDefault="003E7CDC" w:rsidP="004346A0">
      <w:pPr>
        <w:ind w:firstLine="720"/>
        <w:rPr>
          <w:rFonts w:ascii="Calibri" w:hAnsi="Calibri" w:cs="Calibri"/>
          <w:szCs w:val="24"/>
        </w:rPr>
      </w:pPr>
      <w:r>
        <w:rPr>
          <w:rFonts w:ascii="Calibri" w:hAnsi="Calibri" w:cs="Calibri"/>
          <w:szCs w:val="24"/>
        </w:rPr>
        <w:t xml:space="preserve">The surveys will include all instrument items that are needed to </w:t>
      </w:r>
      <w:r w:rsidR="005D74B1">
        <w:rPr>
          <w:rFonts w:ascii="Calibri" w:hAnsi="Calibri" w:cs="Calibri"/>
          <w:szCs w:val="24"/>
        </w:rPr>
        <w:t xml:space="preserve">continously </w:t>
      </w:r>
      <w:r>
        <w:rPr>
          <w:rFonts w:ascii="Calibri" w:hAnsi="Calibri" w:cs="Calibri"/>
          <w:szCs w:val="24"/>
        </w:rPr>
        <w:t xml:space="preserve"> evaluate The Campaign</w:t>
      </w:r>
      <w:r w:rsidR="005D74B1">
        <w:rPr>
          <w:rFonts w:ascii="Calibri" w:hAnsi="Calibri" w:cs="Calibri"/>
          <w:szCs w:val="24"/>
        </w:rPr>
        <w:t xml:space="preserve"> over all Phases</w:t>
      </w:r>
      <w:r>
        <w:rPr>
          <w:rFonts w:ascii="Calibri" w:hAnsi="Calibri" w:cs="Calibri"/>
          <w:szCs w:val="24"/>
        </w:rPr>
        <w:t xml:space="preserve">, including audience awareness of and exposure to Campaign advertisements; knowledge, attitudes, and beliefs related to smoking; and intentions to quit and prior quitting behavior. </w:t>
      </w:r>
      <w:r>
        <w:rPr>
          <w:rFonts w:ascii="Calibri" w:hAnsi="Calibri" w:cs="Calibri"/>
        </w:rPr>
        <w:t xml:space="preserve">The surveys will also include measures on nonsmokers’ referrals of friends or family that smoke to cessation services and measures of peer communication about the dangers of smoking with friends or family who smoke. </w:t>
      </w:r>
      <w:r w:rsidR="004346A0">
        <w:rPr>
          <w:rFonts w:ascii="Calibri" w:hAnsi="Calibri" w:cs="Calibri"/>
        </w:rPr>
        <w:t>For the evaluation of Phase 4 of the Campaign, q</w:t>
      </w:r>
      <w:r w:rsidR="004346A0">
        <w:t xml:space="preserve">uestions were also added to in relation to new aspects of the campaign (e.g., new health conditions, digital ad placement); questions primarily relevant to prior campaigns were removed as to not increase burden hours. </w:t>
      </w:r>
      <w:r>
        <w:rPr>
          <w:rFonts w:ascii="Calibri" w:hAnsi="Calibri" w:cs="Calibri"/>
        </w:rPr>
        <w:t>In addition, the surveys will include additional survey items on other relevant and emerging topics</w:t>
      </w:r>
      <w:r w:rsidR="005D74B1">
        <w:rPr>
          <w:rFonts w:ascii="Calibri" w:hAnsi="Calibri" w:cs="Calibri"/>
        </w:rPr>
        <w:t>, suc</w:t>
      </w:r>
      <w:r w:rsidR="004346A0">
        <w:rPr>
          <w:rFonts w:ascii="Calibri" w:hAnsi="Calibri" w:cs="Calibri"/>
        </w:rPr>
        <w:t>h</w:t>
      </w:r>
      <w:r w:rsidR="005D74B1">
        <w:rPr>
          <w:rFonts w:ascii="Calibri" w:hAnsi="Calibri" w:cs="Calibri"/>
        </w:rPr>
        <w:t xml:space="preserve"> as the role of </w:t>
      </w:r>
      <w:r>
        <w:rPr>
          <w:rFonts w:ascii="Calibri" w:hAnsi="Calibri" w:cs="Calibri"/>
        </w:rPr>
        <w:t xml:space="preserve">electronic vapor products </w:t>
      </w:r>
      <w:r w:rsidR="005D74B1">
        <w:rPr>
          <w:rFonts w:ascii="Calibri" w:hAnsi="Calibri" w:cs="Calibri"/>
        </w:rPr>
        <w:t>in the context of dual use and cessation behaviors</w:t>
      </w:r>
      <w:r>
        <w:rPr>
          <w:rFonts w:ascii="Calibri" w:hAnsi="Calibri" w:cs="Calibri"/>
        </w:rPr>
        <w:t xml:space="preserve">. </w:t>
      </w:r>
      <w:r w:rsidR="004346A0">
        <w:rPr>
          <w:rFonts w:ascii="Calibri" w:hAnsi="Calibri" w:cs="Calibri"/>
        </w:rPr>
        <w:t>The evaluation of</w:t>
      </w:r>
      <w:r w:rsidR="004346A0" w:rsidRPr="009D1AAB">
        <w:rPr>
          <w:rFonts w:ascii="Calibri" w:hAnsi="Calibri" w:cs="Calibri"/>
        </w:rPr>
        <w:t xml:space="preserve"> The Campaign</w:t>
      </w:r>
      <w:r w:rsidR="004346A0">
        <w:rPr>
          <w:rFonts w:ascii="Calibri" w:hAnsi="Calibri" w:cs="Calibri"/>
        </w:rPr>
        <w:t xml:space="preserve"> is conducted</w:t>
      </w:r>
      <w:r w:rsidR="004346A0" w:rsidRPr="009D1AAB">
        <w:rPr>
          <w:rFonts w:ascii="Calibri" w:hAnsi="Calibri" w:cs="Calibri"/>
        </w:rPr>
        <w:t xml:space="preserve"> in a context that assesses the dynamic nature of tobacco product marketing and uptake of various tobacco products</w:t>
      </w:r>
      <w:r w:rsidR="004346A0">
        <w:rPr>
          <w:rFonts w:ascii="Calibri" w:hAnsi="Calibri" w:cs="Calibri"/>
        </w:rPr>
        <w:t>, particularly since these also affect successful cessation rates</w:t>
      </w:r>
      <w:r w:rsidR="004346A0" w:rsidRPr="009D1AAB">
        <w:rPr>
          <w:rFonts w:ascii="Calibri" w:hAnsi="Calibri" w:cs="Calibri"/>
        </w:rPr>
        <w:t xml:space="preserve">.  </w:t>
      </w:r>
      <w:r w:rsidR="004346A0">
        <w:rPr>
          <w:rFonts w:ascii="Calibri" w:hAnsi="Calibri" w:cs="Calibri"/>
        </w:rPr>
        <w:t xml:space="preserve">Therefore, it may be necessary in the future to make additional requests to OMB for changes in the planned instruments to rebalance the content of the surveys to reflect these and other emerging trends in the tobacco product environment. </w:t>
      </w:r>
    </w:p>
    <w:p w14:paraId="3A02FD16" w14:textId="52CA4F44" w:rsidR="003E7CDC" w:rsidRDefault="003E7CDC" w:rsidP="001E76E1">
      <w:pPr>
        <w:ind w:firstLine="720"/>
        <w:rPr>
          <w:rFonts w:ascii="Calibri" w:hAnsi="Calibri" w:cs="Calibri"/>
        </w:rPr>
      </w:pPr>
      <w:r w:rsidRPr="00C45BDB">
        <w:rPr>
          <w:rFonts w:ascii="Calibri" w:hAnsi="Calibri" w:cs="Calibri"/>
        </w:rPr>
        <w:t xml:space="preserve">The screening instrument used for recruiting respondents is located in </w:t>
      </w:r>
      <w:r w:rsidRPr="00C45BDB">
        <w:rPr>
          <w:rFonts w:ascii="Calibri" w:hAnsi="Calibri" w:cs="Calibri"/>
          <w:b/>
        </w:rPr>
        <w:t xml:space="preserve">Attachment </w:t>
      </w:r>
      <w:r>
        <w:rPr>
          <w:rFonts w:ascii="Calibri" w:hAnsi="Calibri" w:cs="Calibri"/>
          <w:b/>
        </w:rPr>
        <w:t>C</w:t>
      </w:r>
      <w:r w:rsidRPr="00C45BDB">
        <w:rPr>
          <w:rFonts w:ascii="Calibri" w:hAnsi="Calibri" w:cs="Calibri"/>
        </w:rPr>
        <w:t xml:space="preserve">. </w:t>
      </w:r>
      <w:r w:rsidR="005D74B1">
        <w:rPr>
          <w:rFonts w:ascii="Calibri" w:hAnsi="Calibri" w:cs="Calibri"/>
        </w:rPr>
        <w:t xml:space="preserve">The screening tool is only administered for recruiting participants. </w:t>
      </w:r>
      <w:r w:rsidRPr="00C45BDB">
        <w:rPr>
          <w:rFonts w:ascii="Calibri" w:hAnsi="Calibri" w:cs="Calibri"/>
        </w:rPr>
        <w:t xml:space="preserve">The </w:t>
      </w:r>
      <w:r>
        <w:rPr>
          <w:rFonts w:ascii="Calibri" w:hAnsi="Calibri" w:cs="Calibri"/>
        </w:rPr>
        <w:t xml:space="preserve">Waves A-D questionnaire </w:t>
      </w:r>
      <w:r w:rsidRPr="00C45BDB">
        <w:rPr>
          <w:rFonts w:ascii="Calibri" w:hAnsi="Calibri" w:cs="Calibri"/>
        </w:rPr>
        <w:t>for smokers</w:t>
      </w:r>
      <w:r>
        <w:rPr>
          <w:rFonts w:ascii="Calibri" w:hAnsi="Calibri" w:cs="Calibri"/>
        </w:rPr>
        <w:t xml:space="preserve"> is</w:t>
      </w:r>
      <w:r w:rsidRPr="00C45BDB">
        <w:rPr>
          <w:rFonts w:ascii="Calibri" w:hAnsi="Calibri" w:cs="Calibri"/>
        </w:rPr>
        <w:t xml:space="preserve"> located in </w:t>
      </w:r>
      <w:r>
        <w:rPr>
          <w:rFonts w:ascii="Calibri" w:hAnsi="Calibri" w:cs="Calibri"/>
          <w:b/>
          <w:bCs/>
        </w:rPr>
        <w:t>Attachment</w:t>
      </w:r>
      <w:r w:rsidRPr="00C45BDB">
        <w:rPr>
          <w:rFonts w:ascii="Calibri" w:hAnsi="Calibri" w:cs="Calibri"/>
          <w:b/>
          <w:bCs/>
        </w:rPr>
        <w:t xml:space="preserve"> </w:t>
      </w:r>
      <w:r>
        <w:rPr>
          <w:rFonts w:ascii="Calibri" w:hAnsi="Calibri" w:cs="Calibri"/>
          <w:b/>
          <w:bCs/>
        </w:rPr>
        <w:t>D</w:t>
      </w:r>
      <w:r w:rsidRPr="00C45BDB">
        <w:rPr>
          <w:rFonts w:ascii="Calibri" w:hAnsi="Calibri" w:cs="Calibri"/>
          <w:b/>
          <w:bCs/>
        </w:rPr>
        <w:t xml:space="preserve">. </w:t>
      </w:r>
      <w:r w:rsidRPr="00C45BDB">
        <w:rPr>
          <w:rFonts w:ascii="Calibri" w:hAnsi="Calibri" w:cs="Calibri"/>
          <w:bCs/>
        </w:rPr>
        <w:t>The</w:t>
      </w:r>
      <w:r w:rsidRPr="00C45BDB">
        <w:rPr>
          <w:rFonts w:ascii="Calibri" w:hAnsi="Calibri" w:cs="Calibri"/>
          <w:b/>
          <w:bCs/>
        </w:rPr>
        <w:t xml:space="preserve"> </w:t>
      </w:r>
      <w:r>
        <w:rPr>
          <w:rFonts w:ascii="Calibri" w:hAnsi="Calibri" w:cs="Calibri"/>
          <w:bCs/>
        </w:rPr>
        <w:t xml:space="preserve">Waves A-D questionnaire </w:t>
      </w:r>
      <w:r w:rsidRPr="00C45BDB">
        <w:rPr>
          <w:rFonts w:ascii="Calibri" w:hAnsi="Calibri" w:cs="Calibri"/>
        </w:rPr>
        <w:t xml:space="preserve">for </w:t>
      </w:r>
      <w:r>
        <w:rPr>
          <w:rFonts w:ascii="Calibri" w:hAnsi="Calibri" w:cs="Calibri"/>
        </w:rPr>
        <w:t>nonsmoker</w:t>
      </w:r>
      <w:r w:rsidRPr="00C45BDB">
        <w:rPr>
          <w:rFonts w:ascii="Calibri" w:hAnsi="Calibri" w:cs="Calibri"/>
        </w:rPr>
        <w:t>s</w:t>
      </w:r>
      <w:r>
        <w:rPr>
          <w:rFonts w:ascii="Calibri" w:hAnsi="Calibri" w:cs="Calibri"/>
          <w:bCs/>
        </w:rPr>
        <w:t xml:space="preserve"> is</w:t>
      </w:r>
      <w:r w:rsidRPr="00C45BDB">
        <w:rPr>
          <w:rFonts w:ascii="Calibri" w:hAnsi="Calibri" w:cs="Calibri"/>
          <w:bCs/>
        </w:rPr>
        <w:t xml:space="preserve"> located in </w:t>
      </w:r>
      <w:r w:rsidRPr="00C45BDB">
        <w:rPr>
          <w:rFonts w:ascii="Calibri" w:hAnsi="Calibri" w:cs="Calibri"/>
          <w:b/>
          <w:bCs/>
        </w:rPr>
        <w:t>Attachment</w:t>
      </w:r>
      <w:r w:rsidRPr="00C45BDB">
        <w:rPr>
          <w:rFonts w:ascii="Calibri" w:hAnsi="Calibri" w:cs="Calibri"/>
          <w:bCs/>
        </w:rPr>
        <w:t xml:space="preserve"> </w:t>
      </w:r>
      <w:r>
        <w:rPr>
          <w:rFonts w:ascii="Calibri" w:hAnsi="Calibri" w:cs="Calibri"/>
          <w:b/>
          <w:bCs/>
        </w:rPr>
        <w:t>E</w:t>
      </w:r>
      <w:r w:rsidRPr="00C45BDB">
        <w:rPr>
          <w:rFonts w:ascii="Calibri" w:hAnsi="Calibri" w:cs="Calibri"/>
        </w:rPr>
        <w:t xml:space="preserve">. </w:t>
      </w:r>
      <w:r w:rsidR="00632E1B">
        <w:rPr>
          <w:rFonts w:ascii="Calibri" w:hAnsi="Calibri"/>
          <w:color w:val="000000"/>
        </w:rPr>
        <w:t xml:space="preserve">Only new ABS participants recruited to replenish the sample are asked the full set of demographics and profile information. </w:t>
      </w:r>
      <w:r w:rsidR="00941E71" w:rsidRPr="00AD7344">
        <w:rPr>
          <w:rFonts w:asciiTheme="minorHAnsi" w:hAnsiTheme="minorHAnsi" w:cs="Arial"/>
          <w:szCs w:val="24"/>
        </w:rPr>
        <w:t>Previous participants are not queried on demographics except for things that can potentially change (e.g. education, income, and marital status).</w:t>
      </w:r>
      <w:r w:rsidR="00C56764" w:rsidRPr="00AD7344">
        <w:rPr>
          <w:rFonts w:asciiTheme="minorHAnsi" w:hAnsiTheme="minorHAnsi" w:cs="Arial"/>
          <w:szCs w:val="24"/>
        </w:rPr>
        <w:t xml:space="preserve"> Questions to assess demographic characteristics are aligned to mirror</w:t>
      </w:r>
      <w:r w:rsidR="00C56764">
        <w:rPr>
          <w:rFonts w:asciiTheme="minorHAnsi" w:hAnsiTheme="minorHAnsi" w:cs="Arial"/>
          <w:color w:val="0000FF"/>
          <w:szCs w:val="24"/>
        </w:rPr>
        <w:t xml:space="preserve"> </w:t>
      </w:r>
      <w:r w:rsidR="00C56764">
        <w:rPr>
          <w:rFonts w:ascii="Calibri" w:hAnsi="Calibri" w:cs="Calibri"/>
        </w:rPr>
        <w:t>the existing GfK KnowledgePanel profile questions so as not to burden participants of this panel with additional questions (e.g. assessment of sexual orientation).</w:t>
      </w:r>
    </w:p>
    <w:p w14:paraId="5628FB66" w14:textId="77777777" w:rsidR="003E7CDC" w:rsidRDefault="003E7CDC" w:rsidP="003E7CDC">
      <w:pPr>
        <w:rPr>
          <w:rFonts w:asciiTheme="minorHAnsi" w:hAnsiTheme="minorHAnsi" w:cs="Arial"/>
          <w:szCs w:val="24"/>
          <w:u w:val="single"/>
        </w:rPr>
      </w:pPr>
    </w:p>
    <w:p w14:paraId="7D416539" w14:textId="77777777" w:rsidR="003E7CDC" w:rsidRPr="00421810" w:rsidRDefault="003E7CDC" w:rsidP="003E7CDC">
      <w:pPr>
        <w:rPr>
          <w:rFonts w:asciiTheme="minorHAnsi" w:hAnsiTheme="minorHAnsi" w:cs="Arial"/>
          <w:szCs w:val="24"/>
          <w:u w:val="single"/>
        </w:rPr>
      </w:pPr>
      <w:r w:rsidRPr="00421810">
        <w:rPr>
          <w:rFonts w:asciiTheme="minorHAnsi" w:hAnsiTheme="minorHAnsi" w:cs="Arial"/>
          <w:szCs w:val="24"/>
          <w:u w:val="single"/>
        </w:rPr>
        <w:t>Methods and Purposes of Sharing the Information to be Collected</w:t>
      </w:r>
    </w:p>
    <w:p w14:paraId="50D52E7F" w14:textId="77777777" w:rsidR="003E7CDC" w:rsidRPr="00421810" w:rsidRDefault="003E7CDC" w:rsidP="003E7CDC">
      <w:pPr>
        <w:rPr>
          <w:rFonts w:asciiTheme="minorHAnsi" w:hAnsiTheme="minorHAnsi" w:cs="Arial"/>
          <w:szCs w:val="24"/>
          <w:u w:val="single"/>
        </w:rPr>
      </w:pPr>
    </w:p>
    <w:p w14:paraId="06981056" w14:textId="77777777" w:rsidR="00A00DDD" w:rsidRDefault="00A00DDD" w:rsidP="00A00DDD">
      <w:pPr>
        <w:pStyle w:val="bodytextpsg"/>
        <w:spacing w:after="0" w:line="240" w:lineRule="auto"/>
        <w:rPr>
          <w:rFonts w:ascii="Calibri" w:hAnsi="Calibri" w:cs="Calibri"/>
        </w:rPr>
      </w:pPr>
      <w:r w:rsidRPr="00824350">
        <w:rPr>
          <w:rFonts w:ascii="Calibri" w:hAnsi="Calibri" w:cs="Calibri"/>
        </w:rPr>
        <w:t xml:space="preserve">The information obtained from the proposed data collection activities will be used to inform CDC, policy makers, adult smokers and </w:t>
      </w:r>
      <w:r>
        <w:rPr>
          <w:rFonts w:ascii="Calibri" w:hAnsi="Calibri" w:cs="Calibri"/>
        </w:rPr>
        <w:t>nonsmoker</w:t>
      </w:r>
      <w:r w:rsidRPr="00824350">
        <w:rPr>
          <w:rFonts w:ascii="Calibri" w:hAnsi="Calibri" w:cs="Calibri"/>
        </w:rPr>
        <w:t>s in the U</w:t>
      </w:r>
      <w:r>
        <w:rPr>
          <w:rFonts w:ascii="Calibri" w:hAnsi="Calibri" w:cs="Calibri"/>
        </w:rPr>
        <w:t xml:space="preserve">nited </w:t>
      </w:r>
      <w:r w:rsidRPr="00824350">
        <w:rPr>
          <w:rFonts w:ascii="Calibri" w:hAnsi="Calibri" w:cs="Calibri"/>
        </w:rPr>
        <w:t>S</w:t>
      </w:r>
      <w:r>
        <w:rPr>
          <w:rFonts w:ascii="Calibri" w:hAnsi="Calibri" w:cs="Calibri"/>
        </w:rPr>
        <w:t>tates</w:t>
      </w:r>
      <w:r w:rsidRPr="00824350">
        <w:rPr>
          <w:rFonts w:ascii="Calibri" w:hAnsi="Calibri" w:cs="Calibri"/>
        </w:rPr>
        <w:t>, prevention practitioners, and researchers about the extent of adults’ exposure to The Campaign’s messages nationally and the extent to which exposure to these messages is associated with changes in outcomes targeted by The Campaign. Primary and secondary outcomes that will be estimated for this evaluation are discussed in detail in Section A.16</w:t>
      </w:r>
      <w:r>
        <w:rPr>
          <w:rFonts w:ascii="Calibri" w:hAnsi="Calibri" w:cs="Calibri"/>
        </w:rPr>
        <w:t xml:space="preserve">. </w:t>
      </w:r>
      <w:r w:rsidRPr="00824350">
        <w:rPr>
          <w:rFonts w:ascii="Calibri" w:hAnsi="Calibri" w:cs="Calibri"/>
        </w:rPr>
        <w:t xml:space="preserve"> While not exhaustive, the list below illustrates a range of purposes and uses for the proposed information collection:</w:t>
      </w:r>
    </w:p>
    <w:p w14:paraId="12B77A21" w14:textId="77777777" w:rsidR="00A00DDD" w:rsidRPr="00824350" w:rsidRDefault="00A00DDD" w:rsidP="00A00DDD">
      <w:pPr>
        <w:pStyle w:val="bodytextpsg"/>
        <w:spacing w:after="0" w:line="240" w:lineRule="auto"/>
        <w:rPr>
          <w:rFonts w:ascii="Calibri" w:hAnsi="Calibri" w:cs="Calibri"/>
        </w:rPr>
      </w:pPr>
    </w:p>
    <w:p w14:paraId="23D4F106" w14:textId="77777777" w:rsidR="00A00DDD" w:rsidRPr="00824350" w:rsidRDefault="00A00DDD" w:rsidP="00A00DDD">
      <w:pPr>
        <w:pStyle w:val="bodytextpsg"/>
        <w:numPr>
          <w:ilvl w:val="0"/>
          <w:numId w:val="4"/>
        </w:numPr>
        <w:spacing w:after="0" w:line="240" w:lineRule="auto"/>
        <w:rPr>
          <w:rFonts w:ascii="Calibri" w:hAnsi="Calibri" w:cs="Calibri"/>
        </w:rPr>
      </w:pPr>
      <w:r w:rsidRPr="00824350">
        <w:rPr>
          <w:rFonts w:ascii="Calibri" w:hAnsi="Calibri" w:cs="Calibri"/>
        </w:rPr>
        <w:t>Provide data on the reach of The Campaign among adults in the U</w:t>
      </w:r>
      <w:r>
        <w:rPr>
          <w:rFonts w:ascii="Calibri" w:hAnsi="Calibri" w:cs="Calibri"/>
        </w:rPr>
        <w:t xml:space="preserve">nited </w:t>
      </w:r>
      <w:r w:rsidRPr="00824350">
        <w:rPr>
          <w:rFonts w:ascii="Calibri" w:hAnsi="Calibri" w:cs="Calibri"/>
        </w:rPr>
        <w:t>S</w:t>
      </w:r>
      <w:r>
        <w:rPr>
          <w:rFonts w:ascii="Calibri" w:hAnsi="Calibri" w:cs="Calibri"/>
        </w:rPr>
        <w:t>tates</w:t>
      </w:r>
      <w:r w:rsidRPr="00824350">
        <w:rPr>
          <w:rFonts w:ascii="Calibri" w:hAnsi="Calibri" w:cs="Calibri"/>
        </w:rPr>
        <w:t xml:space="preserve">, particularly with estimates of the proportion of the population </w:t>
      </w:r>
      <w:r>
        <w:rPr>
          <w:rFonts w:ascii="Calibri" w:hAnsi="Calibri" w:cs="Calibri"/>
        </w:rPr>
        <w:t xml:space="preserve">and subgroups </w:t>
      </w:r>
      <w:r w:rsidRPr="00824350">
        <w:rPr>
          <w:rFonts w:ascii="Calibri" w:hAnsi="Calibri" w:cs="Calibri"/>
        </w:rPr>
        <w:t xml:space="preserve">that </w:t>
      </w:r>
      <w:r>
        <w:rPr>
          <w:rFonts w:ascii="Calibri" w:hAnsi="Calibri" w:cs="Calibri"/>
        </w:rPr>
        <w:t>were</w:t>
      </w:r>
      <w:r w:rsidRPr="00824350">
        <w:rPr>
          <w:rFonts w:ascii="Calibri" w:hAnsi="Calibri" w:cs="Calibri"/>
        </w:rPr>
        <w:t xml:space="preserve"> exposed to The Campaign.</w:t>
      </w:r>
    </w:p>
    <w:p w14:paraId="3B2F2D06" w14:textId="77777777" w:rsidR="00A00DDD" w:rsidRDefault="00A00DDD" w:rsidP="00A00DDD">
      <w:pPr>
        <w:pStyle w:val="bodytextpsg"/>
        <w:numPr>
          <w:ilvl w:val="0"/>
          <w:numId w:val="4"/>
        </w:numPr>
        <w:spacing w:after="0" w:line="240" w:lineRule="auto"/>
        <w:rPr>
          <w:rFonts w:ascii="Calibri" w:hAnsi="Calibri" w:cs="Calibri"/>
        </w:rPr>
      </w:pPr>
      <w:r w:rsidRPr="00824350">
        <w:rPr>
          <w:rFonts w:ascii="Calibri" w:hAnsi="Calibri" w:cs="Calibri"/>
        </w:rPr>
        <w:t xml:space="preserve">Understand the </w:t>
      </w:r>
      <w:r>
        <w:rPr>
          <w:rFonts w:ascii="Calibri" w:hAnsi="Calibri" w:cs="Calibri"/>
        </w:rPr>
        <w:t xml:space="preserve">potential </w:t>
      </w:r>
      <w:r w:rsidRPr="00824350">
        <w:rPr>
          <w:rFonts w:ascii="Calibri" w:hAnsi="Calibri" w:cs="Calibri"/>
        </w:rPr>
        <w:t>influence of The Campaign on attitudes, knowledge, beliefs, and behaviors around tobacco use and smoking cessation behaviors.</w:t>
      </w:r>
    </w:p>
    <w:p w14:paraId="1BDF21B7" w14:textId="77777777" w:rsidR="00A00DDD" w:rsidRPr="00824350" w:rsidRDefault="00A00DDD" w:rsidP="00A00DDD">
      <w:pPr>
        <w:pStyle w:val="bodytextpsg"/>
        <w:numPr>
          <w:ilvl w:val="0"/>
          <w:numId w:val="4"/>
        </w:numPr>
        <w:spacing w:after="0" w:line="240" w:lineRule="auto"/>
        <w:rPr>
          <w:rFonts w:ascii="Calibri" w:hAnsi="Calibri" w:cs="Calibri"/>
        </w:rPr>
      </w:pPr>
      <w:r>
        <w:rPr>
          <w:rFonts w:ascii="Calibri" w:hAnsi="Calibri" w:cs="Calibri"/>
        </w:rPr>
        <w:t>Understand the potential influence of The Campaign on short-term (3-month) and long-term (6 to 12-month) quit success and cigarette abstinence among smokers who attempt to quit as a result of exposure to The Campaign.</w:t>
      </w:r>
    </w:p>
    <w:p w14:paraId="5A1D177C" w14:textId="77777777" w:rsidR="00A00DDD" w:rsidRPr="00824350" w:rsidRDefault="00A00DDD" w:rsidP="00A00DDD">
      <w:pPr>
        <w:pStyle w:val="bodytextpsg"/>
        <w:numPr>
          <w:ilvl w:val="0"/>
          <w:numId w:val="4"/>
        </w:numPr>
        <w:spacing w:after="0" w:line="240" w:lineRule="auto"/>
        <w:rPr>
          <w:rFonts w:ascii="Calibri" w:hAnsi="Calibri" w:cs="Calibri"/>
        </w:rPr>
      </w:pPr>
      <w:r>
        <w:rPr>
          <w:rFonts w:ascii="Calibri" w:hAnsi="Calibri" w:cs="Calibri"/>
        </w:rPr>
        <w:t>Understand how emerging patterns in tobacco and nicotine product consumption, including smokers’ use of electronic vapor products may influence the impact of The Campaign on the quitting process.</w:t>
      </w:r>
    </w:p>
    <w:p w14:paraId="291ADE1E" w14:textId="77777777" w:rsidR="00A00DDD" w:rsidRPr="00824350" w:rsidRDefault="00A00DDD" w:rsidP="00A00DDD">
      <w:pPr>
        <w:pStyle w:val="bodytextpsg"/>
        <w:numPr>
          <w:ilvl w:val="0"/>
          <w:numId w:val="4"/>
        </w:numPr>
        <w:spacing w:after="0" w:line="240" w:lineRule="auto"/>
        <w:rPr>
          <w:rFonts w:ascii="Calibri" w:hAnsi="Calibri" w:cs="Calibri"/>
        </w:rPr>
      </w:pPr>
      <w:r>
        <w:rPr>
          <w:rFonts w:ascii="Calibri" w:hAnsi="Calibri" w:cs="Calibri"/>
        </w:rPr>
        <w:t xml:space="preserve">Provide data on the </w:t>
      </w:r>
      <w:r w:rsidRPr="00824350">
        <w:rPr>
          <w:rFonts w:ascii="Calibri" w:hAnsi="Calibri" w:cs="Calibri"/>
        </w:rPr>
        <w:t>cost effectiveness of resources invested in The Campaign’s development and implementation.</w:t>
      </w:r>
      <w:r>
        <w:rPr>
          <w:rFonts w:ascii="Calibri" w:hAnsi="Calibri" w:cs="Calibri"/>
        </w:rPr>
        <w:t xml:space="preserve"> </w:t>
      </w:r>
      <w:r w:rsidRPr="00824350">
        <w:rPr>
          <w:rFonts w:ascii="Calibri" w:hAnsi="Calibri" w:cs="Calibri"/>
        </w:rPr>
        <w:t xml:space="preserve">Inform the health communication efforts related to the release of </w:t>
      </w:r>
      <w:r>
        <w:rPr>
          <w:rFonts w:ascii="Calibri" w:hAnsi="Calibri" w:cs="Calibri"/>
        </w:rPr>
        <w:t xml:space="preserve">the Reports of the </w:t>
      </w:r>
      <w:r w:rsidRPr="00824350">
        <w:rPr>
          <w:rFonts w:ascii="Calibri" w:hAnsi="Calibri" w:cs="Calibri"/>
        </w:rPr>
        <w:t>Surgeon General. For example, this information will generate a better understanding of The Campaign’s impact on key precursors to smoking cessation such as self-efficacy to quit.</w:t>
      </w:r>
    </w:p>
    <w:p w14:paraId="06C7F839" w14:textId="77777777" w:rsidR="00A00DDD" w:rsidRPr="00824350" w:rsidRDefault="00A00DDD" w:rsidP="00A00DDD">
      <w:pPr>
        <w:pStyle w:val="bodytextpsg"/>
        <w:numPr>
          <w:ilvl w:val="0"/>
          <w:numId w:val="4"/>
        </w:numPr>
        <w:spacing w:after="0" w:line="240" w:lineRule="auto"/>
        <w:rPr>
          <w:rFonts w:ascii="Calibri" w:hAnsi="Calibri" w:cs="Calibri"/>
        </w:rPr>
      </w:pPr>
      <w:r w:rsidRPr="00824350">
        <w:rPr>
          <w:rFonts w:ascii="Calibri" w:hAnsi="Calibri" w:cs="Calibri"/>
        </w:rPr>
        <w:t xml:space="preserve">Inform the health communication efforts undertaken by the </w:t>
      </w:r>
      <w:r>
        <w:rPr>
          <w:rFonts w:ascii="Calibri" w:hAnsi="Calibri" w:cs="Calibri"/>
        </w:rPr>
        <w:t>FDA</w:t>
      </w:r>
      <w:r w:rsidRPr="00824350">
        <w:rPr>
          <w:rFonts w:ascii="Calibri" w:hAnsi="Calibri" w:cs="Calibri"/>
        </w:rPr>
        <w:t xml:space="preserve"> including upcoming campaigns that while intended for different audiences can benefit from knowledge of the approaches utilized for this study.</w:t>
      </w:r>
    </w:p>
    <w:p w14:paraId="408A5595" w14:textId="77777777" w:rsidR="00A00DDD" w:rsidRPr="00824350" w:rsidRDefault="00A00DDD" w:rsidP="00A00DDD">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p>
    <w:p w14:paraId="16021BC9" w14:textId="77777777" w:rsidR="00A00DDD" w:rsidRDefault="00A00DDD" w:rsidP="00A00DDD">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4350">
        <w:rPr>
          <w:rFonts w:ascii="Calibri" w:hAnsi="Calibri" w:cs="Calibri"/>
        </w:rPr>
        <w:t xml:space="preserve">             All communications about the evaluation results via these uses of the information, including any and all Congressional testimony, will carefully enumerate and describe any underlying limitations of the data and ensure that evaluation results are interpreted with appropriate care and caution.</w:t>
      </w:r>
      <w:r>
        <w:rPr>
          <w:rFonts w:ascii="Calibri" w:hAnsi="Calibri" w:cs="Calibri"/>
        </w:rPr>
        <w:t xml:space="preserve"> </w:t>
      </w:r>
      <w:r w:rsidRPr="00F46078">
        <w:rPr>
          <w:rFonts w:ascii="Calibri" w:hAnsi="Calibri" w:cs="Calibri"/>
        </w:rPr>
        <w:t xml:space="preserve">Specifically, </w:t>
      </w:r>
      <w:r>
        <w:rPr>
          <w:rFonts w:ascii="Calibri" w:hAnsi="Calibri" w:cs="Calibri"/>
          <w:szCs w:val="24"/>
        </w:rPr>
        <w:t>w</w:t>
      </w:r>
      <w:r w:rsidRPr="00F46078">
        <w:rPr>
          <w:rFonts w:ascii="Calibri" w:hAnsi="Calibri" w:cs="Calibri"/>
          <w:szCs w:val="24"/>
        </w:rPr>
        <w:t xml:space="preserve">e believe this evaluation design allows CDC to estimate the potential for this type of campaign to reach </w:t>
      </w:r>
      <w:r>
        <w:rPr>
          <w:rFonts w:ascii="Calibri" w:hAnsi="Calibri" w:cs="Calibri"/>
          <w:szCs w:val="24"/>
        </w:rPr>
        <w:t>a national population</w:t>
      </w:r>
      <w:r w:rsidRPr="00F46078">
        <w:rPr>
          <w:rFonts w:ascii="Calibri" w:hAnsi="Calibri" w:cs="Calibri"/>
          <w:szCs w:val="24"/>
        </w:rPr>
        <w:t xml:space="preserve">, to gauge change in knowledge and behaviors of smokers and </w:t>
      </w:r>
      <w:r>
        <w:rPr>
          <w:rFonts w:ascii="Calibri" w:hAnsi="Calibri" w:cs="Calibri"/>
          <w:szCs w:val="24"/>
        </w:rPr>
        <w:t>nonsmoker</w:t>
      </w:r>
      <w:r w:rsidRPr="00F46078">
        <w:rPr>
          <w:rFonts w:ascii="Calibri" w:hAnsi="Calibri" w:cs="Calibri"/>
          <w:szCs w:val="24"/>
        </w:rPr>
        <w:t xml:space="preserve">s, and to generate hypotheses about potential differences in responsiveness by </w:t>
      </w:r>
      <w:r>
        <w:rPr>
          <w:rFonts w:ascii="Calibri" w:hAnsi="Calibri" w:cs="Calibri"/>
          <w:szCs w:val="24"/>
        </w:rPr>
        <w:t>subgroups of interest.</w:t>
      </w:r>
      <w:r w:rsidRPr="00F46078">
        <w:rPr>
          <w:rFonts w:ascii="Calibri" w:hAnsi="Calibri" w:cs="Calibri"/>
          <w:szCs w:val="24"/>
        </w:rPr>
        <w:t xml:space="preserve"> </w:t>
      </w:r>
      <w:r>
        <w:rPr>
          <w:rFonts w:ascii="Calibri" w:hAnsi="Calibri" w:cs="Calibri"/>
          <w:szCs w:val="24"/>
        </w:rPr>
        <w:t>This design represents</w:t>
      </w:r>
      <w:r w:rsidRPr="00F46078">
        <w:rPr>
          <w:rFonts w:ascii="Calibri" w:hAnsi="Calibri" w:cs="Calibri"/>
          <w:szCs w:val="24"/>
        </w:rPr>
        <w:t xml:space="preserve"> </w:t>
      </w:r>
      <w:r>
        <w:rPr>
          <w:rFonts w:ascii="Calibri" w:hAnsi="Calibri" w:cs="Calibri"/>
          <w:szCs w:val="24"/>
        </w:rPr>
        <w:t>a reasonable approach</w:t>
      </w:r>
      <w:r w:rsidRPr="00F46078">
        <w:rPr>
          <w:rFonts w:ascii="Calibri" w:hAnsi="Calibri" w:cs="Calibri"/>
          <w:szCs w:val="24"/>
        </w:rPr>
        <w:t xml:space="preserve"> to CDC’s evaluation objectives, within the time, cost, and feasibility constraints noted above.</w:t>
      </w:r>
      <w:r w:rsidRPr="002F4FDA">
        <w:t xml:space="preserve"> </w:t>
      </w:r>
    </w:p>
    <w:p w14:paraId="0A4AD91F" w14:textId="77777777" w:rsidR="00EF4E8F" w:rsidRDefault="00EF4E8F" w:rsidP="00A00DDD">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65A278" w14:textId="77777777" w:rsidR="003E7CDC" w:rsidRDefault="003E7CDC" w:rsidP="003E7CDC">
      <w:pPr>
        <w:ind w:firstLine="720"/>
        <w:rPr>
          <w:rFonts w:asciiTheme="minorHAnsi" w:hAnsiTheme="minorHAnsi"/>
        </w:rPr>
      </w:pPr>
      <w:r w:rsidRPr="00421810">
        <w:rPr>
          <w:rFonts w:asciiTheme="minorHAnsi" w:hAnsiTheme="minorHAnsi"/>
        </w:rPr>
        <w:t>No respondent identifiers will be contained in data to RTI or reports to CDC and results will only present data in aggregate. Results will be disseminated to CDC project leaders and staff in the form of technical reports and presentations. Aggregate results may also be shared publicly via peer-reviewed articles in scientific journals.</w:t>
      </w:r>
    </w:p>
    <w:p w14:paraId="74782B43" w14:textId="77777777" w:rsidR="00EF4E8F" w:rsidRPr="00421810" w:rsidRDefault="00EF4E8F" w:rsidP="003E7CDC">
      <w:pPr>
        <w:ind w:firstLine="720"/>
        <w:rPr>
          <w:rFonts w:asciiTheme="minorHAnsi" w:hAnsiTheme="minorHAnsi" w:cs="Arial"/>
          <w:szCs w:val="24"/>
        </w:rPr>
      </w:pPr>
    </w:p>
    <w:p w14:paraId="43E6C8AC" w14:textId="77777777" w:rsidR="001E49B9" w:rsidRDefault="001E49B9" w:rsidP="001E49B9">
      <w:pPr>
        <w:pStyle w:val="bodytextpsg"/>
        <w:spacing w:after="0" w:line="240" w:lineRule="auto"/>
        <w:rPr>
          <w:rFonts w:ascii="Calibri" w:hAnsi="Calibri" w:cs="Calibri"/>
        </w:rPr>
      </w:pPr>
    </w:p>
    <w:p w14:paraId="078EE1CE" w14:textId="77777777" w:rsidR="001E49B9" w:rsidRDefault="001E49B9" w:rsidP="001E49B9">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0F793F0E" w14:textId="77777777" w:rsidR="0035525E" w:rsidRPr="00824350" w:rsidRDefault="0035525E" w:rsidP="001E49B9">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3974BDCC" w14:textId="77777777" w:rsidR="0035525E" w:rsidRPr="00824350" w:rsidRDefault="0035525E" w:rsidP="00C64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Calibri" w:hAnsi="Calibri" w:cs="Calibri"/>
          <w:szCs w:val="24"/>
        </w:rPr>
      </w:pPr>
      <w:r w:rsidRPr="00824350">
        <w:rPr>
          <w:rFonts w:ascii="Calibri" w:hAnsi="Calibri" w:cs="Calibri"/>
          <w:b/>
          <w:szCs w:val="24"/>
        </w:rPr>
        <w:t>A.3.</w:t>
      </w:r>
      <w:r w:rsidRPr="00824350">
        <w:rPr>
          <w:rFonts w:ascii="Calibri" w:hAnsi="Calibri" w:cs="Calibri"/>
          <w:b/>
          <w:szCs w:val="24"/>
        </w:rPr>
        <w:tab/>
        <w:t>Use of Improved Information Technology and Burden Reduction</w:t>
      </w:r>
    </w:p>
    <w:p w14:paraId="4EA22069" w14:textId="535E6854" w:rsidR="0035525E" w:rsidRDefault="004A55CD" w:rsidP="001E49B9">
      <w:pPr>
        <w:pStyle w:val="bodytextpsg"/>
        <w:spacing w:after="0" w:line="240" w:lineRule="auto"/>
        <w:rPr>
          <w:rFonts w:ascii="Calibri" w:hAnsi="Calibri" w:cs="Calibri"/>
        </w:rPr>
      </w:pPr>
      <w:r>
        <w:rPr>
          <w:rFonts w:ascii="Calibri" w:hAnsi="Calibri" w:cs="Calibri"/>
        </w:rPr>
        <w:t xml:space="preserve">Data will be collected from the </w:t>
      </w:r>
      <w:r w:rsidR="00A6336F">
        <w:rPr>
          <w:rFonts w:ascii="Calibri" w:hAnsi="Calibri" w:cs="Calibri"/>
        </w:rPr>
        <w:t xml:space="preserve">existing </w:t>
      </w:r>
      <w:r>
        <w:rPr>
          <w:rFonts w:ascii="Calibri" w:hAnsi="Calibri" w:cs="Calibri"/>
        </w:rPr>
        <w:t>longitudinal cohort implemented to previously evaluate Phase 3 of The Campaign (</w:t>
      </w:r>
      <w:r>
        <w:rPr>
          <w:rFonts w:ascii="Calibri" w:hAnsi="Calibri" w:cs="Calibri"/>
          <w:szCs w:val="24"/>
        </w:rPr>
        <w:t>see currently-approved ICR 0920-0923, exp. 3/31/2017)</w:t>
      </w:r>
      <w:r>
        <w:rPr>
          <w:rFonts w:ascii="Calibri" w:hAnsi="Calibri" w:cs="Calibri"/>
        </w:rPr>
        <w:t xml:space="preserve">. </w:t>
      </w:r>
      <w:r w:rsidR="0035525E" w:rsidRPr="00824350">
        <w:rPr>
          <w:rFonts w:ascii="Calibri" w:hAnsi="Calibri" w:cs="Calibri"/>
        </w:rPr>
        <w:t xml:space="preserve">This study will rely on Web surveys to be self-administered </w:t>
      </w:r>
      <w:r w:rsidR="00667D8B">
        <w:rPr>
          <w:rFonts w:ascii="Calibri" w:hAnsi="Calibri" w:cs="Calibri"/>
        </w:rPr>
        <w:t>to respondent</w:t>
      </w:r>
      <w:r w:rsidR="009040F2">
        <w:rPr>
          <w:rFonts w:ascii="Calibri" w:hAnsi="Calibri" w:cs="Calibri"/>
        </w:rPr>
        <w:t>s in the</w:t>
      </w:r>
      <w:r w:rsidR="00570C93">
        <w:rPr>
          <w:rFonts w:ascii="Calibri" w:hAnsi="Calibri" w:cs="Calibri"/>
        </w:rPr>
        <w:t xml:space="preserve"> GfK Knowledge Panel sample</w:t>
      </w:r>
      <w:r w:rsidR="001E7E03">
        <w:rPr>
          <w:rFonts w:ascii="Calibri" w:hAnsi="Calibri" w:cs="Calibri"/>
        </w:rPr>
        <w:t>,</w:t>
      </w:r>
      <w:r w:rsidR="009040F2">
        <w:rPr>
          <w:rFonts w:ascii="Calibri" w:hAnsi="Calibri" w:cs="Calibri"/>
        </w:rPr>
        <w:t xml:space="preserve"> an established national online panel of adults, and to respondents from a custom-recruited</w:t>
      </w:r>
      <w:r w:rsidR="00C24D1B">
        <w:rPr>
          <w:rFonts w:ascii="Calibri" w:hAnsi="Calibri" w:cs="Calibri"/>
        </w:rPr>
        <w:t xml:space="preserve"> (for Phase 3)</w:t>
      </w:r>
      <w:r w:rsidR="009040F2">
        <w:rPr>
          <w:rFonts w:ascii="Calibri" w:hAnsi="Calibri" w:cs="Calibri"/>
        </w:rPr>
        <w:t xml:space="preserve"> online sample sourced from an address-based sample</w:t>
      </w:r>
      <w:r w:rsidR="00FE2D21">
        <w:rPr>
          <w:rFonts w:ascii="Calibri" w:hAnsi="Calibri" w:cs="Calibri"/>
        </w:rPr>
        <w:t xml:space="preserve"> (ABS)</w:t>
      </w:r>
      <w:r w:rsidR="009040F2">
        <w:rPr>
          <w:rFonts w:ascii="Calibri" w:hAnsi="Calibri" w:cs="Calibri"/>
        </w:rPr>
        <w:t xml:space="preserve">. </w:t>
      </w:r>
      <w:r w:rsidR="00E2169C">
        <w:rPr>
          <w:rFonts w:ascii="Calibri" w:hAnsi="Calibri" w:cs="Calibri"/>
        </w:rPr>
        <w:t>Utilization of these sample sources</w:t>
      </w:r>
      <w:r w:rsidR="0035525E" w:rsidRPr="00824350">
        <w:rPr>
          <w:rFonts w:ascii="Calibri" w:hAnsi="Calibri" w:cs="Calibri"/>
        </w:rPr>
        <w:t xml:space="preserve"> </w:t>
      </w:r>
      <w:r w:rsidR="00A46727">
        <w:rPr>
          <w:rFonts w:ascii="Calibri" w:hAnsi="Calibri" w:cs="Calibri"/>
        </w:rPr>
        <w:t xml:space="preserve">and Web-based data collection </w:t>
      </w:r>
      <w:r w:rsidR="0035525E" w:rsidRPr="00824350">
        <w:rPr>
          <w:rFonts w:ascii="Calibri" w:hAnsi="Calibri" w:cs="Calibri"/>
        </w:rPr>
        <w:t>provides a number</w:t>
      </w:r>
      <w:r w:rsidR="004D5573">
        <w:rPr>
          <w:rFonts w:ascii="Calibri" w:hAnsi="Calibri" w:cs="Calibri"/>
        </w:rPr>
        <w:t xml:space="preserve"> of</w:t>
      </w:r>
      <w:r w:rsidR="0035525E" w:rsidRPr="00824350">
        <w:rPr>
          <w:rFonts w:ascii="Calibri" w:hAnsi="Calibri" w:cs="Calibri"/>
        </w:rPr>
        <w:t xml:space="preserve"> methodological advantages including increased </w:t>
      </w:r>
      <w:r w:rsidR="00CC6B45">
        <w:rPr>
          <w:rFonts w:ascii="Calibri" w:hAnsi="Calibri" w:cs="Calibri"/>
        </w:rPr>
        <w:t>specificity</w:t>
      </w:r>
      <w:r w:rsidR="0035525E" w:rsidRPr="00824350">
        <w:rPr>
          <w:rFonts w:ascii="Calibri" w:hAnsi="Calibri" w:cs="Calibri"/>
        </w:rPr>
        <w:t xml:space="preserve"> in </w:t>
      </w:r>
      <w:r w:rsidR="00CC6B45">
        <w:rPr>
          <w:rFonts w:ascii="Calibri" w:hAnsi="Calibri" w:cs="Calibri"/>
        </w:rPr>
        <w:t xml:space="preserve">capturing </w:t>
      </w:r>
      <w:r w:rsidR="00CC7010">
        <w:rPr>
          <w:rFonts w:ascii="Calibri" w:hAnsi="Calibri" w:cs="Calibri"/>
        </w:rPr>
        <w:t>key variable</w:t>
      </w:r>
      <w:r w:rsidR="00C24D1B">
        <w:rPr>
          <w:rFonts w:ascii="Calibri" w:hAnsi="Calibri" w:cs="Calibri"/>
        </w:rPr>
        <w:t>s</w:t>
      </w:r>
      <w:r w:rsidR="00CC7010">
        <w:rPr>
          <w:rFonts w:ascii="Calibri" w:hAnsi="Calibri" w:cs="Calibri"/>
        </w:rPr>
        <w:t xml:space="preserve"> of interest at the individual level (e.g. patterns of quit attempts,</w:t>
      </w:r>
      <w:r w:rsidR="00C24D1B">
        <w:rPr>
          <w:rFonts w:ascii="Calibri" w:hAnsi="Calibri" w:cs="Calibri"/>
        </w:rPr>
        <w:t xml:space="preserve"> exposure to Campaign,</w:t>
      </w:r>
      <w:r w:rsidR="00CC7010">
        <w:rPr>
          <w:rFonts w:ascii="Calibri" w:hAnsi="Calibri" w:cs="Calibri"/>
        </w:rPr>
        <w:t xml:space="preserve"> perceived effectiveness of Campaign ads)</w:t>
      </w:r>
      <w:r w:rsidR="0035525E" w:rsidRPr="00824350">
        <w:rPr>
          <w:rFonts w:ascii="Calibri" w:hAnsi="Calibri" w:cs="Calibri"/>
        </w:rPr>
        <w:t xml:space="preserve">, </w:t>
      </w:r>
      <w:r w:rsidR="00917700">
        <w:rPr>
          <w:rFonts w:ascii="Calibri" w:hAnsi="Calibri" w:cs="Calibri"/>
        </w:rPr>
        <w:t>robust</w:t>
      </w:r>
      <w:r w:rsidR="00917700" w:rsidRPr="00824350">
        <w:rPr>
          <w:rFonts w:ascii="Calibri" w:hAnsi="Calibri" w:cs="Calibri"/>
        </w:rPr>
        <w:t xml:space="preserve"> </w:t>
      </w:r>
      <w:r w:rsidR="0035525E" w:rsidRPr="00824350">
        <w:rPr>
          <w:rFonts w:ascii="Calibri" w:hAnsi="Calibri" w:cs="Calibri"/>
        </w:rPr>
        <w:t>sample characteristics</w:t>
      </w:r>
      <w:r w:rsidR="00CC7010">
        <w:rPr>
          <w:rFonts w:ascii="Calibri" w:hAnsi="Calibri" w:cs="Calibri"/>
        </w:rPr>
        <w:t xml:space="preserve"> (e.g. stratification of outcomes by racial/ethnic minorities), </w:t>
      </w:r>
      <w:r w:rsidR="0035525E" w:rsidRPr="00824350">
        <w:rPr>
          <w:rFonts w:ascii="Calibri" w:hAnsi="Calibri" w:cs="Calibri"/>
        </w:rPr>
        <w:t xml:space="preserve">and reduced burden on study participants. </w:t>
      </w:r>
      <w:r w:rsidR="0049172A">
        <w:rPr>
          <w:rFonts w:ascii="Calibri" w:hAnsi="Calibri" w:cs="Calibri"/>
        </w:rPr>
        <w:t xml:space="preserve"> On the other hand, limitations include the potential correlation between those with the high smoking rates (lower </w:t>
      </w:r>
      <w:r w:rsidR="00CC7010">
        <w:rPr>
          <w:rFonts w:ascii="Calibri" w:hAnsi="Calibri" w:cs="Calibri"/>
        </w:rPr>
        <w:t>socioeconomic status</w:t>
      </w:r>
      <w:r w:rsidR="0049172A">
        <w:rPr>
          <w:rFonts w:ascii="Calibri" w:hAnsi="Calibri" w:cs="Calibri"/>
        </w:rPr>
        <w:t xml:space="preserve">, rural areas) and ability to participate in a web-based survey (due either to lack of computer and/or lack of broadband service). </w:t>
      </w:r>
      <w:r w:rsidR="0035525E" w:rsidRPr="00824350">
        <w:rPr>
          <w:rFonts w:ascii="Calibri" w:hAnsi="Calibri" w:cs="Calibri"/>
        </w:rPr>
        <w:t>This approach yields significant cost efficiencies compared to other modes of data collection such as telephone surveys. These advantages include but are not limited to:</w:t>
      </w:r>
    </w:p>
    <w:p w14:paraId="3CC24C2A" w14:textId="77777777" w:rsidR="001E49B9" w:rsidRPr="00824350" w:rsidRDefault="001E49B9" w:rsidP="001E49B9">
      <w:pPr>
        <w:pStyle w:val="bodytextpsg"/>
        <w:spacing w:after="0" w:line="240" w:lineRule="auto"/>
        <w:rPr>
          <w:rFonts w:ascii="Calibri" w:hAnsi="Calibri" w:cs="Calibri"/>
        </w:rPr>
      </w:pPr>
    </w:p>
    <w:p w14:paraId="04F0AFF1" w14:textId="154459BB" w:rsidR="0035525E" w:rsidRPr="001E49B9" w:rsidRDefault="00CC6B45" w:rsidP="001E49B9">
      <w:pPr>
        <w:widowControl/>
        <w:numPr>
          <w:ilvl w:val="0"/>
          <w:numId w:val="5"/>
        </w:numPr>
        <w:rPr>
          <w:rFonts w:ascii="Calibri" w:hAnsi="Calibri" w:cs="Calibri"/>
        </w:rPr>
      </w:pPr>
      <w:r>
        <w:rPr>
          <w:rFonts w:ascii="Calibri" w:hAnsi="Calibri" w:cs="Calibri"/>
        </w:rPr>
        <w:t>Convenience</w:t>
      </w:r>
      <w:r w:rsidR="00A46727">
        <w:rPr>
          <w:rFonts w:ascii="Calibri" w:hAnsi="Calibri" w:cs="Calibri"/>
        </w:rPr>
        <w:t>.</w:t>
      </w:r>
      <w:r w:rsidR="004D5573">
        <w:rPr>
          <w:rFonts w:ascii="Calibri" w:hAnsi="Calibri" w:cs="Calibri"/>
        </w:rPr>
        <w:t xml:space="preserve"> </w:t>
      </w:r>
      <w:r w:rsidR="00E82092">
        <w:rPr>
          <w:rFonts w:ascii="Calibri" w:hAnsi="Calibri" w:cs="Calibri"/>
        </w:rPr>
        <w:t>C</w:t>
      </w:r>
      <w:r w:rsidR="00E82092" w:rsidRPr="00824350">
        <w:rPr>
          <w:rFonts w:ascii="Calibri" w:hAnsi="Calibri" w:cs="Calibri"/>
        </w:rPr>
        <w:t>ompared</w:t>
      </w:r>
      <w:r w:rsidR="0035525E" w:rsidRPr="00824350">
        <w:rPr>
          <w:rFonts w:ascii="Calibri" w:hAnsi="Calibri" w:cs="Calibri"/>
        </w:rPr>
        <w:t xml:space="preserve"> to telephone interviewing</w:t>
      </w:r>
      <w:r w:rsidR="004D5573">
        <w:rPr>
          <w:rFonts w:ascii="Calibri" w:hAnsi="Calibri" w:cs="Calibri"/>
        </w:rPr>
        <w:t xml:space="preserve">, </w:t>
      </w:r>
      <w:r w:rsidR="00A46727">
        <w:rPr>
          <w:rFonts w:ascii="Calibri" w:hAnsi="Calibri" w:cs="Calibri"/>
        </w:rPr>
        <w:t>Web-</w:t>
      </w:r>
      <w:r w:rsidR="004D5573">
        <w:rPr>
          <w:rFonts w:ascii="Calibri" w:hAnsi="Calibri" w:cs="Calibri"/>
        </w:rPr>
        <w:t xml:space="preserve">based </w:t>
      </w:r>
      <w:r w:rsidR="009D1A57">
        <w:rPr>
          <w:rFonts w:ascii="Calibri" w:hAnsi="Calibri" w:cs="Calibri"/>
        </w:rPr>
        <w:t>survey</w:t>
      </w:r>
      <w:r w:rsidR="004D5573">
        <w:rPr>
          <w:rFonts w:ascii="Calibri" w:hAnsi="Calibri" w:cs="Calibri"/>
        </w:rPr>
        <w:t>s</w:t>
      </w:r>
      <w:r w:rsidR="0035525E" w:rsidRPr="00824350">
        <w:rPr>
          <w:rFonts w:ascii="Calibri" w:hAnsi="Calibri" w:cs="Calibri"/>
        </w:rPr>
        <w:t xml:space="preserve"> </w:t>
      </w:r>
      <w:r>
        <w:rPr>
          <w:rFonts w:ascii="Calibri" w:hAnsi="Calibri" w:cs="Calibri"/>
        </w:rPr>
        <w:t xml:space="preserve">may </w:t>
      </w:r>
      <w:r w:rsidR="0035525E" w:rsidRPr="00824350">
        <w:rPr>
          <w:rFonts w:ascii="Calibri" w:hAnsi="Calibri" w:cs="Calibri"/>
        </w:rPr>
        <w:t>reduce vulnerability to socially desirable survey responses, particularly on sensitive subjects such as tobacco use. Surveys are self-administered</w:t>
      </w:r>
      <w:r>
        <w:rPr>
          <w:rFonts w:ascii="Calibri" w:hAnsi="Calibri" w:cs="Calibri"/>
        </w:rPr>
        <w:t xml:space="preserve">, so the participant may choose </w:t>
      </w:r>
      <w:r w:rsidR="0035525E" w:rsidRPr="00824350">
        <w:rPr>
          <w:rFonts w:ascii="Calibri" w:hAnsi="Calibri" w:cs="Calibri"/>
        </w:rPr>
        <w:t>a private setting</w:t>
      </w:r>
      <w:r w:rsidR="008728DB">
        <w:rPr>
          <w:rFonts w:ascii="Calibri" w:hAnsi="Calibri" w:cs="Calibri"/>
        </w:rPr>
        <w:t xml:space="preserve"> </w:t>
      </w:r>
      <w:r>
        <w:rPr>
          <w:rFonts w:ascii="Calibri" w:hAnsi="Calibri" w:cs="Calibri"/>
        </w:rPr>
        <w:t xml:space="preserve">, convenient </w:t>
      </w:r>
      <w:r w:rsidR="008728DB">
        <w:rPr>
          <w:rFonts w:ascii="Calibri" w:hAnsi="Calibri" w:cs="Calibri"/>
        </w:rPr>
        <w:t>location</w:t>
      </w:r>
      <w:r>
        <w:rPr>
          <w:rFonts w:ascii="Calibri" w:hAnsi="Calibri" w:cs="Calibri"/>
        </w:rPr>
        <w:t xml:space="preserve">, and time, as desired, </w:t>
      </w:r>
      <w:r w:rsidR="00B136B4">
        <w:rPr>
          <w:rFonts w:ascii="Calibri" w:hAnsi="Calibri" w:cs="Calibri"/>
        </w:rPr>
        <w:t>reducing disruption of their daily activities</w:t>
      </w:r>
      <w:r w:rsidR="009D1A57">
        <w:rPr>
          <w:rFonts w:ascii="Calibri" w:hAnsi="Calibri" w:cs="Calibri"/>
        </w:rPr>
        <w:t xml:space="preserve">. </w:t>
      </w:r>
    </w:p>
    <w:p w14:paraId="209A6B5F" w14:textId="2336864F" w:rsidR="0035525E" w:rsidRPr="001E49B9" w:rsidRDefault="0035525E" w:rsidP="001E49B9">
      <w:pPr>
        <w:widowControl/>
        <w:numPr>
          <w:ilvl w:val="0"/>
          <w:numId w:val="5"/>
        </w:numPr>
        <w:rPr>
          <w:rFonts w:ascii="Calibri" w:hAnsi="Calibri" w:cs="Calibri"/>
        </w:rPr>
      </w:pPr>
      <w:r w:rsidRPr="00824350">
        <w:rPr>
          <w:rFonts w:ascii="Calibri" w:hAnsi="Calibri" w:cs="Calibri"/>
        </w:rPr>
        <w:t>Flexible and timely data collection</w:t>
      </w:r>
      <w:r w:rsidR="00B656AC">
        <w:rPr>
          <w:rFonts w:ascii="Calibri" w:hAnsi="Calibri" w:cs="Calibri"/>
        </w:rPr>
        <w:t xml:space="preserve">. </w:t>
      </w:r>
      <w:r w:rsidRPr="00824350">
        <w:rPr>
          <w:rFonts w:ascii="Calibri" w:hAnsi="Calibri" w:cs="Calibri"/>
        </w:rPr>
        <w:t xml:space="preserve">Because </w:t>
      </w:r>
      <w:r w:rsidR="00A46727">
        <w:rPr>
          <w:rFonts w:ascii="Calibri" w:hAnsi="Calibri" w:cs="Calibri"/>
        </w:rPr>
        <w:t>W</w:t>
      </w:r>
      <w:r w:rsidR="00E2169C">
        <w:rPr>
          <w:rFonts w:ascii="Calibri" w:hAnsi="Calibri" w:cs="Calibri"/>
        </w:rPr>
        <w:t>eb surveys do</w:t>
      </w:r>
      <w:r w:rsidRPr="00824350">
        <w:rPr>
          <w:rFonts w:ascii="Calibri" w:hAnsi="Calibri" w:cs="Calibri"/>
        </w:rPr>
        <w:t xml:space="preserve"> not involve human interviewers and all ensuing requirements for interviewer training and quality control, it is easier and cheaper to launch surveys very quickly.</w:t>
      </w:r>
    </w:p>
    <w:p w14:paraId="5F15E58A" w14:textId="54064757" w:rsidR="0035525E" w:rsidRPr="001E49B9" w:rsidRDefault="0035525E" w:rsidP="001E49B9">
      <w:pPr>
        <w:widowControl/>
        <w:numPr>
          <w:ilvl w:val="0"/>
          <w:numId w:val="5"/>
        </w:numPr>
        <w:rPr>
          <w:rFonts w:ascii="Calibri" w:hAnsi="Calibri" w:cs="Calibri"/>
        </w:rPr>
      </w:pPr>
      <w:r w:rsidRPr="00824350">
        <w:rPr>
          <w:rFonts w:ascii="Calibri" w:hAnsi="Calibri" w:cs="Calibri"/>
        </w:rPr>
        <w:t xml:space="preserve">Allows for inclusion of </w:t>
      </w:r>
      <w:r w:rsidR="00CC6B45">
        <w:rPr>
          <w:rFonts w:ascii="Calibri" w:hAnsi="Calibri" w:cs="Calibri"/>
        </w:rPr>
        <w:t xml:space="preserve">diverse </w:t>
      </w:r>
      <w:r w:rsidRPr="00824350">
        <w:rPr>
          <w:rFonts w:ascii="Calibri" w:hAnsi="Calibri" w:cs="Calibri"/>
        </w:rPr>
        <w:t xml:space="preserve">campaign media material including video streaming of campaign ads, streaming of radio ads, and presentation of print materials all within the survey. This significantly enhances the ability to </w:t>
      </w:r>
      <w:r w:rsidR="00CC6B45">
        <w:rPr>
          <w:rFonts w:ascii="Calibri" w:hAnsi="Calibri" w:cs="Calibri"/>
        </w:rPr>
        <w:t xml:space="preserve">more specifically </w:t>
      </w:r>
      <w:r w:rsidRPr="00824350">
        <w:rPr>
          <w:rFonts w:ascii="Calibri" w:hAnsi="Calibri" w:cs="Calibri"/>
        </w:rPr>
        <w:t>measure awareness of and exposure to campaign ads. By comparison, telephone surveys do not allow for direct exposure to campaign messages and stimuli. It has been demonstrated that the use of visual cues to prompt ad recognition is a superior method for measuring encoded ad exposure compared to telephonic surveys that must rely on verbal cues from human interviewers to prompt ad recognition (Southwell et al., 2002).</w:t>
      </w:r>
    </w:p>
    <w:p w14:paraId="6613CAA7" w14:textId="77777777" w:rsidR="0035525E" w:rsidRPr="00824350" w:rsidRDefault="0035525E" w:rsidP="001E49B9">
      <w:pPr>
        <w:widowControl/>
        <w:ind w:left="1440"/>
        <w:rPr>
          <w:rFonts w:ascii="Calibri" w:hAnsi="Calibri" w:cs="Calibri"/>
        </w:rPr>
      </w:pPr>
    </w:p>
    <w:p w14:paraId="20525B9C" w14:textId="77777777" w:rsidR="00442456" w:rsidRDefault="00442456"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cs="Calibri"/>
          <w:b/>
          <w:szCs w:val="24"/>
        </w:rPr>
      </w:pPr>
    </w:p>
    <w:p w14:paraId="12913B94" w14:textId="77777777"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cs="Calibri"/>
          <w:szCs w:val="24"/>
        </w:rPr>
      </w:pPr>
      <w:r w:rsidRPr="00824350">
        <w:rPr>
          <w:rFonts w:ascii="Calibri" w:hAnsi="Calibri" w:cs="Calibri"/>
          <w:b/>
          <w:szCs w:val="24"/>
        </w:rPr>
        <w:t>A.4.</w:t>
      </w:r>
      <w:r w:rsidRPr="00824350">
        <w:rPr>
          <w:rFonts w:ascii="Calibri" w:hAnsi="Calibri" w:cs="Calibri"/>
          <w:b/>
          <w:szCs w:val="24"/>
        </w:rPr>
        <w:tab/>
        <w:t>Efforts to Identify Duplication</w:t>
      </w:r>
      <w:r w:rsidRPr="00824350">
        <w:rPr>
          <w:rFonts w:ascii="Calibri" w:hAnsi="Calibri" w:cs="Calibri"/>
          <w:szCs w:val="24"/>
        </w:rPr>
        <w:t xml:space="preserve"> </w:t>
      </w:r>
      <w:r w:rsidRPr="00824350">
        <w:rPr>
          <w:rFonts w:ascii="Calibri" w:hAnsi="Calibri" w:cs="Calibri"/>
          <w:b/>
          <w:szCs w:val="24"/>
        </w:rPr>
        <w:t>and Use of Similar Information</w:t>
      </w:r>
    </w:p>
    <w:p w14:paraId="68A75050" w14:textId="77777777"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75C10C10" w14:textId="4019814C" w:rsidR="00A34B2C" w:rsidRDefault="0035525E" w:rsidP="001E49B9">
      <w:pPr>
        <w:pStyle w:val="bodytextpsg"/>
        <w:spacing w:after="0" w:line="240" w:lineRule="auto"/>
        <w:rPr>
          <w:rFonts w:ascii="Calibri" w:hAnsi="Calibri" w:cs="Calibri"/>
        </w:rPr>
      </w:pPr>
      <w:r w:rsidRPr="00824350">
        <w:rPr>
          <w:rFonts w:ascii="Calibri" w:hAnsi="Calibri" w:cs="Calibri"/>
        </w:rPr>
        <w:t xml:space="preserve">The </w:t>
      </w:r>
      <w:r w:rsidR="00E82092" w:rsidRPr="00824350">
        <w:rPr>
          <w:rFonts w:ascii="Calibri" w:hAnsi="Calibri" w:cs="Calibri"/>
        </w:rPr>
        <w:t xml:space="preserve">Campaign </w:t>
      </w:r>
      <w:r w:rsidR="00E82092">
        <w:rPr>
          <w:rFonts w:ascii="Calibri" w:hAnsi="Calibri" w:cs="Calibri"/>
        </w:rPr>
        <w:t>encourages</w:t>
      </w:r>
      <w:r w:rsidR="00940486">
        <w:rPr>
          <w:rFonts w:ascii="Calibri" w:hAnsi="Calibri" w:cs="Calibri"/>
        </w:rPr>
        <w:t xml:space="preserve"> smokers to attempt to quit by targeting very specific knowledge, attitudes, and beliefs related to smoking. These specific knowledge and attitudinal constructs are the central components of The Campaigns’ messages. </w:t>
      </w:r>
      <w:r w:rsidR="00CE47BF">
        <w:rPr>
          <w:rFonts w:ascii="Calibri" w:hAnsi="Calibri" w:cs="Calibri"/>
        </w:rPr>
        <w:t xml:space="preserve">Knowledge and attitudinal constructs specific to each campaign are assessed (e.g. the addition of </w:t>
      </w:r>
      <w:r w:rsidR="000C0471">
        <w:rPr>
          <w:rFonts w:ascii="Calibri" w:hAnsi="Calibri" w:cs="Calibri"/>
        </w:rPr>
        <w:t xml:space="preserve">questions assessing </w:t>
      </w:r>
      <w:r w:rsidR="001E76E1">
        <w:rPr>
          <w:rFonts w:ascii="Calibri" w:hAnsi="Calibri" w:cs="Calibri"/>
        </w:rPr>
        <w:t xml:space="preserve">awareness that smoking is related to macular degeneration, a condition highlighted in Phase 4 of The Campaign). </w:t>
      </w:r>
      <w:r w:rsidR="00940486">
        <w:rPr>
          <w:rFonts w:ascii="Calibri" w:hAnsi="Calibri" w:cs="Calibri"/>
        </w:rPr>
        <w:t xml:space="preserve">There are </w:t>
      </w:r>
      <w:r w:rsidRPr="00824350">
        <w:rPr>
          <w:rFonts w:ascii="Calibri" w:hAnsi="Calibri" w:cs="Calibri"/>
        </w:rPr>
        <w:t>no existing data sources that contain measures on awareness of and exposure to The</w:t>
      </w:r>
      <w:r w:rsidR="009D1A57">
        <w:rPr>
          <w:rFonts w:ascii="Calibri" w:hAnsi="Calibri" w:cs="Calibri"/>
        </w:rPr>
        <w:t xml:space="preserve"> </w:t>
      </w:r>
      <w:r w:rsidRPr="00824350">
        <w:rPr>
          <w:rFonts w:ascii="Calibri" w:hAnsi="Calibri" w:cs="Calibri"/>
        </w:rPr>
        <w:t>Campaign</w:t>
      </w:r>
      <w:r w:rsidR="00940486">
        <w:rPr>
          <w:rFonts w:ascii="Calibri" w:hAnsi="Calibri" w:cs="Calibri"/>
        </w:rPr>
        <w:t xml:space="preserve"> or the many specific knowledge and attitudinal constructs that are highlighted by The Campaign</w:t>
      </w:r>
      <w:r w:rsidRPr="00824350">
        <w:rPr>
          <w:rFonts w:ascii="Calibri" w:hAnsi="Calibri" w:cs="Calibri"/>
        </w:rPr>
        <w:t>.</w:t>
      </w:r>
      <w:r w:rsidR="00940486">
        <w:rPr>
          <w:rFonts w:ascii="Calibri" w:hAnsi="Calibri" w:cs="Calibri"/>
        </w:rPr>
        <w:t xml:space="preserve"> Hence, the</w:t>
      </w:r>
      <w:r w:rsidRPr="00824350">
        <w:rPr>
          <w:rFonts w:ascii="Calibri" w:hAnsi="Calibri" w:cs="Calibri"/>
        </w:rPr>
        <w:t xml:space="preserve"> proposed i</w:t>
      </w:r>
      <w:r w:rsidR="00940486">
        <w:rPr>
          <w:rFonts w:ascii="Calibri" w:hAnsi="Calibri" w:cs="Calibri"/>
        </w:rPr>
        <w:t xml:space="preserve">nformation collection </w:t>
      </w:r>
      <w:r w:rsidRPr="00824350">
        <w:rPr>
          <w:rFonts w:ascii="Calibri" w:hAnsi="Calibri" w:cs="Calibri"/>
        </w:rPr>
        <w:t>does not duplicate previous efforts.</w:t>
      </w:r>
    </w:p>
    <w:p w14:paraId="09F8BD73" w14:textId="77777777" w:rsidR="001E49B9" w:rsidRDefault="00A34B2C" w:rsidP="001E49B9">
      <w:pPr>
        <w:rPr>
          <w:rFonts w:ascii="Calibri" w:hAnsi="Calibri" w:cs="Calibri"/>
        </w:rPr>
      </w:pPr>
      <w:r>
        <w:rPr>
          <w:rFonts w:ascii="Calibri" w:hAnsi="Calibri" w:cs="Calibri"/>
        </w:rPr>
        <w:tab/>
      </w:r>
    </w:p>
    <w:p w14:paraId="26888D2A" w14:textId="77777777" w:rsidR="00A34B2C" w:rsidRPr="00D60EFD" w:rsidRDefault="0035525E" w:rsidP="001E49B9">
      <w:pPr>
        <w:ind w:firstLine="720"/>
        <w:rPr>
          <w:rFonts w:asciiTheme="minorHAnsi" w:hAnsiTheme="minorHAnsi"/>
        </w:rPr>
      </w:pPr>
      <w:r w:rsidRPr="00824350">
        <w:rPr>
          <w:rFonts w:ascii="Calibri" w:hAnsi="Calibri" w:cs="Calibri"/>
        </w:rPr>
        <w:t xml:space="preserve">In designing the proposed data collection activities, we have taken several steps to ensure that this effort does not duplicate ongoing efforts and that no existing data sets would address the proposed </w:t>
      </w:r>
      <w:r w:rsidR="009D1A57">
        <w:rPr>
          <w:rFonts w:ascii="Calibri" w:hAnsi="Calibri" w:cs="Calibri"/>
        </w:rPr>
        <w:t>evaluation</w:t>
      </w:r>
      <w:r w:rsidRPr="00824350">
        <w:rPr>
          <w:rFonts w:ascii="Calibri" w:hAnsi="Calibri" w:cs="Calibri"/>
        </w:rPr>
        <w:t xml:space="preserve"> questions. We have carefully reviewed existing</w:t>
      </w:r>
      <w:r w:rsidR="00FE49EF">
        <w:rPr>
          <w:rFonts w:ascii="Calibri" w:hAnsi="Calibri" w:cs="Calibri"/>
        </w:rPr>
        <w:t xml:space="preserve"> data collection plans by other agencies</w:t>
      </w:r>
      <w:r w:rsidR="00940486">
        <w:rPr>
          <w:rFonts w:ascii="Calibri" w:hAnsi="Calibri" w:cs="Calibri"/>
        </w:rPr>
        <w:t xml:space="preserve"> such as FDA that are conducting similar data collection </w:t>
      </w:r>
      <w:r w:rsidR="00940486" w:rsidRPr="00D60EFD">
        <w:rPr>
          <w:rFonts w:asciiTheme="minorHAnsi" w:hAnsiTheme="minorHAnsi" w:cs="Calibri"/>
        </w:rPr>
        <w:t>activities</w:t>
      </w:r>
      <w:r w:rsidR="00A34B2C">
        <w:rPr>
          <w:rFonts w:asciiTheme="minorHAnsi" w:hAnsiTheme="minorHAnsi" w:cs="Calibri"/>
        </w:rPr>
        <w:t xml:space="preserve"> (see </w:t>
      </w:r>
      <w:r w:rsidR="00A34B2C" w:rsidRPr="00A41EDF">
        <w:rPr>
          <w:rFonts w:asciiTheme="minorHAnsi" w:hAnsiTheme="minorHAnsi" w:cs="Calibri"/>
        </w:rPr>
        <w:t>OMB No. 0910-0753, Evaluation of the FDA</w:t>
      </w:r>
      <w:r w:rsidR="00A34B2C" w:rsidRPr="003C7261">
        <w:rPr>
          <w:rFonts w:asciiTheme="minorHAnsi" w:hAnsiTheme="minorHAnsi" w:cs="Calibri"/>
        </w:rPr>
        <w:t>’s General Market Youth Tobacco Prevention Campaign, exp. 10/31/2016)</w:t>
      </w:r>
      <w:r w:rsidR="00940486" w:rsidRPr="00D60EFD">
        <w:rPr>
          <w:rFonts w:asciiTheme="minorHAnsi" w:hAnsiTheme="minorHAnsi" w:cs="Calibri"/>
        </w:rPr>
        <w:t xml:space="preserve">. </w:t>
      </w:r>
      <w:r w:rsidR="00A34B2C" w:rsidRPr="00A41EDF">
        <w:rPr>
          <w:rFonts w:asciiTheme="minorHAnsi" w:hAnsiTheme="minorHAnsi" w:cs="Calibri"/>
        </w:rPr>
        <w:t xml:space="preserve"> </w:t>
      </w:r>
      <w:r w:rsidR="00A34B2C" w:rsidRPr="003C7261">
        <w:rPr>
          <w:rFonts w:asciiTheme="minorHAnsi" w:hAnsiTheme="minorHAnsi" w:cs="Calibri"/>
        </w:rPr>
        <w:t xml:space="preserve">CDC’s campaign is targeted to adults ages </w:t>
      </w:r>
      <w:r w:rsidR="00A41EDF" w:rsidRPr="003C7261">
        <w:rPr>
          <w:rFonts w:asciiTheme="minorHAnsi" w:hAnsiTheme="minorHAnsi" w:cs="Calibri"/>
        </w:rPr>
        <w:t xml:space="preserve">18 – </w:t>
      </w:r>
      <w:r w:rsidR="00A34B2C" w:rsidRPr="003C7261">
        <w:rPr>
          <w:rFonts w:asciiTheme="minorHAnsi" w:hAnsiTheme="minorHAnsi" w:cs="Calibri"/>
        </w:rPr>
        <w:t>54</w:t>
      </w:r>
      <w:r w:rsidR="003C7261">
        <w:rPr>
          <w:rFonts w:asciiTheme="minorHAnsi" w:hAnsiTheme="minorHAnsi" w:cs="Calibri"/>
        </w:rPr>
        <w:t xml:space="preserve"> years</w:t>
      </w:r>
      <w:r w:rsidR="00A41EDF" w:rsidRPr="003C7261">
        <w:rPr>
          <w:rFonts w:asciiTheme="minorHAnsi" w:hAnsiTheme="minorHAnsi" w:cs="Calibri"/>
        </w:rPr>
        <w:t xml:space="preserve">, whereas FDA’s campaign is targeted to youth </w:t>
      </w:r>
      <w:r w:rsidR="00A41EDF" w:rsidRPr="00D60EFD">
        <w:rPr>
          <w:rFonts w:asciiTheme="minorHAnsi" w:hAnsiTheme="minorHAnsi"/>
        </w:rPr>
        <w:t>ages 11 – 16 years</w:t>
      </w:r>
      <w:r w:rsidR="003C7261" w:rsidRPr="003C7261">
        <w:rPr>
          <w:rFonts w:asciiTheme="minorHAnsi" w:hAnsiTheme="minorHAnsi"/>
        </w:rPr>
        <w:t xml:space="preserve"> at baseline </w:t>
      </w:r>
      <w:r w:rsidR="003C7261">
        <w:rPr>
          <w:rFonts w:asciiTheme="minorHAnsi" w:hAnsiTheme="minorHAnsi"/>
        </w:rPr>
        <w:t>(</w:t>
      </w:r>
      <w:r w:rsidR="00A41EDF" w:rsidRPr="00D60EFD">
        <w:rPr>
          <w:rFonts w:asciiTheme="minorHAnsi" w:hAnsiTheme="minorHAnsi"/>
        </w:rPr>
        <w:t xml:space="preserve">ages 13 - 18 by the end of </w:t>
      </w:r>
      <w:r w:rsidR="00CC1EDF">
        <w:rPr>
          <w:rFonts w:asciiTheme="minorHAnsi" w:hAnsiTheme="minorHAnsi"/>
        </w:rPr>
        <w:t xml:space="preserve">the evaluation </w:t>
      </w:r>
      <w:r w:rsidR="00A41EDF" w:rsidRPr="00D60EFD">
        <w:rPr>
          <w:rFonts w:asciiTheme="minorHAnsi" w:hAnsiTheme="minorHAnsi"/>
        </w:rPr>
        <w:t>data collection</w:t>
      </w:r>
      <w:r w:rsidR="003C7261">
        <w:rPr>
          <w:rFonts w:asciiTheme="minorHAnsi" w:hAnsiTheme="minorHAnsi"/>
        </w:rPr>
        <w:t>)</w:t>
      </w:r>
      <w:r w:rsidR="00A41EDF" w:rsidRPr="00D60EFD">
        <w:rPr>
          <w:rFonts w:asciiTheme="minorHAnsi" w:hAnsiTheme="minorHAnsi"/>
        </w:rPr>
        <w:t xml:space="preserve">.  </w:t>
      </w:r>
      <w:r w:rsidR="00CC1EDF">
        <w:rPr>
          <w:rFonts w:asciiTheme="minorHAnsi" w:hAnsiTheme="minorHAnsi"/>
        </w:rPr>
        <w:t xml:space="preserve">Distinct ad campaigns have been developed for the adult and youth audiences.  </w:t>
      </w:r>
      <w:r w:rsidR="00A34B2C" w:rsidRPr="00D60EFD">
        <w:rPr>
          <w:rFonts w:asciiTheme="minorHAnsi" w:hAnsiTheme="minorHAnsi"/>
        </w:rPr>
        <w:t>As a result of the specific characteristics of the respondent population</w:t>
      </w:r>
      <w:r w:rsidR="00803278">
        <w:rPr>
          <w:rFonts w:asciiTheme="minorHAnsi" w:hAnsiTheme="minorHAnsi"/>
        </w:rPr>
        <w:t xml:space="preserve"> for each campaign and each </w:t>
      </w:r>
      <w:r w:rsidR="00803278" w:rsidRPr="002F78F3">
        <w:rPr>
          <w:rFonts w:asciiTheme="minorHAnsi" w:hAnsiTheme="minorHAnsi"/>
        </w:rPr>
        <w:t xml:space="preserve">evaluation </w:t>
      </w:r>
      <w:r w:rsidR="00803278" w:rsidRPr="00D60EFD">
        <w:rPr>
          <w:rFonts w:asciiTheme="minorHAnsi" w:hAnsiTheme="minorHAnsi"/>
        </w:rPr>
        <w:t>activity, there is no duplication of effort for the CDC and FDA information collections</w:t>
      </w:r>
      <w:r w:rsidR="00A34B2C" w:rsidRPr="00D60EFD">
        <w:rPr>
          <w:rFonts w:asciiTheme="minorHAnsi" w:hAnsiTheme="minorHAnsi"/>
        </w:rPr>
        <w:t>.</w:t>
      </w:r>
      <w:r w:rsidR="002F78F3" w:rsidRPr="002F78F3">
        <w:rPr>
          <w:rFonts w:asciiTheme="minorHAnsi" w:hAnsiTheme="minorHAnsi"/>
        </w:rPr>
        <w:t xml:space="preserve">  </w:t>
      </w:r>
      <w:r w:rsidR="00AE447C">
        <w:rPr>
          <w:rFonts w:ascii="Calibri" w:hAnsi="Calibri" w:cs="Calibri"/>
        </w:rPr>
        <w:t>However, CDC</w:t>
      </w:r>
      <w:r w:rsidR="00BF203B">
        <w:rPr>
          <w:rFonts w:ascii="Calibri" w:hAnsi="Calibri" w:cs="Calibri"/>
        </w:rPr>
        <w:t xml:space="preserve"> shared a draft of this </w:t>
      </w:r>
      <w:r w:rsidR="00AE447C">
        <w:rPr>
          <w:rFonts w:ascii="Calibri" w:hAnsi="Calibri" w:cs="Calibri"/>
        </w:rPr>
        <w:t xml:space="preserve">information collection plan </w:t>
      </w:r>
      <w:r w:rsidR="00BF203B">
        <w:rPr>
          <w:rFonts w:ascii="Calibri" w:hAnsi="Calibri" w:cs="Calibri"/>
        </w:rPr>
        <w:t xml:space="preserve">with the FDA to ensure alignment of question wording </w:t>
      </w:r>
      <w:r w:rsidR="00E244A5">
        <w:rPr>
          <w:rFonts w:ascii="Calibri" w:hAnsi="Calibri" w:cs="Calibri"/>
        </w:rPr>
        <w:t xml:space="preserve">on the instruments </w:t>
      </w:r>
      <w:r w:rsidR="00BF203B">
        <w:rPr>
          <w:rFonts w:ascii="Calibri" w:hAnsi="Calibri" w:cs="Calibri"/>
        </w:rPr>
        <w:t xml:space="preserve">where topics of mutual interest are included.  </w:t>
      </w:r>
      <w:r w:rsidR="00BF203B" w:rsidRPr="008660EC">
        <w:rPr>
          <w:rFonts w:ascii="Calibri" w:hAnsi="Calibri" w:cs="Calibri"/>
        </w:rPr>
        <w:t xml:space="preserve">CDC </w:t>
      </w:r>
      <w:r w:rsidR="00AE447C">
        <w:rPr>
          <w:rFonts w:ascii="Calibri" w:hAnsi="Calibri" w:cs="Calibri"/>
        </w:rPr>
        <w:t>plans to</w:t>
      </w:r>
      <w:r w:rsidR="00BF203B" w:rsidRPr="008660EC">
        <w:rPr>
          <w:rFonts w:ascii="Calibri" w:hAnsi="Calibri" w:cs="Calibri"/>
        </w:rPr>
        <w:t xml:space="preserve"> share its evaluation findings with FDA </w:t>
      </w:r>
      <w:r w:rsidR="00BF203B">
        <w:rPr>
          <w:rFonts w:ascii="Calibri" w:hAnsi="Calibri" w:cs="Calibri"/>
        </w:rPr>
        <w:t xml:space="preserve">and </w:t>
      </w:r>
      <w:r w:rsidR="00BF203B" w:rsidRPr="008660EC">
        <w:rPr>
          <w:rFonts w:ascii="Calibri" w:hAnsi="Calibri" w:cs="Calibri"/>
        </w:rPr>
        <w:t>other appropriate HHS agencies.</w:t>
      </w:r>
      <w:r w:rsidR="002D65BD">
        <w:rPr>
          <w:rFonts w:ascii="Calibri" w:hAnsi="Calibri" w:cs="Calibri"/>
        </w:rPr>
        <w:t xml:space="preserve"> </w:t>
      </w:r>
    </w:p>
    <w:p w14:paraId="5F9C5A6C" w14:textId="77777777" w:rsidR="001E49B9" w:rsidRDefault="001E49B9" w:rsidP="001E49B9">
      <w:pPr>
        <w:pStyle w:val="bodytextpsg"/>
        <w:spacing w:after="0" w:line="240" w:lineRule="auto"/>
        <w:rPr>
          <w:rFonts w:ascii="Calibri" w:hAnsi="Calibri" w:cs="Calibri"/>
        </w:rPr>
      </w:pPr>
    </w:p>
    <w:p w14:paraId="0C45DD18" w14:textId="0FEBBF28" w:rsidR="008660EC" w:rsidRPr="008660EC" w:rsidRDefault="00CE47BF" w:rsidP="001E76E1">
      <w:pPr>
        <w:pStyle w:val="Default"/>
        <w:rPr>
          <w:rFonts w:ascii="Calibri" w:hAnsi="Calibri" w:cs="Calibri"/>
        </w:rPr>
      </w:pPr>
      <w:r>
        <w:rPr>
          <w:rFonts w:ascii="Calibri" w:hAnsi="Calibri" w:cs="Calibri"/>
        </w:rPr>
        <w:t>The in-progress Population Assessment of Tobacco and Health (PATH) study</w:t>
      </w:r>
      <w:r w:rsidR="00C24D1B">
        <w:rPr>
          <w:rFonts w:ascii="Calibri" w:hAnsi="Calibri" w:cs="Calibri"/>
        </w:rPr>
        <w:t xml:space="preserve"> </w:t>
      </w:r>
      <w:r>
        <w:rPr>
          <w:rFonts w:ascii="Calibri" w:hAnsi="Calibri" w:cs="Calibri"/>
        </w:rPr>
        <w:t xml:space="preserve"> </w:t>
      </w:r>
      <w:r w:rsidR="000E6E78">
        <w:rPr>
          <w:rFonts w:ascii="Calibri" w:hAnsi="Calibri" w:cs="Calibri"/>
        </w:rPr>
        <w:t xml:space="preserve">OMB No. 0925-0664) </w:t>
      </w:r>
      <w:r>
        <w:rPr>
          <w:rFonts w:ascii="Calibri" w:hAnsi="Calibri" w:cs="Calibri"/>
        </w:rPr>
        <w:t xml:space="preserve">is a </w:t>
      </w:r>
      <w:r w:rsidRPr="00CE47BF">
        <w:rPr>
          <w:rFonts w:ascii="Calibri" w:hAnsi="Calibri"/>
          <w:b/>
          <w:bCs/>
        </w:rPr>
        <w:t>l</w:t>
      </w:r>
      <w:r w:rsidRPr="00CE47BF">
        <w:rPr>
          <w:rFonts w:ascii="Calibri" w:hAnsi="Calibri"/>
          <w:bCs/>
        </w:rPr>
        <w:t xml:space="preserve">arge, national, </w:t>
      </w:r>
      <w:r w:rsidRPr="00C24D1B">
        <w:rPr>
          <w:rFonts w:ascii="Calibri" w:hAnsi="Calibri"/>
          <w:bCs/>
        </w:rPr>
        <w:t>representative longitudinal cohort study of tobacco use and health in the United States</w:t>
      </w:r>
      <w:r w:rsidRPr="001E76E1">
        <w:rPr>
          <w:rFonts w:ascii="Calibri" w:hAnsi="Calibri"/>
          <w:bCs/>
        </w:rPr>
        <w:t xml:space="preserve"> </w:t>
      </w:r>
      <w:r w:rsidR="00C24D1B" w:rsidRPr="001E76E1">
        <w:rPr>
          <w:rFonts w:ascii="Calibri" w:hAnsi="Calibri"/>
          <w:bCs/>
        </w:rPr>
        <w:t>sponsored by the FDA</w:t>
      </w:r>
      <w:r w:rsidR="00C24D1B">
        <w:rPr>
          <w:rFonts w:ascii="Calibri" w:hAnsi="Calibri"/>
          <w:b/>
          <w:bCs/>
        </w:rPr>
        <w:t xml:space="preserve"> </w:t>
      </w:r>
      <w:r w:rsidRPr="00CE47BF">
        <w:rPr>
          <w:rFonts w:ascii="Calibri" w:hAnsi="Calibri" w:cs="Calibri"/>
        </w:rPr>
        <w:t>which will measure tobacco use behav</w:t>
      </w:r>
      <w:r>
        <w:rPr>
          <w:rFonts w:ascii="Calibri" w:hAnsi="Calibri" w:cs="Calibri"/>
        </w:rPr>
        <w:t xml:space="preserve">iors and related health effects. This data collection cannot be modified to be fielded during on and off periods of the campaign, </w:t>
      </w:r>
      <w:r w:rsidR="00C24D1B">
        <w:rPr>
          <w:rFonts w:ascii="Calibri" w:hAnsi="Calibri" w:cs="Calibri"/>
        </w:rPr>
        <w:t xml:space="preserve">in addition </w:t>
      </w:r>
      <w:r>
        <w:rPr>
          <w:rFonts w:ascii="Calibri" w:hAnsi="Calibri" w:cs="Calibri"/>
        </w:rPr>
        <w:t xml:space="preserve">it is not designed to measure </w:t>
      </w:r>
      <w:r w:rsidR="00C24D1B">
        <w:rPr>
          <w:rFonts w:ascii="Calibri" w:hAnsi="Calibri" w:cs="Calibri"/>
        </w:rPr>
        <w:t xml:space="preserve">awareness and exposure to the Campaign. </w:t>
      </w:r>
      <w:r w:rsidR="000E6E78">
        <w:rPr>
          <w:rFonts w:ascii="Calibri" w:hAnsi="Calibri" w:cs="Calibri"/>
        </w:rPr>
        <w:t xml:space="preserve"> </w:t>
      </w:r>
      <w:r w:rsidR="00940486">
        <w:rPr>
          <w:rFonts w:ascii="Calibri" w:hAnsi="Calibri" w:cs="Calibri"/>
        </w:rPr>
        <w:t xml:space="preserve">Other in-progress data collections and existing surveillance systems such </w:t>
      </w:r>
      <w:r w:rsidR="001B19D4">
        <w:rPr>
          <w:rFonts w:ascii="Calibri" w:hAnsi="Calibri" w:cs="Calibri"/>
        </w:rPr>
        <w:t>as</w:t>
      </w:r>
      <w:r w:rsidR="00940486">
        <w:rPr>
          <w:rFonts w:ascii="Calibri" w:hAnsi="Calibri" w:cs="Calibri"/>
        </w:rPr>
        <w:t xml:space="preserve"> the Behavioral Risk Factor Surveillance System</w:t>
      </w:r>
      <w:r w:rsidR="009D64C4">
        <w:rPr>
          <w:rFonts w:ascii="Calibri" w:hAnsi="Calibri" w:cs="Calibri"/>
        </w:rPr>
        <w:t xml:space="preserve"> (OMB No. 0920-1061, exp. 3/31/18)</w:t>
      </w:r>
      <w:r w:rsidR="00940486">
        <w:rPr>
          <w:rFonts w:ascii="Calibri" w:hAnsi="Calibri" w:cs="Calibri"/>
        </w:rPr>
        <w:t xml:space="preserve"> would </w:t>
      </w:r>
      <w:r w:rsidR="00A11BA7">
        <w:rPr>
          <w:rFonts w:ascii="Calibri" w:hAnsi="Calibri" w:cs="Calibri"/>
        </w:rPr>
        <w:t xml:space="preserve">not </w:t>
      </w:r>
      <w:r w:rsidR="00940486">
        <w:rPr>
          <w:rFonts w:ascii="Calibri" w:hAnsi="Calibri" w:cs="Calibri"/>
        </w:rPr>
        <w:t xml:space="preserve">be able to facilitate the precise timing of </w:t>
      </w:r>
      <w:r w:rsidR="00AA4A6E">
        <w:rPr>
          <w:rFonts w:ascii="Calibri" w:hAnsi="Calibri" w:cs="Calibri"/>
        </w:rPr>
        <w:t>evaluation</w:t>
      </w:r>
      <w:r w:rsidR="00940486">
        <w:rPr>
          <w:rFonts w:ascii="Calibri" w:hAnsi="Calibri" w:cs="Calibri"/>
        </w:rPr>
        <w:t xml:space="preserve"> data on The Campaign</w:t>
      </w:r>
      <w:r w:rsidR="009D64C4">
        <w:rPr>
          <w:rFonts w:ascii="Calibri" w:hAnsi="Calibri" w:cs="Calibri"/>
        </w:rPr>
        <w:t>; are not longitudinal studies;</w:t>
      </w:r>
      <w:r w:rsidR="00940486">
        <w:rPr>
          <w:rFonts w:ascii="Calibri" w:hAnsi="Calibri" w:cs="Calibri"/>
        </w:rPr>
        <w:t xml:space="preserve"> and could</w:t>
      </w:r>
      <w:r w:rsidR="009D64C4">
        <w:rPr>
          <w:rFonts w:ascii="Calibri" w:hAnsi="Calibri" w:cs="Calibri"/>
        </w:rPr>
        <w:t xml:space="preserve"> not</w:t>
      </w:r>
      <w:r w:rsidR="00940486">
        <w:rPr>
          <w:rFonts w:ascii="Calibri" w:hAnsi="Calibri" w:cs="Calibri"/>
        </w:rPr>
        <w:t xml:space="preserve"> be adequately modified to include the necessary breadth of survey questions on awareness of individual ads and </w:t>
      </w:r>
      <w:r w:rsidR="00434C2F">
        <w:rPr>
          <w:rFonts w:ascii="Calibri" w:hAnsi="Calibri" w:cs="Calibri"/>
        </w:rPr>
        <w:t>on</w:t>
      </w:r>
      <w:r w:rsidR="00940486">
        <w:rPr>
          <w:rFonts w:ascii="Calibri" w:hAnsi="Calibri" w:cs="Calibri"/>
        </w:rPr>
        <w:t xml:space="preserve"> the outcomes that are </w:t>
      </w:r>
      <w:r w:rsidR="00434C2F">
        <w:rPr>
          <w:rFonts w:ascii="Calibri" w:hAnsi="Calibri" w:cs="Calibri"/>
        </w:rPr>
        <w:t xml:space="preserve">important for assessment of </w:t>
      </w:r>
      <w:r w:rsidR="000E6E78">
        <w:rPr>
          <w:rFonts w:ascii="Calibri" w:hAnsi="Calibri" w:cs="Calibri"/>
        </w:rPr>
        <w:t>the Campaign</w:t>
      </w:r>
      <w:r w:rsidR="00BF203B">
        <w:rPr>
          <w:rFonts w:ascii="Calibri" w:hAnsi="Calibri" w:cs="Calibri"/>
        </w:rPr>
        <w:t>.</w:t>
      </w:r>
      <w:r w:rsidR="008660EC" w:rsidRPr="008660EC">
        <w:rPr>
          <w:rFonts w:ascii="Calibri" w:hAnsi="Calibri" w:cs="Calibri"/>
        </w:rPr>
        <w:t xml:space="preserve">  </w:t>
      </w:r>
    </w:p>
    <w:p w14:paraId="6F3F9EDC" w14:textId="77777777" w:rsidR="001E49B9" w:rsidRDefault="005B46BE" w:rsidP="001E4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ab/>
      </w:r>
    </w:p>
    <w:p w14:paraId="76BE4026" w14:textId="77777777" w:rsidR="00F465F9" w:rsidRDefault="001E49B9" w:rsidP="001E4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ab/>
      </w:r>
      <w:r w:rsidR="005B46BE" w:rsidRPr="00D60EFD">
        <w:rPr>
          <w:rFonts w:asciiTheme="minorHAnsi" w:hAnsiTheme="minorHAnsi"/>
        </w:rPr>
        <w:t xml:space="preserve">The </w:t>
      </w:r>
      <w:r w:rsidR="005B46BE">
        <w:rPr>
          <w:rFonts w:asciiTheme="minorHAnsi" w:hAnsiTheme="minorHAnsi"/>
        </w:rPr>
        <w:t xml:space="preserve">HHS </w:t>
      </w:r>
      <w:r w:rsidR="005B46BE" w:rsidRPr="00D60EFD">
        <w:rPr>
          <w:rFonts w:asciiTheme="minorHAnsi" w:hAnsiTheme="minorHAnsi"/>
        </w:rPr>
        <w:t>Office of the Assistant Secretary for Plann</w:t>
      </w:r>
      <w:r w:rsidR="005B46BE">
        <w:rPr>
          <w:rFonts w:asciiTheme="minorHAnsi" w:hAnsiTheme="minorHAnsi"/>
        </w:rPr>
        <w:t>ing and Evaluation (ASPE)</w:t>
      </w:r>
      <w:r w:rsidR="005B46BE" w:rsidRPr="00D60EFD">
        <w:rPr>
          <w:rFonts w:asciiTheme="minorHAnsi" w:hAnsiTheme="minorHAnsi"/>
        </w:rPr>
        <w:t xml:space="preserve"> has reviewed this proposed collection of information and approved its submission to OMB for further consideration.</w:t>
      </w:r>
    </w:p>
    <w:p w14:paraId="7BAFF719" w14:textId="77777777" w:rsidR="005B46BE" w:rsidRDefault="005B46BE" w:rsidP="00CA5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p>
    <w:p w14:paraId="28A77FAE" w14:textId="77777777" w:rsidR="0035525E" w:rsidRPr="00824350" w:rsidRDefault="0035525E" w:rsidP="00CA5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824350">
        <w:rPr>
          <w:rFonts w:ascii="Calibri" w:hAnsi="Calibri" w:cs="Calibri"/>
          <w:b/>
          <w:szCs w:val="24"/>
        </w:rPr>
        <w:t>A.5.</w:t>
      </w:r>
      <w:r w:rsidRPr="00824350">
        <w:rPr>
          <w:rFonts w:ascii="Calibri" w:hAnsi="Calibri" w:cs="Calibri"/>
          <w:b/>
          <w:szCs w:val="24"/>
        </w:rPr>
        <w:tab/>
        <w:t>Impact on Small Businesses or Other Small Entities</w:t>
      </w:r>
    </w:p>
    <w:p w14:paraId="3CDA0AF5" w14:textId="77777777" w:rsidR="0035525E" w:rsidRPr="00824350"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13E31D31" w14:textId="4C211BBE" w:rsidR="0035525E" w:rsidRPr="00824350" w:rsidRDefault="006447E5" w:rsidP="001E49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Pr>
          <w:rFonts w:ascii="Calibri" w:hAnsi="Calibri" w:cs="Calibri"/>
          <w:szCs w:val="24"/>
        </w:rPr>
        <w:tab/>
      </w:r>
      <w:r w:rsidR="0035525E" w:rsidRPr="00824350">
        <w:rPr>
          <w:rFonts w:ascii="Calibri" w:hAnsi="Calibri" w:cs="Calibri"/>
          <w:szCs w:val="24"/>
        </w:rPr>
        <w:t xml:space="preserve">Respondents in this study will be members of the general public not business entities. No impact on small businesses or other small entities is anticipated. </w:t>
      </w:r>
    </w:p>
    <w:p w14:paraId="0AE39F85" w14:textId="77777777"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br/>
        <w:t>A.6.</w:t>
      </w:r>
      <w:r w:rsidRPr="00824350">
        <w:rPr>
          <w:rFonts w:ascii="Calibri" w:hAnsi="Calibri" w:cs="Calibri"/>
          <w:b/>
          <w:szCs w:val="24"/>
        </w:rPr>
        <w:tab/>
        <w:t xml:space="preserve">Consequences of Collecting the Information Less Frequently </w:t>
      </w:r>
    </w:p>
    <w:p w14:paraId="596B6611" w14:textId="77777777" w:rsidR="001E49B9" w:rsidRDefault="001E49B9" w:rsidP="001E49B9">
      <w:pPr>
        <w:pStyle w:val="bodytextpsg"/>
        <w:spacing w:after="0" w:line="240" w:lineRule="auto"/>
        <w:ind w:firstLine="0"/>
        <w:rPr>
          <w:rFonts w:ascii="Calibri" w:hAnsi="Calibri" w:cs="Calibri"/>
        </w:rPr>
      </w:pPr>
    </w:p>
    <w:p w14:paraId="08376F39" w14:textId="77777777" w:rsidR="0035525E" w:rsidRPr="00824350" w:rsidRDefault="0035525E" w:rsidP="001E49B9">
      <w:pPr>
        <w:pStyle w:val="bodytextpsg"/>
        <w:spacing w:after="0" w:line="240" w:lineRule="auto"/>
        <w:rPr>
          <w:rFonts w:ascii="Calibri" w:hAnsi="Calibri" w:cs="Calibri"/>
          <w:szCs w:val="24"/>
        </w:rPr>
      </w:pPr>
      <w:r w:rsidRPr="00824350">
        <w:rPr>
          <w:rFonts w:ascii="Calibri" w:hAnsi="Calibri" w:cs="Calibri"/>
        </w:rPr>
        <w:t>The evaluation efforts proposed in this study are required by the authorizing legislation as follows (</w:t>
      </w:r>
      <w:r w:rsidRPr="00824350">
        <w:rPr>
          <w:rFonts w:ascii="Calibri" w:hAnsi="Calibri" w:cs="Calibri"/>
          <w:b/>
        </w:rPr>
        <w:t>Attachment A-3</w:t>
      </w:r>
      <w:r w:rsidRPr="00824350">
        <w:rPr>
          <w:rFonts w:ascii="Calibri" w:hAnsi="Calibri" w:cs="Calibri"/>
        </w:rPr>
        <w:t xml:space="preserve">): “The Secretary shall ensure that the campaign implemented under paragraph (1) is subject to an independent evaluation every 2 years and shall report every 2 years to Congress on the effectiveness of such campaigns towards meeting science-based metrics.”  While there are no legal obstacles to reduce burden, any lack of information needed to evaluate </w:t>
      </w:r>
      <w:r w:rsidR="00B656AC">
        <w:rPr>
          <w:rFonts w:ascii="Calibri" w:hAnsi="Calibri" w:cs="Calibri"/>
        </w:rPr>
        <w:t>T</w:t>
      </w:r>
      <w:r w:rsidRPr="00824350">
        <w:rPr>
          <w:rFonts w:ascii="Calibri" w:hAnsi="Calibri" w:cs="Calibri"/>
        </w:rPr>
        <w:t xml:space="preserve">he Campaign may impede the Federal government’s efforts to improve public health. Without the information collection requested for this evaluation study, it would be difficult to determine the value or impact of The Campaign on the lives of the people it is intended to serve. Failure to collect these data could reduce effective use of CDC’s program resources to benefit </w:t>
      </w:r>
      <w:r w:rsidR="004513EC">
        <w:rPr>
          <w:rFonts w:ascii="Calibri" w:hAnsi="Calibri" w:cs="Calibri"/>
        </w:rPr>
        <w:t xml:space="preserve">the health of </w:t>
      </w:r>
      <w:r w:rsidRPr="00824350">
        <w:rPr>
          <w:rFonts w:ascii="Calibri" w:hAnsi="Calibri" w:cs="Calibri"/>
        </w:rPr>
        <w:t xml:space="preserve">smokers and </w:t>
      </w:r>
      <w:r w:rsidR="00D94E8D">
        <w:rPr>
          <w:rFonts w:ascii="Calibri" w:hAnsi="Calibri" w:cs="Calibri"/>
        </w:rPr>
        <w:t>nonsmoker</w:t>
      </w:r>
      <w:r w:rsidRPr="00824350">
        <w:rPr>
          <w:rFonts w:ascii="Calibri" w:hAnsi="Calibri" w:cs="Calibri"/>
        </w:rPr>
        <w:t xml:space="preserve">s in the </w:t>
      </w:r>
      <w:r w:rsidR="00E82092" w:rsidRPr="00824350">
        <w:rPr>
          <w:rFonts w:ascii="Calibri" w:hAnsi="Calibri" w:cs="Calibri"/>
        </w:rPr>
        <w:t>U</w:t>
      </w:r>
      <w:r w:rsidR="00B656AC">
        <w:rPr>
          <w:rFonts w:ascii="Calibri" w:hAnsi="Calibri" w:cs="Calibri"/>
        </w:rPr>
        <w:t xml:space="preserve">nited </w:t>
      </w:r>
      <w:r w:rsidR="00E82092" w:rsidRPr="00824350">
        <w:rPr>
          <w:rFonts w:ascii="Calibri" w:hAnsi="Calibri" w:cs="Calibri"/>
        </w:rPr>
        <w:t>S</w:t>
      </w:r>
      <w:r w:rsidR="00B656AC">
        <w:rPr>
          <w:rFonts w:ascii="Calibri" w:hAnsi="Calibri" w:cs="Calibri"/>
        </w:rPr>
        <w:t>tates</w:t>
      </w:r>
      <w:r w:rsidR="00E82092" w:rsidRPr="00824350">
        <w:rPr>
          <w:rFonts w:ascii="Calibri" w:hAnsi="Calibri" w:cs="Calibri"/>
        </w:rPr>
        <w:t>.</w:t>
      </w:r>
      <w:r w:rsidR="00E82092">
        <w:rPr>
          <w:rFonts w:ascii="Calibri" w:hAnsi="Calibri" w:cs="Calibri"/>
        </w:rPr>
        <w:t xml:space="preserve"> </w:t>
      </w:r>
      <w:r w:rsidRPr="00824350">
        <w:rPr>
          <w:rFonts w:ascii="Calibri" w:hAnsi="Calibri" w:cs="Calibri"/>
        </w:rPr>
        <w:t xml:space="preserve">Careful consideration has been given to how frequently The Campaign’s intended audience should be surveyed for evaluation purposes. We believe that the proposed longitudinal </w:t>
      </w:r>
      <w:r w:rsidR="009B3848">
        <w:rPr>
          <w:rFonts w:ascii="Calibri" w:hAnsi="Calibri" w:cs="Calibri"/>
        </w:rPr>
        <w:t>study</w:t>
      </w:r>
      <w:r w:rsidR="009B3848" w:rsidRPr="00824350">
        <w:rPr>
          <w:rFonts w:ascii="Calibri" w:hAnsi="Calibri" w:cs="Calibri"/>
        </w:rPr>
        <w:t xml:space="preserve"> </w:t>
      </w:r>
      <w:r w:rsidRPr="00824350">
        <w:rPr>
          <w:rFonts w:ascii="Calibri" w:hAnsi="Calibri" w:cs="Calibri"/>
        </w:rPr>
        <w:t>will provide sufficient data to effectively evaluate The Campaign</w:t>
      </w:r>
      <w:r w:rsidR="00434C2F">
        <w:rPr>
          <w:rFonts w:ascii="Calibri" w:hAnsi="Calibri" w:cs="Calibri"/>
        </w:rPr>
        <w:t xml:space="preserve"> without creating undue burden on respondents</w:t>
      </w:r>
      <w:r w:rsidRPr="00824350">
        <w:rPr>
          <w:rFonts w:ascii="Calibri" w:hAnsi="Calibri" w:cs="Calibri"/>
        </w:rPr>
        <w:t xml:space="preserve">. </w:t>
      </w:r>
    </w:p>
    <w:p w14:paraId="51B29767" w14:textId="77777777" w:rsidR="0035525E" w:rsidRPr="00824350"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4B671F03" w14:textId="77777777" w:rsidR="0035525E" w:rsidRPr="00824350" w:rsidRDefault="0035525E" w:rsidP="00CD6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824350">
        <w:rPr>
          <w:rFonts w:ascii="Calibri" w:hAnsi="Calibri" w:cs="Calibri"/>
          <w:b/>
          <w:szCs w:val="24"/>
        </w:rPr>
        <w:t>A.7.      Special Circumstances Relating to the Guidelines of 5 CFR 1320.5</w:t>
      </w:r>
    </w:p>
    <w:p w14:paraId="4E1D92B3" w14:textId="77777777" w:rsidR="0035525E" w:rsidRPr="00824350"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p>
    <w:p w14:paraId="5F91CA59" w14:textId="758F40DF" w:rsidR="0035525E" w:rsidRPr="00824350" w:rsidRDefault="0035525E" w:rsidP="001E4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rPr>
        <w:tab/>
        <w:t>There are no special circumstances that require data collection to be conducted in a manner inconsistent with 5 CRF 1320.5 (d)(2).</w:t>
      </w:r>
      <w:r w:rsidRPr="00824350">
        <w:rPr>
          <w:rFonts w:ascii="Calibri" w:hAnsi="Calibri" w:cs="Calibri"/>
          <w:szCs w:val="24"/>
        </w:rPr>
        <w:t xml:space="preserve">  The </w:t>
      </w:r>
      <w:r w:rsidR="009D64C4">
        <w:rPr>
          <w:rFonts w:ascii="Calibri" w:hAnsi="Calibri" w:cs="Calibri"/>
          <w:szCs w:val="24"/>
        </w:rPr>
        <w:t>information collection</w:t>
      </w:r>
      <w:r w:rsidRPr="00824350">
        <w:rPr>
          <w:rFonts w:ascii="Calibri" w:hAnsi="Calibri" w:cs="Calibri"/>
          <w:szCs w:val="24"/>
        </w:rPr>
        <w:t xml:space="preserve"> fully compl</w:t>
      </w:r>
      <w:r w:rsidR="009D64C4">
        <w:rPr>
          <w:rFonts w:ascii="Calibri" w:hAnsi="Calibri" w:cs="Calibri"/>
          <w:szCs w:val="24"/>
        </w:rPr>
        <w:t>ies</w:t>
      </w:r>
      <w:r w:rsidRPr="00824350">
        <w:rPr>
          <w:rFonts w:ascii="Calibri" w:hAnsi="Calibri" w:cs="Calibri"/>
          <w:szCs w:val="24"/>
        </w:rPr>
        <w:t xml:space="preserve"> with the guidelines in 5 CFR 1320.5.  </w:t>
      </w:r>
    </w:p>
    <w:p w14:paraId="770C92B1" w14:textId="77777777" w:rsidR="0035525E"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386492C0" w14:textId="77777777" w:rsidR="0035525E" w:rsidRPr="00824350" w:rsidRDefault="0035525E" w:rsidP="005C5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824350">
        <w:rPr>
          <w:rFonts w:ascii="Calibri" w:hAnsi="Calibri" w:cs="Calibri"/>
          <w:b/>
          <w:szCs w:val="24"/>
        </w:rPr>
        <w:t>A.8.</w:t>
      </w:r>
      <w:r w:rsidRPr="00824350">
        <w:rPr>
          <w:rFonts w:ascii="Calibri" w:hAnsi="Calibri" w:cs="Calibri"/>
          <w:b/>
          <w:szCs w:val="24"/>
        </w:rPr>
        <w:tab/>
        <w:t xml:space="preserve">Comments in Response to the Federal Register Notice and Efforts to Consult </w:t>
      </w:r>
      <w:r w:rsidRPr="00824350">
        <w:rPr>
          <w:rFonts w:ascii="Calibri" w:hAnsi="Calibri" w:cs="Calibri"/>
          <w:b/>
          <w:szCs w:val="24"/>
        </w:rPr>
        <w:tab/>
        <w:t>Outside the Agency</w:t>
      </w:r>
    </w:p>
    <w:p w14:paraId="055EB2BC" w14:textId="77777777" w:rsidR="0035525E" w:rsidRPr="00824350" w:rsidRDefault="0035525E" w:rsidP="001E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1CFB87C1" w14:textId="77777777" w:rsidR="0035525E" w:rsidRPr="00083702" w:rsidRDefault="0035525E" w:rsidP="001E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szCs w:val="24"/>
        </w:rPr>
      </w:pPr>
      <w:r w:rsidRPr="00083702">
        <w:rPr>
          <w:rFonts w:ascii="Calibri" w:hAnsi="Calibri" w:cs="Calibri"/>
          <w:i/>
          <w:szCs w:val="24"/>
        </w:rPr>
        <w:t>A.8.a.</w:t>
      </w:r>
      <w:r w:rsidRPr="00083702">
        <w:rPr>
          <w:rFonts w:ascii="Calibri" w:hAnsi="Calibri" w:cs="Calibri"/>
          <w:i/>
          <w:szCs w:val="24"/>
        </w:rPr>
        <w:tab/>
        <w:t>Federal Register Notice</w:t>
      </w:r>
    </w:p>
    <w:p w14:paraId="7893A617" w14:textId="77777777" w:rsidR="0035525E" w:rsidRPr="00824350" w:rsidRDefault="0035525E" w:rsidP="001E49B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Cs w:val="24"/>
        </w:rPr>
      </w:pPr>
    </w:p>
    <w:p w14:paraId="5357BC49" w14:textId="2BDB4DC4" w:rsidR="0035525E" w:rsidRPr="00824350" w:rsidRDefault="0035525E" w:rsidP="00E032BC">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cs="Calibri"/>
          <w:szCs w:val="24"/>
        </w:rPr>
      </w:pPr>
      <w:r w:rsidRPr="00442456">
        <w:rPr>
          <w:rFonts w:ascii="Calibri" w:hAnsi="Calibri" w:cs="Calibri"/>
          <w:szCs w:val="24"/>
        </w:rPr>
        <w:t xml:space="preserve">A 60-day Notice was published in the </w:t>
      </w:r>
      <w:r w:rsidRPr="00442456">
        <w:rPr>
          <w:rFonts w:ascii="Calibri" w:hAnsi="Calibri" w:cs="Calibri"/>
          <w:i/>
          <w:szCs w:val="24"/>
        </w:rPr>
        <w:t xml:space="preserve">Federal Register </w:t>
      </w:r>
      <w:r w:rsidRPr="00442456">
        <w:rPr>
          <w:rFonts w:ascii="Calibri" w:hAnsi="Calibri" w:cs="Calibri"/>
          <w:szCs w:val="24"/>
        </w:rPr>
        <w:t xml:space="preserve">on </w:t>
      </w:r>
      <w:r w:rsidR="00111C06">
        <w:rPr>
          <w:rFonts w:ascii="Calibri" w:hAnsi="Calibri" w:cs="Calibri"/>
          <w:szCs w:val="24"/>
        </w:rPr>
        <w:t>February 25</w:t>
      </w:r>
      <w:r w:rsidR="00940486" w:rsidRPr="00442456">
        <w:rPr>
          <w:rFonts w:ascii="Calibri" w:hAnsi="Calibri" w:cs="Calibri"/>
          <w:szCs w:val="24"/>
        </w:rPr>
        <w:t>, 201</w:t>
      </w:r>
      <w:r w:rsidR="007F482D">
        <w:rPr>
          <w:rFonts w:ascii="Calibri" w:hAnsi="Calibri" w:cs="Calibri"/>
          <w:szCs w:val="24"/>
        </w:rPr>
        <w:t>5</w:t>
      </w:r>
      <w:r w:rsidRPr="00442456">
        <w:rPr>
          <w:rFonts w:ascii="Calibri" w:hAnsi="Calibri" w:cs="Calibri"/>
          <w:szCs w:val="24"/>
        </w:rPr>
        <w:t xml:space="preserve">, Volume </w:t>
      </w:r>
      <w:r w:rsidR="00111C06">
        <w:rPr>
          <w:rFonts w:ascii="Calibri" w:hAnsi="Calibri" w:cs="Calibri"/>
          <w:szCs w:val="24"/>
        </w:rPr>
        <w:t>80</w:t>
      </w:r>
      <w:r w:rsidR="00925CD1" w:rsidRPr="00442456">
        <w:rPr>
          <w:rFonts w:ascii="Calibri" w:hAnsi="Calibri" w:cs="Calibri"/>
          <w:szCs w:val="24"/>
        </w:rPr>
        <w:t xml:space="preserve">, No. </w:t>
      </w:r>
      <w:r w:rsidR="00111C06">
        <w:rPr>
          <w:rFonts w:ascii="Calibri" w:hAnsi="Calibri" w:cs="Calibri"/>
          <w:szCs w:val="24"/>
        </w:rPr>
        <w:t>37</w:t>
      </w:r>
      <w:r w:rsidR="00925CD1" w:rsidRPr="00442456">
        <w:rPr>
          <w:rFonts w:ascii="Calibri" w:hAnsi="Calibri" w:cs="Calibri"/>
          <w:szCs w:val="24"/>
        </w:rPr>
        <w:t xml:space="preserve">, pages </w:t>
      </w:r>
      <w:r w:rsidR="00111C06">
        <w:rPr>
          <w:rFonts w:ascii="Calibri" w:hAnsi="Calibri" w:cs="Calibri"/>
          <w:szCs w:val="24"/>
        </w:rPr>
        <w:t>10095</w:t>
      </w:r>
      <w:r w:rsidR="00925CD1" w:rsidRPr="00442456">
        <w:rPr>
          <w:rFonts w:ascii="Calibri" w:hAnsi="Calibri" w:cs="Calibri"/>
          <w:szCs w:val="24"/>
        </w:rPr>
        <w:t>-</w:t>
      </w:r>
      <w:r w:rsidR="00111C06">
        <w:rPr>
          <w:rFonts w:ascii="Calibri" w:hAnsi="Calibri" w:cs="Calibri"/>
          <w:szCs w:val="24"/>
        </w:rPr>
        <w:t>10096</w:t>
      </w:r>
      <w:r w:rsidR="007676D2" w:rsidRPr="00442456">
        <w:rPr>
          <w:rFonts w:ascii="Calibri" w:hAnsi="Calibri" w:cs="Calibri"/>
          <w:szCs w:val="24"/>
        </w:rPr>
        <w:t xml:space="preserve"> </w:t>
      </w:r>
      <w:r w:rsidRPr="00442456">
        <w:rPr>
          <w:rFonts w:ascii="Calibri" w:hAnsi="Calibri" w:cs="Calibri"/>
          <w:szCs w:val="24"/>
        </w:rPr>
        <w:t>(</w:t>
      </w:r>
      <w:r w:rsidRPr="00442456">
        <w:rPr>
          <w:rFonts w:ascii="Calibri" w:hAnsi="Calibri" w:cs="Calibri"/>
          <w:b/>
          <w:szCs w:val="24"/>
        </w:rPr>
        <w:t xml:space="preserve">Attachment </w:t>
      </w:r>
      <w:r w:rsidR="007900FC">
        <w:rPr>
          <w:rFonts w:ascii="Calibri" w:hAnsi="Calibri" w:cs="Calibri"/>
          <w:b/>
          <w:szCs w:val="24"/>
        </w:rPr>
        <w:t>B</w:t>
      </w:r>
      <w:r w:rsidRPr="00442456">
        <w:rPr>
          <w:rFonts w:ascii="Calibri" w:hAnsi="Calibri" w:cs="Calibri"/>
          <w:szCs w:val="24"/>
        </w:rPr>
        <w:t>).</w:t>
      </w:r>
      <w:r w:rsidR="007676D2" w:rsidRPr="00442456">
        <w:rPr>
          <w:rFonts w:ascii="Calibri" w:hAnsi="Calibri" w:cs="Calibri"/>
          <w:szCs w:val="24"/>
        </w:rPr>
        <w:t xml:space="preserve"> </w:t>
      </w:r>
      <w:r w:rsidR="00111C06">
        <w:rPr>
          <w:rFonts w:ascii="Calibri" w:hAnsi="Calibri" w:cs="Calibri"/>
          <w:szCs w:val="24"/>
        </w:rPr>
        <w:t xml:space="preserve">No </w:t>
      </w:r>
      <w:r w:rsidR="007F482D">
        <w:rPr>
          <w:rFonts w:ascii="Calibri" w:hAnsi="Calibri" w:cs="Calibri"/>
          <w:szCs w:val="24"/>
        </w:rPr>
        <w:t xml:space="preserve">public comments were received. </w:t>
      </w:r>
    </w:p>
    <w:p w14:paraId="67DF2724" w14:textId="77777777" w:rsidR="0035525E" w:rsidRPr="00824350" w:rsidRDefault="0035525E" w:rsidP="001E49B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14:paraId="7FC5D5C8" w14:textId="77777777" w:rsidR="00DE57A9" w:rsidRDefault="00DE57A9" w:rsidP="001E49B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szCs w:val="24"/>
        </w:rPr>
      </w:pPr>
    </w:p>
    <w:p w14:paraId="63A75357" w14:textId="77777777" w:rsidR="00DE57A9" w:rsidRDefault="00DE57A9" w:rsidP="001E49B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szCs w:val="24"/>
        </w:rPr>
      </w:pPr>
    </w:p>
    <w:p w14:paraId="76ED7C1F" w14:textId="77777777" w:rsidR="0035525E" w:rsidRPr="00083702" w:rsidRDefault="0035525E" w:rsidP="001E49B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szCs w:val="24"/>
        </w:rPr>
      </w:pPr>
      <w:r w:rsidRPr="00083702">
        <w:rPr>
          <w:rFonts w:ascii="Calibri" w:hAnsi="Calibri" w:cs="Calibri"/>
          <w:i/>
          <w:szCs w:val="24"/>
        </w:rPr>
        <w:t>A.8.b.    Consultation</w:t>
      </w:r>
    </w:p>
    <w:p w14:paraId="0FBFAE9F" w14:textId="77777777" w:rsidR="00917700" w:rsidRPr="00824350" w:rsidRDefault="009D0282" w:rsidP="001E49B9">
      <w:pPr>
        <w:tabs>
          <w:tab w:val="left" w:pos="360"/>
        </w:tabs>
        <w:ind w:left="360"/>
        <w:rPr>
          <w:rFonts w:ascii="Calibri" w:hAnsi="Calibri" w:cs="Calibri"/>
          <w:color w:val="000000"/>
          <w:szCs w:val="24"/>
        </w:rPr>
      </w:pPr>
      <w:r>
        <w:rPr>
          <w:rFonts w:ascii="Calibri" w:hAnsi="Calibri" w:cs="Calibri"/>
          <w:color w:val="000000"/>
          <w:szCs w:val="24"/>
        </w:rPr>
        <w:tab/>
      </w:r>
      <w:r>
        <w:rPr>
          <w:rFonts w:ascii="Calibri" w:hAnsi="Calibri" w:cs="Calibri"/>
          <w:color w:val="000000"/>
          <w:szCs w:val="24"/>
        </w:rPr>
        <w:tab/>
      </w:r>
    </w:p>
    <w:p w14:paraId="479AB8E4" w14:textId="77777777" w:rsidR="00D96B9B" w:rsidRDefault="009D0282" w:rsidP="001E49B9">
      <w:pPr>
        <w:tabs>
          <w:tab w:val="left" w:pos="360"/>
        </w:tabs>
        <w:rPr>
          <w:rFonts w:ascii="Calibri" w:hAnsi="Calibri" w:cs="Calibri"/>
          <w:color w:val="000000"/>
          <w:szCs w:val="24"/>
        </w:rPr>
      </w:pPr>
      <w:r>
        <w:rPr>
          <w:rFonts w:ascii="Calibri" w:hAnsi="Calibri" w:cs="Calibri"/>
          <w:color w:val="000000"/>
          <w:szCs w:val="24"/>
        </w:rPr>
        <w:tab/>
      </w:r>
      <w:r>
        <w:rPr>
          <w:rFonts w:ascii="Calibri" w:hAnsi="Calibri" w:cs="Calibri"/>
          <w:color w:val="000000"/>
          <w:szCs w:val="24"/>
        </w:rPr>
        <w:tab/>
      </w:r>
      <w:r w:rsidR="0035525E" w:rsidRPr="00824350">
        <w:rPr>
          <w:rFonts w:ascii="Calibri" w:hAnsi="Calibri" w:cs="Calibri"/>
          <w:color w:val="000000"/>
          <w:szCs w:val="24"/>
        </w:rPr>
        <w:t>The following individuals outside of the agency have been consulted on the audience questionnaire development.</w:t>
      </w:r>
      <w:r w:rsidR="0035525E" w:rsidRPr="00877034">
        <w:rPr>
          <w:rFonts w:ascii="Calibri" w:hAnsi="Calibri" w:cs="Calibri"/>
          <w:color w:val="000000"/>
          <w:szCs w:val="24"/>
        </w:rPr>
        <w:t xml:space="preserve"> CDC</w:t>
      </w:r>
      <w:r w:rsidR="00B656AC">
        <w:rPr>
          <w:rFonts w:ascii="Calibri" w:hAnsi="Calibri" w:cs="Calibri"/>
          <w:color w:val="000000"/>
          <w:szCs w:val="24"/>
        </w:rPr>
        <w:t>/</w:t>
      </w:r>
      <w:r w:rsidR="0035525E" w:rsidRPr="00877034">
        <w:rPr>
          <w:rFonts w:ascii="Calibri" w:hAnsi="Calibri" w:cs="Calibri"/>
          <w:color w:val="000000"/>
          <w:szCs w:val="24"/>
        </w:rPr>
        <w:t>OSH holds regular b</w:t>
      </w:r>
      <w:r w:rsidR="00590378" w:rsidRPr="00877034">
        <w:rPr>
          <w:rFonts w:ascii="Calibri" w:hAnsi="Calibri" w:cs="Calibri"/>
          <w:color w:val="000000"/>
          <w:szCs w:val="24"/>
        </w:rPr>
        <w:t>i</w:t>
      </w:r>
      <w:r w:rsidR="0035525E" w:rsidRPr="00877034">
        <w:rPr>
          <w:rFonts w:ascii="Calibri" w:hAnsi="Calibri" w:cs="Calibri"/>
          <w:color w:val="000000"/>
          <w:szCs w:val="24"/>
        </w:rPr>
        <w:t>-weekly meetings with FDA</w:t>
      </w:r>
      <w:r w:rsidR="00590378" w:rsidRPr="00877034">
        <w:rPr>
          <w:rFonts w:ascii="Calibri" w:hAnsi="Calibri" w:cs="Calibri"/>
          <w:color w:val="000000"/>
          <w:szCs w:val="24"/>
        </w:rPr>
        <w:t xml:space="preserve">’s </w:t>
      </w:r>
      <w:r w:rsidR="00A11BA7" w:rsidRPr="00877034">
        <w:rPr>
          <w:rFonts w:ascii="Calibri" w:hAnsi="Calibri" w:cs="Calibri"/>
          <w:color w:val="000000"/>
          <w:szCs w:val="24"/>
        </w:rPr>
        <w:t xml:space="preserve">CTP </w:t>
      </w:r>
      <w:r w:rsidR="0035525E" w:rsidRPr="00877034">
        <w:rPr>
          <w:rFonts w:ascii="Calibri" w:hAnsi="Calibri" w:cs="Calibri"/>
          <w:color w:val="000000"/>
          <w:szCs w:val="24"/>
        </w:rPr>
        <w:t xml:space="preserve">where updates on The Campaign are included as a standing agenda item. </w:t>
      </w:r>
      <w:r w:rsidR="00C910AD">
        <w:rPr>
          <w:rFonts w:ascii="Calibri" w:hAnsi="Calibri" w:cs="Calibri"/>
          <w:color w:val="000000"/>
          <w:szCs w:val="24"/>
        </w:rPr>
        <w:t xml:space="preserve">FDA/CTP has received a draft copy of this ICR submission including attachments.  </w:t>
      </w:r>
      <w:r w:rsidR="0035525E" w:rsidRPr="00877034">
        <w:rPr>
          <w:rFonts w:ascii="Calibri" w:hAnsi="Calibri" w:cs="Calibri"/>
          <w:color w:val="000000"/>
          <w:szCs w:val="24"/>
        </w:rPr>
        <w:t>Additionally</w:t>
      </w:r>
      <w:r w:rsidR="00C910AD">
        <w:rPr>
          <w:rFonts w:ascii="Calibri" w:hAnsi="Calibri" w:cs="Calibri"/>
          <w:color w:val="000000"/>
          <w:szCs w:val="24"/>
        </w:rPr>
        <w:t>,</w:t>
      </w:r>
      <w:r w:rsidR="0035525E" w:rsidRPr="00877034">
        <w:rPr>
          <w:rFonts w:ascii="Calibri" w:hAnsi="Calibri" w:cs="Calibri"/>
          <w:color w:val="000000"/>
          <w:szCs w:val="24"/>
        </w:rPr>
        <w:t xml:space="preserve"> input has been solicited and received from FDA on the design of this study</w:t>
      </w:r>
      <w:r w:rsidR="00925CD1" w:rsidRPr="00877034">
        <w:rPr>
          <w:rFonts w:ascii="Calibri" w:hAnsi="Calibri" w:cs="Calibri"/>
          <w:color w:val="000000"/>
          <w:szCs w:val="24"/>
        </w:rPr>
        <w:t xml:space="preserve">. </w:t>
      </w:r>
      <w:r w:rsidR="0035525E" w:rsidRPr="00877034">
        <w:rPr>
          <w:rFonts w:ascii="Calibri" w:hAnsi="Calibri" w:cs="Calibri"/>
          <w:color w:val="000000"/>
          <w:szCs w:val="24"/>
        </w:rPr>
        <w:t xml:space="preserve"> </w:t>
      </w:r>
    </w:p>
    <w:p w14:paraId="15B3E656" w14:textId="77777777" w:rsidR="007F482D" w:rsidRDefault="007F482D" w:rsidP="001E63EB">
      <w:pPr>
        <w:tabs>
          <w:tab w:val="left" w:pos="360"/>
        </w:tabs>
        <w:ind w:left="360"/>
        <w:rPr>
          <w:rFonts w:ascii="Calibri" w:hAnsi="Calibri" w:cs="Calibri"/>
          <w:szCs w:val="24"/>
          <w:lang w:val="fr-FR"/>
        </w:rPr>
      </w:pPr>
    </w:p>
    <w:p w14:paraId="31982D1C" w14:textId="77777777" w:rsidR="001E63EB" w:rsidRPr="00F40BEA" w:rsidRDefault="001E63EB" w:rsidP="001E63EB">
      <w:pPr>
        <w:tabs>
          <w:tab w:val="left" w:pos="360"/>
        </w:tabs>
        <w:ind w:left="360"/>
        <w:rPr>
          <w:rFonts w:ascii="Calibri" w:hAnsi="Calibri" w:cs="Calibri"/>
          <w:szCs w:val="24"/>
          <w:lang w:val="fr-FR"/>
        </w:rPr>
      </w:pPr>
      <w:r w:rsidRPr="00F40BEA">
        <w:rPr>
          <w:rFonts w:ascii="Calibri" w:hAnsi="Calibri" w:cs="Calibri"/>
          <w:szCs w:val="24"/>
          <w:lang w:val="fr-FR"/>
        </w:rPr>
        <w:t>Tesfa N. Alexander, PhD</w:t>
      </w:r>
    </w:p>
    <w:p w14:paraId="36076A08" w14:textId="77777777"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FDA, Center for Tobacco Products </w:t>
      </w:r>
    </w:p>
    <w:p w14:paraId="557B8D19" w14:textId="77777777"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9200 Corporate Boulevard</w:t>
      </w:r>
    </w:p>
    <w:p w14:paraId="7FE0C9E6" w14:textId="77777777"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Rockville, MD 20850</w:t>
      </w:r>
    </w:p>
    <w:p w14:paraId="6DAE8A3E" w14:textId="77777777"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Phone: (301) 796-</w:t>
      </w:r>
      <w:r>
        <w:rPr>
          <w:rFonts w:ascii="Calibri" w:hAnsi="Calibri" w:cs="Calibri"/>
          <w:szCs w:val="24"/>
          <w:lang w:val="fr-FR"/>
        </w:rPr>
        <w:t>9335</w:t>
      </w:r>
    </w:p>
    <w:p w14:paraId="5BFA58F1" w14:textId="77777777" w:rsidR="001E63EB"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Email: </w:t>
      </w:r>
      <w:r w:rsidRPr="00052989">
        <w:rPr>
          <w:rFonts w:ascii="Calibri" w:hAnsi="Calibri" w:cs="Calibri"/>
          <w:szCs w:val="24"/>
          <w:lang w:val="fr-FR"/>
        </w:rPr>
        <w:t>Tesfa.Alexander@fda.hhs.gov</w:t>
      </w:r>
    </w:p>
    <w:p w14:paraId="2E330F76" w14:textId="77777777" w:rsidR="001E63EB" w:rsidRDefault="001E63EB" w:rsidP="001E63EB">
      <w:pPr>
        <w:tabs>
          <w:tab w:val="left" w:pos="360"/>
        </w:tabs>
        <w:ind w:left="360"/>
        <w:rPr>
          <w:rFonts w:ascii="Calibri" w:hAnsi="Calibri" w:cs="Calibri"/>
          <w:szCs w:val="24"/>
          <w:lang w:val="fr-FR"/>
        </w:rPr>
      </w:pPr>
    </w:p>
    <w:p w14:paraId="77E4E9A5"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Amanda Berger, PhD</w:t>
      </w:r>
    </w:p>
    <w:p w14:paraId="23E45F98"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 xml:space="preserve">FDA, Center for Tobacco Products </w:t>
      </w:r>
    </w:p>
    <w:p w14:paraId="0B341F6A"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9200 Corporate Boulevard</w:t>
      </w:r>
    </w:p>
    <w:p w14:paraId="69A5ED23"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Rockville, MD 20850</w:t>
      </w:r>
    </w:p>
    <w:p w14:paraId="1D874A6F"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Phone: (301) 796-9335</w:t>
      </w:r>
    </w:p>
    <w:p w14:paraId="6A3F3B52"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 xml:space="preserve">Email: </w:t>
      </w:r>
      <w:r w:rsidRPr="00B656AC">
        <w:rPr>
          <w:rFonts w:asciiTheme="minorHAnsi" w:hAnsiTheme="minorHAnsi"/>
        </w:rPr>
        <w:t>Amanda.Berger@fda.hhs.gov</w:t>
      </w:r>
    </w:p>
    <w:p w14:paraId="16D39F12" w14:textId="77777777" w:rsidR="007F482D" w:rsidRPr="00B656AC" w:rsidRDefault="007F482D" w:rsidP="007F482D">
      <w:pPr>
        <w:tabs>
          <w:tab w:val="left" w:pos="360"/>
          <w:tab w:val="left" w:pos="2265"/>
        </w:tabs>
        <w:ind w:left="360"/>
        <w:rPr>
          <w:rFonts w:asciiTheme="minorHAnsi" w:hAnsiTheme="minorHAnsi"/>
          <w:szCs w:val="24"/>
          <w:lang w:val="fr-FR"/>
        </w:rPr>
      </w:pPr>
      <w:r w:rsidRPr="00B656AC">
        <w:rPr>
          <w:rFonts w:asciiTheme="minorHAnsi" w:hAnsiTheme="minorHAnsi"/>
          <w:szCs w:val="24"/>
          <w:lang w:val="fr-FR"/>
        </w:rPr>
        <w:tab/>
      </w:r>
    </w:p>
    <w:p w14:paraId="4F8A26B1"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Natalie Gibson</w:t>
      </w:r>
    </w:p>
    <w:p w14:paraId="01FB3423"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 xml:space="preserve">FDA, Center for Tobacco Products </w:t>
      </w:r>
    </w:p>
    <w:p w14:paraId="1D0BE268"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9200 Corporate Boulevard</w:t>
      </w:r>
    </w:p>
    <w:p w14:paraId="6BF97264"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Rockville, MD 20850</w:t>
      </w:r>
    </w:p>
    <w:p w14:paraId="5BA66987"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Phone: 240-402-4095</w:t>
      </w:r>
    </w:p>
    <w:p w14:paraId="1A2B3BFC" w14:textId="77777777" w:rsidR="007F482D" w:rsidRPr="00B656AC" w:rsidRDefault="007F482D" w:rsidP="007F482D">
      <w:pPr>
        <w:tabs>
          <w:tab w:val="left" w:pos="360"/>
        </w:tabs>
        <w:ind w:left="360"/>
        <w:rPr>
          <w:rFonts w:asciiTheme="minorHAnsi" w:hAnsiTheme="minorHAnsi"/>
          <w:szCs w:val="24"/>
          <w:lang w:val="fr-FR"/>
        </w:rPr>
      </w:pPr>
      <w:r w:rsidRPr="00B656AC">
        <w:rPr>
          <w:rFonts w:asciiTheme="minorHAnsi" w:hAnsiTheme="minorHAnsi"/>
          <w:szCs w:val="24"/>
          <w:lang w:val="fr-FR"/>
        </w:rPr>
        <w:t xml:space="preserve">Email: </w:t>
      </w:r>
      <w:r w:rsidRPr="00B656AC">
        <w:rPr>
          <w:rFonts w:asciiTheme="minorHAnsi" w:hAnsiTheme="minorHAnsi"/>
        </w:rPr>
        <w:t>Natalie.Gibson@fda.hhs.gov</w:t>
      </w:r>
    </w:p>
    <w:p w14:paraId="07A8E128" w14:textId="77777777" w:rsidR="007F482D" w:rsidRDefault="007F482D" w:rsidP="001E63EB">
      <w:pPr>
        <w:tabs>
          <w:tab w:val="left" w:pos="360"/>
        </w:tabs>
        <w:ind w:left="360"/>
        <w:rPr>
          <w:rFonts w:ascii="Calibri" w:hAnsi="Calibri" w:cs="Calibri"/>
          <w:szCs w:val="24"/>
          <w:lang w:val="fr-FR"/>
        </w:rPr>
      </w:pPr>
    </w:p>
    <w:p w14:paraId="74D26E41" w14:textId="77777777" w:rsidR="007F482D" w:rsidRPr="00824350" w:rsidRDefault="007F482D" w:rsidP="001E63EB">
      <w:pPr>
        <w:tabs>
          <w:tab w:val="left" w:pos="360"/>
        </w:tabs>
        <w:ind w:left="360"/>
        <w:rPr>
          <w:rFonts w:ascii="Calibri" w:hAnsi="Calibri" w:cs="Calibri"/>
          <w:szCs w:val="24"/>
          <w:lang w:val="fr-FR"/>
        </w:rPr>
      </w:pPr>
    </w:p>
    <w:p w14:paraId="47DCB2B1" w14:textId="77777777" w:rsidR="0035525E" w:rsidRPr="00824350" w:rsidRDefault="0035525E"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 w:hanging="648"/>
        <w:rPr>
          <w:rFonts w:ascii="Calibri" w:hAnsi="Calibri" w:cs="Calibri"/>
          <w:b/>
          <w:szCs w:val="24"/>
        </w:rPr>
      </w:pPr>
      <w:r w:rsidRPr="00EA1054">
        <w:rPr>
          <w:rFonts w:ascii="Calibri" w:hAnsi="Calibri" w:cs="Calibri"/>
          <w:b/>
          <w:szCs w:val="24"/>
        </w:rPr>
        <w:t>A.9.</w:t>
      </w:r>
      <w:r w:rsidRPr="00EA1054">
        <w:rPr>
          <w:rFonts w:ascii="Calibri" w:hAnsi="Calibri" w:cs="Calibri"/>
          <w:b/>
          <w:szCs w:val="24"/>
        </w:rPr>
        <w:tab/>
        <w:t>Explanations of Any Payment or Gift to Respondents</w:t>
      </w:r>
    </w:p>
    <w:p w14:paraId="78C00C89" w14:textId="77777777" w:rsidR="00442456" w:rsidRDefault="00442456" w:rsidP="00B56137">
      <w:pPr>
        <w:pStyle w:val="bodytextpsg"/>
        <w:spacing w:after="0" w:line="240" w:lineRule="auto"/>
        <w:rPr>
          <w:rFonts w:ascii="Calibri" w:hAnsi="Calibri" w:cs="Calibri"/>
        </w:rPr>
      </w:pPr>
      <w:bookmarkStart w:id="5" w:name="_Toc152464633"/>
    </w:p>
    <w:p w14:paraId="7AADD49C" w14:textId="7442387B" w:rsidR="0093533B" w:rsidRDefault="00561068" w:rsidP="00B56137">
      <w:pPr>
        <w:pStyle w:val="bodytextpsg"/>
        <w:spacing w:after="0" w:line="240" w:lineRule="auto"/>
        <w:rPr>
          <w:rFonts w:ascii="Calibri" w:hAnsi="Calibri" w:cs="Calibri"/>
        </w:rPr>
      </w:pPr>
      <w:r>
        <w:rPr>
          <w:rFonts w:ascii="Calibri" w:hAnsi="Calibri" w:cs="Calibri"/>
        </w:rPr>
        <w:t xml:space="preserve">Participants recruited to the ABS-sourced </w:t>
      </w:r>
      <w:r w:rsidR="00FE2D21">
        <w:rPr>
          <w:rFonts w:ascii="Calibri" w:hAnsi="Calibri" w:cs="Calibri"/>
        </w:rPr>
        <w:t>sample</w:t>
      </w:r>
      <w:r>
        <w:rPr>
          <w:rFonts w:ascii="Calibri" w:hAnsi="Calibri" w:cs="Calibri"/>
        </w:rPr>
        <w:t xml:space="preserve"> will be offered $20 for completion of each survey </w:t>
      </w:r>
      <w:r w:rsidR="00B009E8">
        <w:rPr>
          <w:rFonts w:ascii="Calibri" w:hAnsi="Calibri" w:cs="Calibri"/>
        </w:rPr>
        <w:t xml:space="preserve">in which </w:t>
      </w:r>
      <w:r>
        <w:rPr>
          <w:rFonts w:ascii="Calibri" w:hAnsi="Calibri" w:cs="Calibri"/>
        </w:rPr>
        <w:t xml:space="preserve">they participate. </w:t>
      </w:r>
      <w:r w:rsidR="008E2FAB">
        <w:rPr>
          <w:rFonts w:ascii="Calibri" w:hAnsi="Calibri" w:cs="Calibri"/>
        </w:rPr>
        <w:t>As demonstrated in Section A</w:t>
      </w:r>
      <w:r w:rsidR="00C61E7E">
        <w:rPr>
          <w:rFonts w:ascii="Calibri" w:hAnsi="Calibri" w:cs="Calibri"/>
        </w:rPr>
        <w:t>12</w:t>
      </w:r>
      <w:r w:rsidR="008E2FAB">
        <w:rPr>
          <w:rFonts w:ascii="Calibri" w:hAnsi="Calibri" w:cs="Calibri"/>
        </w:rPr>
        <w:t xml:space="preserve"> Exhibit1A</w:t>
      </w:r>
      <w:r w:rsidR="00C61E7E">
        <w:rPr>
          <w:rFonts w:ascii="Calibri" w:hAnsi="Calibri" w:cs="Calibri"/>
        </w:rPr>
        <w:t>, d</w:t>
      </w:r>
      <w:r w:rsidR="008E2FAB">
        <w:rPr>
          <w:rFonts w:ascii="Calibri" w:hAnsi="Calibri" w:cs="Calibri"/>
        </w:rPr>
        <w:t>ifferential incentives are req</w:t>
      </w:r>
      <w:r w:rsidR="00C61E7E">
        <w:rPr>
          <w:rFonts w:ascii="Calibri" w:hAnsi="Calibri" w:cs="Calibri"/>
        </w:rPr>
        <w:t xml:space="preserve">uested </w:t>
      </w:r>
      <w:r w:rsidR="008E2FAB">
        <w:rPr>
          <w:rFonts w:ascii="Calibri" w:hAnsi="Calibri" w:cs="Calibri"/>
        </w:rPr>
        <w:t>for the ABS-sourced sample as there is no long-standing history of survey participation or panel relationship with those respondents. These incentive structures are customary for initial empanelment of the ABS-sourced cohort</w:t>
      </w:r>
      <w:r w:rsidR="00EA0623">
        <w:rPr>
          <w:rFonts w:ascii="Calibri" w:hAnsi="Calibri" w:cs="Calibri"/>
        </w:rPr>
        <w:t xml:space="preserve">; this incentive would represent a continuation of incentive approved under </w:t>
      </w:r>
      <w:r w:rsidR="002D673B" w:rsidRPr="002D673B">
        <w:rPr>
          <w:rFonts w:asciiTheme="minorHAnsi" w:hAnsiTheme="minorHAnsi"/>
        </w:rPr>
        <w:t>currently-approved ICR 0920-0923</w:t>
      </w:r>
      <w:r w:rsidR="008E2FAB">
        <w:rPr>
          <w:rFonts w:ascii="Calibri" w:hAnsi="Calibri" w:cs="Calibri"/>
        </w:rPr>
        <w:t>.</w:t>
      </w:r>
      <w:r w:rsidR="002D673B">
        <w:rPr>
          <w:rFonts w:ascii="Calibri" w:hAnsi="Calibri" w:cs="Calibri"/>
        </w:rPr>
        <w:t xml:space="preserve"> </w:t>
      </w:r>
      <w:r>
        <w:rPr>
          <w:rFonts w:ascii="Calibri" w:hAnsi="Calibri" w:cs="Calibri"/>
        </w:rPr>
        <w:t xml:space="preserve">An </w:t>
      </w:r>
      <w:r w:rsidR="00B248A2">
        <w:rPr>
          <w:rFonts w:ascii="Calibri" w:hAnsi="Calibri" w:cs="Calibri"/>
        </w:rPr>
        <w:t xml:space="preserve">incentive of </w:t>
      </w:r>
      <w:r w:rsidR="00FA2B5E">
        <w:rPr>
          <w:rFonts w:ascii="Calibri" w:hAnsi="Calibri" w:cs="Calibri"/>
        </w:rPr>
        <w:t xml:space="preserve">$40 </w:t>
      </w:r>
      <w:r>
        <w:rPr>
          <w:rFonts w:ascii="Calibri" w:hAnsi="Calibri" w:cs="Calibri"/>
        </w:rPr>
        <w:t xml:space="preserve">will be offered to ABS-sourced respondents who do not have </w:t>
      </w:r>
      <w:r w:rsidR="00A40B10">
        <w:rPr>
          <w:rFonts w:ascii="Calibri" w:hAnsi="Calibri" w:cs="Calibri"/>
        </w:rPr>
        <w:t>I</w:t>
      </w:r>
      <w:r>
        <w:rPr>
          <w:rFonts w:ascii="Calibri" w:hAnsi="Calibri" w:cs="Calibri"/>
        </w:rPr>
        <w:t xml:space="preserve">nternet capability and must seek out public computers or other types of internet access to complete the online surveys. </w:t>
      </w:r>
      <w:r w:rsidR="00FF1124" w:rsidRPr="00FF1124">
        <w:rPr>
          <w:rFonts w:ascii="Calibri" w:hAnsi="Calibri" w:cs="Calibri"/>
        </w:rPr>
        <w:t xml:space="preserve">This additional incentive for non-Internet households is meant to encourage their participation and appropriately </w:t>
      </w:r>
      <w:r w:rsidR="00B009E8">
        <w:rPr>
          <w:rFonts w:ascii="Calibri" w:hAnsi="Calibri" w:cs="Calibri"/>
        </w:rPr>
        <w:t xml:space="preserve">acknowledge </w:t>
      </w:r>
      <w:r w:rsidR="00FF1124" w:rsidRPr="00FF1124">
        <w:rPr>
          <w:rFonts w:ascii="Calibri" w:hAnsi="Calibri" w:cs="Calibri"/>
        </w:rPr>
        <w:t>their time and effort</w:t>
      </w:r>
      <w:r w:rsidR="00A40B10">
        <w:rPr>
          <w:rFonts w:ascii="Calibri" w:hAnsi="Calibri" w:cs="Calibri"/>
        </w:rPr>
        <w:t xml:space="preserve"> </w:t>
      </w:r>
      <w:r w:rsidR="00B009E8">
        <w:rPr>
          <w:rFonts w:ascii="Calibri" w:hAnsi="Calibri" w:cs="Calibri"/>
        </w:rPr>
        <w:t>in</w:t>
      </w:r>
      <w:r w:rsidR="00A40B10">
        <w:rPr>
          <w:rFonts w:ascii="Calibri" w:hAnsi="Calibri" w:cs="Calibri"/>
        </w:rPr>
        <w:t xml:space="preserve"> seeking a computer with Internet access</w:t>
      </w:r>
      <w:r w:rsidR="00FF1124" w:rsidRPr="00FF1124">
        <w:rPr>
          <w:rFonts w:ascii="Calibri" w:hAnsi="Calibri" w:cs="Calibri"/>
        </w:rPr>
        <w:t xml:space="preserve">. </w:t>
      </w:r>
      <w:r w:rsidR="00A40B10">
        <w:rPr>
          <w:rFonts w:ascii="Calibri" w:hAnsi="Calibri" w:cs="Calibri"/>
        </w:rPr>
        <w:t xml:space="preserve">Offering </w:t>
      </w:r>
      <w:r w:rsidR="00FF1124" w:rsidRPr="00FF1124">
        <w:rPr>
          <w:rFonts w:ascii="Calibri" w:hAnsi="Calibri" w:cs="Calibri"/>
        </w:rPr>
        <w:t>this</w:t>
      </w:r>
      <w:r w:rsidR="00A40B10">
        <w:rPr>
          <w:rFonts w:ascii="Calibri" w:hAnsi="Calibri" w:cs="Calibri"/>
        </w:rPr>
        <w:t xml:space="preserve"> incentive</w:t>
      </w:r>
      <w:r w:rsidR="00FF1124" w:rsidRPr="00FF1124">
        <w:rPr>
          <w:rFonts w:ascii="Calibri" w:hAnsi="Calibri" w:cs="Calibri"/>
        </w:rPr>
        <w:t xml:space="preserve"> is a more cost-efficient way of including </w:t>
      </w:r>
      <w:r w:rsidR="007043F3">
        <w:rPr>
          <w:rFonts w:ascii="Calibri" w:hAnsi="Calibri" w:cs="Calibri"/>
        </w:rPr>
        <w:t xml:space="preserve">lower-income, </w:t>
      </w:r>
      <w:r w:rsidR="00FF1124" w:rsidRPr="00FF1124">
        <w:rPr>
          <w:rFonts w:ascii="Calibri" w:hAnsi="Calibri" w:cs="Calibri"/>
        </w:rPr>
        <w:t xml:space="preserve">non-Internet households in the survey compared to GfK’s usual protocol of providing free netbook laptops and Internet access to non-Internet households. Providing laptops and Internet access to non-Internet households is prohibitively expensive to this project and thus we are offering the additional incentive as a lower-cost alternative to encourage participation of non-Internet households. </w:t>
      </w:r>
      <w:r>
        <w:rPr>
          <w:rFonts w:ascii="Calibri" w:hAnsi="Calibri" w:cs="Calibri"/>
        </w:rPr>
        <w:t>Participants recruited from the existing KnowledgePanel will be offered 15,000 KP bonus points (equivalent to $15 cash)</w:t>
      </w:r>
      <w:r w:rsidR="00B656AC">
        <w:rPr>
          <w:rFonts w:ascii="Calibri" w:hAnsi="Calibri" w:cs="Calibri"/>
        </w:rPr>
        <w:t>,</w:t>
      </w:r>
      <w:r>
        <w:rPr>
          <w:rFonts w:ascii="Calibri" w:hAnsi="Calibri" w:cs="Calibri"/>
        </w:rPr>
        <w:t xml:space="preserve"> which are credited to the KnowledgePanel participant’s account and redeemable for merchandise or cash in increments of $5 or more.</w:t>
      </w:r>
      <w:r w:rsidR="002F643C">
        <w:rPr>
          <w:rFonts w:ascii="Calibri" w:hAnsi="Calibri" w:cs="Calibri"/>
        </w:rPr>
        <w:t xml:space="preserve"> This is </w:t>
      </w:r>
      <w:r w:rsidR="00401DEC">
        <w:rPr>
          <w:rFonts w:ascii="Calibri" w:hAnsi="Calibri" w:cs="Calibri"/>
        </w:rPr>
        <w:t>the</w:t>
      </w:r>
      <w:r w:rsidR="002F643C">
        <w:rPr>
          <w:rFonts w:ascii="Calibri" w:hAnsi="Calibri" w:cs="Calibri"/>
        </w:rPr>
        <w:t xml:space="preserve"> standard incentive amount for KnowledgePanel surveys</w:t>
      </w:r>
      <w:r w:rsidR="00401DEC">
        <w:rPr>
          <w:rFonts w:ascii="Calibri" w:hAnsi="Calibri" w:cs="Calibri"/>
        </w:rPr>
        <w:t xml:space="preserve"> and is utilized to maintain consistency of survey response within KnowledgePanel.</w:t>
      </w:r>
      <w:r w:rsidR="004F2F20">
        <w:rPr>
          <w:rFonts w:ascii="Calibri" w:hAnsi="Calibri" w:cs="Calibri"/>
        </w:rPr>
        <w:t xml:space="preserve">. </w:t>
      </w:r>
    </w:p>
    <w:p w14:paraId="79C253CA" w14:textId="77777777" w:rsidR="00B56137" w:rsidRDefault="00B56137" w:rsidP="00B56137">
      <w:pPr>
        <w:pStyle w:val="bodytextpsg"/>
        <w:spacing w:after="0" w:line="240" w:lineRule="auto"/>
        <w:rPr>
          <w:rFonts w:ascii="Calibri" w:hAnsi="Calibri" w:cs="Calibri"/>
        </w:rPr>
      </w:pPr>
    </w:p>
    <w:p w14:paraId="2F15549C" w14:textId="5E2AA23E" w:rsidR="00421810" w:rsidRDefault="0035525E" w:rsidP="001B19D4">
      <w:pPr>
        <w:pStyle w:val="bodytextpsg"/>
        <w:spacing w:after="0" w:line="240" w:lineRule="auto"/>
        <w:rPr>
          <w:rFonts w:ascii="Calibri" w:hAnsi="Calibri" w:cs="Calibri"/>
        </w:rPr>
      </w:pPr>
      <w:r w:rsidRPr="00824350">
        <w:rPr>
          <w:rFonts w:ascii="Calibri" w:hAnsi="Calibri" w:cs="Calibri"/>
        </w:rPr>
        <w:t xml:space="preserve">The incentives are intended to recognize the time burden placed on participants, encourage their cooperation, and to convey appreciation for contributing to this important </w:t>
      </w:r>
      <w:r w:rsidR="00936040">
        <w:rPr>
          <w:rFonts w:ascii="Calibri" w:hAnsi="Calibri" w:cs="Calibri"/>
        </w:rPr>
        <w:t>evaluation</w:t>
      </w:r>
      <w:r w:rsidRPr="00824350">
        <w:rPr>
          <w:rFonts w:ascii="Calibri" w:hAnsi="Calibri" w:cs="Calibri"/>
        </w:rPr>
        <w:t xml:space="preserve"> and are similar to incentives that are offered for most surveys among participants</w:t>
      </w:r>
      <w:r w:rsidR="00481B5F">
        <w:rPr>
          <w:rFonts w:ascii="Calibri" w:hAnsi="Calibri" w:cs="Calibri"/>
        </w:rPr>
        <w:t xml:space="preserve"> in panel-based Web surveys</w:t>
      </w:r>
      <w:r w:rsidRPr="00824350">
        <w:rPr>
          <w:rFonts w:ascii="Calibri" w:hAnsi="Calibri" w:cs="Calibri"/>
        </w:rPr>
        <w:t xml:space="preserve">. Numerous empirical studies have shown that incentives can significantly increase response rates (e.g., Abreu &amp; Winters, 1999; Shettle &amp; Mooney, 1999). The decision to use incentives for this study is </w:t>
      </w:r>
      <w:r w:rsidR="00936040">
        <w:rPr>
          <w:rFonts w:ascii="Calibri" w:hAnsi="Calibri" w:cs="Calibri"/>
        </w:rPr>
        <w:t>further justified</w:t>
      </w:r>
      <w:r w:rsidRPr="00824350">
        <w:rPr>
          <w:rFonts w:ascii="Calibri" w:hAnsi="Calibri" w:cs="Calibri"/>
        </w:rPr>
        <w:t xml:space="preserve"> on the need to ensure high retention from </w:t>
      </w:r>
      <w:r w:rsidR="001B19D4">
        <w:rPr>
          <w:rFonts w:ascii="Calibri" w:hAnsi="Calibri" w:cs="Calibri"/>
        </w:rPr>
        <w:t>Wave A</w:t>
      </w:r>
      <w:r w:rsidR="002F0F64" w:rsidRPr="00824350">
        <w:rPr>
          <w:rFonts w:ascii="Calibri" w:hAnsi="Calibri" w:cs="Calibri"/>
        </w:rPr>
        <w:t xml:space="preserve"> </w:t>
      </w:r>
      <w:r w:rsidR="001B19D4">
        <w:rPr>
          <w:rFonts w:ascii="Calibri" w:hAnsi="Calibri" w:cs="Calibri"/>
        </w:rPr>
        <w:t xml:space="preserve">to Wave </w:t>
      </w:r>
      <w:r w:rsidR="00672123">
        <w:rPr>
          <w:rFonts w:ascii="Calibri" w:hAnsi="Calibri" w:cs="Calibri"/>
        </w:rPr>
        <w:t>D</w:t>
      </w:r>
      <w:r w:rsidR="001B19D4">
        <w:rPr>
          <w:rFonts w:ascii="Calibri" w:hAnsi="Calibri" w:cs="Calibri"/>
        </w:rPr>
        <w:t xml:space="preserve"> </w:t>
      </w:r>
      <w:r w:rsidRPr="00824350">
        <w:rPr>
          <w:rFonts w:ascii="Calibri" w:hAnsi="Calibri" w:cs="Calibri"/>
        </w:rPr>
        <w:t xml:space="preserve">in order to retain the necessary analytic power of the longitudinal </w:t>
      </w:r>
      <w:r w:rsidR="009B3848">
        <w:rPr>
          <w:rFonts w:ascii="Calibri" w:hAnsi="Calibri" w:cs="Calibri"/>
        </w:rPr>
        <w:t>study</w:t>
      </w:r>
      <w:r w:rsidRPr="00824350">
        <w:rPr>
          <w:rFonts w:ascii="Calibri" w:hAnsi="Calibri" w:cs="Calibri"/>
        </w:rPr>
        <w:t xml:space="preserve">. </w:t>
      </w:r>
      <w:bookmarkStart w:id="6" w:name="_Toc152464657"/>
      <w:bookmarkEnd w:id="5"/>
      <w:r w:rsidR="00B56447">
        <w:rPr>
          <w:rFonts w:ascii="Calibri" w:hAnsi="Calibri" w:cs="Calibri"/>
        </w:rPr>
        <w:t>The higher payment to respondents in the ABS-sourced longitudinal cohort is needed to encourage participation among individuals who do not have previous experience with online surveys or panels</w:t>
      </w:r>
      <w:r w:rsidR="00442456">
        <w:rPr>
          <w:rFonts w:ascii="Calibri" w:hAnsi="Calibri" w:cs="Calibri"/>
        </w:rPr>
        <w:t xml:space="preserve"> and who may have barriers to participation, such as lack of convenient in-home access to the Internet</w:t>
      </w:r>
      <w:r w:rsidR="00B56447">
        <w:rPr>
          <w:rFonts w:ascii="Calibri" w:hAnsi="Calibri" w:cs="Calibri"/>
        </w:rPr>
        <w:t xml:space="preserve">. </w:t>
      </w:r>
      <w:r w:rsidR="00653C40">
        <w:rPr>
          <w:rFonts w:ascii="Calibri" w:hAnsi="Calibri" w:cs="Calibri"/>
        </w:rPr>
        <w:t>The specific amounts of the proposed incentives are based on several previous projects conducted by RTI and GfK Custom Research, which found that use of similar incentives increased response rates among adults, particularly for retention in longitudinal studies.</w:t>
      </w:r>
    </w:p>
    <w:bookmarkEnd w:id="6"/>
    <w:p w14:paraId="605BB19F" w14:textId="77777777" w:rsidR="0035525E" w:rsidRDefault="0035525E" w:rsidP="00B56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14:paraId="38BA0F82" w14:textId="77777777" w:rsidR="00442456" w:rsidRDefault="00442456" w:rsidP="00B56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14:paraId="54F1B389" w14:textId="77777777"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t>A.10.      Assurance of Confidentiality Provided to Respondents</w:t>
      </w:r>
    </w:p>
    <w:p w14:paraId="57816948" w14:textId="77777777"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2C8F96BF" w14:textId="77777777" w:rsidR="00421810" w:rsidRPr="00421810" w:rsidRDefault="00421810" w:rsidP="00421810">
      <w:pPr>
        <w:widowControl/>
        <w:rPr>
          <w:rFonts w:asciiTheme="minorHAnsi" w:hAnsiTheme="minorHAnsi"/>
          <w:b/>
          <w:szCs w:val="24"/>
        </w:rPr>
      </w:pPr>
      <w:r w:rsidRPr="00421810">
        <w:rPr>
          <w:rFonts w:asciiTheme="minorHAnsi" w:hAnsiTheme="minorHAnsi"/>
          <w:b/>
          <w:szCs w:val="24"/>
        </w:rPr>
        <w:t>A.10.1</w:t>
      </w:r>
      <w:r w:rsidRPr="00421810">
        <w:rPr>
          <w:rFonts w:asciiTheme="minorHAnsi" w:hAnsiTheme="minorHAnsi"/>
          <w:b/>
          <w:szCs w:val="24"/>
        </w:rPr>
        <w:tab/>
        <w:t xml:space="preserve">    Privacy Impact Assessment Information</w:t>
      </w:r>
    </w:p>
    <w:p w14:paraId="1B96E758" w14:textId="77777777" w:rsidR="00421810" w:rsidRPr="00421810" w:rsidRDefault="00421810" w:rsidP="00421810">
      <w:pPr>
        <w:widowControl/>
        <w:rPr>
          <w:rFonts w:asciiTheme="minorHAnsi" w:hAnsiTheme="minorHAnsi"/>
          <w:b/>
          <w:szCs w:val="24"/>
        </w:rPr>
      </w:pPr>
    </w:p>
    <w:p w14:paraId="4AE47913" w14:textId="77777777" w:rsidR="00421810" w:rsidRPr="00421810" w:rsidRDefault="00421810" w:rsidP="00421810">
      <w:pPr>
        <w:rPr>
          <w:rFonts w:asciiTheme="minorHAnsi" w:hAnsiTheme="minorHAnsi" w:cs="Arial"/>
          <w:szCs w:val="24"/>
        </w:rPr>
      </w:pPr>
    </w:p>
    <w:p w14:paraId="3A05AD23" w14:textId="77777777" w:rsidR="00421810" w:rsidRPr="00421810" w:rsidRDefault="00421810" w:rsidP="00421810">
      <w:pPr>
        <w:rPr>
          <w:rFonts w:asciiTheme="minorHAnsi" w:hAnsiTheme="minorHAnsi" w:cs="Arial"/>
          <w:szCs w:val="24"/>
          <w:u w:val="single"/>
        </w:rPr>
      </w:pPr>
      <w:r w:rsidRPr="00421810">
        <w:rPr>
          <w:rFonts w:asciiTheme="minorHAnsi" w:hAnsiTheme="minorHAnsi" w:cs="Arial"/>
          <w:szCs w:val="24"/>
          <w:u w:val="single"/>
        </w:rPr>
        <w:t>Impact on Respondents’ Privacy</w:t>
      </w:r>
    </w:p>
    <w:p w14:paraId="06CFEC63" w14:textId="77777777" w:rsidR="00421810" w:rsidRPr="00421810" w:rsidRDefault="00421810" w:rsidP="00421810">
      <w:pPr>
        <w:rPr>
          <w:rFonts w:asciiTheme="minorHAnsi" w:hAnsiTheme="minorHAnsi" w:cs="Arial"/>
          <w:szCs w:val="24"/>
          <w:u w:val="single"/>
        </w:rPr>
      </w:pPr>
    </w:p>
    <w:p w14:paraId="71AC4F2E" w14:textId="77777777" w:rsidR="00421810" w:rsidRPr="00421810" w:rsidRDefault="00421810" w:rsidP="00421810">
      <w:pPr>
        <w:ind w:firstLine="720"/>
        <w:rPr>
          <w:rFonts w:asciiTheme="minorHAnsi" w:hAnsiTheme="minorHAnsi" w:cs="Arial"/>
          <w:szCs w:val="24"/>
          <w:u w:val="single"/>
        </w:rPr>
      </w:pPr>
      <w:r w:rsidRPr="00421810">
        <w:rPr>
          <w:rFonts w:asciiTheme="minorHAnsi" w:hAnsiTheme="minorHAnsi" w:cs="Arial"/>
          <w:szCs w:val="24"/>
        </w:rPr>
        <w:t>No personally identifiable data will be shared with the data analysis contractor (RTI International) or the funding agency (CDC) and therefore will not be reportable (or reported) in any technical reports or publications. Only aggregate respondent data will be shared and disseminated publicly. Therefore, there is no impact of this study on individual respondents’ privacy.</w:t>
      </w:r>
    </w:p>
    <w:p w14:paraId="7A6680E8" w14:textId="77777777" w:rsidR="00421810" w:rsidRPr="00421810" w:rsidRDefault="00421810" w:rsidP="00421810">
      <w:pPr>
        <w:rPr>
          <w:rFonts w:asciiTheme="minorHAnsi" w:hAnsiTheme="minorHAnsi" w:cs="Arial"/>
          <w:szCs w:val="24"/>
          <w:u w:val="single"/>
        </w:rPr>
      </w:pPr>
    </w:p>
    <w:p w14:paraId="496C4562" w14:textId="77777777" w:rsidR="00421810" w:rsidRPr="00421810" w:rsidRDefault="00421810" w:rsidP="00421810">
      <w:pPr>
        <w:rPr>
          <w:rFonts w:asciiTheme="minorHAnsi" w:hAnsiTheme="minorHAnsi" w:cs="Arial"/>
          <w:szCs w:val="24"/>
          <w:u w:val="single"/>
        </w:rPr>
      </w:pPr>
      <w:r w:rsidRPr="00421810">
        <w:rPr>
          <w:rFonts w:asciiTheme="minorHAnsi" w:hAnsiTheme="minorHAnsi" w:cs="Arial"/>
          <w:szCs w:val="24"/>
          <w:u w:val="single"/>
        </w:rPr>
        <w:t>Informing Respondents’ that Participation is Voluntary</w:t>
      </w:r>
    </w:p>
    <w:p w14:paraId="59AE993E" w14:textId="77777777" w:rsidR="00421810" w:rsidRPr="00421810" w:rsidRDefault="00421810" w:rsidP="00421810">
      <w:pPr>
        <w:rPr>
          <w:rFonts w:asciiTheme="minorHAnsi" w:hAnsiTheme="minorHAnsi" w:cs="Arial"/>
          <w:szCs w:val="24"/>
          <w:u w:val="single"/>
        </w:rPr>
      </w:pPr>
    </w:p>
    <w:p w14:paraId="1A39B4CB" w14:textId="51C37CA9" w:rsidR="00421810" w:rsidRPr="00421810" w:rsidRDefault="00DE57A9" w:rsidP="0042181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Pr>
          <w:rFonts w:asciiTheme="minorHAnsi" w:hAnsiTheme="minorHAnsi"/>
          <w:szCs w:val="24"/>
        </w:rPr>
        <w:t xml:space="preserve">             </w:t>
      </w:r>
      <w:r w:rsidR="00421810" w:rsidRPr="00421810">
        <w:rPr>
          <w:rFonts w:asciiTheme="minorHAnsi" w:hAnsiTheme="minorHAnsi"/>
          <w:szCs w:val="24"/>
        </w:rPr>
        <w:t xml:space="preserve">The Screening &amp; Consent Questionnaire (see </w:t>
      </w:r>
      <w:r w:rsidR="00421810" w:rsidRPr="00421810">
        <w:rPr>
          <w:rFonts w:asciiTheme="minorHAnsi" w:hAnsiTheme="minorHAnsi"/>
          <w:b/>
          <w:bCs/>
          <w:szCs w:val="24"/>
        </w:rPr>
        <w:t xml:space="preserve">Attachment </w:t>
      </w:r>
      <w:r w:rsidR="004027CF">
        <w:rPr>
          <w:rFonts w:asciiTheme="minorHAnsi" w:hAnsiTheme="minorHAnsi"/>
          <w:b/>
          <w:bCs/>
          <w:szCs w:val="24"/>
        </w:rPr>
        <w:t>C</w:t>
      </w:r>
      <w:r w:rsidR="00421810" w:rsidRPr="00421810">
        <w:rPr>
          <w:rFonts w:asciiTheme="minorHAnsi" w:hAnsiTheme="minorHAnsi"/>
          <w:szCs w:val="24"/>
        </w:rPr>
        <w:t xml:space="preserve">) will apprise respondents that participation is voluntary and that they need not answer any question that makes them feel uncomfortable or that they simply do not wish to answer. Participants may opt out of the survey at any time. </w:t>
      </w:r>
    </w:p>
    <w:p w14:paraId="32D99E59" w14:textId="77777777" w:rsidR="00421810" w:rsidRPr="00421810" w:rsidRDefault="00421810" w:rsidP="00421810">
      <w:pPr>
        <w:rPr>
          <w:rFonts w:asciiTheme="minorHAnsi" w:hAnsiTheme="minorHAnsi" w:cs="Arial"/>
          <w:szCs w:val="24"/>
          <w:u w:val="single"/>
        </w:rPr>
      </w:pPr>
    </w:p>
    <w:p w14:paraId="619C8490" w14:textId="77777777" w:rsidR="00421810" w:rsidRPr="00421810" w:rsidRDefault="00421810" w:rsidP="00421810">
      <w:pPr>
        <w:rPr>
          <w:rFonts w:asciiTheme="minorHAnsi" w:hAnsiTheme="minorHAnsi" w:cs="Arial"/>
          <w:szCs w:val="24"/>
          <w:u w:val="single"/>
        </w:rPr>
      </w:pPr>
      <w:r w:rsidRPr="00421810">
        <w:rPr>
          <w:rFonts w:asciiTheme="minorHAnsi" w:hAnsiTheme="minorHAnsi" w:cs="Arial"/>
          <w:szCs w:val="24"/>
          <w:u w:val="single"/>
        </w:rPr>
        <w:t>Opportunities to Consent to Sharing Information Collected</w:t>
      </w:r>
    </w:p>
    <w:p w14:paraId="4C96660C" w14:textId="77777777" w:rsidR="00421810" w:rsidRPr="00421810" w:rsidRDefault="00421810" w:rsidP="00421810">
      <w:pPr>
        <w:pStyle w:val="ListParagraph"/>
        <w:widowControl/>
        <w:rPr>
          <w:rFonts w:asciiTheme="minorHAnsi" w:hAnsiTheme="minorHAnsi"/>
          <w:color w:val="1F497D"/>
          <w:highlight w:val="yellow"/>
        </w:rPr>
      </w:pPr>
    </w:p>
    <w:p w14:paraId="0662F225" w14:textId="77777777" w:rsidR="002759DB" w:rsidRDefault="002759DB" w:rsidP="002759DB">
      <w:pPr>
        <w:pStyle w:val="bodytextpsg"/>
        <w:spacing w:after="0" w:line="240" w:lineRule="auto"/>
        <w:rPr>
          <w:rFonts w:ascii="Calibri" w:hAnsi="Calibri" w:cs="Calibri"/>
        </w:rPr>
      </w:pPr>
      <w:r w:rsidRPr="00C45BDB">
        <w:rPr>
          <w:rFonts w:ascii="Calibri" w:hAnsi="Calibri" w:cs="Calibri"/>
        </w:rPr>
        <w:t>The voluntary nature of the information collection is described in the introductory section of the screener questionnaire (</w:t>
      </w:r>
      <w:r w:rsidRPr="00C45BDB">
        <w:rPr>
          <w:rFonts w:ascii="Calibri" w:hAnsi="Calibri" w:cs="Calibri"/>
          <w:b/>
          <w:bCs/>
        </w:rPr>
        <w:t xml:space="preserve">Attachment </w:t>
      </w:r>
      <w:r>
        <w:rPr>
          <w:rFonts w:ascii="Calibri" w:hAnsi="Calibri" w:cs="Calibri"/>
          <w:b/>
          <w:bCs/>
        </w:rPr>
        <w:t>C</w:t>
      </w:r>
      <w:r w:rsidRPr="00C45BDB">
        <w:rPr>
          <w:rFonts w:ascii="Calibri" w:hAnsi="Calibri" w:cs="Calibri"/>
        </w:rPr>
        <w:t>) and the initial invitation letter for ABS-sourced respondents (</w:t>
      </w:r>
      <w:r w:rsidRPr="00C45BDB">
        <w:rPr>
          <w:rFonts w:ascii="Calibri" w:hAnsi="Calibri" w:cs="Calibri"/>
          <w:b/>
        </w:rPr>
        <w:t xml:space="preserve">Attachment </w:t>
      </w:r>
      <w:r>
        <w:rPr>
          <w:rFonts w:ascii="Calibri" w:hAnsi="Calibri" w:cs="Calibri"/>
          <w:b/>
        </w:rPr>
        <w:t>I</w:t>
      </w:r>
      <w:r w:rsidRPr="00C45BDB">
        <w:rPr>
          <w:rFonts w:ascii="Calibri" w:hAnsi="Calibri" w:cs="Calibri"/>
          <w:b/>
        </w:rPr>
        <w:t>-1</w:t>
      </w:r>
      <w:r w:rsidRPr="00C45BDB">
        <w:rPr>
          <w:rFonts w:ascii="Calibri" w:hAnsi="Calibri" w:cs="Calibri"/>
        </w:rPr>
        <w:t>) and initial contact email for KnowledgePanel respondents (</w:t>
      </w:r>
      <w:r w:rsidRPr="00C45BDB">
        <w:rPr>
          <w:rFonts w:ascii="Calibri" w:hAnsi="Calibri" w:cs="Calibri"/>
          <w:b/>
          <w:bCs/>
        </w:rPr>
        <w:t xml:space="preserve">Attachment </w:t>
      </w:r>
      <w:r>
        <w:rPr>
          <w:rFonts w:ascii="Calibri" w:hAnsi="Calibri" w:cs="Calibri"/>
          <w:b/>
          <w:bCs/>
        </w:rPr>
        <w:t>I</w:t>
      </w:r>
      <w:r w:rsidRPr="00C45BDB">
        <w:rPr>
          <w:rFonts w:ascii="Calibri" w:hAnsi="Calibri" w:cs="Calibri"/>
          <w:b/>
          <w:bCs/>
        </w:rPr>
        <w:t>-2</w:t>
      </w:r>
      <w:r w:rsidRPr="00C45BDB">
        <w:rPr>
          <w:rFonts w:ascii="Calibri" w:hAnsi="Calibri" w:cs="Calibri"/>
        </w:rPr>
        <w:t>).</w:t>
      </w:r>
    </w:p>
    <w:p w14:paraId="01BC6C7D" w14:textId="1CF027F2" w:rsidR="002759DB" w:rsidRPr="00C45BDB" w:rsidRDefault="002759DB" w:rsidP="002759DB">
      <w:pPr>
        <w:pStyle w:val="bodytextpsg"/>
        <w:spacing w:after="0" w:line="240" w:lineRule="auto"/>
        <w:rPr>
          <w:rFonts w:ascii="Calibri" w:hAnsi="Calibri" w:cs="Calibri"/>
        </w:rPr>
      </w:pPr>
      <w:r w:rsidRPr="00C45BDB">
        <w:rPr>
          <w:rFonts w:ascii="Calibri" w:hAnsi="Calibri" w:cs="Calibri"/>
        </w:rPr>
        <w:t xml:space="preserve">All respondents will be assured that the information they provide will be maintained in a secure manner and will be used only for the purpose of this </w:t>
      </w:r>
      <w:r>
        <w:rPr>
          <w:rFonts w:ascii="Calibri" w:hAnsi="Calibri" w:cs="Calibri"/>
        </w:rPr>
        <w:t>evaluation</w:t>
      </w:r>
      <w:r w:rsidRPr="00C45BDB">
        <w:rPr>
          <w:rFonts w:ascii="Calibri" w:hAnsi="Calibri" w:cs="Calibri"/>
        </w:rPr>
        <w:t>.</w:t>
      </w:r>
      <w:r>
        <w:rPr>
          <w:rFonts w:ascii="Calibri" w:hAnsi="Calibri" w:cs="Calibri"/>
        </w:rPr>
        <w:t xml:space="preserve"> </w:t>
      </w:r>
      <w:r w:rsidRPr="00C45BDB">
        <w:rPr>
          <w:rFonts w:ascii="Calibri" w:hAnsi="Calibri" w:cs="Calibri"/>
        </w:rPr>
        <w:t xml:space="preserve"> Please refer to the assurances and study descriptions that are included in the screening instrument (</w:t>
      </w:r>
      <w:r w:rsidRPr="00C45BDB">
        <w:rPr>
          <w:rFonts w:ascii="Calibri" w:hAnsi="Calibri" w:cs="Calibri"/>
          <w:b/>
        </w:rPr>
        <w:t xml:space="preserve">Attachment </w:t>
      </w:r>
      <w:r>
        <w:rPr>
          <w:rFonts w:ascii="Calibri" w:hAnsi="Calibri" w:cs="Calibri"/>
          <w:b/>
        </w:rPr>
        <w:t>C</w:t>
      </w:r>
      <w:r w:rsidRPr="00C45BDB">
        <w:rPr>
          <w:rFonts w:ascii="Calibri" w:hAnsi="Calibri" w:cs="Calibri"/>
        </w:rP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2C4EACF" w14:textId="77777777" w:rsidR="00071B2F" w:rsidRDefault="00071B2F" w:rsidP="00421810">
      <w:pPr>
        <w:ind w:firstLine="720"/>
        <w:rPr>
          <w:rFonts w:asciiTheme="minorHAnsi" w:hAnsiTheme="minorHAnsi" w:cs="Arial"/>
          <w:szCs w:val="24"/>
        </w:rPr>
      </w:pPr>
    </w:p>
    <w:p w14:paraId="3770E8E8" w14:textId="77777777" w:rsidR="00421810" w:rsidRPr="00421810" w:rsidRDefault="00421810" w:rsidP="00421810">
      <w:pPr>
        <w:rPr>
          <w:rFonts w:asciiTheme="minorHAnsi" w:hAnsiTheme="minorHAnsi" w:cs="Arial"/>
          <w:szCs w:val="24"/>
          <w:u w:val="single"/>
        </w:rPr>
      </w:pPr>
      <w:r w:rsidRPr="00421810">
        <w:rPr>
          <w:rFonts w:asciiTheme="minorHAnsi" w:hAnsiTheme="minorHAnsi" w:cs="Arial"/>
          <w:szCs w:val="24"/>
          <w:u w:val="single"/>
        </w:rPr>
        <w:t>Securing the Information and Data Collected</w:t>
      </w:r>
    </w:p>
    <w:p w14:paraId="01A3E0BB" w14:textId="77777777" w:rsidR="00421810" w:rsidRPr="00421810" w:rsidRDefault="00421810" w:rsidP="00421810">
      <w:pPr>
        <w:rPr>
          <w:rFonts w:asciiTheme="minorHAnsi" w:hAnsiTheme="minorHAnsi" w:cs="Arial"/>
          <w:szCs w:val="24"/>
          <w:u w:val="single"/>
        </w:rPr>
      </w:pPr>
    </w:p>
    <w:p w14:paraId="06F10E40" w14:textId="6E8323F9" w:rsidR="00421810" w:rsidRDefault="00071B2F" w:rsidP="00421810">
      <w:pPr>
        <w:pStyle w:val="bodytextpsg"/>
        <w:spacing w:after="0" w:line="240" w:lineRule="auto"/>
        <w:contextualSpacing/>
        <w:rPr>
          <w:rFonts w:asciiTheme="minorHAnsi" w:hAnsiTheme="minorHAnsi"/>
        </w:rPr>
      </w:pPr>
      <w:r>
        <w:rPr>
          <w:rFonts w:asciiTheme="minorHAnsi" w:hAnsiTheme="minorHAnsi"/>
        </w:rPr>
        <w:t xml:space="preserve">To ensure data security, all </w:t>
      </w:r>
      <w:r w:rsidR="00421810" w:rsidRPr="00421810">
        <w:rPr>
          <w:rFonts w:asciiTheme="minorHAnsi" w:hAnsiTheme="minorHAnsi"/>
        </w:rPr>
        <w:t xml:space="preserve">RTI and </w:t>
      </w:r>
      <w:r>
        <w:rPr>
          <w:rFonts w:asciiTheme="minorHAnsi" w:hAnsiTheme="minorHAnsi"/>
        </w:rPr>
        <w:t>GfK</w:t>
      </w:r>
      <w:r w:rsidR="00421810" w:rsidRPr="00421810">
        <w:rPr>
          <w:rFonts w:asciiTheme="minorHAnsi" w:hAnsiTheme="minorHAnsi"/>
        </w:rPr>
        <w:t xml:space="preserve"> project staff will be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to the data restricted to only project staff specifically authorized to work on this project. </w:t>
      </w:r>
      <w:r w:rsidR="002759DB">
        <w:rPr>
          <w:rFonts w:asciiTheme="minorHAnsi" w:hAnsiTheme="minorHAnsi"/>
        </w:rPr>
        <w:t>Survey responses are written in real-time directly to GfK’s server and are then stored in a local Oracle database.</w:t>
      </w:r>
      <w:r w:rsidR="002759DB" w:rsidRPr="00421810">
        <w:rPr>
          <w:rFonts w:asciiTheme="minorHAnsi" w:hAnsiTheme="minorHAnsi"/>
        </w:rPr>
        <w:t xml:space="preserve"> </w:t>
      </w:r>
      <w:r>
        <w:rPr>
          <w:rFonts w:asciiTheme="minorHAnsi" w:hAnsiTheme="minorHAnsi"/>
        </w:rPr>
        <w:t>GfK</w:t>
      </w:r>
      <w:r w:rsidR="00421810" w:rsidRPr="00421810">
        <w:rPr>
          <w:rFonts w:asciiTheme="minorHAnsi" w:hAnsiTheme="minorHAnsi"/>
        </w:rPr>
        <w:t xml:space="preserve"> has developed a secure transmission and collection protocol, including the use of system passwords, encryptions, and firewalls to prevent unauthorized access to the data collection system.</w:t>
      </w:r>
      <w:r w:rsidR="002759DB">
        <w:rPr>
          <w:rFonts w:asciiTheme="minorHAnsi" w:hAnsiTheme="minorHAnsi"/>
        </w:rPr>
        <w:t xml:space="preserve"> </w:t>
      </w:r>
      <w:r w:rsidR="00421810" w:rsidRPr="00421810">
        <w:rPr>
          <w:rFonts w:asciiTheme="minorHAnsi" w:hAnsiTheme="minorHAnsi"/>
        </w:rPr>
        <w:t xml:space="preserve">Individual identifying information will be maintained separately from completed questionnaires and from computerized data files used for analysis. Individual identifying information is only stored for purposes of administering survey incentives and no respondent identifiers will be contained in data to RTI or reports to CDC and results will only present data in aggregate. </w:t>
      </w:r>
    </w:p>
    <w:p w14:paraId="68BC5616" w14:textId="77777777" w:rsidR="00071B2F" w:rsidRPr="00421810" w:rsidRDefault="00071B2F" w:rsidP="00421810">
      <w:pPr>
        <w:pStyle w:val="bodytextpsg"/>
        <w:spacing w:after="0" w:line="240" w:lineRule="auto"/>
        <w:contextualSpacing/>
        <w:rPr>
          <w:rFonts w:asciiTheme="minorHAnsi" w:hAnsiTheme="minorHAnsi"/>
        </w:rPr>
      </w:pPr>
    </w:p>
    <w:p w14:paraId="1C3F6F1C" w14:textId="77777777" w:rsidR="00421810" w:rsidRPr="00421810" w:rsidRDefault="00421810" w:rsidP="00421810">
      <w:pPr>
        <w:rPr>
          <w:rFonts w:asciiTheme="minorHAnsi" w:hAnsiTheme="minorHAnsi" w:cs="Arial"/>
          <w:szCs w:val="24"/>
          <w:u w:val="single"/>
        </w:rPr>
      </w:pPr>
      <w:r w:rsidRPr="00421810">
        <w:rPr>
          <w:rFonts w:asciiTheme="minorHAnsi" w:hAnsiTheme="minorHAnsi" w:cs="Arial"/>
          <w:szCs w:val="24"/>
          <w:u w:val="single"/>
        </w:rPr>
        <w:t>System of Records Under Privacy Act</w:t>
      </w:r>
    </w:p>
    <w:p w14:paraId="43A059D9" w14:textId="1CEC8FBD" w:rsidR="00D05D58" w:rsidRDefault="00D05D58" w:rsidP="00421810">
      <w:pPr>
        <w:widowControl/>
        <w:rPr>
          <w:rFonts w:asciiTheme="minorHAnsi" w:hAnsiTheme="minorHAnsi"/>
          <w:color w:val="000000" w:themeColor="text1"/>
        </w:rPr>
      </w:pPr>
    </w:p>
    <w:p w14:paraId="632057C4" w14:textId="77777777" w:rsidR="00D05D58" w:rsidRPr="00824350" w:rsidRDefault="00D05D58" w:rsidP="00D05D58">
      <w:pPr>
        <w:pStyle w:val="bodytextpsg"/>
        <w:spacing w:after="0" w:line="240" w:lineRule="auto"/>
        <w:rPr>
          <w:rFonts w:ascii="Calibri" w:hAnsi="Calibri" w:cs="Calibri"/>
        </w:rPr>
      </w:pPr>
      <w:r w:rsidRPr="00824350">
        <w:rPr>
          <w:rFonts w:ascii="Calibri" w:hAnsi="Calibri" w:cs="Calibri"/>
        </w:rPr>
        <w:t xml:space="preserve">This submission has been reviewed by CDC’s National Center for Chronic Disease Prevention and Health Promotion and CDC’s Information Collection Review Office, which have determined that the Privacy Act does not apply.  Although identifiable information about respondents will be used to facilitate initial contact and follow-up, the identifying information is maintained in a secure, pre-existing records system owned by </w:t>
      </w:r>
      <w:r>
        <w:rPr>
          <w:rFonts w:ascii="Calibri" w:hAnsi="Calibri" w:cs="Calibri"/>
        </w:rPr>
        <w:t>GfK Custom Research</w:t>
      </w:r>
      <w:r w:rsidRPr="00824350">
        <w:rPr>
          <w:rFonts w:ascii="Calibri" w:hAnsi="Calibri" w:cs="Calibri"/>
        </w:rPr>
        <w:t xml:space="preserve">.  The response data transmitted from </w:t>
      </w:r>
      <w:r>
        <w:rPr>
          <w:rFonts w:ascii="Calibri" w:hAnsi="Calibri" w:cs="Calibri"/>
        </w:rPr>
        <w:t>GfK</w:t>
      </w:r>
      <w:r w:rsidRPr="00824350">
        <w:rPr>
          <w:rFonts w:ascii="Calibri" w:hAnsi="Calibri" w:cs="Calibri"/>
        </w:rPr>
        <w:t xml:space="preserve"> to RTI International, the data analysis contractor, will be de-identified prior to transmission and analysis. </w:t>
      </w:r>
      <w:r>
        <w:rPr>
          <w:rFonts w:ascii="Calibri" w:hAnsi="Calibri" w:cs="Calibri"/>
        </w:rPr>
        <w:t>These data will also remain de-identified when transmitted from RTI International to the CDC.</w:t>
      </w:r>
    </w:p>
    <w:p w14:paraId="0DEFB6EF" w14:textId="77777777" w:rsidR="0035525E" w:rsidRPr="00824350" w:rsidRDefault="0035525E" w:rsidP="00F026F2">
      <w:pPr>
        <w:widowControl/>
        <w:rPr>
          <w:rFonts w:ascii="Calibri" w:hAnsi="Calibri" w:cs="Calibri"/>
          <w:szCs w:val="24"/>
        </w:rPr>
      </w:pPr>
      <w:r w:rsidRPr="00824350">
        <w:rPr>
          <w:rFonts w:ascii="Calibri" w:hAnsi="Calibri" w:cs="Calibri"/>
          <w:b/>
          <w:szCs w:val="24"/>
        </w:rPr>
        <w:t xml:space="preserve">A.11.       Justification for Sensitive Questions </w:t>
      </w:r>
    </w:p>
    <w:p w14:paraId="4049ADD7" w14:textId="77777777" w:rsidR="0035525E" w:rsidRPr="00824350" w:rsidRDefault="0035525E" w:rsidP="00FE748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14:paraId="659EE1BA" w14:textId="3A530B7E" w:rsidR="0035525E" w:rsidRDefault="00E72DCB" w:rsidP="00E72D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Pr>
          <w:rFonts w:ascii="Calibri" w:hAnsi="Calibri" w:cs="Calibri"/>
          <w:szCs w:val="24"/>
        </w:rPr>
        <w:tab/>
      </w:r>
      <w:r w:rsidR="0035525E" w:rsidRPr="00824350">
        <w:rPr>
          <w:rFonts w:ascii="Calibri" w:hAnsi="Calibri" w:cs="Calibri"/>
          <w:szCs w:val="24"/>
        </w:rPr>
        <w:t>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messages about smoking, current smoking beha</w:t>
      </w:r>
      <w:r w:rsidR="00F94E75">
        <w:rPr>
          <w:rFonts w:ascii="Calibri" w:hAnsi="Calibri" w:cs="Calibri"/>
          <w:szCs w:val="24"/>
        </w:rPr>
        <w:t>vior, attempts to quit smoking)</w:t>
      </w:r>
      <w:r w:rsidR="0035525E" w:rsidRPr="00824350">
        <w:rPr>
          <w:rFonts w:ascii="Calibri" w:hAnsi="Calibri" w:cs="Calibri"/>
          <w:szCs w:val="24"/>
        </w:rPr>
        <w:t xml:space="preserve"> and some demographic information, such as </w:t>
      </w:r>
      <w:r w:rsidR="00936040">
        <w:rPr>
          <w:rFonts w:ascii="Calibri" w:hAnsi="Calibri" w:cs="Calibri"/>
          <w:szCs w:val="24"/>
        </w:rPr>
        <w:t>r</w:t>
      </w:r>
      <w:r w:rsidR="0035525E" w:rsidRPr="00824350">
        <w:rPr>
          <w:rFonts w:ascii="Calibri" w:hAnsi="Calibri" w:cs="Calibri"/>
          <w:szCs w:val="24"/>
        </w:rPr>
        <w:t>ace</w:t>
      </w:r>
      <w:r w:rsidR="00E10179">
        <w:rPr>
          <w:rFonts w:ascii="Calibri" w:hAnsi="Calibri" w:cs="Calibri"/>
          <w:szCs w:val="24"/>
        </w:rPr>
        <w:t>/</w:t>
      </w:r>
      <w:r w:rsidR="00936040">
        <w:rPr>
          <w:rFonts w:ascii="Calibri" w:hAnsi="Calibri" w:cs="Calibri"/>
          <w:szCs w:val="24"/>
        </w:rPr>
        <w:t>e</w:t>
      </w:r>
      <w:r w:rsidR="0035525E" w:rsidRPr="00824350">
        <w:rPr>
          <w:rFonts w:ascii="Calibri" w:hAnsi="Calibri" w:cs="Calibri"/>
          <w:szCs w:val="24"/>
        </w:rPr>
        <w:t xml:space="preserve">thnicity and </w:t>
      </w:r>
      <w:r w:rsidR="00936040">
        <w:rPr>
          <w:rFonts w:ascii="Calibri" w:hAnsi="Calibri" w:cs="Calibri"/>
          <w:szCs w:val="24"/>
        </w:rPr>
        <w:t>i</w:t>
      </w:r>
      <w:r w:rsidR="0035525E" w:rsidRPr="00824350">
        <w:rPr>
          <w:rFonts w:ascii="Calibri" w:hAnsi="Calibri" w:cs="Calibri"/>
          <w:szCs w:val="24"/>
        </w:rPr>
        <w:t>ncome</w:t>
      </w:r>
      <w:r w:rsidR="00F94E75">
        <w:rPr>
          <w:rFonts w:ascii="Calibri" w:hAnsi="Calibri" w:cs="Calibri"/>
          <w:szCs w:val="24"/>
        </w:rPr>
        <w:t>, could be considered sensitive—</w:t>
      </w:r>
      <w:r w:rsidR="0035525E" w:rsidRPr="00824350">
        <w:rPr>
          <w:rFonts w:ascii="Calibri" w:hAnsi="Calibri" w:cs="Calibri"/>
          <w:szCs w:val="24"/>
        </w:rPr>
        <w:t>but not highly sensitive. To address any concerns about inadvertent disclosure of sensitive information, respondents will be fully informed of the applicable privacy safeguards. The informed consent pro</w:t>
      </w:r>
      <w:r w:rsidR="00481B5F">
        <w:rPr>
          <w:rFonts w:ascii="Calibri" w:hAnsi="Calibri" w:cs="Calibri"/>
          <w:szCs w:val="24"/>
        </w:rPr>
        <w:t>cess</w:t>
      </w:r>
      <w:r w:rsidR="0035525E" w:rsidRPr="00824350">
        <w:rPr>
          <w:rFonts w:ascii="Calibri" w:hAnsi="Calibri" w:cs="Calibri"/>
          <w:szCs w:val="24"/>
        </w:rPr>
        <w:t xml:space="preserve"> (</w:t>
      </w:r>
      <w:r w:rsidR="0035525E" w:rsidRPr="00824350">
        <w:rPr>
          <w:rFonts w:ascii="Calibri" w:hAnsi="Calibri" w:cs="Calibri"/>
          <w:b/>
          <w:bCs/>
          <w:szCs w:val="24"/>
        </w:rPr>
        <w:t xml:space="preserve">Attachment </w:t>
      </w:r>
      <w:r w:rsidR="004027CF">
        <w:rPr>
          <w:rFonts w:ascii="Calibri" w:hAnsi="Calibri" w:cs="Calibri"/>
          <w:b/>
          <w:bCs/>
          <w:szCs w:val="24"/>
        </w:rPr>
        <w:t>C</w:t>
      </w:r>
      <w:r w:rsidR="0035525E" w:rsidRPr="00824350">
        <w:rPr>
          <w:rFonts w:ascii="Calibri" w:hAnsi="Calibri" w:cs="Calibri"/>
          <w:szCs w:val="24"/>
        </w:rPr>
        <w:t>) will apprise respondents that these topics will be covered during the survey. This study includes a number of procedures and methodological characteristics that will minimize potential negative reactions to these types of questions, including:</w:t>
      </w:r>
    </w:p>
    <w:p w14:paraId="1B46877F" w14:textId="77777777" w:rsidR="00E72DCB" w:rsidRPr="00824350" w:rsidRDefault="00E72DCB" w:rsidP="00E72D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7BC8CE54" w14:textId="77777777" w:rsidR="0035525E" w:rsidRPr="00824350" w:rsidRDefault="0035525E" w:rsidP="00E72DCB">
      <w:pPr>
        <w:numPr>
          <w:ilvl w:val="0"/>
          <w:numId w:val="2"/>
        </w:numPr>
        <w:tabs>
          <w:tab w:val="left" w:pos="0"/>
          <w:tab w:val="left" w:pos="720"/>
        </w:tabs>
        <w:outlineLvl w:val="1"/>
        <w:rPr>
          <w:rFonts w:ascii="Calibri" w:hAnsi="Calibri" w:cs="Calibri"/>
          <w:szCs w:val="24"/>
        </w:rPr>
      </w:pPr>
      <w:r w:rsidRPr="00824350">
        <w:rPr>
          <w:rFonts w:ascii="Calibri" w:hAnsi="Calibri" w:cs="Calibri"/>
          <w:szCs w:val="24"/>
        </w:rPr>
        <w:t xml:space="preserve">Respondents will be informed that they need not answer any question that makes them feel uncomfortable or that they simply do not wish to answer.  </w:t>
      </w:r>
    </w:p>
    <w:p w14:paraId="61A05962" w14:textId="77777777" w:rsidR="0035525E" w:rsidRPr="00824350" w:rsidRDefault="0035525E" w:rsidP="00E72DCB">
      <w:pPr>
        <w:numPr>
          <w:ilvl w:val="0"/>
          <w:numId w:val="2"/>
        </w:numPr>
        <w:tabs>
          <w:tab w:val="left" w:pos="0"/>
          <w:tab w:val="left" w:pos="720"/>
        </w:tabs>
        <w:outlineLvl w:val="1"/>
        <w:rPr>
          <w:rFonts w:ascii="Calibri" w:hAnsi="Calibri" w:cs="Calibri"/>
          <w:szCs w:val="24"/>
        </w:rPr>
      </w:pPr>
      <w:r w:rsidRPr="00824350">
        <w:rPr>
          <w:rFonts w:ascii="Calibri" w:hAnsi="Calibri" w:cs="Calibri"/>
          <w:szCs w:val="24"/>
        </w:rPr>
        <w:t>Web surveys are entirely self-administered and maximize respondent privacy without the need to verbalize responses.</w:t>
      </w:r>
    </w:p>
    <w:p w14:paraId="5F9201F4" w14:textId="77777777" w:rsidR="0035525E" w:rsidRPr="00824350" w:rsidRDefault="0035525E" w:rsidP="00E72DCB">
      <w:pPr>
        <w:numPr>
          <w:ilvl w:val="0"/>
          <w:numId w:val="2"/>
        </w:numPr>
        <w:tabs>
          <w:tab w:val="left" w:pos="0"/>
          <w:tab w:val="left" w:pos="720"/>
        </w:tabs>
        <w:outlineLvl w:val="1"/>
        <w:rPr>
          <w:rFonts w:ascii="Calibri" w:hAnsi="Calibri" w:cs="Calibri"/>
          <w:szCs w:val="24"/>
        </w:rPr>
      </w:pPr>
      <w:r w:rsidRPr="00824350">
        <w:rPr>
          <w:rFonts w:ascii="Calibri" w:hAnsi="Calibri" w:cs="Calibri"/>
          <w:szCs w:val="24"/>
        </w:rPr>
        <w:t xml:space="preserve">Participants will be provided with a specific toll-free phone number (linking directly to the RTI IRB Office) to call in case there is a question or concern about the sensitive issue. </w:t>
      </w:r>
    </w:p>
    <w:p w14:paraId="7F61E96B" w14:textId="77777777" w:rsidR="00E72DCB" w:rsidRDefault="00E72DCB" w:rsidP="00E72D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6A44B0C5" w14:textId="77777777" w:rsidR="0035525E" w:rsidRPr="00824350" w:rsidRDefault="0035525E" w:rsidP="00E72D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szCs w:val="24"/>
        </w:rPr>
        <w:t xml:space="preserve">Finally, as </w:t>
      </w:r>
      <w:r w:rsidRPr="00824350">
        <w:rPr>
          <w:rFonts w:ascii="Calibri" w:hAnsi="Calibri" w:cs="Calibri"/>
        </w:rPr>
        <w:t>with all information collected, these data will be presented with all identifiers removed.</w:t>
      </w:r>
      <w:r w:rsidR="00481B5F">
        <w:rPr>
          <w:rFonts w:ascii="Calibri" w:hAnsi="Calibri" w:cs="Calibri"/>
        </w:rPr>
        <w:t xml:space="preserve"> This safeguard encourages candid responses to questions that may be considered sensitive by a portion of respondents.</w:t>
      </w:r>
    </w:p>
    <w:p w14:paraId="683E5BFE" w14:textId="77777777" w:rsidR="0035525E" w:rsidRPr="00824350" w:rsidRDefault="0035525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Calibri"/>
          <w:szCs w:val="24"/>
        </w:rPr>
      </w:pPr>
    </w:p>
    <w:p w14:paraId="3B5C04BA" w14:textId="77777777"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t>A.12.       Estimated Annualized Burden Hours and Cost</w:t>
      </w:r>
    </w:p>
    <w:p w14:paraId="542E2B29" w14:textId="77777777" w:rsidR="0035525E"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szCs w:val="24"/>
        </w:rPr>
      </w:pPr>
    </w:p>
    <w:p w14:paraId="0A3AAAB3" w14:textId="77777777" w:rsidR="0035525E" w:rsidRPr="00083702" w:rsidRDefault="0035525E" w:rsidP="00E72DCB">
      <w:pPr>
        <w:pStyle w:val="Ttableheading"/>
        <w:keepNext/>
        <w:spacing w:after="0"/>
        <w:jc w:val="left"/>
        <w:rPr>
          <w:rFonts w:ascii="Calibri" w:hAnsi="Calibri" w:cs="Calibri"/>
          <w:b w:val="0"/>
          <w:i/>
          <w:sz w:val="24"/>
          <w:szCs w:val="24"/>
        </w:rPr>
      </w:pPr>
      <w:r w:rsidRPr="00083702">
        <w:rPr>
          <w:rFonts w:ascii="Calibri" w:hAnsi="Calibri" w:cs="Calibri"/>
          <w:i/>
          <w:szCs w:val="24"/>
        </w:rPr>
        <w:t>A.12.a.</w:t>
      </w:r>
      <w:r w:rsidRPr="00083702">
        <w:rPr>
          <w:rFonts w:ascii="Calibri" w:hAnsi="Calibri" w:cs="Calibri"/>
          <w:i/>
          <w:szCs w:val="24"/>
        </w:rPr>
        <w:tab/>
        <w:t xml:space="preserve">   </w:t>
      </w:r>
      <w:r w:rsidRPr="00083702">
        <w:rPr>
          <w:rFonts w:ascii="Calibri" w:hAnsi="Calibri" w:cs="Calibri"/>
          <w:b w:val="0"/>
          <w:i/>
          <w:sz w:val="24"/>
          <w:szCs w:val="24"/>
        </w:rPr>
        <w:t>Estimated Annualized Burden to Respondents</w:t>
      </w:r>
    </w:p>
    <w:p w14:paraId="07B35099" w14:textId="77777777" w:rsidR="0035525E" w:rsidRPr="00086DE4" w:rsidRDefault="0035525E" w:rsidP="00E72DCB">
      <w:pPr>
        <w:pStyle w:val="Ttableheading"/>
        <w:keepNext/>
        <w:spacing w:after="0"/>
        <w:jc w:val="left"/>
        <w:rPr>
          <w:rFonts w:ascii="Calibri" w:hAnsi="Calibri"/>
        </w:rPr>
      </w:pPr>
    </w:p>
    <w:p w14:paraId="0527C092" w14:textId="3180C3A6" w:rsidR="00471A40" w:rsidRDefault="0035525E" w:rsidP="00124430">
      <w:pPr>
        <w:ind w:firstLine="720"/>
        <w:rPr>
          <w:rFonts w:ascii="Calibri" w:hAnsi="Calibri" w:cs="Calibri"/>
        </w:rPr>
      </w:pPr>
      <w:r w:rsidRPr="00824350">
        <w:rPr>
          <w:rFonts w:ascii="Calibri" w:hAnsi="Calibri" w:cs="Calibri"/>
        </w:rPr>
        <w:t xml:space="preserve">Information will be collected through online </w:t>
      </w:r>
      <w:r w:rsidR="000733E9">
        <w:rPr>
          <w:rFonts w:ascii="Calibri" w:hAnsi="Calibri" w:cs="Calibri"/>
        </w:rPr>
        <w:t>surveys</w:t>
      </w:r>
      <w:r w:rsidRPr="00824350">
        <w:rPr>
          <w:rFonts w:ascii="Calibri" w:hAnsi="Calibri" w:cs="Calibri"/>
        </w:rPr>
        <w:t xml:space="preserve"> involving adult smokers and </w:t>
      </w:r>
      <w:r w:rsidR="00D94E8D">
        <w:rPr>
          <w:rFonts w:ascii="Calibri" w:hAnsi="Calibri" w:cs="Calibri"/>
        </w:rPr>
        <w:t>nonsmoker</w:t>
      </w:r>
      <w:r w:rsidRPr="00824350">
        <w:rPr>
          <w:rFonts w:ascii="Calibri" w:hAnsi="Calibri" w:cs="Calibri"/>
        </w:rPr>
        <w:t>s in the U</w:t>
      </w:r>
      <w:r w:rsidR="00E10179">
        <w:rPr>
          <w:rFonts w:ascii="Calibri" w:hAnsi="Calibri" w:cs="Calibri"/>
        </w:rPr>
        <w:t xml:space="preserve">nited </w:t>
      </w:r>
      <w:r w:rsidRPr="00824350">
        <w:rPr>
          <w:rFonts w:ascii="Calibri" w:hAnsi="Calibri" w:cs="Calibri"/>
        </w:rPr>
        <w:t>S</w:t>
      </w:r>
      <w:r w:rsidR="00E10179">
        <w:rPr>
          <w:rFonts w:ascii="Calibri" w:hAnsi="Calibri" w:cs="Calibri"/>
        </w:rPr>
        <w:t>tates</w:t>
      </w:r>
      <w:r w:rsidRPr="00824350">
        <w:rPr>
          <w:rFonts w:ascii="Calibri" w:hAnsi="Calibri" w:cs="Calibri"/>
        </w:rPr>
        <w:t>, ages 18-54</w:t>
      </w:r>
      <w:r w:rsidR="00FA2B5E">
        <w:rPr>
          <w:rFonts w:ascii="Calibri" w:hAnsi="Calibri" w:cs="Calibri"/>
        </w:rPr>
        <w:t xml:space="preserve"> years</w:t>
      </w:r>
      <w:r w:rsidRPr="00824350">
        <w:rPr>
          <w:rFonts w:ascii="Calibri" w:hAnsi="Calibri" w:cs="Calibri"/>
        </w:rPr>
        <w:t xml:space="preserve">.  </w:t>
      </w:r>
      <w:r w:rsidR="00FA2B5E">
        <w:rPr>
          <w:rFonts w:ascii="Calibri" w:hAnsi="Calibri" w:cs="Calibri"/>
        </w:rPr>
        <w:t xml:space="preserve"> Three survey instruments will be used: a screening &amp; consent questionnaire (see </w:t>
      </w:r>
      <w:r w:rsidR="00FA2B5E">
        <w:rPr>
          <w:rFonts w:ascii="Calibri" w:hAnsi="Calibri" w:cs="Calibri"/>
          <w:b/>
        </w:rPr>
        <w:t>Attachment C</w:t>
      </w:r>
      <w:r w:rsidR="00FA2B5E">
        <w:rPr>
          <w:rFonts w:ascii="Calibri" w:hAnsi="Calibri" w:cs="Calibri"/>
        </w:rPr>
        <w:t xml:space="preserve">); a survey for smokers (see </w:t>
      </w:r>
      <w:r w:rsidR="00FA2B5E">
        <w:rPr>
          <w:rFonts w:ascii="Calibri" w:hAnsi="Calibri" w:cs="Calibri"/>
          <w:b/>
        </w:rPr>
        <w:t>Attachment D</w:t>
      </w:r>
      <w:r w:rsidR="00FA2B5E">
        <w:rPr>
          <w:rFonts w:ascii="Calibri" w:hAnsi="Calibri" w:cs="Calibri"/>
        </w:rPr>
        <w:t xml:space="preserve">); and a survey for nonsmokers (see </w:t>
      </w:r>
      <w:r w:rsidR="00FA2B5E">
        <w:rPr>
          <w:rFonts w:ascii="Calibri" w:hAnsi="Calibri" w:cs="Calibri"/>
          <w:b/>
        </w:rPr>
        <w:t>Attachment E</w:t>
      </w:r>
      <w:r w:rsidR="00FA2B5E">
        <w:rPr>
          <w:rFonts w:ascii="Calibri" w:hAnsi="Calibri" w:cs="Calibri"/>
        </w:rPr>
        <w:t>). Four waves of informati</w:t>
      </w:r>
      <w:r w:rsidR="0085077E">
        <w:rPr>
          <w:rFonts w:ascii="Calibri" w:hAnsi="Calibri" w:cs="Calibri"/>
        </w:rPr>
        <w:t>on collection (W</w:t>
      </w:r>
      <w:r w:rsidR="00FA2B5E">
        <w:rPr>
          <w:rFonts w:ascii="Calibri" w:hAnsi="Calibri" w:cs="Calibri"/>
        </w:rPr>
        <w:t>aves A-D) will be collected. Information will be collected in English and Spanish.</w:t>
      </w:r>
      <w:r w:rsidR="00384F96">
        <w:rPr>
          <w:rFonts w:ascii="Calibri" w:hAnsi="Calibri" w:cs="Calibri"/>
        </w:rPr>
        <w:t xml:space="preserve"> </w:t>
      </w:r>
      <w:r w:rsidR="00AE438A">
        <w:rPr>
          <w:rFonts w:ascii="Calibri" w:hAnsi="Calibri" w:cs="Calibri"/>
        </w:rPr>
        <w:t>OMB approval is requested for 2 years.</w:t>
      </w:r>
    </w:p>
    <w:p w14:paraId="61136359" w14:textId="77777777" w:rsidR="00471A40" w:rsidRDefault="00471A40" w:rsidP="00E72DCB">
      <w:pPr>
        <w:ind w:firstLine="720"/>
        <w:rPr>
          <w:rFonts w:ascii="Calibri" w:hAnsi="Calibri" w:cs="Calibri"/>
        </w:rPr>
      </w:pPr>
    </w:p>
    <w:p w14:paraId="042E3B88" w14:textId="345923FB" w:rsidR="00261B59" w:rsidRPr="00AD7344" w:rsidRDefault="00384F96" w:rsidP="00AE438A">
      <w:pPr>
        <w:ind w:firstLine="720"/>
        <w:rPr>
          <w:rFonts w:asciiTheme="minorHAnsi" w:hAnsiTheme="minorHAnsi" w:cs="Arial"/>
          <w:szCs w:val="24"/>
        </w:rPr>
      </w:pPr>
      <w:r>
        <w:rPr>
          <w:rFonts w:ascii="Calibri" w:hAnsi="Calibri" w:cs="Calibri"/>
        </w:rPr>
        <w:t xml:space="preserve">We will recruit an estimated </w:t>
      </w:r>
      <w:r w:rsidR="00152C49">
        <w:rPr>
          <w:rFonts w:ascii="Calibri" w:hAnsi="Calibri" w:cs="Calibri"/>
        </w:rPr>
        <w:t>13</w:t>
      </w:r>
      <w:r w:rsidR="00CB3FDF">
        <w:rPr>
          <w:rFonts w:ascii="Calibri" w:hAnsi="Calibri" w:cs="Calibri"/>
        </w:rPr>
        <w:t xml:space="preserve">,000 smokers for </w:t>
      </w:r>
      <w:r w:rsidR="00833FC8">
        <w:rPr>
          <w:rFonts w:ascii="Calibri" w:hAnsi="Calibri" w:cs="Calibri"/>
        </w:rPr>
        <w:t xml:space="preserve">Wave </w:t>
      </w:r>
      <w:r w:rsidR="006C6DED">
        <w:rPr>
          <w:rFonts w:ascii="Calibri" w:hAnsi="Calibri" w:cs="Calibri"/>
        </w:rPr>
        <w:t>A</w:t>
      </w:r>
      <w:r w:rsidR="00CB3FDF">
        <w:rPr>
          <w:rFonts w:ascii="Calibri" w:hAnsi="Calibri" w:cs="Calibri"/>
        </w:rPr>
        <w:t xml:space="preserve"> and anticipate that approximately </w:t>
      </w:r>
      <w:r w:rsidR="00152C49">
        <w:rPr>
          <w:rFonts w:ascii="Calibri" w:hAnsi="Calibri" w:cs="Calibri"/>
        </w:rPr>
        <w:t>8,000</w:t>
      </w:r>
      <w:r w:rsidR="00BB4A63">
        <w:rPr>
          <w:rFonts w:ascii="Calibri" w:hAnsi="Calibri" w:cs="Calibri"/>
        </w:rPr>
        <w:t xml:space="preserve"> (62</w:t>
      </w:r>
      <w:r w:rsidR="00CB3FDF">
        <w:rPr>
          <w:rFonts w:ascii="Calibri" w:hAnsi="Calibri" w:cs="Calibri"/>
        </w:rPr>
        <w:t xml:space="preserve">%) of those will participate in the </w:t>
      </w:r>
      <w:r w:rsidR="00833FC8">
        <w:rPr>
          <w:rFonts w:ascii="Calibri" w:hAnsi="Calibri" w:cs="Calibri"/>
        </w:rPr>
        <w:t xml:space="preserve">Wave </w:t>
      </w:r>
      <w:r w:rsidR="006C6DED">
        <w:rPr>
          <w:rFonts w:ascii="Calibri" w:hAnsi="Calibri" w:cs="Calibri"/>
        </w:rPr>
        <w:t>B</w:t>
      </w:r>
      <w:r w:rsidR="00152C49">
        <w:rPr>
          <w:rFonts w:ascii="Calibri" w:hAnsi="Calibri" w:cs="Calibri"/>
        </w:rPr>
        <w:t xml:space="preserve"> follow-up. </w:t>
      </w:r>
      <w:r w:rsidR="00672123">
        <w:rPr>
          <w:rFonts w:ascii="Calibri" w:hAnsi="Calibri" w:cs="Calibri"/>
        </w:rPr>
        <w:t xml:space="preserve">We anticipate maintaining a total smoker sample size of approximately 8,000 through continued follow-ups and sample replenishment at each of the remaining waves (Waves C and D). </w:t>
      </w:r>
      <w:r w:rsidR="00152C49">
        <w:rPr>
          <w:rFonts w:ascii="Calibri" w:hAnsi="Calibri" w:cs="Calibri"/>
        </w:rPr>
        <w:t>Approximately</w:t>
      </w:r>
      <w:r w:rsidR="00CB3FDF">
        <w:rPr>
          <w:rFonts w:ascii="Calibri" w:hAnsi="Calibri" w:cs="Calibri"/>
        </w:rPr>
        <w:t xml:space="preserve"> 5,000 </w:t>
      </w:r>
      <w:r w:rsidR="00D94E8D">
        <w:rPr>
          <w:rFonts w:ascii="Calibri" w:hAnsi="Calibri" w:cs="Calibri"/>
        </w:rPr>
        <w:t>nonsmoker</w:t>
      </w:r>
      <w:r w:rsidR="00121ED4">
        <w:rPr>
          <w:rFonts w:ascii="Calibri" w:hAnsi="Calibri" w:cs="Calibri"/>
        </w:rPr>
        <w:t xml:space="preserve">s </w:t>
      </w:r>
      <w:r w:rsidR="00152C49">
        <w:rPr>
          <w:rFonts w:ascii="Calibri" w:hAnsi="Calibri" w:cs="Calibri"/>
        </w:rPr>
        <w:t xml:space="preserve">will be recruited for the </w:t>
      </w:r>
      <w:r w:rsidR="00833FC8">
        <w:rPr>
          <w:rFonts w:ascii="Calibri" w:hAnsi="Calibri" w:cs="Calibri"/>
        </w:rPr>
        <w:t xml:space="preserve">Wave </w:t>
      </w:r>
      <w:r w:rsidR="006C6DED">
        <w:rPr>
          <w:rFonts w:ascii="Calibri" w:hAnsi="Calibri" w:cs="Calibri"/>
        </w:rPr>
        <w:t>A</w:t>
      </w:r>
      <w:r w:rsidR="00152C49">
        <w:rPr>
          <w:rFonts w:ascii="Calibri" w:hAnsi="Calibri" w:cs="Calibri"/>
        </w:rPr>
        <w:t xml:space="preserve"> survey and we anticipate that 4,000 (75%) of those will be retained for the </w:t>
      </w:r>
      <w:r w:rsidR="00833FC8">
        <w:rPr>
          <w:rFonts w:ascii="Calibri" w:hAnsi="Calibri" w:cs="Calibri"/>
        </w:rPr>
        <w:t xml:space="preserve">Wave </w:t>
      </w:r>
      <w:r w:rsidR="006C6DED">
        <w:rPr>
          <w:rFonts w:ascii="Calibri" w:hAnsi="Calibri" w:cs="Calibri"/>
        </w:rPr>
        <w:t>B</w:t>
      </w:r>
      <w:r w:rsidR="00CB3FDF">
        <w:rPr>
          <w:rFonts w:ascii="Calibri" w:hAnsi="Calibri" w:cs="Calibri"/>
        </w:rPr>
        <w:t xml:space="preserve"> follow-up</w:t>
      </w:r>
      <w:r w:rsidR="00152C49">
        <w:rPr>
          <w:rFonts w:ascii="Calibri" w:hAnsi="Calibri" w:cs="Calibri"/>
        </w:rPr>
        <w:t>.</w:t>
      </w:r>
      <w:r w:rsidR="00672123">
        <w:rPr>
          <w:rFonts w:ascii="Calibri" w:hAnsi="Calibri" w:cs="Calibri"/>
        </w:rPr>
        <w:t xml:space="preserve"> A sample of approximately 4,000 nonsmokers will be maintained through continued follow-ups and sample replenishment at each remaining wave (Waves C and D)</w:t>
      </w:r>
      <w:r w:rsidR="00152C49">
        <w:rPr>
          <w:rFonts w:ascii="Calibri" w:hAnsi="Calibri" w:cs="Calibri"/>
        </w:rPr>
        <w:t xml:space="preserve"> </w:t>
      </w:r>
      <w:r w:rsidR="00261B59">
        <w:rPr>
          <w:rFonts w:ascii="Calibri" w:hAnsi="Calibri" w:cs="Calibri"/>
        </w:rPr>
        <w:t xml:space="preserve">(see </w:t>
      </w:r>
      <w:r w:rsidR="00261B59" w:rsidRPr="00261B59">
        <w:rPr>
          <w:rFonts w:ascii="Calibri" w:hAnsi="Calibri" w:cs="Calibri"/>
          <w:b/>
        </w:rPr>
        <w:t>Attachment J</w:t>
      </w:r>
      <w:r w:rsidR="00261B59">
        <w:rPr>
          <w:rFonts w:ascii="Calibri" w:hAnsi="Calibri" w:cs="Calibri"/>
        </w:rPr>
        <w:t xml:space="preserve">). </w:t>
      </w:r>
      <w:r w:rsidR="00BB4A63">
        <w:rPr>
          <w:rFonts w:ascii="Calibri" w:hAnsi="Calibri" w:cs="Calibri"/>
        </w:rPr>
        <w:t xml:space="preserve">The estimated follow-up retention </w:t>
      </w:r>
      <w:r w:rsidR="00F002F4">
        <w:rPr>
          <w:rFonts w:ascii="Calibri" w:hAnsi="Calibri" w:cs="Calibri"/>
        </w:rPr>
        <w:t xml:space="preserve">and </w:t>
      </w:r>
      <w:r w:rsidR="00954C8C">
        <w:rPr>
          <w:rFonts w:ascii="Calibri" w:hAnsi="Calibri" w:cs="Calibri"/>
        </w:rPr>
        <w:t xml:space="preserve">estimated </w:t>
      </w:r>
      <w:r w:rsidR="00F002F4">
        <w:rPr>
          <w:rFonts w:ascii="Calibri" w:hAnsi="Calibri" w:cs="Calibri"/>
        </w:rPr>
        <w:t xml:space="preserve">replenishment </w:t>
      </w:r>
      <w:r w:rsidR="00BB4A63">
        <w:rPr>
          <w:rFonts w:ascii="Calibri" w:hAnsi="Calibri" w:cs="Calibri"/>
        </w:rPr>
        <w:t xml:space="preserve">rates are based on </w:t>
      </w:r>
      <w:r w:rsidR="00954C8C">
        <w:rPr>
          <w:rFonts w:ascii="Calibri" w:hAnsi="Calibri" w:cs="Calibri"/>
        </w:rPr>
        <w:t xml:space="preserve">data from the longitudinal cohort used to evaluate Phase 3 of The Campaign provided in </w:t>
      </w:r>
      <w:r w:rsidR="00954C8C" w:rsidRPr="00261B59">
        <w:rPr>
          <w:rFonts w:ascii="Calibri" w:hAnsi="Calibri" w:cs="Calibri"/>
          <w:b/>
        </w:rPr>
        <w:t>Exhibit 1A</w:t>
      </w:r>
      <w:r w:rsidR="00BB4A63">
        <w:rPr>
          <w:rFonts w:ascii="Calibri" w:hAnsi="Calibri" w:cs="Calibri"/>
        </w:rPr>
        <w:t xml:space="preserve">. </w:t>
      </w:r>
      <w:r w:rsidR="00941E71" w:rsidRPr="00AD7344">
        <w:rPr>
          <w:rFonts w:asciiTheme="minorHAnsi" w:hAnsiTheme="minorHAnsi" w:cs="Arial"/>
          <w:szCs w:val="24"/>
        </w:rPr>
        <w:t>Panel attrition allows estimation of how much replenishment sample is needed over time versus re-contacts in order to maintain that wave-by-wave targets for sample size .</w:t>
      </w:r>
    </w:p>
    <w:p w14:paraId="4EE67CAF" w14:textId="77777777" w:rsidR="00261B59" w:rsidRDefault="00261B59" w:rsidP="00AE438A">
      <w:pPr>
        <w:ind w:firstLine="720"/>
        <w:rPr>
          <w:rFonts w:asciiTheme="minorHAnsi" w:hAnsiTheme="minorHAnsi" w:cs="Arial"/>
          <w:color w:val="0000FF"/>
          <w:szCs w:val="24"/>
        </w:rPr>
      </w:pPr>
    </w:p>
    <w:p w14:paraId="3FD74405" w14:textId="441F8723" w:rsidR="0004360F" w:rsidRDefault="00AE438A" w:rsidP="00672123">
      <w:pPr>
        <w:ind w:firstLine="720"/>
        <w:rPr>
          <w:rFonts w:ascii="Calibri" w:hAnsi="Calibri" w:cs="Calibri"/>
        </w:rPr>
      </w:pPr>
      <w:r>
        <w:rPr>
          <w:rFonts w:ascii="Calibri" w:hAnsi="Calibri" w:cs="Calibri"/>
        </w:rPr>
        <w:t xml:space="preserve">The annualized targets are provided in </w:t>
      </w:r>
      <w:r w:rsidRPr="00261B59">
        <w:rPr>
          <w:rFonts w:ascii="Calibri" w:hAnsi="Calibri" w:cs="Calibri"/>
          <w:b/>
        </w:rPr>
        <w:t>Exhibit 1</w:t>
      </w:r>
      <w:r w:rsidR="00954C8C" w:rsidRPr="00261B59">
        <w:rPr>
          <w:rFonts w:ascii="Calibri" w:hAnsi="Calibri" w:cs="Calibri"/>
          <w:b/>
        </w:rPr>
        <w:t>B</w:t>
      </w:r>
      <w:r>
        <w:rPr>
          <w:rFonts w:ascii="Calibri" w:hAnsi="Calibri" w:cs="Calibri"/>
        </w:rPr>
        <w:t>.</w:t>
      </w:r>
      <w:r w:rsidR="002A5496">
        <w:rPr>
          <w:rFonts w:ascii="Calibri" w:hAnsi="Calibri" w:cs="Calibri"/>
        </w:rPr>
        <w:t xml:space="preserve"> </w:t>
      </w:r>
      <w:r w:rsidR="00954C8C">
        <w:rPr>
          <w:rFonts w:ascii="Calibri" w:hAnsi="Calibri" w:cs="Calibri"/>
        </w:rPr>
        <w:t xml:space="preserve"> </w:t>
      </w:r>
      <w:r w:rsidR="0085077E">
        <w:rPr>
          <w:rFonts w:ascii="Calibri" w:hAnsi="Calibri" w:cs="Calibri"/>
        </w:rPr>
        <w:t>W</w:t>
      </w:r>
      <w:r w:rsidR="00CB3FDF">
        <w:rPr>
          <w:rFonts w:ascii="Calibri" w:hAnsi="Calibri" w:cs="Calibri"/>
        </w:rPr>
        <w:t xml:space="preserve">e anticipate that approximately </w:t>
      </w:r>
      <w:r w:rsidR="00BB4A63">
        <w:rPr>
          <w:rFonts w:ascii="Calibri" w:hAnsi="Calibri" w:cs="Calibri"/>
        </w:rPr>
        <w:t>50,000</w:t>
      </w:r>
      <w:r w:rsidR="00E40F6F">
        <w:rPr>
          <w:rFonts w:ascii="Calibri" w:hAnsi="Calibri" w:cs="Calibri"/>
        </w:rPr>
        <w:t xml:space="preserve"> individuals will</w:t>
      </w:r>
      <w:r w:rsidR="00BB4A63">
        <w:rPr>
          <w:rFonts w:ascii="Calibri" w:hAnsi="Calibri" w:cs="Calibri"/>
        </w:rPr>
        <w:t xml:space="preserve"> be screened to yield the initial </w:t>
      </w:r>
      <w:r w:rsidR="00833FC8">
        <w:rPr>
          <w:rFonts w:ascii="Calibri" w:hAnsi="Calibri" w:cs="Calibri"/>
        </w:rPr>
        <w:t xml:space="preserve">Wave </w:t>
      </w:r>
      <w:r w:rsidR="006C6DED">
        <w:rPr>
          <w:rFonts w:ascii="Calibri" w:hAnsi="Calibri" w:cs="Calibri"/>
        </w:rPr>
        <w:t>A</w:t>
      </w:r>
      <w:r w:rsidR="00E40F6F">
        <w:rPr>
          <w:rFonts w:ascii="Calibri" w:hAnsi="Calibri" w:cs="Calibri"/>
        </w:rPr>
        <w:t xml:space="preserve"> sample</w:t>
      </w:r>
      <w:r w:rsidR="00BB4A63">
        <w:rPr>
          <w:rFonts w:ascii="Calibri" w:hAnsi="Calibri" w:cs="Calibri"/>
        </w:rPr>
        <w:t xml:space="preserve"> of 13</w:t>
      </w:r>
      <w:r w:rsidR="00E40F6F">
        <w:rPr>
          <w:rFonts w:ascii="Calibri" w:hAnsi="Calibri" w:cs="Calibri"/>
        </w:rPr>
        <w:t xml:space="preserve">,000 smokers and 5,000 </w:t>
      </w:r>
      <w:r w:rsidR="00D94E8D">
        <w:rPr>
          <w:rFonts w:ascii="Calibri" w:hAnsi="Calibri" w:cs="Calibri"/>
        </w:rPr>
        <w:t>nonsmoker</w:t>
      </w:r>
      <w:r w:rsidR="00E40F6F">
        <w:rPr>
          <w:rFonts w:ascii="Calibri" w:hAnsi="Calibri" w:cs="Calibri"/>
        </w:rPr>
        <w:t>s. CDC’s data collection contractor has examined diagnostic data from previous similar survey projects and estimates that the burden per response is 5 minutes for the screening questionnaire and 30 minutes for the primary survey instrument.</w:t>
      </w:r>
    </w:p>
    <w:p w14:paraId="405942DE" w14:textId="77777777" w:rsidR="00E72DCB" w:rsidRDefault="00E72DCB" w:rsidP="00E72DCB">
      <w:pPr>
        <w:ind w:firstLine="720"/>
        <w:rPr>
          <w:rFonts w:ascii="Calibri" w:hAnsi="Calibri" w:cs="Calibri"/>
        </w:rPr>
      </w:pPr>
    </w:p>
    <w:p w14:paraId="3B670A54" w14:textId="2DF61E32" w:rsidR="00BA13D5" w:rsidRDefault="002A4B49" w:rsidP="00672123">
      <w:pPr>
        <w:ind w:firstLine="720"/>
        <w:rPr>
          <w:rFonts w:ascii="Calibri" w:hAnsi="Calibri" w:cs="Calibri"/>
        </w:rPr>
      </w:pPr>
      <w:r>
        <w:rPr>
          <w:rFonts w:ascii="Calibri" w:hAnsi="Calibri" w:cs="Calibri"/>
        </w:rPr>
        <w:t>CDC currently plans to field identical instrument</w:t>
      </w:r>
      <w:r w:rsidR="00BB4A63">
        <w:rPr>
          <w:rFonts w:ascii="Calibri" w:hAnsi="Calibri" w:cs="Calibri"/>
        </w:rPr>
        <w:t xml:space="preserve">s </w:t>
      </w:r>
      <w:r>
        <w:rPr>
          <w:rFonts w:ascii="Calibri" w:hAnsi="Calibri" w:cs="Calibri"/>
        </w:rPr>
        <w:t xml:space="preserve">in </w:t>
      </w:r>
      <w:r w:rsidR="00833FC8">
        <w:rPr>
          <w:rFonts w:ascii="Calibri" w:hAnsi="Calibri" w:cs="Calibri"/>
        </w:rPr>
        <w:t xml:space="preserve">Waves </w:t>
      </w:r>
      <w:r w:rsidR="006C6DED">
        <w:rPr>
          <w:rFonts w:ascii="Calibri" w:hAnsi="Calibri" w:cs="Calibri"/>
        </w:rPr>
        <w:t xml:space="preserve">A </w:t>
      </w:r>
      <w:r w:rsidR="00672123">
        <w:rPr>
          <w:rFonts w:ascii="Calibri" w:hAnsi="Calibri" w:cs="Calibri"/>
        </w:rPr>
        <w:t>through D</w:t>
      </w:r>
      <w:r w:rsidR="00AE438A">
        <w:rPr>
          <w:rFonts w:ascii="Calibri" w:hAnsi="Calibri" w:cs="Calibri"/>
        </w:rPr>
        <w:t xml:space="preserve"> during the period of this evaluation project</w:t>
      </w:r>
      <w:r w:rsidR="00BB4A63">
        <w:rPr>
          <w:rFonts w:ascii="Calibri" w:hAnsi="Calibri" w:cs="Calibri"/>
        </w:rPr>
        <w:t>. H</w:t>
      </w:r>
      <w:r>
        <w:rPr>
          <w:rFonts w:ascii="Calibri" w:hAnsi="Calibri" w:cs="Calibri"/>
        </w:rPr>
        <w:t xml:space="preserve">owever, we recognize that the relevant product market is very dynamic. It may be necessary to make adjustments to the instrument(s) in </w:t>
      </w:r>
      <w:r w:rsidR="00121ED4">
        <w:rPr>
          <w:rFonts w:ascii="Calibri" w:hAnsi="Calibri" w:cs="Calibri"/>
        </w:rPr>
        <w:t xml:space="preserve">these additional </w:t>
      </w:r>
      <w:r w:rsidR="002152C1">
        <w:rPr>
          <w:rFonts w:ascii="Calibri" w:hAnsi="Calibri" w:cs="Calibri"/>
        </w:rPr>
        <w:t xml:space="preserve">three </w:t>
      </w:r>
      <w:r w:rsidR="00121ED4">
        <w:rPr>
          <w:rFonts w:ascii="Calibri" w:hAnsi="Calibri" w:cs="Calibri"/>
        </w:rPr>
        <w:t>waves</w:t>
      </w:r>
      <w:r>
        <w:rPr>
          <w:rFonts w:ascii="Calibri" w:hAnsi="Calibri" w:cs="Calibri"/>
        </w:rPr>
        <w:t xml:space="preserve"> that reflect changes in consumer behavior or the product market. If this occurs, CDC will submit the necessary Change Request(s) to obtain OMB approval of the modified survey instrument(s).</w:t>
      </w:r>
    </w:p>
    <w:p w14:paraId="7B03FD85" w14:textId="77777777" w:rsidR="00E72DCB" w:rsidRDefault="00E72DCB" w:rsidP="00E72DCB">
      <w:pPr>
        <w:ind w:firstLine="720"/>
        <w:rPr>
          <w:rFonts w:ascii="Calibri" w:hAnsi="Calibri" w:cs="Calibri"/>
        </w:rPr>
      </w:pPr>
    </w:p>
    <w:p w14:paraId="6321E2AE" w14:textId="089027AE" w:rsidR="00836C9D" w:rsidRDefault="0039783C" w:rsidP="00D75C93">
      <w:pPr>
        <w:ind w:firstLine="720"/>
        <w:rPr>
          <w:rFonts w:ascii="Calibri" w:hAnsi="Calibri" w:cs="Calibri"/>
        </w:rPr>
      </w:pPr>
      <w:r>
        <w:rPr>
          <w:rFonts w:ascii="Calibri" w:hAnsi="Calibri" w:cs="Calibri"/>
        </w:rPr>
        <w:t xml:space="preserve">The total response burden is </w:t>
      </w:r>
      <w:r w:rsidR="0085077E">
        <w:rPr>
          <w:rFonts w:ascii="Calibri" w:hAnsi="Calibri" w:cs="Calibri"/>
        </w:rPr>
        <w:t xml:space="preserve">currently </w:t>
      </w:r>
      <w:r>
        <w:rPr>
          <w:rFonts w:ascii="Calibri" w:hAnsi="Calibri" w:cs="Calibri"/>
        </w:rPr>
        <w:t xml:space="preserve">estimated at </w:t>
      </w:r>
      <w:r w:rsidR="00746EDD">
        <w:rPr>
          <w:rFonts w:ascii="Calibri" w:hAnsi="Calibri" w:cs="Calibri"/>
        </w:rPr>
        <w:t>31,16</w:t>
      </w:r>
      <w:r w:rsidR="009B2107">
        <w:rPr>
          <w:rFonts w:ascii="Calibri" w:hAnsi="Calibri" w:cs="Calibri"/>
        </w:rPr>
        <w:t>8</w:t>
      </w:r>
      <w:r w:rsidR="00E40F6F">
        <w:rPr>
          <w:rFonts w:ascii="Calibri" w:hAnsi="Calibri" w:cs="Calibri"/>
        </w:rPr>
        <w:t xml:space="preserve"> </w:t>
      </w:r>
      <w:r>
        <w:rPr>
          <w:rFonts w:ascii="Calibri" w:hAnsi="Calibri" w:cs="Calibri"/>
        </w:rPr>
        <w:t xml:space="preserve">hours over </w:t>
      </w:r>
      <w:r w:rsidR="006B360A">
        <w:rPr>
          <w:rFonts w:ascii="Calibri" w:hAnsi="Calibri" w:cs="Calibri"/>
        </w:rPr>
        <w:t xml:space="preserve">a </w:t>
      </w:r>
      <w:r w:rsidR="00672123">
        <w:rPr>
          <w:rFonts w:ascii="Calibri" w:hAnsi="Calibri" w:cs="Calibri"/>
        </w:rPr>
        <w:t>2</w:t>
      </w:r>
      <w:r w:rsidR="006B360A">
        <w:rPr>
          <w:rFonts w:ascii="Calibri" w:hAnsi="Calibri" w:cs="Calibri"/>
        </w:rPr>
        <w:t>-</w:t>
      </w:r>
      <w:r>
        <w:rPr>
          <w:rFonts w:ascii="Calibri" w:hAnsi="Calibri" w:cs="Calibri"/>
        </w:rPr>
        <w:t>year</w:t>
      </w:r>
      <w:r w:rsidR="006B360A">
        <w:rPr>
          <w:rFonts w:ascii="Calibri" w:hAnsi="Calibri" w:cs="Calibri"/>
        </w:rPr>
        <w:t xml:space="preserve"> clearance period</w:t>
      </w:r>
      <w:r w:rsidR="00047A1B">
        <w:rPr>
          <w:rFonts w:ascii="Calibri" w:hAnsi="Calibri" w:cs="Calibri"/>
        </w:rPr>
        <w:t xml:space="preserve"> between </w:t>
      </w:r>
      <w:r w:rsidR="006B360A">
        <w:rPr>
          <w:rFonts w:ascii="Calibri" w:hAnsi="Calibri" w:cs="Calibri"/>
        </w:rPr>
        <w:t>September</w:t>
      </w:r>
      <w:r w:rsidR="00567163">
        <w:rPr>
          <w:rFonts w:ascii="Calibri" w:hAnsi="Calibri" w:cs="Calibri"/>
        </w:rPr>
        <w:t xml:space="preserve"> </w:t>
      </w:r>
      <w:r w:rsidR="00047A1B">
        <w:rPr>
          <w:rFonts w:ascii="Calibri" w:hAnsi="Calibri" w:cs="Calibri"/>
        </w:rPr>
        <w:t>2015 and</w:t>
      </w:r>
      <w:r w:rsidR="00746EDD">
        <w:rPr>
          <w:rFonts w:ascii="Calibri" w:hAnsi="Calibri" w:cs="Calibri"/>
        </w:rPr>
        <w:t xml:space="preserve"> </w:t>
      </w:r>
      <w:r w:rsidR="006B360A">
        <w:rPr>
          <w:rFonts w:ascii="Calibri" w:hAnsi="Calibri" w:cs="Calibri"/>
        </w:rPr>
        <w:t>December</w:t>
      </w:r>
      <w:r w:rsidR="00BB4A63">
        <w:rPr>
          <w:rFonts w:ascii="Calibri" w:hAnsi="Calibri" w:cs="Calibri"/>
        </w:rPr>
        <w:t xml:space="preserve"> 201</w:t>
      </w:r>
      <w:r w:rsidR="00567163">
        <w:rPr>
          <w:rFonts w:ascii="Calibri" w:hAnsi="Calibri" w:cs="Calibri"/>
        </w:rPr>
        <w:t>6</w:t>
      </w:r>
      <w:r>
        <w:rPr>
          <w:rFonts w:ascii="Calibri" w:hAnsi="Calibri" w:cs="Calibri"/>
        </w:rPr>
        <w:t>.</w:t>
      </w:r>
      <w:r w:rsidR="00746EDD">
        <w:rPr>
          <w:rFonts w:ascii="Calibri" w:hAnsi="Calibri" w:cs="Calibri"/>
        </w:rPr>
        <w:t xml:space="preserve"> The annual response burden during this period is thus estimated at 15,584 hours.</w:t>
      </w:r>
      <w:r w:rsidR="00BB4A63">
        <w:rPr>
          <w:rFonts w:ascii="Calibri" w:hAnsi="Calibri" w:cs="Calibri"/>
        </w:rPr>
        <w:t xml:space="preserve"> </w:t>
      </w:r>
      <w:r w:rsidRPr="0039783C">
        <w:rPr>
          <w:rFonts w:ascii="Calibri" w:hAnsi="Calibri" w:cs="Calibri"/>
          <w:b/>
          <w:i/>
        </w:rPr>
        <w:t xml:space="preserve">Exhibit </w:t>
      </w:r>
      <w:r w:rsidR="00C50175">
        <w:rPr>
          <w:rFonts w:ascii="Calibri" w:hAnsi="Calibri" w:cs="Calibri"/>
          <w:b/>
          <w:i/>
        </w:rPr>
        <w:t>1</w:t>
      </w:r>
      <w:r w:rsidR="00261B59" w:rsidRPr="00261B59">
        <w:rPr>
          <w:rFonts w:ascii="Calibri" w:hAnsi="Calibri" w:cs="Calibri"/>
          <w:b/>
          <w:i/>
        </w:rPr>
        <w:t>B</w:t>
      </w:r>
      <w:r w:rsidR="00C50175" w:rsidRPr="00261B59">
        <w:rPr>
          <w:rFonts w:ascii="Calibri" w:hAnsi="Calibri" w:cs="Calibri"/>
          <w:b/>
          <w:i/>
        </w:rPr>
        <w:t xml:space="preserve"> </w:t>
      </w:r>
      <w:r>
        <w:rPr>
          <w:rFonts w:ascii="Calibri" w:hAnsi="Calibri" w:cs="Calibri"/>
        </w:rPr>
        <w:t xml:space="preserve">provides details about how </w:t>
      </w:r>
      <w:r w:rsidR="00E03FB1">
        <w:rPr>
          <w:rFonts w:ascii="Calibri" w:hAnsi="Calibri" w:cs="Calibri"/>
        </w:rPr>
        <w:t xml:space="preserve">response burden was </w:t>
      </w:r>
      <w:r w:rsidR="00047A1B">
        <w:rPr>
          <w:rFonts w:ascii="Calibri" w:hAnsi="Calibri" w:cs="Calibri"/>
        </w:rPr>
        <w:t>calculated</w:t>
      </w:r>
      <w:r>
        <w:rPr>
          <w:rFonts w:ascii="Calibri" w:hAnsi="Calibri" w:cs="Calibri"/>
        </w:rPr>
        <w:t xml:space="preserve">. The Web self-administered surveys will be designed to maximize ease of response (at home on personal computers) and thus </w:t>
      </w:r>
      <w:r w:rsidR="00AE438A">
        <w:rPr>
          <w:rFonts w:ascii="Calibri" w:hAnsi="Calibri" w:cs="Calibri"/>
        </w:rPr>
        <w:t xml:space="preserve">minimize </w:t>
      </w:r>
      <w:r>
        <w:rPr>
          <w:rFonts w:ascii="Calibri" w:hAnsi="Calibri" w:cs="Calibri"/>
        </w:rPr>
        <w:t>respondent burden.</w:t>
      </w:r>
    </w:p>
    <w:p w14:paraId="622CC420" w14:textId="77777777" w:rsidR="00954C8C" w:rsidRDefault="00954C8C" w:rsidP="00D75C93">
      <w:pPr>
        <w:ind w:firstLine="720"/>
        <w:rPr>
          <w:rFonts w:ascii="Calibri" w:hAnsi="Calibri" w:cs="Calibri"/>
        </w:rPr>
      </w:pPr>
    </w:p>
    <w:p w14:paraId="26332AE7" w14:textId="77777777" w:rsidR="00954C8C" w:rsidRDefault="00954C8C" w:rsidP="00954C8C">
      <w:pPr>
        <w:rPr>
          <w:rFonts w:ascii="Calibri" w:hAnsi="Calibri" w:cs="Calibri"/>
          <w:b/>
        </w:rPr>
      </w:pPr>
    </w:p>
    <w:p w14:paraId="1401A262" w14:textId="77777777" w:rsidR="00954C8C" w:rsidRDefault="00954C8C" w:rsidP="00954C8C">
      <w:pPr>
        <w:rPr>
          <w:rFonts w:ascii="Calibri" w:hAnsi="Calibri" w:cs="Calibri"/>
          <w:b/>
        </w:rPr>
      </w:pPr>
    </w:p>
    <w:p w14:paraId="1DBF4180" w14:textId="77777777" w:rsidR="00954C8C" w:rsidRDefault="00954C8C" w:rsidP="00954C8C">
      <w:pPr>
        <w:rPr>
          <w:rFonts w:ascii="Calibri" w:hAnsi="Calibri" w:cs="Calibri"/>
          <w:b/>
        </w:rPr>
      </w:pPr>
    </w:p>
    <w:p w14:paraId="6AA368B0" w14:textId="77777777" w:rsidR="00954C8C" w:rsidRPr="00954C8C" w:rsidRDefault="00954C8C" w:rsidP="00954C8C">
      <w:pPr>
        <w:rPr>
          <w:b/>
        </w:rPr>
      </w:pPr>
      <w:r w:rsidRPr="00E20215">
        <w:rPr>
          <w:rFonts w:ascii="Calibri" w:hAnsi="Calibri" w:cs="Calibri"/>
          <w:b/>
        </w:rPr>
        <w:t xml:space="preserve">Exhibit 1A. Historical </w:t>
      </w:r>
      <w:r w:rsidRPr="00954C8C">
        <w:rPr>
          <w:rFonts w:ascii="Arial" w:hAnsi="Arial" w:cs="Arial"/>
          <w:b/>
          <w:bCs/>
          <w:color w:val="000000"/>
          <w:sz w:val="20"/>
        </w:rPr>
        <w:t xml:space="preserve">Cohort Participation Patterns </w:t>
      </w:r>
    </w:p>
    <w:p w14:paraId="18304751" w14:textId="4558618E" w:rsidR="00954C8C" w:rsidRPr="00E20215" w:rsidRDefault="00954C8C" w:rsidP="00954C8C">
      <w:pPr>
        <w:rPr>
          <w:b/>
        </w:rPr>
      </w:pPr>
    </w:p>
    <w:p w14:paraId="6FC51A89" w14:textId="7797DE18" w:rsidR="00954C8C" w:rsidRDefault="00954C8C" w:rsidP="00954C8C">
      <w:pPr>
        <w:ind w:firstLine="720"/>
        <w:rPr>
          <w:rFonts w:ascii="Calibri" w:hAnsi="Calibri" w:cs="Calibri"/>
        </w:rPr>
      </w:pPr>
    </w:p>
    <w:tbl>
      <w:tblPr>
        <w:tblpPr w:leftFromText="180" w:rightFromText="180" w:vertAnchor="text" w:horzAnchor="margin" w:tblpY="40"/>
        <w:tblOverlap w:val="never"/>
        <w:tblW w:w="9440" w:type="dxa"/>
        <w:tblCellMar>
          <w:left w:w="0" w:type="dxa"/>
          <w:right w:w="0" w:type="dxa"/>
        </w:tblCellMar>
        <w:tblLook w:val="04A0" w:firstRow="1" w:lastRow="0" w:firstColumn="1" w:lastColumn="0" w:noHBand="0" w:noVBand="1"/>
      </w:tblPr>
      <w:tblGrid>
        <w:gridCol w:w="2970"/>
        <w:gridCol w:w="1260"/>
        <w:gridCol w:w="1970"/>
        <w:gridCol w:w="1620"/>
        <w:gridCol w:w="1620"/>
      </w:tblGrid>
      <w:tr w:rsidR="00E20215" w14:paraId="0569072A" w14:textId="77777777" w:rsidTr="00E20215">
        <w:trPr>
          <w:trHeight w:val="300"/>
        </w:trPr>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BBDAEA4" w14:textId="77777777" w:rsidR="00E20215" w:rsidRDefault="00E20215" w:rsidP="00E20215">
            <w:pPr>
              <w:rPr>
                <w:rFonts w:ascii="Arial" w:hAnsi="Arial" w:cs="Arial"/>
                <w:b/>
                <w:bCs/>
                <w:color w:val="000000"/>
                <w:sz w:val="20"/>
              </w:rPr>
            </w:pPr>
          </w:p>
        </w:tc>
        <w:tc>
          <w:tcPr>
            <w:tcW w:w="323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56E192C8" w14:textId="77777777" w:rsidR="00E20215" w:rsidRDefault="00E20215" w:rsidP="00E20215">
            <w:pPr>
              <w:jc w:val="center"/>
              <w:rPr>
                <w:rFonts w:ascii="Arial" w:hAnsi="Arial" w:cs="Arial"/>
                <w:color w:val="000000"/>
                <w:sz w:val="20"/>
              </w:rPr>
            </w:pPr>
            <w:r>
              <w:rPr>
                <w:rFonts w:ascii="Arial" w:hAnsi="Arial" w:cs="Arial"/>
                <w:color w:val="000000"/>
                <w:sz w:val="20"/>
              </w:rPr>
              <w:t>Smokers</w:t>
            </w:r>
          </w:p>
        </w:tc>
        <w:tc>
          <w:tcPr>
            <w:tcW w:w="324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26C8EE41" w14:textId="77777777" w:rsidR="00E20215" w:rsidRDefault="00E20215" w:rsidP="00E20215">
            <w:pPr>
              <w:jc w:val="center"/>
              <w:rPr>
                <w:rFonts w:ascii="Arial" w:hAnsi="Arial" w:cs="Arial"/>
                <w:color w:val="000000"/>
                <w:sz w:val="20"/>
              </w:rPr>
            </w:pPr>
            <w:r>
              <w:rPr>
                <w:rFonts w:ascii="Arial" w:hAnsi="Arial" w:cs="Arial"/>
                <w:color w:val="000000"/>
                <w:sz w:val="20"/>
              </w:rPr>
              <w:t>Nonsmokers</w:t>
            </w:r>
          </w:p>
        </w:tc>
      </w:tr>
      <w:tr w:rsidR="00E20215" w14:paraId="187B6B8C" w14:textId="77777777" w:rsidTr="00E20215">
        <w:trPr>
          <w:trHeight w:val="30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94477AD" w14:textId="77777777" w:rsidR="00E20215" w:rsidRDefault="00E20215" w:rsidP="00E20215">
            <w:pPr>
              <w:rPr>
                <w:rFonts w:ascii="Arial" w:hAnsi="Arial" w:cs="Arial"/>
                <w:b/>
                <w:bCs/>
                <w:color w:val="000000"/>
                <w:sz w:val="20"/>
              </w:rPr>
            </w:pP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42B00223" w14:textId="77777777" w:rsidR="00E20215" w:rsidRDefault="00E20215" w:rsidP="00E20215">
            <w:pPr>
              <w:jc w:val="center"/>
              <w:rPr>
                <w:rFonts w:ascii="Arial" w:hAnsi="Arial" w:cs="Arial"/>
                <w:color w:val="000000"/>
                <w:sz w:val="20"/>
              </w:rPr>
            </w:pPr>
            <w:r>
              <w:rPr>
                <w:rFonts w:ascii="Arial" w:hAnsi="Arial" w:cs="Arial"/>
                <w:color w:val="000000"/>
                <w:sz w:val="20"/>
              </w:rPr>
              <w:t>KP</w:t>
            </w:r>
          </w:p>
        </w:tc>
        <w:tc>
          <w:tcPr>
            <w:tcW w:w="19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754ECDD5" w14:textId="77777777" w:rsidR="00E20215" w:rsidRDefault="00E20215" w:rsidP="00E20215">
            <w:pPr>
              <w:jc w:val="center"/>
              <w:rPr>
                <w:rFonts w:ascii="Arial" w:hAnsi="Arial" w:cs="Arial"/>
                <w:color w:val="000000"/>
                <w:sz w:val="20"/>
              </w:rPr>
            </w:pPr>
            <w:r>
              <w:rPr>
                <w:rFonts w:ascii="Arial" w:hAnsi="Arial" w:cs="Arial"/>
                <w:color w:val="000000"/>
                <w:sz w:val="20"/>
              </w:rPr>
              <w:t>ABS</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6B3B4B67" w14:textId="77777777" w:rsidR="00E20215" w:rsidRDefault="00E20215" w:rsidP="00E20215">
            <w:pPr>
              <w:jc w:val="center"/>
              <w:rPr>
                <w:rFonts w:ascii="Arial" w:hAnsi="Arial" w:cs="Arial"/>
                <w:color w:val="000000"/>
                <w:sz w:val="20"/>
              </w:rPr>
            </w:pPr>
            <w:r>
              <w:rPr>
                <w:rFonts w:ascii="Arial" w:hAnsi="Arial" w:cs="Arial"/>
                <w:color w:val="000000"/>
                <w:sz w:val="20"/>
              </w:rPr>
              <w:t>KP</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5CC8A554" w14:textId="77777777" w:rsidR="00E20215" w:rsidRDefault="00E20215" w:rsidP="00E20215">
            <w:pPr>
              <w:jc w:val="center"/>
              <w:rPr>
                <w:rFonts w:ascii="Arial" w:hAnsi="Arial" w:cs="Arial"/>
                <w:color w:val="000000"/>
                <w:sz w:val="20"/>
              </w:rPr>
            </w:pPr>
            <w:r>
              <w:rPr>
                <w:rFonts w:ascii="Arial" w:hAnsi="Arial" w:cs="Arial"/>
                <w:color w:val="000000"/>
                <w:sz w:val="20"/>
              </w:rPr>
              <w:t>ABS</w:t>
            </w:r>
          </w:p>
        </w:tc>
      </w:tr>
      <w:tr w:rsidR="00E20215" w14:paraId="4A496F02" w14:textId="77777777" w:rsidTr="00E20215">
        <w:trPr>
          <w:trHeight w:val="30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1D9A024" w14:textId="77777777" w:rsidR="00E20215" w:rsidRDefault="00E20215" w:rsidP="00E20215">
            <w:pPr>
              <w:rPr>
                <w:rFonts w:ascii="Arial" w:hAnsi="Arial" w:cs="Arial"/>
                <w:b/>
                <w:bCs/>
                <w:color w:val="000000"/>
                <w:sz w:val="20"/>
              </w:rPr>
            </w:pPr>
            <w:r>
              <w:rPr>
                <w:rFonts w:ascii="Arial" w:hAnsi="Arial" w:cs="Arial"/>
                <w:b/>
                <w:bCs/>
                <w:color w:val="000000"/>
                <w:sz w:val="20"/>
              </w:rPr>
              <w:t>Wave 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E16D75" w14:textId="77777777" w:rsidR="00E20215" w:rsidRDefault="00E20215" w:rsidP="00E20215">
            <w:pPr>
              <w:jc w:val="center"/>
              <w:rPr>
                <w:rFonts w:ascii="Arial" w:hAnsi="Arial" w:cs="Arial"/>
                <w:color w:val="000000"/>
                <w:sz w:val="20"/>
              </w:rPr>
            </w:pPr>
            <w:r>
              <w:rPr>
                <w:rFonts w:ascii="Arial" w:hAnsi="Arial" w:cs="Arial"/>
                <w:color w:val="000000"/>
                <w:sz w:val="20"/>
              </w:rPr>
              <w:t>----</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30D5F3" w14:textId="77777777" w:rsidR="00E20215" w:rsidRDefault="00E20215" w:rsidP="00E20215">
            <w:pPr>
              <w:jc w:val="center"/>
              <w:rPr>
                <w:rFonts w:ascii="Arial" w:hAnsi="Arial" w:cs="Arial"/>
                <w:color w:val="000000"/>
                <w:sz w:val="20"/>
              </w:rPr>
            </w:pPr>
            <w:r>
              <w:rPr>
                <w:rFonts w:ascii="Arial" w:hAnsi="Arial" w:cs="Arial"/>
                <w:color w:val="000000"/>
                <w:sz w:val="20"/>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8CD12D" w14:textId="77777777" w:rsidR="00E20215" w:rsidRDefault="00E20215" w:rsidP="00E20215">
            <w:pPr>
              <w:jc w:val="center"/>
              <w:rPr>
                <w:rFonts w:ascii="Arial" w:hAnsi="Arial" w:cs="Arial"/>
                <w:color w:val="000000"/>
                <w:sz w:val="20"/>
              </w:rPr>
            </w:pPr>
            <w:r>
              <w:rPr>
                <w:rFonts w:ascii="Arial" w:hAnsi="Arial" w:cs="Arial"/>
                <w:color w:val="000000"/>
                <w:sz w:val="20"/>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41759A" w14:textId="77777777" w:rsidR="00E20215" w:rsidRDefault="00E20215" w:rsidP="00E20215">
            <w:pPr>
              <w:jc w:val="center"/>
              <w:rPr>
                <w:rFonts w:ascii="Arial" w:hAnsi="Arial" w:cs="Arial"/>
                <w:color w:val="000000"/>
                <w:sz w:val="20"/>
              </w:rPr>
            </w:pPr>
            <w:r>
              <w:rPr>
                <w:rFonts w:ascii="Arial" w:hAnsi="Arial" w:cs="Arial"/>
                <w:color w:val="000000"/>
                <w:sz w:val="20"/>
              </w:rPr>
              <w:t>----</w:t>
            </w:r>
          </w:p>
        </w:tc>
      </w:tr>
      <w:tr w:rsidR="00E20215" w14:paraId="42B32A27" w14:textId="77777777" w:rsidTr="00E20215">
        <w:trPr>
          <w:trHeight w:val="30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34864D" w14:textId="77777777" w:rsidR="00E20215" w:rsidRDefault="00E20215" w:rsidP="00E20215">
            <w:pPr>
              <w:rPr>
                <w:rFonts w:ascii="Arial" w:hAnsi="Arial" w:cs="Arial"/>
                <w:b/>
                <w:bCs/>
                <w:color w:val="000000"/>
                <w:sz w:val="20"/>
              </w:rPr>
            </w:pPr>
            <w:r>
              <w:rPr>
                <w:rFonts w:ascii="Arial" w:hAnsi="Arial" w:cs="Arial"/>
                <w:b/>
                <w:bCs/>
                <w:color w:val="000000"/>
                <w:sz w:val="20"/>
              </w:rPr>
              <w:t>Waves 1 &amp; 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112B5D" w14:textId="77777777" w:rsidR="00E20215" w:rsidRDefault="00E20215" w:rsidP="00E20215">
            <w:pPr>
              <w:jc w:val="center"/>
              <w:rPr>
                <w:rFonts w:ascii="Arial" w:hAnsi="Arial" w:cs="Arial"/>
                <w:color w:val="000000"/>
                <w:sz w:val="20"/>
              </w:rPr>
            </w:pPr>
            <w:r>
              <w:rPr>
                <w:rFonts w:ascii="Arial" w:hAnsi="Arial" w:cs="Arial"/>
                <w:color w:val="000000"/>
                <w:sz w:val="20"/>
              </w:rPr>
              <w:t>80.2%</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B95E22" w14:textId="77777777" w:rsidR="00E20215" w:rsidRDefault="00E20215" w:rsidP="00E20215">
            <w:pPr>
              <w:jc w:val="center"/>
              <w:rPr>
                <w:rFonts w:ascii="Arial" w:hAnsi="Arial" w:cs="Arial"/>
                <w:color w:val="000000"/>
                <w:sz w:val="20"/>
              </w:rPr>
            </w:pPr>
            <w:r>
              <w:rPr>
                <w:rFonts w:ascii="Arial" w:hAnsi="Arial" w:cs="Arial"/>
                <w:color w:val="000000"/>
                <w:sz w:val="20"/>
              </w:rPr>
              <w:t>65.6%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5D25E6" w14:textId="77777777" w:rsidR="00E20215" w:rsidRDefault="00E20215" w:rsidP="00E20215">
            <w:pPr>
              <w:jc w:val="center"/>
              <w:rPr>
                <w:rFonts w:ascii="Arial" w:hAnsi="Arial" w:cs="Arial"/>
                <w:color w:val="000000"/>
                <w:sz w:val="20"/>
              </w:rPr>
            </w:pPr>
            <w:r>
              <w:rPr>
                <w:rFonts w:ascii="Arial" w:hAnsi="Arial" w:cs="Arial"/>
                <w:color w:val="000000"/>
                <w:sz w:val="20"/>
              </w:rPr>
              <w:t>79.9%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83E9F5" w14:textId="77777777" w:rsidR="00E20215" w:rsidRDefault="00E20215" w:rsidP="00E20215">
            <w:pPr>
              <w:jc w:val="center"/>
              <w:rPr>
                <w:rFonts w:ascii="Arial" w:hAnsi="Arial" w:cs="Arial"/>
                <w:color w:val="000000"/>
                <w:sz w:val="20"/>
              </w:rPr>
            </w:pPr>
            <w:r>
              <w:rPr>
                <w:rFonts w:ascii="Arial" w:hAnsi="Arial" w:cs="Arial"/>
                <w:color w:val="000000"/>
                <w:sz w:val="20"/>
              </w:rPr>
              <w:t>67.6%</w:t>
            </w:r>
          </w:p>
        </w:tc>
      </w:tr>
      <w:tr w:rsidR="00E20215" w14:paraId="66F20272" w14:textId="77777777" w:rsidTr="00E20215">
        <w:trPr>
          <w:trHeight w:val="30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650550" w14:textId="77777777" w:rsidR="00E20215" w:rsidRDefault="00E20215" w:rsidP="00E20215">
            <w:pPr>
              <w:rPr>
                <w:rFonts w:ascii="Arial" w:hAnsi="Arial" w:cs="Arial"/>
                <w:b/>
                <w:bCs/>
                <w:color w:val="000000"/>
                <w:sz w:val="20"/>
              </w:rPr>
            </w:pPr>
            <w:r>
              <w:rPr>
                <w:rFonts w:ascii="Arial" w:hAnsi="Arial" w:cs="Arial"/>
                <w:b/>
                <w:bCs/>
                <w:color w:val="000000"/>
                <w:sz w:val="20"/>
              </w:rPr>
              <w:t>Waves 1, 2, &amp; 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89C486" w14:textId="77777777" w:rsidR="00E20215" w:rsidRDefault="00E20215" w:rsidP="00E20215">
            <w:pPr>
              <w:jc w:val="center"/>
              <w:rPr>
                <w:rFonts w:ascii="Arial" w:hAnsi="Arial" w:cs="Arial"/>
                <w:color w:val="000000"/>
                <w:sz w:val="20"/>
              </w:rPr>
            </w:pPr>
            <w:r>
              <w:rPr>
                <w:rFonts w:ascii="Arial" w:hAnsi="Arial" w:cs="Arial"/>
                <w:color w:val="000000"/>
                <w:sz w:val="20"/>
              </w:rPr>
              <w:t>87.8%</w:t>
            </w:r>
          </w:p>
        </w:tc>
        <w:tc>
          <w:tcPr>
            <w:tcW w:w="1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4452944" w14:textId="77777777" w:rsidR="00E20215" w:rsidRDefault="00E20215" w:rsidP="00E20215">
            <w:pPr>
              <w:jc w:val="center"/>
              <w:rPr>
                <w:rFonts w:ascii="Arial" w:hAnsi="Arial" w:cs="Arial"/>
                <w:color w:val="000000"/>
                <w:sz w:val="20"/>
              </w:rPr>
            </w:pPr>
            <w:r>
              <w:rPr>
                <w:rFonts w:ascii="Arial" w:hAnsi="Arial" w:cs="Arial"/>
                <w:color w:val="000000"/>
                <w:sz w:val="20"/>
              </w:rPr>
              <w:t>71.0%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4CCE5A" w14:textId="77777777" w:rsidR="00E20215" w:rsidRDefault="00E20215" w:rsidP="00E20215">
            <w:pPr>
              <w:jc w:val="center"/>
              <w:rPr>
                <w:rFonts w:ascii="Arial" w:hAnsi="Arial" w:cs="Arial"/>
                <w:color w:val="000000"/>
                <w:sz w:val="20"/>
              </w:rPr>
            </w:pPr>
            <w:r>
              <w:rPr>
                <w:rFonts w:ascii="Arial" w:hAnsi="Arial" w:cs="Arial"/>
                <w:color w:val="000000"/>
                <w:sz w:val="20"/>
              </w:rPr>
              <w:t>81.7%</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951275" w14:textId="77777777" w:rsidR="00E20215" w:rsidRDefault="00E20215" w:rsidP="00E20215">
            <w:pPr>
              <w:jc w:val="center"/>
              <w:rPr>
                <w:rFonts w:ascii="Arial" w:hAnsi="Arial" w:cs="Arial"/>
                <w:color w:val="000000"/>
                <w:sz w:val="20"/>
              </w:rPr>
            </w:pPr>
            <w:r>
              <w:rPr>
                <w:rFonts w:ascii="Arial" w:hAnsi="Arial" w:cs="Arial"/>
                <w:color w:val="000000"/>
                <w:sz w:val="20"/>
              </w:rPr>
              <w:t>75.2%</w:t>
            </w:r>
          </w:p>
        </w:tc>
      </w:tr>
      <w:tr w:rsidR="00E20215" w14:paraId="1F86F05E" w14:textId="77777777" w:rsidTr="00E20215">
        <w:trPr>
          <w:trHeight w:val="30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54B7A3" w14:textId="77777777" w:rsidR="00E20215" w:rsidRDefault="00E20215" w:rsidP="00E20215">
            <w:pPr>
              <w:rPr>
                <w:rFonts w:ascii="Arial" w:hAnsi="Arial" w:cs="Arial"/>
                <w:b/>
                <w:bCs/>
                <w:color w:val="000000"/>
                <w:sz w:val="20"/>
              </w:rPr>
            </w:pPr>
            <w:r>
              <w:rPr>
                <w:rFonts w:ascii="Arial" w:hAnsi="Arial" w:cs="Arial"/>
                <w:b/>
                <w:bCs/>
                <w:color w:val="000000"/>
                <w:sz w:val="20"/>
              </w:rPr>
              <w:t>Waves 1, 2, 3, &amp; 4</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15DB74" w14:textId="77777777" w:rsidR="00E20215" w:rsidRDefault="00E20215" w:rsidP="00E20215">
            <w:pPr>
              <w:jc w:val="center"/>
              <w:rPr>
                <w:rFonts w:ascii="Arial" w:hAnsi="Arial" w:cs="Arial"/>
                <w:color w:val="000000"/>
                <w:sz w:val="20"/>
              </w:rPr>
            </w:pPr>
            <w:r>
              <w:rPr>
                <w:rFonts w:ascii="Arial" w:hAnsi="Arial" w:cs="Arial"/>
                <w:color w:val="000000"/>
                <w:sz w:val="20"/>
              </w:rPr>
              <w:t>70.3%</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90D910" w14:textId="77777777" w:rsidR="00E20215" w:rsidRDefault="00E20215" w:rsidP="00E20215">
            <w:pPr>
              <w:jc w:val="center"/>
              <w:rPr>
                <w:rFonts w:ascii="Arial" w:hAnsi="Arial" w:cs="Arial"/>
                <w:color w:val="000000"/>
                <w:sz w:val="20"/>
              </w:rPr>
            </w:pPr>
            <w:r>
              <w:rPr>
                <w:rFonts w:ascii="Arial" w:hAnsi="Arial" w:cs="Arial"/>
                <w:color w:val="000000"/>
                <w:sz w:val="20"/>
              </w:rPr>
              <w:t>76.3%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E4388B" w14:textId="77777777" w:rsidR="00E20215" w:rsidRDefault="00E20215" w:rsidP="00E20215">
            <w:pPr>
              <w:jc w:val="center"/>
              <w:rPr>
                <w:rFonts w:ascii="Arial" w:hAnsi="Arial" w:cs="Arial"/>
                <w:color w:val="000000"/>
                <w:sz w:val="20"/>
              </w:rPr>
            </w:pPr>
            <w:r>
              <w:rPr>
                <w:rFonts w:ascii="Arial" w:hAnsi="Arial" w:cs="Arial"/>
                <w:color w:val="000000"/>
                <w:sz w:val="20"/>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59FE8B" w14:textId="77777777" w:rsidR="00E20215" w:rsidRDefault="00E20215" w:rsidP="00E20215">
            <w:pPr>
              <w:jc w:val="center"/>
              <w:rPr>
                <w:rFonts w:ascii="Arial" w:hAnsi="Arial" w:cs="Arial"/>
                <w:color w:val="000000"/>
                <w:sz w:val="20"/>
              </w:rPr>
            </w:pPr>
            <w:r>
              <w:rPr>
                <w:rFonts w:ascii="Arial" w:hAnsi="Arial" w:cs="Arial"/>
                <w:color w:val="000000"/>
                <w:sz w:val="20"/>
              </w:rPr>
              <w:t>----</w:t>
            </w:r>
          </w:p>
        </w:tc>
      </w:tr>
      <w:tr w:rsidR="00E20215" w14:paraId="63E8FC75" w14:textId="77777777" w:rsidTr="00E20215">
        <w:trPr>
          <w:trHeight w:val="300"/>
        </w:trPr>
        <w:tc>
          <w:tcPr>
            <w:tcW w:w="297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6BFFFC5" w14:textId="77777777" w:rsidR="00E20215" w:rsidRDefault="00E20215" w:rsidP="00E20215">
            <w:pPr>
              <w:rPr>
                <w:rFonts w:ascii="Calibri" w:hAnsi="Calibri"/>
                <w:color w:val="000000"/>
                <w:sz w:val="22"/>
                <w:szCs w:val="22"/>
              </w:rPr>
            </w:pPr>
            <w:r>
              <w:rPr>
                <w:color w:val="000000"/>
              </w:rPr>
              <w:t> </w:t>
            </w:r>
          </w:p>
        </w:tc>
        <w:tc>
          <w:tcPr>
            <w:tcW w:w="1260" w:type="dxa"/>
            <w:tcBorders>
              <w:top w:val="nil"/>
              <w:left w:val="nil"/>
              <w:bottom w:val="single" w:sz="8" w:space="0" w:color="auto"/>
              <w:right w:val="nil"/>
            </w:tcBorders>
            <w:noWrap/>
            <w:tcMar>
              <w:top w:w="0" w:type="dxa"/>
              <w:left w:w="108" w:type="dxa"/>
              <w:bottom w:w="0" w:type="dxa"/>
              <w:right w:w="108" w:type="dxa"/>
            </w:tcMar>
            <w:vAlign w:val="bottom"/>
            <w:hideMark/>
          </w:tcPr>
          <w:p w14:paraId="5EC3F631" w14:textId="77777777" w:rsidR="00E20215" w:rsidRDefault="00E20215" w:rsidP="00E20215">
            <w:pPr>
              <w:jc w:val="center"/>
              <w:rPr>
                <w:color w:val="000000"/>
              </w:rPr>
            </w:pPr>
            <w:r>
              <w:rPr>
                <w:color w:val="000000"/>
              </w:rPr>
              <w:t> </w:t>
            </w: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1EC89689" w14:textId="77777777" w:rsidR="00E20215" w:rsidRDefault="00E20215" w:rsidP="00E20215">
            <w:pPr>
              <w:jc w:val="center"/>
              <w:rPr>
                <w:color w:val="000000"/>
              </w:rPr>
            </w:pPr>
            <w:r>
              <w:rPr>
                <w:color w:val="000000"/>
              </w:rPr>
              <w:t> </w:t>
            </w:r>
          </w:p>
        </w:tc>
        <w:tc>
          <w:tcPr>
            <w:tcW w:w="1620" w:type="dxa"/>
            <w:tcBorders>
              <w:top w:val="nil"/>
              <w:left w:val="nil"/>
              <w:bottom w:val="single" w:sz="8" w:space="0" w:color="auto"/>
              <w:right w:val="nil"/>
            </w:tcBorders>
            <w:noWrap/>
            <w:tcMar>
              <w:top w:w="0" w:type="dxa"/>
              <w:left w:w="108" w:type="dxa"/>
              <w:bottom w:w="0" w:type="dxa"/>
              <w:right w:w="108" w:type="dxa"/>
            </w:tcMar>
            <w:vAlign w:val="bottom"/>
            <w:hideMark/>
          </w:tcPr>
          <w:p w14:paraId="1043CC5B" w14:textId="77777777" w:rsidR="00E20215" w:rsidRDefault="00E20215" w:rsidP="00E20215">
            <w:pPr>
              <w:jc w:val="center"/>
              <w:rPr>
                <w:color w:val="000000"/>
              </w:rPr>
            </w:pPr>
            <w:r>
              <w:rPr>
                <w:color w:val="000000"/>
              </w:rPr>
              <w:t>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37695" w14:textId="77777777" w:rsidR="00E20215" w:rsidRDefault="00E20215" w:rsidP="00E20215">
            <w:pPr>
              <w:jc w:val="center"/>
              <w:rPr>
                <w:color w:val="000000"/>
              </w:rPr>
            </w:pPr>
            <w:r>
              <w:rPr>
                <w:color w:val="000000"/>
              </w:rPr>
              <w:t> </w:t>
            </w:r>
          </w:p>
        </w:tc>
      </w:tr>
      <w:tr w:rsidR="00E20215" w14:paraId="0E3E5DCB" w14:textId="77777777" w:rsidTr="00E20215">
        <w:trPr>
          <w:trHeight w:val="30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29F588" w14:textId="77777777" w:rsidR="00E20215" w:rsidRDefault="00E20215" w:rsidP="00E20215">
            <w:pPr>
              <w:rPr>
                <w:rFonts w:ascii="Arial" w:hAnsi="Arial" w:cs="Arial"/>
                <w:b/>
                <w:bCs/>
                <w:color w:val="000000"/>
                <w:sz w:val="20"/>
              </w:rPr>
            </w:pPr>
            <w:r>
              <w:rPr>
                <w:rFonts w:ascii="Arial" w:hAnsi="Arial" w:cs="Arial"/>
                <w:b/>
                <w:bCs/>
                <w:color w:val="000000"/>
                <w:sz w:val="20"/>
              </w:rPr>
              <w:t>Wave 1 - 2 Total Retention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D6B39" w14:textId="77777777" w:rsidR="00E20215" w:rsidRDefault="00E20215" w:rsidP="00E20215">
            <w:pPr>
              <w:jc w:val="center"/>
              <w:rPr>
                <w:rFonts w:ascii="Arial" w:hAnsi="Arial" w:cs="Arial"/>
                <w:color w:val="000000"/>
                <w:sz w:val="20"/>
              </w:rPr>
            </w:pPr>
            <w:r>
              <w:rPr>
                <w:rFonts w:ascii="Arial" w:hAnsi="Arial" w:cs="Arial"/>
                <w:color w:val="000000"/>
                <w:sz w:val="20"/>
              </w:rPr>
              <w:t>80.2%</w:t>
            </w:r>
          </w:p>
        </w:tc>
        <w:tc>
          <w:tcPr>
            <w:tcW w:w="1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C75D9F" w14:textId="77777777" w:rsidR="00E20215" w:rsidRDefault="00E20215" w:rsidP="00E20215">
            <w:pPr>
              <w:jc w:val="center"/>
              <w:rPr>
                <w:rFonts w:ascii="Arial" w:hAnsi="Arial" w:cs="Arial"/>
                <w:color w:val="000000"/>
                <w:sz w:val="20"/>
              </w:rPr>
            </w:pPr>
            <w:r>
              <w:rPr>
                <w:rFonts w:ascii="Arial" w:hAnsi="Arial" w:cs="Arial"/>
                <w:color w:val="000000"/>
                <w:sz w:val="20"/>
              </w:rPr>
              <w:t>65.6%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5F769A" w14:textId="77777777" w:rsidR="00E20215" w:rsidRDefault="00E20215" w:rsidP="00E20215">
            <w:pPr>
              <w:jc w:val="center"/>
              <w:rPr>
                <w:rFonts w:ascii="Arial" w:hAnsi="Arial" w:cs="Arial"/>
                <w:color w:val="000000"/>
                <w:sz w:val="20"/>
              </w:rPr>
            </w:pPr>
            <w:r>
              <w:rPr>
                <w:rFonts w:ascii="Arial" w:hAnsi="Arial" w:cs="Arial"/>
                <w:color w:val="000000"/>
                <w:sz w:val="20"/>
              </w:rPr>
              <w:t>79.9%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55C39D" w14:textId="77777777" w:rsidR="00E20215" w:rsidRDefault="00E20215" w:rsidP="00E20215">
            <w:pPr>
              <w:jc w:val="center"/>
              <w:rPr>
                <w:rFonts w:ascii="Arial" w:hAnsi="Arial" w:cs="Arial"/>
                <w:color w:val="000000"/>
                <w:sz w:val="20"/>
              </w:rPr>
            </w:pPr>
            <w:r>
              <w:rPr>
                <w:rFonts w:ascii="Arial" w:hAnsi="Arial" w:cs="Arial"/>
                <w:color w:val="000000"/>
                <w:sz w:val="20"/>
              </w:rPr>
              <w:t>67.6%</w:t>
            </w:r>
          </w:p>
        </w:tc>
      </w:tr>
      <w:tr w:rsidR="00E20215" w14:paraId="225CF813" w14:textId="77777777" w:rsidTr="00E20215">
        <w:trPr>
          <w:trHeight w:val="30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A0DCB0" w14:textId="77777777" w:rsidR="00E20215" w:rsidRDefault="00E20215" w:rsidP="00E20215">
            <w:pPr>
              <w:rPr>
                <w:rFonts w:ascii="Arial" w:hAnsi="Arial" w:cs="Arial"/>
                <w:b/>
                <w:bCs/>
                <w:color w:val="000000"/>
                <w:sz w:val="20"/>
              </w:rPr>
            </w:pPr>
            <w:r>
              <w:rPr>
                <w:rFonts w:ascii="Arial" w:hAnsi="Arial" w:cs="Arial"/>
                <w:b/>
                <w:bCs/>
                <w:color w:val="000000"/>
                <w:sz w:val="20"/>
              </w:rPr>
              <w:t>Wave 1 - 3 Total Retention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3EF84B" w14:textId="77777777" w:rsidR="00E20215" w:rsidRDefault="00E20215" w:rsidP="00E20215">
            <w:pPr>
              <w:jc w:val="center"/>
              <w:rPr>
                <w:rFonts w:ascii="Arial" w:hAnsi="Arial" w:cs="Arial"/>
                <w:color w:val="000000"/>
                <w:sz w:val="20"/>
              </w:rPr>
            </w:pPr>
            <w:r>
              <w:rPr>
                <w:rFonts w:ascii="Arial" w:hAnsi="Arial" w:cs="Arial"/>
                <w:color w:val="000000"/>
                <w:sz w:val="20"/>
              </w:rPr>
              <w:t>70.4%</w:t>
            </w:r>
          </w:p>
        </w:tc>
        <w:tc>
          <w:tcPr>
            <w:tcW w:w="1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C84377" w14:textId="77777777" w:rsidR="00E20215" w:rsidRDefault="00E20215" w:rsidP="00E20215">
            <w:pPr>
              <w:jc w:val="center"/>
              <w:rPr>
                <w:rFonts w:ascii="Arial" w:hAnsi="Arial" w:cs="Arial"/>
                <w:color w:val="000000"/>
                <w:sz w:val="20"/>
              </w:rPr>
            </w:pPr>
            <w:r>
              <w:rPr>
                <w:rFonts w:ascii="Arial" w:hAnsi="Arial" w:cs="Arial"/>
                <w:color w:val="000000"/>
                <w:sz w:val="20"/>
              </w:rPr>
              <w:t>46.6%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D10D90" w14:textId="77777777" w:rsidR="00E20215" w:rsidRDefault="00E20215" w:rsidP="00E20215">
            <w:pPr>
              <w:jc w:val="center"/>
              <w:rPr>
                <w:rFonts w:ascii="Arial" w:hAnsi="Arial" w:cs="Arial"/>
                <w:color w:val="000000"/>
                <w:sz w:val="20"/>
              </w:rPr>
            </w:pPr>
            <w:r>
              <w:rPr>
                <w:rFonts w:ascii="Arial" w:hAnsi="Arial" w:cs="Arial"/>
                <w:color w:val="000000"/>
                <w:sz w:val="20"/>
              </w:rPr>
              <w:t>65.2%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22547" w14:textId="77777777" w:rsidR="00E20215" w:rsidRDefault="00E20215" w:rsidP="00E20215">
            <w:pPr>
              <w:jc w:val="center"/>
              <w:rPr>
                <w:rFonts w:ascii="Arial" w:hAnsi="Arial" w:cs="Arial"/>
                <w:color w:val="000000"/>
                <w:sz w:val="20"/>
              </w:rPr>
            </w:pPr>
            <w:r>
              <w:rPr>
                <w:rFonts w:ascii="Arial" w:hAnsi="Arial" w:cs="Arial"/>
                <w:color w:val="000000"/>
                <w:sz w:val="20"/>
              </w:rPr>
              <w:t>50.9%</w:t>
            </w:r>
          </w:p>
        </w:tc>
      </w:tr>
      <w:tr w:rsidR="00E20215" w14:paraId="2F2A8987" w14:textId="77777777" w:rsidTr="00E20215">
        <w:trPr>
          <w:trHeight w:val="30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A5BE3A" w14:textId="77777777" w:rsidR="00E20215" w:rsidRDefault="00E20215" w:rsidP="00E20215">
            <w:pPr>
              <w:rPr>
                <w:rFonts w:ascii="Arial" w:hAnsi="Arial" w:cs="Arial"/>
                <w:b/>
                <w:bCs/>
                <w:color w:val="000000"/>
                <w:sz w:val="20"/>
              </w:rPr>
            </w:pPr>
            <w:r>
              <w:rPr>
                <w:rFonts w:ascii="Arial" w:hAnsi="Arial" w:cs="Arial"/>
                <w:b/>
                <w:bCs/>
                <w:color w:val="000000"/>
                <w:sz w:val="20"/>
              </w:rPr>
              <w:t>Wave 1 - 4 Total Retention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7FA24A" w14:textId="77777777" w:rsidR="00E20215" w:rsidRDefault="00E20215" w:rsidP="00E20215">
            <w:pPr>
              <w:jc w:val="center"/>
              <w:rPr>
                <w:rFonts w:ascii="Arial" w:hAnsi="Arial" w:cs="Arial"/>
                <w:color w:val="000000"/>
                <w:sz w:val="20"/>
              </w:rPr>
            </w:pPr>
            <w:r>
              <w:rPr>
                <w:rFonts w:ascii="Arial" w:hAnsi="Arial" w:cs="Arial"/>
                <w:color w:val="000000"/>
                <w:sz w:val="20"/>
              </w:rPr>
              <w:t>49.5%</w:t>
            </w:r>
          </w:p>
        </w:tc>
        <w:tc>
          <w:tcPr>
            <w:tcW w:w="1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81EE51" w14:textId="77777777" w:rsidR="00E20215" w:rsidRDefault="00E20215" w:rsidP="00E20215">
            <w:pPr>
              <w:jc w:val="center"/>
              <w:rPr>
                <w:rFonts w:ascii="Arial" w:hAnsi="Arial" w:cs="Arial"/>
                <w:color w:val="000000"/>
                <w:sz w:val="20"/>
              </w:rPr>
            </w:pPr>
            <w:r>
              <w:rPr>
                <w:rFonts w:ascii="Arial" w:hAnsi="Arial" w:cs="Arial"/>
                <w:color w:val="000000"/>
                <w:sz w:val="20"/>
              </w:rPr>
              <w:t>35.5%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A04F73" w14:textId="77777777" w:rsidR="00E20215" w:rsidRDefault="00E20215" w:rsidP="00E20215">
            <w:pPr>
              <w:jc w:val="center"/>
              <w:rPr>
                <w:rFonts w:ascii="Arial" w:hAnsi="Arial" w:cs="Arial"/>
                <w:color w:val="000000"/>
                <w:sz w:val="20"/>
              </w:rPr>
            </w:pPr>
            <w:r>
              <w:rPr>
                <w:rFonts w:ascii="Arial" w:hAnsi="Arial" w:cs="Arial"/>
                <w:color w:val="000000"/>
                <w:sz w:val="20"/>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14C731" w14:textId="77777777" w:rsidR="00E20215" w:rsidRDefault="00E20215" w:rsidP="00E20215">
            <w:pPr>
              <w:jc w:val="center"/>
              <w:rPr>
                <w:rFonts w:ascii="Arial" w:hAnsi="Arial" w:cs="Arial"/>
                <w:color w:val="000000"/>
                <w:sz w:val="20"/>
              </w:rPr>
            </w:pPr>
            <w:r>
              <w:rPr>
                <w:rFonts w:ascii="Arial" w:hAnsi="Arial" w:cs="Arial"/>
                <w:color w:val="000000"/>
                <w:sz w:val="20"/>
              </w:rPr>
              <w:t>----</w:t>
            </w:r>
          </w:p>
        </w:tc>
      </w:tr>
    </w:tbl>
    <w:p w14:paraId="260227B8" w14:textId="77777777" w:rsidR="00210343" w:rsidRDefault="00210343" w:rsidP="00E72DCB">
      <w:pPr>
        <w:ind w:firstLine="720"/>
        <w:rPr>
          <w:rFonts w:ascii="Calibri" w:hAnsi="Calibri" w:cs="Calibri"/>
        </w:rPr>
      </w:pPr>
    </w:p>
    <w:p w14:paraId="0DFE1D52" w14:textId="77777777" w:rsidR="00954C8C" w:rsidRDefault="00954C8C" w:rsidP="00E72DCB">
      <w:pPr>
        <w:ind w:firstLine="720"/>
        <w:rPr>
          <w:rFonts w:ascii="Calibri" w:hAnsi="Calibri" w:cs="Calibri"/>
        </w:rPr>
      </w:pPr>
    </w:p>
    <w:p w14:paraId="68B77E2C" w14:textId="77777777" w:rsidR="00954C8C" w:rsidRDefault="00954C8C" w:rsidP="00E72DCB">
      <w:pPr>
        <w:ind w:firstLine="720"/>
        <w:rPr>
          <w:rFonts w:ascii="Calibri" w:hAnsi="Calibri" w:cs="Calibri"/>
        </w:rPr>
      </w:pPr>
    </w:p>
    <w:p w14:paraId="3BBA9702" w14:textId="4139AD20" w:rsidR="0035525E" w:rsidRPr="00824350" w:rsidRDefault="005663DF" w:rsidP="009A12DB">
      <w:pPr>
        <w:rPr>
          <w:rFonts w:ascii="Calibri" w:hAnsi="Calibri" w:cs="Calibri"/>
          <w:b/>
          <w:bCs/>
        </w:rPr>
      </w:pPr>
      <w:r>
        <w:rPr>
          <w:rFonts w:ascii="Calibri" w:hAnsi="Calibri" w:cs="Calibri"/>
          <w:b/>
          <w:bCs/>
        </w:rPr>
        <w:t xml:space="preserve">Exhibit </w:t>
      </w:r>
      <w:r w:rsidR="00C50175">
        <w:rPr>
          <w:rFonts w:ascii="Calibri" w:hAnsi="Calibri" w:cs="Calibri"/>
          <w:b/>
          <w:bCs/>
        </w:rPr>
        <w:t>1</w:t>
      </w:r>
      <w:r w:rsidR="00954C8C">
        <w:rPr>
          <w:rFonts w:ascii="Calibri" w:hAnsi="Calibri" w:cs="Calibri"/>
          <w:b/>
          <w:bCs/>
        </w:rPr>
        <w:t>B</w:t>
      </w:r>
      <w:r w:rsidR="0035525E" w:rsidRPr="00824350">
        <w:rPr>
          <w:rFonts w:ascii="Calibri" w:hAnsi="Calibri" w:cs="Calibri"/>
          <w:b/>
          <w:bCs/>
        </w:rPr>
        <w:t>. Estimated Annualized Burden Hours</w:t>
      </w:r>
    </w:p>
    <w:p w14:paraId="0040076A" w14:textId="77777777" w:rsidR="0035525E" w:rsidRPr="00824350" w:rsidRDefault="0035525E" w:rsidP="00B46C85">
      <w:pPr>
        <w:rPr>
          <w:rFonts w:ascii="Calibri" w:hAnsi="Calibri" w:cs="Calibri"/>
          <w:b/>
          <w:b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2407"/>
        <w:gridCol w:w="1530"/>
        <w:gridCol w:w="1530"/>
        <w:gridCol w:w="1440"/>
        <w:gridCol w:w="1260"/>
      </w:tblGrid>
      <w:tr w:rsidR="00A73A7D" w:rsidRPr="00824350" w14:paraId="589C8A5F" w14:textId="77777777" w:rsidTr="00DE57A9">
        <w:tc>
          <w:tcPr>
            <w:tcW w:w="1458" w:type="dxa"/>
            <w:vAlign w:val="center"/>
          </w:tcPr>
          <w:p w14:paraId="33691F43" w14:textId="77777777" w:rsidR="00A73A7D" w:rsidRPr="00824350" w:rsidRDefault="00A73A7D" w:rsidP="00AE438A">
            <w:pPr>
              <w:pStyle w:val="bodytextpsg"/>
              <w:spacing w:after="0" w:line="240" w:lineRule="auto"/>
              <w:ind w:firstLine="0"/>
              <w:jc w:val="center"/>
              <w:rPr>
                <w:rFonts w:ascii="Calibri" w:hAnsi="Calibri" w:cs="Calibri"/>
                <w:szCs w:val="24"/>
              </w:rPr>
            </w:pPr>
            <w:r w:rsidRPr="00824350">
              <w:rPr>
                <w:rFonts w:ascii="Calibri" w:hAnsi="Calibri" w:cs="Calibri"/>
                <w:szCs w:val="24"/>
              </w:rPr>
              <w:t>Type of Respondent</w:t>
            </w:r>
          </w:p>
        </w:tc>
        <w:tc>
          <w:tcPr>
            <w:tcW w:w="2407" w:type="dxa"/>
            <w:vAlign w:val="center"/>
          </w:tcPr>
          <w:p w14:paraId="62E11831" w14:textId="77777777" w:rsidR="00A73A7D" w:rsidRPr="00824350" w:rsidRDefault="00A73A7D" w:rsidP="00AE438A">
            <w:pPr>
              <w:jc w:val="center"/>
              <w:rPr>
                <w:rFonts w:ascii="Calibri" w:hAnsi="Calibri" w:cs="Calibri"/>
                <w:szCs w:val="24"/>
              </w:rPr>
            </w:pPr>
          </w:p>
          <w:p w14:paraId="706A09A2" w14:textId="77777777" w:rsidR="00A73A7D" w:rsidRPr="00824350" w:rsidRDefault="00A73A7D">
            <w:pPr>
              <w:jc w:val="center"/>
              <w:rPr>
                <w:rFonts w:ascii="Calibri" w:hAnsi="Calibri" w:cs="Calibri"/>
                <w:szCs w:val="24"/>
              </w:rPr>
            </w:pPr>
          </w:p>
          <w:p w14:paraId="2F007307" w14:textId="77777777" w:rsidR="00A73A7D" w:rsidRPr="00824350" w:rsidRDefault="00A73A7D">
            <w:pPr>
              <w:pStyle w:val="bodytextpsg"/>
              <w:spacing w:after="0" w:line="240" w:lineRule="auto"/>
              <w:ind w:firstLine="0"/>
              <w:jc w:val="center"/>
              <w:rPr>
                <w:rFonts w:ascii="Calibri" w:hAnsi="Calibri" w:cs="Calibri"/>
                <w:szCs w:val="24"/>
              </w:rPr>
            </w:pPr>
            <w:r w:rsidRPr="00824350">
              <w:rPr>
                <w:rFonts w:ascii="Calibri" w:hAnsi="Calibri" w:cs="Calibri"/>
                <w:szCs w:val="24"/>
              </w:rPr>
              <w:t>Form Name</w:t>
            </w:r>
          </w:p>
        </w:tc>
        <w:tc>
          <w:tcPr>
            <w:tcW w:w="1530" w:type="dxa"/>
            <w:vAlign w:val="center"/>
          </w:tcPr>
          <w:p w14:paraId="3F49B207" w14:textId="77777777" w:rsidR="00A73A7D" w:rsidRPr="00824350" w:rsidRDefault="00A73A7D">
            <w:pPr>
              <w:jc w:val="center"/>
              <w:rPr>
                <w:rFonts w:ascii="Calibri" w:hAnsi="Calibri" w:cs="Calibri"/>
                <w:szCs w:val="24"/>
              </w:rPr>
            </w:pPr>
          </w:p>
          <w:p w14:paraId="093F9242" w14:textId="77777777" w:rsidR="00A73A7D" w:rsidRPr="00824350" w:rsidRDefault="00A73A7D">
            <w:pPr>
              <w:jc w:val="center"/>
              <w:rPr>
                <w:rFonts w:ascii="Calibri" w:hAnsi="Calibri" w:cs="Calibri"/>
                <w:szCs w:val="24"/>
              </w:rPr>
            </w:pPr>
          </w:p>
          <w:p w14:paraId="66DAAE0A" w14:textId="77777777" w:rsidR="00A73A7D" w:rsidRPr="00824350" w:rsidRDefault="00A73A7D">
            <w:pPr>
              <w:pStyle w:val="bodytextpsg"/>
              <w:spacing w:after="0" w:line="240" w:lineRule="auto"/>
              <w:ind w:firstLine="0"/>
              <w:jc w:val="center"/>
              <w:rPr>
                <w:rFonts w:ascii="Calibri" w:hAnsi="Calibri" w:cs="Calibri"/>
                <w:szCs w:val="24"/>
              </w:rPr>
            </w:pPr>
            <w:r w:rsidRPr="00824350">
              <w:rPr>
                <w:rFonts w:ascii="Calibri" w:hAnsi="Calibri" w:cs="Calibri"/>
                <w:szCs w:val="24"/>
              </w:rPr>
              <w:t>Number of  Respondents</w:t>
            </w:r>
          </w:p>
        </w:tc>
        <w:tc>
          <w:tcPr>
            <w:tcW w:w="1530" w:type="dxa"/>
            <w:vAlign w:val="center"/>
          </w:tcPr>
          <w:p w14:paraId="6E539B15" w14:textId="77777777" w:rsidR="00A73A7D" w:rsidRPr="00824350" w:rsidRDefault="00A73A7D">
            <w:pPr>
              <w:pStyle w:val="bodytextpsg"/>
              <w:spacing w:after="0" w:line="240" w:lineRule="auto"/>
              <w:ind w:firstLine="0"/>
              <w:jc w:val="center"/>
              <w:rPr>
                <w:rFonts w:ascii="Calibri" w:hAnsi="Calibri" w:cs="Calibri"/>
                <w:szCs w:val="24"/>
              </w:rPr>
            </w:pPr>
            <w:r w:rsidRPr="00824350">
              <w:rPr>
                <w:rFonts w:ascii="Calibri" w:hAnsi="Calibri" w:cs="Calibri"/>
                <w:szCs w:val="24"/>
              </w:rPr>
              <w:t>Number of Responses per  Respondent</w:t>
            </w:r>
          </w:p>
        </w:tc>
        <w:tc>
          <w:tcPr>
            <w:tcW w:w="1440" w:type="dxa"/>
            <w:vAlign w:val="center"/>
          </w:tcPr>
          <w:p w14:paraId="18717296" w14:textId="77777777" w:rsidR="00A73A7D" w:rsidRPr="00824350" w:rsidRDefault="00A73A7D">
            <w:pPr>
              <w:jc w:val="center"/>
              <w:rPr>
                <w:rFonts w:ascii="Calibri" w:hAnsi="Calibri" w:cs="Calibri"/>
                <w:szCs w:val="24"/>
              </w:rPr>
            </w:pPr>
          </w:p>
          <w:p w14:paraId="5345A501" w14:textId="77777777" w:rsidR="00A73A7D" w:rsidRPr="00824350" w:rsidRDefault="00A73A7D">
            <w:pPr>
              <w:pStyle w:val="bodytextpsg"/>
              <w:spacing w:after="0" w:line="240" w:lineRule="auto"/>
              <w:ind w:firstLine="0"/>
              <w:jc w:val="center"/>
              <w:rPr>
                <w:rFonts w:ascii="Calibri" w:hAnsi="Calibri" w:cs="Calibri"/>
                <w:szCs w:val="24"/>
              </w:rPr>
            </w:pPr>
            <w:r w:rsidRPr="00824350">
              <w:rPr>
                <w:rFonts w:ascii="Calibri" w:hAnsi="Calibri" w:cs="Calibri"/>
                <w:szCs w:val="24"/>
              </w:rPr>
              <w:t>Average Burden per Response (in Hours)</w:t>
            </w:r>
          </w:p>
        </w:tc>
        <w:tc>
          <w:tcPr>
            <w:tcW w:w="1260" w:type="dxa"/>
            <w:vAlign w:val="center"/>
          </w:tcPr>
          <w:p w14:paraId="31D80044" w14:textId="77777777" w:rsidR="00A73A7D" w:rsidRPr="00824350" w:rsidRDefault="00A73A7D">
            <w:pPr>
              <w:jc w:val="center"/>
              <w:rPr>
                <w:rFonts w:ascii="Calibri" w:hAnsi="Calibri" w:cs="Calibri"/>
                <w:szCs w:val="24"/>
              </w:rPr>
            </w:pPr>
          </w:p>
          <w:p w14:paraId="468EEF91" w14:textId="77777777" w:rsidR="00A73A7D" w:rsidRPr="00824350" w:rsidRDefault="00A73A7D">
            <w:pPr>
              <w:jc w:val="center"/>
              <w:rPr>
                <w:rFonts w:ascii="Calibri" w:hAnsi="Calibri" w:cs="Calibri"/>
                <w:szCs w:val="24"/>
              </w:rPr>
            </w:pPr>
          </w:p>
          <w:p w14:paraId="748976B9" w14:textId="77777777" w:rsidR="00A73A7D" w:rsidRPr="00824350" w:rsidRDefault="00A73A7D">
            <w:pPr>
              <w:pStyle w:val="bodytextpsg"/>
              <w:spacing w:after="0" w:line="240" w:lineRule="auto"/>
              <w:ind w:firstLine="0"/>
              <w:jc w:val="center"/>
              <w:rPr>
                <w:rFonts w:ascii="Calibri" w:hAnsi="Calibri" w:cs="Calibri"/>
                <w:szCs w:val="24"/>
              </w:rPr>
            </w:pPr>
            <w:r w:rsidRPr="00824350">
              <w:rPr>
                <w:rFonts w:ascii="Calibri" w:hAnsi="Calibri" w:cs="Calibri"/>
                <w:szCs w:val="24"/>
              </w:rPr>
              <w:t>Total Burden (in Hours)</w:t>
            </w:r>
          </w:p>
        </w:tc>
      </w:tr>
      <w:tr w:rsidR="00746EDD" w:rsidRPr="00824350" w14:paraId="6D72176C" w14:textId="77777777" w:rsidTr="00DE57A9">
        <w:tc>
          <w:tcPr>
            <w:tcW w:w="1458" w:type="dxa"/>
            <w:vAlign w:val="center"/>
          </w:tcPr>
          <w:p w14:paraId="08753F66" w14:textId="77777777" w:rsidR="00746EDD" w:rsidRPr="00824350" w:rsidRDefault="00746EDD" w:rsidP="00AE438A">
            <w:pPr>
              <w:pStyle w:val="bodytextpsg"/>
              <w:spacing w:after="0" w:line="240" w:lineRule="auto"/>
              <w:ind w:firstLine="0"/>
              <w:jc w:val="center"/>
              <w:rPr>
                <w:rFonts w:ascii="Calibri" w:hAnsi="Calibri" w:cs="Calibri"/>
                <w:szCs w:val="24"/>
              </w:rPr>
            </w:pPr>
            <w:r w:rsidRPr="00824350">
              <w:rPr>
                <w:rFonts w:ascii="Calibri" w:hAnsi="Calibri" w:cs="Calibri"/>
                <w:szCs w:val="24"/>
              </w:rPr>
              <w:t>General Population</w:t>
            </w:r>
          </w:p>
        </w:tc>
        <w:tc>
          <w:tcPr>
            <w:tcW w:w="2407" w:type="dxa"/>
            <w:vAlign w:val="center"/>
          </w:tcPr>
          <w:p w14:paraId="150DDA37" w14:textId="77777777" w:rsidR="00746EDD" w:rsidRPr="00824350" w:rsidRDefault="00746EDD" w:rsidP="00AE438A">
            <w:pPr>
              <w:jc w:val="center"/>
              <w:rPr>
                <w:rFonts w:ascii="Calibri" w:hAnsi="Calibri" w:cs="Calibri"/>
                <w:szCs w:val="24"/>
              </w:rPr>
            </w:pPr>
            <w:r>
              <w:rPr>
                <w:rFonts w:ascii="Calibri" w:hAnsi="Calibri" w:cs="Calibri"/>
                <w:szCs w:val="24"/>
              </w:rPr>
              <w:t xml:space="preserve">Screening &amp; </w:t>
            </w:r>
            <w:r w:rsidRPr="00824350">
              <w:rPr>
                <w:rFonts w:ascii="Calibri" w:hAnsi="Calibri" w:cs="Calibri"/>
                <w:szCs w:val="24"/>
              </w:rPr>
              <w:t xml:space="preserve">Consent </w:t>
            </w:r>
            <w:r>
              <w:rPr>
                <w:rFonts w:ascii="Calibri" w:hAnsi="Calibri" w:cs="Calibri"/>
                <w:szCs w:val="24"/>
              </w:rPr>
              <w:t>Questionnaire</w:t>
            </w:r>
          </w:p>
        </w:tc>
        <w:tc>
          <w:tcPr>
            <w:tcW w:w="1530" w:type="dxa"/>
            <w:vAlign w:val="center"/>
          </w:tcPr>
          <w:p w14:paraId="4F791F42" w14:textId="2591B23C" w:rsidR="00746EDD" w:rsidRPr="00824350" w:rsidRDefault="00746EDD">
            <w:pPr>
              <w:jc w:val="center"/>
              <w:rPr>
                <w:rFonts w:ascii="Calibri" w:hAnsi="Calibri" w:cs="Calibri"/>
                <w:szCs w:val="24"/>
              </w:rPr>
            </w:pPr>
            <w:r>
              <w:rPr>
                <w:rFonts w:ascii="Calibri" w:hAnsi="Calibri"/>
                <w:color w:val="000000"/>
                <w:sz w:val="22"/>
                <w:szCs w:val="22"/>
              </w:rPr>
              <w:t>25,000</w:t>
            </w:r>
          </w:p>
        </w:tc>
        <w:tc>
          <w:tcPr>
            <w:tcW w:w="1530" w:type="dxa"/>
            <w:vAlign w:val="center"/>
          </w:tcPr>
          <w:p w14:paraId="74B1186A" w14:textId="77777777" w:rsidR="00746EDD" w:rsidRPr="00824350" w:rsidRDefault="00746EDD">
            <w:pPr>
              <w:pStyle w:val="bodytextpsg"/>
              <w:spacing w:after="0" w:line="240" w:lineRule="auto"/>
              <w:ind w:firstLine="0"/>
              <w:jc w:val="center"/>
              <w:rPr>
                <w:rFonts w:ascii="Calibri" w:hAnsi="Calibri" w:cs="Calibri"/>
                <w:szCs w:val="24"/>
              </w:rPr>
            </w:pPr>
            <w:r w:rsidRPr="00824350">
              <w:rPr>
                <w:rFonts w:ascii="Calibri" w:hAnsi="Calibri" w:cs="Calibri"/>
                <w:szCs w:val="24"/>
              </w:rPr>
              <w:t>1</w:t>
            </w:r>
          </w:p>
        </w:tc>
        <w:tc>
          <w:tcPr>
            <w:tcW w:w="1440" w:type="dxa"/>
            <w:vAlign w:val="center"/>
          </w:tcPr>
          <w:p w14:paraId="49029ADC" w14:textId="77777777" w:rsidR="00746EDD" w:rsidRPr="00824350" w:rsidRDefault="00746EDD">
            <w:pPr>
              <w:jc w:val="center"/>
              <w:rPr>
                <w:rFonts w:ascii="Calibri" w:hAnsi="Calibri" w:cs="Calibri"/>
                <w:szCs w:val="24"/>
              </w:rPr>
            </w:pPr>
            <w:r>
              <w:rPr>
                <w:rFonts w:ascii="Calibri" w:hAnsi="Calibri" w:cs="Calibri"/>
                <w:szCs w:val="24"/>
              </w:rPr>
              <w:t>5</w:t>
            </w:r>
            <w:r w:rsidRPr="00824350">
              <w:rPr>
                <w:rFonts w:ascii="Calibri" w:hAnsi="Calibri" w:cs="Calibri"/>
                <w:szCs w:val="24"/>
              </w:rPr>
              <w:t>/60</w:t>
            </w:r>
          </w:p>
        </w:tc>
        <w:tc>
          <w:tcPr>
            <w:tcW w:w="1260" w:type="dxa"/>
            <w:vAlign w:val="center"/>
          </w:tcPr>
          <w:p w14:paraId="03FBC99C" w14:textId="57B92266" w:rsidR="00746EDD" w:rsidRPr="00567163" w:rsidRDefault="00746EDD">
            <w:pPr>
              <w:jc w:val="center"/>
              <w:rPr>
                <w:rFonts w:asciiTheme="minorHAnsi" w:hAnsiTheme="minorHAnsi" w:cs="Calibri"/>
                <w:szCs w:val="24"/>
              </w:rPr>
            </w:pPr>
            <w:r>
              <w:rPr>
                <w:rFonts w:ascii="Calibri" w:hAnsi="Calibri"/>
                <w:color w:val="000000"/>
                <w:sz w:val="22"/>
                <w:szCs w:val="22"/>
              </w:rPr>
              <w:t>2,084</w:t>
            </w:r>
          </w:p>
        </w:tc>
      </w:tr>
      <w:tr w:rsidR="00746EDD" w:rsidRPr="00824350" w14:paraId="3D0CBF96" w14:textId="77777777" w:rsidTr="00DE57A9">
        <w:tc>
          <w:tcPr>
            <w:tcW w:w="1458" w:type="dxa"/>
            <w:vMerge w:val="restart"/>
            <w:vAlign w:val="center"/>
          </w:tcPr>
          <w:p w14:paraId="4CF97B73" w14:textId="77777777" w:rsidR="00746EDD" w:rsidRPr="00824350" w:rsidRDefault="00746EDD" w:rsidP="00AE438A">
            <w:pPr>
              <w:pStyle w:val="bodytextpsg"/>
              <w:spacing w:after="0" w:line="240" w:lineRule="auto"/>
              <w:ind w:firstLine="0"/>
              <w:jc w:val="center"/>
              <w:rPr>
                <w:rFonts w:ascii="Calibri" w:hAnsi="Calibri" w:cs="Calibri"/>
                <w:noProof/>
                <w:szCs w:val="24"/>
              </w:rPr>
            </w:pPr>
            <w:r w:rsidRPr="00824350">
              <w:rPr>
                <w:rFonts w:ascii="Calibri" w:hAnsi="Calibri" w:cs="Calibri"/>
                <w:szCs w:val="24"/>
              </w:rPr>
              <w:t>Adults</w:t>
            </w:r>
            <w:r>
              <w:rPr>
                <w:rFonts w:ascii="Calibri" w:hAnsi="Calibri" w:cs="Calibri"/>
                <w:szCs w:val="24"/>
              </w:rPr>
              <w:t xml:space="preserve"> Smokers and Nonsmokers, </w:t>
            </w:r>
            <w:r w:rsidRPr="00824350">
              <w:rPr>
                <w:rFonts w:ascii="Calibri" w:hAnsi="Calibri" w:cs="Calibri"/>
                <w:szCs w:val="24"/>
              </w:rPr>
              <w:t>ages 18-54</w:t>
            </w:r>
            <w:r>
              <w:rPr>
                <w:rFonts w:ascii="Calibri" w:hAnsi="Calibri" w:cs="Calibri"/>
                <w:szCs w:val="24"/>
              </w:rPr>
              <w:t>,</w:t>
            </w:r>
            <w:r w:rsidRPr="00824350">
              <w:rPr>
                <w:rFonts w:ascii="Calibri" w:hAnsi="Calibri" w:cs="Calibri"/>
                <w:szCs w:val="24"/>
              </w:rPr>
              <w:t xml:space="preserve"> in the U</w:t>
            </w:r>
            <w:r>
              <w:rPr>
                <w:rFonts w:ascii="Calibri" w:hAnsi="Calibri" w:cs="Calibri"/>
                <w:szCs w:val="24"/>
              </w:rPr>
              <w:t xml:space="preserve">nited </w:t>
            </w:r>
            <w:r w:rsidRPr="00824350">
              <w:rPr>
                <w:rFonts w:ascii="Calibri" w:hAnsi="Calibri" w:cs="Calibri"/>
                <w:szCs w:val="24"/>
              </w:rPr>
              <w:t>S</w:t>
            </w:r>
            <w:r>
              <w:rPr>
                <w:rFonts w:ascii="Calibri" w:hAnsi="Calibri" w:cs="Calibri"/>
                <w:szCs w:val="24"/>
              </w:rPr>
              <w:t>tates</w:t>
            </w:r>
          </w:p>
        </w:tc>
        <w:tc>
          <w:tcPr>
            <w:tcW w:w="2407" w:type="dxa"/>
            <w:vAlign w:val="center"/>
          </w:tcPr>
          <w:p w14:paraId="4BE573A2" w14:textId="44446212" w:rsidR="00746EDD" w:rsidRDefault="00746EDD" w:rsidP="00AE438A">
            <w:pPr>
              <w:jc w:val="center"/>
              <w:rPr>
                <w:rFonts w:ascii="Calibri" w:hAnsi="Calibri" w:cs="Calibri"/>
                <w:szCs w:val="24"/>
              </w:rPr>
            </w:pPr>
            <w:r>
              <w:rPr>
                <w:rFonts w:ascii="Calibri" w:hAnsi="Calibri" w:cs="Calibri"/>
                <w:szCs w:val="24"/>
              </w:rPr>
              <w:t>Smoker Survey</w:t>
            </w:r>
          </w:p>
          <w:p w14:paraId="1A01D64D" w14:textId="48AA8502" w:rsidR="00746EDD" w:rsidRDefault="00746EDD">
            <w:pPr>
              <w:jc w:val="center"/>
              <w:rPr>
                <w:rFonts w:ascii="Calibri" w:hAnsi="Calibri" w:cs="Calibri"/>
                <w:szCs w:val="24"/>
              </w:rPr>
            </w:pPr>
            <w:r>
              <w:rPr>
                <w:rFonts w:ascii="Calibri" w:hAnsi="Calibri" w:cs="Calibri"/>
                <w:szCs w:val="24"/>
              </w:rPr>
              <w:t>(Wave A)</w:t>
            </w:r>
          </w:p>
        </w:tc>
        <w:tc>
          <w:tcPr>
            <w:tcW w:w="1530" w:type="dxa"/>
            <w:vAlign w:val="center"/>
          </w:tcPr>
          <w:p w14:paraId="5387148C" w14:textId="74697DCA" w:rsidR="00746EDD" w:rsidRDefault="00746EDD">
            <w:pPr>
              <w:jc w:val="center"/>
              <w:rPr>
                <w:rFonts w:ascii="Calibri" w:hAnsi="Calibri" w:cs="Calibri"/>
                <w:szCs w:val="24"/>
              </w:rPr>
            </w:pPr>
            <w:r>
              <w:rPr>
                <w:rFonts w:ascii="Calibri" w:hAnsi="Calibri"/>
                <w:color w:val="000000"/>
                <w:sz w:val="22"/>
                <w:szCs w:val="22"/>
              </w:rPr>
              <w:t>6,500</w:t>
            </w:r>
          </w:p>
        </w:tc>
        <w:tc>
          <w:tcPr>
            <w:tcW w:w="1530" w:type="dxa"/>
            <w:vAlign w:val="center"/>
          </w:tcPr>
          <w:p w14:paraId="002C3121" w14:textId="77777777" w:rsidR="00746EDD" w:rsidRDefault="00746EDD">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440" w:type="dxa"/>
            <w:vAlign w:val="center"/>
          </w:tcPr>
          <w:p w14:paraId="3A65728A" w14:textId="77777777" w:rsidR="00746EDD" w:rsidRDefault="00746EDD">
            <w:pPr>
              <w:jc w:val="center"/>
              <w:rPr>
                <w:rFonts w:ascii="Calibri" w:hAnsi="Calibri" w:cs="Calibri"/>
                <w:szCs w:val="24"/>
              </w:rPr>
            </w:pPr>
            <w:r>
              <w:rPr>
                <w:rFonts w:ascii="Calibri" w:hAnsi="Calibri" w:cs="Calibri"/>
                <w:szCs w:val="24"/>
              </w:rPr>
              <w:t>30/60</w:t>
            </w:r>
          </w:p>
        </w:tc>
        <w:tc>
          <w:tcPr>
            <w:tcW w:w="1260" w:type="dxa"/>
            <w:vAlign w:val="center"/>
          </w:tcPr>
          <w:p w14:paraId="60E7F0C6" w14:textId="5A28163F" w:rsidR="00746EDD" w:rsidRPr="00567163" w:rsidRDefault="00746EDD">
            <w:pPr>
              <w:jc w:val="center"/>
              <w:rPr>
                <w:rFonts w:asciiTheme="minorHAnsi" w:hAnsiTheme="minorHAnsi" w:cs="Courier New"/>
                <w:color w:val="000000"/>
                <w:szCs w:val="24"/>
              </w:rPr>
            </w:pPr>
            <w:r>
              <w:rPr>
                <w:rFonts w:ascii="Calibri" w:hAnsi="Calibri"/>
                <w:color w:val="000000"/>
                <w:sz w:val="22"/>
                <w:szCs w:val="22"/>
              </w:rPr>
              <w:t>3,250</w:t>
            </w:r>
          </w:p>
        </w:tc>
      </w:tr>
      <w:tr w:rsidR="00746EDD" w:rsidRPr="00824350" w14:paraId="20985E7F" w14:textId="77777777" w:rsidTr="00DE57A9">
        <w:trPr>
          <w:trHeight w:val="368"/>
        </w:trPr>
        <w:tc>
          <w:tcPr>
            <w:tcW w:w="1458" w:type="dxa"/>
            <w:vMerge/>
            <w:vAlign w:val="center"/>
          </w:tcPr>
          <w:p w14:paraId="2D1EA74C" w14:textId="77777777" w:rsidR="00746EDD" w:rsidRPr="00824350" w:rsidRDefault="00746EDD">
            <w:pPr>
              <w:pStyle w:val="bodytextpsg"/>
              <w:spacing w:after="0" w:line="240" w:lineRule="auto"/>
              <w:ind w:firstLine="0"/>
              <w:jc w:val="center"/>
              <w:rPr>
                <w:rFonts w:ascii="Calibri" w:hAnsi="Calibri" w:cs="Calibri"/>
                <w:noProof/>
                <w:szCs w:val="24"/>
              </w:rPr>
            </w:pPr>
          </w:p>
        </w:tc>
        <w:tc>
          <w:tcPr>
            <w:tcW w:w="2407" w:type="dxa"/>
            <w:vAlign w:val="center"/>
          </w:tcPr>
          <w:p w14:paraId="46552D3F" w14:textId="0E731DD7" w:rsidR="00746EDD" w:rsidRDefault="00746EDD">
            <w:pPr>
              <w:jc w:val="center"/>
              <w:rPr>
                <w:rFonts w:ascii="Calibri" w:hAnsi="Calibri" w:cs="Calibri"/>
                <w:szCs w:val="24"/>
              </w:rPr>
            </w:pPr>
            <w:r>
              <w:rPr>
                <w:rFonts w:ascii="Calibri" w:hAnsi="Calibri" w:cs="Calibri"/>
                <w:szCs w:val="24"/>
              </w:rPr>
              <w:t>Smoker Survey</w:t>
            </w:r>
          </w:p>
          <w:p w14:paraId="0C04E53B" w14:textId="63705ED6" w:rsidR="00746EDD" w:rsidRDefault="00746EDD">
            <w:pPr>
              <w:jc w:val="center"/>
              <w:rPr>
                <w:rFonts w:ascii="Calibri" w:hAnsi="Calibri" w:cs="Calibri"/>
                <w:szCs w:val="24"/>
              </w:rPr>
            </w:pPr>
            <w:r>
              <w:rPr>
                <w:rFonts w:ascii="Calibri" w:hAnsi="Calibri" w:cs="Calibri"/>
                <w:szCs w:val="24"/>
              </w:rPr>
              <w:t>(Wave B)</w:t>
            </w:r>
          </w:p>
        </w:tc>
        <w:tc>
          <w:tcPr>
            <w:tcW w:w="1530" w:type="dxa"/>
            <w:vAlign w:val="center"/>
          </w:tcPr>
          <w:p w14:paraId="32DABB03" w14:textId="4EEA5503" w:rsidR="00746EDD" w:rsidRDefault="00746EDD">
            <w:pPr>
              <w:jc w:val="center"/>
              <w:rPr>
                <w:rFonts w:ascii="Calibri" w:hAnsi="Calibri" w:cs="Calibri"/>
                <w:szCs w:val="24"/>
              </w:rPr>
            </w:pPr>
            <w:r>
              <w:rPr>
                <w:rFonts w:ascii="Calibri" w:hAnsi="Calibri"/>
                <w:color w:val="000000"/>
                <w:sz w:val="22"/>
                <w:szCs w:val="22"/>
              </w:rPr>
              <w:t>4,000</w:t>
            </w:r>
          </w:p>
        </w:tc>
        <w:tc>
          <w:tcPr>
            <w:tcW w:w="1530" w:type="dxa"/>
            <w:vAlign w:val="center"/>
          </w:tcPr>
          <w:p w14:paraId="0C452CDF" w14:textId="77777777" w:rsidR="00746EDD" w:rsidRDefault="00746EDD">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440" w:type="dxa"/>
            <w:vAlign w:val="center"/>
          </w:tcPr>
          <w:p w14:paraId="54D72520" w14:textId="77777777" w:rsidR="00746EDD" w:rsidRDefault="00746EDD">
            <w:pPr>
              <w:jc w:val="center"/>
              <w:rPr>
                <w:rFonts w:ascii="Calibri" w:hAnsi="Calibri" w:cs="Calibri"/>
                <w:szCs w:val="24"/>
              </w:rPr>
            </w:pPr>
            <w:r>
              <w:rPr>
                <w:rFonts w:ascii="Calibri" w:hAnsi="Calibri" w:cs="Calibri"/>
                <w:szCs w:val="24"/>
              </w:rPr>
              <w:t>30/60</w:t>
            </w:r>
          </w:p>
        </w:tc>
        <w:tc>
          <w:tcPr>
            <w:tcW w:w="1260" w:type="dxa"/>
            <w:vAlign w:val="center"/>
          </w:tcPr>
          <w:p w14:paraId="5CB82CB7" w14:textId="2FC3587D" w:rsidR="00746EDD" w:rsidRPr="00567163" w:rsidRDefault="00746EDD">
            <w:pPr>
              <w:jc w:val="center"/>
              <w:rPr>
                <w:rFonts w:asciiTheme="minorHAnsi" w:hAnsiTheme="minorHAnsi" w:cs="Courier New"/>
                <w:color w:val="000000"/>
                <w:szCs w:val="24"/>
              </w:rPr>
            </w:pPr>
            <w:r>
              <w:rPr>
                <w:rFonts w:ascii="Calibri" w:hAnsi="Calibri"/>
                <w:color w:val="000000"/>
                <w:sz w:val="22"/>
                <w:szCs w:val="22"/>
              </w:rPr>
              <w:t>2,000</w:t>
            </w:r>
          </w:p>
        </w:tc>
      </w:tr>
      <w:tr w:rsidR="00746EDD" w:rsidRPr="00824350" w14:paraId="4C0C35BE" w14:textId="77777777" w:rsidTr="00DE57A9">
        <w:tc>
          <w:tcPr>
            <w:tcW w:w="1458" w:type="dxa"/>
            <w:vMerge/>
            <w:vAlign w:val="center"/>
          </w:tcPr>
          <w:p w14:paraId="38EE34B0" w14:textId="77777777" w:rsidR="00746EDD" w:rsidRPr="00824350" w:rsidRDefault="00746EDD">
            <w:pPr>
              <w:pStyle w:val="bodytextpsg"/>
              <w:spacing w:after="0" w:line="240" w:lineRule="auto"/>
              <w:ind w:firstLine="0"/>
              <w:jc w:val="center"/>
              <w:rPr>
                <w:rFonts w:ascii="Calibri" w:hAnsi="Calibri" w:cs="Calibri"/>
                <w:noProof/>
                <w:szCs w:val="24"/>
              </w:rPr>
            </w:pPr>
          </w:p>
        </w:tc>
        <w:tc>
          <w:tcPr>
            <w:tcW w:w="2407" w:type="dxa"/>
            <w:vAlign w:val="center"/>
          </w:tcPr>
          <w:p w14:paraId="1075086E" w14:textId="714C77A7" w:rsidR="00746EDD" w:rsidRDefault="00746EDD">
            <w:pPr>
              <w:jc w:val="center"/>
              <w:rPr>
                <w:rFonts w:ascii="Calibri" w:hAnsi="Calibri" w:cs="Calibri"/>
                <w:szCs w:val="24"/>
              </w:rPr>
            </w:pPr>
            <w:r>
              <w:rPr>
                <w:rFonts w:ascii="Calibri" w:hAnsi="Calibri" w:cs="Calibri"/>
                <w:szCs w:val="24"/>
              </w:rPr>
              <w:t>Smoker Survey</w:t>
            </w:r>
          </w:p>
          <w:p w14:paraId="25682160" w14:textId="120E8F72" w:rsidR="00746EDD" w:rsidRDefault="00746EDD">
            <w:pPr>
              <w:jc w:val="center"/>
              <w:rPr>
                <w:rFonts w:ascii="Calibri" w:hAnsi="Calibri" w:cs="Calibri"/>
                <w:szCs w:val="24"/>
              </w:rPr>
            </w:pPr>
            <w:r>
              <w:rPr>
                <w:rFonts w:ascii="Calibri" w:hAnsi="Calibri" w:cs="Calibri"/>
                <w:szCs w:val="24"/>
              </w:rPr>
              <w:t>(Wave C)</w:t>
            </w:r>
          </w:p>
        </w:tc>
        <w:tc>
          <w:tcPr>
            <w:tcW w:w="1530" w:type="dxa"/>
            <w:vAlign w:val="center"/>
          </w:tcPr>
          <w:p w14:paraId="26D526C2" w14:textId="242CE998" w:rsidR="00746EDD" w:rsidRDefault="00746EDD">
            <w:pPr>
              <w:jc w:val="center"/>
              <w:rPr>
                <w:rFonts w:ascii="Calibri" w:hAnsi="Calibri" w:cs="Calibri"/>
                <w:szCs w:val="24"/>
              </w:rPr>
            </w:pPr>
            <w:r>
              <w:rPr>
                <w:rFonts w:ascii="Calibri" w:hAnsi="Calibri"/>
                <w:color w:val="000000"/>
                <w:sz w:val="22"/>
                <w:szCs w:val="22"/>
              </w:rPr>
              <w:t>4,000</w:t>
            </w:r>
          </w:p>
        </w:tc>
        <w:tc>
          <w:tcPr>
            <w:tcW w:w="1530" w:type="dxa"/>
            <w:vAlign w:val="center"/>
          </w:tcPr>
          <w:p w14:paraId="5A3CB3DF" w14:textId="77132197" w:rsidR="00746EDD" w:rsidRDefault="00746EDD">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440" w:type="dxa"/>
            <w:vAlign w:val="center"/>
          </w:tcPr>
          <w:p w14:paraId="65CD5238" w14:textId="33FC9298" w:rsidR="00746EDD" w:rsidRDefault="00746EDD">
            <w:pPr>
              <w:jc w:val="center"/>
              <w:rPr>
                <w:rFonts w:ascii="Calibri" w:hAnsi="Calibri" w:cs="Calibri"/>
                <w:szCs w:val="24"/>
              </w:rPr>
            </w:pPr>
            <w:r>
              <w:rPr>
                <w:rFonts w:ascii="Calibri" w:hAnsi="Calibri" w:cs="Calibri"/>
                <w:szCs w:val="24"/>
              </w:rPr>
              <w:t>30/60</w:t>
            </w:r>
          </w:p>
        </w:tc>
        <w:tc>
          <w:tcPr>
            <w:tcW w:w="1260" w:type="dxa"/>
            <w:vAlign w:val="center"/>
          </w:tcPr>
          <w:p w14:paraId="10D810E1" w14:textId="2F4E15CD" w:rsidR="00746EDD" w:rsidRPr="00567163" w:rsidRDefault="00746EDD">
            <w:pPr>
              <w:jc w:val="center"/>
              <w:rPr>
                <w:rFonts w:ascii="Calibri" w:hAnsi="Calibri"/>
                <w:color w:val="000000"/>
                <w:szCs w:val="24"/>
              </w:rPr>
            </w:pPr>
            <w:r>
              <w:rPr>
                <w:rFonts w:ascii="Calibri" w:hAnsi="Calibri"/>
                <w:color w:val="000000"/>
                <w:sz w:val="22"/>
                <w:szCs w:val="22"/>
              </w:rPr>
              <w:t>2,000</w:t>
            </w:r>
          </w:p>
        </w:tc>
      </w:tr>
      <w:tr w:rsidR="00746EDD" w:rsidRPr="00824350" w14:paraId="603EB288" w14:textId="77777777" w:rsidTr="00DE57A9">
        <w:tc>
          <w:tcPr>
            <w:tcW w:w="1458" w:type="dxa"/>
            <w:vMerge/>
            <w:vAlign w:val="center"/>
          </w:tcPr>
          <w:p w14:paraId="0B76A819" w14:textId="77777777" w:rsidR="00746EDD" w:rsidRPr="00824350" w:rsidRDefault="00746EDD">
            <w:pPr>
              <w:pStyle w:val="bodytextpsg"/>
              <w:spacing w:after="0" w:line="240" w:lineRule="auto"/>
              <w:ind w:firstLine="0"/>
              <w:jc w:val="center"/>
              <w:rPr>
                <w:rFonts w:ascii="Calibri" w:hAnsi="Calibri" w:cs="Calibri"/>
                <w:noProof/>
                <w:szCs w:val="24"/>
              </w:rPr>
            </w:pPr>
          </w:p>
        </w:tc>
        <w:tc>
          <w:tcPr>
            <w:tcW w:w="2407" w:type="dxa"/>
            <w:vAlign w:val="center"/>
          </w:tcPr>
          <w:p w14:paraId="07FA6057" w14:textId="1D972480" w:rsidR="00746EDD" w:rsidRDefault="00746EDD">
            <w:pPr>
              <w:jc w:val="center"/>
              <w:rPr>
                <w:rFonts w:ascii="Calibri" w:hAnsi="Calibri" w:cs="Calibri"/>
                <w:szCs w:val="24"/>
              </w:rPr>
            </w:pPr>
            <w:r>
              <w:rPr>
                <w:rFonts w:ascii="Calibri" w:hAnsi="Calibri" w:cs="Calibri"/>
                <w:szCs w:val="24"/>
              </w:rPr>
              <w:t>Smoker Survey</w:t>
            </w:r>
          </w:p>
          <w:p w14:paraId="621B740A" w14:textId="340A7984" w:rsidR="00746EDD" w:rsidRDefault="00746EDD">
            <w:pPr>
              <w:jc w:val="center"/>
              <w:rPr>
                <w:rFonts w:ascii="Calibri" w:hAnsi="Calibri" w:cs="Calibri"/>
                <w:szCs w:val="24"/>
              </w:rPr>
            </w:pPr>
            <w:r>
              <w:rPr>
                <w:rFonts w:ascii="Calibri" w:hAnsi="Calibri" w:cs="Calibri"/>
                <w:szCs w:val="24"/>
              </w:rPr>
              <w:t>(Wave D)</w:t>
            </w:r>
          </w:p>
        </w:tc>
        <w:tc>
          <w:tcPr>
            <w:tcW w:w="1530" w:type="dxa"/>
            <w:vAlign w:val="center"/>
          </w:tcPr>
          <w:p w14:paraId="523F7CDF" w14:textId="25E10E20" w:rsidR="00746EDD" w:rsidRDefault="00746EDD">
            <w:pPr>
              <w:jc w:val="center"/>
              <w:rPr>
                <w:rFonts w:ascii="Calibri" w:hAnsi="Calibri" w:cs="Calibri"/>
                <w:szCs w:val="24"/>
              </w:rPr>
            </w:pPr>
            <w:r>
              <w:rPr>
                <w:rFonts w:ascii="Calibri" w:hAnsi="Calibri"/>
                <w:color w:val="000000"/>
                <w:sz w:val="22"/>
                <w:szCs w:val="22"/>
              </w:rPr>
              <w:t>4,000</w:t>
            </w:r>
          </w:p>
        </w:tc>
        <w:tc>
          <w:tcPr>
            <w:tcW w:w="1530" w:type="dxa"/>
            <w:vAlign w:val="center"/>
          </w:tcPr>
          <w:p w14:paraId="68A65DA9" w14:textId="42BA647B" w:rsidR="00746EDD" w:rsidRDefault="00746EDD">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440" w:type="dxa"/>
            <w:vAlign w:val="center"/>
          </w:tcPr>
          <w:p w14:paraId="516416C0" w14:textId="03AD8BBE" w:rsidR="00746EDD" w:rsidRDefault="00746EDD">
            <w:pPr>
              <w:jc w:val="center"/>
              <w:rPr>
                <w:rFonts w:ascii="Calibri" w:hAnsi="Calibri" w:cs="Calibri"/>
                <w:szCs w:val="24"/>
              </w:rPr>
            </w:pPr>
            <w:r>
              <w:rPr>
                <w:rFonts w:ascii="Calibri" w:hAnsi="Calibri" w:cs="Calibri"/>
                <w:szCs w:val="24"/>
              </w:rPr>
              <w:t>30/60</w:t>
            </w:r>
          </w:p>
        </w:tc>
        <w:tc>
          <w:tcPr>
            <w:tcW w:w="1260" w:type="dxa"/>
            <w:vAlign w:val="center"/>
          </w:tcPr>
          <w:p w14:paraId="07C9B558" w14:textId="61A737BB" w:rsidR="00746EDD" w:rsidRPr="00567163" w:rsidRDefault="00746EDD">
            <w:pPr>
              <w:jc w:val="center"/>
              <w:rPr>
                <w:rFonts w:ascii="Calibri" w:hAnsi="Calibri"/>
                <w:color w:val="000000"/>
                <w:szCs w:val="24"/>
              </w:rPr>
            </w:pPr>
            <w:r>
              <w:rPr>
                <w:rFonts w:ascii="Calibri" w:hAnsi="Calibri"/>
                <w:color w:val="000000"/>
                <w:sz w:val="22"/>
                <w:szCs w:val="22"/>
              </w:rPr>
              <w:t>2,000</w:t>
            </w:r>
          </w:p>
        </w:tc>
      </w:tr>
      <w:tr w:rsidR="00746EDD" w:rsidRPr="00824350" w14:paraId="16DF7FD5" w14:textId="77777777" w:rsidTr="00DE57A9">
        <w:tc>
          <w:tcPr>
            <w:tcW w:w="1458" w:type="dxa"/>
            <w:vMerge/>
            <w:vAlign w:val="center"/>
          </w:tcPr>
          <w:p w14:paraId="51477336" w14:textId="77777777" w:rsidR="00746EDD" w:rsidRPr="00824350" w:rsidRDefault="00746EDD">
            <w:pPr>
              <w:pStyle w:val="bodytextpsg"/>
              <w:spacing w:after="0" w:line="240" w:lineRule="auto"/>
              <w:ind w:firstLine="0"/>
              <w:jc w:val="center"/>
              <w:rPr>
                <w:rFonts w:ascii="Calibri" w:hAnsi="Calibri" w:cs="Calibri"/>
                <w:noProof/>
                <w:szCs w:val="24"/>
              </w:rPr>
            </w:pPr>
          </w:p>
        </w:tc>
        <w:tc>
          <w:tcPr>
            <w:tcW w:w="2407" w:type="dxa"/>
            <w:vAlign w:val="center"/>
          </w:tcPr>
          <w:p w14:paraId="699156FE" w14:textId="4A600C74" w:rsidR="00746EDD" w:rsidRDefault="00746EDD">
            <w:pPr>
              <w:jc w:val="center"/>
              <w:rPr>
                <w:rFonts w:ascii="Calibri" w:hAnsi="Calibri" w:cs="Calibri"/>
                <w:szCs w:val="24"/>
              </w:rPr>
            </w:pPr>
            <w:r>
              <w:rPr>
                <w:rFonts w:ascii="Calibri" w:hAnsi="Calibri" w:cs="Calibri"/>
                <w:szCs w:val="24"/>
              </w:rPr>
              <w:t>Nonsmoker Survey</w:t>
            </w:r>
          </w:p>
          <w:p w14:paraId="3D1BAF3E" w14:textId="07C32F02" w:rsidR="00746EDD" w:rsidRDefault="00746EDD">
            <w:pPr>
              <w:jc w:val="center"/>
              <w:rPr>
                <w:rFonts w:ascii="Calibri" w:hAnsi="Calibri" w:cs="Calibri"/>
                <w:szCs w:val="24"/>
              </w:rPr>
            </w:pPr>
            <w:r>
              <w:rPr>
                <w:rFonts w:ascii="Calibri" w:hAnsi="Calibri" w:cs="Calibri"/>
                <w:szCs w:val="24"/>
              </w:rPr>
              <w:t>(Wave A)</w:t>
            </w:r>
          </w:p>
        </w:tc>
        <w:tc>
          <w:tcPr>
            <w:tcW w:w="1530" w:type="dxa"/>
            <w:vAlign w:val="center"/>
          </w:tcPr>
          <w:p w14:paraId="6A1EA215" w14:textId="62E4FA5F" w:rsidR="00746EDD" w:rsidRDefault="00746EDD">
            <w:pPr>
              <w:jc w:val="center"/>
              <w:rPr>
                <w:rFonts w:ascii="Calibri" w:hAnsi="Calibri" w:cs="Calibri"/>
                <w:szCs w:val="24"/>
              </w:rPr>
            </w:pPr>
            <w:r>
              <w:rPr>
                <w:rFonts w:ascii="Calibri" w:hAnsi="Calibri"/>
                <w:color w:val="000000"/>
                <w:sz w:val="22"/>
                <w:szCs w:val="22"/>
              </w:rPr>
              <w:t>2,500</w:t>
            </w:r>
          </w:p>
        </w:tc>
        <w:tc>
          <w:tcPr>
            <w:tcW w:w="1530" w:type="dxa"/>
            <w:vAlign w:val="center"/>
          </w:tcPr>
          <w:p w14:paraId="343CE130" w14:textId="229D8296" w:rsidR="00746EDD" w:rsidRDefault="00746EDD">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440" w:type="dxa"/>
            <w:vAlign w:val="center"/>
          </w:tcPr>
          <w:p w14:paraId="1E97B4F3" w14:textId="0FA77ED3" w:rsidR="00746EDD" w:rsidRDefault="00746EDD">
            <w:pPr>
              <w:jc w:val="center"/>
              <w:rPr>
                <w:rFonts w:ascii="Calibri" w:hAnsi="Calibri" w:cs="Calibri"/>
                <w:szCs w:val="24"/>
              </w:rPr>
            </w:pPr>
            <w:r>
              <w:rPr>
                <w:rFonts w:ascii="Calibri" w:hAnsi="Calibri" w:cs="Calibri"/>
                <w:szCs w:val="24"/>
              </w:rPr>
              <w:t>30/60</w:t>
            </w:r>
          </w:p>
        </w:tc>
        <w:tc>
          <w:tcPr>
            <w:tcW w:w="1260" w:type="dxa"/>
            <w:vAlign w:val="center"/>
          </w:tcPr>
          <w:p w14:paraId="3D057ED5" w14:textId="6711EE1A" w:rsidR="00746EDD" w:rsidRPr="00567163" w:rsidRDefault="00746EDD">
            <w:pPr>
              <w:jc w:val="center"/>
              <w:rPr>
                <w:rFonts w:ascii="Calibri" w:hAnsi="Calibri"/>
                <w:color w:val="000000"/>
                <w:szCs w:val="24"/>
              </w:rPr>
            </w:pPr>
            <w:r>
              <w:rPr>
                <w:rFonts w:ascii="Calibri" w:hAnsi="Calibri"/>
                <w:color w:val="000000"/>
                <w:sz w:val="22"/>
                <w:szCs w:val="22"/>
              </w:rPr>
              <w:t>1,250</w:t>
            </w:r>
          </w:p>
        </w:tc>
      </w:tr>
      <w:tr w:rsidR="00746EDD" w:rsidRPr="00824350" w14:paraId="348326D1" w14:textId="77777777" w:rsidTr="00DE57A9">
        <w:tc>
          <w:tcPr>
            <w:tcW w:w="1458" w:type="dxa"/>
            <w:vMerge/>
            <w:vAlign w:val="center"/>
          </w:tcPr>
          <w:p w14:paraId="4EFEA5E8" w14:textId="77777777" w:rsidR="00746EDD" w:rsidRPr="00824350" w:rsidRDefault="00746EDD">
            <w:pPr>
              <w:pStyle w:val="bodytextpsg"/>
              <w:spacing w:after="0" w:line="240" w:lineRule="auto"/>
              <w:ind w:firstLine="0"/>
              <w:jc w:val="center"/>
              <w:rPr>
                <w:rFonts w:ascii="Calibri" w:hAnsi="Calibri" w:cs="Calibri"/>
                <w:noProof/>
                <w:szCs w:val="24"/>
              </w:rPr>
            </w:pPr>
          </w:p>
        </w:tc>
        <w:tc>
          <w:tcPr>
            <w:tcW w:w="2407" w:type="dxa"/>
            <w:vAlign w:val="center"/>
          </w:tcPr>
          <w:p w14:paraId="03F36F40" w14:textId="61CAA2B1" w:rsidR="00746EDD" w:rsidRDefault="00746EDD">
            <w:pPr>
              <w:jc w:val="center"/>
              <w:rPr>
                <w:rFonts w:ascii="Calibri" w:hAnsi="Calibri" w:cs="Calibri"/>
                <w:szCs w:val="24"/>
              </w:rPr>
            </w:pPr>
            <w:r>
              <w:rPr>
                <w:rFonts w:ascii="Calibri" w:hAnsi="Calibri" w:cs="Calibri"/>
                <w:szCs w:val="24"/>
              </w:rPr>
              <w:t>Nonsmoker Survey</w:t>
            </w:r>
          </w:p>
          <w:p w14:paraId="1A2F97BD" w14:textId="2CFF914A" w:rsidR="00746EDD" w:rsidRDefault="00746EDD">
            <w:pPr>
              <w:jc w:val="center"/>
              <w:rPr>
                <w:rFonts w:ascii="Calibri" w:hAnsi="Calibri" w:cs="Calibri"/>
                <w:szCs w:val="24"/>
              </w:rPr>
            </w:pPr>
            <w:r>
              <w:rPr>
                <w:rFonts w:ascii="Calibri" w:hAnsi="Calibri" w:cs="Calibri"/>
                <w:szCs w:val="24"/>
              </w:rPr>
              <w:t>(Wave B)</w:t>
            </w:r>
          </w:p>
        </w:tc>
        <w:tc>
          <w:tcPr>
            <w:tcW w:w="1530" w:type="dxa"/>
            <w:vAlign w:val="center"/>
          </w:tcPr>
          <w:p w14:paraId="2EDCFB10" w14:textId="332D83BF" w:rsidR="00746EDD" w:rsidRDefault="00746EDD">
            <w:pPr>
              <w:jc w:val="center"/>
              <w:rPr>
                <w:rFonts w:ascii="Calibri" w:hAnsi="Calibri" w:cs="Calibri"/>
                <w:szCs w:val="24"/>
              </w:rPr>
            </w:pPr>
            <w:r>
              <w:rPr>
                <w:rFonts w:ascii="Calibri" w:hAnsi="Calibri"/>
                <w:color w:val="000000"/>
                <w:sz w:val="22"/>
                <w:szCs w:val="22"/>
              </w:rPr>
              <w:t>2,000</w:t>
            </w:r>
          </w:p>
        </w:tc>
        <w:tc>
          <w:tcPr>
            <w:tcW w:w="1530" w:type="dxa"/>
            <w:vAlign w:val="center"/>
          </w:tcPr>
          <w:p w14:paraId="6E9860A3" w14:textId="30170C10" w:rsidR="00746EDD" w:rsidRDefault="00746EDD">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440" w:type="dxa"/>
            <w:vAlign w:val="center"/>
          </w:tcPr>
          <w:p w14:paraId="66C04686" w14:textId="7F369E92" w:rsidR="00746EDD" w:rsidRDefault="00746EDD">
            <w:pPr>
              <w:jc w:val="center"/>
              <w:rPr>
                <w:rFonts w:ascii="Calibri" w:hAnsi="Calibri" w:cs="Calibri"/>
                <w:szCs w:val="24"/>
              </w:rPr>
            </w:pPr>
            <w:r>
              <w:rPr>
                <w:rFonts w:ascii="Calibri" w:hAnsi="Calibri" w:cs="Calibri"/>
                <w:szCs w:val="24"/>
              </w:rPr>
              <w:t>30/60</w:t>
            </w:r>
          </w:p>
        </w:tc>
        <w:tc>
          <w:tcPr>
            <w:tcW w:w="1260" w:type="dxa"/>
            <w:vAlign w:val="center"/>
          </w:tcPr>
          <w:p w14:paraId="795E5F83" w14:textId="35E84E3D" w:rsidR="00746EDD" w:rsidRPr="00567163" w:rsidRDefault="00746EDD">
            <w:pPr>
              <w:jc w:val="center"/>
              <w:rPr>
                <w:rFonts w:ascii="Calibri" w:hAnsi="Calibri"/>
                <w:color w:val="000000"/>
                <w:szCs w:val="24"/>
              </w:rPr>
            </w:pPr>
            <w:r>
              <w:rPr>
                <w:rFonts w:ascii="Calibri" w:hAnsi="Calibri"/>
                <w:color w:val="000000"/>
                <w:sz w:val="22"/>
                <w:szCs w:val="22"/>
              </w:rPr>
              <w:t>1,000</w:t>
            </w:r>
          </w:p>
        </w:tc>
      </w:tr>
      <w:tr w:rsidR="00746EDD" w:rsidRPr="00824350" w14:paraId="0CEAE739" w14:textId="77777777" w:rsidTr="00DE57A9">
        <w:tc>
          <w:tcPr>
            <w:tcW w:w="1458" w:type="dxa"/>
            <w:vMerge/>
            <w:vAlign w:val="center"/>
          </w:tcPr>
          <w:p w14:paraId="106DE4D6" w14:textId="77777777" w:rsidR="00746EDD" w:rsidRPr="00824350" w:rsidRDefault="00746EDD">
            <w:pPr>
              <w:pStyle w:val="bodytextpsg"/>
              <w:spacing w:after="0" w:line="240" w:lineRule="auto"/>
              <w:ind w:firstLine="0"/>
              <w:jc w:val="center"/>
              <w:rPr>
                <w:rFonts w:ascii="Calibri" w:hAnsi="Calibri" w:cs="Calibri"/>
                <w:noProof/>
                <w:szCs w:val="24"/>
              </w:rPr>
            </w:pPr>
          </w:p>
        </w:tc>
        <w:tc>
          <w:tcPr>
            <w:tcW w:w="2407" w:type="dxa"/>
            <w:vAlign w:val="center"/>
          </w:tcPr>
          <w:p w14:paraId="6F00AC1F" w14:textId="35D0575D" w:rsidR="00746EDD" w:rsidRDefault="00746EDD">
            <w:pPr>
              <w:jc w:val="center"/>
              <w:rPr>
                <w:rFonts w:ascii="Calibri" w:hAnsi="Calibri" w:cs="Calibri"/>
                <w:szCs w:val="24"/>
              </w:rPr>
            </w:pPr>
            <w:r>
              <w:rPr>
                <w:rFonts w:ascii="Calibri" w:hAnsi="Calibri" w:cs="Calibri"/>
                <w:szCs w:val="24"/>
              </w:rPr>
              <w:t>Nonsmoker Survey</w:t>
            </w:r>
          </w:p>
          <w:p w14:paraId="62F0B025" w14:textId="74267D10" w:rsidR="00746EDD" w:rsidRDefault="00746EDD">
            <w:pPr>
              <w:jc w:val="center"/>
              <w:rPr>
                <w:rFonts w:ascii="Calibri" w:hAnsi="Calibri" w:cs="Calibri"/>
                <w:szCs w:val="24"/>
              </w:rPr>
            </w:pPr>
            <w:r>
              <w:rPr>
                <w:rFonts w:ascii="Calibri" w:hAnsi="Calibri" w:cs="Calibri"/>
                <w:szCs w:val="24"/>
              </w:rPr>
              <w:t>(Wave C)</w:t>
            </w:r>
          </w:p>
        </w:tc>
        <w:tc>
          <w:tcPr>
            <w:tcW w:w="1530" w:type="dxa"/>
            <w:vAlign w:val="center"/>
          </w:tcPr>
          <w:p w14:paraId="46A26371" w14:textId="15B85BE5" w:rsidR="00746EDD" w:rsidRDefault="00746EDD">
            <w:pPr>
              <w:jc w:val="center"/>
              <w:rPr>
                <w:rFonts w:ascii="Calibri" w:hAnsi="Calibri" w:cs="Calibri"/>
                <w:szCs w:val="24"/>
              </w:rPr>
            </w:pPr>
            <w:r>
              <w:rPr>
                <w:rFonts w:ascii="Calibri" w:hAnsi="Calibri"/>
                <w:color w:val="000000"/>
                <w:sz w:val="22"/>
                <w:szCs w:val="22"/>
              </w:rPr>
              <w:t>2,000</w:t>
            </w:r>
          </w:p>
        </w:tc>
        <w:tc>
          <w:tcPr>
            <w:tcW w:w="1530" w:type="dxa"/>
            <w:vAlign w:val="center"/>
          </w:tcPr>
          <w:p w14:paraId="5ECDC462" w14:textId="77777777" w:rsidR="00746EDD" w:rsidRPr="00824350" w:rsidRDefault="00746EDD">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440" w:type="dxa"/>
            <w:vAlign w:val="center"/>
          </w:tcPr>
          <w:p w14:paraId="16F3D7BE" w14:textId="77777777" w:rsidR="00746EDD" w:rsidRDefault="00746EDD">
            <w:pPr>
              <w:jc w:val="center"/>
              <w:rPr>
                <w:rFonts w:ascii="Calibri" w:hAnsi="Calibri" w:cs="Calibri"/>
                <w:szCs w:val="24"/>
              </w:rPr>
            </w:pPr>
            <w:r>
              <w:rPr>
                <w:rFonts w:ascii="Calibri" w:hAnsi="Calibri" w:cs="Calibri"/>
                <w:szCs w:val="24"/>
              </w:rPr>
              <w:t>30/60</w:t>
            </w:r>
          </w:p>
        </w:tc>
        <w:tc>
          <w:tcPr>
            <w:tcW w:w="1260" w:type="dxa"/>
            <w:vAlign w:val="center"/>
          </w:tcPr>
          <w:p w14:paraId="23A85C55" w14:textId="6C5A60DE" w:rsidR="00746EDD" w:rsidRPr="00567163" w:rsidRDefault="00746EDD">
            <w:pPr>
              <w:jc w:val="center"/>
              <w:rPr>
                <w:rFonts w:asciiTheme="minorHAnsi" w:hAnsiTheme="minorHAnsi" w:cs="Courier New"/>
                <w:color w:val="000000"/>
                <w:szCs w:val="24"/>
              </w:rPr>
            </w:pPr>
            <w:r>
              <w:rPr>
                <w:rFonts w:ascii="Calibri" w:hAnsi="Calibri"/>
                <w:color w:val="000000"/>
                <w:sz w:val="22"/>
                <w:szCs w:val="22"/>
              </w:rPr>
              <w:t>1,000</w:t>
            </w:r>
          </w:p>
        </w:tc>
      </w:tr>
      <w:tr w:rsidR="00746EDD" w:rsidRPr="00824350" w14:paraId="279547B9" w14:textId="77777777" w:rsidTr="00DE57A9">
        <w:tc>
          <w:tcPr>
            <w:tcW w:w="1458" w:type="dxa"/>
            <w:vMerge/>
            <w:vAlign w:val="center"/>
          </w:tcPr>
          <w:p w14:paraId="2AB52DFB" w14:textId="77777777" w:rsidR="00746EDD" w:rsidRPr="00824350" w:rsidRDefault="00746EDD">
            <w:pPr>
              <w:pStyle w:val="bodytextpsg"/>
              <w:spacing w:after="0" w:line="240" w:lineRule="auto"/>
              <w:ind w:firstLine="0"/>
              <w:jc w:val="center"/>
              <w:rPr>
                <w:rFonts w:ascii="Calibri" w:hAnsi="Calibri" w:cs="Calibri"/>
                <w:noProof/>
                <w:szCs w:val="24"/>
              </w:rPr>
            </w:pPr>
          </w:p>
        </w:tc>
        <w:tc>
          <w:tcPr>
            <w:tcW w:w="2407" w:type="dxa"/>
            <w:vAlign w:val="center"/>
          </w:tcPr>
          <w:p w14:paraId="04FF583B" w14:textId="14B45651" w:rsidR="00746EDD" w:rsidRDefault="00746EDD">
            <w:pPr>
              <w:jc w:val="center"/>
              <w:rPr>
                <w:rFonts w:ascii="Calibri" w:hAnsi="Calibri" w:cs="Calibri"/>
                <w:szCs w:val="24"/>
              </w:rPr>
            </w:pPr>
            <w:r>
              <w:rPr>
                <w:rFonts w:ascii="Calibri" w:hAnsi="Calibri" w:cs="Calibri"/>
                <w:szCs w:val="24"/>
              </w:rPr>
              <w:t>Nonsmoker Survey</w:t>
            </w:r>
          </w:p>
          <w:p w14:paraId="03B1B979" w14:textId="62432214" w:rsidR="00746EDD" w:rsidRDefault="00746EDD">
            <w:pPr>
              <w:jc w:val="center"/>
              <w:rPr>
                <w:rFonts w:ascii="Calibri" w:hAnsi="Calibri" w:cs="Calibri"/>
                <w:szCs w:val="24"/>
              </w:rPr>
            </w:pPr>
            <w:r>
              <w:rPr>
                <w:rFonts w:ascii="Calibri" w:hAnsi="Calibri" w:cs="Calibri"/>
                <w:szCs w:val="24"/>
              </w:rPr>
              <w:t>(Wave D)</w:t>
            </w:r>
          </w:p>
        </w:tc>
        <w:tc>
          <w:tcPr>
            <w:tcW w:w="1530" w:type="dxa"/>
            <w:vAlign w:val="center"/>
          </w:tcPr>
          <w:p w14:paraId="54250EC7" w14:textId="447F35CD" w:rsidR="00746EDD" w:rsidRDefault="00746EDD">
            <w:pPr>
              <w:jc w:val="center"/>
              <w:rPr>
                <w:rFonts w:ascii="Calibri" w:hAnsi="Calibri" w:cs="Calibri"/>
                <w:szCs w:val="24"/>
              </w:rPr>
            </w:pPr>
            <w:r>
              <w:rPr>
                <w:rFonts w:ascii="Calibri" w:hAnsi="Calibri"/>
                <w:color w:val="000000"/>
                <w:sz w:val="22"/>
                <w:szCs w:val="22"/>
              </w:rPr>
              <w:t>2,000</w:t>
            </w:r>
          </w:p>
        </w:tc>
        <w:tc>
          <w:tcPr>
            <w:tcW w:w="1530" w:type="dxa"/>
            <w:vAlign w:val="center"/>
          </w:tcPr>
          <w:p w14:paraId="2CB4CE7F" w14:textId="77777777" w:rsidR="00746EDD" w:rsidRDefault="00746EDD">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440" w:type="dxa"/>
            <w:vAlign w:val="center"/>
          </w:tcPr>
          <w:p w14:paraId="2F62AEB0" w14:textId="77777777" w:rsidR="00746EDD" w:rsidRDefault="00746EDD">
            <w:pPr>
              <w:jc w:val="center"/>
              <w:rPr>
                <w:rFonts w:ascii="Calibri" w:hAnsi="Calibri" w:cs="Calibri"/>
                <w:szCs w:val="24"/>
              </w:rPr>
            </w:pPr>
            <w:r>
              <w:rPr>
                <w:rFonts w:ascii="Calibri" w:hAnsi="Calibri" w:cs="Calibri"/>
                <w:szCs w:val="24"/>
              </w:rPr>
              <w:t>30/60</w:t>
            </w:r>
          </w:p>
        </w:tc>
        <w:tc>
          <w:tcPr>
            <w:tcW w:w="1260" w:type="dxa"/>
            <w:vAlign w:val="center"/>
          </w:tcPr>
          <w:p w14:paraId="77D45387" w14:textId="66929A6D" w:rsidR="00746EDD" w:rsidRPr="00567163" w:rsidRDefault="00746EDD">
            <w:pPr>
              <w:jc w:val="center"/>
              <w:rPr>
                <w:rFonts w:asciiTheme="minorHAnsi" w:hAnsiTheme="minorHAnsi" w:cs="Courier New"/>
                <w:color w:val="000000"/>
                <w:szCs w:val="24"/>
              </w:rPr>
            </w:pPr>
            <w:r>
              <w:rPr>
                <w:rFonts w:ascii="Calibri" w:hAnsi="Calibri"/>
                <w:color w:val="000000"/>
                <w:sz w:val="22"/>
                <w:szCs w:val="22"/>
              </w:rPr>
              <w:t>1,000</w:t>
            </w:r>
          </w:p>
        </w:tc>
      </w:tr>
      <w:tr w:rsidR="00152C49" w:rsidRPr="00824350" w14:paraId="13A2FB86" w14:textId="77777777" w:rsidTr="00DE57A9">
        <w:tc>
          <w:tcPr>
            <w:tcW w:w="1458" w:type="dxa"/>
            <w:vAlign w:val="center"/>
          </w:tcPr>
          <w:p w14:paraId="5262C9B6" w14:textId="77777777" w:rsidR="00152C49" w:rsidRPr="00824350" w:rsidRDefault="00152C49" w:rsidP="00AE438A">
            <w:pPr>
              <w:pStyle w:val="bodytextpsg"/>
              <w:spacing w:after="0" w:line="240" w:lineRule="auto"/>
              <w:jc w:val="center"/>
              <w:rPr>
                <w:rFonts w:ascii="Calibri" w:hAnsi="Calibri" w:cs="Calibri"/>
                <w:szCs w:val="24"/>
              </w:rPr>
            </w:pPr>
          </w:p>
        </w:tc>
        <w:tc>
          <w:tcPr>
            <w:tcW w:w="6907" w:type="dxa"/>
            <w:gridSpan w:val="4"/>
            <w:vAlign w:val="center"/>
          </w:tcPr>
          <w:p w14:paraId="32E12C4D" w14:textId="77777777" w:rsidR="00152C49" w:rsidRPr="00824350" w:rsidRDefault="00152C49" w:rsidP="00DE57A9">
            <w:pPr>
              <w:jc w:val="center"/>
              <w:rPr>
                <w:rFonts w:ascii="Calibri" w:hAnsi="Calibri" w:cs="Calibri"/>
                <w:szCs w:val="24"/>
              </w:rPr>
            </w:pPr>
            <w:r>
              <w:rPr>
                <w:rFonts w:ascii="Calibri" w:hAnsi="Calibri" w:cs="Calibri"/>
                <w:szCs w:val="24"/>
              </w:rPr>
              <w:t>Total</w:t>
            </w:r>
          </w:p>
        </w:tc>
        <w:tc>
          <w:tcPr>
            <w:tcW w:w="1260" w:type="dxa"/>
            <w:vAlign w:val="center"/>
          </w:tcPr>
          <w:p w14:paraId="036D5001" w14:textId="213B2E07" w:rsidR="00152C49" w:rsidRPr="00824350" w:rsidRDefault="00567163" w:rsidP="00AE438A">
            <w:pPr>
              <w:jc w:val="center"/>
              <w:rPr>
                <w:rFonts w:ascii="Calibri" w:hAnsi="Calibri" w:cs="Calibri"/>
                <w:szCs w:val="24"/>
              </w:rPr>
            </w:pPr>
            <w:r>
              <w:rPr>
                <w:rFonts w:ascii="Calibri" w:hAnsi="Calibri" w:cs="Calibri"/>
                <w:szCs w:val="24"/>
              </w:rPr>
              <w:t>1</w:t>
            </w:r>
            <w:r w:rsidR="00746EDD">
              <w:rPr>
                <w:rFonts w:ascii="Calibri" w:hAnsi="Calibri" w:cs="Calibri"/>
                <w:szCs w:val="24"/>
              </w:rPr>
              <w:t>5,584</w:t>
            </w:r>
          </w:p>
        </w:tc>
      </w:tr>
    </w:tbl>
    <w:p w14:paraId="599AB4BA" w14:textId="77777777" w:rsidR="0035525E" w:rsidRPr="00083702" w:rsidRDefault="0035525E" w:rsidP="00E72DCB">
      <w:pPr>
        <w:widowControl/>
        <w:rPr>
          <w:rFonts w:ascii="Calibri" w:hAnsi="Calibri"/>
          <w:i/>
          <w:szCs w:val="24"/>
        </w:rPr>
      </w:pPr>
      <w:r w:rsidRPr="00083702">
        <w:rPr>
          <w:rFonts w:ascii="Calibri" w:hAnsi="Calibri" w:cs="Calibri"/>
          <w:i/>
          <w:szCs w:val="24"/>
        </w:rPr>
        <w:t>A.12.b.   Estimated</w:t>
      </w:r>
      <w:r w:rsidRPr="00083702">
        <w:rPr>
          <w:rFonts w:ascii="Calibri" w:hAnsi="Calibri"/>
          <w:i/>
          <w:szCs w:val="24"/>
        </w:rPr>
        <w:t xml:space="preserve"> Annualized Burden Costs</w:t>
      </w:r>
    </w:p>
    <w:p w14:paraId="1F14232E" w14:textId="77777777" w:rsidR="0035525E" w:rsidRPr="00824350" w:rsidRDefault="0035525E" w:rsidP="00E72DCB">
      <w:pPr>
        <w:widowControl/>
        <w:rPr>
          <w:rFonts w:ascii="Calibri" w:hAnsi="Calibri" w:cs="Calibri"/>
          <w:b/>
          <w:szCs w:val="24"/>
        </w:rPr>
      </w:pPr>
    </w:p>
    <w:p w14:paraId="62966CDB" w14:textId="316E0617" w:rsidR="0035525E" w:rsidRPr="00824350" w:rsidRDefault="0035525E" w:rsidP="002D25AC">
      <w:pPr>
        <w:pStyle w:val="bodytextpsg"/>
        <w:spacing w:after="0" w:line="240" w:lineRule="auto"/>
        <w:rPr>
          <w:rFonts w:ascii="Calibri" w:hAnsi="Calibri" w:cs="Calibri"/>
        </w:rPr>
      </w:pPr>
      <w:r w:rsidRPr="00824350">
        <w:rPr>
          <w:rFonts w:ascii="Calibri" w:hAnsi="Calibri" w:cs="Calibri"/>
        </w:rPr>
        <w:t>Respondents participate on a purely voluntary basis and</w:t>
      </w:r>
      <w:r w:rsidR="00812147">
        <w:rPr>
          <w:rFonts w:ascii="Calibri" w:hAnsi="Calibri" w:cs="Calibri"/>
        </w:rPr>
        <w:t xml:space="preserve"> t</w:t>
      </w:r>
      <w:r w:rsidRPr="00824350">
        <w:rPr>
          <w:rFonts w:ascii="Calibri" w:hAnsi="Calibri" w:cs="Calibri"/>
        </w:rPr>
        <w:t>here are</w:t>
      </w:r>
      <w:r w:rsidR="005914D3">
        <w:rPr>
          <w:rFonts w:ascii="Calibri" w:hAnsi="Calibri" w:cs="Calibri"/>
        </w:rPr>
        <w:t xml:space="preserve"> </w:t>
      </w:r>
      <w:r w:rsidRPr="00824350">
        <w:rPr>
          <w:rFonts w:ascii="Calibri" w:hAnsi="Calibri" w:cs="Calibri"/>
        </w:rPr>
        <w:t xml:space="preserve">no start-up or maintenance costs. </w:t>
      </w:r>
      <w:r w:rsidRPr="00824350">
        <w:rPr>
          <w:rFonts w:ascii="Calibri" w:hAnsi="Calibri" w:cs="Calibri"/>
          <w:szCs w:val="24"/>
        </w:rPr>
        <w:t xml:space="preserve">According to the U.S. Department of Labor (DOL) </w:t>
      </w:r>
      <w:r w:rsidRPr="00824350">
        <w:rPr>
          <w:rFonts w:ascii="Calibri" w:hAnsi="Calibri" w:cs="Calibri"/>
        </w:rPr>
        <w:t>Bureau of Labor Statistics</w:t>
      </w:r>
      <w:r w:rsidRPr="00824350" w:rsidDel="00507454">
        <w:rPr>
          <w:rFonts w:ascii="Calibri" w:hAnsi="Calibri" w:cs="Calibri"/>
          <w:szCs w:val="24"/>
        </w:rPr>
        <w:t xml:space="preserve"> </w:t>
      </w:r>
      <w:r w:rsidRPr="00824350">
        <w:rPr>
          <w:rFonts w:ascii="Calibri" w:hAnsi="Calibri" w:cs="Calibri"/>
          <w:szCs w:val="24"/>
        </w:rPr>
        <w:t xml:space="preserve">as of </w:t>
      </w:r>
      <w:r w:rsidRPr="00824350">
        <w:rPr>
          <w:rFonts w:ascii="Calibri" w:hAnsi="Calibri" w:cs="Calibri"/>
        </w:rPr>
        <w:t>March 2011</w:t>
      </w:r>
      <w:r w:rsidR="00E10179">
        <w:rPr>
          <w:rFonts w:ascii="Calibri" w:hAnsi="Calibri" w:cs="Calibri"/>
        </w:rPr>
        <w:t>,</w:t>
      </w:r>
      <w:r w:rsidRPr="00824350">
        <w:rPr>
          <w:rFonts w:ascii="Calibri" w:hAnsi="Calibri" w:cs="Calibri"/>
        </w:rPr>
        <w:t xml:space="preserve"> </w:t>
      </w:r>
      <w:r w:rsidRPr="00824350">
        <w:rPr>
          <w:rFonts w:ascii="Calibri" w:hAnsi="Calibri" w:cs="Calibri"/>
          <w:szCs w:val="24"/>
        </w:rPr>
        <w:t xml:space="preserve">the </w:t>
      </w:r>
      <w:r w:rsidRPr="00824350">
        <w:rPr>
          <w:rFonts w:ascii="Calibri" w:hAnsi="Calibri" w:cs="Calibri"/>
        </w:rPr>
        <w:t xml:space="preserve">national </w:t>
      </w:r>
      <w:r w:rsidRPr="00824350">
        <w:rPr>
          <w:rFonts w:ascii="Calibri" w:hAnsi="Calibri" w:cs="Calibri"/>
          <w:szCs w:val="24"/>
        </w:rPr>
        <w:t xml:space="preserve">average hourly wage is </w:t>
      </w:r>
      <w:r w:rsidRPr="00824350">
        <w:rPr>
          <w:rFonts w:ascii="Calibri" w:hAnsi="Calibri" w:cs="Calibri"/>
        </w:rPr>
        <w:t>$22.89</w:t>
      </w:r>
      <w:r w:rsidRPr="00824350">
        <w:rPr>
          <w:rFonts w:ascii="Calibri" w:hAnsi="Calibri" w:cs="Calibri"/>
          <w:szCs w:val="24"/>
        </w:rPr>
        <w:t>. Thus as</w:t>
      </w:r>
      <w:r w:rsidRPr="00824350">
        <w:rPr>
          <w:rFonts w:ascii="Calibri" w:hAnsi="Calibri" w:cs="Calibri"/>
        </w:rPr>
        <w:t>suming an average hourly wage of $22.89, the estimated annualized cost to participants will be $</w:t>
      </w:r>
      <w:r w:rsidR="002D25AC">
        <w:rPr>
          <w:rFonts w:ascii="Calibri" w:hAnsi="Calibri" w:cs="Calibri"/>
        </w:rPr>
        <w:t>356,718</w:t>
      </w:r>
      <w:r w:rsidRPr="00824350">
        <w:rPr>
          <w:rFonts w:ascii="Calibri" w:hAnsi="Calibri" w:cs="Calibri"/>
        </w:rPr>
        <w:t xml:space="preserve">. The estimated value of respondents’ time for participating in the information collection is summarized in </w:t>
      </w:r>
      <w:r w:rsidRPr="00824350">
        <w:rPr>
          <w:rFonts w:ascii="Calibri" w:hAnsi="Calibri" w:cs="Calibri"/>
          <w:b/>
          <w:bCs/>
          <w:i/>
          <w:iCs/>
        </w:rPr>
        <w:t xml:space="preserve">Exhibit </w:t>
      </w:r>
      <w:r w:rsidR="0085077E">
        <w:rPr>
          <w:rFonts w:ascii="Calibri" w:hAnsi="Calibri" w:cs="Calibri"/>
          <w:b/>
          <w:bCs/>
          <w:i/>
          <w:iCs/>
        </w:rPr>
        <w:t>2</w:t>
      </w:r>
      <w:r w:rsidRPr="00824350">
        <w:rPr>
          <w:rFonts w:ascii="Calibri" w:hAnsi="Calibri" w:cs="Calibri"/>
        </w:rPr>
        <w:t xml:space="preserve">. </w:t>
      </w:r>
    </w:p>
    <w:p w14:paraId="3FDB02E6" w14:textId="77777777" w:rsidR="00E72DCB" w:rsidRDefault="00E72DCB" w:rsidP="009A12DB">
      <w:pPr>
        <w:rPr>
          <w:rFonts w:ascii="Calibri" w:hAnsi="Calibri" w:cs="Calibri"/>
          <w:b/>
          <w:bCs/>
        </w:rPr>
      </w:pPr>
      <w:bookmarkStart w:id="7" w:name="_Toc140476557"/>
      <w:bookmarkStart w:id="8" w:name="_Toc216595335"/>
    </w:p>
    <w:p w14:paraId="500AF643" w14:textId="64EC73C0" w:rsidR="0035525E" w:rsidRDefault="0035525E" w:rsidP="007502F4">
      <w:pPr>
        <w:widowControl/>
        <w:rPr>
          <w:rFonts w:ascii="Calibri" w:hAnsi="Calibri" w:cs="Calibri"/>
          <w:b/>
          <w:bCs/>
        </w:rPr>
      </w:pPr>
      <w:r w:rsidRPr="00824350">
        <w:rPr>
          <w:rFonts w:ascii="Calibri" w:hAnsi="Calibri" w:cs="Calibri"/>
          <w:b/>
          <w:bCs/>
        </w:rPr>
        <w:t xml:space="preserve">Exhibit </w:t>
      </w:r>
      <w:r w:rsidR="0085077E">
        <w:rPr>
          <w:rFonts w:ascii="Calibri" w:hAnsi="Calibri" w:cs="Calibri"/>
          <w:b/>
          <w:bCs/>
        </w:rPr>
        <w:t>2</w:t>
      </w:r>
      <w:r w:rsidRPr="00824350">
        <w:rPr>
          <w:rFonts w:ascii="Calibri" w:hAnsi="Calibri" w:cs="Calibri"/>
          <w:b/>
          <w:bCs/>
        </w:rPr>
        <w:t>. Estimated One-Year Annualized Cost</w:t>
      </w:r>
    </w:p>
    <w:p w14:paraId="4F9657D5" w14:textId="77777777" w:rsidR="00047A1B" w:rsidRDefault="00047A1B" w:rsidP="009A12DB">
      <w:pPr>
        <w:rPr>
          <w:rFonts w:ascii="Calibri" w:hAnsi="Calibri" w:cs="Calibri"/>
          <w:b/>
          <w:b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1890"/>
        <w:gridCol w:w="1620"/>
        <w:gridCol w:w="1440"/>
        <w:gridCol w:w="1157"/>
        <w:gridCol w:w="1543"/>
      </w:tblGrid>
      <w:tr w:rsidR="00047A1B" w:rsidRPr="00824350" w14:paraId="3473B20A" w14:textId="77777777" w:rsidTr="00DE57A9">
        <w:tc>
          <w:tcPr>
            <w:tcW w:w="1458" w:type="dxa"/>
            <w:vAlign w:val="center"/>
          </w:tcPr>
          <w:p w14:paraId="55B46B02" w14:textId="77777777" w:rsidR="00047A1B" w:rsidRPr="00824350" w:rsidRDefault="00047A1B" w:rsidP="0085077E">
            <w:pPr>
              <w:pStyle w:val="bodytextpsg"/>
              <w:spacing w:after="0" w:line="240" w:lineRule="auto"/>
              <w:ind w:firstLine="0"/>
              <w:jc w:val="center"/>
              <w:rPr>
                <w:rFonts w:ascii="Calibri" w:hAnsi="Calibri" w:cs="Calibri"/>
                <w:szCs w:val="24"/>
              </w:rPr>
            </w:pPr>
            <w:r w:rsidRPr="00824350">
              <w:rPr>
                <w:rFonts w:ascii="Calibri" w:hAnsi="Calibri" w:cs="Calibri"/>
                <w:szCs w:val="24"/>
              </w:rPr>
              <w:t>Type of Respondent</w:t>
            </w:r>
          </w:p>
        </w:tc>
        <w:tc>
          <w:tcPr>
            <w:tcW w:w="1890" w:type="dxa"/>
            <w:vAlign w:val="center"/>
          </w:tcPr>
          <w:p w14:paraId="057A0366" w14:textId="77777777" w:rsidR="00047A1B" w:rsidRPr="00824350" w:rsidRDefault="00047A1B">
            <w:pPr>
              <w:jc w:val="center"/>
              <w:rPr>
                <w:rFonts w:ascii="Calibri" w:hAnsi="Calibri" w:cs="Calibri"/>
                <w:szCs w:val="24"/>
              </w:rPr>
            </w:pPr>
          </w:p>
          <w:p w14:paraId="34E10119" w14:textId="77777777" w:rsidR="00047A1B" w:rsidRPr="00824350" w:rsidRDefault="00047A1B">
            <w:pPr>
              <w:jc w:val="center"/>
              <w:rPr>
                <w:rFonts w:ascii="Calibri" w:hAnsi="Calibri" w:cs="Calibri"/>
                <w:szCs w:val="24"/>
              </w:rPr>
            </w:pPr>
          </w:p>
          <w:p w14:paraId="36F3F9E5" w14:textId="77777777" w:rsidR="00047A1B" w:rsidRPr="00824350" w:rsidRDefault="00047A1B">
            <w:pPr>
              <w:pStyle w:val="bodytextpsg"/>
              <w:spacing w:after="0" w:line="240" w:lineRule="auto"/>
              <w:ind w:firstLine="0"/>
              <w:jc w:val="center"/>
              <w:rPr>
                <w:rFonts w:ascii="Calibri" w:hAnsi="Calibri" w:cs="Calibri"/>
                <w:szCs w:val="24"/>
              </w:rPr>
            </w:pPr>
            <w:r w:rsidRPr="00824350">
              <w:rPr>
                <w:rFonts w:ascii="Calibri" w:hAnsi="Calibri" w:cs="Calibri"/>
                <w:szCs w:val="24"/>
              </w:rPr>
              <w:t>Form Name</w:t>
            </w:r>
          </w:p>
        </w:tc>
        <w:tc>
          <w:tcPr>
            <w:tcW w:w="1620" w:type="dxa"/>
            <w:vAlign w:val="center"/>
          </w:tcPr>
          <w:p w14:paraId="48C6898D" w14:textId="77777777" w:rsidR="00047A1B" w:rsidRPr="00824350" w:rsidRDefault="00047A1B">
            <w:pPr>
              <w:jc w:val="center"/>
              <w:rPr>
                <w:rFonts w:ascii="Calibri" w:hAnsi="Calibri" w:cs="Calibri"/>
                <w:szCs w:val="24"/>
              </w:rPr>
            </w:pPr>
          </w:p>
          <w:p w14:paraId="0397CB61" w14:textId="77777777" w:rsidR="00047A1B" w:rsidRPr="00824350" w:rsidRDefault="00047A1B">
            <w:pPr>
              <w:jc w:val="center"/>
              <w:rPr>
                <w:rFonts w:ascii="Calibri" w:hAnsi="Calibri" w:cs="Calibri"/>
                <w:szCs w:val="24"/>
              </w:rPr>
            </w:pPr>
          </w:p>
          <w:p w14:paraId="716203F4" w14:textId="77777777" w:rsidR="00047A1B" w:rsidRPr="00824350" w:rsidRDefault="00047A1B">
            <w:pPr>
              <w:pStyle w:val="bodytextpsg"/>
              <w:spacing w:after="0" w:line="240" w:lineRule="auto"/>
              <w:ind w:firstLine="0"/>
              <w:jc w:val="center"/>
              <w:rPr>
                <w:rFonts w:ascii="Calibri" w:hAnsi="Calibri" w:cs="Calibri"/>
                <w:szCs w:val="24"/>
              </w:rPr>
            </w:pPr>
            <w:r w:rsidRPr="00824350">
              <w:rPr>
                <w:rFonts w:ascii="Calibri" w:hAnsi="Calibri" w:cs="Calibri"/>
                <w:szCs w:val="24"/>
              </w:rPr>
              <w:t>Number of  Respondents</w:t>
            </w:r>
          </w:p>
        </w:tc>
        <w:tc>
          <w:tcPr>
            <w:tcW w:w="1440" w:type="dxa"/>
            <w:vAlign w:val="center"/>
          </w:tcPr>
          <w:p w14:paraId="583E9EED" w14:textId="77777777" w:rsidR="00047A1B" w:rsidRPr="00824350" w:rsidRDefault="00047A1B">
            <w:pPr>
              <w:pStyle w:val="bodytextpsg"/>
              <w:spacing w:after="0" w:line="240" w:lineRule="auto"/>
              <w:ind w:firstLine="0"/>
              <w:jc w:val="center"/>
              <w:rPr>
                <w:rFonts w:ascii="Calibri" w:hAnsi="Calibri" w:cs="Calibri"/>
                <w:szCs w:val="24"/>
              </w:rPr>
            </w:pPr>
            <w:r>
              <w:rPr>
                <w:rFonts w:ascii="Calibri" w:hAnsi="Calibri" w:cs="Calibri"/>
                <w:szCs w:val="24"/>
              </w:rPr>
              <w:t>Total Burden Hours</w:t>
            </w:r>
          </w:p>
        </w:tc>
        <w:tc>
          <w:tcPr>
            <w:tcW w:w="1157" w:type="dxa"/>
            <w:vAlign w:val="center"/>
          </w:tcPr>
          <w:p w14:paraId="7563CA87" w14:textId="77777777" w:rsidR="00047A1B" w:rsidRPr="00824350" w:rsidRDefault="00047A1B">
            <w:pPr>
              <w:pStyle w:val="bodytextpsg"/>
              <w:spacing w:after="0" w:line="240" w:lineRule="auto"/>
              <w:ind w:firstLine="0"/>
              <w:jc w:val="center"/>
              <w:rPr>
                <w:rFonts w:ascii="Calibri" w:hAnsi="Calibri" w:cs="Calibri"/>
                <w:szCs w:val="24"/>
              </w:rPr>
            </w:pPr>
            <w:r>
              <w:rPr>
                <w:rFonts w:ascii="Calibri" w:hAnsi="Calibri" w:cs="Calibri"/>
                <w:szCs w:val="24"/>
              </w:rPr>
              <w:t>Hourly Wage Rate</w:t>
            </w:r>
          </w:p>
        </w:tc>
        <w:tc>
          <w:tcPr>
            <w:tcW w:w="1543" w:type="dxa"/>
            <w:vAlign w:val="center"/>
          </w:tcPr>
          <w:p w14:paraId="105D947B" w14:textId="77777777" w:rsidR="00047A1B" w:rsidRPr="00824350" w:rsidRDefault="00047A1B">
            <w:pPr>
              <w:jc w:val="center"/>
              <w:rPr>
                <w:rFonts w:ascii="Calibri" w:hAnsi="Calibri" w:cs="Calibri"/>
                <w:szCs w:val="24"/>
              </w:rPr>
            </w:pPr>
          </w:p>
          <w:p w14:paraId="7115FAD6" w14:textId="77777777" w:rsidR="00047A1B" w:rsidRPr="00824350" w:rsidRDefault="00047A1B">
            <w:pPr>
              <w:jc w:val="center"/>
              <w:rPr>
                <w:rFonts w:ascii="Calibri" w:hAnsi="Calibri" w:cs="Calibri"/>
                <w:szCs w:val="24"/>
              </w:rPr>
            </w:pPr>
          </w:p>
          <w:p w14:paraId="7344E0DF" w14:textId="77777777" w:rsidR="00047A1B" w:rsidRPr="00824350" w:rsidRDefault="00047A1B">
            <w:pPr>
              <w:pStyle w:val="bodytextpsg"/>
              <w:spacing w:after="0" w:line="240" w:lineRule="auto"/>
              <w:ind w:firstLine="0"/>
              <w:jc w:val="center"/>
              <w:rPr>
                <w:rFonts w:ascii="Calibri" w:hAnsi="Calibri" w:cs="Calibri"/>
                <w:szCs w:val="24"/>
              </w:rPr>
            </w:pPr>
            <w:r>
              <w:rPr>
                <w:rFonts w:ascii="Calibri" w:hAnsi="Calibri" w:cs="Calibri"/>
                <w:szCs w:val="24"/>
              </w:rPr>
              <w:t>Total Cost</w:t>
            </w:r>
          </w:p>
        </w:tc>
      </w:tr>
      <w:tr w:rsidR="002D25AC" w:rsidRPr="00824350" w14:paraId="35BA5601" w14:textId="77777777" w:rsidTr="00DE57A9">
        <w:tc>
          <w:tcPr>
            <w:tcW w:w="1458" w:type="dxa"/>
            <w:vAlign w:val="center"/>
          </w:tcPr>
          <w:p w14:paraId="5581FA2E" w14:textId="77777777" w:rsidR="002D25AC" w:rsidRPr="00824350" w:rsidRDefault="002D25AC" w:rsidP="0085077E">
            <w:pPr>
              <w:pStyle w:val="bodytextpsg"/>
              <w:spacing w:after="0" w:line="240" w:lineRule="auto"/>
              <w:ind w:firstLine="0"/>
              <w:jc w:val="center"/>
              <w:rPr>
                <w:rFonts w:ascii="Calibri" w:hAnsi="Calibri" w:cs="Calibri"/>
                <w:szCs w:val="24"/>
              </w:rPr>
            </w:pPr>
            <w:r w:rsidRPr="00824350">
              <w:rPr>
                <w:rFonts w:ascii="Calibri" w:hAnsi="Calibri" w:cs="Calibri"/>
                <w:szCs w:val="24"/>
              </w:rPr>
              <w:t>General Population</w:t>
            </w:r>
          </w:p>
        </w:tc>
        <w:tc>
          <w:tcPr>
            <w:tcW w:w="1890" w:type="dxa"/>
            <w:vAlign w:val="center"/>
          </w:tcPr>
          <w:p w14:paraId="76679AAA" w14:textId="77777777" w:rsidR="002D25AC" w:rsidRPr="00824350" w:rsidRDefault="002D25AC">
            <w:pPr>
              <w:jc w:val="center"/>
              <w:rPr>
                <w:rFonts w:ascii="Calibri" w:hAnsi="Calibri" w:cs="Calibri"/>
                <w:szCs w:val="24"/>
              </w:rPr>
            </w:pPr>
            <w:r w:rsidRPr="00824350">
              <w:rPr>
                <w:rFonts w:ascii="Calibri" w:hAnsi="Calibri" w:cs="Calibri"/>
                <w:szCs w:val="24"/>
              </w:rPr>
              <w:t xml:space="preserve">Screening and Consent </w:t>
            </w:r>
            <w:r>
              <w:rPr>
                <w:rFonts w:ascii="Calibri" w:hAnsi="Calibri" w:cs="Calibri"/>
                <w:szCs w:val="24"/>
              </w:rPr>
              <w:t>Questionnaire</w:t>
            </w:r>
          </w:p>
        </w:tc>
        <w:tc>
          <w:tcPr>
            <w:tcW w:w="1620" w:type="dxa"/>
            <w:vAlign w:val="center"/>
          </w:tcPr>
          <w:p w14:paraId="7FA5516F" w14:textId="15B6FB72" w:rsidR="002D25AC" w:rsidRPr="00824350" w:rsidRDefault="002D25AC">
            <w:pPr>
              <w:jc w:val="center"/>
              <w:rPr>
                <w:rFonts w:ascii="Calibri" w:hAnsi="Calibri" w:cs="Calibri"/>
                <w:szCs w:val="24"/>
              </w:rPr>
            </w:pPr>
            <w:r>
              <w:rPr>
                <w:rFonts w:ascii="Calibri" w:hAnsi="Calibri"/>
                <w:color w:val="000000"/>
                <w:sz w:val="22"/>
                <w:szCs w:val="22"/>
              </w:rPr>
              <w:t>25,000</w:t>
            </w:r>
          </w:p>
        </w:tc>
        <w:tc>
          <w:tcPr>
            <w:tcW w:w="1440" w:type="dxa"/>
            <w:vAlign w:val="center"/>
          </w:tcPr>
          <w:p w14:paraId="0431FBE6" w14:textId="292A7BDE" w:rsidR="002D25AC" w:rsidRPr="00E03FB1" w:rsidRDefault="002D25AC">
            <w:pPr>
              <w:jc w:val="center"/>
              <w:rPr>
                <w:rFonts w:asciiTheme="minorHAnsi" w:hAnsiTheme="minorHAnsi" w:cs="Calibri"/>
                <w:szCs w:val="24"/>
              </w:rPr>
            </w:pPr>
            <w:r>
              <w:rPr>
                <w:rFonts w:ascii="Calibri" w:hAnsi="Calibri"/>
                <w:color w:val="000000"/>
                <w:sz w:val="22"/>
                <w:szCs w:val="22"/>
              </w:rPr>
              <w:t>2,084</w:t>
            </w:r>
          </w:p>
        </w:tc>
        <w:tc>
          <w:tcPr>
            <w:tcW w:w="1157" w:type="dxa"/>
            <w:vAlign w:val="center"/>
          </w:tcPr>
          <w:p w14:paraId="0C9961AD" w14:textId="77777777" w:rsidR="002D25AC" w:rsidRPr="00824350"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7344E962" w14:textId="4F790D7C" w:rsidR="002D25AC" w:rsidRPr="001A5480" w:rsidRDefault="002D25AC">
            <w:pPr>
              <w:jc w:val="center"/>
              <w:rPr>
                <w:rFonts w:ascii="Calibri" w:hAnsi="Calibri"/>
                <w:color w:val="000000"/>
                <w:szCs w:val="24"/>
              </w:rPr>
            </w:pPr>
            <w:r>
              <w:rPr>
                <w:rFonts w:ascii="Calibri" w:hAnsi="Calibri"/>
                <w:color w:val="000000"/>
                <w:sz w:val="22"/>
                <w:szCs w:val="22"/>
              </w:rPr>
              <w:t>$47,703</w:t>
            </w:r>
          </w:p>
        </w:tc>
      </w:tr>
      <w:tr w:rsidR="002D25AC" w:rsidRPr="00824350" w14:paraId="53744361" w14:textId="77777777" w:rsidTr="00DE57A9">
        <w:tc>
          <w:tcPr>
            <w:tcW w:w="1458" w:type="dxa"/>
            <w:vMerge w:val="restart"/>
            <w:vAlign w:val="center"/>
          </w:tcPr>
          <w:p w14:paraId="48823283" w14:textId="77777777" w:rsidR="002D25AC" w:rsidRPr="00824350" w:rsidRDefault="002D25AC" w:rsidP="0085077E">
            <w:pPr>
              <w:pStyle w:val="bodytextpsg"/>
              <w:spacing w:after="0" w:line="240" w:lineRule="auto"/>
              <w:ind w:firstLine="0"/>
              <w:jc w:val="center"/>
              <w:rPr>
                <w:rFonts w:ascii="Calibri" w:hAnsi="Calibri" w:cs="Calibri"/>
                <w:noProof/>
                <w:szCs w:val="24"/>
              </w:rPr>
            </w:pPr>
            <w:r w:rsidRPr="00824350">
              <w:rPr>
                <w:rFonts w:ascii="Calibri" w:hAnsi="Calibri" w:cs="Calibri"/>
                <w:szCs w:val="24"/>
              </w:rPr>
              <w:t>Adults</w:t>
            </w:r>
            <w:r>
              <w:rPr>
                <w:rFonts w:ascii="Calibri" w:hAnsi="Calibri" w:cs="Calibri"/>
                <w:szCs w:val="24"/>
              </w:rPr>
              <w:t xml:space="preserve"> Smokers and Nonsmokers, </w:t>
            </w:r>
            <w:r w:rsidRPr="00824350">
              <w:rPr>
                <w:rFonts w:ascii="Calibri" w:hAnsi="Calibri" w:cs="Calibri"/>
                <w:szCs w:val="24"/>
              </w:rPr>
              <w:t>ages 18-54</w:t>
            </w:r>
            <w:r>
              <w:rPr>
                <w:rFonts w:ascii="Calibri" w:hAnsi="Calibri" w:cs="Calibri"/>
                <w:szCs w:val="24"/>
              </w:rPr>
              <w:t>,</w:t>
            </w:r>
            <w:r w:rsidRPr="00824350">
              <w:rPr>
                <w:rFonts w:ascii="Calibri" w:hAnsi="Calibri" w:cs="Calibri"/>
                <w:szCs w:val="24"/>
              </w:rPr>
              <w:t xml:space="preserve"> in the U</w:t>
            </w:r>
            <w:r>
              <w:rPr>
                <w:rFonts w:ascii="Calibri" w:hAnsi="Calibri" w:cs="Calibri"/>
                <w:szCs w:val="24"/>
              </w:rPr>
              <w:t xml:space="preserve">nited </w:t>
            </w:r>
            <w:r w:rsidRPr="00824350">
              <w:rPr>
                <w:rFonts w:ascii="Calibri" w:hAnsi="Calibri" w:cs="Calibri"/>
                <w:szCs w:val="24"/>
              </w:rPr>
              <w:t>S</w:t>
            </w:r>
            <w:r>
              <w:rPr>
                <w:rFonts w:ascii="Calibri" w:hAnsi="Calibri" w:cs="Calibri"/>
                <w:szCs w:val="24"/>
              </w:rPr>
              <w:t>tates</w:t>
            </w:r>
          </w:p>
        </w:tc>
        <w:tc>
          <w:tcPr>
            <w:tcW w:w="1890" w:type="dxa"/>
            <w:vAlign w:val="center"/>
          </w:tcPr>
          <w:p w14:paraId="45D8B6BD" w14:textId="7AD6AB14" w:rsidR="002D25AC" w:rsidRDefault="002D25AC">
            <w:pPr>
              <w:jc w:val="center"/>
              <w:rPr>
                <w:rFonts w:ascii="Calibri" w:hAnsi="Calibri" w:cs="Calibri"/>
                <w:szCs w:val="24"/>
              </w:rPr>
            </w:pPr>
            <w:r>
              <w:rPr>
                <w:rFonts w:ascii="Calibri" w:hAnsi="Calibri" w:cs="Calibri"/>
                <w:szCs w:val="24"/>
              </w:rPr>
              <w:t>Smoker Survey (Wave A)</w:t>
            </w:r>
          </w:p>
        </w:tc>
        <w:tc>
          <w:tcPr>
            <w:tcW w:w="1620" w:type="dxa"/>
            <w:vAlign w:val="center"/>
          </w:tcPr>
          <w:p w14:paraId="25E740C3" w14:textId="4405CE0B" w:rsidR="002D25AC" w:rsidRDefault="002D25AC">
            <w:pPr>
              <w:jc w:val="center"/>
              <w:rPr>
                <w:rFonts w:ascii="Calibri" w:hAnsi="Calibri" w:cs="Calibri"/>
                <w:szCs w:val="24"/>
              </w:rPr>
            </w:pPr>
            <w:r>
              <w:rPr>
                <w:rFonts w:ascii="Calibri" w:hAnsi="Calibri"/>
                <w:color w:val="000000"/>
                <w:sz w:val="22"/>
                <w:szCs w:val="22"/>
              </w:rPr>
              <w:t>6,500</w:t>
            </w:r>
          </w:p>
        </w:tc>
        <w:tc>
          <w:tcPr>
            <w:tcW w:w="1440" w:type="dxa"/>
            <w:vAlign w:val="center"/>
          </w:tcPr>
          <w:p w14:paraId="33AC32FC" w14:textId="0DE367BB" w:rsidR="002D25AC" w:rsidRPr="00E03FB1" w:rsidRDefault="002D25AC">
            <w:pPr>
              <w:jc w:val="center"/>
              <w:rPr>
                <w:rFonts w:asciiTheme="minorHAnsi" w:hAnsiTheme="minorHAnsi" w:cs="Courier New"/>
                <w:color w:val="000000"/>
              </w:rPr>
            </w:pPr>
            <w:r>
              <w:rPr>
                <w:rFonts w:ascii="Calibri" w:hAnsi="Calibri"/>
                <w:color w:val="000000"/>
                <w:sz w:val="22"/>
                <w:szCs w:val="22"/>
              </w:rPr>
              <w:t>3,250</w:t>
            </w:r>
          </w:p>
        </w:tc>
        <w:tc>
          <w:tcPr>
            <w:tcW w:w="1157" w:type="dxa"/>
            <w:vAlign w:val="center"/>
          </w:tcPr>
          <w:p w14:paraId="702CC596" w14:textId="77777777" w:rsidR="002D25AC"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00A4F5BF" w14:textId="72073718" w:rsidR="002D25AC" w:rsidRPr="001A5480" w:rsidRDefault="002D25AC">
            <w:pPr>
              <w:jc w:val="center"/>
              <w:rPr>
                <w:rFonts w:ascii="Calibri" w:hAnsi="Calibri"/>
                <w:color w:val="000000"/>
                <w:szCs w:val="24"/>
              </w:rPr>
            </w:pPr>
            <w:r>
              <w:rPr>
                <w:rFonts w:ascii="Calibri" w:hAnsi="Calibri"/>
                <w:color w:val="000000"/>
                <w:sz w:val="22"/>
                <w:szCs w:val="22"/>
              </w:rPr>
              <w:t>$74,393</w:t>
            </w:r>
          </w:p>
        </w:tc>
      </w:tr>
      <w:tr w:rsidR="002D25AC" w:rsidRPr="00824350" w14:paraId="31A98A75" w14:textId="77777777" w:rsidTr="00DE57A9">
        <w:tc>
          <w:tcPr>
            <w:tcW w:w="1458" w:type="dxa"/>
            <w:vMerge/>
            <w:vAlign w:val="center"/>
          </w:tcPr>
          <w:p w14:paraId="2E49B369" w14:textId="77777777" w:rsidR="002D25AC" w:rsidRPr="00824350" w:rsidRDefault="002D25AC">
            <w:pPr>
              <w:pStyle w:val="bodytextpsg"/>
              <w:spacing w:after="0" w:line="240" w:lineRule="auto"/>
              <w:ind w:firstLine="0"/>
              <w:jc w:val="center"/>
              <w:rPr>
                <w:rFonts w:ascii="Calibri" w:hAnsi="Calibri" w:cs="Calibri"/>
                <w:noProof/>
                <w:szCs w:val="24"/>
              </w:rPr>
            </w:pPr>
          </w:p>
        </w:tc>
        <w:tc>
          <w:tcPr>
            <w:tcW w:w="1890" w:type="dxa"/>
            <w:vAlign w:val="center"/>
          </w:tcPr>
          <w:p w14:paraId="5C7499E9" w14:textId="36FFC9ED" w:rsidR="002D25AC" w:rsidRDefault="002D25AC">
            <w:pPr>
              <w:jc w:val="center"/>
              <w:rPr>
                <w:rFonts w:ascii="Calibri" w:hAnsi="Calibri" w:cs="Calibri"/>
                <w:szCs w:val="24"/>
              </w:rPr>
            </w:pPr>
            <w:r>
              <w:rPr>
                <w:rFonts w:ascii="Calibri" w:hAnsi="Calibri" w:cs="Calibri"/>
                <w:szCs w:val="24"/>
              </w:rPr>
              <w:t>Smoker Survey (Wave B)</w:t>
            </w:r>
          </w:p>
        </w:tc>
        <w:tc>
          <w:tcPr>
            <w:tcW w:w="1620" w:type="dxa"/>
            <w:vAlign w:val="center"/>
          </w:tcPr>
          <w:p w14:paraId="00416686" w14:textId="2B757978" w:rsidR="002D25AC" w:rsidRDefault="002D25AC">
            <w:pPr>
              <w:jc w:val="center"/>
              <w:rPr>
                <w:rFonts w:ascii="Calibri" w:hAnsi="Calibri" w:cs="Calibri"/>
                <w:szCs w:val="24"/>
              </w:rPr>
            </w:pPr>
            <w:r>
              <w:rPr>
                <w:rFonts w:ascii="Calibri" w:hAnsi="Calibri"/>
                <w:color w:val="000000"/>
                <w:sz w:val="22"/>
                <w:szCs w:val="22"/>
              </w:rPr>
              <w:t>4,000</w:t>
            </w:r>
          </w:p>
        </w:tc>
        <w:tc>
          <w:tcPr>
            <w:tcW w:w="1440" w:type="dxa"/>
            <w:vAlign w:val="center"/>
          </w:tcPr>
          <w:p w14:paraId="6806E537" w14:textId="59FDC28C" w:rsidR="002D25AC" w:rsidRPr="00E03FB1" w:rsidRDefault="002D25AC">
            <w:pPr>
              <w:jc w:val="center"/>
              <w:rPr>
                <w:rFonts w:asciiTheme="minorHAnsi" w:hAnsiTheme="minorHAnsi" w:cs="Courier New"/>
                <w:color w:val="000000"/>
              </w:rPr>
            </w:pPr>
            <w:r>
              <w:rPr>
                <w:rFonts w:ascii="Calibri" w:hAnsi="Calibri"/>
                <w:color w:val="000000"/>
                <w:sz w:val="22"/>
                <w:szCs w:val="22"/>
              </w:rPr>
              <w:t>2,000</w:t>
            </w:r>
          </w:p>
        </w:tc>
        <w:tc>
          <w:tcPr>
            <w:tcW w:w="1157" w:type="dxa"/>
            <w:vAlign w:val="center"/>
          </w:tcPr>
          <w:p w14:paraId="6B945435" w14:textId="77777777" w:rsidR="002D25AC"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346F6CB1" w14:textId="19D986E3" w:rsidR="002D25AC" w:rsidRPr="001A5480" w:rsidRDefault="002D25AC">
            <w:pPr>
              <w:jc w:val="center"/>
              <w:rPr>
                <w:rFonts w:ascii="Calibri" w:hAnsi="Calibri"/>
                <w:color w:val="000000"/>
                <w:szCs w:val="24"/>
              </w:rPr>
            </w:pPr>
            <w:r>
              <w:rPr>
                <w:rFonts w:ascii="Calibri" w:hAnsi="Calibri"/>
                <w:color w:val="000000"/>
                <w:sz w:val="22"/>
                <w:szCs w:val="22"/>
              </w:rPr>
              <w:t>$45,780</w:t>
            </w:r>
          </w:p>
        </w:tc>
      </w:tr>
      <w:tr w:rsidR="002D25AC" w:rsidRPr="00824350" w14:paraId="76A39E83" w14:textId="77777777" w:rsidTr="00DE57A9">
        <w:tc>
          <w:tcPr>
            <w:tcW w:w="1458" w:type="dxa"/>
            <w:vMerge/>
            <w:vAlign w:val="center"/>
          </w:tcPr>
          <w:p w14:paraId="06BFE6D5" w14:textId="77777777" w:rsidR="002D25AC" w:rsidRPr="00824350" w:rsidRDefault="002D25AC">
            <w:pPr>
              <w:pStyle w:val="bodytextpsg"/>
              <w:spacing w:after="0" w:line="240" w:lineRule="auto"/>
              <w:ind w:firstLine="0"/>
              <w:jc w:val="center"/>
              <w:rPr>
                <w:rFonts w:ascii="Calibri" w:hAnsi="Calibri" w:cs="Calibri"/>
                <w:noProof/>
                <w:szCs w:val="24"/>
              </w:rPr>
            </w:pPr>
          </w:p>
        </w:tc>
        <w:tc>
          <w:tcPr>
            <w:tcW w:w="1890" w:type="dxa"/>
            <w:vAlign w:val="center"/>
          </w:tcPr>
          <w:p w14:paraId="0B0726A4" w14:textId="73B90A03" w:rsidR="002D25AC" w:rsidRDefault="002D25AC">
            <w:pPr>
              <w:jc w:val="center"/>
              <w:rPr>
                <w:rFonts w:ascii="Calibri" w:hAnsi="Calibri" w:cs="Calibri"/>
                <w:szCs w:val="24"/>
              </w:rPr>
            </w:pPr>
            <w:r>
              <w:rPr>
                <w:rFonts w:ascii="Calibri" w:hAnsi="Calibri" w:cs="Calibri"/>
                <w:szCs w:val="24"/>
              </w:rPr>
              <w:t>Smoker Survey (Wave C)</w:t>
            </w:r>
          </w:p>
        </w:tc>
        <w:tc>
          <w:tcPr>
            <w:tcW w:w="1620" w:type="dxa"/>
            <w:vAlign w:val="center"/>
          </w:tcPr>
          <w:p w14:paraId="2C6209F7" w14:textId="7DCBEAFE" w:rsidR="002D25AC" w:rsidRDefault="002D25AC">
            <w:pPr>
              <w:jc w:val="center"/>
              <w:rPr>
                <w:rFonts w:ascii="Calibri" w:hAnsi="Calibri" w:cs="Calibri"/>
                <w:szCs w:val="24"/>
              </w:rPr>
            </w:pPr>
            <w:r>
              <w:rPr>
                <w:rFonts w:ascii="Calibri" w:hAnsi="Calibri"/>
                <w:color w:val="000000"/>
                <w:sz w:val="22"/>
                <w:szCs w:val="22"/>
              </w:rPr>
              <w:t>4,000</w:t>
            </w:r>
          </w:p>
        </w:tc>
        <w:tc>
          <w:tcPr>
            <w:tcW w:w="1440" w:type="dxa"/>
            <w:vAlign w:val="center"/>
          </w:tcPr>
          <w:p w14:paraId="48251EE6" w14:textId="78AA318D" w:rsidR="002D25AC" w:rsidRPr="00567163" w:rsidRDefault="002D25AC">
            <w:pPr>
              <w:jc w:val="center"/>
              <w:rPr>
                <w:rFonts w:ascii="Calibri" w:hAnsi="Calibri"/>
                <w:color w:val="000000"/>
                <w:szCs w:val="24"/>
              </w:rPr>
            </w:pPr>
            <w:r>
              <w:rPr>
                <w:rFonts w:ascii="Calibri" w:hAnsi="Calibri"/>
                <w:color w:val="000000"/>
                <w:sz w:val="22"/>
                <w:szCs w:val="22"/>
              </w:rPr>
              <w:t>2,000</w:t>
            </w:r>
          </w:p>
        </w:tc>
        <w:tc>
          <w:tcPr>
            <w:tcW w:w="1157" w:type="dxa"/>
            <w:vAlign w:val="center"/>
          </w:tcPr>
          <w:p w14:paraId="531F330C" w14:textId="2A123A04" w:rsidR="002D25AC" w:rsidRPr="00824350"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6EF636DD" w14:textId="49186CFC" w:rsidR="002D25AC" w:rsidRDefault="002D25AC">
            <w:pPr>
              <w:jc w:val="center"/>
              <w:rPr>
                <w:rFonts w:ascii="Calibri" w:hAnsi="Calibri"/>
                <w:color w:val="000000"/>
                <w:sz w:val="22"/>
                <w:szCs w:val="22"/>
              </w:rPr>
            </w:pPr>
            <w:r>
              <w:rPr>
                <w:rFonts w:ascii="Calibri" w:hAnsi="Calibri"/>
                <w:color w:val="000000"/>
                <w:sz w:val="22"/>
                <w:szCs w:val="22"/>
              </w:rPr>
              <w:t>$45,780</w:t>
            </w:r>
          </w:p>
        </w:tc>
      </w:tr>
      <w:tr w:rsidR="002D25AC" w:rsidRPr="00824350" w14:paraId="61A9BFB8" w14:textId="77777777" w:rsidTr="00DE57A9">
        <w:tc>
          <w:tcPr>
            <w:tcW w:w="1458" w:type="dxa"/>
            <w:vMerge/>
            <w:vAlign w:val="center"/>
          </w:tcPr>
          <w:p w14:paraId="7E050CE2" w14:textId="77777777" w:rsidR="002D25AC" w:rsidRPr="00824350" w:rsidRDefault="002D25AC">
            <w:pPr>
              <w:pStyle w:val="bodytextpsg"/>
              <w:spacing w:after="0" w:line="240" w:lineRule="auto"/>
              <w:ind w:firstLine="0"/>
              <w:jc w:val="center"/>
              <w:rPr>
                <w:rFonts w:ascii="Calibri" w:hAnsi="Calibri" w:cs="Calibri"/>
                <w:noProof/>
                <w:szCs w:val="24"/>
              </w:rPr>
            </w:pPr>
          </w:p>
        </w:tc>
        <w:tc>
          <w:tcPr>
            <w:tcW w:w="1890" w:type="dxa"/>
            <w:vAlign w:val="center"/>
          </w:tcPr>
          <w:p w14:paraId="22CC3FB3" w14:textId="6E421F8A" w:rsidR="002D25AC" w:rsidRDefault="002D25AC">
            <w:pPr>
              <w:jc w:val="center"/>
              <w:rPr>
                <w:rFonts w:ascii="Calibri" w:hAnsi="Calibri" w:cs="Calibri"/>
                <w:szCs w:val="24"/>
              </w:rPr>
            </w:pPr>
            <w:r>
              <w:rPr>
                <w:rFonts w:ascii="Calibri" w:hAnsi="Calibri" w:cs="Calibri"/>
                <w:szCs w:val="24"/>
              </w:rPr>
              <w:t>Smoker Survey (Wave D)</w:t>
            </w:r>
          </w:p>
        </w:tc>
        <w:tc>
          <w:tcPr>
            <w:tcW w:w="1620" w:type="dxa"/>
            <w:vAlign w:val="center"/>
          </w:tcPr>
          <w:p w14:paraId="10B48AC6" w14:textId="79E56D19" w:rsidR="002D25AC" w:rsidRDefault="002D25AC">
            <w:pPr>
              <w:jc w:val="center"/>
              <w:rPr>
                <w:rFonts w:ascii="Calibri" w:hAnsi="Calibri" w:cs="Calibri"/>
                <w:szCs w:val="24"/>
              </w:rPr>
            </w:pPr>
            <w:r>
              <w:rPr>
                <w:rFonts w:ascii="Calibri" w:hAnsi="Calibri"/>
                <w:color w:val="000000"/>
                <w:sz w:val="22"/>
                <w:szCs w:val="22"/>
              </w:rPr>
              <w:t>4,000</w:t>
            </w:r>
          </w:p>
        </w:tc>
        <w:tc>
          <w:tcPr>
            <w:tcW w:w="1440" w:type="dxa"/>
            <w:vAlign w:val="center"/>
          </w:tcPr>
          <w:p w14:paraId="793C921C" w14:textId="2EE51102" w:rsidR="002D25AC" w:rsidRPr="00567163" w:rsidRDefault="002D25AC">
            <w:pPr>
              <w:jc w:val="center"/>
              <w:rPr>
                <w:rFonts w:ascii="Calibri" w:hAnsi="Calibri"/>
                <w:color w:val="000000"/>
                <w:szCs w:val="24"/>
              </w:rPr>
            </w:pPr>
            <w:r>
              <w:rPr>
                <w:rFonts w:ascii="Calibri" w:hAnsi="Calibri"/>
                <w:color w:val="000000"/>
                <w:sz w:val="22"/>
                <w:szCs w:val="22"/>
              </w:rPr>
              <w:t>2,000</w:t>
            </w:r>
          </w:p>
        </w:tc>
        <w:tc>
          <w:tcPr>
            <w:tcW w:w="1157" w:type="dxa"/>
            <w:vAlign w:val="center"/>
          </w:tcPr>
          <w:p w14:paraId="23BE479E" w14:textId="37D1E83A" w:rsidR="002D25AC" w:rsidRPr="00824350"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55CE2D39" w14:textId="4919D411" w:rsidR="002D25AC" w:rsidRDefault="002D25AC">
            <w:pPr>
              <w:jc w:val="center"/>
              <w:rPr>
                <w:rFonts w:ascii="Calibri" w:hAnsi="Calibri"/>
                <w:color w:val="000000"/>
                <w:sz w:val="22"/>
                <w:szCs w:val="22"/>
              </w:rPr>
            </w:pPr>
            <w:r>
              <w:rPr>
                <w:rFonts w:ascii="Calibri" w:hAnsi="Calibri"/>
                <w:color w:val="000000"/>
                <w:sz w:val="22"/>
                <w:szCs w:val="22"/>
              </w:rPr>
              <w:t>$45,780</w:t>
            </w:r>
          </w:p>
        </w:tc>
      </w:tr>
      <w:tr w:rsidR="002D25AC" w:rsidRPr="00824350" w14:paraId="5F248375" w14:textId="77777777" w:rsidTr="00DE57A9">
        <w:tc>
          <w:tcPr>
            <w:tcW w:w="1458" w:type="dxa"/>
            <w:vMerge/>
            <w:vAlign w:val="center"/>
          </w:tcPr>
          <w:p w14:paraId="726B8F87" w14:textId="77777777" w:rsidR="002D25AC" w:rsidRPr="00824350" w:rsidRDefault="002D25AC">
            <w:pPr>
              <w:pStyle w:val="bodytextpsg"/>
              <w:spacing w:after="0" w:line="240" w:lineRule="auto"/>
              <w:ind w:firstLine="0"/>
              <w:jc w:val="center"/>
              <w:rPr>
                <w:rFonts w:ascii="Calibri" w:hAnsi="Calibri" w:cs="Calibri"/>
                <w:noProof/>
                <w:szCs w:val="24"/>
              </w:rPr>
            </w:pPr>
          </w:p>
        </w:tc>
        <w:tc>
          <w:tcPr>
            <w:tcW w:w="1890" w:type="dxa"/>
            <w:vAlign w:val="center"/>
          </w:tcPr>
          <w:p w14:paraId="236E3271" w14:textId="2744AA3A" w:rsidR="002D25AC" w:rsidRDefault="002D25AC">
            <w:pPr>
              <w:jc w:val="center"/>
              <w:rPr>
                <w:rFonts w:ascii="Calibri" w:hAnsi="Calibri" w:cs="Calibri"/>
                <w:szCs w:val="24"/>
              </w:rPr>
            </w:pPr>
            <w:r>
              <w:rPr>
                <w:rFonts w:ascii="Calibri" w:hAnsi="Calibri" w:cs="Calibri"/>
                <w:szCs w:val="24"/>
              </w:rPr>
              <w:t>Nonsmoker Survey (Wave A)</w:t>
            </w:r>
          </w:p>
        </w:tc>
        <w:tc>
          <w:tcPr>
            <w:tcW w:w="1620" w:type="dxa"/>
            <w:vAlign w:val="center"/>
          </w:tcPr>
          <w:p w14:paraId="5591F164" w14:textId="55FD5C05" w:rsidR="002D25AC" w:rsidRDefault="002D25AC">
            <w:pPr>
              <w:jc w:val="center"/>
              <w:rPr>
                <w:rFonts w:ascii="Calibri" w:hAnsi="Calibri" w:cs="Calibri"/>
                <w:szCs w:val="24"/>
              </w:rPr>
            </w:pPr>
            <w:r>
              <w:rPr>
                <w:rFonts w:ascii="Calibri" w:hAnsi="Calibri"/>
                <w:color w:val="000000"/>
                <w:sz w:val="22"/>
                <w:szCs w:val="22"/>
              </w:rPr>
              <w:t>2,500</w:t>
            </w:r>
          </w:p>
        </w:tc>
        <w:tc>
          <w:tcPr>
            <w:tcW w:w="1440" w:type="dxa"/>
            <w:vAlign w:val="center"/>
          </w:tcPr>
          <w:p w14:paraId="5AE66916" w14:textId="55A65369" w:rsidR="002D25AC" w:rsidRPr="00567163" w:rsidRDefault="002D25AC">
            <w:pPr>
              <w:jc w:val="center"/>
              <w:rPr>
                <w:rFonts w:ascii="Calibri" w:hAnsi="Calibri"/>
                <w:color w:val="000000"/>
                <w:szCs w:val="24"/>
              </w:rPr>
            </w:pPr>
            <w:r>
              <w:rPr>
                <w:rFonts w:ascii="Calibri" w:hAnsi="Calibri"/>
                <w:color w:val="000000"/>
                <w:sz w:val="22"/>
                <w:szCs w:val="22"/>
              </w:rPr>
              <w:t>1,250</w:t>
            </w:r>
          </w:p>
        </w:tc>
        <w:tc>
          <w:tcPr>
            <w:tcW w:w="1157" w:type="dxa"/>
            <w:vAlign w:val="center"/>
          </w:tcPr>
          <w:p w14:paraId="545A5013" w14:textId="0A6E7038" w:rsidR="002D25AC" w:rsidRPr="00824350"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27BED600" w14:textId="7EE965D1" w:rsidR="002D25AC" w:rsidRDefault="002D25AC">
            <w:pPr>
              <w:jc w:val="center"/>
              <w:rPr>
                <w:rFonts w:ascii="Calibri" w:hAnsi="Calibri"/>
                <w:color w:val="000000"/>
                <w:sz w:val="22"/>
                <w:szCs w:val="22"/>
              </w:rPr>
            </w:pPr>
            <w:r>
              <w:rPr>
                <w:rFonts w:ascii="Calibri" w:hAnsi="Calibri"/>
                <w:color w:val="000000"/>
                <w:sz w:val="22"/>
                <w:szCs w:val="22"/>
              </w:rPr>
              <w:t>$28,613</w:t>
            </w:r>
          </w:p>
        </w:tc>
      </w:tr>
      <w:tr w:rsidR="002D25AC" w:rsidRPr="00824350" w14:paraId="0E5D7C1C" w14:textId="77777777" w:rsidTr="00DE57A9">
        <w:tc>
          <w:tcPr>
            <w:tcW w:w="1458" w:type="dxa"/>
            <w:vMerge/>
            <w:vAlign w:val="center"/>
          </w:tcPr>
          <w:p w14:paraId="16D407F5" w14:textId="77777777" w:rsidR="002D25AC" w:rsidRPr="00824350" w:rsidRDefault="002D25AC">
            <w:pPr>
              <w:pStyle w:val="bodytextpsg"/>
              <w:spacing w:after="0" w:line="240" w:lineRule="auto"/>
              <w:ind w:firstLine="0"/>
              <w:jc w:val="center"/>
              <w:rPr>
                <w:rFonts w:ascii="Calibri" w:hAnsi="Calibri" w:cs="Calibri"/>
                <w:noProof/>
                <w:szCs w:val="24"/>
              </w:rPr>
            </w:pPr>
          </w:p>
        </w:tc>
        <w:tc>
          <w:tcPr>
            <w:tcW w:w="1890" w:type="dxa"/>
            <w:vAlign w:val="center"/>
          </w:tcPr>
          <w:p w14:paraId="5F41FD6C" w14:textId="5A66AED3" w:rsidR="002D25AC" w:rsidRDefault="002D25AC">
            <w:pPr>
              <w:jc w:val="center"/>
              <w:rPr>
                <w:rFonts w:ascii="Calibri" w:hAnsi="Calibri" w:cs="Calibri"/>
                <w:szCs w:val="24"/>
              </w:rPr>
            </w:pPr>
            <w:r>
              <w:rPr>
                <w:rFonts w:ascii="Calibri" w:hAnsi="Calibri" w:cs="Calibri"/>
                <w:szCs w:val="24"/>
              </w:rPr>
              <w:t>Nonsmoker Survey (Wave B)</w:t>
            </w:r>
          </w:p>
        </w:tc>
        <w:tc>
          <w:tcPr>
            <w:tcW w:w="1620" w:type="dxa"/>
            <w:vAlign w:val="center"/>
          </w:tcPr>
          <w:p w14:paraId="01A3F3A7" w14:textId="2CF59E0B" w:rsidR="002D25AC" w:rsidRDefault="002D25AC">
            <w:pPr>
              <w:jc w:val="center"/>
              <w:rPr>
                <w:rFonts w:ascii="Calibri" w:hAnsi="Calibri" w:cs="Calibri"/>
                <w:szCs w:val="24"/>
              </w:rPr>
            </w:pPr>
            <w:r>
              <w:rPr>
                <w:rFonts w:ascii="Calibri" w:hAnsi="Calibri"/>
                <w:color w:val="000000"/>
                <w:sz w:val="22"/>
                <w:szCs w:val="22"/>
              </w:rPr>
              <w:t>2,000</w:t>
            </w:r>
          </w:p>
        </w:tc>
        <w:tc>
          <w:tcPr>
            <w:tcW w:w="1440" w:type="dxa"/>
            <w:vAlign w:val="center"/>
          </w:tcPr>
          <w:p w14:paraId="09C6F1DD" w14:textId="2DAB4A12" w:rsidR="002D25AC" w:rsidRPr="00567163" w:rsidRDefault="002D25AC">
            <w:pPr>
              <w:jc w:val="center"/>
              <w:rPr>
                <w:rFonts w:ascii="Calibri" w:hAnsi="Calibri"/>
                <w:color w:val="000000"/>
                <w:szCs w:val="24"/>
              </w:rPr>
            </w:pPr>
            <w:r>
              <w:rPr>
                <w:rFonts w:ascii="Calibri" w:hAnsi="Calibri"/>
                <w:color w:val="000000"/>
                <w:sz w:val="22"/>
                <w:szCs w:val="22"/>
              </w:rPr>
              <w:t>1,000</w:t>
            </w:r>
          </w:p>
        </w:tc>
        <w:tc>
          <w:tcPr>
            <w:tcW w:w="1157" w:type="dxa"/>
            <w:vAlign w:val="center"/>
          </w:tcPr>
          <w:p w14:paraId="30395480" w14:textId="0137AD59" w:rsidR="002D25AC" w:rsidRPr="00824350"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226B6DBC" w14:textId="5AF3F45E" w:rsidR="002D25AC" w:rsidRDefault="002D25AC">
            <w:pPr>
              <w:jc w:val="center"/>
              <w:rPr>
                <w:rFonts w:ascii="Calibri" w:hAnsi="Calibri"/>
                <w:color w:val="000000"/>
                <w:sz w:val="22"/>
                <w:szCs w:val="22"/>
              </w:rPr>
            </w:pPr>
            <w:r>
              <w:rPr>
                <w:rFonts w:ascii="Calibri" w:hAnsi="Calibri"/>
                <w:color w:val="000000"/>
                <w:sz w:val="22"/>
                <w:szCs w:val="22"/>
              </w:rPr>
              <w:t>$22,890</w:t>
            </w:r>
          </w:p>
        </w:tc>
      </w:tr>
      <w:tr w:rsidR="002D25AC" w:rsidRPr="00824350" w14:paraId="6795AE94" w14:textId="77777777" w:rsidTr="00DE57A9">
        <w:tc>
          <w:tcPr>
            <w:tcW w:w="1458" w:type="dxa"/>
            <w:vMerge/>
            <w:vAlign w:val="center"/>
          </w:tcPr>
          <w:p w14:paraId="50318145" w14:textId="77777777" w:rsidR="002D25AC" w:rsidRPr="00824350" w:rsidRDefault="002D25AC">
            <w:pPr>
              <w:pStyle w:val="bodytextpsg"/>
              <w:spacing w:after="0" w:line="240" w:lineRule="auto"/>
              <w:ind w:firstLine="0"/>
              <w:jc w:val="center"/>
              <w:rPr>
                <w:rFonts w:ascii="Calibri" w:hAnsi="Calibri" w:cs="Calibri"/>
                <w:noProof/>
                <w:szCs w:val="24"/>
              </w:rPr>
            </w:pPr>
          </w:p>
        </w:tc>
        <w:tc>
          <w:tcPr>
            <w:tcW w:w="1890" w:type="dxa"/>
            <w:vAlign w:val="center"/>
          </w:tcPr>
          <w:p w14:paraId="16391AF2" w14:textId="3ABA16B1" w:rsidR="002D25AC" w:rsidRDefault="002D25AC">
            <w:pPr>
              <w:jc w:val="center"/>
              <w:rPr>
                <w:rFonts w:ascii="Calibri" w:hAnsi="Calibri" w:cs="Calibri"/>
                <w:szCs w:val="24"/>
              </w:rPr>
            </w:pPr>
            <w:r>
              <w:rPr>
                <w:rFonts w:ascii="Calibri" w:hAnsi="Calibri" w:cs="Calibri"/>
                <w:szCs w:val="24"/>
              </w:rPr>
              <w:t>Nonsmoker Survey (Wave C)</w:t>
            </w:r>
          </w:p>
        </w:tc>
        <w:tc>
          <w:tcPr>
            <w:tcW w:w="1620" w:type="dxa"/>
            <w:vAlign w:val="center"/>
          </w:tcPr>
          <w:p w14:paraId="27CB7874" w14:textId="1005511B" w:rsidR="002D25AC" w:rsidRDefault="002D25AC">
            <w:pPr>
              <w:jc w:val="center"/>
              <w:rPr>
                <w:rFonts w:ascii="Calibri" w:hAnsi="Calibri" w:cs="Calibri"/>
                <w:szCs w:val="24"/>
              </w:rPr>
            </w:pPr>
            <w:r>
              <w:rPr>
                <w:rFonts w:ascii="Calibri" w:hAnsi="Calibri"/>
                <w:color w:val="000000"/>
                <w:sz w:val="22"/>
                <w:szCs w:val="22"/>
              </w:rPr>
              <w:t>2,000</w:t>
            </w:r>
          </w:p>
        </w:tc>
        <w:tc>
          <w:tcPr>
            <w:tcW w:w="1440" w:type="dxa"/>
            <w:vAlign w:val="center"/>
          </w:tcPr>
          <w:p w14:paraId="43D8B901" w14:textId="61A1AF05" w:rsidR="002D25AC" w:rsidRPr="00E03FB1" w:rsidRDefault="002D25AC">
            <w:pPr>
              <w:jc w:val="center"/>
              <w:rPr>
                <w:rFonts w:asciiTheme="minorHAnsi" w:hAnsiTheme="minorHAnsi" w:cs="Courier New"/>
                <w:color w:val="000000"/>
              </w:rPr>
            </w:pPr>
            <w:r>
              <w:rPr>
                <w:rFonts w:ascii="Calibri" w:hAnsi="Calibri"/>
                <w:color w:val="000000"/>
                <w:sz w:val="22"/>
                <w:szCs w:val="22"/>
              </w:rPr>
              <w:t>1,000</w:t>
            </w:r>
          </w:p>
        </w:tc>
        <w:tc>
          <w:tcPr>
            <w:tcW w:w="1157" w:type="dxa"/>
            <w:vAlign w:val="center"/>
          </w:tcPr>
          <w:p w14:paraId="6C3E4469" w14:textId="77777777" w:rsidR="002D25AC"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2BD36350" w14:textId="5BF29449" w:rsidR="002D25AC" w:rsidRPr="001A5480" w:rsidRDefault="002D25AC">
            <w:pPr>
              <w:jc w:val="center"/>
              <w:rPr>
                <w:rFonts w:ascii="Calibri" w:hAnsi="Calibri"/>
                <w:color w:val="000000"/>
                <w:szCs w:val="24"/>
              </w:rPr>
            </w:pPr>
            <w:r>
              <w:rPr>
                <w:rFonts w:ascii="Calibri" w:hAnsi="Calibri"/>
                <w:color w:val="000000"/>
                <w:sz w:val="22"/>
                <w:szCs w:val="22"/>
              </w:rPr>
              <w:t>$22,890</w:t>
            </w:r>
          </w:p>
        </w:tc>
      </w:tr>
      <w:tr w:rsidR="002D25AC" w:rsidRPr="00824350" w14:paraId="7D4FB7BC" w14:textId="77777777" w:rsidTr="00DE57A9">
        <w:tc>
          <w:tcPr>
            <w:tcW w:w="1458" w:type="dxa"/>
            <w:vMerge/>
            <w:vAlign w:val="center"/>
          </w:tcPr>
          <w:p w14:paraId="74575EA5" w14:textId="77777777" w:rsidR="002D25AC" w:rsidRPr="00824350" w:rsidRDefault="002D25AC">
            <w:pPr>
              <w:pStyle w:val="bodytextpsg"/>
              <w:spacing w:after="0" w:line="240" w:lineRule="auto"/>
              <w:ind w:firstLine="0"/>
              <w:jc w:val="center"/>
              <w:rPr>
                <w:rFonts w:ascii="Calibri" w:hAnsi="Calibri" w:cs="Calibri"/>
                <w:noProof/>
                <w:szCs w:val="24"/>
              </w:rPr>
            </w:pPr>
          </w:p>
        </w:tc>
        <w:tc>
          <w:tcPr>
            <w:tcW w:w="1890" w:type="dxa"/>
            <w:vAlign w:val="center"/>
          </w:tcPr>
          <w:p w14:paraId="56D6DBF2" w14:textId="0E6D129E" w:rsidR="002D25AC" w:rsidRDefault="002D25AC">
            <w:pPr>
              <w:jc w:val="center"/>
              <w:rPr>
                <w:rFonts w:ascii="Calibri" w:hAnsi="Calibri" w:cs="Calibri"/>
                <w:szCs w:val="24"/>
              </w:rPr>
            </w:pPr>
            <w:r>
              <w:rPr>
                <w:rFonts w:ascii="Calibri" w:hAnsi="Calibri" w:cs="Calibri"/>
                <w:szCs w:val="24"/>
              </w:rPr>
              <w:t>Nonsmoker Survey (Wave D)</w:t>
            </w:r>
          </w:p>
        </w:tc>
        <w:tc>
          <w:tcPr>
            <w:tcW w:w="1620" w:type="dxa"/>
            <w:vAlign w:val="center"/>
          </w:tcPr>
          <w:p w14:paraId="0BC0C46F" w14:textId="096FDEE4" w:rsidR="002D25AC" w:rsidRDefault="002D25AC">
            <w:pPr>
              <w:jc w:val="center"/>
              <w:rPr>
                <w:rFonts w:ascii="Calibri" w:hAnsi="Calibri" w:cs="Calibri"/>
                <w:szCs w:val="24"/>
              </w:rPr>
            </w:pPr>
            <w:r>
              <w:rPr>
                <w:rFonts w:ascii="Calibri" w:hAnsi="Calibri"/>
                <w:color w:val="000000"/>
                <w:sz w:val="22"/>
                <w:szCs w:val="22"/>
              </w:rPr>
              <w:t>2,000</w:t>
            </w:r>
          </w:p>
        </w:tc>
        <w:tc>
          <w:tcPr>
            <w:tcW w:w="1440" w:type="dxa"/>
            <w:vAlign w:val="center"/>
          </w:tcPr>
          <w:p w14:paraId="7D3C90EA" w14:textId="7BC9B187" w:rsidR="002D25AC" w:rsidRDefault="002D25AC">
            <w:pPr>
              <w:jc w:val="center"/>
              <w:rPr>
                <w:rFonts w:asciiTheme="minorHAnsi" w:hAnsiTheme="minorHAnsi" w:cs="Courier New"/>
                <w:color w:val="000000"/>
              </w:rPr>
            </w:pPr>
            <w:r>
              <w:rPr>
                <w:rFonts w:ascii="Calibri" w:hAnsi="Calibri"/>
                <w:color w:val="000000"/>
                <w:sz w:val="22"/>
                <w:szCs w:val="22"/>
              </w:rPr>
              <w:t>1,000</w:t>
            </w:r>
          </w:p>
        </w:tc>
        <w:tc>
          <w:tcPr>
            <w:tcW w:w="1157" w:type="dxa"/>
            <w:vAlign w:val="center"/>
          </w:tcPr>
          <w:p w14:paraId="179062DD" w14:textId="77777777" w:rsidR="002D25AC" w:rsidRDefault="002D25AC">
            <w:pPr>
              <w:jc w:val="center"/>
              <w:rPr>
                <w:rFonts w:ascii="Calibri" w:hAnsi="Calibri" w:cs="Calibri"/>
                <w:szCs w:val="24"/>
              </w:rPr>
            </w:pPr>
            <w:r w:rsidRPr="00824350">
              <w:rPr>
                <w:rFonts w:ascii="Calibri" w:hAnsi="Calibri" w:cs="Calibri"/>
                <w:szCs w:val="24"/>
              </w:rPr>
              <w:t>$22.89</w:t>
            </w:r>
          </w:p>
        </w:tc>
        <w:tc>
          <w:tcPr>
            <w:tcW w:w="1543" w:type="dxa"/>
            <w:vAlign w:val="center"/>
          </w:tcPr>
          <w:p w14:paraId="192D6385" w14:textId="042FA212" w:rsidR="002D25AC" w:rsidRPr="001A5480" w:rsidRDefault="002D25AC">
            <w:pPr>
              <w:jc w:val="center"/>
              <w:rPr>
                <w:rFonts w:ascii="Calibri" w:hAnsi="Calibri"/>
                <w:color w:val="000000"/>
                <w:szCs w:val="24"/>
              </w:rPr>
            </w:pPr>
            <w:r>
              <w:rPr>
                <w:rFonts w:ascii="Calibri" w:hAnsi="Calibri"/>
                <w:color w:val="000000"/>
                <w:sz w:val="22"/>
                <w:szCs w:val="22"/>
              </w:rPr>
              <w:t>$22,890</w:t>
            </w:r>
          </w:p>
        </w:tc>
      </w:tr>
      <w:tr w:rsidR="00047A1B" w:rsidRPr="00824350" w14:paraId="5FA60BE3" w14:textId="77777777" w:rsidTr="00DE57A9">
        <w:tc>
          <w:tcPr>
            <w:tcW w:w="1458" w:type="dxa"/>
            <w:vAlign w:val="center"/>
          </w:tcPr>
          <w:p w14:paraId="7B4EBC19" w14:textId="77777777" w:rsidR="00047A1B" w:rsidRPr="00824350" w:rsidRDefault="00047A1B" w:rsidP="0085077E">
            <w:pPr>
              <w:pStyle w:val="bodytextpsg"/>
              <w:spacing w:after="0" w:line="240" w:lineRule="auto"/>
              <w:jc w:val="center"/>
              <w:rPr>
                <w:rFonts w:ascii="Calibri" w:hAnsi="Calibri" w:cs="Calibri"/>
                <w:szCs w:val="24"/>
              </w:rPr>
            </w:pPr>
          </w:p>
        </w:tc>
        <w:tc>
          <w:tcPr>
            <w:tcW w:w="6107" w:type="dxa"/>
            <w:gridSpan w:val="4"/>
            <w:vAlign w:val="center"/>
          </w:tcPr>
          <w:p w14:paraId="16930345" w14:textId="77777777" w:rsidR="00047A1B" w:rsidRPr="00824350" w:rsidRDefault="00047A1B" w:rsidP="00DE57A9">
            <w:pPr>
              <w:jc w:val="center"/>
              <w:rPr>
                <w:rFonts w:ascii="Calibri" w:hAnsi="Calibri" w:cs="Calibri"/>
                <w:szCs w:val="24"/>
              </w:rPr>
            </w:pPr>
            <w:r>
              <w:rPr>
                <w:rFonts w:ascii="Calibri" w:hAnsi="Calibri" w:cs="Calibri"/>
                <w:szCs w:val="24"/>
              </w:rPr>
              <w:t>Total</w:t>
            </w:r>
          </w:p>
        </w:tc>
        <w:tc>
          <w:tcPr>
            <w:tcW w:w="1543" w:type="dxa"/>
            <w:vAlign w:val="center"/>
          </w:tcPr>
          <w:p w14:paraId="20F12F08" w14:textId="0ECB156D" w:rsidR="00047A1B" w:rsidRPr="00824350" w:rsidRDefault="001A5480" w:rsidP="0085077E">
            <w:pPr>
              <w:jc w:val="center"/>
              <w:rPr>
                <w:rFonts w:ascii="Calibri" w:hAnsi="Calibri" w:cs="Calibri"/>
                <w:szCs w:val="24"/>
              </w:rPr>
            </w:pPr>
            <w:r>
              <w:rPr>
                <w:rFonts w:ascii="Calibri" w:hAnsi="Calibri" w:cs="Calibri"/>
                <w:szCs w:val="24"/>
              </w:rPr>
              <w:t>$</w:t>
            </w:r>
            <w:r w:rsidR="002D25AC">
              <w:rPr>
                <w:rFonts w:ascii="Calibri" w:hAnsi="Calibri" w:cs="Calibri"/>
                <w:szCs w:val="24"/>
              </w:rPr>
              <w:t>356,718</w:t>
            </w:r>
          </w:p>
        </w:tc>
      </w:tr>
    </w:tbl>
    <w:p w14:paraId="0022F656" w14:textId="77777777" w:rsidR="00047A1B" w:rsidRPr="00824350" w:rsidRDefault="00047A1B" w:rsidP="009A12DB">
      <w:pPr>
        <w:rPr>
          <w:rFonts w:ascii="Calibri" w:hAnsi="Calibri" w:cs="Calibri"/>
        </w:rPr>
      </w:pPr>
    </w:p>
    <w:bookmarkEnd w:id="7"/>
    <w:bookmarkEnd w:id="8"/>
    <w:p w14:paraId="5850DFD0" w14:textId="77777777"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31A70C9A" w14:textId="77777777"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824350">
        <w:rPr>
          <w:rFonts w:ascii="Calibri" w:hAnsi="Calibri" w:cs="Calibri"/>
          <w:b/>
          <w:szCs w:val="24"/>
        </w:rPr>
        <w:t xml:space="preserve">A.13.       Estimate of Other Total Annual Cost Burden to Respondents or Record Keepers </w:t>
      </w:r>
    </w:p>
    <w:p w14:paraId="709B303B" w14:textId="77777777" w:rsidR="0035525E" w:rsidRPr="00824350" w:rsidRDefault="0035525E" w:rsidP="007C415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0C9641CC" w14:textId="77777777" w:rsidR="0035525E" w:rsidRPr="00824350" w:rsidRDefault="0035525E" w:rsidP="004F781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cs="Calibri"/>
          <w:szCs w:val="24"/>
        </w:rPr>
      </w:pPr>
      <w:r w:rsidRPr="00824350">
        <w:rPr>
          <w:rFonts w:ascii="Calibri" w:hAnsi="Calibri" w:cs="Calibri"/>
          <w:szCs w:val="24"/>
        </w:rPr>
        <w:t>None.</w:t>
      </w:r>
    </w:p>
    <w:p w14:paraId="7B66D40C" w14:textId="77777777" w:rsidR="0035525E" w:rsidRPr="00824350" w:rsidRDefault="0035525E" w:rsidP="007C415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32E1BF41" w14:textId="77777777"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1972F3DC" w14:textId="77777777"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824350">
        <w:rPr>
          <w:rFonts w:ascii="Calibri" w:hAnsi="Calibri" w:cs="Calibri"/>
          <w:b/>
          <w:szCs w:val="24"/>
        </w:rPr>
        <w:t>A.14.       Estimates of Annualized Cost to the Federal Government</w:t>
      </w:r>
    </w:p>
    <w:p w14:paraId="6A021131" w14:textId="77777777"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6C5A6F92" w14:textId="294757A5" w:rsidR="0035525E" w:rsidRDefault="0035525E" w:rsidP="00D75C93">
      <w:pPr>
        <w:pStyle w:val="bodytextpsg"/>
        <w:spacing w:after="0" w:line="240" w:lineRule="auto"/>
        <w:rPr>
          <w:rFonts w:ascii="Calibri" w:hAnsi="Calibri" w:cs="Calibri"/>
        </w:rPr>
      </w:pPr>
      <w:r w:rsidRPr="00824350">
        <w:rPr>
          <w:rFonts w:ascii="Calibri" w:hAnsi="Calibri" w:cs="Calibri"/>
        </w:rPr>
        <w:t xml:space="preserve">This information collection is funded through a contract with RTI International.  The total estimated costs attributable to this data collection are </w:t>
      </w:r>
      <w:r w:rsidR="00322FF9">
        <w:rPr>
          <w:rFonts w:ascii="Calibri" w:hAnsi="Calibri" w:cs="Calibri"/>
        </w:rPr>
        <w:t>approximately $</w:t>
      </w:r>
      <w:r w:rsidR="00B9636F">
        <w:rPr>
          <w:rFonts w:ascii="Calibri" w:hAnsi="Calibri" w:cs="Calibri"/>
        </w:rPr>
        <w:t>6</w:t>
      </w:r>
      <w:r w:rsidR="00322FF9">
        <w:rPr>
          <w:rFonts w:ascii="Calibri" w:hAnsi="Calibri" w:cs="Calibri"/>
        </w:rPr>
        <w:t>,000,000</w:t>
      </w:r>
      <w:r w:rsidR="00D0249B">
        <w:rPr>
          <w:rFonts w:ascii="Calibri" w:hAnsi="Calibri" w:cs="Calibri"/>
        </w:rPr>
        <w:t xml:space="preserve"> </w:t>
      </w:r>
      <w:r w:rsidR="00B171F7">
        <w:rPr>
          <w:rFonts w:ascii="Calibri" w:hAnsi="Calibri" w:cs="Calibri"/>
        </w:rPr>
        <w:t xml:space="preserve">from </w:t>
      </w:r>
      <w:r w:rsidR="008C549E">
        <w:rPr>
          <w:rFonts w:ascii="Calibri" w:hAnsi="Calibri" w:cs="Calibri"/>
        </w:rPr>
        <w:t xml:space="preserve">September </w:t>
      </w:r>
      <w:r w:rsidR="00B171F7">
        <w:rPr>
          <w:rFonts w:ascii="Calibri" w:hAnsi="Calibri" w:cs="Calibri"/>
        </w:rPr>
        <w:t>2015 to</w:t>
      </w:r>
      <w:r w:rsidR="00B9636F">
        <w:rPr>
          <w:rFonts w:ascii="Calibri" w:hAnsi="Calibri" w:cs="Calibri"/>
        </w:rPr>
        <w:t xml:space="preserve"> </w:t>
      </w:r>
      <w:r w:rsidR="008C549E">
        <w:rPr>
          <w:rFonts w:ascii="Calibri" w:hAnsi="Calibri" w:cs="Calibri"/>
        </w:rPr>
        <w:t>December</w:t>
      </w:r>
      <w:r w:rsidR="002D25AC">
        <w:rPr>
          <w:rFonts w:ascii="Calibri" w:hAnsi="Calibri" w:cs="Calibri"/>
        </w:rPr>
        <w:t xml:space="preserve"> </w:t>
      </w:r>
      <w:r w:rsidR="00322FF9">
        <w:rPr>
          <w:rFonts w:ascii="Calibri" w:hAnsi="Calibri" w:cs="Calibri"/>
        </w:rPr>
        <w:t>201</w:t>
      </w:r>
      <w:r w:rsidR="00B9636F">
        <w:rPr>
          <w:rFonts w:ascii="Calibri" w:hAnsi="Calibri" w:cs="Calibri"/>
        </w:rPr>
        <w:t>6</w:t>
      </w:r>
      <w:r w:rsidR="00B171F7">
        <w:rPr>
          <w:rFonts w:ascii="Calibri" w:hAnsi="Calibri" w:cs="Calibri"/>
        </w:rPr>
        <w:t xml:space="preserve">. </w:t>
      </w:r>
      <w:r w:rsidRPr="00824350">
        <w:rPr>
          <w:rFonts w:ascii="Calibri" w:hAnsi="Calibri" w:cs="Calibri"/>
        </w:rPr>
        <w:t>There are additional contract-funded activities occurring before and after this data collection that include project planning and data analysis. Other activities outside this data collection include coordination with CDC and its media contractor; evaluation plan development; instrument development; reporting; RTI IRB</w:t>
      </w:r>
      <w:r w:rsidR="003E22D1">
        <w:rPr>
          <w:rFonts w:ascii="Calibri" w:hAnsi="Calibri" w:cs="Calibri"/>
        </w:rPr>
        <w:t>;</w:t>
      </w:r>
      <w:r w:rsidRPr="00824350">
        <w:rPr>
          <w:rFonts w:ascii="Calibri" w:hAnsi="Calibri" w:cs="Calibri"/>
        </w:rPr>
        <w:t xml:space="preserve"> and progress reporting and project management. This information collection will occur in </w:t>
      </w:r>
      <w:r w:rsidR="00B171F7">
        <w:rPr>
          <w:rFonts w:ascii="Calibri" w:hAnsi="Calibri" w:cs="Calibri"/>
        </w:rPr>
        <w:t>2015</w:t>
      </w:r>
      <w:r w:rsidR="00B9636F">
        <w:rPr>
          <w:rFonts w:ascii="Calibri" w:hAnsi="Calibri" w:cs="Calibri"/>
        </w:rPr>
        <w:t xml:space="preserve"> and</w:t>
      </w:r>
      <w:r w:rsidR="00322FF9">
        <w:rPr>
          <w:rFonts w:ascii="Calibri" w:hAnsi="Calibri" w:cs="Calibri"/>
        </w:rPr>
        <w:t xml:space="preserve"> </w:t>
      </w:r>
      <w:r w:rsidR="00D0249B">
        <w:rPr>
          <w:rFonts w:ascii="Calibri" w:hAnsi="Calibri" w:cs="Calibri"/>
        </w:rPr>
        <w:t>201</w:t>
      </w:r>
      <w:r w:rsidR="00B171F7">
        <w:rPr>
          <w:rFonts w:ascii="Calibri" w:hAnsi="Calibri" w:cs="Calibri"/>
        </w:rPr>
        <w:t>6</w:t>
      </w:r>
      <w:r w:rsidR="00322FF9">
        <w:rPr>
          <w:rFonts w:ascii="Calibri" w:hAnsi="Calibri" w:cs="Calibri"/>
        </w:rPr>
        <w:t xml:space="preserve"> </w:t>
      </w:r>
      <w:r w:rsidR="00B171F7">
        <w:rPr>
          <w:rFonts w:ascii="Calibri" w:hAnsi="Calibri" w:cs="Calibri"/>
        </w:rPr>
        <w:t xml:space="preserve">over a period of </w:t>
      </w:r>
      <w:r w:rsidR="00322FF9">
        <w:rPr>
          <w:rFonts w:ascii="Calibri" w:hAnsi="Calibri" w:cs="Calibri"/>
        </w:rPr>
        <w:t xml:space="preserve">approximately </w:t>
      </w:r>
      <w:r w:rsidR="008C549E">
        <w:rPr>
          <w:rFonts w:ascii="Calibri" w:hAnsi="Calibri" w:cs="Calibri"/>
        </w:rPr>
        <w:t xml:space="preserve">16 months in a clearance period of </w:t>
      </w:r>
      <w:r w:rsidR="002D25AC">
        <w:rPr>
          <w:rFonts w:ascii="Calibri" w:hAnsi="Calibri" w:cs="Calibri"/>
        </w:rPr>
        <w:t>2</w:t>
      </w:r>
      <w:r w:rsidR="00E513C3">
        <w:rPr>
          <w:rFonts w:ascii="Calibri" w:hAnsi="Calibri" w:cs="Calibri"/>
        </w:rPr>
        <w:t xml:space="preserve"> </w:t>
      </w:r>
      <w:r w:rsidR="00322FF9">
        <w:rPr>
          <w:rFonts w:ascii="Calibri" w:hAnsi="Calibri" w:cs="Calibri"/>
        </w:rPr>
        <w:t>year</w:t>
      </w:r>
      <w:r w:rsidR="002D25AC">
        <w:rPr>
          <w:rFonts w:ascii="Calibri" w:hAnsi="Calibri" w:cs="Calibri"/>
        </w:rPr>
        <w:t>s</w:t>
      </w:r>
      <w:r w:rsidR="00B171F7">
        <w:rPr>
          <w:rFonts w:ascii="Calibri" w:hAnsi="Calibri" w:cs="Calibri"/>
        </w:rPr>
        <w:t>. T</w:t>
      </w:r>
      <w:r w:rsidRPr="00824350">
        <w:rPr>
          <w:rFonts w:ascii="Calibri" w:hAnsi="Calibri" w:cs="Calibri"/>
        </w:rPr>
        <w:t>hus the annual cost to the Federal government is estimated to be</w:t>
      </w:r>
      <w:r w:rsidR="008B5168">
        <w:rPr>
          <w:rFonts w:ascii="Calibri" w:hAnsi="Calibri" w:cs="Calibri"/>
        </w:rPr>
        <w:t xml:space="preserve"> </w:t>
      </w:r>
      <w:r w:rsidR="008B5168" w:rsidRPr="008B5168">
        <w:rPr>
          <w:rFonts w:ascii="Calibri" w:hAnsi="Calibri" w:cs="Calibri"/>
        </w:rPr>
        <w:t>$</w:t>
      </w:r>
      <w:r w:rsidR="002D25AC">
        <w:rPr>
          <w:rFonts w:ascii="Calibri" w:hAnsi="Calibri" w:cs="Calibri"/>
        </w:rPr>
        <w:t>3,023,881</w:t>
      </w:r>
      <w:r w:rsidR="008B5168" w:rsidRPr="008B5168">
        <w:rPr>
          <w:rFonts w:ascii="Calibri" w:hAnsi="Calibri" w:cs="Calibri"/>
        </w:rPr>
        <w:t xml:space="preserve"> </w:t>
      </w:r>
      <w:r w:rsidRPr="00824350">
        <w:rPr>
          <w:rFonts w:ascii="Calibri" w:hAnsi="Calibri" w:cs="Calibri"/>
        </w:rPr>
        <w:t>($</w:t>
      </w:r>
      <w:r w:rsidR="002D25AC">
        <w:rPr>
          <w:rFonts w:ascii="Calibri" w:hAnsi="Calibri" w:cs="Calibri"/>
        </w:rPr>
        <w:t>3</w:t>
      </w:r>
      <w:r w:rsidR="00322FF9">
        <w:rPr>
          <w:rFonts w:ascii="Calibri" w:hAnsi="Calibri" w:cs="Calibri"/>
        </w:rPr>
        <w:t>,</w:t>
      </w:r>
      <w:r w:rsidR="00B9636F">
        <w:rPr>
          <w:rFonts w:ascii="Calibri" w:hAnsi="Calibri" w:cs="Calibri"/>
        </w:rPr>
        <w:t>0</w:t>
      </w:r>
      <w:r w:rsidR="003571DB">
        <w:rPr>
          <w:rFonts w:ascii="Calibri" w:hAnsi="Calibri" w:cs="Calibri"/>
        </w:rPr>
        <w:t>00</w:t>
      </w:r>
      <w:r w:rsidR="00322FF9">
        <w:rPr>
          <w:rFonts w:ascii="Calibri" w:hAnsi="Calibri" w:cs="Calibri"/>
        </w:rPr>
        <w:t>,000</w:t>
      </w:r>
      <w:r w:rsidR="00D0249B">
        <w:rPr>
          <w:rFonts w:ascii="Calibri" w:hAnsi="Calibri" w:cs="Calibri"/>
        </w:rPr>
        <w:t xml:space="preserve"> RTI cost</w:t>
      </w:r>
      <w:r w:rsidRPr="00824350">
        <w:rPr>
          <w:rFonts w:ascii="Calibri" w:hAnsi="Calibri" w:cs="Calibri"/>
        </w:rPr>
        <w:t xml:space="preserve"> + $</w:t>
      </w:r>
      <w:r w:rsidR="00322FF9">
        <w:rPr>
          <w:rFonts w:ascii="Calibri" w:hAnsi="Calibri" w:cs="Calibri"/>
        </w:rPr>
        <w:t>23,881</w:t>
      </w:r>
      <w:r w:rsidR="00C51D32" w:rsidRPr="00824350">
        <w:rPr>
          <w:rFonts w:ascii="Calibri" w:hAnsi="Calibri" w:cs="Calibri"/>
        </w:rPr>
        <w:t xml:space="preserve"> </w:t>
      </w:r>
      <w:r w:rsidRPr="00824350">
        <w:rPr>
          <w:rFonts w:ascii="Calibri" w:hAnsi="Calibri" w:cs="Calibri"/>
        </w:rPr>
        <w:t xml:space="preserve">CDC cost).  </w:t>
      </w:r>
      <w:r w:rsidR="008B5168">
        <w:rPr>
          <w:rFonts w:ascii="Calibri" w:hAnsi="Calibri" w:cs="Calibri"/>
        </w:rPr>
        <w:t>Two</w:t>
      </w:r>
      <w:r w:rsidR="008B5168" w:rsidRPr="00824350">
        <w:rPr>
          <w:rFonts w:ascii="Calibri" w:hAnsi="Calibri" w:cs="Calibri"/>
        </w:rPr>
        <w:t xml:space="preserve"> </w:t>
      </w:r>
      <w:r w:rsidRPr="00824350">
        <w:rPr>
          <w:rFonts w:ascii="Calibri" w:hAnsi="Calibri" w:cs="Calibri"/>
        </w:rPr>
        <w:t>CDC health communications specialists are responsible for overseeing the content of this information collection, overall project management, and coordination with other CDC activities.</w:t>
      </w:r>
    </w:p>
    <w:p w14:paraId="64772E05" w14:textId="77777777" w:rsidR="00B87FCE" w:rsidRPr="00824350" w:rsidRDefault="00B87FCE" w:rsidP="00B87FCE">
      <w:pPr>
        <w:pStyle w:val="bodytextpsg"/>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tblGrid>
      <w:tr w:rsidR="0035525E" w:rsidRPr="00824350" w14:paraId="286C02A1" w14:textId="77777777" w:rsidTr="00DE57A9">
        <w:trPr>
          <w:trHeight w:val="378"/>
        </w:trPr>
        <w:tc>
          <w:tcPr>
            <w:tcW w:w="7824" w:type="dxa"/>
            <w:gridSpan w:val="4"/>
            <w:vAlign w:val="center"/>
          </w:tcPr>
          <w:p w14:paraId="4B2D6AEE" w14:textId="77777777" w:rsidR="0035525E" w:rsidRPr="00824350" w:rsidRDefault="0035525E" w:rsidP="0085077E">
            <w:pPr>
              <w:pStyle w:val="bodytextpsg"/>
              <w:spacing w:line="240" w:lineRule="auto"/>
              <w:ind w:firstLine="0"/>
              <w:jc w:val="center"/>
              <w:rPr>
                <w:rFonts w:ascii="Calibri" w:hAnsi="Calibri" w:cs="Calibri"/>
              </w:rPr>
            </w:pPr>
            <w:r w:rsidRPr="00824350">
              <w:rPr>
                <w:rFonts w:ascii="Calibri" w:hAnsi="Calibri" w:cs="Calibri"/>
              </w:rPr>
              <w:t>Itemized Cost to the Federal Government</w:t>
            </w:r>
          </w:p>
        </w:tc>
      </w:tr>
      <w:tr w:rsidR="0035525E" w:rsidRPr="00824350" w14:paraId="17C467BF" w14:textId="77777777" w:rsidTr="00DE57A9">
        <w:trPr>
          <w:trHeight w:val="378"/>
        </w:trPr>
        <w:tc>
          <w:tcPr>
            <w:tcW w:w="1956" w:type="dxa"/>
            <w:vAlign w:val="center"/>
          </w:tcPr>
          <w:p w14:paraId="52ADAFFB" w14:textId="32692F15" w:rsidR="00D0249B" w:rsidRPr="00824350" w:rsidRDefault="0035525E" w:rsidP="00DE57A9">
            <w:pPr>
              <w:pStyle w:val="bodytextpsg"/>
              <w:spacing w:line="240" w:lineRule="auto"/>
              <w:ind w:firstLine="0"/>
              <w:jc w:val="center"/>
              <w:rPr>
                <w:rFonts w:ascii="Calibri" w:hAnsi="Calibri" w:cs="Calibri"/>
                <w:b/>
              </w:rPr>
            </w:pPr>
            <w:r w:rsidRPr="00B4778B">
              <w:rPr>
                <w:rFonts w:ascii="Calibri" w:hAnsi="Calibri" w:cs="Calibri"/>
                <w:b/>
              </w:rPr>
              <w:t>CDC Staff Member</w:t>
            </w:r>
          </w:p>
        </w:tc>
        <w:tc>
          <w:tcPr>
            <w:tcW w:w="1956" w:type="dxa"/>
            <w:vAlign w:val="center"/>
          </w:tcPr>
          <w:p w14:paraId="6C4513B0" w14:textId="77777777" w:rsidR="0035525E" w:rsidRPr="00824350" w:rsidRDefault="0035525E" w:rsidP="00DE57A9">
            <w:pPr>
              <w:pStyle w:val="bodytextpsg"/>
              <w:spacing w:line="240" w:lineRule="auto"/>
              <w:ind w:firstLine="0"/>
              <w:jc w:val="center"/>
              <w:rPr>
                <w:rFonts w:ascii="Calibri" w:hAnsi="Calibri" w:cs="Calibri"/>
                <w:b/>
              </w:rPr>
            </w:pPr>
            <w:r w:rsidRPr="00824350">
              <w:rPr>
                <w:rFonts w:ascii="Calibri" w:hAnsi="Calibri" w:cs="Calibri"/>
                <w:b/>
              </w:rPr>
              <w:t>Annual Salary</w:t>
            </w:r>
          </w:p>
        </w:tc>
        <w:tc>
          <w:tcPr>
            <w:tcW w:w="1956" w:type="dxa"/>
            <w:vAlign w:val="center"/>
          </w:tcPr>
          <w:p w14:paraId="3111292B" w14:textId="77777777" w:rsidR="0035525E" w:rsidRPr="00824350" w:rsidRDefault="0035525E" w:rsidP="00DE57A9">
            <w:pPr>
              <w:pStyle w:val="bodytextpsg"/>
              <w:spacing w:line="240" w:lineRule="auto"/>
              <w:ind w:firstLine="0"/>
              <w:jc w:val="center"/>
              <w:rPr>
                <w:rFonts w:ascii="Calibri" w:hAnsi="Calibri" w:cs="Calibri"/>
                <w:b/>
              </w:rPr>
            </w:pPr>
            <w:r w:rsidRPr="00824350">
              <w:rPr>
                <w:rFonts w:ascii="Calibri" w:hAnsi="Calibri" w:cs="Calibri"/>
                <w:b/>
              </w:rPr>
              <w:t>% Allocation (Annualized</w:t>
            </w:r>
            <w:r w:rsidR="00D105C4">
              <w:rPr>
                <w:rFonts w:ascii="Calibri" w:hAnsi="Calibri" w:cs="Calibri"/>
                <w:b/>
              </w:rPr>
              <w:t>)</w:t>
            </w:r>
          </w:p>
        </w:tc>
        <w:tc>
          <w:tcPr>
            <w:tcW w:w="1956" w:type="dxa"/>
            <w:vAlign w:val="center"/>
          </w:tcPr>
          <w:p w14:paraId="7A65358D" w14:textId="77777777" w:rsidR="00322FF9" w:rsidRPr="00824350" w:rsidRDefault="0035525E" w:rsidP="00DE57A9">
            <w:pPr>
              <w:pStyle w:val="bodytextpsg"/>
              <w:spacing w:line="240" w:lineRule="auto"/>
              <w:ind w:firstLine="0"/>
              <w:jc w:val="center"/>
              <w:rPr>
                <w:rFonts w:ascii="Calibri" w:hAnsi="Calibri" w:cs="Calibri"/>
                <w:b/>
              </w:rPr>
            </w:pPr>
            <w:r w:rsidRPr="00824350">
              <w:rPr>
                <w:rFonts w:ascii="Calibri" w:hAnsi="Calibri" w:cs="Calibri"/>
                <w:b/>
              </w:rPr>
              <w:t>Cos</w:t>
            </w:r>
            <w:r w:rsidR="00322FF9">
              <w:rPr>
                <w:rFonts w:ascii="Calibri" w:hAnsi="Calibri" w:cs="Calibri"/>
                <w:b/>
              </w:rPr>
              <w:t>t (Annualized)</w:t>
            </w:r>
          </w:p>
        </w:tc>
      </w:tr>
      <w:tr w:rsidR="0035525E" w:rsidRPr="00824350" w14:paraId="4B275D02" w14:textId="77777777" w:rsidTr="00DE57A9">
        <w:trPr>
          <w:trHeight w:val="378"/>
        </w:trPr>
        <w:tc>
          <w:tcPr>
            <w:tcW w:w="1956" w:type="dxa"/>
            <w:vAlign w:val="center"/>
          </w:tcPr>
          <w:p w14:paraId="64CCD83C" w14:textId="77777777"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rPr>
              <w:t>GS-1</w:t>
            </w:r>
            <w:r w:rsidR="00E17C87">
              <w:rPr>
                <w:rFonts w:ascii="Calibri" w:hAnsi="Calibri" w:cs="Calibri"/>
              </w:rPr>
              <w:t>2</w:t>
            </w:r>
          </w:p>
        </w:tc>
        <w:tc>
          <w:tcPr>
            <w:tcW w:w="1956" w:type="dxa"/>
            <w:vAlign w:val="center"/>
          </w:tcPr>
          <w:p w14:paraId="21906B70" w14:textId="0840085B"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rPr>
              <w:t>$</w:t>
            </w:r>
            <w:r w:rsidR="003E22D1">
              <w:rPr>
                <w:rFonts w:ascii="Calibri" w:hAnsi="Calibri" w:cs="Calibri"/>
              </w:rPr>
              <w:t>72,620</w:t>
            </w:r>
          </w:p>
        </w:tc>
        <w:tc>
          <w:tcPr>
            <w:tcW w:w="1956" w:type="dxa"/>
            <w:vAlign w:val="center"/>
          </w:tcPr>
          <w:p w14:paraId="3C7661E8" w14:textId="77777777" w:rsidR="0035525E" w:rsidRPr="00824350" w:rsidRDefault="007D23A3" w:rsidP="00DE57A9">
            <w:pPr>
              <w:pStyle w:val="bodytextpsg"/>
              <w:spacing w:line="240" w:lineRule="auto"/>
              <w:ind w:firstLine="0"/>
              <w:jc w:val="center"/>
              <w:rPr>
                <w:rFonts w:ascii="Calibri" w:hAnsi="Calibri" w:cs="Calibri"/>
              </w:rPr>
            </w:pPr>
            <w:r>
              <w:rPr>
                <w:rFonts w:ascii="Calibri" w:hAnsi="Calibri" w:cs="Calibri"/>
              </w:rPr>
              <w:t>2</w:t>
            </w:r>
            <w:r w:rsidR="0035525E" w:rsidRPr="00824350">
              <w:rPr>
                <w:rFonts w:ascii="Calibri" w:hAnsi="Calibri" w:cs="Calibri"/>
              </w:rPr>
              <w:t>5%</w:t>
            </w:r>
          </w:p>
        </w:tc>
        <w:tc>
          <w:tcPr>
            <w:tcW w:w="1956" w:type="dxa"/>
            <w:vAlign w:val="center"/>
          </w:tcPr>
          <w:p w14:paraId="2496E04B" w14:textId="162BCDDB"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rPr>
              <w:t>$</w:t>
            </w:r>
            <w:r w:rsidR="003E22D1">
              <w:rPr>
                <w:rFonts w:ascii="Calibri" w:hAnsi="Calibri" w:cs="Calibri"/>
              </w:rPr>
              <w:t>18,155</w:t>
            </w:r>
          </w:p>
        </w:tc>
      </w:tr>
      <w:tr w:rsidR="0035525E" w:rsidRPr="00824350" w14:paraId="084A68EF" w14:textId="77777777" w:rsidTr="00DE57A9">
        <w:trPr>
          <w:trHeight w:val="390"/>
        </w:trPr>
        <w:tc>
          <w:tcPr>
            <w:tcW w:w="1956" w:type="dxa"/>
            <w:vAlign w:val="center"/>
          </w:tcPr>
          <w:p w14:paraId="402805AB" w14:textId="77777777"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rPr>
              <w:t>GS-14</w:t>
            </w:r>
          </w:p>
        </w:tc>
        <w:tc>
          <w:tcPr>
            <w:tcW w:w="1956" w:type="dxa"/>
            <w:vAlign w:val="center"/>
          </w:tcPr>
          <w:p w14:paraId="5A6E5932" w14:textId="77777777"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rPr>
              <w:t>$</w:t>
            </w:r>
            <w:r w:rsidR="00B171F7">
              <w:rPr>
                <w:rFonts w:ascii="Calibri" w:hAnsi="Calibri" w:cs="Calibri"/>
              </w:rPr>
              <w:t>114,505</w:t>
            </w:r>
          </w:p>
        </w:tc>
        <w:tc>
          <w:tcPr>
            <w:tcW w:w="1956" w:type="dxa"/>
            <w:vAlign w:val="center"/>
          </w:tcPr>
          <w:p w14:paraId="5660B877" w14:textId="77777777"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rPr>
              <w:t>5%</w:t>
            </w:r>
          </w:p>
        </w:tc>
        <w:tc>
          <w:tcPr>
            <w:tcW w:w="1956" w:type="dxa"/>
            <w:vAlign w:val="center"/>
          </w:tcPr>
          <w:p w14:paraId="57919D3F" w14:textId="704017D9"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rPr>
              <w:t>$5,</w:t>
            </w:r>
            <w:r w:rsidR="00B171F7">
              <w:rPr>
                <w:rFonts w:ascii="Calibri" w:hAnsi="Calibri" w:cs="Calibri"/>
              </w:rPr>
              <w:t>726</w:t>
            </w:r>
          </w:p>
        </w:tc>
      </w:tr>
      <w:tr w:rsidR="0035525E" w:rsidRPr="00824350" w14:paraId="4B2006DF" w14:textId="77777777" w:rsidTr="00DE57A9">
        <w:trPr>
          <w:trHeight w:val="390"/>
        </w:trPr>
        <w:tc>
          <w:tcPr>
            <w:tcW w:w="1956" w:type="dxa"/>
            <w:vAlign w:val="center"/>
          </w:tcPr>
          <w:p w14:paraId="29A853A5" w14:textId="77777777" w:rsidR="0035525E" w:rsidRPr="00824350" w:rsidRDefault="0035525E" w:rsidP="00DE57A9">
            <w:pPr>
              <w:pStyle w:val="bodytextpsg"/>
              <w:spacing w:line="240" w:lineRule="auto"/>
              <w:ind w:firstLine="0"/>
              <w:jc w:val="center"/>
              <w:rPr>
                <w:rFonts w:ascii="Calibri" w:hAnsi="Calibri" w:cs="Calibri"/>
                <w:b/>
              </w:rPr>
            </w:pPr>
          </w:p>
        </w:tc>
        <w:tc>
          <w:tcPr>
            <w:tcW w:w="1956" w:type="dxa"/>
            <w:vAlign w:val="center"/>
          </w:tcPr>
          <w:p w14:paraId="399DAAF9" w14:textId="77777777" w:rsidR="0035525E" w:rsidRPr="00824350" w:rsidRDefault="0035525E" w:rsidP="00DE57A9">
            <w:pPr>
              <w:pStyle w:val="bodytextpsg"/>
              <w:spacing w:line="240" w:lineRule="auto"/>
              <w:ind w:firstLine="0"/>
              <w:jc w:val="center"/>
              <w:rPr>
                <w:rFonts w:ascii="Calibri" w:hAnsi="Calibri" w:cs="Calibri"/>
              </w:rPr>
            </w:pPr>
          </w:p>
        </w:tc>
        <w:tc>
          <w:tcPr>
            <w:tcW w:w="1956" w:type="dxa"/>
            <w:vAlign w:val="center"/>
          </w:tcPr>
          <w:p w14:paraId="70B4D79D" w14:textId="77777777"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b/>
              </w:rPr>
              <w:t>Subtotal, CDC Personnel</w:t>
            </w:r>
          </w:p>
        </w:tc>
        <w:tc>
          <w:tcPr>
            <w:tcW w:w="1956" w:type="dxa"/>
            <w:vAlign w:val="center"/>
          </w:tcPr>
          <w:p w14:paraId="64C094F9" w14:textId="597D0130" w:rsidR="0035525E" w:rsidRPr="00824350" w:rsidRDefault="0035525E" w:rsidP="00DE57A9">
            <w:pPr>
              <w:pStyle w:val="bodytextpsg"/>
              <w:tabs>
                <w:tab w:val="right" w:pos="9350"/>
              </w:tabs>
              <w:autoSpaceDE w:val="0"/>
              <w:autoSpaceDN w:val="0"/>
              <w:adjustRightInd w:val="0"/>
              <w:spacing w:line="240" w:lineRule="auto"/>
              <w:ind w:firstLine="0"/>
              <w:jc w:val="center"/>
              <w:rPr>
                <w:rFonts w:ascii="Calibri" w:hAnsi="Calibri" w:cs="Calibri"/>
                <w:b/>
              </w:rPr>
            </w:pPr>
            <w:r w:rsidRPr="00824350">
              <w:rPr>
                <w:rFonts w:ascii="Calibri" w:hAnsi="Calibri" w:cs="Calibri"/>
                <w:b/>
              </w:rPr>
              <w:t>$</w:t>
            </w:r>
            <w:r w:rsidR="003E22D1">
              <w:rPr>
                <w:rFonts w:ascii="Calibri" w:hAnsi="Calibri" w:cs="Calibri"/>
                <w:b/>
              </w:rPr>
              <w:t>23,881</w:t>
            </w:r>
          </w:p>
        </w:tc>
      </w:tr>
      <w:tr w:rsidR="0035525E" w:rsidRPr="00824350" w14:paraId="63991AC0" w14:textId="77777777" w:rsidTr="00DE57A9">
        <w:trPr>
          <w:trHeight w:val="390"/>
        </w:trPr>
        <w:tc>
          <w:tcPr>
            <w:tcW w:w="1956" w:type="dxa"/>
            <w:vAlign w:val="center"/>
          </w:tcPr>
          <w:p w14:paraId="26B480DD" w14:textId="77777777" w:rsidR="0035525E" w:rsidRPr="00824350" w:rsidRDefault="0035525E" w:rsidP="00DE57A9">
            <w:pPr>
              <w:pStyle w:val="bodytextpsg"/>
              <w:spacing w:line="240" w:lineRule="auto"/>
              <w:ind w:firstLine="0"/>
              <w:jc w:val="center"/>
              <w:rPr>
                <w:rFonts w:ascii="Calibri" w:hAnsi="Calibri" w:cs="Calibri"/>
                <w:b/>
              </w:rPr>
            </w:pPr>
            <w:r w:rsidRPr="00824350">
              <w:rPr>
                <w:rFonts w:ascii="Calibri" w:hAnsi="Calibri" w:cs="Calibri"/>
                <w:b/>
              </w:rPr>
              <w:t>Contractual Costs for Data Collection and Management (RTI)</w:t>
            </w:r>
          </w:p>
        </w:tc>
        <w:tc>
          <w:tcPr>
            <w:tcW w:w="1956" w:type="dxa"/>
            <w:vAlign w:val="center"/>
          </w:tcPr>
          <w:p w14:paraId="75C06EAE" w14:textId="77777777" w:rsidR="0035525E" w:rsidRPr="00824350" w:rsidRDefault="0035525E" w:rsidP="00DE57A9">
            <w:pPr>
              <w:pStyle w:val="bodytextpsg"/>
              <w:spacing w:line="240" w:lineRule="auto"/>
              <w:ind w:firstLine="0"/>
              <w:jc w:val="center"/>
              <w:rPr>
                <w:rFonts w:ascii="Calibri" w:hAnsi="Calibri" w:cs="Calibri"/>
              </w:rPr>
            </w:pPr>
          </w:p>
        </w:tc>
        <w:tc>
          <w:tcPr>
            <w:tcW w:w="1956" w:type="dxa"/>
            <w:vAlign w:val="center"/>
          </w:tcPr>
          <w:p w14:paraId="72630597" w14:textId="77777777" w:rsidR="0035525E" w:rsidRPr="00824350" w:rsidRDefault="0035525E" w:rsidP="00DE57A9">
            <w:pPr>
              <w:pStyle w:val="bodytextpsg"/>
              <w:spacing w:line="240" w:lineRule="auto"/>
              <w:ind w:firstLine="0"/>
              <w:jc w:val="center"/>
              <w:rPr>
                <w:rFonts w:ascii="Calibri" w:hAnsi="Calibri" w:cs="Calibri"/>
                <w:b/>
              </w:rPr>
            </w:pPr>
            <w:r w:rsidRPr="00824350">
              <w:rPr>
                <w:rFonts w:ascii="Calibri" w:hAnsi="Calibri" w:cs="Calibri"/>
                <w:b/>
              </w:rPr>
              <w:t>Subtotal, Contractual Costs</w:t>
            </w:r>
          </w:p>
        </w:tc>
        <w:tc>
          <w:tcPr>
            <w:tcW w:w="1956" w:type="dxa"/>
            <w:vAlign w:val="center"/>
          </w:tcPr>
          <w:p w14:paraId="5BDA5FC6" w14:textId="2BA36881" w:rsidR="0035525E" w:rsidRPr="00824350" w:rsidRDefault="0035525E" w:rsidP="00DE57A9">
            <w:pPr>
              <w:pStyle w:val="bodytextpsg"/>
              <w:tabs>
                <w:tab w:val="right" w:pos="9350"/>
              </w:tabs>
              <w:autoSpaceDE w:val="0"/>
              <w:autoSpaceDN w:val="0"/>
              <w:adjustRightInd w:val="0"/>
              <w:spacing w:line="240" w:lineRule="auto"/>
              <w:ind w:firstLine="0"/>
              <w:jc w:val="center"/>
              <w:rPr>
                <w:rFonts w:ascii="Calibri" w:hAnsi="Calibri" w:cs="Calibri"/>
                <w:b/>
              </w:rPr>
            </w:pPr>
            <w:r w:rsidRPr="00824350">
              <w:rPr>
                <w:rFonts w:ascii="Calibri" w:hAnsi="Calibri" w:cs="Calibri"/>
                <w:b/>
              </w:rPr>
              <w:t>$</w:t>
            </w:r>
            <w:r w:rsidR="002D25AC">
              <w:rPr>
                <w:rFonts w:ascii="Calibri" w:hAnsi="Calibri" w:cs="Calibri"/>
                <w:b/>
              </w:rPr>
              <w:t>3,000,000</w:t>
            </w:r>
          </w:p>
        </w:tc>
      </w:tr>
      <w:tr w:rsidR="0035525E" w:rsidRPr="00824350" w14:paraId="4F3E78EE" w14:textId="77777777" w:rsidTr="00DE57A9">
        <w:trPr>
          <w:trHeight w:val="390"/>
        </w:trPr>
        <w:tc>
          <w:tcPr>
            <w:tcW w:w="1956" w:type="dxa"/>
            <w:vAlign w:val="center"/>
          </w:tcPr>
          <w:p w14:paraId="03A42034" w14:textId="77777777" w:rsidR="0035525E" w:rsidRPr="00824350" w:rsidRDefault="0035525E" w:rsidP="00DE57A9">
            <w:pPr>
              <w:pStyle w:val="bodytextpsg"/>
              <w:spacing w:line="240" w:lineRule="auto"/>
              <w:ind w:firstLine="0"/>
              <w:jc w:val="center"/>
              <w:rPr>
                <w:rFonts w:ascii="Calibri" w:hAnsi="Calibri" w:cs="Calibri"/>
                <w:b/>
              </w:rPr>
            </w:pPr>
          </w:p>
        </w:tc>
        <w:tc>
          <w:tcPr>
            <w:tcW w:w="1956" w:type="dxa"/>
            <w:vAlign w:val="center"/>
          </w:tcPr>
          <w:p w14:paraId="4A74264F" w14:textId="77777777" w:rsidR="0035525E" w:rsidRPr="00824350" w:rsidRDefault="0035525E" w:rsidP="00DE57A9">
            <w:pPr>
              <w:pStyle w:val="bodytextpsg"/>
              <w:spacing w:line="240" w:lineRule="auto"/>
              <w:ind w:firstLine="0"/>
              <w:jc w:val="center"/>
              <w:rPr>
                <w:rFonts w:ascii="Calibri" w:hAnsi="Calibri" w:cs="Calibri"/>
              </w:rPr>
            </w:pPr>
          </w:p>
        </w:tc>
        <w:tc>
          <w:tcPr>
            <w:tcW w:w="1956" w:type="dxa"/>
            <w:vAlign w:val="center"/>
          </w:tcPr>
          <w:p w14:paraId="64EE801C" w14:textId="77777777" w:rsidR="0035525E" w:rsidRPr="00824350" w:rsidRDefault="0035525E" w:rsidP="00DE57A9">
            <w:pPr>
              <w:pStyle w:val="bodytextpsg"/>
              <w:spacing w:line="240" w:lineRule="auto"/>
              <w:ind w:firstLine="0"/>
              <w:jc w:val="center"/>
              <w:rPr>
                <w:rFonts w:ascii="Calibri" w:hAnsi="Calibri" w:cs="Calibri"/>
              </w:rPr>
            </w:pPr>
            <w:r w:rsidRPr="00824350">
              <w:rPr>
                <w:rFonts w:ascii="Calibri" w:hAnsi="Calibri" w:cs="Calibri"/>
              </w:rPr>
              <w:t>Total</w:t>
            </w:r>
          </w:p>
        </w:tc>
        <w:tc>
          <w:tcPr>
            <w:tcW w:w="1956" w:type="dxa"/>
            <w:vAlign w:val="center"/>
          </w:tcPr>
          <w:p w14:paraId="2CB5A317" w14:textId="36ECDD14" w:rsidR="0035525E" w:rsidRPr="00824350" w:rsidRDefault="0035525E" w:rsidP="00DE57A9">
            <w:pPr>
              <w:pStyle w:val="bodytextpsg"/>
              <w:tabs>
                <w:tab w:val="right" w:pos="9350"/>
              </w:tabs>
              <w:autoSpaceDE w:val="0"/>
              <w:autoSpaceDN w:val="0"/>
              <w:adjustRightInd w:val="0"/>
              <w:spacing w:line="240" w:lineRule="auto"/>
              <w:ind w:firstLine="0"/>
              <w:jc w:val="center"/>
              <w:rPr>
                <w:rFonts w:ascii="Calibri" w:hAnsi="Calibri" w:cs="Calibri"/>
                <w:b/>
              </w:rPr>
            </w:pPr>
            <w:r w:rsidRPr="00824350">
              <w:rPr>
                <w:rFonts w:ascii="Calibri" w:hAnsi="Calibri" w:cs="Calibri"/>
                <w:b/>
              </w:rPr>
              <w:t>$</w:t>
            </w:r>
            <w:r w:rsidR="002D25AC">
              <w:rPr>
                <w:rFonts w:ascii="Calibri" w:hAnsi="Calibri" w:cs="Calibri"/>
                <w:b/>
              </w:rPr>
              <w:t>3,023,881</w:t>
            </w:r>
          </w:p>
        </w:tc>
      </w:tr>
    </w:tbl>
    <w:p w14:paraId="2AB2188E" w14:textId="77777777" w:rsidR="0035525E" w:rsidRPr="00824350" w:rsidRDefault="0035525E" w:rsidP="00BD7DF9">
      <w:pPr>
        <w:pStyle w:val="bodytextpsg"/>
        <w:rPr>
          <w:rFonts w:ascii="Calibri" w:hAnsi="Calibri" w:cs="Calibri"/>
        </w:rPr>
      </w:pPr>
    </w:p>
    <w:p w14:paraId="0D64CE1D" w14:textId="77777777" w:rsidR="00E032BC" w:rsidRPr="00824350" w:rsidRDefault="00E032BC" w:rsidP="00E03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824350">
        <w:rPr>
          <w:rFonts w:ascii="Calibri" w:hAnsi="Calibri" w:cs="Calibri"/>
          <w:b/>
          <w:szCs w:val="24"/>
        </w:rPr>
        <w:t>A.15.       Explanation for Program Changes or Adjustments</w:t>
      </w:r>
    </w:p>
    <w:p w14:paraId="6F43EFCC" w14:textId="77777777" w:rsidR="00E032BC" w:rsidRDefault="00E032BC" w:rsidP="00E032B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rPr>
      </w:pPr>
    </w:p>
    <w:p w14:paraId="1C5346F8" w14:textId="77777777" w:rsidR="00E032BC" w:rsidRPr="00322FF9" w:rsidRDefault="00322FF9"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szCs w:val="24"/>
        </w:rPr>
      </w:pPr>
      <w:r>
        <w:rPr>
          <w:rFonts w:ascii="Calibri" w:hAnsi="Calibri" w:cs="Calibri"/>
          <w:szCs w:val="24"/>
        </w:rPr>
        <w:tab/>
        <w:t>None. This is a new information collection request.</w:t>
      </w:r>
    </w:p>
    <w:p w14:paraId="41D65443" w14:textId="77777777" w:rsidR="00E032BC" w:rsidRDefault="00E032B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b/>
          <w:szCs w:val="24"/>
        </w:rPr>
      </w:pPr>
    </w:p>
    <w:p w14:paraId="566B62B5" w14:textId="77777777"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szCs w:val="24"/>
        </w:rPr>
      </w:pPr>
      <w:r w:rsidRPr="00F46078">
        <w:rPr>
          <w:rFonts w:ascii="Calibri" w:hAnsi="Calibri" w:cs="Calibri"/>
          <w:b/>
          <w:szCs w:val="24"/>
        </w:rPr>
        <w:t>A.16.       Plans for Tabulation and Publication and Project Time Schedule</w:t>
      </w:r>
    </w:p>
    <w:p w14:paraId="70B6A7D2" w14:textId="77777777"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2A511CF9" w14:textId="77777777" w:rsidR="0035525E" w:rsidRPr="00824350" w:rsidRDefault="0035525E" w:rsidP="007C4151">
      <w:pPr>
        <w:pStyle w:val="bodytextpsg"/>
        <w:spacing w:after="0" w:line="240" w:lineRule="auto"/>
        <w:rPr>
          <w:rFonts w:ascii="Calibri" w:hAnsi="Calibri" w:cs="Calibri"/>
        </w:rPr>
      </w:pPr>
      <w:r w:rsidRPr="00824350">
        <w:rPr>
          <w:rFonts w:ascii="Calibri" w:hAnsi="Calibri" w:cs="Calibri"/>
        </w:rPr>
        <w:t xml:space="preserve">Data from this information collection will be used to estimate awareness of and exposure to The Campaign among </w:t>
      </w:r>
      <w:r>
        <w:rPr>
          <w:rFonts w:ascii="Calibri" w:hAnsi="Calibri" w:cs="Calibri"/>
        </w:rPr>
        <w:t xml:space="preserve">a geographically and demographically varied population of </w:t>
      </w:r>
      <w:r w:rsidRPr="00824350">
        <w:rPr>
          <w:rFonts w:ascii="Calibri" w:hAnsi="Calibri" w:cs="Calibri"/>
        </w:rPr>
        <w:t xml:space="preserve">smokers and </w:t>
      </w:r>
      <w:r w:rsidR="00D94E8D">
        <w:rPr>
          <w:rFonts w:ascii="Calibri" w:hAnsi="Calibri" w:cs="Calibri"/>
        </w:rPr>
        <w:t>nonsmoker</w:t>
      </w:r>
      <w:r w:rsidRPr="00824350">
        <w:rPr>
          <w:rFonts w:ascii="Calibri" w:hAnsi="Calibri" w:cs="Calibri"/>
        </w:rPr>
        <w:t>s</w:t>
      </w:r>
      <w:r>
        <w:rPr>
          <w:rFonts w:ascii="Calibri" w:hAnsi="Calibri" w:cs="Calibri"/>
        </w:rPr>
        <w:t xml:space="preserve"> in the U</w:t>
      </w:r>
      <w:r w:rsidR="0058215D">
        <w:rPr>
          <w:rFonts w:ascii="Calibri" w:hAnsi="Calibri" w:cs="Calibri"/>
        </w:rPr>
        <w:t xml:space="preserve">nited </w:t>
      </w:r>
      <w:r>
        <w:rPr>
          <w:rFonts w:ascii="Calibri" w:hAnsi="Calibri" w:cs="Calibri"/>
        </w:rPr>
        <w:t>S</w:t>
      </w:r>
      <w:r w:rsidR="0058215D">
        <w:rPr>
          <w:rFonts w:ascii="Calibri" w:hAnsi="Calibri" w:cs="Calibri"/>
        </w:rPr>
        <w:t>tates</w:t>
      </w:r>
      <w:r w:rsidRPr="00824350">
        <w:rPr>
          <w:rFonts w:ascii="Calibri" w:hAnsi="Calibri" w:cs="Calibri"/>
        </w:rPr>
        <w:t xml:space="preserve">. </w:t>
      </w:r>
      <w:r>
        <w:rPr>
          <w:rFonts w:ascii="Calibri" w:hAnsi="Calibri" w:cs="Calibri"/>
        </w:rPr>
        <w:t xml:space="preserve"> </w:t>
      </w:r>
      <w:r w:rsidRPr="00824350">
        <w:rPr>
          <w:rFonts w:ascii="Calibri" w:hAnsi="Calibri" w:cs="Calibri"/>
        </w:rPr>
        <w:t xml:space="preserve">These estimates will take the form of self-reported ad recognition and recall that assess </w:t>
      </w:r>
      <w:r w:rsidR="00BB340F">
        <w:rPr>
          <w:rFonts w:ascii="Calibri" w:hAnsi="Calibri" w:cs="Calibri"/>
        </w:rPr>
        <w:t>exposure to and</w:t>
      </w:r>
      <w:r w:rsidRPr="00824350">
        <w:rPr>
          <w:rFonts w:ascii="Calibri" w:hAnsi="Calibri" w:cs="Calibri"/>
        </w:rPr>
        <w:t xml:space="preserve"> frequency of ad exposure. These estimates will also be calculated separately for each specific Campaign advertisement. Data from this information collection will also be used to examine statistical associations between exposure to The Campaign and changes in specific outcomes of interest</w:t>
      </w:r>
      <w:r w:rsidR="00D0249B">
        <w:rPr>
          <w:rFonts w:ascii="Calibri" w:hAnsi="Calibri" w:cs="Calibri"/>
        </w:rPr>
        <w:t xml:space="preserve"> including the prevalence of quit attempts</w:t>
      </w:r>
      <w:r w:rsidR="0058215D">
        <w:rPr>
          <w:rFonts w:ascii="Calibri" w:hAnsi="Calibri" w:cs="Calibri"/>
        </w:rPr>
        <w:t>;</w:t>
      </w:r>
      <w:r w:rsidR="006447E5">
        <w:rPr>
          <w:rFonts w:ascii="Calibri" w:hAnsi="Calibri" w:cs="Calibri"/>
        </w:rPr>
        <w:t xml:space="preserve"> consumption of cigarettes and other tobacco and nicotine products </w:t>
      </w:r>
      <w:r w:rsidR="00D0249B">
        <w:rPr>
          <w:rFonts w:ascii="Calibri" w:hAnsi="Calibri" w:cs="Calibri"/>
        </w:rPr>
        <w:t>among smokers</w:t>
      </w:r>
      <w:r w:rsidR="0058215D">
        <w:rPr>
          <w:rFonts w:ascii="Calibri" w:hAnsi="Calibri" w:cs="Calibri"/>
        </w:rPr>
        <w:t>;</w:t>
      </w:r>
      <w:r w:rsidR="00D0249B">
        <w:rPr>
          <w:rFonts w:ascii="Calibri" w:hAnsi="Calibri" w:cs="Calibri"/>
        </w:rPr>
        <w:t xml:space="preserve"> knowledge, attitudes, and beliefs related to smoking</w:t>
      </w:r>
      <w:r w:rsidR="0058215D">
        <w:rPr>
          <w:rFonts w:ascii="Calibri" w:hAnsi="Calibri" w:cs="Calibri"/>
        </w:rPr>
        <w:t>;</w:t>
      </w:r>
      <w:r w:rsidR="00D0249B">
        <w:rPr>
          <w:rFonts w:ascii="Calibri" w:hAnsi="Calibri" w:cs="Calibri"/>
        </w:rPr>
        <w:t xml:space="preserve"> and </w:t>
      </w:r>
      <w:r w:rsidR="00D94E8D">
        <w:rPr>
          <w:rFonts w:ascii="Calibri" w:hAnsi="Calibri" w:cs="Calibri"/>
        </w:rPr>
        <w:t>nonsmoker</w:t>
      </w:r>
      <w:r w:rsidR="00D0249B">
        <w:rPr>
          <w:rFonts w:ascii="Calibri" w:hAnsi="Calibri" w:cs="Calibri"/>
        </w:rPr>
        <w:t>s’ referrals of friends and family who smoke to cessation services</w:t>
      </w:r>
      <w:r w:rsidRPr="00824350">
        <w:rPr>
          <w:rFonts w:ascii="Calibri" w:hAnsi="Calibri" w:cs="Calibri"/>
        </w:rPr>
        <w:t xml:space="preserve">. </w:t>
      </w:r>
      <w:r w:rsidR="00380017">
        <w:rPr>
          <w:rFonts w:ascii="Calibri" w:hAnsi="Calibri" w:cs="Calibri"/>
        </w:rPr>
        <w:t>As noted</w:t>
      </w:r>
      <w:r w:rsidRPr="006B07E0">
        <w:rPr>
          <w:rFonts w:ascii="Calibri" w:hAnsi="Calibri" w:cs="Calibri"/>
        </w:rPr>
        <w:t xml:space="preserve"> elsewhere in this information collection request, national estimates of </w:t>
      </w:r>
      <w:r w:rsidR="00380017">
        <w:rPr>
          <w:rFonts w:ascii="Calibri" w:hAnsi="Calibri" w:cs="Calibri"/>
        </w:rPr>
        <w:t xml:space="preserve">changes in </w:t>
      </w:r>
      <w:r w:rsidRPr="006B07E0">
        <w:rPr>
          <w:rFonts w:ascii="Calibri" w:hAnsi="Calibri" w:cs="Calibri"/>
        </w:rPr>
        <w:t xml:space="preserve">these outcomes will be derived from the </w:t>
      </w:r>
      <w:r w:rsidR="00380017">
        <w:rPr>
          <w:rFonts w:ascii="Calibri" w:hAnsi="Calibri" w:cs="Calibri"/>
        </w:rPr>
        <w:t xml:space="preserve">ABS-sourced samples of smokers and </w:t>
      </w:r>
      <w:r w:rsidR="00D94E8D">
        <w:rPr>
          <w:rFonts w:ascii="Calibri" w:hAnsi="Calibri" w:cs="Calibri"/>
        </w:rPr>
        <w:t>nonsmoker</w:t>
      </w:r>
      <w:r w:rsidR="00380017">
        <w:rPr>
          <w:rFonts w:ascii="Calibri" w:hAnsi="Calibri" w:cs="Calibri"/>
        </w:rPr>
        <w:t>s. The combined ABS and Knowledge</w:t>
      </w:r>
      <w:r w:rsidR="00636AAE">
        <w:rPr>
          <w:rFonts w:ascii="Calibri" w:hAnsi="Calibri" w:cs="Calibri"/>
        </w:rPr>
        <w:t>P</w:t>
      </w:r>
      <w:r w:rsidR="00380017">
        <w:rPr>
          <w:rFonts w:ascii="Calibri" w:hAnsi="Calibri" w:cs="Calibri"/>
        </w:rPr>
        <w:t xml:space="preserve">anel samples of smokers and </w:t>
      </w:r>
      <w:r w:rsidR="00D94E8D">
        <w:rPr>
          <w:rFonts w:ascii="Calibri" w:hAnsi="Calibri" w:cs="Calibri"/>
        </w:rPr>
        <w:t>nonsmoker</w:t>
      </w:r>
      <w:r w:rsidR="00380017">
        <w:rPr>
          <w:rFonts w:ascii="Calibri" w:hAnsi="Calibri" w:cs="Calibri"/>
        </w:rPr>
        <w:t xml:space="preserve">s will be utilized to generate more detailed estimates of these outcomes among smaller subgroups of interest, including those by race/ethnicity, income, education, and other characteristics. </w:t>
      </w:r>
      <w:r w:rsidR="00AF5879">
        <w:rPr>
          <w:rFonts w:ascii="Calibri" w:hAnsi="Calibri" w:cs="Calibri"/>
        </w:rPr>
        <w:t xml:space="preserve">This is necessary to assess quit behavior patterns and potential aides and barriers to quitting among subgroups.  </w:t>
      </w:r>
    </w:p>
    <w:p w14:paraId="04D155B3" w14:textId="77777777" w:rsidR="007C4151" w:rsidRDefault="007C4151" w:rsidP="007C4151">
      <w:pPr>
        <w:pStyle w:val="bodytextpsg"/>
        <w:spacing w:after="0" w:line="240" w:lineRule="auto"/>
        <w:rPr>
          <w:rFonts w:ascii="Calibri" w:hAnsi="Calibri" w:cs="Calibri"/>
        </w:rPr>
      </w:pPr>
    </w:p>
    <w:p w14:paraId="6DD17450" w14:textId="77777777" w:rsidR="0035525E" w:rsidRDefault="0035525E" w:rsidP="007C4151">
      <w:pPr>
        <w:pStyle w:val="bodytextpsg"/>
        <w:spacing w:after="0" w:line="240" w:lineRule="auto"/>
        <w:rPr>
          <w:rFonts w:ascii="Calibri" w:hAnsi="Calibri" w:cs="Calibri"/>
        </w:rPr>
      </w:pPr>
      <w:r w:rsidRPr="00824350">
        <w:rPr>
          <w:rFonts w:ascii="Calibri" w:hAnsi="Calibri" w:cs="Calibri"/>
        </w:rPr>
        <w:t xml:space="preserve">Analysis of the relationship between exposure to The Campaign and changes in these outcomes will be accomplished with the use of multivariate models that estimate measures of each relevant outcome as a function of </w:t>
      </w:r>
      <w:r w:rsidR="001B7F42">
        <w:rPr>
          <w:rFonts w:ascii="Calibri" w:hAnsi="Calibri" w:cs="Calibri"/>
        </w:rPr>
        <w:t>campaign exposure</w:t>
      </w:r>
      <w:r w:rsidR="00380017">
        <w:rPr>
          <w:rFonts w:ascii="Calibri" w:hAnsi="Calibri" w:cs="Calibri"/>
        </w:rPr>
        <w:t>, controlling for</w:t>
      </w:r>
      <w:r w:rsidRPr="00824350">
        <w:rPr>
          <w:rFonts w:ascii="Calibri" w:hAnsi="Calibri" w:cs="Calibri"/>
        </w:rPr>
        <w:t xml:space="preserve"> individual characteristics that may confound the relationship between </w:t>
      </w:r>
      <w:r w:rsidR="00380017">
        <w:rPr>
          <w:rFonts w:ascii="Calibri" w:hAnsi="Calibri" w:cs="Calibri"/>
        </w:rPr>
        <w:t>the Campaign</w:t>
      </w:r>
      <w:r w:rsidRPr="00824350">
        <w:rPr>
          <w:rFonts w:ascii="Calibri" w:hAnsi="Calibri" w:cs="Calibri"/>
        </w:rPr>
        <w:t xml:space="preserve"> and changes in outcomes. These models will generally take the form of logistic (or logit) regressions for dichotomous outcomes and ordinary least squares (OLS) regressions for any continuous outcomes that are measured. The primary outcomes of interest among smokers will be awareness of knowledge, attitudes</w:t>
      </w:r>
      <w:r w:rsidR="00A748EF">
        <w:rPr>
          <w:rFonts w:ascii="Calibri" w:hAnsi="Calibri" w:cs="Calibri"/>
        </w:rPr>
        <w:t>,</w:t>
      </w:r>
      <w:r w:rsidRPr="00824350">
        <w:rPr>
          <w:rFonts w:ascii="Calibri" w:hAnsi="Calibri" w:cs="Calibri"/>
        </w:rPr>
        <w:t xml:space="preserve"> and beliefs related to smoking</w:t>
      </w:r>
      <w:r w:rsidR="0058215D">
        <w:rPr>
          <w:rFonts w:ascii="Calibri" w:hAnsi="Calibri" w:cs="Calibri"/>
        </w:rPr>
        <w:t>;</w:t>
      </w:r>
      <w:r w:rsidRPr="00824350">
        <w:rPr>
          <w:rFonts w:ascii="Calibri" w:hAnsi="Calibri" w:cs="Calibri"/>
        </w:rPr>
        <w:t xml:space="preserve"> intentions to smoke</w:t>
      </w:r>
      <w:r w:rsidR="0058215D">
        <w:rPr>
          <w:rFonts w:ascii="Calibri" w:hAnsi="Calibri" w:cs="Calibri"/>
        </w:rPr>
        <w:t>;</w:t>
      </w:r>
      <w:r w:rsidRPr="00824350">
        <w:rPr>
          <w:rFonts w:ascii="Calibri" w:hAnsi="Calibri" w:cs="Calibri"/>
        </w:rPr>
        <w:t xml:space="preserve"> making an attempt to quit smoking</w:t>
      </w:r>
      <w:r w:rsidR="0058215D">
        <w:rPr>
          <w:rFonts w:ascii="Calibri" w:hAnsi="Calibri" w:cs="Calibri"/>
        </w:rPr>
        <w:t>;</w:t>
      </w:r>
      <w:r w:rsidR="00AF5879">
        <w:rPr>
          <w:rFonts w:ascii="Calibri" w:hAnsi="Calibri" w:cs="Calibri"/>
        </w:rPr>
        <w:t xml:space="preserve"> and </w:t>
      </w:r>
      <w:r w:rsidR="00E256B6">
        <w:rPr>
          <w:rFonts w:ascii="Calibri" w:hAnsi="Calibri" w:cs="Calibri"/>
        </w:rPr>
        <w:t>sustained quitting</w:t>
      </w:r>
      <w:r w:rsidRPr="00824350">
        <w:rPr>
          <w:rFonts w:ascii="Calibri" w:hAnsi="Calibri" w:cs="Calibri"/>
        </w:rPr>
        <w:t xml:space="preserve">. The primary outcomes of interest among </w:t>
      </w:r>
      <w:r w:rsidR="00D94E8D">
        <w:rPr>
          <w:rFonts w:ascii="Calibri" w:hAnsi="Calibri" w:cs="Calibri"/>
        </w:rPr>
        <w:t>nonsmoker</w:t>
      </w:r>
      <w:r w:rsidRPr="00824350">
        <w:rPr>
          <w:rFonts w:ascii="Calibri" w:hAnsi="Calibri" w:cs="Calibri"/>
        </w:rPr>
        <w:t xml:space="preserve">s will include </w:t>
      </w:r>
      <w:r w:rsidR="00380017">
        <w:rPr>
          <w:rFonts w:ascii="Calibri" w:hAnsi="Calibri" w:cs="Calibri"/>
        </w:rPr>
        <w:t>communication with friends and family about the dangers of smoking</w:t>
      </w:r>
      <w:r w:rsidR="0058215D">
        <w:rPr>
          <w:rFonts w:ascii="Calibri" w:hAnsi="Calibri" w:cs="Calibri"/>
        </w:rPr>
        <w:t>;</w:t>
      </w:r>
      <w:r w:rsidR="00E82092">
        <w:rPr>
          <w:rFonts w:ascii="Calibri" w:hAnsi="Calibri" w:cs="Calibri"/>
        </w:rPr>
        <w:t xml:space="preserve"> </w:t>
      </w:r>
      <w:r w:rsidR="00380017">
        <w:rPr>
          <w:rFonts w:ascii="Calibri" w:hAnsi="Calibri" w:cs="Calibri"/>
        </w:rPr>
        <w:t>referrals of friends and family who smoke to cessation services such as telephone quitlines</w:t>
      </w:r>
      <w:r w:rsidR="0058215D">
        <w:rPr>
          <w:rFonts w:ascii="Calibri" w:hAnsi="Calibri" w:cs="Calibri"/>
        </w:rPr>
        <w:t>;</w:t>
      </w:r>
      <w:r w:rsidR="00E256B6">
        <w:rPr>
          <w:rFonts w:ascii="Calibri" w:hAnsi="Calibri" w:cs="Calibri"/>
        </w:rPr>
        <w:t xml:space="preserve"> and the sustained impact of The Campaign on these individuals</w:t>
      </w:r>
      <w:r w:rsidR="00380017">
        <w:rPr>
          <w:rFonts w:ascii="Calibri" w:hAnsi="Calibri" w:cs="Calibri"/>
        </w:rPr>
        <w:t xml:space="preserve">. </w:t>
      </w:r>
      <w:r w:rsidRPr="00824350">
        <w:rPr>
          <w:rFonts w:ascii="Calibri" w:hAnsi="Calibri" w:cs="Calibri"/>
        </w:rPr>
        <w:t xml:space="preserve">We hypothesize that there should be </w:t>
      </w:r>
      <w:r w:rsidR="00380017">
        <w:rPr>
          <w:rFonts w:ascii="Calibri" w:hAnsi="Calibri" w:cs="Calibri"/>
        </w:rPr>
        <w:t xml:space="preserve">a significant shift in many of these outcomes </w:t>
      </w:r>
      <w:r w:rsidR="006962C0">
        <w:rPr>
          <w:rFonts w:ascii="Calibri" w:hAnsi="Calibri" w:cs="Calibri"/>
        </w:rPr>
        <w:t>and longer-term</w:t>
      </w:r>
      <w:r w:rsidR="00207D77">
        <w:rPr>
          <w:rFonts w:ascii="Calibri" w:hAnsi="Calibri" w:cs="Calibri"/>
        </w:rPr>
        <w:t xml:space="preserve"> effects</w:t>
      </w:r>
      <w:r w:rsidR="006962C0">
        <w:rPr>
          <w:rFonts w:ascii="Calibri" w:hAnsi="Calibri" w:cs="Calibri"/>
        </w:rPr>
        <w:t xml:space="preserve"> </w:t>
      </w:r>
      <w:r w:rsidR="00380017">
        <w:rPr>
          <w:rFonts w:ascii="Calibri" w:hAnsi="Calibri" w:cs="Calibri"/>
        </w:rPr>
        <w:t xml:space="preserve">in absence of other interventions or policy changes that could also explain such shifts in the outcomes. </w:t>
      </w:r>
    </w:p>
    <w:p w14:paraId="17681B6C" w14:textId="77777777" w:rsidR="007C4151" w:rsidRDefault="007C4151" w:rsidP="007C4151">
      <w:pPr>
        <w:pStyle w:val="bodytextpsg"/>
        <w:spacing w:after="0" w:line="240" w:lineRule="auto"/>
        <w:rPr>
          <w:rFonts w:ascii="Calibri" w:hAnsi="Calibri" w:cs="Calibri"/>
        </w:rPr>
      </w:pPr>
    </w:p>
    <w:p w14:paraId="15E90BE0" w14:textId="6ED09539" w:rsidR="00E20215" w:rsidRPr="004E7752" w:rsidRDefault="00E20215" w:rsidP="004E7752">
      <w:pPr>
        <w:widowControl/>
        <w:autoSpaceDE w:val="0"/>
        <w:autoSpaceDN w:val="0"/>
        <w:adjustRightInd w:val="0"/>
        <w:ind w:firstLine="720"/>
        <w:rPr>
          <w:rFonts w:asciiTheme="minorHAnsi" w:hAnsiTheme="minorHAnsi" w:cs="AdvOT1ef757c0"/>
          <w:szCs w:val="24"/>
        </w:rPr>
      </w:pPr>
      <w:r w:rsidRPr="004E7752">
        <w:rPr>
          <w:rFonts w:asciiTheme="minorHAnsi" w:hAnsiTheme="minorHAnsi" w:cs="AdvOT1ef757c0"/>
          <w:szCs w:val="24"/>
        </w:rPr>
        <w:t xml:space="preserve">Cost-effectiveness analysis was conducted in 2013 to evaluate </w:t>
      </w:r>
      <w:r>
        <w:rPr>
          <w:rFonts w:asciiTheme="minorHAnsi" w:hAnsiTheme="minorHAnsi" w:cs="AdvOT1ef757c0"/>
          <w:szCs w:val="24"/>
        </w:rPr>
        <w:t>Phase 1 of the campaign</w:t>
      </w:r>
      <w:r w:rsidRPr="004E7752">
        <w:rPr>
          <w:rFonts w:asciiTheme="minorHAnsi" w:hAnsiTheme="minorHAnsi" w:cs="AdvOT1ef757c0"/>
          <w:szCs w:val="24"/>
        </w:rPr>
        <w:t xml:space="preserve"> from a funding agency</w:t>
      </w:r>
      <w:r w:rsidRPr="004E7752">
        <w:rPr>
          <w:rFonts w:asciiTheme="minorHAnsi" w:hAnsiTheme="minorHAnsi" w:cs="AdvOT1ef757c0+20"/>
          <w:szCs w:val="24"/>
        </w:rPr>
        <w:t>’</w:t>
      </w:r>
      <w:r w:rsidRPr="004E7752">
        <w:rPr>
          <w:rFonts w:asciiTheme="minorHAnsi" w:hAnsiTheme="minorHAnsi" w:cs="AdvOT1ef757c0"/>
          <w:szCs w:val="24"/>
        </w:rPr>
        <w:t>s perspective. Estimates of sustained cessations; premature deaths averted; undiscounted life years (LYs) saved; and quality-adjusted life years (QALYs) gained by Tips were estimated</w:t>
      </w:r>
      <w:r>
        <w:rPr>
          <w:rFonts w:asciiTheme="minorHAnsi" w:hAnsiTheme="minorHAnsi" w:cs="AdvOT1ef757c0"/>
          <w:szCs w:val="24"/>
        </w:rPr>
        <w:t xml:space="preserve"> (Xin references)</w:t>
      </w:r>
      <w:r w:rsidRPr="004E7752">
        <w:rPr>
          <w:rFonts w:asciiTheme="minorHAnsi" w:hAnsiTheme="minorHAnsi" w:cs="AdvOT1ef757c0"/>
          <w:szCs w:val="24"/>
        </w:rPr>
        <w:t>.</w:t>
      </w:r>
      <w:r>
        <w:rPr>
          <w:rFonts w:asciiTheme="minorHAnsi" w:hAnsiTheme="minorHAnsi" w:cs="AdvOT1ef757c0"/>
          <w:szCs w:val="24"/>
        </w:rPr>
        <w:t xml:space="preserve"> Results demonstrated that </w:t>
      </w:r>
      <w:r w:rsidR="00045A50">
        <w:rPr>
          <w:rFonts w:asciiTheme="minorHAnsi" w:hAnsiTheme="minorHAnsi" w:cs="AdvOT1ef757c0"/>
          <w:szCs w:val="24"/>
        </w:rPr>
        <w:t>wi</w:t>
      </w:r>
      <w:r w:rsidR="00045A50" w:rsidRPr="007A1A23">
        <w:rPr>
          <w:rFonts w:asciiTheme="minorHAnsi" w:eastAsiaTheme="minorHAnsi" w:hAnsiTheme="minorHAnsi" w:cs="Arial"/>
          <w:color w:val="000000"/>
          <w:szCs w:val="24"/>
        </w:rPr>
        <w:t xml:space="preserve">th a campaign cost of roughly $48 million, </w:t>
      </w:r>
      <w:r w:rsidR="00045A50">
        <w:rPr>
          <w:rFonts w:asciiTheme="minorHAnsi" w:eastAsiaTheme="minorHAnsi" w:hAnsiTheme="minorHAnsi" w:cs="Arial"/>
          <w:color w:val="000000"/>
          <w:szCs w:val="24"/>
        </w:rPr>
        <w:t xml:space="preserve">The Campaign </w:t>
      </w:r>
      <w:r w:rsidR="00045A50" w:rsidRPr="007A1A23">
        <w:rPr>
          <w:rFonts w:asciiTheme="minorHAnsi" w:eastAsiaTheme="minorHAnsi" w:hAnsiTheme="minorHAnsi" w:cs="Arial"/>
          <w:color w:val="000000"/>
          <w:szCs w:val="24"/>
        </w:rPr>
        <w:t>spent approximately $480 per quitter, $2,819 per premature death averted, $393 per life-years saved and $268 per QALY gained.</w:t>
      </w:r>
      <w:r w:rsidR="00045A50">
        <w:rPr>
          <w:rFonts w:asciiTheme="minorHAnsi" w:eastAsiaTheme="minorHAnsi" w:hAnsiTheme="minorHAnsi" w:cs="Arial"/>
          <w:color w:val="000000"/>
          <w:szCs w:val="24"/>
        </w:rPr>
        <w:t xml:space="preserve"> Subsequent phases of The Campaign will continue to be evaluated on the return on investment for implementation on reducing mortality and morbidity related to tobacco use. </w:t>
      </w:r>
    </w:p>
    <w:p w14:paraId="517FD919" w14:textId="77777777" w:rsidR="00E20215" w:rsidRDefault="00E20215" w:rsidP="004E7752">
      <w:pPr>
        <w:widowControl/>
        <w:autoSpaceDE w:val="0"/>
        <w:autoSpaceDN w:val="0"/>
        <w:adjustRightInd w:val="0"/>
        <w:ind w:firstLine="720"/>
        <w:rPr>
          <w:rFonts w:ascii="AdvOT1ef757c0" w:hAnsi="AdvOT1ef757c0" w:cs="AdvOT1ef757c0"/>
          <w:sz w:val="20"/>
        </w:rPr>
      </w:pPr>
    </w:p>
    <w:p w14:paraId="0FF0C98A" w14:textId="2879535D" w:rsidR="00E2062E" w:rsidRPr="00824350" w:rsidRDefault="00E2062E" w:rsidP="004E7752">
      <w:pPr>
        <w:widowControl/>
        <w:autoSpaceDE w:val="0"/>
        <w:autoSpaceDN w:val="0"/>
        <w:adjustRightInd w:val="0"/>
        <w:ind w:firstLine="720"/>
        <w:rPr>
          <w:rFonts w:ascii="Calibri" w:hAnsi="Calibri" w:cs="Calibri"/>
        </w:rPr>
      </w:pPr>
      <w:r>
        <w:rPr>
          <w:rFonts w:ascii="Calibri" w:hAnsi="Calibri" w:cs="Calibri"/>
        </w:rPr>
        <w:t xml:space="preserve">To take advantage of the longitudinal nature of these data, we will also examine within-person changes in each outcome over time as a function of within-person changes in </w:t>
      </w:r>
      <w:r w:rsidR="0058215D">
        <w:rPr>
          <w:rFonts w:ascii="Calibri" w:hAnsi="Calibri" w:cs="Calibri"/>
        </w:rPr>
        <w:t>C</w:t>
      </w:r>
      <w:r>
        <w:rPr>
          <w:rFonts w:ascii="Calibri" w:hAnsi="Calibri" w:cs="Calibri"/>
        </w:rPr>
        <w:t xml:space="preserve">ampaign exposure. For example, it will be possible to model changes in quit attempts from </w:t>
      </w:r>
      <w:r w:rsidR="00833FC8">
        <w:rPr>
          <w:rFonts w:ascii="Calibri" w:hAnsi="Calibri" w:cs="Calibri"/>
        </w:rPr>
        <w:t xml:space="preserve">Wave </w:t>
      </w:r>
      <w:r w:rsidR="00D871A7">
        <w:rPr>
          <w:rFonts w:ascii="Calibri" w:hAnsi="Calibri" w:cs="Calibri"/>
        </w:rPr>
        <w:t>A</w:t>
      </w:r>
      <w:r w:rsidR="00C71FEE">
        <w:rPr>
          <w:rFonts w:ascii="Calibri" w:hAnsi="Calibri" w:cs="Calibri"/>
        </w:rPr>
        <w:t xml:space="preserve"> </w:t>
      </w:r>
      <w:r>
        <w:rPr>
          <w:rFonts w:ascii="Calibri" w:hAnsi="Calibri" w:cs="Calibri"/>
        </w:rPr>
        <w:t xml:space="preserve">to </w:t>
      </w:r>
      <w:r w:rsidR="00833FC8">
        <w:rPr>
          <w:rFonts w:ascii="Calibri" w:hAnsi="Calibri" w:cs="Calibri"/>
        </w:rPr>
        <w:t xml:space="preserve">Wave </w:t>
      </w:r>
      <w:r w:rsidR="00D871A7">
        <w:rPr>
          <w:rFonts w:ascii="Calibri" w:hAnsi="Calibri" w:cs="Calibri"/>
        </w:rPr>
        <w:t>B</w:t>
      </w:r>
      <w:r>
        <w:rPr>
          <w:rFonts w:ascii="Calibri" w:hAnsi="Calibri" w:cs="Calibri"/>
        </w:rPr>
        <w:t xml:space="preserve"> as a function of </w:t>
      </w:r>
      <w:r w:rsidR="00C71FEE">
        <w:rPr>
          <w:rFonts w:ascii="Calibri" w:hAnsi="Calibri" w:cs="Calibri"/>
        </w:rPr>
        <w:t>prior</w:t>
      </w:r>
      <w:r>
        <w:rPr>
          <w:rFonts w:ascii="Calibri" w:hAnsi="Calibri" w:cs="Calibri"/>
        </w:rPr>
        <w:t xml:space="preserve"> </w:t>
      </w:r>
      <w:r w:rsidR="0058215D">
        <w:rPr>
          <w:rFonts w:ascii="Calibri" w:hAnsi="Calibri" w:cs="Calibri"/>
        </w:rPr>
        <w:t>C</w:t>
      </w:r>
      <w:r>
        <w:rPr>
          <w:rFonts w:ascii="Calibri" w:hAnsi="Calibri" w:cs="Calibri"/>
        </w:rPr>
        <w:t xml:space="preserve">ampaign </w:t>
      </w:r>
      <w:r w:rsidR="00C71FEE">
        <w:rPr>
          <w:rFonts w:ascii="Calibri" w:hAnsi="Calibri" w:cs="Calibri"/>
        </w:rPr>
        <w:t>awareness measured at</w:t>
      </w:r>
      <w:r>
        <w:rPr>
          <w:rFonts w:ascii="Calibri" w:hAnsi="Calibri" w:cs="Calibri"/>
        </w:rPr>
        <w:t xml:space="preserve"> </w:t>
      </w:r>
      <w:r w:rsidR="000A3413">
        <w:rPr>
          <w:rFonts w:ascii="Calibri" w:hAnsi="Calibri" w:cs="Calibri"/>
        </w:rPr>
        <w:t>W</w:t>
      </w:r>
      <w:r w:rsidR="00271FFE">
        <w:rPr>
          <w:rFonts w:ascii="Calibri" w:hAnsi="Calibri" w:cs="Calibri"/>
        </w:rPr>
        <w:t>ave</w:t>
      </w:r>
      <w:r w:rsidR="00BB340F">
        <w:rPr>
          <w:rFonts w:ascii="Calibri" w:hAnsi="Calibri" w:cs="Calibri"/>
        </w:rPr>
        <w:t xml:space="preserve"> </w:t>
      </w:r>
      <w:r w:rsidR="00D871A7">
        <w:rPr>
          <w:rFonts w:ascii="Calibri" w:hAnsi="Calibri" w:cs="Calibri"/>
        </w:rPr>
        <w:t>A</w:t>
      </w:r>
      <w:r>
        <w:rPr>
          <w:rFonts w:ascii="Calibri" w:hAnsi="Calibri" w:cs="Calibri"/>
        </w:rPr>
        <w:t xml:space="preserve"> for the same person. This will enable stronger inferences of </w:t>
      </w:r>
      <w:r w:rsidR="00886B05">
        <w:rPr>
          <w:rFonts w:ascii="Calibri" w:hAnsi="Calibri" w:cs="Calibri"/>
        </w:rPr>
        <w:t>The C</w:t>
      </w:r>
      <w:r>
        <w:rPr>
          <w:rFonts w:ascii="Calibri" w:hAnsi="Calibri" w:cs="Calibri"/>
        </w:rPr>
        <w:t>ampaign</w:t>
      </w:r>
      <w:r w:rsidR="00886B05">
        <w:rPr>
          <w:rFonts w:ascii="Calibri" w:hAnsi="Calibri" w:cs="Calibri"/>
        </w:rPr>
        <w:t>’s</w:t>
      </w:r>
      <w:r>
        <w:rPr>
          <w:rFonts w:ascii="Calibri" w:hAnsi="Calibri" w:cs="Calibri"/>
        </w:rPr>
        <w:t xml:space="preserve"> effects based on measures of self-reported exposure to </w:t>
      </w:r>
      <w:r w:rsidR="00886B05">
        <w:rPr>
          <w:rFonts w:ascii="Calibri" w:hAnsi="Calibri" w:cs="Calibri"/>
        </w:rPr>
        <w:t>T</w:t>
      </w:r>
      <w:r>
        <w:rPr>
          <w:rFonts w:ascii="Calibri" w:hAnsi="Calibri" w:cs="Calibri"/>
        </w:rPr>
        <w:t xml:space="preserve">he </w:t>
      </w:r>
      <w:r w:rsidR="00886B05">
        <w:rPr>
          <w:rFonts w:ascii="Calibri" w:hAnsi="Calibri" w:cs="Calibri"/>
        </w:rPr>
        <w:t>C</w:t>
      </w:r>
      <w:r>
        <w:rPr>
          <w:rFonts w:ascii="Calibri" w:hAnsi="Calibri" w:cs="Calibri"/>
        </w:rPr>
        <w:t>ampaign.</w:t>
      </w:r>
    </w:p>
    <w:p w14:paraId="23707BAA" w14:textId="77777777" w:rsidR="007C4151" w:rsidRDefault="007C4151" w:rsidP="007C4151">
      <w:pPr>
        <w:pStyle w:val="bodytextpsg"/>
        <w:spacing w:after="0" w:line="240" w:lineRule="auto"/>
        <w:rPr>
          <w:rFonts w:ascii="Calibri" w:hAnsi="Calibri" w:cs="Calibri"/>
        </w:rPr>
      </w:pPr>
    </w:p>
    <w:p w14:paraId="2D44FC01" w14:textId="77777777" w:rsidR="0035525E" w:rsidRPr="00824350" w:rsidRDefault="0035525E" w:rsidP="007C4151">
      <w:pPr>
        <w:pStyle w:val="bodytextpsg"/>
        <w:spacing w:after="0" w:line="240" w:lineRule="auto"/>
        <w:rPr>
          <w:rFonts w:ascii="Calibri" w:hAnsi="Calibri" w:cs="Calibri"/>
        </w:rPr>
      </w:pPr>
      <w:r w:rsidRPr="00F46078">
        <w:rPr>
          <w:rFonts w:ascii="Calibri" w:hAnsi="Calibri" w:cs="Calibri"/>
        </w:rPr>
        <w:t xml:space="preserve">It should be noted that while the </w:t>
      </w:r>
      <w:r w:rsidR="00380017">
        <w:rPr>
          <w:rFonts w:ascii="Calibri" w:hAnsi="Calibri" w:cs="Calibri"/>
        </w:rPr>
        <w:t>sample</w:t>
      </w:r>
      <w:r w:rsidRPr="00F46078">
        <w:rPr>
          <w:rFonts w:ascii="Calibri" w:hAnsi="Calibri" w:cs="Calibri"/>
        </w:rPr>
        <w:t xml:space="preserve"> recruitment procedures are designed to approximate a nationally representative sample</w:t>
      </w:r>
      <w:r w:rsidR="006962C0">
        <w:rPr>
          <w:rFonts w:ascii="Calibri" w:hAnsi="Calibri" w:cs="Calibri"/>
        </w:rPr>
        <w:t xml:space="preserve"> of smokers and </w:t>
      </w:r>
      <w:r w:rsidR="00D94E8D">
        <w:rPr>
          <w:rFonts w:ascii="Calibri" w:hAnsi="Calibri" w:cs="Calibri"/>
        </w:rPr>
        <w:t>nonsmoker</w:t>
      </w:r>
      <w:r w:rsidR="006962C0">
        <w:rPr>
          <w:rFonts w:ascii="Calibri" w:hAnsi="Calibri" w:cs="Calibri"/>
        </w:rPr>
        <w:t>s</w:t>
      </w:r>
      <w:r w:rsidRPr="00F46078">
        <w:rPr>
          <w:rFonts w:ascii="Calibri" w:hAnsi="Calibri" w:cs="Calibri"/>
        </w:rPr>
        <w:t xml:space="preserve">, the limitations associated with </w:t>
      </w:r>
      <w:r w:rsidR="00380017">
        <w:rPr>
          <w:rFonts w:ascii="Calibri" w:hAnsi="Calibri" w:cs="Calibri"/>
        </w:rPr>
        <w:t>online data collection</w:t>
      </w:r>
      <w:r w:rsidRPr="00F46078">
        <w:rPr>
          <w:rFonts w:ascii="Calibri" w:hAnsi="Calibri" w:cs="Calibri"/>
        </w:rPr>
        <w:t xml:space="preserve"> </w:t>
      </w:r>
      <w:r w:rsidR="00380017">
        <w:rPr>
          <w:rFonts w:ascii="Calibri" w:hAnsi="Calibri" w:cs="Calibri"/>
        </w:rPr>
        <w:t xml:space="preserve">require that all results from this information collection be reported with appropriate caution and interpretation. </w:t>
      </w:r>
      <w:r w:rsidRPr="00F46078">
        <w:rPr>
          <w:rFonts w:ascii="Calibri" w:hAnsi="Calibri" w:cs="Calibri"/>
        </w:rPr>
        <w:t>Spe</w:t>
      </w:r>
      <w:r w:rsidR="00380017">
        <w:rPr>
          <w:rFonts w:ascii="Calibri" w:hAnsi="Calibri" w:cs="Calibri"/>
        </w:rPr>
        <w:t>cifically, although all participants (ABS-sourced and KnowledgePanel-sourced)</w:t>
      </w:r>
      <w:r w:rsidRPr="00F46078">
        <w:rPr>
          <w:rFonts w:ascii="Calibri" w:hAnsi="Calibri" w:cs="Calibri"/>
        </w:rPr>
        <w:t xml:space="preserve"> must be invited to participate and cannot volunteer on their own, there may be systematic differences between individuals who choose to join internet </w:t>
      </w:r>
      <w:r w:rsidR="00380017">
        <w:rPr>
          <w:rFonts w:ascii="Calibri" w:hAnsi="Calibri" w:cs="Calibri"/>
        </w:rPr>
        <w:t>surveys</w:t>
      </w:r>
      <w:r w:rsidRPr="00F46078">
        <w:rPr>
          <w:rFonts w:ascii="Calibri" w:hAnsi="Calibri" w:cs="Calibri"/>
        </w:rPr>
        <w:t xml:space="preserve"> and the type of individuals who do not wish to participate in </w:t>
      </w:r>
      <w:r w:rsidR="00380017">
        <w:rPr>
          <w:rFonts w:ascii="Calibri" w:hAnsi="Calibri" w:cs="Calibri"/>
        </w:rPr>
        <w:t xml:space="preserve">these types of studies over an ongoing timeframe. </w:t>
      </w:r>
      <w:r w:rsidRPr="00F46078">
        <w:rPr>
          <w:rFonts w:ascii="Calibri" w:hAnsi="Calibri" w:cs="Calibri"/>
        </w:rPr>
        <w:t xml:space="preserve">Therefore, evaluation results must be interpreted with appropriate caution regarding our ability to generalize the findings to the national population of smokers and </w:t>
      </w:r>
      <w:r w:rsidR="00D94E8D">
        <w:rPr>
          <w:rFonts w:ascii="Calibri" w:hAnsi="Calibri" w:cs="Calibri"/>
        </w:rPr>
        <w:t>nonsmoker</w:t>
      </w:r>
      <w:r w:rsidRPr="00F46078">
        <w:rPr>
          <w:rFonts w:ascii="Calibri" w:hAnsi="Calibri" w:cs="Calibri"/>
        </w:rPr>
        <w:t>s.</w:t>
      </w:r>
    </w:p>
    <w:p w14:paraId="4A8484A2" w14:textId="77777777" w:rsidR="007C4151" w:rsidRDefault="007C4151" w:rsidP="007C4151">
      <w:pPr>
        <w:pStyle w:val="bodytextpsg"/>
        <w:spacing w:after="0" w:line="240" w:lineRule="auto"/>
        <w:rPr>
          <w:rFonts w:ascii="Calibri" w:hAnsi="Calibri" w:cs="Calibri"/>
        </w:rPr>
      </w:pPr>
    </w:p>
    <w:p w14:paraId="58E125A0" w14:textId="5E216CF5" w:rsidR="0035525E" w:rsidRPr="00824350" w:rsidRDefault="0035525E" w:rsidP="007C4151">
      <w:pPr>
        <w:pStyle w:val="bodytextpsg"/>
        <w:spacing w:after="0" w:line="240" w:lineRule="auto"/>
        <w:rPr>
          <w:rFonts w:ascii="Calibri" w:hAnsi="Calibri" w:cs="Calibri"/>
        </w:rPr>
      </w:pPr>
      <w:r w:rsidRPr="00824350">
        <w:rPr>
          <w:rFonts w:ascii="Calibri" w:hAnsi="Calibri" w:cs="Calibri"/>
        </w:rPr>
        <w:t>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w:t>
      </w:r>
      <w:r w:rsidR="00886B05">
        <w:rPr>
          <w:rFonts w:ascii="Calibri" w:hAnsi="Calibri" w:cs="Calibri"/>
        </w:rPr>
        <w:t>;</w:t>
      </w:r>
      <w:r w:rsidRPr="00824350">
        <w:rPr>
          <w:rFonts w:ascii="Calibri" w:hAnsi="Calibri" w:cs="Calibri"/>
        </w:rPr>
        <w:t xml:space="preserve"> and (3) at least </w:t>
      </w:r>
      <w:r w:rsidR="00886B05">
        <w:rPr>
          <w:rFonts w:ascii="Calibri" w:hAnsi="Calibri" w:cs="Calibri"/>
        </w:rPr>
        <w:t>three</w:t>
      </w:r>
      <w:r w:rsidRPr="00824350">
        <w:rPr>
          <w:rFonts w:ascii="Calibri" w:hAnsi="Calibri" w:cs="Calibri"/>
        </w:rPr>
        <w:t xml:space="preserve"> peer-reviewed journal articles that document the relationships between Campaign exposure and changes in the aforementioned outcomes of interest. </w:t>
      </w:r>
      <w:r w:rsidR="001B7F42">
        <w:rPr>
          <w:rFonts w:ascii="Calibri" w:hAnsi="Calibri" w:cs="Calibri"/>
        </w:rPr>
        <w:t>Given these</w:t>
      </w:r>
      <w:r w:rsidRPr="00824350">
        <w:rPr>
          <w:rFonts w:ascii="Calibri" w:hAnsi="Calibri" w:cs="Calibri"/>
        </w:rPr>
        <w:t xml:space="preserve"> data limitations, all </w:t>
      </w:r>
      <w:r w:rsidR="001B7F42">
        <w:rPr>
          <w:rFonts w:ascii="Calibri" w:hAnsi="Calibri" w:cs="Calibri"/>
        </w:rPr>
        <w:t xml:space="preserve">interpretation and reporting of </w:t>
      </w:r>
      <w:r w:rsidRPr="00824350">
        <w:rPr>
          <w:rFonts w:ascii="Calibri" w:hAnsi="Calibri" w:cs="Calibri"/>
        </w:rPr>
        <w:t xml:space="preserve">evaluation results will </w:t>
      </w:r>
      <w:r w:rsidR="001B7F42">
        <w:rPr>
          <w:rFonts w:ascii="Calibri" w:hAnsi="Calibri" w:cs="Calibri"/>
        </w:rPr>
        <w:t xml:space="preserve">be made with reasonable caution and will appropriately acknowledge these limitations. </w:t>
      </w:r>
      <w:r w:rsidRPr="00824350">
        <w:rPr>
          <w:rFonts w:ascii="Calibri" w:hAnsi="Calibri" w:cs="Calibri"/>
        </w:rPr>
        <w:t>The key events and reports to be prepared are listed in</w:t>
      </w:r>
      <w:r w:rsidR="005663DF">
        <w:rPr>
          <w:rFonts w:ascii="Calibri" w:hAnsi="Calibri" w:cs="Calibri"/>
        </w:rPr>
        <w:t xml:space="preserve"> </w:t>
      </w:r>
      <w:r w:rsidR="005663DF" w:rsidRPr="005663DF">
        <w:rPr>
          <w:rFonts w:ascii="Calibri" w:hAnsi="Calibri" w:cs="Calibri"/>
          <w:b/>
          <w:i/>
        </w:rPr>
        <w:t xml:space="preserve">Exhibit </w:t>
      </w:r>
      <w:r w:rsidR="0085077E">
        <w:rPr>
          <w:rFonts w:ascii="Calibri" w:hAnsi="Calibri" w:cs="Calibri"/>
          <w:b/>
          <w:i/>
        </w:rPr>
        <w:t>3</w:t>
      </w:r>
      <w:r w:rsidR="005663DF">
        <w:rPr>
          <w:rFonts w:ascii="Calibri" w:hAnsi="Calibri" w:cs="Calibri"/>
        </w:rPr>
        <w:t>.</w:t>
      </w:r>
      <w:r w:rsidRPr="00824350">
        <w:rPr>
          <w:rFonts w:ascii="Calibri" w:hAnsi="Calibri" w:cs="Calibri"/>
        </w:rPr>
        <w:t xml:space="preserve"> </w:t>
      </w:r>
    </w:p>
    <w:p w14:paraId="506D3EBF" w14:textId="77777777" w:rsidR="007C4151" w:rsidRDefault="007C4151" w:rsidP="007C4151">
      <w:pPr>
        <w:pStyle w:val="bodytextpsg"/>
        <w:spacing w:after="0" w:line="240" w:lineRule="auto"/>
        <w:rPr>
          <w:rFonts w:ascii="Calibri" w:hAnsi="Calibri" w:cs="Calibri"/>
        </w:rPr>
      </w:pPr>
    </w:p>
    <w:p w14:paraId="0A0CF424" w14:textId="62C46981" w:rsidR="0035525E" w:rsidRDefault="00886B05" w:rsidP="007C4151">
      <w:pPr>
        <w:pStyle w:val="bodytextpsg"/>
        <w:spacing w:after="0" w:line="240" w:lineRule="auto"/>
        <w:rPr>
          <w:rFonts w:ascii="Calibri" w:hAnsi="Calibri" w:cs="Calibri"/>
        </w:rPr>
      </w:pPr>
      <w:r>
        <w:rPr>
          <w:rFonts w:ascii="Calibri" w:hAnsi="Calibri" w:cs="Calibri"/>
        </w:rPr>
        <w:t xml:space="preserve">Phase 4 of </w:t>
      </w:r>
      <w:r w:rsidR="0035525E" w:rsidRPr="00824350">
        <w:rPr>
          <w:rFonts w:ascii="Calibri" w:hAnsi="Calibri" w:cs="Calibri"/>
        </w:rPr>
        <w:t xml:space="preserve">The Campaign </w:t>
      </w:r>
      <w:r w:rsidR="00B202E5">
        <w:rPr>
          <w:rFonts w:ascii="Calibri" w:hAnsi="Calibri" w:cs="Calibri"/>
        </w:rPr>
        <w:t>began</w:t>
      </w:r>
      <w:r w:rsidR="0035525E" w:rsidRPr="00824350">
        <w:rPr>
          <w:rFonts w:ascii="Calibri" w:hAnsi="Calibri" w:cs="Calibri"/>
        </w:rPr>
        <w:t xml:space="preserve"> </w:t>
      </w:r>
      <w:r>
        <w:rPr>
          <w:rFonts w:ascii="Calibri" w:hAnsi="Calibri" w:cs="Calibri"/>
        </w:rPr>
        <w:t>on March 30, 2015</w:t>
      </w:r>
      <w:r w:rsidR="00E55071">
        <w:rPr>
          <w:rFonts w:ascii="Calibri" w:hAnsi="Calibri" w:cs="Calibri"/>
        </w:rPr>
        <w:t xml:space="preserve"> and ended on August 16, 2015</w:t>
      </w:r>
      <w:r w:rsidR="0035525E" w:rsidRPr="00824350">
        <w:rPr>
          <w:rFonts w:ascii="Calibri" w:hAnsi="Calibri" w:cs="Calibri"/>
        </w:rPr>
        <w:t xml:space="preserve">.  OMB approval is requested </w:t>
      </w:r>
      <w:r w:rsidR="004F7813">
        <w:rPr>
          <w:rFonts w:ascii="Calibri" w:hAnsi="Calibri" w:cs="Calibri"/>
        </w:rPr>
        <w:t xml:space="preserve">by as </w:t>
      </w:r>
      <w:r w:rsidR="004F7813" w:rsidRPr="00824350">
        <w:rPr>
          <w:rFonts w:ascii="Calibri" w:hAnsi="Calibri" w:cs="Calibri"/>
        </w:rPr>
        <w:t>soon</w:t>
      </w:r>
      <w:r w:rsidR="0035525E" w:rsidRPr="00824350">
        <w:rPr>
          <w:rFonts w:ascii="Calibri" w:hAnsi="Calibri" w:cs="Calibri"/>
        </w:rPr>
        <w:t xml:space="preserve"> as possible</w:t>
      </w:r>
      <w:r w:rsidR="004F7813">
        <w:rPr>
          <w:rFonts w:ascii="Calibri" w:hAnsi="Calibri" w:cs="Calibri"/>
        </w:rPr>
        <w:t>.</w:t>
      </w:r>
    </w:p>
    <w:p w14:paraId="2DFEB8E2" w14:textId="77777777" w:rsidR="007C4151" w:rsidRPr="00824350" w:rsidRDefault="007C4151" w:rsidP="007C4151">
      <w:pPr>
        <w:pStyle w:val="bodytextpsg"/>
        <w:spacing w:after="0" w:line="240" w:lineRule="auto"/>
        <w:rPr>
          <w:rFonts w:ascii="Calibri" w:hAnsi="Calibri" w:cs="Calibri"/>
        </w:rPr>
      </w:pPr>
    </w:p>
    <w:p w14:paraId="0874A4C9" w14:textId="2A4C14E7" w:rsidR="00A82A34" w:rsidRDefault="00A82A34" w:rsidP="00A82A34">
      <w:pPr>
        <w:pStyle w:val="FigureTitle"/>
        <w:rPr>
          <w:rFonts w:ascii="Calibri" w:hAnsi="Calibri"/>
        </w:rPr>
      </w:pPr>
      <w:bookmarkStart w:id="9" w:name="_Ref216592722"/>
      <w:bookmarkStart w:id="10" w:name="_Toc66689102"/>
      <w:bookmarkStart w:id="11" w:name="_Toc140476560"/>
      <w:bookmarkStart w:id="12" w:name="_Toc216595340"/>
      <w:r>
        <w:rPr>
          <w:rFonts w:ascii="Calibri" w:hAnsi="Calibri"/>
        </w:rPr>
        <w:t>Exhibit 3. Project Schedule</w:t>
      </w:r>
      <w:r w:rsidR="00506FBA">
        <w:rPr>
          <w:rFonts w:ascii="Calibri" w:hAnsi="Calibri"/>
        </w:rPr>
        <w:t xml:space="preserve"> (estimated)</w:t>
      </w:r>
    </w:p>
    <w:tbl>
      <w:tblPr>
        <w:tblW w:w="9705" w:type="dxa"/>
        <w:tblCellMar>
          <w:left w:w="0" w:type="dxa"/>
          <w:right w:w="0" w:type="dxa"/>
        </w:tblCellMar>
        <w:tblLook w:val="04A0" w:firstRow="1" w:lastRow="0" w:firstColumn="1" w:lastColumn="0" w:noHBand="0" w:noVBand="1"/>
      </w:tblPr>
      <w:tblGrid>
        <w:gridCol w:w="5491"/>
        <w:gridCol w:w="4214"/>
      </w:tblGrid>
      <w:tr w:rsidR="00A82A34" w14:paraId="6938BBBE" w14:textId="77777777" w:rsidTr="00A82A34">
        <w:tc>
          <w:tcPr>
            <w:tcW w:w="5490" w:type="dxa"/>
            <w:tcBorders>
              <w:top w:val="single" w:sz="12" w:space="0" w:color="auto"/>
              <w:left w:val="nil"/>
              <w:bottom w:val="single" w:sz="8" w:space="0" w:color="auto"/>
              <w:right w:val="nil"/>
            </w:tcBorders>
            <w:tcMar>
              <w:top w:w="29" w:type="dxa"/>
              <w:left w:w="72" w:type="dxa"/>
              <w:bottom w:w="0" w:type="dxa"/>
              <w:right w:w="72" w:type="dxa"/>
            </w:tcMar>
            <w:hideMark/>
          </w:tcPr>
          <w:p w14:paraId="7DE27015" w14:textId="77777777" w:rsidR="00A82A34" w:rsidRDefault="00A82A34">
            <w:pPr>
              <w:pStyle w:val="TableHeaders"/>
              <w:rPr>
                <w:rFonts w:ascii="Calibri" w:hAnsi="Calibri"/>
              </w:rPr>
            </w:pPr>
            <w:r>
              <w:rPr>
                <w:rFonts w:ascii="Calibri" w:hAnsi="Calibri"/>
              </w:rPr>
              <w:t>Project Activity</w:t>
            </w:r>
          </w:p>
        </w:tc>
        <w:tc>
          <w:tcPr>
            <w:tcW w:w="4214" w:type="dxa"/>
            <w:tcBorders>
              <w:top w:val="single" w:sz="12" w:space="0" w:color="auto"/>
              <w:left w:val="nil"/>
              <w:bottom w:val="single" w:sz="8" w:space="0" w:color="auto"/>
              <w:right w:val="nil"/>
            </w:tcBorders>
            <w:tcMar>
              <w:top w:w="29" w:type="dxa"/>
              <w:left w:w="72" w:type="dxa"/>
              <w:bottom w:w="0" w:type="dxa"/>
              <w:right w:w="72" w:type="dxa"/>
            </w:tcMar>
            <w:hideMark/>
          </w:tcPr>
          <w:p w14:paraId="72F2D741" w14:textId="77777777" w:rsidR="00A82A34" w:rsidRDefault="00A82A34">
            <w:pPr>
              <w:pStyle w:val="TableHeaders"/>
              <w:rPr>
                <w:rFonts w:ascii="Calibri" w:hAnsi="Calibri"/>
              </w:rPr>
            </w:pPr>
            <w:r>
              <w:rPr>
                <w:rFonts w:ascii="Calibri" w:hAnsi="Calibri"/>
              </w:rPr>
              <w:t>Date</w:t>
            </w:r>
          </w:p>
        </w:tc>
      </w:tr>
      <w:tr w:rsidR="00A82A34" w14:paraId="3C8C9AE6" w14:textId="77777777" w:rsidTr="00A82A34">
        <w:tc>
          <w:tcPr>
            <w:tcW w:w="5490" w:type="dxa"/>
            <w:tcMar>
              <w:top w:w="0" w:type="dxa"/>
              <w:left w:w="72" w:type="dxa"/>
              <w:bottom w:w="0" w:type="dxa"/>
              <w:right w:w="72" w:type="dxa"/>
            </w:tcMar>
            <w:hideMark/>
          </w:tcPr>
          <w:p w14:paraId="40874DDA" w14:textId="77777777" w:rsidR="00A82A34" w:rsidRDefault="00A82A34">
            <w:pPr>
              <w:spacing w:before="40" w:after="40"/>
              <w:rPr>
                <w:rFonts w:ascii="Calibri" w:hAnsi="Calibri"/>
                <w:sz w:val="22"/>
                <w:szCs w:val="22"/>
              </w:rPr>
            </w:pPr>
            <w:r>
              <w:rPr>
                <w:rFonts w:ascii="Calibri" w:hAnsi="Calibri"/>
                <w:sz w:val="22"/>
                <w:szCs w:val="22"/>
              </w:rPr>
              <w:t>Wave A smoker and nonsmoker data collection</w:t>
            </w:r>
          </w:p>
        </w:tc>
        <w:tc>
          <w:tcPr>
            <w:tcW w:w="4214" w:type="dxa"/>
            <w:tcMar>
              <w:top w:w="0" w:type="dxa"/>
              <w:left w:w="72" w:type="dxa"/>
              <w:bottom w:w="0" w:type="dxa"/>
              <w:right w:w="72" w:type="dxa"/>
            </w:tcMar>
            <w:hideMark/>
          </w:tcPr>
          <w:p w14:paraId="21C27844" w14:textId="77777777" w:rsidR="00A82A34" w:rsidRDefault="00A82A34">
            <w:pPr>
              <w:spacing w:before="40" w:after="40"/>
              <w:rPr>
                <w:rFonts w:ascii="Calibri" w:hAnsi="Calibri"/>
                <w:sz w:val="22"/>
                <w:szCs w:val="22"/>
              </w:rPr>
            </w:pPr>
            <w:r>
              <w:rPr>
                <w:rFonts w:ascii="Calibri" w:hAnsi="Calibri"/>
                <w:sz w:val="22"/>
                <w:szCs w:val="22"/>
              </w:rPr>
              <w:t>September-October 2015</w:t>
            </w:r>
          </w:p>
        </w:tc>
      </w:tr>
      <w:tr w:rsidR="00A82A34" w14:paraId="10120BB6" w14:textId="77777777" w:rsidTr="00A82A34">
        <w:tc>
          <w:tcPr>
            <w:tcW w:w="5490" w:type="dxa"/>
            <w:tcMar>
              <w:top w:w="0" w:type="dxa"/>
              <w:left w:w="72" w:type="dxa"/>
              <w:bottom w:w="0" w:type="dxa"/>
              <w:right w:w="72" w:type="dxa"/>
            </w:tcMar>
            <w:hideMark/>
          </w:tcPr>
          <w:p w14:paraId="791F4D5B" w14:textId="77777777" w:rsidR="00A82A34" w:rsidRDefault="00A82A34">
            <w:pPr>
              <w:spacing w:before="40" w:after="40"/>
              <w:rPr>
                <w:rFonts w:ascii="Calibri" w:hAnsi="Calibri"/>
                <w:sz w:val="22"/>
                <w:szCs w:val="22"/>
              </w:rPr>
            </w:pPr>
            <w:r>
              <w:rPr>
                <w:rFonts w:ascii="Calibri" w:hAnsi="Calibri"/>
                <w:sz w:val="22"/>
                <w:szCs w:val="22"/>
              </w:rPr>
              <w:t>Wave B smoker and nonsmoker data collection</w:t>
            </w:r>
          </w:p>
        </w:tc>
        <w:tc>
          <w:tcPr>
            <w:tcW w:w="4214" w:type="dxa"/>
            <w:tcMar>
              <w:top w:w="0" w:type="dxa"/>
              <w:left w:w="72" w:type="dxa"/>
              <w:bottom w:w="0" w:type="dxa"/>
              <w:right w:w="72" w:type="dxa"/>
            </w:tcMar>
            <w:hideMark/>
          </w:tcPr>
          <w:p w14:paraId="40E79A2A" w14:textId="77777777" w:rsidR="00A82A34" w:rsidRDefault="00A82A34">
            <w:pPr>
              <w:spacing w:before="40" w:after="40"/>
              <w:rPr>
                <w:rFonts w:ascii="Calibri" w:hAnsi="Calibri"/>
                <w:sz w:val="22"/>
                <w:szCs w:val="22"/>
              </w:rPr>
            </w:pPr>
            <w:r>
              <w:rPr>
                <w:rFonts w:ascii="Calibri" w:hAnsi="Calibri"/>
                <w:sz w:val="22"/>
                <w:szCs w:val="22"/>
              </w:rPr>
              <w:t>March—June 2016</w:t>
            </w:r>
          </w:p>
        </w:tc>
      </w:tr>
      <w:tr w:rsidR="00A82A34" w14:paraId="08DE9846" w14:textId="77777777" w:rsidTr="00A82A34">
        <w:tc>
          <w:tcPr>
            <w:tcW w:w="5490" w:type="dxa"/>
            <w:tcMar>
              <w:top w:w="0" w:type="dxa"/>
              <w:left w:w="72" w:type="dxa"/>
              <w:bottom w:w="0" w:type="dxa"/>
              <w:right w:w="72" w:type="dxa"/>
            </w:tcMar>
            <w:hideMark/>
          </w:tcPr>
          <w:p w14:paraId="1F57FF6A" w14:textId="77777777" w:rsidR="00A82A34" w:rsidRDefault="00A82A34">
            <w:pPr>
              <w:spacing w:before="40" w:after="40"/>
              <w:rPr>
                <w:rFonts w:ascii="Calibri" w:hAnsi="Calibri"/>
                <w:sz w:val="22"/>
                <w:szCs w:val="22"/>
              </w:rPr>
            </w:pPr>
            <w:r>
              <w:rPr>
                <w:rFonts w:ascii="Calibri" w:hAnsi="Calibri"/>
                <w:sz w:val="22"/>
                <w:szCs w:val="22"/>
              </w:rPr>
              <w:t>Wave C smoker and nonsmoker data collection</w:t>
            </w:r>
          </w:p>
        </w:tc>
        <w:tc>
          <w:tcPr>
            <w:tcW w:w="4214" w:type="dxa"/>
            <w:tcMar>
              <w:top w:w="0" w:type="dxa"/>
              <w:left w:w="72" w:type="dxa"/>
              <w:bottom w:w="0" w:type="dxa"/>
              <w:right w:w="72" w:type="dxa"/>
            </w:tcMar>
            <w:hideMark/>
          </w:tcPr>
          <w:p w14:paraId="0DEE4520" w14:textId="77777777" w:rsidR="00A82A34" w:rsidRDefault="00A82A34">
            <w:pPr>
              <w:spacing w:before="40" w:after="40"/>
              <w:rPr>
                <w:rFonts w:ascii="Calibri" w:hAnsi="Calibri"/>
                <w:sz w:val="22"/>
                <w:szCs w:val="22"/>
              </w:rPr>
            </w:pPr>
            <w:r>
              <w:rPr>
                <w:rFonts w:ascii="Calibri" w:hAnsi="Calibri"/>
                <w:sz w:val="22"/>
                <w:szCs w:val="22"/>
              </w:rPr>
              <w:t>July 2016–September 2016</w:t>
            </w:r>
          </w:p>
        </w:tc>
      </w:tr>
      <w:tr w:rsidR="00A82A34" w14:paraId="48068236" w14:textId="77777777" w:rsidTr="00A82A34">
        <w:tc>
          <w:tcPr>
            <w:tcW w:w="5490" w:type="dxa"/>
            <w:tcMar>
              <w:top w:w="0" w:type="dxa"/>
              <w:left w:w="72" w:type="dxa"/>
              <w:bottom w:w="0" w:type="dxa"/>
              <w:right w:w="72" w:type="dxa"/>
            </w:tcMar>
            <w:hideMark/>
          </w:tcPr>
          <w:p w14:paraId="5E845905" w14:textId="77777777" w:rsidR="00A82A34" w:rsidRDefault="00A82A34">
            <w:pPr>
              <w:spacing w:before="40" w:after="40"/>
              <w:rPr>
                <w:rFonts w:ascii="Calibri" w:hAnsi="Calibri"/>
                <w:sz w:val="22"/>
                <w:szCs w:val="22"/>
              </w:rPr>
            </w:pPr>
            <w:r>
              <w:rPr>
                <w:rFonts w:ascii="Calibri" w:hAnsi="Calibri"/>
                <w:sz w:val="22"/>
                <w:szCs w:val="22"/>
              </w:rPr>
              <w:t>Wave D smoker and nonsmoker data collection</w:t>
            </w:r>
          </w:p>
        </w:tc>
        <w:tc>
          <w:tcPr>
            <w:tcW w:w="4214" w:type="dxa"/>
            <w:tcMar>
              <w:top w:w="0" w:type="dxa"/>
              <w:left w:w="72" w:type="dxa"/>
              <w:bottom w:w="0" w:type="dxa"/>
              <w:right w:w="72" w:type="dxa"/>
            </w:tcMar>
            <w:hideMark/>
          </w:tcPr>
          <w:p w14:paraId="1657F95F" w14:textId="77777777" w:rsidR="00A82A34" w:rsidRDefault="00A82A34">
            <w:pPr>
              <w:spacing w:before="40" w:after="40"/>
              <w:rPr>
                <w:rFonts w:ascii="Calibri" w:hAnsi="Calibri"/>
                <w:sz w:val="22"/>
                <w:szCs w:val="22"/>
              </w:rPr>
            </w:pPr>
            <w:r>
              <w:rPr>
                <w:rFonts w:ascii="Calibri" w:hAnsi="Calibri"/>
                <w:sz w:val="22"/>
                <w:szCs w:val="22"/>
              </w:rPr>
              <w:t>October–December 2016</w:t>
            </w:r>
          </w:p>
        </w:tc>
      </w:tr>
      <w:tr w:rsidR="00A82A34" w14:paraId="5BFC0B9E" w14:textId="77777777" w:rsidTr="00A82A34">
        <w:tc>
          <w:tcPr>
            <w:tcW w:w="5490" w:type="dxa"/>
            <w:tcMar>
              <w:top w:w="0" w:type="dxa"/>
              <w:left w:w="72" w:type="dxa"/>
              <w:bottom w:w="0" w:type="dxa"/>
              <w:right w:w="72" w:type="dxa"/>
            </w:tcMar>
            <w:hideMark/>
          </w:tcPr>
          <w:p w14:paraId="3CBE1D25" w14:textId="77777777" w:rsidR="00A82A34" w:rsidRDefault="00A82A34">
            <w:pPr>
              <w:spacing w:before="40" w:after="40"/>
              <w:rPr>
                <w:rFonts w:ascii="Calibri" w:hAnsi="Calibri"/>
                <w:szCs w:val="24"/>
              </w:rPr>
            </w:pPr>
            <w:r>
              <w:rPr>
                <w:rFonts w:ascii="Calibri" w:hAnsi="Calibri"/>
                <w:sz w:val="22"/>
                <w:szCs w:val="22"/>
              </w:rPr>
              <w:t>Preparation of analytic data file</w:t>
            </w:r>
          </w:p>
        </w:tc>
        <w:tc>
          <w:tcPr>
            <w:tcW w:w="4214" w:type="dxa"/>
            <w:tcMar>
              <w:top w:w="0" w:type="dxa"/>
              <w:left w:w="72" w:type="dxa"/>
              <w:bottom w:w="0" w:type="dxa"/>
              <w:right w:w="72" w:type="dxa"/>
            </w:tcMar>
            <w:hideMark/>
          </w:tcPr>
          <w:p w14:paraId="6470F1E0" w14:textId="77777777" w:rsidR="00A82A34" w:rsidRDefault="00A82A34">
            <w:pPr>
              <w:spacing w:before="40" w:after="40"/>
              <w:rPr>
                <w:rFonts w:ascii="Calibri" w:hAnsi="Calibri"/>
              </w:rPr>
            </w:pPr>
            <w:r>
              <w:rPr>
                <w:rFonts w:ascii="Calibri" w:hAnsi="Calibri"/>
                <w:sz w:val="22"/>
                <w:szCs w:val="22"/>
              </w:rPr>
              <w:t xml:space="preserve">2-4 weeks after completion of data collection </w:t>
            </w:r>
          </w:p>
        </w:tc>
      </w:tr>
      <w:tr w:rsidR="00A82A34" w14:paraId="7B8E3130" w14:textId="77777777" w:rsidTr="00A82A34">
        <w:tc>
          <w:tcPr>
            <w:tcW w:w="5490" w:type="dxa"/>
            <w:tcMar>
              <w:top w:w="0" w:type="dxa"/>
              <w:left w:w="72" w:type="dxa"/>
              <w:bottom w:w="0" w:type="dxa"/>
              <w:right w:w="72" w:type="dxa"/>
            </w:tcMar>
            <w:hideMark/>
          </w:tcPr>
          <w:p w14:paraId="6F56A628" w14:textId="77777777" w:rsidR="00A82A34" w:rsidRDefault="00A82A34">
            <w:pPr>
              <w:spacing w:before="40" w:after="40"/>
              <w:rPr>
                <w:rFonts w:ascii="Calibri" w:hAnsi="Calibri"/>
              </w:rPr>
            </w:pPr>
            <w:r>
              <w:rPr>
                <w:rFonts w:ascii="Calibri" w:hAnsi="Calibri"/>
                <w:sz w:val="22"/>
                <w:szCs w:val="22"/>
              </w:rPr>
              <w:t>Data analysis</w:t>
            </w:r>
          </w:p>
        </w:tc>
        <w:tc>
          <w:tcPr>
            <w:tcW w:w="4214" w:type="dxa"/>
            <w:tcMar>
              <w:top w:w="0" w:type="dxa"/>
              <w:left w:w="72" w:type="dxa"/>
              <w:bottom w:w="0" w:type="dxa"/>
              <w:right w:w="72" w:type="dxa"/>
            </w:tcMar>
            <w:hideMark/>
          </w:tcPr>
          <w:p w14:paraId="6A312CBD" w14:textId="77777777" w:rsidR="00A82A34" w:rsidRDefault="00A82A34">
            <w:pPr>
              <w:spacing w:before="40" w:after="40"/>
              <w:rPr>
                <w:rFonts w:ascii="Calibri" w:hAnsi="Calibri"/>
              </w:rPr>
            </w:pPr>
            <w:r>
              <w:rPr>
                <w:rFonts w:ascii="Calibri" w:hAnsi="Calibri"/>
                <w:sz w:val="22"/>
                <w:szCs w:val="22"/>
              </w:rPr>
              <w:t>Ongoing beginning 2 weeks after Wave A completion</w:t>
            </w:r>
          </w:p>
        </w:tc>
      </w:tr>
      <w:tr w:rsidR="00A82A34" w14:paraId="2FB21D5D" w14:textId="77777777" w:rsidTr="00A82A34">
        <w:tc>
          <w:tcPr>
            <w:tcW w:w="5490" w:type="dxa"/>
            <w:tcBorders>
              <w:top w:val="nil"/>
              <w:left w:val="nil"/>
              <w:bottom w:val="single" w:sz="8" w:space="0" w:color="auto"/>
              <w:right w:val="nil"/>
            </w:tcBorders>
            <w:tcMar>
              <w:top w:w="0" w:type="dxa"/>
              <w:left w:w="72" w:type="dxa"/>
              <w:bottom w:w="0" w:type="dxa"/>
              <w:right w:w="72" w:type="dxa"/>
            </w:tcMar>
            <w:hideMark/>
          </w:tcPr>
          <w:p w14:paraId="1901F92C" w14:textId="77777777" w:rsidR="00A82A34" w:rsidRDefault="00A82A34">
            <w:pPr>
              <w:spacing w:before="40" w:after="40"/>
              <w:rPr>
                <w:rFonts w:ascii="Calibri" w:hAnsi="Calibri"/>
              </w:rPr>
            </w:pPr>
            <w:r>
              <w:rPr>
                <w:rFonts w:ascii="Calibri" w:hAnsi="Calibri"/>
                <w:sz w:val="22"/>
                <w:szCs w:val="22"/>
              </w:rPr>
              <w:t>Report writing and dissemination</w:t>
            </w:r>
          </w:p>
        </w:tc>
        <w:tc>
          <w:tcPr>
            <w:tcW w:w="4214" w:type="dxa"/>
            <w:tcBorders>
              <w:top w:val="nil"/>
              <w:left w:val="nil"/>
              <w:bottom w:val="single" w:sz="8" w:space="0" w:color="auto"/>
              <w:right w:val="nil"/>
            </w:tcBorders>
            <w:tcMar>
              <w:top w:w="0" w:type="dxa"/>
              <w:left w:w="72" w:type="dxa"/>
              <w:bottom w:w="0" w:type="dxa"/>
              <w:right w:w="72" w:type="dxa"/>
            </w:tcMar>
            <w:hideMark/>
          </w:tcPr>
          <w:p w14:paraId="7BC0D4D6" w14:textId="77777777" w:rsidR="00A82A34" w:rsidRDefault="00A82A34">
            <w:pPr>
              <w:spacing w:before="40" w:after="40"/>
              <w:rPr>
                <w:rFonts w:ascii="Calibri" w:hAnsi="Calibri"/>
              </w:rPr>
            </w:pPr>
            <w:r>
              <w:rPr>
                <w:rFonts w:ascii="Calibri" w:hAnsi="Calibri"/>
                <w:sz w:val="22"/>
                <w:szCs w:val="22"/>
              </w:rPr>
              <w:t>Ongoing during data collection</w:t>
            </w:r>
          </w:p>
        </w:tc>
      </w:tr>
      <w:bookmarkEnd w:id="9"/>
      <w:bookmarkEnd w:id="10"/>
      <w:bookmarkEnd w:id="11"/>
      <w:bookmarkEnd w:id="12"/>
    </w:tbl>
    <w:p w14:paraId="65F88D82" w14:textId="77777777"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0B599B42" w14:textId="77777777" w:rsidR="00E23101" w:rsidRDefault="00E2310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07A5DD17" w14:textId="77777777" w:rsidR="0035525E" w:rsidRPr="00824350" w:rsidRDefault="0035525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t>A.17.       Reason(s) Display of OMB Expiration Date is Inappropriate</w:t>
      </w:r>
    </w:p>
    <w:p w14:paraId="011F71FB" w14:textId="77777777" w:rsidR="0035525E" w:rsidRPr="00824350" w:rsidRDefault="0035525E" w:rsidP="007C4151">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29EA18A5" w14:textId="77777777" w:rsidR="00DE57A9" w:rsidRDefault="007C4151" w:rsidP="00DE57A9">
      <w:pPr>
        <w:pStyle w:val="BodyText2"/>
        <w:tabs>
          <w:tab w:val="left" w:pos="1170"/>
        </w:tabs>
        <w:rPr>
          <w:rFonts w:ascii="Calibri" w:hAnsi="Calibri" w:cs="Calibri"/>
          <w:szCs w:val="24"/>
        </w:rPr>
      </w:pPr>
      <w:r>
        <w:rPr>
          <w:rFonts w:ascii="Calibri" w:hAnsi="Calibri" w:cs="Calibri"/>
          <w:szCs w:val="24"/>
        </w:rPr>
        <w:tab/>
      </w:r>
      <w:r w:rsidR="0035525E" w:rsidRPr="00824350">
        <w:rPr>
          <w:rFonts w:ascii="Calibri" w:hAnsi="Calibri" w:cs="Calibri"/>
          <w:szCs w:val="24"/>
        </w:rPr>
        <w:t xml:space="preserve">Not applicable.  All data collection instruments will display the expiration date for OMB approval of the information collection. </w:t>
      </w:r>
    </w:p>
    <w:p w14:paraId="05D20F34" w14:textId="14C0420B" w:rsidR="0035525E" w:rsidRPr="00824350" w:rsidRDefault="0035525E" w:rsidP="00DE57A9">
      <w:pPr>
        <w:pStyle w:val="BodyText2"/>
        <w:tabs>
          <w:tab w:val="left" w:pos="1170"/>
        </w:tabs>
        <w:rPr>
          <w:rFonts w:ascii="Calibri" w:hAnsi="Calibri" w:cs="Calibri"/>
          <w:szCs w:val="24"/>
        </w:rPr>
      </w:pPr>
      <w:r w:rsidRPr="00824350">
        <w:rPr>
          <w:rFonts w:ascii="Calibri" w:hAnsi="Calibri" w:cs="Calibri"/>
          <w:b/>
          <w:szCs w:val="24"/>
        </w:rPr>
        <w:t>A.18.       Exceptions to the Certification Statement</w:t>
      </w:r>
    </w:p>
    <w:p w14:paraId="669E048C" w14:textId="77777777" w:rsidR="0035525E" w:rsidRPr="00824350" w:rsidRDefault="0035525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Calibri" w:hAnsi="Calibri" w:cs="Calibri"/>
          <w:szCs w:val="24"/>
        </w:rPr>
      </w:pPr>
    </w:p>
    <w:p w14:paraId="572153B6" w14:textId="77777777" w:rsidR="0035525E" w:rsidRPr="00824350" w:rsidRDefault="007C4151" w:rsidP="007E3203">
      <w:pPr>
        <w:pStyle w:val="BodyText2"/>
        <w:tabs>
          <w:tab w:val="left" w:pos="1170"/>
        </w:tabs>
        <w:rPr>
          <w:rFonts w:ascii="Calibri" w:hAnsi="Calibri" w:cs="Calibri"/>
          <w:szCs w:val="24"/>
        </w:rPr>
      </w:pPr>
      <w:r>
        <w:rPr>
          <w:rFonts w:ascii="Calibri" w:hAnsi="Calibri" w:cs="Calibri"/>
          <w:szCs w:val="24"/>
        </w:rPr>
        <w:tab/>
      </w:r>
      <w:r w:rsidR="0035525E" w:rsidRPr="00824350">
        <w:rPr>
          <w:rFonts w:ascii="Calibri" w:hAnsi="Calibri" w:cs="Calibri"/>
          <w:szCs w:val="24"/>
        </w:rPr>
        <w:t>Not applicable.  No exceptions to the certification statement are being sought.</w:t>
      </w:r>
    </w:p>
    <w:p w14:paraId="349559B0" w14:textId="77777777" w:rsidR="0035525E" w:rsidRPr="00824350" w:rsidRDefault="0035525E" w:rsidP="007E3203">
      <w:pPr>
        <w:rPr>
          <w:rFonts w:ascii="Calibri" w:hAnsi="Calibri" w:cs="Calibri"/>
          <w:szCs w:val="24"/>
        </w:rPr>
      </w:pPr>
      <w:r w:rsidRPr="00824350">
        <w:rPr>
          <w:rFonts w:ascii="Calibri" w:hAnsi="Calibri" w:cs="Calibri"/>
          <w:szCs w:val="24"/>
        </w:rPr>
        <w:br w:type="page"/>
      </w:r>
    </w:p>
    <w:p w14:paraId="609E9658" w14:textId="77777777" w:rsidR="0035525E" w:rsidRPr="00824350" w:rsidRDefault="0035525E" w:rsidP="00C41927">
      <w:pPr>
        <w:jc w:val="center"/>
        <w:rPr>
          <w:rFonts w:ascii="Calibri" w:hAnsi="Calibri" w:cs="Calibri"/>
          <w:b/>
          <w:bCs/>
        </w:rPr>
      </w:pPr>
      <w:r w:rsidRPr="00824350">
        <w:rPr>
          <w:rFonts w:ascii="Calibri" w:hAnsi="Calibri" w:cs="Calibri"/>
          <w:b/>
          <w:bCs/>
        </w:rPr>
        <w:t>References</w:t>
      </w:r>
    </w:p>
    <w:p w14:paraId="3EFA8CE7" w14:textId="77777777" w:rsidR="0035525E" w:rsidRPr="00824350" w:rsidRDefault="0035525E" w:rsidP="00C41927">
      <w:pPr>
        <w:jc w:val="center"/>
        <w:rPr>
          <w:rFonts w:ascii="Calibri" w:hAnsi="Calibri" w:cs="Calibri"/>
        </w:rPr>
      </w:pPr>
    </w:p>
    <w:p w14:paraId="2CFC5914" w14:textId="77777777" w:rsidR="0035525E" w:rsidRPr="00824350" w:rsidRDefault="0035525E" w:rsidP="00C41927">
      <w:pPr>
        <w:rPr>
          <w:rFonts w:ascii="Calibri" w:hAnsi="Calibri" w:cs="Calibri"/>
        </w:rPr>
      </w:pPr>
    </w:p>
    <w:p w14:paraId="67F221F7" w14:textId="77777777" w:rsidR="0035525E" w:rsidRPr="00824350" w:rsidRDefault="0035525E" w:rsidP="00C41927">
      <w:pPr>
        <w:pStyle w:val="biblio"/>
        <w:rPr>
          <w:rFonts w:ascii="Calibri" w:hAnsi="Calibri" w:cs="Calibri"/>
        </w:rPr>
      </w:pPr>
      <w:r w:rsidRPr="00824350">
        <w:rPr>
          <w:rFonts w:ascii="Calibri" w:hAnsi="Calibri" w:cs="Calibri"/>
          <w:lang w:val="de-DE"/>
        </w:rPr>
        <w:t>Abreu, D.A., &amp; Winters, F. (1999</w:t>
      </w:r>
      <w:r w:rsidRPr="00824350">
        <w:rPr>
          <w:rFonts w:ascii="Calibri" w:hAnsi="Calibri" w:cs="Calibri"/>
          <w:i/>
          <w:lang w:val="de-DE"/>
        </w:rPr>
        <w:t xml:space="preserve">). </w:t>
      </w:r>
      <w:r w:rsidRPr="00824350">
        <w:rPr>
          <w:rFonts w:ascii="Calibri" w:hAnsi="Calibri" w:cs="Calibri"/>
          <w:i/>
        </w:rPr>
        <w:t>Using monetary incentives to reduce attrition in the survey of income and program participation.</w:t>
      </w:r>
      <w:r w:rsidRPr="00824350">
        <w:rPr>
          <w:rFonts w:ascii="Calibri" w:hAnsi="Calibri" w:cs="Calibri"/>
        </w:rPr>
        <w:t xml:space="preserve"> Proceedings of the Survey Research Methods Section of the American Statistical Association.</w:t>
      </w:r>
    </w:p>
    <w:p w14:paraId="4F0DE86E" w14:textId="77777777" w:rsidR="0035525E" w:rsidRPr="00824350" w:rsidRDefault="0035525E" w:rsidP="00C41927">
      <w:pPr>
        <w:pStyle w:val="biblio"/>
        <w:rPr>
          <w:rFonts w:ascii="Calibri" w:hAnsi="Calibri" w:cs="Calibri"/>
        </w:rPr>
      </w:pPr>
      <w:r w:rsidRPr="00824350">
        <w:rPr>
          <w:rFonts w:ascii="Calibri" w:hAnsi="Calibri" w:cs="Calibri"/>
        </w:rPr>
        <w:t xml:space="preserve">Chang L. &amp; Krosnick J.A. (2009). National surveys via RDD telephone interviewing versus the Internet: comparing sample representativeness and response quality. </w:t>
      </w:r>
      <w:r w:rsidRPr="00824350">
        <w:rPr>
          <w:rFonts w:ascii="Calibri" w:hAnsi="Calibri" w:cs="Calibri"/>
          <w:i/>
          <w:iCs/>
        </w:rPr>
        <w:t>Public Opinion Quarterly</w:t>
      </w:r>
      <w:r w:rsidRPr="00824350">
        <w:rPr>
          <w:rFonts w:ascii="Calibri" w:hAnsi="Calibri" w:cs="Calibri"/>
        </w:rPr>
        <w:t>. 74(4):641-678</w:t>
      </w:r>
    </w:p>
    <w:p w14:paraId="2DF708E8" w14:textId="189EFB01" w:rsidR="003472FB" w:rsidRPr="000F4FE7" w:rsidRDefault="003472FB" w:rsidP="00C41927">
      <w:pPr>
        <w:pStyle w:val="biblio"/>
        <w:rPr>
          <w:rFonts w:asciiTheme="minorHAnsi" w:hAnsiTheme="minorHAnsi" w:cs="Arial"/>
          <w:color w:val="222222"/>
        </w:rPr>
      </w:pPr>
      <w:r w:rsidRPr="000F4FE7">
        <w:rPr>
          <w:rFonts w:asciiTheme="minorHAnsi" w:hAnsiTheme="minorHAnsi" w:cs="Arial"/>
          <w:color w:val="222222"/>
        </w:rPr>
        <w:t xml:space="preserve">McAfee, T., Davis, K. C., Alexander, R. L., et al. (2013). Effect of the first federally funded US antismoking national media campaign. </w:t>
      </w:r>
      <w:r w:rsidRPr="000F4FE7">
        <w:rPr>
          <w:rFonts w:asciiTheme="minorHAnsi" w:hAnsiTheme="minorHAnsi" w:cs="Arial"/>
          <w:i/>
          <w:iCs/>
          <w:color w:val="222222"/>
        </w:rPr>
        <w:t>The Lancet</w:t>
      </w:r>
      <w:r w:rsidRPr="000F4FE7">
        <w:rPr>
          <w:rFonts w:asciiTheme="minorHAnsi" w:hAnsiTheme="minorHAnsi" w:cs="Arial"/>
          <w:color w:val="222222"/>
        </w:rPr>
        <w:t xml:space="preserve">, </w:t>
      </w:r>
      <w:r w:rsidRPr="000F4FE7">
        <w:rPr>
          <w:rFonts w:asciiTheme="minorHAnsi" w:hAnsiTheme="minorHAnsi" w:cs="Arial"/>
          <w:i/>
          <w:iCs/>
          <w:color w:val="222222"/>
        </w:rPr>
        <w:t>382</w:t>
      </w:r>
      <w:r w:rsidRPr="000F4FE7">
        <w:rPr>
          <w:rFonts w:asciiTheme="minorHAnsi" w:hAnsiTheme="minorHAnsi" w:cs="Arial"/>
          <w:color w:val="222222"/>
        </w:rPr>
        <w:t>(9909), 2003-2011</w:t>
      </w:r>
    </w:p>
    <w:p w14:paraId="639AACC9" w14:textId="791D831F" w:rsidR="0035525E" w:rsidRPr="00824350" w:rsidRDefault="0035525E" w:rsidP="00C41927">
      <w:pPr>
        <w:pStyle w:val="biblio"/>
        <w:rPr>
          <w:rFonts w:ascii="Calibri" w:hAnsi="Calibri" w:cs="Calibri"/>
        </w:rPr>
      </w:pPr>
      <w:r w:rsidRPr="00824350">
        <w:rPr>
          <w:rFonts w:ascii="Calibri" w:hAnsi="Calibri" w:cs="Calibri"/>
        </w:rPr>
        <w:t xml:space="preserve">Shettle, C., &amp; Mooney, G. (1999). Monetary incentives in U.S. government surveys. </w:t>
      </w:r>
      <w:r w:rsidRPr="00824350">
        <w:rPr>
          <w:rFonts w:ascii="Calibri" w:hAnsi="Calibri" w:cs="Calibri"/>
          <w:i/>
        </w:rPr>
        <w:t>Journal of Official Statistics, 15</w:t>
      </w:r>
      <w:r w:rsidRPr="00824350">
        <w:rPr>
          <w:rFonts w:ascii="Calibri" w:hAnsi="Calibri" w:cs="Calibri"/>
        </w:rPr>
        <w:t>, 231-250.</w:t>
      </w:r>
    </w:p>
    <w:p w14:paraId="3FE37948" w14:textId="77777777" w:rsidR="0035525E" w:rsidRPr="00824350" w:rsidRDefault="0035525E" w:rsidP="00C41927">
      <w:pPr>
        <w:rPr>
          <w:rFonts w:ascii="Calibri" w:hAnsi="Calibri" w:cs="Calibri"/>
        </w:rPr>
      </w:pPr>
      <w:r w:rsidRPr="00824350">
        <w:rPr>
          <w:rFonts w:ascii="Calibri" w:hAnsi="Calibri" w:cs="Calibri"/>
        </w:rPr>
        <w:t xml:space="preserve">Southwell B, Barmada C, Hornik R, et al. (2002).Can we measure encoded exposure? Validation </w:t>
      </w:r>
    </w:p>
    <w:p w14:paraId="14B085F7" w14:textId="77777777" w:rsidR="0035525E" w:rsidRPr="00824350" w:rsidRDefault="0035525E" w:rsidP="00C41927">
      <w:pPr>
        <w:ind w:firstLine="720"/>
        <w:rPr>
          <w:rFonts w:ascii="Calibri" w:hAnsi="Calibri" w:cs="Calibri"/>
        </w:rPr>
      </w:pPr>
      <w:r w:rsidRPr="00824350">
        <w:rPr>
          <w:rFonts w:ascii="Calibri" w:hAnsi="Calibri" w:cs="Calibri"/>
        </w:rPr>
        <w:t xml:space="preserve">evidence from a national campaign. </w:t>
      </w:r>
      <w:r w:rsidRPr="00824350">
        <w:rPr>
          <w:rFonts w:ascii="Calibri" w:hAnsi="Calibri" w:cs="Calibri"/>
          <w:i/>
          <w:iCs/>
        </w:rPr>
        <w:t>J Health Commun</w:t>
      </w:r>
      <w:r w:rsidRPr="00824350">
        <w:rPr>
          <w:rFonts w:ascii="Calibri" w:hAnsi="Calibri" w:cs="Calibri"/>
        </w:rPr>
        <w:t>, 7:445-453.</w:t>
      </w:r>
    </w:p>
    <w:p w14:paraId="53102128" w14:textId="77777777" w:rsidR="0035525E" w:rsidRPr="00824350" w:rsidRDefault="0035525E" w:rsidP="00C41927">
      <w:pPr>
        <w:rPr>
          <w:rFonts w:ascii="Calibri" w:hAnsi="Calibri" w:cs="Calibri"/>
        </w:rPr>
      </w:pPr>
    </w:p>
    <w:p w14:paraId="2CD4DFDD" w14:textId="77777777" w:rsidR="0035525E" w:rsidRPr="00824350" w:rsidRDefault="0035525E" w:rsidP="00C41927">
      <w:pPr>
        <w:rPr>
          <w:rFonts w:ascii="Calibri" w:hAnsi="Calibri" w:cs="Calibri"/>
        </w:rPr>
      </w:pPr>
      <w:r w:rsidRPr="00824350">
        <w:rPr>
          <w:rFonts w:ascii="Calibri" w:hAnsi="Calibri" w:cs="Calibri"/>
        </w:rPr>
        <w:t xml:space="preserve">Yeager D.S., Krosnick J.A., Chang L., et al. (2011). Comparing the accuracy of RDD telephone </w:t>
      </w:r>
    </w:p>
    <w:p w14:paraId="7D9CDD13" w14:textId="77777777" w:rsidR="0035525E" w:rsidRDefault="0035525E" w:rsidP="00C41927">
      <w:pPr>
        <w:ind w:left="720"/>
        <w:rPr>
          <w:rFonts w:ascii="Calibri" w:hAnsi="Calibri" w:cs="Calibri"/>
        </w:rPr>
      </w:pPr>
      <w:r w:rsidRPr="00824350">
        <w:rPr>
          <w:rFonts w:ascii="Calibri" w:hAnsi="Calibri" w:cs="Calibri"/>
        </w:rPr>
        <w:t xml:space="preserve">surveys and Internet surveys conducted with probability and non-probability samples. </w:t>
      </w:r>
      <w:r w:rsidRPr="00824350">
        <w:rPr>
          <w:rFonts w:ascii="Calibri" w:hAnsi="Calibri" w:cs="Calibri"/>
          <w:i/>
          <w:iCs/>
        </w:rPr>
        <w:t>Public Opinion Quarterly</w:t>
      </w:r>
      <w:r w:rsidRPr="00824350">
        <w:rPr>
          <w:rFonts w:ascii="Calibri" w:hAnsi="Calibri" w:cs="Calibri"/>
        </w:rPr>
        <w:t>. 75(4):709-747.</w:t>
      </w:r>
    </w:p>
    <w:p w14:paraId="157AE16B" w14:textId="77777777" w:rsidR="000F4FE7" w:rsidRPr="00824350" w:rsidRDefault="000F4FE7" w:rsidP="00C41927">
      <w:pPr>
        <w:ind w:left="720"/>
        <w:rPr>
          <w:rFonts w:ascii="Calibri" w:hAnsi="Calibri" w:cs="Calibri"/>
        </w:rPr>
      </w:pPr>
    </w:p>
    <w:p w14:paraId="05DA2029" w14:textId="0EB50460" w:rsidR="0035525E" w:rsidRPr="000F4FE7" w:rsidRDefault="003472FB" w:rsidP="000F4FE7">
      <w:pPr>
        <w:rPr>
          <w:rFonts w:asciiTheme="minorHAnsi" w:hAnsiTheme="minorHAnsi" w:cs="Calibri"/>
          <w:szCs w:val="24"/>
        </w:rPr>
      </w:pPr>
      <w:r w:rsidRPr="000F4FE7">
        <w:rPr>
          <w:rFonts w:asciiTheme="minorHAnsi" w:hAnsiTheme="minorHAnsi" w:cs="Arial"/>
          <w:color w:val="222222"/>
          <w:szCs w:val="24"/>
        </w:rPr>
        <w:t>Xu, X., Alexander, R. L., Simpson, S. A.,</w:t>
      </w:r>
      <w:r w:rsidR="000F4FE7" w:rsidRPr="000F4FE7">
        <w:rPr>
          <w:rFonts w:asciiTheme="minorHAnsi" w:hAnsiTheme="minorHAnsi" w:cs="Arial"/>
          <w:color w:val="222222"/>
          <w:szCs w:val="24"/>
        </w:rPr>
        <w:t xml:space="preserve">et al </w:t>
      </w:r>
      <w:r w:rsidRPr="000F4FE7">
        <w:rPr>
          <w:rFonts w:asciiTheme="minorHAnsi" w:hAnsiTheme="minorHAnsi" w:cs="Arial"/>
          <w:color w:val="222222"/>
          <w:szCs w:val="24"/>
        </w:rPr>
        <w:t xml:space="preserve">(2015). A Cost-Effectiveness Analysis of the First </w:t>
      </w:r>
      <w:r w:rsidR="000F4FE7">
        <w:rPr>
          <w:rFonts w:asciiTheme="minorHAnsi" w:hAnsiTheme="minorHAnsi" w:cs="Arial"/>
          <w:color w:val="222222"/>
          <w:szCs w:val="24"/>
        </w:rPr>
        <w:t xml:space="preserve">                               </w:t>
      </w:r>
      <w:r w:rsidRPr="000F4FE7">
        <w:rPr>
          <w:rFonts w:asciiTheme="minorHAnsi" w:hAnsiTheme="minorHAnsi" w:cs="Arial"/>
          <w:color w:val="222222"/>
          <w:szCs w:val="24"/>
        </w:rPr>
        <w:t xml:space="preserve">Federally Funded Antismoking Campaign. </w:t>
      </w:r>
      <w:r w:rsidRPr="000F4FE7">
        <w:rPr>
          <w:rFonts w:asciiTheme="minorHAnsi" w:hAnsiTheme="minorHAnsi" w:cs="Arial"/>
          <w:i/>
          <w:iCs/>
          <w:color w:val="222222"/>
          <w:szCs w:val="24"/>
        </w:rPr>
        <w:t>American journal of preventive medicine</w:t>
      </w:r>
      <w:r w:rsidRPr="000F4FE7">
        <w:rPr>
          <w:rFonts w:asciiTheme="minorHAnsi" w:hAnsiTheme="minorHAnsi" w:cs="Arial"/>
          <w:color w:val="222222"/>
          <w:szCs w:val="24"/>
        </w:rPr>
        <w:t xml:space="preserve">, </w:t>
      </w:r>
      <w:r w:rsidRPr="000F4FE7">
        <w:rPr>
          <w:rFonts w:asciiTheme="minorHAnsi" w:hAnsiTheme="minorHAnsi" w:cs="Arial"/>
          <w:i/>
          <w:iCs/>
          <w:color w:val="222222"/>
          <w:szCs w:val="24"/>
        </w:rPr>
        <w:t>48</w:t>
      </w:r>
      <w:r w:rsidRPr="000F4FE7">
        <w:rPr>
          <w:rFonts w:asciiTheme="minorHAnsi" w:hAnsiTheme="minorHAnsi" w:cs="Arial"/>
          <w:color w:val="222222"/>
          <w:szCs w:val="24"/>
        </w:rPr>
        <w:t>(3), 318-325.</w:t>
      </w:r>
    </w:p>
    <w:sectPr w:rsidR="0035525E" w:rsidRPr="000F4FE7" w:rsidSect="00F72B6D">
      <w:headerReference w:type="default" r:id="rId8"/>
      <w:footerReference w:type="even" r:id="rId9"/>
      <w:footerReference w:type="default" r:id="rId10"/>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A92E0" w14:textId="77777777" w:rsidR="00261B59" w:rsidRDefault="00261B59">
      <w:r>
        <w:separator/>
      </w:r>
    </w:p>
  </w:endnote>
  <w:endnote w:type="continuationSeparator" w:id="0">
    <w:p w14:paraId="4E1020A2" w14:textId="77777777" w:rsidR="00261B59" w:rsidRDefault="0026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calaLancetPro-Bold">
    <w:panose1 w:val="00000000000000000000"/>
    <w:charset w:val="00"/>
    <w:family w:val="auto"/>
    <w:notTrueType/>
    <w:pitch w:val="default"/>
    <w:sig w:usb0="00000003" w:usb1="00000000" w:usb2="00000000" w:usb3="00000000" w:csb0="00000001" w:csb1="00000000"/>
  </w:font>
  <w:font w:name="AdvOT1ef757c0">
    <w:panose1 w:val="00000000000000000000"/>
    <w:charset w:val="00"/>
    <w:family w:val="roman"/>
    <w:notTrueType/>
    <w:pitch w:val="default"/>
    <w:sig w:usb0="00000003" w:usb1="00000000" w:usb2="00000000" w:usb3="00000000" w:csb0="00000001" w:csb1="00000000"/>
  </w:font>
  <w:font w:name="AdvOT1ef757c0+2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E6A2" w14:textId="77777777" w:rsidR="00261B59" w:rsidRDefault="00261B59"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4B152" w14:textId="77777777" w:rsidR="00261B59" w:rsidRDefault="00261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C5550" w14:textId="77777777" w:rsidR="00261B59" w:rsidRPr="00F026F2" w:rsidRDefault="00261B59" w:rsidP="0025483A">
    <w:pPr>
      <w:pStyle w:val="Footer"/>
      <w:framePr w:wrap="around" w:vAnchor="text" w:hAnchor="margin" w:xAlign="center" w:y="1"/>
      <w:rPr>
        <w:rStyle w:val="PageNumber"/>
        <w:rFonts w:ascii="Calibri" w:hAnsi="Calibri" w:cs="Calibri"/>
        <w:sz w:val="18"/>
        <w:szCs w:val="18"/>
      </w:rPr>
    </w:pPr>
    <w:r w:rsidRPr="00F026F2">
      <w:rPr>
        <w:rStyle w:val="PageNumber"/>
        <w:rFonts w:ascii="Calibri" w:hAnsi="Calibri" w:cs="Calibri"/>
        <w:sz w:val="18"/>
        <w:szCs w:val="18"/>
      </w:rPr>
      <w:fldChar w:fldCharType="begin"/>
    </w:r>
    <w:r w:rsidRPr="00F026F2">
      <w:rPr>
        <w:rStyle w:val="PageNumber"/>
        <w:rFonts w:ascii="Calibri" w:hAnsi="Calibri" w:cs="Calibri"/>
        <w:sz w:val="18"/>
        <w:szCs w:val="18"/>
      </w:rPr>
      <w:instrText xml:space="preserve">PAGE  </w:instrText>
    </w:r>
    <w:r w:rsidRPr="00F026F2">
      <w:rPr>
        <w:rStyle w:val="PageNumber"/>
        <w:rFonts w:ascii="Calibri" w:hAnsi="Calibri" w:cs="Calibri"/>
        <w:sz w:val="18"/>
        <w:szCs w:val="18"/>
      </w:rPr>
      <w:fldChar w:fldCharType="separate"/>
    </w:r>
    <w:r w:rsidR="00930278">
      <w:rPr>
        <w:rStyle w:val="PageNumber"/>
        <w:rFonts w:ascii="Calibri" w:hAnsi="Calibri" w:cs="Calibri"/>
        <w:noProof/>
        <w:sz w:val="18"/>
        <w:szCs w:val="18"/>
      </w:rPr>
      <w:t>2</w:t>
    </w:r>
    <w:r w:rsidRPr="00F026F2">
      <w:rPr>
        <w:rStyle w:val="PageNumber"/>
        <w:rFonts w:ascii="Calibri" w:hAnsi="Calibri" w:cs="Calibri"/>
        <w:sz w:val="18"/>
        <w:szCs w:val="18"/>
      </w:rPr>
      <w:fldChar w:fldCharType="end"/>
    </w:r>
  </w:p>
  <w:p w14:paraId="0C31E097" w14:textId="77777777" w:rsidR="00261B59" w:rsidRDefault="00261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E151D" w14:textId="77777777" w:rsidR="00261B59" w:rsidRDefault="00261B59">
      <w:r>
        <w:separator/>
      </w:r>
    </w:p>
  </w:footnote>
  <w:footnote w:type="continuationSeparator" w:id="0">
    <w:p w14:paraId="27617A3D" w14:textId="77777777" w:rsidR="00261B59" w:rsidRDefault="00261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44274" w14:textId="38421B88" w:rsidR="00261B59" w:rsidRPr="003E291F" w:rsidRDefault="00261B59" w:rsidP="0013220A">
    <w:pPr>
      <w:pStyle w:val="Header"/>
      <w:jc w:val="center"/>
      <w:rPr>
        <w:rFonts w:ascii="Calibri" w:hAnsi="Calibr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493069"/>
    <w:multiLevelType w:val="hybridMultilevel"/>
    <w:tmpl w:val="34586D82"/>
    <w:lvl w:ilvl="0" w:tplc="7876A9D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14411"/>
    <w:multiLevelType w:val="hybridMultilevel"/>
    <w:tmpl w:val="203A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A09A2"/>
    <w:multiLevelType w:val="hybridMultilevel"/>
    <w:tmpl w:val="D3F29050"/>
    <w:lvl w:ilvl="0" w:tplc="DA3CC4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6" w15:restartNumberingAfterBreak="0">
    <w:nsid w:val="3051477E"/>
    <w:multiLevelType w:val="hybridMultilevel"/>
    <w:tmpl w:val="E578C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FB3363"/>
    <w:multiLevelType w:val="hybridMultilevel"/>
    <w:tmpl w:val="737C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1084D"/>
    <w:multiLevelType w:val="hybridMultilevel"/>
    <w:tmpl w:val="64D0F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786DB1"/>
    <w:multiLevelType w:val="hybridMultilevel"/>
    <w:tmpl w:val="E0022E96"/>
    <w:lvl w:ilvl="0" w:tplc="D220C472">
      <w:start w:val="1"/>
      <w:numFmt w:val="upp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1" w15:restartNumberingAfterBreak="0">
    <w:nsid w:val="58D93AD8"/>
    <w:multiLevelType w:val="hybridMultilevel"/>
    <w:tmpl w:val="803C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5"/>
  </w:num>
  <w:num w:numId="3">
    <w:abstractNumId w:val="3"/>
  </w:num>
  <w:num w:numId="4">
    <w:abstractNumId w:val="11"/>
  </w:num>
  <w:num w:numId="5">
    <w:abstractNumId w:val="7"/>
  </w:num>
  <w:num w:numId="6">
    <w:abstractNumId w:val="1"/>
  </w:num>
  <w:num w:numId="7">
    <w:abstractNumId w:val="4"/>
  </w:num>
  <w:num w:numId="8">
    <w:abstractNumId w:val="10"/>
  </w:num>
  <w:num w:numId="9">
    <w:abstractNumId w:val="2"/>
  </w:num>
  <w:num w:numId="10">
    <w:abstractNumId w:val="9"/>
  </w:num>
  <w:num w:numId="11">
    <w:abstractNumId w:val="6"/>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93"/>
    <w:rsid w:val="00001053"/>
    <w:rsid w:val="000026CC"/>
    <w:rsid w:val="000063D0"/>
    <w:rsid w:val="00010C5B"/>
    <w:rsid w:val="00010D2D"/>
    <w:rsid w:val="00012EAC"/>
    <w:rsid w:val="00014D0A"/>
    <w:rsid w:val="000155E4"/>
    <w:rsid w:val="0001620C"/>
    <w:rsid w:val="00017648"/>
    <w:rsid w:val="0002089D"/>
    <w:rsid w:val="000209ED"/>
    <w:rsid w:val="00027784"/>
    <w:rsid w:val="00027F33"/>
    <w:rsid w:val="000301BA"/>
    <w:rsid w:val="0003040C"/>
    <w:rsid w:val="00030B69"/>
    <w:rsid w:val="000335F1"/>
    <w:rsid w:val="000343DB"/>
    <w:rsid w:val="00036051"/>
    <w:rsid w:val="00036C16"/>
    <w:rsid w:val="000420B8"/>
    <w:rsid w:val="00042207"/>
    <w:rsid w:val="0004360F"/>
    <w:rsid w:val="00044373"/>
    <w:rsid w:val="00045A50"/>
    <w:rsid w:val="00046704"/>
    <w:rsid w:val="00047A1B"/>
    <w:rsid w:val="00047BA1"/>
    <w:rsid w:val="00050020"/>
    <w:rsid w:val="00051CE0"/>
    <w:rsid w:val="00052989"/>
    <w:rsid w:val="00052BEE"/>
    <w:rsid w:val="0005384C"/>
    <w:rsid w:val="000543DD"/>
    <w:rsid w:val="00054982"/>
    <w:rsid w:val="00055249"/>
    <w:rsid w:val="0005785F"/>
    <w:rsid w:val="00057B43"/>
    <w:rsid w:val="00057C3E"/>
    <w:rsid w:val="000615EA"/>
    <w:rsid w:val="00061A3A"/>
    <w:rsid w:val="00062EBA"/>
    <w:rsid w:val="00065F0A"/>
    <w:rsid w:val="00066661"/>
    <w:rsid w:val="000667FA"/>
    <w:rsid w:val="00071515"/>
    <w:rsid w:val="00071B2F"/>
    <w:rsid w:val="00072B56"/>
    <w:rsid w:val="000733E9"/>
    <w:rsid w:val="000756DD"/>
    <w:rsid w:val="00077028"/>
    <w:rsid w:val="00077724"/>
    <w:rsid w:val="0008026F"/>
    <w:rsid w:val="00081EB6"/>
    <w:rsid w:val="00083702"/>
    <w:rsid w:val="00086DE4"/>
    <w:rsid w:val="00091257"/>
    <w:rsid w:val="00091F2A"/>
    <w:rsid w:val="00093B84"/>
    <w:rsid w:val="00093F1B"/>
    <w:rsid w:val="000941DB"/>
    <w:rsid w:val="000A0A70"/>
    <w:rsid w:val="000A15A7"/>
    <w:rsid w:val="000A1CE1"/>
    <w:rsid w:val="000A2B87"/>
    <w:rsid w:val="000A2DC2"/>
    <w:rsid w:val="000A3413"/>
    <w:rsid w:val="000A3AA7"/>
    <w:rsid w:val="000A3F23"/>
    <w:rsid w:val="000A5CD5"/>
    <w:rsid w:val="000A76F1"/>
    <w:rsid w:val="000A78F4"/>
    <w:rsid w:val="000B116F"/>
    <w:rsid w:val="000B29D0"/>
    <w:rsid w:val="000B29DF"/>
    <w:rsid w:val="000B2BDE"/>
    <w:rsid w:val="000B366D"/>
    <w:rsid w:val="000B6DA2"/>
    <w:rsid w:val="000C03DF"/>
    <w:rsid w:val="000C0471"/>
    <w:rsid w:val="000C07D9"/>
    <w:rsid w:val="000C1443"/>
    <w:rsid w:val="000C33CD"/>
    <w:rsid w:val="000C48BA"/>
    <w:rsid w:val="000C4B9F"/>
    <w:rsid w:val="000C6240"/>
    <w:rsid w:val="000C7EAC"/>
    <w:rsid w:val="000D019A"/>
    <w:rsid w:val="000D0AF6"/>
    <w:rsid w:val="000D0E81"/>
    <w:rsid w:val="000D1C77"/>
    <w:rsid w:val="000D36FE"/>
    <w:rsid w:val="000D750F"/>
    <w:rsid w:val="000D76DF"/>
    <w:rsid w:val="000E38CC"/>
    <w:rsid w:val="000E3C1F"/>
    <w:rsid w:val="000E595F"/>
    <w:rsid w:val="000E6E78"/>
    <w:rsid w:val="000E7C7D"/>
    <w:rsid w:val="000F01B9"/>
    <w:rsid w:val="000F146A"/>
    <w:rsid w:val="000F150F"/>
    <w:rsid w:val="000F42CD"/>
    <w:rsid w:val="000F48FA"/>
    <w:rsid w:val="000F4FE7"/>
    <w:rsid w:val="000F5ADE"/>
    <w:rsid w:val="000F5C25"/>
    <w:rsid w:val="000F748C"/>
    <w:rsid w:val="00104C30"/>
    <w:rsid w:val="00104E92"/>
    <w:rsid w:val="00107192"/>
    <w:rsid w:val="001077DB"/>
    <w:rsid w:val="001101C8"/>
    <w:rsid w:val="00111393"/>
    <w:rsid w:val="00111A72"/>
    <w:rsid w:val="00111C06"/>
    <w:rsid w:val="00112AE7"/>
    <w:rsid w:val="0011487C"/>
    <w:rsid w:val="00114DB5"/>
    <w:rsid w:val="00116CA0"/>
    <w:rsid w:val="001205F3"/>
    <w:rsid w:val="00120F15"/>
    <w:rsid w:val="00121B5A"/>
    <w:rsid w:val="00121ED4"/>
    <w:rsid w:val="00121FFA"/>
    <w:rsid w:val="00124430"/>
    <w:rsid w:val="0012683F"/>
    <w:rsid w:val="001269FD"/>
    <w:rsid w:val="0013220A"/>
    <w:rsid w:val="0013262A"/>
    <w:rsid w:val="001334C0"/>
    <w:rsid w:val="00133BAE"/>
    <w:rsid w:val="00133C3F"/>
    <w:rsid w:val="00133E26"/>
    <w:rsid w:val="00136300"/>
    <w:rsid w:val="00140125"/>
    <w:rsid w:val="001410D3"/>
    <w:rsid w:val="001411F0"/>
    <w:rsid w:val="00141559"/>
    <w:rsid w:val="00142BAD"/>
    <w:rsid w:val="00147E4C"/>
    <w:rsid w:val="00150BA7"/>
    <w:rsid w:val="00152C49"/>
    <w:rsid w:val="00153579"/>
    <w:rsid w:val="0015382B"/>
    <w:rsid w:val="00153886"/>
    <w:rsid w:val="00153FD5"/>
    <w:rsid w:val="00156876"/>
    <w:rsid w:val="00157FC3"/>
    <w:rsid w:val="00160E36"/>
    <w:rsid w:val="001618E7"/>
    <w:rsid w:val="00161FB9"/>
    <w:rsid w:val="00162178"/>
    <w:rsid w:val="0016360D"/>
    <w:rsid w:val="0016388A"/>
    <w:rsid w:val="0016424A"/>
    <w:rsid w:val="00165207"/>
    <w:rsid w:val="00165DFD"/>
    <w:rsid w:val="0017188E"/>
    <w:rsid w:val="00172FBA"/>
    <w:rsid w:val="00173AAF"/>
    <w:rsid w:val="00174D50"/>
    <w:rsid w:val="00175B59"/>
    <w:rsid w:val="00177435"/>
    <w:rsid w:val="0018059A"/>
    <w:rsid w:val="00180B22"/>
    <w:rsid w:val="00180D10"/>
    <w:rsid w:val="00182D8E"/>
    <w:rsid w:val="00184014"/>
    <w:rsid w:val="00184812"/>
    <w:rsid w:val="00184ADB"/>
    <w:rsid w:val="00186053"/>
    <w:rsid w:val="001870CD"/>
    <w:rsid w:val="00192F34"/>
    <w:rsid w:val="0019316A"/>
    <w:rsid w:val="001938A2"/>
    <w:rsid w:val="0019445D"/>
    <w:rsid w:val="00196B50"/>
    <w:rsid w:val="001A0037"/>
    <w:rsid w:val="001A018D"/>
    <w:rsid w:val="001A062B"/>
    <w:rsid w:val="001A2A2C"/>
    <w:rsid w:val="001A3188"/>
    <w:rsid w:val="001A4205"/>
    <w:rsid w:val="001A48C5"/>
    <w:rsid w:val="001A4EC3"/>
    <w:rsid w:val="001A5480"/>
    <w:rsid w:val="001A5CE3"/>
    <w:rsid w:val="001A691B"/>
    <w:rsid w:val="001A7124"/>
    <w:rsid w:val="001A7E28"/>
    <w:rsid w:val="001B0057"/>
    <w:rsid w:val="001B19D4"/>
    <w:rsid w:val="001B213C"/>
    <w:rsid w:val="001B6179"/>
    <w:rsid w:val="001B7F42"/>
    <w:rsid w:val="001C03C9"/>
    <w:rsid w:val="001C1ABC"/>
    <w:rsid w:val="001C2912"/>
    <w:rsid w:val="001C34E8"/>
    <w:rsid w:val="001C3F36"/>
    <w:rsid w:val="001C45CF"/>
    <w:rsid w:val="001C7BF3"/>
    <w:rsid w:val="001D1A33"/>
    <w:rsid w:val="001D2C11"/>
    <w:rsid w:val="001D4545"/>
    <w:rsid w:val="001D4656"/>
    <w:rsid w:val="001D7833"/>
    <w:rsid w:val="001D783E"/>
    <w:rsid w:val="001D7AFB"/>
    <w:rsid w:val="001E24E5"/>
    <w:rsid w:val="001E32BD"/>
    <w:rsid w:val="001E45C4"/>
    <w:rsid w:val="001E49B9"/>
    <w:rsid w:val="001E4E31"/>
    <w:rsid w:val="001E63EB"/>
    <w:rsid w:val="001E76E1"/>
    <w:rsid w:val="001E7E03"/>
    <w:rsid w:val="001F27E4"/>
    <w:rsid w:val="001F4AA2"/>
    <w:rsid w:val="001F4F0E"/>
    <w:rsid w:val="001F57F1"/>
    <w:rsid w:val="001F5ABC"/>
    <w:rsid w:val="001F5C3B"/>
    <w:rsid w:val="001F64CB"/>
    <w:rsid w:val="001F6B3A"/>
    <w:rsid w:val="001F6E6B"/>
    <w:rsid w:val="001F6FAF"/>
    <w:rsid w:val="001F7120"/>
    <w:rsid w:val="001F73B7"/>
    <w:rsid w:val="00200440"/>
    <w:rsid w:val="00200A58"/>
    <w:rsid w:val="00200A69"/>
    <w:rsid w:val="00202526"/>
    <w:rsid w:val="00204B64"/>
    <w:rsid w:val="0020510A"/>
    <w:rsid w:val="002061A9"/>
    <w:rsid w:val="002078FC"/>
    <w:rsid w:val="00207D77"/>
    <w:rsid w:val="00210343"/>
    <w:rsid w:val="00210D32"/>
    <w:rsid w:val="00211CDC"/>
    <w:rsid w:val="0021239A"/>
    <w:rsid w:val="00212BFE"/>
    <w:rsid w:val="00213962"/>
    <w:rsid w:val="00214C47"/>
    <w:rsid w:val="002152C1"/>
    <w:rsid w:val="00215D62"/>
    <w:rsid w:val="00217526"/>
    <w:rsid w:val="00220821"/>
    <w:rsid w:val="00220B3C"/>
    <w:rsid w:val="00223E38"/>
    <w:rsid w:val="00224338"/>
    <w:rsid w:val="00224690"/>
    <w:rsid w:val="0022512C"/>
    <w:rsid w:val="002266A5"/>
    <w:rsid w:val="00227070"/>
    <w:rsid w:val="00230094"/>
    <w:rsid w:val="00231BED"/>
    <w:rsid w:val="00232840"/>
    <w:rsid w:val="00233C55"/>
    <w:rsid w:val="0023466F"/>
    <w:rsid w:val="002350D0"/>
    <w:rsid w:val="00235257"/>
    <w:rsid w:val="00237970"/>
    <w:rsid w:val="00240662"/>
    <w:rsid w:val="00240896"/>
    <w:rsid w:val="00240A83"/>
    <w:rsid w:val="00242D8D"/>
    <w:rsid w:val="00244CF3"/>
    <w:rsid w:val="00244EB6"/>
    <w:rsid w:val="00246A3A"/>
    <w:rsid w:val="002478D9"/>
    <w:rsid w:val="0025024D"/>
    <w:rsid w:val="00250699"/>
    <w:rsid w:val="00251C6A"/>
    <w:rsid w:val="0025483A"/>
    <w:rsid w:val="00254C6E"/>
    <w:rsid w:val="00256D46"/>
    <w:rsid w:val="00257632"/>
    <w:rsid w:val="0026071F"/>
    <w:rsid w:val="002613D9"/>
    <w:rsid w:val="00261574"/>
    <w:rsid w:val="00261B59"/>
    <w:rsid w:val="00261CC7"/>
    <w:rsid w:val="00262243"/>
    <w:rsid w:val="00262A6F"/>
    <w:rsid w:val="002632D4"/>
    <w:rsid w:val="00263468"/>
    <w:rsid w:val="00266DAA"/>
    <w:rsid w:val="00270132"/>
    <w:rsid w:val="00270EC4"/>
    <w:rsid w:val="00271FFE"/>
    <w:rsid w:val="00274236"/>
    <w:rsid w:val="00274C67"/>
    <w:rsid w:val="00274FDC"/>
    <w:rsid w:val="002759DB"/>
    <w:rsid w:val="00277E9A"/>
    <w:rsid w:val="00280B1F"/>
    <w:rsid w:val="00281693"/>
    <w:rsid w:val="0028196A"/>
    <w:rsid w:val="00281AA1"/>
    <w:rsid w:val="0028305E"/>
    <w:rsid w:val="00283677"/>
    <w:rsid w:val="002863BD"/>
    <w:rsid w:val="00286E9A"/>
    <w:rsid w:val="002873F6"/>
    <w:rsid w:val="00287400"/>
    <w:rsid w:val="00290064"/>
    <w:rsid w:val="00290150"/>
    <w:rsid w:val="002908C1"/>
    <w:rsid w:val="002915C4"/>
    <w:rsid w:val="0029314A"/>
    <w:rsid w:val="00294A38"/>
    <w:rsid w:val="00294FD0"/>
    <w:rsid w:val="00296624"/>
    <w:rsid w:val="002971C4"/>
    <w:rsid w:val="00297856"/>
    <w:rsid w:val="002A0595"/>
    <w:rsid w:val="002A0842"/>
    <w:rsid w:val="002A1B33"/>
    <w:rsid w:val="002A32F3"/>
    <w:rsid w:val="002A3B99"/>
    <w:rsid w:val="002A4B49"/>
    <w:rsid w:val="002A546D"/>
    <w:rsid w:val="002A5496"/>
    <w:rsid w:val="002A6A61"/>
    <w:rsid w:val="002B05AB"/>
    <w:rsid w:val="002B1AE7"/>
    <w:rsid w:val="002B25D5"/>
    <w:rsid w:val="002B3E6A"/>
    <w:rsid w:val="002B41B3"/>
    <w:rsid w:val="002B7B6E"/>
    <w:rsid w:val="002C101D"/>
    <w:rsid w:val="002C28B2"/>
    <w:rsid w:val="002C2BFD"/>
    <w:rsid w:val="002C631D"/>
    <w:rsid w:val="002D25AC"/>
    <w:rsid w:val="002D25EA"/>
    <w:rsid w:val="002D2F81"/>
    <w:rsid w:val="002D360D"/>
    <w:rsid w:val="002D5CF9"/>
    <w:rsid w:val="002D65BD"/>
    <w:rsid w:val="002D673B"/>
    <w:rsid w:val="002D6855"/>
    <w:rsid w:val="002D74EC"/>
    <w:rsid w:val="002D7574"/>
    <w:rsid w:val="002D7D0E"/>
    <w:rsid w:val="002E25BE"/>
    <w:rsid w:val="002E2EF5"/>
    <w:rsid w:val="002E4DB9"/>
    <w:rsid w:val="002F0F64"/>
    <w:rsid w:val="002F1BE3"/>
    <w:rsid w:val="002F2F57"/>
    <w:rsid w:val="002F33AD"/>
    <w:rsid w:val="002F41F8"/>
    <w:rsid w:val="002F4FDA"/>
    <w:rsid w:val="002F59EB"/>
    <w:rsid w:val="002F5C5E"/>
    <w:rsid w:val="002F6205"/>
    <w:rsid w:val="002F643C"/>
    <w:rsid w:val="002F755D"/>
    <w:rsid w:val="002F78F3"/>
    <w:rsid w:val="00300D05"/>
    <w:rsid w:val="003013F8"/>
    <w:rsid w:val="00301B1F"/>
    <w:rsid w:val="00302A59"/>
    <w:rsid w:val="003035A9"/>
    <w:rsid w:val="003053D1"/>
    <w:rsid w:val="00306D10"/>
    <w:rsid w:val="00306FF3"/>
    <w:rsid w:val="00311A7F"/>
    <w:rsid w:val="003121F6"/>
    <w:rsid w:val="0031252B"/>
    <w:rsid w:val="00315167"/>
    <w:rsid w:val="00315F22"/>
    <w:rsid w:val="00316BEA"/>
    <w:rsid w:val="00317345"/>
    <w:rsid w:val="00322121"/>
    <w:rsid w:val="00322833"/>
    <w:rsid w:val="00322FF9"/>
    <w:rsid w:val="00325873"/>
    <w:rsid w:val="00326C53"/>
    <w:rsid w:val="0032744C"/>
    <w:rsid w:val="003305CE"/>
    <w:rsid w:val="0033194E"/>
    <w:rsid w:val="00332D2E"/>
    <w:rsid w:val="00333A38"/>
    <w:rsid w:val="003347BB"/>
    <w:rsid w:val="00334C6B"/>
    <w:rsid w:val="00334DA2"/>
    <w:rsid w:val="00335A09"/>
    <w:rsid w:val="00337EEE"/>
    <w:rsid w:val="00337F8F"/>
    <w:rsid w:val="00340502"/>
    <w:rsid w:val="0034199A"/>
    <w:rsid w:val="0034299F"/>
    <w:rsid w:val="00343607"/>
    <w:rsid w:val="00345DBD"/>
    <w:rsid w:val="00345E8E"/>
    <w:rsid w:val="00346435"/>
    <w:rsid w:val="0034718A"/>
    <w:rsid w:val="003472FB"/>
    <w:rsid w:val="00347381"/>
    <w:rsid w:val="00347BAC"/>
    <w:rsid w:val="00347D69"/>
    <w:rsid w:val="00347F3E"/>
    <w:rsid w:val="0035088C"/>
    <w:rsid w:val="00350ED5"/>
    <w:rsid w:val="00351619"/>
    <w:rsid w:val="0035322A"/>
    <w:rsid w:val="00353971"/>
    <w:rsid w:val="0035525E"/>
    <w:rsid w:val="00356147"/>
    <w:rsid w:val="00356416"/>
    <w:rsid w:val="003571CF"/>
    <w:rsid w:val="003571DB"/>
    <w:rsid w:val="00357646"/>
    <w:rsid w:val="00360430"/>
    <w:rsid w:val="003631EE"/>
    <w:rsid w:val="00365CCD"/>
    <w:rsid w:val="0036630E"/>
    <w:rsid w:val="0037083A"/>
    <w:rsid w:val="00370DC1"/>
    <w:rsid w:val="0037134A"/>
    <w:rsid w:val="00371F9A"/>
    <w:rsid w:val="003737FF"/>
    <w:rsid w:val="00374DE5"/>
    <w:rsid w:val="00375BA1"/>
    <w:rsid w:val="00377845"/>
    <w:rsid w:val="00380017"/>
    <w:rsid w:val="0038067D"/>
    <w:rsid w:val="003809AB"/>
    <w:rsid w:val="003809B4"/>
    <w:rsid w:val="0038319E"/>
    <w:rsid w:val="00383A88"/>
    <w:rsid w:val="00383F12"/>
    <w:rsid w:val="00384DF8"/>
    <w:rsid w:val="00384F96"/>
    <w:rsid w:val="003925DD"/>
    <w:rsid w:val="00392A80"/>
    <w:rsid w:val="0039474B"/>
    <w:rsid w:val="003960F1"/>
    <w:rsid w:val="0039783C"/>
    <w:rsid w:val="003A0653"/>
    <w:rsid w:val="003A12CA"/>
    <w:rsid w:val="003A29B9"/>
    <w:rsid w:val="003A29F0"/>
    <w:rsid w:val="003A4B47"/>
    <w:rsid w:val="003A6737"/>
    <w:rsid w:val="003B13E9"/>
    <w:rsid w:val="003B1D53"/>
    <w:rsid w:val="003B489E"/>
    <w:rsid w:val="003B4CC4"/>
    <w:rsid w:val="003B5AD9"/>
    <w:rsid w:val="003B5B57"/>
    <w:rsid w:val="003B6395"/>
    <w:rsid w:val="003B6C58"/>
    <w:rsid w:val="003C0C1D"/>
    <w:rsid w:val="003C273E"/>
    <w:rsid w:val="003C29DE"/>
    <w:rsid w:val="003C62F2"/>
    <w:rsid w:val="003C7261"/>
    <w:rsid w:val="003D000C"/>
    <w:rsid w:val="003D2894"/>
    <w:rsid w:val="003D2FAD"/>
    <w:rsid w:val="003D4D6C"/>
    <w:rsid w:val="003D5252"/>
    <w:rsid w:val="003D7743"/>
    <w:rsid w:val="003D7A08"/>
    <w:rsid w:val="003E0AF3"/>
    <w:rsid w:val="003E22D1"/>
    <w:rsid w:val="003E24BB"/>
    <w:rsid w:val="003E291F"/>
    <w:rsid w:val="003E2931"/>
    <w:rsid w:val="003E42C3"/>
    <w:rsid w:val="003E4AC6"/>
    <w:rsid w:val="003E5090"/>
    <w:rsid w:val="003E586A"/>
    <w:rsid w:val="003E5877"/>
    <w:rsid w:val="003E6170"/>
    <w:rsid w:val="003E7CDC"/>
    <w:rsid w:val="003F00C9"/>
    <w:rsid w:val="003F160B"/>
    <w:rsid w:val="003F3259"/>
    <w:rsid w:val="003F3D80"/>
    <w:rsid w:val="003F4049"/>
    <w:rsid w:val="003F45EE"/>
    <w:rsid w:val="003F471F"/>
    <w:rsid w:val="003F5557"/>
    <w:rsid w:val="003F6202"/>
    <w:rsid w:val="003F6D22"/>
    <w:rsid w:val="003F72B1"/>
    <w:rsid w:val="003F7820"/>
    <w:rsid w:val="003F7E65"/>
    <w:rsid w:val="0040037A"/>
    <w:rsid w:val="00400F6B"/>
    <w:rsid w:val="00401984"/>
    <w:rsid w:val="00401DEC"/>
    <w:rsid w:val="004027CF"/>
    <w:rsid w:val="004038F2"/>
    <w:rsid w:val="004041AB"/>
    <w:rsid w:val="004105B4"/>
    <w:rsid w:val="004116C0"/>
    <w:rsid w:val="0041192F"/>
    <w:rsid w:val="004120EB"/>
    <w:rsid w:val="00412D70"/>
    <w:rsid w:val="0041347A"/>
    <w:rsid w:val="004144F4"/>
    <w:rsid w:val="00415F7B"/>
    <w:rsid w:val="004162BE"/>
    <w:rsid w:val="004163EB"/>
    <w:rsid w:val="00417243"/>
    <w:rsid w:val="0042120F"/>
    <w:rsid w:val="00421810"/>
    <w:rsid w:val="00421CD3"/>
    <w:rsid w:val="0042293B"/>
    <w:rsid w:val="00426173"/>
    <w:rsid w:val="004266D1"/>
    <w:rsid w:val="004272FA"/>
    <w:rsid w:val="004274C1"/>
    <w:rsid w:val="004279FD"/>
    <w:rsid w:val="00433952"/>
    <w:rsid w:val="00433A69"/>
    <w:rsid w:val="004340E8"/>
    <w:rsid w:val="004343EB"/>
    <w:rsid w:val="00434445"/>
    <w:rsid w:val="004346A0"/>
    <w:rsid w:val="00434C2F"/>
    <w:rsid w:val="00435F6D"/>
    <w:rsid w:val="00437785"/>
    <w:rsid w:val="004377C3"/>
    <w:rsid w:val="00442456"/>
    <w:rsid w:val="00442EE4"/>
    <w:rsid w:val="00443F29"/>
    <w:rsid w:val="004467CC"/>
    <w:rsid w:val="00446ECB"/>
    <w:rsid w:val="004513EC"/>
    <w:rsid w:val="00451CFA"/>
    <w:rsid w:val="00451D62"/>
    <w:rsid w:val="0045365D"/>
    <w:rsid w:val="00453E2B"/>
    <w:rsid w:val="00454001"/>
    <w:rsid w:val="0045430E"/>
    <w:rsid w:val="0045538C"/>
    <w:rsid w:val="00456D33"/>
    <w:rsid w:val="00457258"/>
    <w:rsid w:val="004577EA"/>
    <w:rsid w:val="00457C2E"/>
    <w:rsid w:val="00460B7F"/>
    <w:rsid w:val="00464104"/>
    <w:rsid w:val="004646C6"/>
    <w:rsid w:val="00464D46"/>
    <w:rsid w:val="00467B9C"/>
    <w:rsid w:val="004700CC"/>
    <w:rsid w:val="00470667"/>
    <w:rsid w:val="00471226"/>
    <w:rsid w:val="00471A40"/>
    <w:rsid w:val="004721CC"/>
    <w:rsid w:val="00473A53"/>
    <w:rsid w:val="00474222"/>
    <w:rsid w:val="00474B72"/>
    <w:rsid w:val="00474EDE"/>
    <w:rsid w:val="00476A88"/>
    <w:rsid w:val="00476C57"/>
    <w:rsid w:val="00481B5F"/>
    <w:rsid w:val="004831C5"/>
    <w:rsid w:val="00483278"/>
    <w:rsid w:val="0048361F"/>
    <w:rsid w:val="004836D2"/>
    <w:rsid w:val="00483EE7"/>
    <w:rsid w:val="00484A87"/>
    <w:rsid w:val="00484E14"/>
    <w:rsid w:val="0048572C"/>
    <w:rsid w:val="00485EC1"/>
    <w:rsid w:val="004869A1"/>
    <w:rsid w:val="00487BDD"/>
    <w:rsid w:val="00490F28"/>
    <w:rsid w:val="0049172A"/>
    <w:rsid w:val="004923AD"/>
    <w:rsid w:val="00492903"/>
    <w:rsid w:val="00494A1B"/>
    <w:rsid w:val="004A162B"/>
    <w:rsid w:val="004A2567"/>
    <w:rsid w:val="004A29DF"/>
    <w:rsid w:val="004A334D"/>
    <w:rsid w:val="004A3426"/>
    <w:rsid w:val="004A55CD"/>
    <w:rsid w:val="004A6042"/>
    <w:rsid w:val="004B0C83"/>
    <w:rsid w:val="004B176D"/>
    <w:rsid w:val="004B1806"/>
    <w:rsid w:val="004B18D3"/>
    <w:rsid w:val="004B3DC1"/>
    <w:rsid w:val="004B3F4E"/>
    <w:rsid w:val="004B4393"/>
    <w:rsid w:val="004B5091"/>
    <w:rsid w:val="004B5F2C"/>
    <w:rsid w:val="004B7CBE"/>
    <w:rsid w:val="004C46A6"/>
    <w:rsid w:val="004D1F71"/>
    <w:rsid w:val="004D3E35"/>
    <w:rsid w:val="004D47C7"/>
    <w:rsid w:val="004D4CA1"/>
    <w:rsid w:val="004D5573"/>
    <w:rsid w:val="004D79E4"/>
    <w:rsid w:val="004E2E62"/>
    <w:rsid w:val="004E6766"/>
    <w:rsid w:val="004E7752"/>
    <w:rsid w:val="004E7ED2"/>
    <w:rsid w:val="004F1D70"/>
    <w:rsid w:val="004F24BC"/>
    <w:rsid w:val="004F2F20"/>
    <w:rsid w:val="004F5429"/>
    <w:rsid w:val="004F542C"/>
    <w:rsid w:val="004F572A"/>
    <w:rsid w:val="004F7418"/>
    <w:rsid w:val="004F7813"/>
    <w:rsid w:val="005000C9"/>
    <w:rsid w:val="00500518"/>
    <w:rsid w:val="00501012"/>
    <w:rsid w:val="005016B0"/>
    <w:rsid w:val="00501F67"/>
    <w:rsid w:val="00503A61"/>
    <w:rsid w:val="00504F5A"/>
    <w:rsid w:val="00505B46"/>
    <w:rsid w:val="00506FBA"/>
    <w:rsid w:val="00507454"/>
    <w:rsid w:val="00507E32"/>
    <w:rsid w:val="00510980"/>
    <w:rsid w:val="00514C04"/>
    <w:rsid w:val="00514EFE"/>
    <w:rsid w:val="005152FD"/>
    <w:rsid w:val="00516054"/>
    <w:rsid w:val="0051697D"/>
    <w:rsid w:val="0052203B"/>
    <w:rsid w:val="005227EF"/>
    <w:rsid w:val="00523BF1"/>
    <w:rsid w:val="005257F6"/>
    <w:rsid w:val="00527339"/>
    <w:rsid w:val="00527415"/>
    <w:rsid w:val="00527ECA"/>
    <w:rsid w:val="00533227"/>
    <w:rsid w:val="005332D5"/>
    <w:rsid w:val="005360D1"/>
    <w:rsid w:val="00537133"/>
    <w:rsid w:val="005377E4"/>
    <w:rsid w:val="0053789F"/>
    <w:rsid w:val="005379D5"/>
    <w:rsid w:val="00542475"/>
    <w:rsid w:val="0054367A"/>
    <w:rsid w:val="00543977"/>
    <w:rsid w:val="00545E91"/>
    <w:rsid w:val="00546BD6"/>
    <w:rsid w:val="00547752"/>
    <w:rsid w:val="0055026E"/>
    <w:rsid w:val="00551C3E"/>
    <w:rsid w:val="00551F93"/>
    <w:rsid w:val="00552B47"/>
    <w:rsid w:val="00552CAE"/>
    <w:rsid w:val="00554209"/>
    <w:rsid w:val="00554F2B"/>
    <w:rsid w:val="00560018"/>
    <w:rsid w:val="00561068"/>
    <w:rsid w:val="0056151B"/>
    <w:rsid w:val="0056189A"/>
    <w:rsid w:val="00561E12"/>
    <w:rsid w:val="00562769"/>
    <w:rsid w:val="00563083"/>
    <w:rsid w:val="00563487"/>
    <w:rsid w:val="005641B9"/>
    <w:rsid w:val="00564DBB"/>
    <w:rsid w:val="00564E6F"/>
    <w:rsid w:val="005663DF"/>
    <w:rsid w:val="00566492"/>
    <w:rsid w:val="005668BF"/>
    <w:rsid w:val="00566ACE"/>
    <w:rsid w:val="00567163"/>
    <w:rsid w:val="00570C93"/>
    <w:rsid w:val="00571A78"/>
    <w:rsid w:val="00574AEA"/>
    <w:rsid w:val="00574E8D"/>
    <w:rsid w:val="005759AB"/>
    <w:rsid w:val="00575AC6"/>
    <w:rsid w:val="005779FA"/>
    <w:rsid w:val="0058215D"/>
    <w:rsid w:val="00583191"/>
    <w:rsid w:val="0058323B"/>
    <w:rsid w:val="005836A9"/>
    <w:rsid w:val="00585903"/>
    <w:rsid w:val="00585B03"/>
    <w:rsid w:val="00590378"/>
    <w:rsid w:val="00590B9B"/>
    <w:rsid w:val="005913DD"/>
    <w:rsid w:val="005914D3"/>
    <w:rsid w:val="00592D93"/>
    <w:rsid w:val="00596284"/>
    <w:rsid w:val="0059633C"/>
    <w:rsid w:val="005967D4"/>
    <w:rsid w:val="00597CB0"/>
    <w:rsid w:val="005A077A"/>
    <w:rsid w:val="005A37CB"/>
    <w:rsid w:val="005A52F5"/>
    <w:rsid w:val="005A7026"/>
    <w:rsid w:val="005A7754"/>
    <w:rsid w:val="005B0187"/>
    <w:rsid w:val="005B04F9"/>
    <w:rsid w:val="005B3967"/>
    <w:rsid w:val="005B46BE"/>
    <w:rsid w:val="005B4D06"/>
    <w:rsid w:val="005B771A"/>
    <w:rsid w:val="005B7731"/>
    <w:rsid w:val="005C098A"/>
    <w:rsid w:val="005C13CD"/>
    <w:rsid w:val="005C17D0"/>
    <w:rsid w:val="005C3552"/>
    <w:rsid w:val="005C4089"/>
    <w:rsid w:val="005C5699"/>
    <w:rsid w:val="005D333A"/>
    <w:rsid w:val="005D4B6A"/>
    <w:rsid w:val="005D4D4F"/>
    <w:rsid w:val="005D4DF3"/>
    <w:rsid w:val="005D500D"/>
    <w:rsid w:val="005D74B1"/>
    <w:rsid w:val="005D7FE6"/>
    <w:rsid w:val="005E0482"/>
    <w:rsid w:val="005E10AF"/>
    <w:rsid w:val="005E1FB8"/>
    <w:rsid w:val="005E20B4"/>
    <w:rsid w:val="005E20F8"/>
    <w:rsid w:val="005E2869"/>
    <w:rsid w:val="005E3EBF"/>
    <w:rsid w:val="005E443E"/>
    <w:rsid w:val="005E4E59"/>
    <w:rsid w:val="005E548C"/>
    <w:rsid w:val="005E5623"/>
    <w:rsid w:val="005E5897"/>
    <w:rsid w:val="005E70EC"/>
    <w:rsid w:val="005F1898"/>
    <w:rsid w:val="005F2236"/>
    <w:rsid w:val="005F2C83"/>
    <w:rsid w:val="005F2DE2"/>
    <w:rsid w:val="005F3964"/>
    <w:rsid w:val="005F5AA9"/>
    <w:rsid w:val="005F65DB"/>
    <w:rsid w:val="005F7A28"/>
    <w:rsid w:val="005F7B31"/>
    <w:rsid w:val="00601A29"/>
    <w:rsid w:val="006030D5"/>
    <w:rsid w:val="00603697"/>
    <w:rsid w:val="00604C98"/>
    <w:rsid w:val="00605150"/>
    <w:rsid w:val="0060522E"/>
    <w:rsid w:val="006053D0"/>
    <w:rsid w:val="00606A7F"/>
    <w:rsid w:val="0060792A"/>
    <w:rsid w:val="00610DB3"/>
    <w:rsid w:val="00611168"/>
    <w:rsid w:val="006127BF"/>
    <w:rsid w:val="00613511"/>
    <w:rsid w:val="0061481C"/>
    <w:rsid w:val="00616F8A"/>
    <w:rsid w:val="00617A13"/>
    <w:rsid w:val="00617D31"/>
    <w:rsid w:val="00617F60"/>
    <w:rsid w:val="0062072B"/>
    <w:rsid w:val="00621749"/>
    <w:rsid w:val="006220FB"/>
    <w:rsid w:val="006223A9"/>
    <w:rsid w:val="0062245C"/>
    <w:rsid w:val="00623089"/>
    <w:rsid w:val="00626040"/>
    <w:rsid w:val="0063056D"/>
    <w:rsid w:val="00631F50"/>
    <w:rsid w:val="006326E2"/>
    <w:rsid w:val="0063287C"/>
    <w:rsid w:val="00632BA5"/>
    <w:rsid w:val="00632E1B"/>
    <w:rsid w:val="006330A0"/>
    <w:rsid w:val="00633CB4"/>
    <w:rsid w:val="006351EC"/>
    <w:rsid w:val="00636455"/>
    <w:rsid w:val="00636AAE"/>
    <w:rsid w:val="00642F92"/>
    <w:rsid w:val="006447E5"/>
    <w:rsid w:val="00645413"/>
    <w:rsid w:val="00646126"/>
    <w:rsid w:val="00646163"/>
    <w:rsid w:val="0064705D"/>
    <w:rsid w:val="006477EE"/>
    <w:rsid w:val="00647A66"/>
    <w:rsid w:val="00647C24"/>
    <w:rsid w:val="006500F7"/>
    <w:rsid w:val="00653C40"/>
    <w:rsid w:val="006555F8"/>
    <w:rsid w:val="0065616F"/>
    <w:rsid w:val="00656729"/>
    <w:rsid w:val="006624AD"/>
    <w:rsid w:val="00662E87"/>
    <w:rsid w:val="006642CD"/>
    <w:rsid w:val="00664566"/>
    <w:rsid w:val="00665554"/>
    <w:rsid w:val="00667D8B"/>
    <w:rsid w:val="00672123"/>
    <w:rsid w:val="00673835"/>
    <w:rsid w:val="00674A37"/>
    <w:rsid w:val="00675A46"/>
    <w:rsid w:val="006762A2"/>
    <w:rsid w:val="00676D8F"/>
    <w:rsid w:val="00680E81"/>
    <w:rsid w:val="0068149C"/>
    <w:rsid w:val="00682A71"/>
    <w:rsid w:val="006839C9"/>
    <w:rsid w:val="00683EDA"/>
    <w:rsid w:val="00684CA1"/>
    <w:rsid w:val="00686287"/>
    <w:rsid w:val="00686FBD"/>
    <w:rsid w:val="006908EE"/>
    <w:rsid w:val="0069191B"/>
    <w:rsid w:val="006945D2"/>
    <w:rsid w:val="006962C0"/>
    <w:rsid w:val="006A2749"/>
    <w:rsid w:val="006A2F56"/>
    <w:rsid w:val="006A6ACB"/>
    <w:rsid w:val="006B04FD"/>
    <w:rsid w:val="006B07E0"/>
    <w:rsid w:val="006B105E"/>
    <w:rsid w:val="006B26BB"/>
    <w:rsid w:val="006B2CA8"/>
    <w:rsid w:val="006B2D11"/>
    <w:rsid w:val="006B360A"/>
    <w:rsid w:val="006B53CA"/>
    <w:rsid w:val="006B70BA"/>
    <w:rsid w:val="006C0F03"/>
    <w:rsid w:val="006C1079"/>
    <w:rsid w:val="006C6B5E"/>
    <w:rsid w:val="006C6DED"/>
    <w:rsid w:val="006C7D16"/>
    <w:rsid w:val="006D00D0"/>
    <w:rsid w:val="006D1021"/>
    <w:rsid w:val="006D107E"/>
    <w:rsid w:val="006D13A4"/>
    <w:rsid w:val="006D3A8E"/>
    <w:rsid w:val="006D496D"/>
    <w:rsid w:val="006D6565"/>
    <w:rsid w:val="006D6B61"/>
    <w:rsid w:val="006E072D"/>
    <w:rsid w:val="006E172D"/>
    <w:rsid w:val="006E1B32"/>
    <w:rsid w:val="006E226C"/>
    <w:rsid w:val="006E24BC"/>
    <w:rsid w:val="006E2518"/>
    <w:rsid w:val="006E25F5"/>
    <w:rsid w:val="006E2B3F"/>
    <w:rsid w:val="006E386A"/>
    <w:rsid w:val="006E46BF"/>
    <w:rsid w:val="006E4B42"/>
    <w:rsid w:val="006E550A"/>
    <w:rsid w:val="006E65C5"/>
    <w:rsid w:val="006E7BB4"/>
    <w:rsid w:val="006F1593"/>
    <w:rsid w:val="006F2454"/>
    <w:rsid w:val="006F2607"/>
    <w:rsid w:val="006F4AF3"/>
    <w:rsid w:val="006F78B1"/>
    <w:rsid w:val="00700FD4"/>
    <w:rsid w:val="007043F3"/>
    <w:rsid w:val="00706C1B"/>
    <w:rsid w:val="00711B73"/>
    <w:rsid w:val="00712863"/>
    <w:rsid w:val="00712974"/>
    <w:rsid w:val="00713214"/>
    <w:rsid w:val="007165DD"/>
    <w:rsid w:val="00717D89"/>
    <w:rsid w:val="00720577"/>
    <w:rsid w:val="0072123C"/>
    <w:rsid w:val="00722852"/>
    <w:rsid w:val="007233C9"/>
    <w:rsid w:val="00723C74"/>
    <w:rsid w:val="00725186"/>
    <w:rsid w:val="007254EE"/>
    <w:rsid w:val="00725BF3"/>
    <w:rsid w:val="00725C6F"/>
    <w:rsid w:val="00725CDB"/>
    <w:rsid w:val="007309E9"/>
    <w:rsid w:val="0073136C"/>
    <w:rsid w:val="00735262"/>
    <w:rsid w:val="007359BC"/>
    <w:rsid w:val="00735B64"/>
    <w:rsid w:val="0074126B"/>
    <w:rsid w:val="007421D5"/>
    <w:rsid w:val="00745671"/>
    <w:rsid w:val="00745A91"/>
    <w:rsid w:val="00746EDD"/>
    <w:rsid w:val="0074759A"/>
    <w:rsid w:val="00747B69"/>
    <w:rsid w:val="00750057"/>
    <w:rsid w:val="007502F4"/>
    <w:rsid w:val="00750431"/>
    <w:rsid w:val="0075255D"/>
    <w:rsid w:val="00753297"/>
    <w:rsid w:val="00754583"/>
    <w:rsid w:val="00754887"/>
    <w:rsid w:val="0075509C"/>
    <w:rsid w:val="007559A9"/>
    <w:rsid w:val="00760A55"/>
    <w:rsid w:val="00760B6F"/>
    <w:rsid w:val="00761BDF"/>
    <w:rsid w:val="00764523"/>
    <w:rsid w:val="00764C83"/>
    <w:rsid w:val="00764C90"/>
    <w:rsid w:val="007676D2"/>
    <w:rsid w:val="00767E91"/>
    <w:rsid w:val="00770624"/>
    <w:rsid w:val="00774BD4"/>
    <w:rsid w:val="0077640D"/>
    <w:rsid w:val="00776C5A"/>
    <w:rsid w:val="0078114A"/>
    <w:rsid w:val="00785554"/>
    <w:rsid w:val="007868CC"/>
    <w:rsid w:val="007876FA"/>
    <w:rsid w:val="007900FC"/>
    <w:rsid w:val="007905CD"/>
    <w:rsid w:val="00790A37"/>
    <w:rsid w:val="007941E1"/>
    <w:rsid w:val="0079490D"/>
    <w:rsid w:val="00794C6C"/>
    <w:rsid w:val="00795644"/>
    <w:rsid w:val="00796A6D"/>
    <w:rsid w:val="007A03C2"/>
    <w:rsid w:val="007A18EE"/>
    <w:rsid w:val="007A1A23"/>
    <w:rsid w:val="007A544E"/>
    <w:rsid w:val="007A5F90"/>
    <w:rsid w:val="007A6F9C"/>
    <w:rsid w:val="007A7320"/>
    <w:rsid w:val="007A7421"/>
    <w:rsid w:val="007B1A05"/>
    <w:rsid w:val="007B2DAF"/>
    <w:rsid w:val="007B3239"/>
    <w:rsid w:val="007B3D0A"/>
    <w:rsid w:val="007B3E84"/>
    <w:rsid w:val="007B4339"/>
    <w:rsid w:val="007B4DC5"/>
    <w:rsid w:val="007C2FB8"/>
    <w:rsid w:val="007C4151"/>
    <w:rsid w:val="007C4578"/>
    <w:rsid w:val="007C5E71"/>
    <w:rsid w:val="007C7C1C"/>
    <w:rsid w:val="007D23A3"/>
    <w:rsid w:val="007D23A9"/>
    <w:rsid w:val="007D3728"/>
    <w:rsid w:val="007E1352"/>
    <w:rsid w:val="007E146B"/>
    <w:rsid w:val="007E1897"/>
    <w:rsid w:val="007E3203"/>
    <w:rsid w:val="007E3B25"/>
    <w:rsid w:val="007E3FDE"/>
    <w:rsid w:val="007E4E15"/>
    <w:rsid w:val="007E5976"/>
    <w:rsid w:val="007E6441"/>
    <w:rsid w:val="007E676A"/>
    <w:rsid w:val="007E6D75"/>
    <w:rsid w:val="007F0B46"/>
    <w:rsid w:val="007F1ACE"/>
    <w:rsid w:val="007F482D"/>
    <w:rsid w:val="007F4AB3"/>
    <w:rsid w:val="007F4B8C"/>
    <w:rsid w:val="007F59D8"/>
    <w:rsid w:val="00801B25"/>
    <w:rsid w:val="00803278"/>
    <w:rsid w:val="0080337A"/>
    <w:rsid w:val="008043BB"/>
    <w:rsid w:val="008045AA"/>
    <w:rsid w:val="00805830"/>
    <w:rsid w:val="008065A8"/>
    <w:rsid w:val="00807E5D"/>
    <w:rsid w:val="00810ACA"/>
    <w:rsid w:val="0081181B"/>
    <w:rsid w:val="00812147"/>
    <w:rsid w:val="00813EFE"/>
    <w:rsid w:val="00816D1F"/>
    <w:rsid w:val="00820006"/>
    <w:rsid w:val="008203CE"/>
    <w:rsid w:val="00820E16"/>
    <w:rsid w:val="00820F5C"/>
    <w:rsid w:val="00821771"/>
    <w:rsid w:val="00821FDF"/>
    <w:rsid w:val="00822B8E"/>
    <w:rsid w:val="00824350"/>
    <w:rsid w:val="00826EFA"/>
    <w:rsid w:val="00827593"/>
    <w:rsid w:val="008278CB"/>
    <w:rsid w:val="00830C09"/>
    <w:rsid w:val="00831D33"/>
    <w:rsid w:val="0083259A"/>
    <w:rsid w:val="00833FC8"/>
    <w:rsid w:val="00834877"/>
    <w:rsid w:val="00834E55"/>
    <w:rsid w:val="0083513E"/>
    <w:rsid w:val="00835B6C"/>
    <w:rsid w:val="00836C9D"/>
    <w:rsid w:val="00841491"/>
    <w:rsid w:val="00843F35"/>
    <w:rsid w:val="008440E9"/>
    <w:rsid w:val="00844991"/>
    <w:rsid w:val="0084693A"/>
    <w:rsid w:val="00847D3B"/>
    <w:rsid w:val="0085077E"/>
    <w:rsid w:val="00850A82"/>
    <w:rsid w:val="00851330"/>
    <w:rsid w:val="008524BF"/>
    <w:rsid w:val="008524D0"/>
    <w:rsid w:val="00852A38"/>
    <w:rsid w:val="00852C5E"/>
    <w:rsid w:val="00853F9D"/>
    <w:rsid w:val="00856BE0"/>
    <w:rsid w:val="008617BC"/>
    <w:rsid w:val="00862405"/>
    <w:rsid w:val="00862B02"/>
    <w:rsid w:val="00862C2B"/>
    <w:rsid w:val="0086468E"/>
    <w:rsid w:val="0086551F"/>
    <w:rsid w:val="008660EC"/>
    <w:rsid w:val="00866FEE"/>
    <w:rsid w:val="00867DA0"/>
    <w:rsid w:val="00871ADA"/>
    <w:rsid w:val="008723C2"/>
    <w:rsid w:val="008728DB"/>
    <w:rsid w:val="00872B67"/>
    <w:rsid w:val="008732E8"/>
    <w:rsid w:val="00877034"/>
    <w:rsid w:val="00877F6F"/>
    <w:rsid w:val="00881319"/>
    <w:rsid w:val="00881DE9"/>
    <w:rsid w:val="00882875"/>
    <w:rsid w:val="00883CCF"/>
    <w:rsid w:val="00883CE5"/>
    <w:rsid w:val="00884CCF"/>
    <w:rsid w:val="00884D91"/>
    <w:rsid w:val="00885D8D"/>
    <w:rsid w:val="0088647B"/>
    <w:rsid w:val="00886904"/>
    <w:rsid w:val="00886B05"/>
    <w:rsid w:val="0088727E"/>
    <w:rsid w:val="008915FB"/>
    <w:rsid w:val="00893373"/>
    <w:rsid w:val="00893D67"/>
    <w:rsid w:val="008975A9"/>
    <w:rsid w:val="008A02A1"/>
    <w:rsid w:val="008A27AB"/>
    <w:rsid w:val="008A3620"/>
    <w:rsid w:val="008A41FB"/>
    <w:rsid w:val="008A48E5"/>
    <w:rsid w:val="008A5F4A"/>
    <w:rsid w:val="008B0AD8"/>
    <w:rsid w:val="008B24F1"/>
    <w:rsid w:val="008B5168"/>
    <w:rsid w:val="008B692E"/>
    <w:rsid w:val="008B6ADF"/>
    <w:rsid w:val="008B6D07"/>
    <w:rsid w:val="008C05A0"/>
    <w:rsid w:val="008C0E9D"/>
    <w:rsid w:val="008C17B5"/>
    <w:rsid w:val="008C4076"/>
    <w:rsid w:val="008C42D2"/>
    <w:rsid w:val="008C506D"/>
    <w:rsid w:val="008C547A"/>
    <w:rsid w:val="008C549E"/>
    <w:rsid w:val="008C5ECB"/>
    <w:rsid w:val="008C6C4C"/>
    <w:rsid w:val="008C6C6B"/>
    <w:rsid w:val="008D4153"/>
    <w:rsid w:val="008D6A9B"/>
    <w:rsid w:val="008D6F17"/>
    <w:rsid w:val="008D7A9B"/>
    <w:rsid w:val="008D7D43"/>
    <w:rsid w:val="008E0566"/>
    <w:rsid w:val="008E0663"/>
    <w:rsid w:val="008E0F54"/>
    <w:rsid w:val="008E139A"/>
    <w:rsid w:val="008E2FAB"/>
    <w:rsid w:val="008E4463"/>
    <w:rsid w:val="008E5A07"/>
    <w:rsid w:val="008E7864"/>
    <w:rsid w:val="008E7965"/>
    <w:rsid w:val="008F0149"/>
    <w:rsid w:val="008F2082"/>
    <w:rsid w:val="008F229D"/>
    <w:rsid w:val="008F292D"/>
    <w:rsid w:val="008F2A2C"/>
    <w:rsid w:val="008F53A7"/>
    <w:rsid w:val="008F669A"/>
    <w:rsid w:val="008F75DE"/>
    <w:rsid w:val="008F7848"/>
    <w:rsid w:val="00901016"/>
    <w:rsid w:val="00901050"/>
    <w:rsid w:val="00901CFA"/>
    <w:rsid w:val="00901DFC"/>
    <w:rsid w:val="0090330A"/>
    <w:rsid w:val="009040F2"/>
    <w:rsid w:val="0090765D"/>
    <w:rsid w:val="009150FE"/>
    <w:rsid w:val="009162B2"/>
    <w:rsid w:val="00917700"/>
    <w:rsid w:val="00922646"/>
    <w:rsid w:val="009229D9"/>
    <w:rsid w:val="00922DED"/>
    <w:rsid w:val="00924607"/>
    <w:rsid w:val="009250B7"/>
    <w:rsid w:val="00925CD1"/>
    <w:rsid w:val="009267BE"/>
    <w:rsid w:val="0092720E"/>
    <w:rsid w:val="00930278"/>
    <w:rsid w:val="00930410"/>
    <w:rsid w:val="009308F0"/>
    <w:rsid w:val="009310A3"/>
    <w:rsid w:val="00933339"/>
    <w:rsid w:val="0093533B"/>
    <w:rsid w:val="00936040"/>
    <w:rsid w:val="00937787"/>
    <w:rsid w:val="00937BA3"/>
    <w:rsid w:val="0094010E"/>
    <w:rsid w:val="00940486"/>
    <w:rsid w:val="00940EFF"/>
    <w:rsid w:val="00941E71"/>
    <w:rsid w:val="00941E79"/>
    <w:rsid w:val="0094325D"/>
    <w:rsid w:val="009439AF"/>
    <w:rsid w:val="009439F8"/>
    <w:rsid w:val="00944F08"/>
    <w:rsid w:val="00945061"/>
    <w:rsid w:val="0094537E"/>
    <w:rsid w:val="009456AC"/>
    <w:rsid w:val="00946411"/>
    <w:rsid w:val="00947201"/>
    <w:rsid w:val="00947737"/>
    <w:rsid w:val="00950332"/>
    <w:rsid w:val="00951A3E"/>
    <w:rsid w:val="00951E7F"/>
    <w:rsid w:val="0095238C"/>
    <w:rsid w:val="00952CAA"/>
    <w:rsid w:val="0095416E"/>
    <w:rsid w:val="00954B80"/>
    <w:rsid w:val="00954C8C"/>
    <w:rsid w:val="00955C3B"/>
    <w:rsid w:val="0095605F"/>
    <w:rsid w:val="00957369"/>
    <w:rsid w:val="009635F5"/>
    <w:rsid w:val="0096443E"/>
    <w:rsid w:val="00964E2C"/>
    <w:rsid w:val="00965029"/>
    <w:rsid w:val="009655C1"/>
    <w:rsid w:val="00972ACE"/>
    <w:rsid w:val="00973101"/>
    <w:rsid w:val="00973B68"/>
    <w:rsid w:val="00973CC4"/>
    <w:rsid w:val="00974D80"/>
    <w:rsid w:val="00975510"/>
    <w:rsid w:val="00975FF0"/>
    <w:rsid w:val="00983B25"/>
    <w:rsid w:val="009844F0"/>
    <w:rsid w:val="00984DA8"/>
    <w:rsid w:val="00992FED"/>
    <w:rsid w:val="0099677D"/>
    <w:rsid w:val="009967F4"/>
    <w:rsid w:val="009979C5"/>
    <w:rsid w:val="009A00E7"/>
    <w:rsid w:val="009A12DB"/>
    <w:rsid w:val="009A19C1"/>
    <w:rsid w:val="009A28F4"/>
    <w:rsid w:val="009A3AD2"/>
    <w:rsid w:val="009A5235"/>
    <w:rsid w:val="009A6283"/>
    <w:rsid w:val="009A673F"/>
    <w:rsid w:val="009A6D99"/>
    <w:rsid w:val="009A70C5"/>
    <w:rsid w:val="009A777D"/>
    <w:rsid w:val="009B12AE"/>
    <w:rsid w:val="009B1C04"/>
    <w:rsid w:val="009B1F76"/>
    <w:rsid w:val="009B2107"/>
    <w:rsid w:val="009B2869"/>
    <w:rsid w:val="009B3848"/>
    <w:rsid w:val="009B44E4"/>
    <w:rsid w:val="009B55A6"/>
    <w:rsid w:val="009B59EA"/>
    <w:rsid w:val="009B729F"/>
    <w:rsid w:val="009C07D3"/>
    <w:rsid w:val="009C2284"/>
    <w:rsid w:val="009C4A6D"/>
    <w:rsid w:val="009C4E4D"/>
    <w:rsid w:val="009C54B1"/>
    <w:rsid w:val="009C7A11"/>
    <w:rsid w:val="009D0282"/>
    <w:rsid w:val="009D066D"/>
    <w:rsid w:val="009D1A57"/>
    <w:rsid w:val="009D1AAB"/>
    <w:rsid w:val="009D2A6E"/>
    <w:rsid w:val="009D4694"/>
    <w:rsid w:val="009D4760"/>
    <w:rsid w:val="009D55CF"/>
    <w:rsid w:val="009D59B1"/>
    <w:rsid w:val="009D64C4"/>
    <w:rsid w:val="009D792B"/>
    <w:rsid w:val="009E00C6"/>
    <w:rsid w:val="009E3602"/>
    <w:rsid w:val="009E5F48"/>
    <w:rsid w:val="009E6E2E"/>
    <w:rsid w:val="009E7583"/>
    <w:rsid w:val="009F05AF"/>
    <w:rsid w:val="009F07DA"/>
    <w:rsid w:val="009F3120"/>
    <w:rsid w:val="009F4CCC"/>
    <w:rsid w:val="009F6781"/>
    <w:rsid w:val="009F680B"/>
    <w:rsid w:val="009F6CF6"/>
    <w:rsid w:val="00A00DDD"/>
    <w:rsid w:val="00A038D9"/>
    <w:rsid w:val="00A039A3"/>
    <w:rsid w:val="00A03BC3"/>
    <w:rsid w:val="00A04D32"/>
    <w:rsid w:val="00A05675"/>
    <w:rsid w:val="00A059EB"/>
    <w:rsid w:val="00A06C6B"/>
    <w:rsid w:val="00A072D6"/>
    <w:rsid w:val="00A07586"/>
    <w:rsid w:val="00A10222"/>
    <w:rsid w:val="00A109BE"/>
    <w:rsid w:val="00A11BA7"/>
    <w:rsid w:val="00A12DD6"/>
    <w:rsid w:val="00A169EF"/>
    <w:rsid w:val="00A172AD"/>
    <w:rsid w:val="00A221DC"/>
    <w:rsid w:val="00A22F5D"/>
    <w:rsid w:val="00A242A5"/>
    <w:rsid w:val="00A257E3"/>
    <w:rsid w:val="00A25FAC"/>
    <w:rsid w:val="00A26643"/>
    <w:rsid w:val="00A30048"/>
    <w:rsid w:val="00A30A87"/>
    <w:rsid w:val="00A31318"/>
    <w:rsid w:val="00A320A1"/>
    <w:rsid w:val="00A33705"/>
    <w:rsid w:val="00A3477F"/>
    <w:rsid w:val="00A3491E"/>
    <w:rsid w:val="00A34B2C"/>
    <w:rsid w:val="00A34C60"/>
    <w:rsid w:val="00A37F75"/>
    <w:rsid w:val="00A40B10"/>
    <w:rsid w:val="00A40D28"/>
    <w:rsid w:val="00A41536"/>
    <w:rsid w:val="00A41970"/>
    <w:rsid w:val="00A41EDF"/>
    <w:rsid w:val="00A427B8"/>
    <w:rsid w:val="00A431B0"/>
    <w:rsid w:val="00A46727"/>
    <w:rsid w:val="00A469E7"/>
    <w:rsid w:val="00A518AC"/>
    <w:rsid w:val="00A5240A"/>
    <w:rsid w:val="00A534A6"/>
    <w:rsid w:val="00A5499D"/>
    <w:rsid w:val="00A563F4"/>
    <w:rsid w:val="00A6080F"/>
    <w:rsid w:val="00A61405"/>
    <w:rsid w:val="00A622E8"/>
    <w:rsid w:val="00A6245E"/>
    <w:rsid w:val="00A6336F"/>
    <w:rsid w:val="00A64170"/>
    <w:rsid w:val="00A646B1"/>
    <w:rsid w:val="00A65184"/>
    <w:rsid w:val="00A66483"/>
    <w:rsid w:val="00A7002A"/>
    <w:rsid w:val="00A712AF"/>
    <w:rsid w:val="00A73A7D"/>
    <w:rsid w:val="00A748EF"/>
    <w:rsid w:val="00A75960"/>
    <w:rsid w:val="00A75CD4"/>
    <w:rsid w:val="00A81D6C"/>
    <w:rsid w:val="00A81F25"/>
    <w:rsid w:val="00A82310"/>
    <w:rsid w:val="00A82A34"/>
    <w:rsid w:val="00A8362A"/>
    <w:rsid w:val="00A8392F"/>
    <w:rsid w:val="00A83B0D"/>
    <w:rsid w:val="00A83CCF"/>
    <w:rsid w:val="00A842BC"/>
    <w:rsid w:val="00A846A1"/>
    <w:rsid w:val="00A84BBB"/>
    <w:rsid w:val="00A86548"/>
    <w:rsid w:val="00A876FD"/>
    <w:rsid w:val="00A87B13"/>
    <w:rsid w:val="00A923D4"/>
    <w:rsid w:val="00A92DD7"/>
    <w:rsid w:val="00A96351"/>
    <w:rsid w:val="00A97344"/>
    <w:rsid w:val="00A977AE"/>
    <w:rsid w:val="00AA3485"/>
    <w:rsid w:val="00AA4A6E"/>
    <w:rsid w:val="00AA5B29"/>
    <w:rsid w:val="00AA6034"/>
    <w:rsid w:val="00AB1F17"/>
    <w:rsid w:val="00AB303C"/>
    <w:rsid w:val="00AB34EE"/>
    <w:rsid w:val="00AB377A"/>
    <w:rsid w:val="00AB60DD"/>
    <w:rsid w:val="00AB6651"/>
    <w:rsid w:val="00AB78FB"/>
    <w:rsid w:val="00AC1274"/>
    <w:rsid w:val="00AC200C"/>
    <w:rsid w:val="00AC312D"/>
    <w:rsid w:val="00AC4838"/>
    <w:rsid w:val="00AC513B"/>
    <w:rsid w:val="00AC54B4"/>
    <w:rsid w:val="00AC5DA2"/>
    <w:rsid w:val="00AD0388"/>
    <w:rsid w:val="00AD2628"/>
    <w:rsid w:val="00AD2C20"/>
    <w:rsid w:val="00AD4646"/>
    <w:rsid w:val="00AD4B3E"/>
    <w:rsid w:val="00AD7344"/>
    <w:rsid w:val="00AD7801"/>
    <w:rsid w:val="00AE0D51"/>
    <w:rsid w:val="00AE438A"/>
    <w:rsid w:val="00AE447C"/>
    <w:rsid w:val="00AE4E00"/>
    <w:rsid w:val="00AE5175"/>
    <w:rsid w:val="00AE5C32"/>
    <w:rsid w:val="00AE609F"/>
    <w:rsid w:val="00AE7B59"/>
    <w:rsid w:val="00AF17BF"/>
    <w:rsid w:val="00AF1940"/>
    <w:rsid w:val="00AF35F3"/>
    <w:rsid w:val="00AF3662"/>
    <w:rsid w:val="00AF424F"/>
    <w:rsid w:val="00AF4F99"/>
    <w:rsid w:val="00AF56A6"/>
    <w:rsid w:val="00AF5879"/>
    <w:rsid w:val="00AF616B"/>
    <w:rsid w:val="00AF7554"/>
    <w:rsid w:val="00AF75AA"/>
    <w:rsid w:val="00B00502"/>
    <w:rsid w:val="00B009E8"/>
    <w:rsid w:val="00B00CB7"/>
    <w:rsid w:val="00B026AA"/>
    <w:rsid w:val="00B02BF9"/>
    <w:rsid w:val="00B030E1"/>
    <w:rsid w:val="00B102A8"/>
    <w:rsid w:val="00B10DF1"/>
    <w:rsid w:val="00B12646"/>
    <w:rsid w:val="00B12D44"/>
    <w:rsid w:val="00B136B4"/>
    <w:rsid w:val="00B13C5A"/>
    <w:rsid w:val="00B1465D"/>
    <w:rsid w:val="00B151BF"/>
    <w:rsid w:val="00B155C3"/>
    <w:rsid w:val="00B15FB7"/>
    <w:rsid w:val="00B15FC1"/>
    <w:rsid w:val="00B1661E"/>
    <w:rsid w:val="00B171F7"/>
    <w:rsid w:val="00B202E5"/>
    <w:rsid w:val="00B22CE5"/>
    <w:rsid w:val="00B248A2"/>
    <w:rsid w:val="00B25F39"/>
    <w:rsid w:val="00B26E81"/>
    <w:rsid w:val="00B2783C"/>
    <w:rsid w:val="00B30091"/>
    <w:rsid w:val="00B30504"/>
    <w:rsid w:val="00B30C5C"/>
    <w:rsid w:val="00B3114F"/>
    <w:rsid w:val="00B3210C"/>
    <w:rsid w:val="00B32F49"/>
    <w:rsid w:val="00B3368C"/>
    <w:rsid w:val="00B3511B"/>
    <w:rsid w:val="00B35CDD"/>
    <w:rsid w:val="00B3672A"/>
    <w:rsid w:val="00B37B98"/>
    <w:rsid w:val="00B4041C"/>
    <w:rsid w:val="00B414F7"/>
    <w:rsid w:val="00B41840"/>
    <w:rsid w:val="00B4247B"/>
    <w:rsid w:val="00B42BFA"/>
    <w:rsid w:val="00B43B01"/>
    <w:rsid w:val="00B44F0A"/>
    <w:rsid w:val="00B46290"/>
    <w:rsid w:val="00B46ADA"/>
    <w:rsid w:val="00B46C85"/>
    <w:rsid w:val="00B4778B"/>
    <w:rsid w:val="00B50562"/>
    <w:rsid w:val="00B508A3"/>
    <w:rsid w:val="00B51E4B"/>
    <w:rsid w:val="00B51EE9"/>
    <w:rsid w:val="00B52412"/>
    <w:rsid w:val="00B527FF"/>
    <w:rsid w:val="00B53232"/>
    <w:rsid w:val="00B53C06"/>
    <w:rsid w:val="00B55600"/>
    <w:rsid w:val="00B55C1E"/>
    <w:rsid w:val="00B55F18"/>
    <w:rsid w:val="00B56137"/>
    <w:rsid w:val="00B56447"/>
    <w:rsid w:val="00B565F4"/>
    <w:rsid w:val="00B613B7"/>
    <w:rsid w:val="00B64151"/>
    <w:rsid w:val="00B64A30"/>
    <w:rsid w:val="00B64C7B"/>
    <w:rsid w:val="00B653A0"/>
    <w:rsid w:val="00B653CA"/>
    <w:rsid w:val="00B656AC"/>
    <w:rsid w:val="00B70E9B"/>
    <w:rsid w:val="00B713FD"/>
    <w:rsid w:val="00B72F91"/>
    <w:rsid w:val="00B75D62"/>
    <w:rsid w:val="00B77C99"/>
    <w:rsid w:val="00B80A30"/>
    <w:rsid w:val="00B82299"/>
    <w:rsid w:val="00B82A6A"/>
    <w:rsid w:val="00B83CE6"/>
    <w:rsid w:val="00B8401A"/>
    <w:rsid w:val="00B84790"/>
    <w:rsid w:val="00B84BA4"/>
    <w:rsid w:val="00B873C7"/>
    <w:rsid w:val="00B87D8C"/>
    <w:rsid w:val="00B87FCE"/>
    <w:rsid w:val="00B904E6"/>
    <w:rsid w:val="00B91798"/>
    <w:rsid w:val="00B923E0"/>
    <w:rsid w:val="00B92A12"/>
    <w:rsid w:val="00B94248"/>
    <w:rsid w:val="00B94A67"/>
    <w:rsid w:val="00B9636F"/>
    <w:rsid w:val="00B964D6"/>
    <w:rsid w:val="00B96F2B"/>
    <w:rsid w:val="00B9747C"/>
    <w:rsid w:val="00B97DDF"/>
    <w:rsid w:val="00BA0E2F"/>
    <w:rsid w:val="00BA13D5"/>
    <w:rsid w:val="00BA1DBF"/>
    <w:rsid w:val="00BA25EE"/>
    <w:rsid w:val="00BA2680"/>
    <w:rsid w:val="00BA399C"/>
    <w:rsid w:val="00BA5009"/>
    <w:rsid w:val="00BB1738"/>
    <w:rsid w:val="00BB2962"/>
    <w:rsid w:val="00BB340F"/>
    <w:rsid w:val="00BB4A63"/>
    <w:rsid w:val="00BB5EC0"/>
    <w:rsid w:val="00BB65DC"/>
    <w:rsid w:val="00BB6FF1"/>
    <w:rsid w:val="00BB7E5C"/>
    <w:rsid w:val="00BC0F58"/>
    <w:rsid w:val="00BC23B4"/>
    <w:rsid w:val="00BC2E10"/>
    <w:rsid w:val="00BC2EC2"/>
    <w:rsid w:val="00BC3164"/>
    <w:rsid w:val="00BC349A"/>
    <w:rsid w:val="00BC3931"/>
    <w:rsid w:val="00BC3EEC"/>
    <w:rsid w:val="00BC439D"/>
    <w:rsid w:val="00BC4568"/>
    <w:rsid w:val="00BD0990"/>
    <w:rsid w:val="00BD0AD2"/>
    <w:rsid w:val="00BD2043"/>
    <w:rsid w:val="00BD2091"/>
    <w:rsid w:val="00BD6D30"/>
    <w:rsid w:val="00BD73F7"/>
    <w:rsid w:val="00BD7DF9"/>
    <w:rsid w:val="00BE369D"/>
    <w:rsid w:val="00BE3FE0"/>
    <w:rsid w:val="00BE5F2F"/>
    <w:rsid w:val="00BF0DA3"/>
    <w:rsid w:val="00BF153E"/>
    <w:rsid w:val="00BF203B"/>
    <w:rsid w:val="00BF2931"/>
    <w:rsid w:val="00BF516D"/>
    <w:rsid w:val="00BF52DC"/>
    <w:rsid w:val="00C00C9F"/>
    <w:rsid w:val="00C01102"/>
    <w:rsid w:val="00C01397"/>
    <w:rsid w:val="00C01993"/>
    <w:rsid w:val="00C045D5"/>
    <w:rsid w:val="00C060EC"/>
    <w:rsid w:val="00C07112"/>
    <w:rsid w:val="00C07145"/>
    <w:rsid w:val="00C0746D"/>
    <w:rsid w:val="00C1070E"/>
    <w:rsid w:val="00C115C1"/>
    <w:rsid w:val="00C117FC"/>
    <w:rsid w:val="00C1278C"/>
    <w:rsid w:val="00C12C35"/>
    <w:rsid w:val="00C1387A"/>
    <w:rsid w:val="00C13A18"/>
    <w:rsid w:val="00C13C8F"/>
    <w:rsid w:val="00C14580"/>
    <w:rsid w:val="00C1465B"/>
    <w:rsid w:val="00C14D37"/>
    <w:rsid w:val="00C173CD"/>
    <w:rsid w:val="00C17BFB"/>
    <w:rsid w:val="00C20984"/>
    <w:rsid w:val="00C21082"/>
    <w:rsid w:val="00C21B4B"/>
    <w:rsid w:val="00C22D47"/>
    <w:rsid w:val="00C22E6E"/>
    <w:rsid w:val="00C24D1B"/>
    <w:rsid w:val="00C24F69"/>
    <w:rsid w:val="00C30ED7"/>
    <w:rsid w:val="00C30F0B"/>
    <w:rsid w:val="00C3210C"/>
    <w:rsid w:val="00C3224E"/>
    <w:rsid w:val="00C329BC"/>
    <w:rsid w:val="00C33ED5"/>
    <w:rsid w:val="00C353EE"/>
    <w:rsid w:val="00C376F6"/>
    <w:rsid w:val="00C41369"/>
    <w:rsid w:val="00C41927"/>
    <w:rsid w:val="00C42177"/>
    <w:rsid w:val="00C43868"/>
    <w:rsid w:val="00C43C56"/>
    <w:rsid w:val="00C45BDB"/>
    <w:rsid w:val="00C4714B"/>
    <w:rsid w:val="00C474AE"/>
    <w:rsid w:val="00C479AE"/>
    <w:rsid w:val="00C50175"/>
    <w:rsid w:val="00C51D32"/>
    <w:rsid w:val="00C522B0"/>
    <w:rsid w:val="00C56764"/>
    <w:rsid w:val="00C57DD4"/>
    <w:rsid w:val="00C61958"/>
    <w:rsid w:val="00C61E7E"/>
    <w:rsid w:val="00C62028"/>
    <w:rsid w:val="00C63186"/>
    <w:rsid w:val="00C63862"/>
    <w:rsid w:val="00C63914"/>
    <w:rsid w:val="00C6419B"/>
    <w:rsid w:val="00C643D2"/>
    <w:rsid w:val="00C66F16"/>
    <w:rsid w:val="00C677D6"/>
    <w:rsid w:val="00C6797F"/>
    <w:rsid w:val="00C7028B"/>
    <w:rsid w:val="00C71296"/>
    <w:rsid w:val="00C71C5F"/>
    <w:rsid w:val="00C71FEE"/>
    <w:rsid w:val="00C7326C"/>
    <w:rsid w:val="00C74816"/>
    <w:rsid w:val="00C74A9B"/>
    <w:rsid w:val="00C7644A"/>
    <w:rsid w:val="00C76488"/>
    <w:rsid w:val="00C80B78"/>
    <w:rsid w:val="00C826C0"/>
    <w:rsid w:val="00C838D3"/>
    <w:rsid w:val="00C847EA"/>
    <w:rsid w:val="00C84910"/>
    <w:rsid w:val="00C863F2"/>
    <w:rsid w:val="00C86724"/>
    <w:rsid w:val="00C910AD"/>
    <w:rsid w:val="00C9211D"/>
    <w:rsid w:val="00C923AB"/>
    <w:rsid w:val="00C938C6"/>
    <w:rsid w:val="00C94041"/>
    <w:rsid w:val="00C94187"/>
    <w:rsid w:val="00C94456"/>
    <w:rsid w:val="00C97377"/>
    <w:rsid w:val="00CA004D"/>
    <w:rsid w:val="00CA2048"/>
    <w:rsid w:val="00CA28C9"/>
    <w:rsid w:val="00CA4640"/>
    <w:rsid w:val="00CA547E"/>
    <w:rsid w:val="00CA70F5"/>
    <w:rsid w:val="00CB005F"/>
    <w:rsid w:val="00CB15EB"/>
    <w:rsid w:val="00CB1A2A"/>
    <w:rsid w:val="00CB221A"/>
    <w:rsid w:val="00CB2910"/>
    <w:rsid w:val="00CB3FDF"/>
    <w:rsid w:val="00CB4A8E"/>
    <w:rsid w:val="00CB4C5A"/>
    <w:rsid w:val="00CB65D3"/>
    <w:rsid w:val="00CB67F3"/>
    <w:rsid w:val="00CB753D"/>
    <w:rsid w:val="00CC17FA"/>
    <w:rsid w:val="00CC1EDF"/>
    <w:rsid w:val="00CC2562"/>
    <w:rsid w:val="00CC2DA0"/>
    <w:rsid w:val="00CC37DD"/>
    <w:rsid w:val="00CC595D"/>
    <w:rsid w:val="00CC638F"/>
    <w:rsid w:val="00CC6B45"/>
    <w:rsid w:val="00CC6FBC"/>
    <w:rsid w:val="00CC7010"/>
    <w:rsid w:val="00CC7312"/>
    <w:rsid w:val="00CC7518"/>
    <w:rsid w:val="00CC75F9"/>
    <w:rsid w:val="00CC7AD8"/>
    <w:rsid w:val="00CD089D"/>
    <w:rsid w:val="00CD0B94"/>
    <w:rsid w:val="00CD0C4F"/>
    <w:rsid w:val="00CD0CCF"/>
    <w:rsid w:val="00CD16B9"/>
    <w:rsid w:val="00CD2CD0"/>
    <w:rsid w:val="00CD2EA6"/>
    <w:rsid w:val="00CD43CD"/>
    <w:rsid w:val="00CD4DFC"/>
    <w:rsid w:val="00CD5825"/>
    <w:rsid w:val="00CD6BB7"/>
    <w:rsid w:val="00CD6CCE"/>
    <w:rsid w:val="00CD7746"/>
    <w:rsid w:val="00CE01A8"/>
    <w:rsid w:val="00CE0651"/>
    <w:rsid w:val="00CE1256"/>
    <w:rsid w:val="00CE1319"/>
    <w:rsid w:val="00CE1BB8"/>
    <w:rsid w:val="00CE3482"/>
    <w:rsid w:val="00CE3C54"/>
    <w:rsid w:val="00CE4287"/>
    <w:rsid w:val="00CE47BF"/>
    <w:rsid w:val="00CE52FE"/>
    <w:rsid w:val="00CE709D"/>
    <w:rsid w:val="00CF059F"/>
    <w:rsid w:val="00CF0983"/>
    <w:rsid w:val="00CF1100"/>
    <w:rsid w:val="00CF12D3"/>
    <w:rsid w:val="00CF2466"/>
    <w:rsid w:val="00CF485B"/>
    <w:rsid w:val="00CF783E"/>
    <w:rsid w:val="00D00ACC"/>
    <w:rsid w:val="00D00B48"/>
    <w:rsid w:val="00D00DB4"/>
    <w:rsid w:val="00D0249B"/>
    <w:rsid w:val="00D0279E"/>
    <w:rsid w:val="00D02DF7"/>
    <w:rsid w:val="00D03B7F"/>
    <w:rsid w:val="00D03E20"/>
    <w:rsid w:val="00D04AC4"/>
    <w:rsid w:val="00D05CBE"/>
    <w:rsid w:val="00D05D58"/>
    <w:rsid w:val="00D06DB1"/>
    <w:rsid w:val="00D0729B"/>
    <w:rsid w:val="00D105C4"/>
    <w:rsid w:val="00D10966"/>
    <w:rsid w:val="00D121B6"/>
    <w:rsid w:val="00D1278B"/>
    <w:rsid w:val="00D13024"/>
    <w:rsid w:val="00D15363"/>
    <w:rsid w:val="00D15C76"/>
    <w:rsid w:val="00D17806"/>
    <w:rsid w:val="00D17D0A"/>
    <w:rsid w:val="00D205AD"/>
    <w:rsid w:val="00D20D85"/>
    <w:rsid w:val="00D21A3F"/>
    <w:rsid w:val="00D2241B"/>
    <w:rsid w:val="00D22E9B"/>
    <w:rsid w:val="00D23862"/>
    <w:rsid w:val="00D269A8"/>
    <w:rsid w:val="00D26E83"/>
    <w:rsid w:val="00D30D21"/>
    <w:rsid w:val="00D3145F"/>
    <w:rsid w:val="00D32395"/>
    <w:rsid w:val="00D323BE"/>
    <w:rsid w:val="00D40B94"/>
    <w:rsid w:val="00D42436"/>
    <w:rsid w:val="00D42F3C"/>
    <w:rsid w:val="00D42FFB"/>
    <w:rsid w:val="00D43BC7"/>
    <w:rsid w:val="00D44000"/>
    <w:rsid w:val="00D46821"/>
    <w:rsid w:val="00D46A49"/>
    <w:rsid w:val="00D523E1"/>
    <w:rsid w:val="00D53046"/>
    <w:rsid w:val="00D53C0A"/>
    <w:rsid w:val="00D53D6E"/>
    <w:rsid w:val="00D53E3A"/>
    <w:rsid w:val="00D53F74"/>
    <w:rsid w:val="00D5493D"/>
    <w:rsid w:val="00D55D2E"/>
    <w:rsid w:val="00D56BAD"/>
    <w:rsid w:val="00D57386"/>
    <w:rsid w:val="00D573C5"/>
    <w:rsid w:val="00D6002F"/>
    <w:rsid w:val="00D60EFD"/>
    <w:rsid w:val="00D63539"/>
    <w:rsid w:val="00D64F84"/>
    <w:rsid w:val="00D659A6"/>
    <w:rsid w:val="00D65CBD"/>
    <w:rsid w:val="00D7062D"/>
    <w:rsid w:val="00D719B1"/>
    <w:rsid w:val="00D7315A"/>
    <w:rsid w:val="00D74079"/>
    <w:rsid w:val="00D75039"/>
    <w:rsid w:val="00D757A2"/>
    <w:rsid w:val="00D75C93"/>
    <w:rsid w:val="00D76C1C"/>
    <w:rsid w:val="00D76EF4"/>
    <w:rsid w:val="00D77DF2"/>
    <w:rsid w:val="00D80E6C"/>
    <w:rsid w:val="00D811C7"/>
    <w:rsid w:val="00D849EB"/>
    <w:rsid w:val="00D8650F"/>
    <w:rsid w:val="00D871A7"/>
    <w:rsid w:val="00D90432"/>
    <w:rsid w:val="00D90E65"/>
    <w:rsid w:val="00D92DC4"/>
    <w:rsid w:val="00D93008"/>
    <w:rsid w:val="00D94E8D"/>
    <w:rsid w:val="00D96B9B"/>
    <w:rsid w:val="00D973BF"/>
    <w:rsid w:val="00D97422"/>
    <w:rsid w:val="00D974A3"/>
    <w:rsid w:val="00D9790B"/>
    <w:rsid w:val="00DA4089"/>
    <w:rsid w:val="00DA468C"/>
    <w:rsid w:val="00DA478C"/>
    <w:rsid w:val="00DA4C18"/>
    <w:rsid w:val="00DA5E38"/>
    <w:rsid w:val="00DA6819"/>
    <w:rsid w:val="00DA68CF"/>
    <w:rsid w:val="00DA6BBC"/>
    <w:rsid w:val="00DB2967"/>
    <w:rsid w:val="00DB4710"/>
    <w:rsid w:val="00DB7C3B"/>
    <w:rsid w:val="00DC029B"/>
    <w:rsid w:val="00DC2333"/>
    <w:rsid w:val="00DC37C4"/>
    <w:rsid w:val="00DC4DBC"/>
    <w:rsid w:val="00DC515E"/>
    <w:rsid w:val="00DD1662"/>
    <w:rsid w:val="00DD4917"/>
    <w:rsid w:val="00DD60FD"/>
    <w:rsid w:val="00DD6CA0"/>
    <w:rsid w:val="00DD6DD4"/>
    <w:rsid w:val="00DD70EF"/>
    <w:rsid w:val="00DE0696"/>
    <w:rsid w:val="00DE07EC"/>
    <w:rsid w:val="00DE08AF"/>
    <w:rsid w:val="00DE1980"/>
    <w:rsid w:val="00DE2A22"/>
    <w:rsid w:val="00DE501F"/>
    <w:rsid w:val="00DE540D"/>
    <w:rsid w:val="00DE5526"/>
    <w:rsid w:val="00DE57A9"/>
    <w:rsid w:val="00DE5D40"/>
    <w:rsid w:val="00DE60BE"/>
    <w:rsid w:val="00DF151D"/>
    <w:rsid w:val="00DF3B52"/>
    <w:rsid w:val="00DF4D38"/>
    <w:rsid w:val="00DF6EA9"/>
    <w:rsid w:val="00DF7946"/>
    <w:rsid w:val="00E007C6"/>
    <w:rsid w:val="00E00AAA"/>
    <w:rsid w:val="00E01081"/>
    <w:rsid w:val="00E01192"/>
    <w:rsid w:val="00E015C2"/>
    <w:rsid w:val="00E01C12"/>
    <w:rsid w:val="00E02244"/>
    <w:rsid w:val="00E026CB"/>
    <w:rsid w:val="00E032BC"/>
    <w:rsid w:val="00E03FB1"/>
    <w:rsid w:val="00E04293"/>
    <w:rsid w:val="00E0504D"/>
    <w:rsid w:val="00E054BD"/>
    <w:rsid w:val="00E06804"/>
    <w:rsid w:val="00E06EE3"/>
    <w:rsid w:val="00E10179"/>
    <w:rsid w:val="00E11A71"/>
    <w:rsid w:val="00E12363"/>
    <w:rsid w:val="00E13931"/>
    <w:rsid w:val="00E15466"/>
    <w:rsid w:val="00E15960"/>
    <w:rsid w:val="00E17C87"/>
    <w:rsid w:val="00E20215"/>
    <w:rsid w:val="00E2062E"/>
    <w:rsid w:val="00E2169C"/>
    <w:rsid w:val="00E22856"/>
    <w:rsid w:val="00E23101"/>
    <w:rsid w:val="00E23C3C"/>
    <w:rsid w:val="00E242A6"/>
    <w:rsid w:val="00E242D9"/>
    <w:rsid w:val="00E244A5"/>
    <w:rsid w:val="00E25287"/>
    <w:rsid w:val="00E256B6"/>
    <w:rsid w:val="00E30429"/>
    <w:rsid w:val="00E30BCB"/>
    <w:rsid w:val="00E30FAA"/>
    <w:rsid w:val="00E32F55"/>
    <w:rsid w:val="00E372EF"/>
    <w:rsid w:val="00E3753D"/>
    <w:rsid w:val="00E3794A"/>
    <w:rsid w:val="00E408F6"/>
    <w:rsid w:val="00E40F6F"/>
    <w:rsid w:val="00E4264C"/>
    <w:rsid w:val="00E4570D"/>
    <w:rsid w:val="00E4606F"/>
    <w:rsid w:val="00E50772"/>
    <w:rsid w:val="00E510BD"/>
    <w:rsid w:val="00E51231"/>
    <w:rsid w:val="00E513C3"/>
    <w:rsid w:val="00E52575"/>
    <w:rsid w:val="00E52975"/>
    <w:rsid w:val="00E53AA8"/>
    <w:rsid w:val="00E55071"/>
    <w:rsid w:val="00E609D5"/>
    <w:rsid w:val="00E6117A"/>
    <w:rsid w:val="00E61539"/>
    <w:rsid w:val="00E61C58"/>
    <w:rsid w:val="00E62876"/>
    <w:rsid w:val="00E65650"/>
    <w:rsid w:val="00E661E5"/>
    <w:rsid w:val="00E67660"/>
    <w:rsid w:val="00E72C61"/>
    <w:rsid w:val="00E72DCB"/>
    <w:rsid w:val="00E73AD8"/>
    <w:rsid w:val="00E73DFE"/>
    <w:rsid w:val="00E741E0"/>
    <w:rsid w:val="00E747B5"/>
    <w:rsid w:val="00E74F51"/>
    <w:rsid w:val="00E762A8"/>
    <w:rsid w:val="00E76A84"/>
    <w:rsid w:val="00E772DB"/>
    <w:rsid w:val="00E82092"/>
    <w:rsid w:val="00E83476"/>
    <w:rsid w:val="00E84492"/>
    <w:rsid w:val="00E867B9"/>
    <w:rsid w:val="00E92438"/>
    <w:rsid w:val="00E927D4"/>
    <w:rsid w:val="00E92901"/>
    <w:rsid w:val="00E93025"/>
    <w:rsid w:val="00E9334E"/>
    <w:rsid w:val="00E947F9"/>
    <w:rsid w:val="00E95928"/>
    <w:rsid w:val="00E95AE3"/>
    <w:rsid w:val="00E95B8A"/>
    <w:rsid w:val="00E9675D"/>
    <w:rsid w:val="00E968D0"/>
    <w:rsid w:val="00EA0623"/>
    <w:rsid w:val="00EA1054"/>
    <w:rsid w:val="00EA11FA"/>
    <w:rsid w:val="00EA15EB"/>
    <w:rsid w:val="00EA17C9"/>
    <w:rsid w:val="00EA397B"/>
    <w:rsid w:val="00EA4104"/>
    <w:rsid w:val="00EA4175"/>
    <w:rsid w:val="00EA4283"/>
    <w:rsid w:val="00EA4EE4"/>
    <w:rsid w:val="00EA5047"/>
    <w:rsid w:val="00EA5C4D"/>
    <w:rsid w:val="00EA672B"/>
    <w:rsid w:val="00EA7FFC"/>
    <w:rsid w:val="00EB1973"/>
    <w:rsid w:val="00EB3372"/>
    <w:rsid w:val="00EB3CD3"/>
    <w:rsid w:val="00EB4718"/>
    <w:rsid w:val="00EB4D60"/>
    <w:rsid w:val="00EB548A"/>
    <w:rsid w:val="00EC225A"/>
    <w:rsid w:val="00EC37DC"/>
    <w:rsid w:val="00EC3C6A"/>
    <w:rsid w:val="00EC5581"/>
    <w:rsid w:val="00ED1274"/>
    <w:rsid w:val="00ED2ADB"/>
    <w:rsid w:val="00ED41C5"/>
    <w:rsid w:val="00ED5426"/>
    <w:rsid w:val="00ED589D"/>
    <w:rsid w:val="00ED58D7"/>
    <w:rsid w:val="00ED5D8D"/>
    <w:rsid w:val="00EE35C8"/>
    <w:rsid w:val="00EE36DC"/>
    <w:rsid w:val="00EE3BD5"/>
    <w:rsid w:val="00EE40B7"/>
    <w:rsid w:val="00EE4D9B"/>
    <w:rsid w:val="00EE5CF1"/>
    <w:rsid w:val="00EE6400"/>
    <w:rsid w:val="00EE646E"/>
    <w:rsid w:val="00EE7721"/>
    <w:rsid w:val="00EF1136"/>
    <w:rsid w:val="00EF382D"/>
    <w:rsid w:val="00EF4E8F"/>
    <w:rsid w:val="00EF52CE"/>
    <w:rsid w:val="00EF5773"/>
    <w:rsid w:val="00EF7F85"/>
    <w:rsid w:val="00F002F4"/>
    <w:rsid w:val="00F0183F"/>
    <w:rsid w:val="00F01AA1"/>
    <w:rsid w:val="00F02313"/>
    <w:rsid w:val="00F026F2"/>
    <w:rsid w:val="00F02979"/>
    <w:rsid w:val="00F03973"/>
    <w:rsid w:val="00F0739F"/>
    <w:rsid w:val="00F077D1"/>
    <w:rsid w:val="00F10ECD"/>
    <w:rsid w:val="00F1245E"/>
    <w:rsid w:val="00F12EEA"/>
    <w:rsid w:val="00F1395A"/>
    <w:rsid w:val="00F17411"/>
    <w:rsid w:val="00F1748A"/>
    <w:rsid w:val="00F204D7"/>
    <w:rsid w:val="00F20AB7"/>
    <w:rsid w:val="00F20ECC"/>
    <w:rsid w:val="00F210EB"/>
    <w:rsid w:val="00F22A00"/>
    <w:rsid w:val="00F27633"/>
    <w:rsid w:val="00F27B72"/>
    <w:rsid w:val="00F27E22"/>
    <w:rsid w:val="00F27EBF"/>
    <w:rsid w:val="00F33268"/>
    <w:rsid w:val="00F40BEA"/>
    <w:rsid w:val="00F42C5C"/>
    <w:rsid w:val="00F42C9A"/>
    <w:rsid w:val="00F44433"/>
    <w:rsid w:val="00F44781"/>
    <w:rsid w:val="00F45423"/>
    <w:rsid w:val="00F46078"/>
    <w:rsid w:val="00F465F9"/>
    <w:rsid w:val="00F47EDE"/>
    <w:rsid w:val="00F50201"/>
    <w:rsid w:val="00F50CBB"/>
    <w:rsid w:val="00F51178"/>
    <w:rsid w:val="00F523EF"/>
    <w:rsid w:val="00F52AF5"/>
    <w:rsid w:val="00F52E2D"/>
    <w:rsid w:val="00F54BCC"/>
    <w:rsid w:val="00F56102"/>
    <w:rsid w:val="00F6113E"/>
    <w:rsid w:val="00F64DD1"/>
    <w:rsid w:val="00F653FE"/>
    <w:rsid w:val="00F66CB2"/>
    <w:rsid w:val="00F676D0"/>
    <w:rsid w:val="00F67BBF"/>
    <w:rsid w:val="00F70ACB"/>
    <w:rsid w:val="00F70C47"/>
    <w:rsid w:val="00F716A4"/>
    <w:rsid w:val="00F71F6E"/>
    <w:rsid w:val="00F72913"/>
    <w:rsid w:val="00F72B6D"/>
    <w:rsid w:val="00F7525E"/>
    <w:rsid w:val="00F7749B"/>
    <w:rsid w:val="00F77C33"/>
    <w:rsid w:val="00F826AE"/>
    <w:rsid w:val="00F83503"/>
    <w:rsid w:val="00F8671D"/>
    <w:rsid w:val="00F91240"/>
    <w:rsid w:val="00F92DDE"/>
    <w:rsid w:val="00F9398A"/>
    <w:rsid w:val="00F94E75"/>
    <w:rsid w:val="00FA0112"/>
    <w:rsid w:val="00FA0E24"/>
    <w:rsid w:val="00FA1543"/>
    <w:rsid w:val="00FA2B5E"/>
    <w:rsid w:val="00FA7B4F"/>
    <w:rsid w:val="00FB03FE"/>
    <w:rsid w:val="00FB0D3C"/>
    <w:rsid w:val="00FB15F3"/>
    <w:rsid w:val="00FB227D"/>
    <w:rsid w:val="00FB33CC"/>
    <w:rsid w:val="00FC0DAB"/>
    <w:rsid w:val="00FC1491"/>
    <w:rsid w:val="00FC2259"/>
    <w:rsid w:val="00FC31FC"/>
    <w:rsid w:val="00FC3DAA"/>
    <w:rsid w:val="00FC7BE8"/>
    <w:rsid w:val="00FD0765"/>
    <w:rsid w:val="00FD0CD5"/>
    <w:rsid w:val="00FD471F"/>
    <w:rsid w:val="00FD573E"/>
    <w:rsid w:val="00FD6C6F"/>
    <w:rsid w:val="00FD6E60"/>
    <w:rsid w:val="00FE06F9"/>
    <w:rsid w:val="00FE0D51"/>
    <w:rsid w:val="00FE1DD8"/>
    <w:rsid w:val="00FE2D21"/>
    <w:rsid w:val="00FE306E"/>
    <w:rsid w:val="00FE4193"/>
    <w:rsid w:val="00FE4256"/>
    <w:rsid w:val="00FE49EF"/>
    <w:rsid w:val="00FE6FD1"/>
    <w:rsid w:val="00FE7481"/>
    <w:rsid w:val="00FE7C48"/>
    <w:rsid w:val="00FF0877"/>
    <w:rsid w:val="00FF1124"/>
    <w:rsid w:val="00FF447F"/>
    <w:rsid w:val="00FF4853"/>
    <w:rsid w:val="00FF51F8"/>
    <w:rsid w:val="00FF540D"/>
    <w:rsid w:val="00FF7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8C0A095"/>
  <w15:docId w15:val="{6BF309B1-35CE-4AAB-93DB-CBD057CD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customStyle="1" w:styleId="bodytextpsg0">
    <w:name w:val="bodytextpsg"/>
    <w:basedOn w:val="Normal"/>
    <w:uiPriority w:val="99"/>
    <w:rsid w:val="00774BD4"/>
    <w:pPr>
      <w:widowControl/>
      <w:spacing w:after="120" w:line="360" w:lineRule="auto"/>
      <w:ind w:firstLine="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4516">
      <w:bodyDiv w:val="1"/>
      <w:marLeft w:val="0"/>
      <w:marRight w:val="0"/>
      <w:marTop w:val="0"/>
      <w:marBottom w:val="0"/>
      <w:divBdr>
        <w:top w:val="none" w:sz="0" w:space="0" w:color="auto"/>
        <w:left w:val="none" w:sz="0" w:space="0" w:color="auto"/>
        <w:bottom w:val="none" w:sz="0" w:space="0" w:color="auto"/>
        <w:right w:val="none" w:sz="0" w:space="0" w:color="auto"/>
      </w:divBdr>
    </w:div>
    <w:div w:id="330835871">
      <w:bodyDiv w:val="1"/>
      <w:marLeft w:val="0"/>
      <w:marRight w:val="0"/>
      <w:marTop w:val="0"/>
      <w:marBottom w:val="0"/>
      <w:divBdr>
        <w:top w:val="none" w:sz="0" w:space="0" w:color="auto"/>
        <w:left w:val="none" w:sz="0" w:space="0" w:color="auto"/>
        <w:bottom w:val="none" w:sz="0" w:space="0" w:color="auto"/>
        <w:right w:val="none" w:sz="0" w:space="0" w:color="auto"/>
      </w:divBdr>
    </w:div>
    <w:div w:id="424807338">
      <w:marLeft w:val="0"/>
      <w:marRight w:val="0"/>
      <w:marTop w:val="0"/>
      <w:marBottom w:val="0"/>
      <w:divBdr>
        <w:top w:val="none" w:sz="0" w:space="0" w:color="auto"/>
        <w:left w:val="none" w:sz="0" w:space="0" w:color="auto"/>
        <w:bottom w:val="none" w:sz="0" w:space="0" w:color="auto"/>
        <w:right w:val="none" w:sz="0" w:space="0" w:color="auto"/>
      </w:divBdr>
    </w:div>
    <w:div w:id="424807339">
      <w:marLeft w:val="0"/>
      <w:marRight w:val="0"/>
      <w:marTop w:val="0"/>
      <w:marBottom w:val="0"/>
      <w:divBdr>
        <w:top w:val="none" w:sz="0" w:space="0" w:color="auto"/>
        <w:left w:val="none" w:sz="0" w:space="0" w:color="auto"/>
        <w:bottom w:val="none" w:sz="0" w:space="0" w:color="auto"/>
        <w:right w:val="none" w:sz="0" w:space="0" w:color="auto"/>
      </w:divBdr>
    </w:div>
    <w:div w:id="424807340">
      <w:marLeft w:val="0"/>
      <w:marRight w:val="0"/>
      <w:marTop w:val="0"/>
      <w:marBottom w:val="0"/>
      <w:divBdr>
        <w:top w:val="none" w:sz="0" w:space="0" w:color="auto"/>
        <w:left w:val="none" w:sz="0" w:space="0" w:color="auto"/>
        <w:bottom w:val="none" w:sz="0" w:space="0" w:color="auto"/>
        <w:right w:val="none" w:sz="0" w:space="0" w:color="auto"/>
      </w:divBdr>
    </w:div>
    <w:div w:id="424807341">
      <w:marLeft w:val="0"/>
      <w:marRight w:val="0"/>
      <w:marTop w:val="0"/>
      <w:marBottom w:val="0"/>
      <w:divBdr>
        <w:top w:val="none" w:sz="0" w:space="0" w:color="auto"/>
        <w:left w:val="none" w:sz="0" w:space="0" w:color="auto"/>
        <w:bottom w:val="none" w:sz="0" w:space="0" w:color="auto"/>
        <w:right w:val="none" w:sz="0" w:space="0" w:color="auto"/>
      </w:divBdr>
    </w:div>
    <w:div w:id="424807342">
      <w:marLeft w:val="0"/>
      <w:marRight w:val="0"/>
      <w:marTop w:val="0"/>
      <w:marBottom w:val="0"/>
      <w:divBdr>
        <w:top w:val="none" w:sz="0" w:space="0" w:color="auto"/>
        <w:left w:val="none" w:sz="0" w:space="0" w:color="auto"/>
        <w:bottom w:val="none" w:sz="0" w:space="0" w:color="auto"/>
        <w:right w:val="none" w:sz="0" w:space="0" w:color="auto"/>
      </w:divBdr>
    </w:div>
    <w:div w:id="424807343">
      <w:marLeft w:val="0"/>
      <w:marRight w:val="0"/>
      <w:marTop w:val="0"/>
      <w:marBottom w:val="0"/>
      <w:divBdr>
        <w:top w:val="none" w:sz="0" w:space="0" w:color="auto"/>
        <w:left w:val="none" w:sz="0" w:space="0" w:color="auto"/>
        <w:bottom w:val="none" w:sz="0" w:space="0" w:color="auto"/>
        <w:right w:val="none" w:sz="0" w:space="0" w:color="auto"/>
      </w:divBdr>
    </w:div>
    <w:div w:id="424807344">
      <w:marLeft w:val="0"/>
      <w:marRight w:val="0"/>
      <w:marTop w:val="0"/>
      <w:marBottom w:val="0"/>
      <w:divBdr>
        <w:top w:val="none" w:sz="0" w:space="0" w:color="auto"/>
        <w:left w:val="none" w:sz="0" w:space="0" w:color="auto"/>
        <w:bottom w:val="none" w:sz="0" w:space="0" w:color="auto"/>
        <w:right w:val="none" w:sz="0" w:space="0" w:color="auto"/>
      </w:divBdr>
    </w:div>
    <w:div w:id="424807345">
      <w:marLeft w:val="0"/>
      <w:marRight w:val="0"/>
      <w:marTop w:val="0"/>
      <w:marBottom w:val="0"/>
      <w:divBdr>
        <w:top w:val="none" w:sz="0" w:space="0" w:color="auto"/>
        <w:left w:val="none" w:sz="0" w:space="0" w:color="auto"/>
        <w:bottom w:val="none" w:sz="0" w:space="0" w:color="auto"/>
        <w:right w:val="none" w:sz="0" w:space="0" w:color="auto"/>
      </w:divBdr>
    </w:div>
    <w:div w:id="424807346">
      <w:marLeft w:val="0"/>
      <w:marRight w:val="0"/>
      <w:marTop w:val="0"/>
      <w:marBottom w:val="0"/>
      <w:divBdr>
        <w:top w:val="none" w:sz="0" w:space="0" w:color="auto"/>
        <w:left w:val="none" w:sz="0" w:space="0" w:color="auto"/>
        <w:bottom w:val="none" w:sz="0" w:space="0" w:color="auto"/>
        <w:right w:val="none" w:sz="0" w:space="0" w:color="auto"/>
      </w:divBdr>
    </w:div>
    <w:div w:id="424807347">
      <w:marLeft w:val="0"/>
      <w:marRight w:val="0"/>
      <w:marTop w:val="0"/>
      <w:marBottom w:val="0"/>
      <w:divBdr>
        <w:top w:val="none" w:sz="0" w:space="0" w:color="auto"/>
        <w:left w:val="none" w:sz="0" w:space="0" w:color="auto"/>
        <w:bottom w:val="none" w:sz="0" w:space="0" w:color="auto"/>
        <w:right w:val="none" w:sz="0" w:space="0" w:color="auto"/>
      </w:divBdr>
    </w:div>
    <w:div w:id="424807348">
      <w:marLeft w:val="0"/>
      <w:marRight w:val="0"/>
      <w:marTop w:val="0"/>
      <w:marBottom w:val="0"/>
      <w:divBdr>
        <w:top w:val="none" w:sz="0" w:space="0" w:color="auto"/>
        <w:left w:val="none" w:sz="0" w:space="0" w:color="auto"/>
        <w:bottom w:val="none" w:sz="0" w:space="0" w:color="auto"/>
        <w:right w:val="none" w:sz="0" w:space="0" w:color="auto"/>
      </w:divBdr>
    </w:div>
    <w:div w:id="424807349">
      <w:marLeft w:val="0"/>
      <w:marRight w:val="0"/>
      <w:marTop w:val="0"/>
      <w:marBottom w:val="0"/>
      <w:divBdr>
        <w:top w:val="none" w:sz="0" w:space="0" w:color="auto"/>
        <w:left w:val="none" w:sz="0" w:space="0" w:color="auto"/>
        <w:bottom w:val="none" w:sz="0" w:space="0" w:color="auto"/>
        <w:right w:val="none" w:sz="0" w:space="0" w:color="auto"/>
      </w:divBdr>
    </w:div>
    <w:div w:id="424807350">
      <w:marLeft w:val="0"/>
      <w:marRight w:val="0"/>
      <w:marTop w:val="0"/>
      <w:marBottom w:val="0"/>
      <w:divBdr>
        <w:top w:val="none" w:sz="0" w:space="0" w:color="auto"/>
        <w:left w:val="none" w:sz="0" w:space="0" w:color="auto"/>
        <w:bottom w:val="none" w:sz="0" w:space="0" w:color="auto"/>
        <w:right w:val="none" w:sz="0" w:space="0" w:color="auto"/>
      </w:divBdr>
    </w:div>
    <w:div w:id="424807351">
      <w:marLeft w:val="0"/>
      <w:marRight w:val="0"/>
      <w:marTop w:val="0"/>
      <w:marBottom w:val="0"/>
      <w:divBdr>
        <w:top w:val="none" w:sz="0" w:space="0" w:color="auto"/>
        <w:left w:val="none" w:sz="0" w:space="0" w:color="auto"/>
        <w:bottom w:val="none" w:sz="0" w:space="0" w:color="auto"/>
        <w:right w:val="none" w:sz="0" w:space="0" w:color="auto"/>
      </w:divBdr>
    </w:div>
    <w:div w:id="424807352">
      <w:marLeft w:val="0"/>
      <w:marRight w:val="0"/>
      <w:marTop w:val="0"/>
      <w:marBottom w:val="0"/>
      <w:divBdr>
        <w:top w:val="none" w:sz="0" w:space="0" w:color="auto"/>
        <w:left w:val="none" w:sz="0" w:space="0" w:color="auto"/>
        <w:bottom w:val="none" w:sz="0" w:space="0" w:color="auto"/>
        <w:right w:val="none" w:sz="0" w:space="0" w:color="auto"/>
      </w:divBdr>
    </w:div>
    <w:div w:id="424807353">
      <w:marLeft w:val="0"/>
      <w:marRight w:val="0"/>
      <w:marTop w:val="0"/>
      <w:marBottom w:val="0"/>
      <w:divBdr>
        <w:top w:val="none" w:sz="0" w:space="0" w:color="auto"/>
        <w:left w:val="none" w:sz="0" w:space="0" w:color="auto"/>
        <w:bottom w:val="none" w:sz="0" w:space="0" w:color="auto"/>
        <w:right w:val="none" w:sz="0" w:space="0" w:color="auto"/>
      </w:divBdr>
    </w:div>
    <w:div w:id="424807354">
      <w:marLeft w:val="0"/>
      <w:marRight w:val="0"/>
      <w:marTop w:val="0"/>
      <w:marBottom w:val="0"/>
      <w:divBdr>
        <w:top w:val="none" w:sz="0" w:space="0" w:color="auto"/>
        <w:left w:val="none" w:sz="0" w:space="0" w:color="auto"/>
        <w:bottom w:val="none" w:sz="0" w:space="0" w:color="auto"/>
        <w:right w:val="none" w:sz="0" w:space="0" w:color="auto"/>
      </w:divBdr>
    </w:div>
    <w:div w:id="424807355">
      <w:marLeft w:val="0"/>
      <w:marRight w:val="0"/>
      <w:marTop w:val="0"/>
      <w:marBottom w:val="0"/>
      <w:divBdr>
        <w:top w:val="none" w:sz="0" w:space="0" w:color="auto"/>
        <w:left w:val="none" w:sz="0" w:space="0" w:color="auto"/>
        <w:bottom w:val="none" w:sz="0" w:space="0" w:color="auto"/>
        <w:right w:val="none" w:sz="0" w:space="0" w:color="auto"/>
      </w:divBdr>
    </w:div>
    <w:div w:id="424807356">
      <w:marLeft w:val="0"/>
      <w:marRight w:val="0"/>
      <w:marTop w:val="0"/>
      <w:marBottom w:val="0"/>
      <w:divBdr>
        <w:top w:val="none" w:sz="0" w:space="0" w:color="auto"/>
        <w:left w:val="none" w:sz="0" w:space="0" w:color="auto"/>
        <w:bottom w:val="none" w:sz="0" w:space="0" w:color="auto"/>
        <w:right w:val="none" w:sz="0" w:space="0" w:color="auto"/>
      </w:divBdr>
    </w:div>
    <w:div w:id="424807357">
      <w:marLeft w:val="0"/>
      <w:marRight w:val="0"/>
      <w:marTop w:val="0"/>
      <w:marBottom w:val="0"/>
      <w:divBdr>
        <w:top w:val="none" w:sz="0" w:space="0" w:color="auto"/>
        <w:left w:val="none" w:sz="0" w:space="0" w:color="auto"/>
        <w:bottom w:val="none" w:sz="0" w:space="0" w:color="auto"/>
        <w:right w:val="none" w:sz="0" w:space="0" w:color="auto"/>
      </w:divBdr>
    </w:div>
    <w:div w:id="424807358">
      <w:marLeft w:val="0"/>
      <w:marRight w:val="0"/>
      <w:marTop w:val="0"/>
      <w:marBottom w:val="0"/>
      <w:divBdr>
        <w:top w:val="none" w:sz="0" w:space="0" w:color="auto"/>
        <w:left w:val="none" w:sz="0" w:space="0" w:color="auto"/>
        <w:bottom w:val="none" w:sz="0" w:space="0" w:color="auto"/>
        <w:right w:val="none" w:sz="0" w:space="0" w:color="auto"/>
      </w:divBdr>
    </w:div>
    <w:div w:id="424807359">
      <w:marLeft w:val="0"/>
      <w:marRight w:val="0"/>
      <w:marTop w:val="0"/>
      <w:marBottom w:val="0"/>
      <w:divBdr>
        <w:top w:val="none" w:sz="0" w:space="0" w:color="auto"/>
        <w:left w:val="none" w:sz="0" w:space="0" w:color="auto"/>
        <w:bottom w:val="none" w:sz="0" w:space="0" w:color="auto"/>
        <w:right w:val="none" w:sz="0" w:space="0" w:color="auto"/>
      </w:divBdr>
    </w:div>
    <w:div w:id="424807360">
      <w:marLeft w:val="0"/>
      <w:marRight w:val="0"/>
      <w:marTop w:val="0"/>
      <w:marBottom w:val="0"/>
      <w:divBdr>
        <w:top w:val="none" w:sz="0" w:space="0" w:color="auto"/>
        <w:left w:val="none" w:sz="0" w:space="0" w:color="auto"/>
        <w:bottom w:val="none" w:sz="0" w:space="0" w:color="auto"/>
        <w:right w:val="none" w:sz="0" w:space="0" w:color="auto"/>
      </w:divBdr>
    </w:div>
    <w:div w:id="424807361">
      <w:marLeft w:val="0"/>
      <w:marRight w:val="0"/>
      <w:marTop w:val="0"/>
      <w:marBottom w:val="0"/>
      <w:divBdr>
        <w:top w:val="none" w:sz="0" w:space="0" w:color="auto"/>
        <w:left w:val="none" w:sz="0" w:space="0" w:color="auto"/>
        <w:bottom w:val="none" w:sz="0" w:space="0" w:color="auto"/>
        <w:right w:val="none" w:sz="0" w:space="0" w:color="auto"/>
      </w:divBdr>
    </w:div>
    <w:div w:id="424807362">
      <w:marLeft w:val="0"/>
      <w:marRight w:val="0"/>
      <w:marTop w:val="0"/>
      <w:marBottom w:val="0"/>
      <w:divBdr>
        <w:top w:val="none" w:sz="0" w:space="0" w:color="auto"/>
        <w:left w:val="none" w:sz="0" w:space="0" w:color="auto"/>
        <w:bottom w:val="none" w:sz="0" w:space="0" w:color="auto"/>
        <w:right w:val="none" w:sz="0" w:space="0" w:color="auto"/>
      </w:divBdr>
    </w:div>
    <w:div w:id="424807363">
      <w:marLeft w:val="0"/>
      <w:marRight w:val="0"/>
      <w:marTop w:val="0"/>
      <w:marBottom w:val="0"/>
      <w:divBdr>
        <w:top w:val="none" w:sz="0" w:space="0" w:color="auto"/>
        <w:left w:val="none" w:sz="0" w:space="0" w:color="auto"/>
        <w:bottom w:val="none" w:sz="0" w:space="0" w:color="auto"/>
        <w:right w:val="none" w:sz="0" w:space="0" w:color="auto"/>
      </w:divBdr>
    </w:div>
    <w:div w:id="424807364">
      <w:marLeft w:val="0"/>
      <w:marRight w:val="0"/>
      <w:marTop w:val="0"/>
      <w:marBottom w:val="0"/>
      <w:divBdr>
        <w:top w:val="none" w:sz="0" w:space="0" w:color="auto"/>
        <w:left w:val="none" w:sz="0" w:space="0" w:color="auto"/>
        <w:bottom w:val="none" w:sz="0" w:space="0" w:color="auto"/>
        <w:right w:val="none" w:sz="0" w:space="0" w:color="auto"/>
      </w:divBdr>
    </w:div>
    <w:div w:id="424807365">
      <w:marLeft w:val="0"/>
      <w:marRight w:val="0"/>
      <w:marTop w:val="0"/>
      <w:marBottom w:val="0"/>
      <w:divBdr>
        <w:top w:val="none" w:sz="0" w:space="0" w:color="auto"/>
        <w:left w:val="none" w:sz="0" w:space="0" w:color="auto"/>
        <w:bottom w:val="none" w:sz="0" w:space="0" w:color="auto"/>
        <w:right w:val="none" w:sz="0" w:space="0" w:color="auto"/>
      </w:divBdr>
    </w:div>
    <w:div w:id="424807366">
      <w:marLeft w:val="0"/>
      <w:marRight w:val="0"/>
      <w:marTop w:val="0"/>
      <w:marBottom w:val="0"/>
      <w:divBdr>
        <w:top w:val="none" w:sz="0" w:space="0" w:color="auto"/>
        <w:left w:val="none" w:sz="0" w:space="0" w:color="auto"/>
        <w:bottom w:val="none" w:sz="0" w:space="0" w:color="auto"/>
        <w:right w:val="none" w:sz="0" w:space="0" w:color="auto"/>
      </w:divBdr>
    </w:div>
    <w:div w:id="424807367">
      <w:marLeft w:val="0"/>
      <w:marRight w:val="0"/>
      <w:marTop w:val="0"/>
      <w:marBottom w:val="0"/>
      <w:divBdr>
        <w:top w:val="none" w:sz="0" w:space="0" w:color="auto"/>
        <w:left w:val="none" w:sz="0" w:space="0" w:color="auto"/>
        <w:bottom w:val="none" w:sz="0" w:space="0" w:color="auto"/>
        <w:right w:val="none" w:sz="0" w:space="0" w:color="auto"/>
      </w:divBdr>
    </w:div>
    <w:div w:id="623584540">
      <w:bodyDiv w:val="1"/>
      <w:marLeft w:val="0"/>
      <w:marRight w:val="0"/>
      <w:marTop w:val="0"/>
      <w:marBottom w:val="0"/>
      <w:divBdr>
        <w:top w:val="none" w:sz="0" w:space="0" w:color="auto"/>
        <w:left w:val="none" w:sz="0" w:space="0" w:color="auto"/>
        <w:bottom w:val="none" w:sz="0" w:space="0" w:color="auto"/>
        <w:right w:val="none" w:sz="0" w:space="0" w:color="auto"/>
      </w:divBdr>
    </w:div>
    <w:div w:id="700396654">
      <w:bodyDiv w:val="1"/>
      <w:marLeft w:val="0"/>
      <w:marRight w:val="0"/>
      <w:marTop w:val="0"/>
      <w:marBottom w:val="0"/>
      <w:divBdr>
        <w:top w:val="none" w:sz="0" w:space="0" w:color="auto"/>
        <w:left w:val="none" w:sz="0" w:space="0" w:color="auto"/>
        <w:bottom w:val="none" w:sz="0" w:space="0" w:color="auto"/>
        <w:right w:val="none" w:sz="0" w:space="0" w:color="auto"/>
      </w:divBdr>
    </w:div>
    <w:div w:id="722295818">
      <w:bodyDiv w:val="1"/>
      <w:marLeft w:val="0"/>
      <w:marRight w:val="0"/>
      <w:marTop w:val="0"/>
      <w:marBottom w:val="0"/>
      <w:divBdr>
        <w:top w:val="none" w:sz="0" w:space="0" w:color="auto"/>
        <w:left w:val="none" w:sz="0" w:space="0" w:color="auto"/>
        <w:bottom w:val="none" w:sz="0" w:space="0" w:color="auto"/>
        <w:right w:val="none" w:sz="0" w:space="0" w:color="auto"/>
      </w:divBdr>
    </w:div>
    <w:div w:id="817385660">
      <w:bodyDiv w:val="1"/>
      <w:marLeft w:val="0"/>
      <w:marRight w:val="0"/>
      <w:marTop w:val="0"/>
      <w:marBottom w:val="0"/>
      <w:divBdr>
        <w:top w:val="none" w:sz="0" w:space="0" w:color="auto"/>
        <w:left w:val="none" w:sz="0" w:space="0" w:color="auto"/>
        <w:bottom w:val="none" w:sz="0" w:space="0" w:color="auto"/>
        <w:right w:val="none" w:sz="0" w:space="0" w:color="auto"/>
      </w:divBdr>
    </w:div>
    <w:div w:id="887766424">
      <w:bodyDiv w:val="1"/>
      <w:marLeft w:val="0"/>
      <w:marRight w:val="0"/>
      <w:marTop w:val="0"/>
      <w:marBottom w:val="0"/>
      <w:divBdr>
        <w:top w:val="none" w:sz="0" w:space="0" w:color="auto"/>
        <w:left w:val="none" w:sz="0" w:space="0" w:color="auto"/>
        <w:bottom w:val="none" w:sz="0" w:space="0" w:color="auto"/>
        <w:right w:val="none" w:sz="0" w:space="0" w:color="auto"/>
      </w:divBdr>
    </w:div>
    <w:div w:id="1004209146">
      <w:bodyDiv w:val="1"/>
      <w:marLeft w:val="0"/>
      <w:marRight w:val="0"/>
      <w:marTop w:val="0"/>
      <w:marBottom w:val="0"/>
      <w:divBdr>
        <w:top w:val="none" w:sz="0" w:space="0" w:color="auto"/>
        <w:left w:val="none" w:sz="0" w:space="0" w:color="auto"/>
        <w:bottom w:val="none" w:sz="0" w:space="0" w:color="auto"/>
        <w:right w:val="none" w:sz="0" w:space="0" w:color="auto"/>
      </w:divBdr>
    </w:div>
    <w:div w:id="1162431820">
      <w:bodyDiv w:val="1"/>
      <w:marLeft w:val="0"/>
      <w:marRight w:val="0"/>
      <w:marTop w:val="0"/>
      <w:marBottom w:val="0"/>
      <w:divBdr>
        <w:top w:val="none" w:sz="0" w:space="0" w:color="auto"/>
        <w:left w:val="none" w:sz="0" w:space="0" w:color="auto"/>
        <w:bottom w:val="none" w:sz="0" w:space="0" w:color="auto"/>
        <w:right w:val="none" w:sz="0" w:space="0" w:color="auto"/>
      </w:divBdr>
    </w:div>
    <w:div w:id="1269661430">
      <w:bodyDiv w:val="1"/>
      <w:marLeft w:val="0"/>
      <w:marRight w:val="0"/>
      <w:marTop w:val="0"/>
      <w:marBottom w:val="0"/>
      <w:divBdr>
        <w:top w:val="none" w:sz="0" w:space="0" w:color="auto"/>
        <w:left w:val="none" w:sz="0" w:space="0" w:color="auto"/>
        <w:bottom w:val="none" w:sz="0" w:space="0" w:color="auto"/>
        <w:right w:val="none" w:sz="0" w:space="0" w:color="auto"/>
      </w:divBdr>
    </w:div>
    <w:div w:id="1323661898">
      <w:bodyDiv w:val="1"/>
      <w:marLeft w:val="0"/>
      <w:marRight w:val="0"/>
      <w:marTop w:val="0"/>
      <w:marBottom w:val="0"/>
      <w:divBdr>
        <w:top w:val="none" w:sz="0" w:space="0" w:color="auto"/>
        <w:left w:val="none" w:sz="0" w:space="0" w:color="auto"/>
        <w:bottom w:val="none" w:sz="0" w:space="0" w:color="auto"/>
        <w:right w:val="none" w:sz="0" w:space="0" w:color="auto"/>
      </w:divBdr>
    </w:div>
    <w:div w:id="1329210615">
      <w:bodyDiv w:val="1"/>
      <w:marLeft w:val="0"/>
      <w:marRight w:val="0"/>
      <w:marTop w:val="0"/>
      <w:marBottom w:val="0"/>
      <w:divBdr>
        <w:top w:val="none" w:sz="0" w:space="0" w:color="auto"/>
        <w:left w:val="none" w:sz="0" w:space="0" w:color="auto"/>
        <w:bottom w:val="none" w:sz="0" w:space="0" w:color="auto"/>
        <w:right w:val="none" w:sz="0" w:space="0" w:color="auto"/>
      </w:divBdr>
    </w:div>
    <w:div w:id="1382828533">
      <w:bodyDiv w:val="1"/>
      <w:marLeft w:val="0"/>
      <w:marRight w:val="0"/>
      <w:marTop w:val="0"/>
      <w:marBottom w:val="0"/>
      <w:divBdr>
        <w:top w:val="none" w:sz="0" w:space="0" w:color="auto"/>
        <w:left w:val="none" w:sz="0" w:space="0" w:color="auto"/>
        <w:bottom w:val="none" w:sz="0" w:space="0" w:color="auto"/>
        <w:right w:val="none" w:sz="0" w:space="0" w:color="auto"/>
      </w:divBdr>
    </w:div>
    <w:div w:id="1969781520">
      <w:bodyDiv w:val="1"/>
      <w:marLeft w:val="0"/>
      <w:marRight w:val="0"/>
      <w:marTop w:val="0"/>
      <w:marBottom w:val="0"/>
      <w:divBdr>
        <w:top w:val="none" w:sz="0" w:space="0" w:color="auto"/>
        <w:left w:val="none" w:sz="0" w:space="0" w:color="auto"/>
        <w:bottom w:val="none" w:sz="0" w:space="0" w:color="auto"/>
        <w:right w:val="none" w:sz="0" w:space="0" w:color="auto"/>
      </w:divBdr>
    </w:div>
    <w:div w:id="2013212902">
      <w:bodyDiv w:val="1"/>
      <w:marLeft w:val="0"/>
      <w:marRight w:val="0"/>
      <w:marTop w:val="0"/>
      <w:marBottom w:val="0"/>
      <w:divBdr>
        <w:top w:val="none" w:sz="0" w:space="0" w:color="auto"/>
        <w:left w:val="none" w:sz="0" w:space="0" w:color="auto"/>
        <w:bottom w:val="none" w:sz="0" w:space="0" w:color="auto"/>
        <w:right w:val="none" w:sz="0" w:space="0" w:color="auto"/>
      </w:divBdr>
    </w:div>
    <w:div w:id="20248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4F87-A6DF-403B-A9C2-02404685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7502</Words>
  <Characters>42766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50168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Cox, Shanna (CDC/ONDIEH/NCCDPHP)</cp:lastModifiedBy>
  <cp:revision>3</cp:revision>
  <cp:lastPrinted>2015-05-19T14:20:00Z</cp:lastPrinted>
  <dcterms:created xsi:type="dcterms:W3CDTF">2015-09-10T04:54:00Z</dcterms:created>
  <dcterms:modified xsi:type="dcterms:W3CDTF">2015-09-10T05:02:00Z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