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74DFC" w14:textId="77777777" w:rsidR="00AA65DC" w:rsidRDefault="00AA65DC" w:rsidP="00AA65DC">
      <w:pPr>
        <w:jc w:val="center"/>
        <w:rPr>
          <w:rFonts w:ascii="Times New Roman" w:hAnsi="Times New Roman" w:cs="Times New Roman"/>
          <w:b/>
          <w:sz w:val="24"/>
          <w:szCs w:val="24"/>
        </w:rPr>
      </w:pPr>
      <w:r>
        <w:rPr>
          <w:rFonts w:ascii="Times New Roman" w:hAnsi="Times New Roman" w:cs="Times New Roman"/>
          <w:b/>
          <w:sz w:val="24"/>
          <w:szCs w:val="24"/>
        </w:rPr>
        <w:t xml:space="preserve">Improving the Impact of Laboratory Practice Guidelines: A New Paradigm for Metrics- </w:t>
      </w:r>
    </w:p>
    <w:p w14:paraId="38179689" w14:textId="77777777" w:rsidR="00AA65DC" w:rsidRDefault="00AA65DC" w:rsidP="00AA65DC">
      <w:pPr>
        <w:jc w:val="center"/>
        <w:rPr>
          <w:rFonts w:ascii="Times New Roman" w:hAnsi="Times New Roman" w:cs="Times New Roman"/>
          <w:b/>
          <w:sz w:val="24"/>
          <w:szCs w:val="24"/>
        </w:rPr>
      </w:pPr>
      <w:r>
        <w:rPr>
          <w:rFonts w:ascii="Times New Roman" w:hAnsi="Times New Roman" w:cs="Times New Roman"/>
          <w:b/>
          <w:sz w:val="24"/>
          <w:szCs w:val="24"/>
        </w:rPr>
        <w:t>Clinical and Laboratory Standards Institute</w:t>
      </w:r>
    </w:p>
    <w:p w14:paraId="7BF6E560" w14:textId="77777777" w:rsidR="00AA65DC" w:rsidRPr="005311C9" w:rsidRDefault="00AA65DC" w:rsidP="00AA65DC">
      <w:pPr>
        <w:jc w:val="center"/>
        <w:rPr>
          <w:rFonts w:ascii="Times New Roman" w:hAnsi="Times New Roman" w:cs="Times New Roman"/>
          <w:b/>
          <w:i/>
          <w:sz w:val="24"/>
          <w:szCs w:val="24"/>
        </w:rPr>
      </w:pPr>
      <w:r w:rsidRPr="005311C9">
        <w:rPr>
          <w:rFonts w:ascii="Times New Roman" w:hAnsi="Times New Roman" w:cs="Times New Roman"/>
          <w:b/>
          <w:i/>
          <w:sz w:val="24"/>
          <w:szCs w:val="24"/>
        </w:rPr>
        <w:t>Request for Approval of New Data Collection</w:t>
      </w:r>
    </w:p>
    <w:p w14:paraId="49CA8B63" w14:textId="77777777" w:rsidR="00AA65DC" w:rsidRPr="005311C9" w:rsidRDefault="00AA65DC" w:rsidP="00AA65DC">
      <w:pPr>
        <w:jc w:val="center"/>
        <w:rPr>
          <w:rFonts w:ascii="Times New Roman" w:hAnsi="Times New Roman" w:cs="Times New Roman"/>
          <w:b/>
          <w:i/>
          <w:sz w:val="24"/>
          <w:szCs w:val="24"/>
        </w:rPr>
      </w:pPr>
      <w:r w:rsidRPr="005311C9">
        <w:rPr>
          <w:rFonts w:ascii="Times New Roman" w:hAnsi="Times New Roman" w:cs="Times New Roman"/>
          <w:b/>
          <w:i/>
          <w:sz w:val="24"/>
          <w:szCs w:val="24"/>
        </w:rPr>
        <w:t xml:space="preserve">Supporting Statement </w:t>
      </w:r>
      <w:r>
        <w:rPr>
          <w:rFonts w:ascii="Times New Roman" w:hAnsi="Times New Roman" w:cs="Times New Roman"/>
          <w:b/>
          <w:i/>
          <w:sz w:val="24"/>
          <w:szCs w:val="24"/>
        </w:rPr>
        <w:t>B</w:t>
      </w:r>
    </w:p>
    <w:p w14:paraId="7A522403" w14:textId="61FBD3CE" w:rsidR="00AA65DC" w:rsidRDefault="00842505" w:rsidP="00AA65DC">
      <w:pPr>
        <w:jc w:val="center"/>
        <w:rPr>
          <w:rFonts w:ascii="Times New Roman" w:hAnsi="Times New Roman" w:cs="Times New Roman"/>
          <w:b/>
          <w:sz w:val="24"/>
          <w:szCs w:val="24"/>
        </w:rPr>
      </w:pPr>
      <w:r>
        <w:rPr>
          <w:rFonts w:ascii="Times New Roman" w:hAnsi="Times New Roman" w:cs="Times New Roman"/>
          <w:b/>
          <w:sz w:val="24"/>
          <w:szCs w:val="24"/>
        </w:rPr>
        <w:t>June 1</w:t>
      </w:r>
      <w:r w:rsidR="00632505">
        <w:rPr>
          <w:rFonts w:ascii="Times New Roman" w:hAnsi="Times New Roman" w:cs="Times New Roman"/>
          <w:b/>
          <w:sz w:val="24"/>
          <w:szCs w:val="24"/>
        </w:rPr>
        <w:t>2</w:t>
      </w:r>
      <w:r w:rsidR="004A2F10">
        <w:rPr>
          <w:rFonts w:ascii="Times New Roman" w:hAnsi="Times New Roman" w:cs="Times New Roman"/>
          <w:b/>
          <w:sz w:val="24"/>
          <w:szCs w:val="24"/>
        </w:rPr>
        <w:t>, 2015</w:t>
      </w:r>
    </w:p>
    <w:p w14:paraId="3C3C7922" w14:textId="77777777" w:rsidR="00855D92" w:rsidRDefault="00855D92"/>
    <w:p w14:paraId="76FFD282" w14:textId="77777777" w:rsidR="00AA65DC" w:rsidRDefault="00AA65DC"/>
    <w:p w14:paraId="4F3BB82A" w14:textId="77777777" w:rsidR="00AA65DC" w:rsidRDefault="00AA65DC"/>
    <w:p w14:paraId="411515AC" w14:textId="77777777" w:rsidR="00AA65DC" w:rsidRDefault="00AA65DC"/>
    <w:p w14:paraId="60ED4F55" w14:textId="77777777" w:rsidR="00AA65DC" w:rsidRDefault="00AA65DC"/>
    <w:p w14:paraId="0B0966A5" w14:textId="77777777" w:rsidR="00AA65DC" w:rsidRDefault="00AA65DC"/>
    <w:p w14:paraId="02B3779A" w14:textId="77777777" w:rsidR="00AA65DC" w:rsidRDefault="00AA65DC"/>
    <w:p w14:paraId="39FFF024" w14:textId="77777777" w:rsidR="00AA65DC" w:rsidRDefault="00AA65DC"/>
    <w:p w14:paraId="2AAC5A77" w14:textId="77777777" w:rsidR="00AA65DC" w:rsidRDefault="00AA65DC"/>
    <w:p w14:paraId="3117595A" w14:textId="77777777" w:rsidR="00AA65DC" w:rsidRDefault="00AA65DC"/>
    <w:p w14:paraId="67CBAE88" w14:textId="77777777" w:rsidR="00AA65DC" w:rsidRDefault="00AA65DC"/>
    <w:p w14:paraId="0BF37346" w14:textId="77777777" w:rsidR="00AA65DC" w:rsidRDefault="00AA65DC"/>
    <w:p w14:paraId="1599EC12" w14:textId="77777777" w:rsidR="00AA65DC" w:rsidRDefault="00AA65DC"/>
    <w:p w14:paraId="4D022563" w14:textId="77777777" w:rsidR="00AA65DC" w:rsidRDefault="00AA65DC"/>
    <w:p w14:paraId="66611F4E" w14:textId="77777777" w:rsidR="00AA65DC" w:rsidRDefault="00AA65DC"/>
    <w:p w14:paraId="36FAD318" w14:textId="77777777" w:rsidR="00AA65DC" w:rsidRPr="007E4AD7" w:rsidRDefault="00AA65DC" w:rsidP="00DA0726">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Contact:</w:t>
      </w:r>
    </w:p>
    <w:p w14:paraId="4F811ECD" w14:textId="77777777" w:rsidR="00AA65DC" w:rsidRPr="007E4AD7" w:rsidRDefault="00AA65DC" w:rsidP="00AA65DC">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Lisa Kalman, PhD</w:t>
      </w:r>
    </w:p>
    <w:p w14:paraId="27878B92" w14:textId="5104537D" w:rsidR="00AA65DC" w:rsidRPr="007E4AD7" w:rsidRDefault="00AA65DC" w:rsidP="00AA65DC">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 xml:space="preserve">Division of Laboratory </w:t>
      </w:r>
      <w:r w:rsidR="00E22F90">
        <w:rPr>
          <w:rFonts w:ascii="Times New Roman" w:eastAsia="Times New Roman" w:hAnsi="Times New Roman" w:cs="Times New Roman"/>
          <w:b/>
          <w:sz w:val="24"/>
          <w:szCs w:val="24"/>
        </w:rPr>
        <w:t>Systems</w:t>
      </w:r>
    </w:p>
    <w:p w14:paraId="16022580" w14:textId="77777777" w:rsidR="00AA65DC" w:rsidRPr="007E4AD7" w:rsidRDefault="00AA65DC" w:rsidP="00AA65DC">
      <w:pPr>
        <w:spacing w:after="0" w:line="240" w:lineRule="auto"/>
        <w:outlineLvl w:val="0"/>
        <w:rPr>
          <w:rFonts w:ascii="Times New Roman" w:eastAsia="Times New Roman" w:hAnsi="Times New Roman" w:cs="Times New Roman"/>
          <w:b/>
          <w:sz w:val="24"/>
          <w:szCs w:val="24"/>
        </w:rPr>
      </w:pPr>
      <w:bookmarkStart w:id="0" w:name="OLE_LINK1"/>
      <w:r w:rsidRPr="007E4AD7">
        <w:rPr>
          <w:rFonts w:ascii="Times New Roman" w:eastAsia="Times New Roman" w:hAnsi="Times New Roman" w:cs="Times New Roman"/>
          <w:b/>
          <w:sz w:val="24"/>
          <w:szCs w:val="24"/>
        </w:rPr>
        <w:t>Center for Surveillance, Epidemiology, and Laboratory Services</w:t>
      </w:r>
    </w:p>
    <w:bookmarkEnd w:id="0"/>
    <w:p w14:paraId="6B656196" w14:textId="77777777" w:rsidR="00AA65DC" w:rsidRPr="007E4AD7" w:rsidRDefault="00AA65DC" w:rsidP="00AA65DC">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Centers for Disease Control and Prevention</w:t>
      </w:r>
    </w:p>
    <w:p w14:paraId="2B5D9946" w14:textId="77777777" w:rsidR="00AA65DC" w:rsidRPr="007E4AD7" w:rsidRDefault="00AA65DC" w:rsidP="00AA65DC">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 xml:space="preserve">1600 Clifton Rd. </w:t>
      </w:r>
    </w:p>
    <w:p w14:paraId="40CDEDEB" w14:textId="77777777" w:rsidR="00AA65DC" w:rsidRPr="007E4AD7" w:rsidRDefault="00AA65DC" w:rsidP="00AA65DC">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MS G-23</w:t>
      </w:r>
    </w:p>
    <w:p w14:paraId="372D21E5" w14:textId="5BE07577" w:rsidR="00AA65DC" w:rsidRPr="007E4AD7" w:rsidRDefault="00AA65DC" w:rsidP="00AA65DC">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Atlanta, Georgia 303</w:t>
      </w:r>
      <w:r w:rsidR="00B62DB7">
        <w:rPr>
          <w:rFonts w:ascii="Times New Roman" w:eastAsia="Times New Roman" w:hAnsi="Times New Roman" w:cs="Times New Roman"/>
          <w:b/>
          <w:sz w:val="24"/>
          <w:szCs w:val="24"/>
        </w:rPr>
        <w:t>29</w:t>
      </w:r>
    </w:p>
    <w:p w14:paraId="597A19A5" w14:textId="77777777" w:rsidR="00AA65DC" w:rsidRPr="007E4AD7" w:rsidRDefault="00AA65DC" w:rsidP="00AA65DC">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Phone: 404.498.2231</w:t>
      </w:r>
    </w:p>
    <w:p w14:paraId="3C36A569" w14:textId="77777777" w:rsidR="00AA65DC" w:rsidRPr="007E4AD7" w:rsidRDefault="00AA65DC" w:rsidP="00AA65DC">
      <w:pPr>
        <w:spacing w:after="0" w:line="240" w:lineRule="auto"/>
        <w:outlineLvl w:val="0"/>
        <w:rPr>
          <w:rFonts w:ascii="Times New Roman" w:eastAsia="Times New Roman" w:hAnsi="Times New Roman" w:cs="Times New Roman"/>
          <w:b/>
          <w:sz w:val="24"/>
          <w:szCs w:val="24"/>
        </w:rPr>
      </w:pPr>
      <w:r w:rsidRPr="007E4AD7">
        <w:rPr>
          <w:rFonts w:ascii="Times New Roman" w:eastAsia="Times New Roman" w:hAnsi="Times New Roman" w:cs="Times New Roman"/>
          <w:b/>
          <w:sz w:val="24"/>
          <w:szCs w:val="24"/>
        </w:rPr>
        <w:t>Fax: 404.498.2219</w:t>
      </w:r>
    </w:p>
    <w:p w14:paraId="17747827" w14:textId="77777777" w:rsidR="0068530E" w:rsidRDefault="00AA65DC" w:rsidP="00AA65DC">
      <w:pPr>
        <w:spacing w:after="0" w:line="240" w:lineRule="auto"/>
        <w:outlineLvl w:val="0"/>
      </w:pPr>
      <w:r w:rsidRPr="007E4AD7">
        <w:rPr>
          <w:rFonts w:ascii="Times New Roman" w:eastAsia="Times New Roman" w:hAnsi="Times New Roman" w:cs="Times New Roman"/>
          <w:b/>
          <w:sz w:val="24"/>
          <w:szCs w:val="24"/>
        </w:rPr>
        <w:t xml:space="preserve">Email: </w:t>
      </w:r>
      <w:hyperlink r:id="rId8" w:history="1">
        <w:r w:rsidRPr="007E4AD7">
          <w:rPr>
            <w:rStyle w:val="Hyperlink"/>
          </w:rPr>
          <w:t>LKalman@cdc.gov</w:t>
        </w:r>
      </w:hyperlink>
      <w:r>
        <w:t xml:space="preserve"> </w:t>
      </w:r>
    </w:p>
    <w:p w14:paraId="6A321CD3" w14:textId="77777777" w:rsidR="0068530E" w:rsidRPr="0005734B" w:rsidRDefault="0068530E" w:rsidP="0068530E">
      <w:pPr>
        <w:spacing w:after="0" w:line="240" w:lineRule="auto"/>
        <w:jc w:val="center"/>
        <w:rPr>
          <w:rFonts w:ascii="Times New Roman" w:eastAsia="Times New Roman" w:hAnsi="Times New Roman" w:cs="Times New Roman"/>
          <w:b/>
          <w:bCs/>
          <w:sz w:val="28"/>
          <w:szCs w:val="28"/>
        </w:rPr>
      </w:pPr>
      <w:r>
        <w:br w:type="page"/>
      </w:r>
      <w:r w:rsidRPr="0005734B">
        <w:rPr>
          <w:rFonts w:ascii="Times New Roman" w:eastAsia="Times New Roman" w:hAnsi="Times New Roman" w:cs="Times New Roman"/>
          <w:b/>
          <w:sz w:val="28"/>
          <w:szCs w:val="28"/>
        </w:rPr>
        <w:lastRenderedPageBreak/>
        <w:t>Table of Contents</w:t>
      </w:r>
    </w:p>
    <w:p w14:paraId="1F88AE62" w14:textId="77777777" w:rsidR="0068530E" w:rsidRPr="0005734B" w:rsidRDefault="0068530E" w:rsidP="0068530E">
      <w:pPr>
        <w:spacing w:after="0" w:line="240" w:lineRule="auto"/>
        <w:rPr>
          <w:rFonts w:ascii="Times New Roman" w:eastAsia="Times New Roman" w:hAnsi="Times New Roman" w:cs="Times New Roman"/>
          <w:sz w:val="24"/>
          <w:szCs w:val="24"/>
        </w:rPr>
      </w:pPr>
    </w:p>
    <w:p w14:paraId="5996B65F" w14:textId="77777777" w:rsidR="0068530E" w:rsidRPr="0005734B" w:rsidRDefault="0068530E" w:rsidP="0068530E">
      <w:pPr>
        <w:spacing w:after="0" w:line="240" w:lineRule="auto"/>
        <w:ind w:left="6480" w:firstLine="720"/>
        <w:rPr>
          <w:rFonts w:ascii="Times New Roman" w:eastAsia="Times New Roman" w:hAnsi="Times New Roman" w:cs="Times New Roman"/>
          <w:b/>
          <w:sz w:val="24"/>
          <w:szCs w:val="24"/>
          <w:u w:val="single"/>
        </w:rPr>
      </w:pPr>
      <w:r w:rsidRPr="0005734B">
        <w:rPr>
          <w:rFonts w:ascii="Times New Roman" w:eastAsia="Times New Roman" w:hAnsi="Times New Roman" w:cs="Times New Roman"/>
          <w:b/>
          <w:sz w:val="24"/>
          <w:szCs w:val="24"/>
          <w:u w:val="single"/>
        </w:rPr>
        <w:t>Page Number</w:t>
      </w:r>
    </w:p>
    <w:p w14:paraId="05DF5360" w14:textId="77777777" w:rsidR="0068530E" w:rsidRPr="0005734B" w:rsidRDefault="0068530E" w:rsidP="0068530E">
      <w:pPr>
        <w:spacing w:after="0" w:line="240" w:lineRule="auto"/>
        <w:rPr>
          <w:rFonts w:ascii="Times New Roman" w:eastAsia="Times New Roman" w:hAnsi="Times New Roman" w:cs="Times New Roman"/>
          <w:b/>
          <w:sz w:val="24"/>
          <w:szCs w:val="20"/>
        </w:rPr>
      </w:pPr>
    </w:p>
    <w:p w14:paraId="638E3CD3" w14:textId="77777777" w:rsidR="0068530E" w:rsidRPr="0005734B" w:rsidRDefault="0068530E" w:rsidP="0068530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B</w:t>
      </w:r>
      <w:r w:rsidRPr="0005734B">
        <w:rPr>
          <w:rFonts w:ascii="Times New Roman" w:eastAsia="Times New Roman" w:hAnsi="Times New Roman" w:cs="Times New Roman"/>
          <w:b/>
          <w:bCs/>
          <w:sz w:val="24"/>
          <w:szCs w:val="24"/>
          <w:u w:val="single"/>
        </w:rPr>
        <w:t xml:space="preserve">. </w:t>
      </w:r>
      <w:r w:rsidRPr="0068530E">
        <w:rPr>
          <w:rFonts w:ascii="Times New Roman" w:eastAsia="Times New Roman" w:hAnsi="Times New Roman" w:cs="Times New Roman"/>
          <w:b/>
          <w:bCs/>
          <w:sz w:val="24"/>
          <w:szCs w:val="24"/>
          <w:u w:val="single"/>
        </w:rPr>
        <w:t>Collections of Information Employing Statistical Methods</w:t>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Pr>
          <w:rFonts w:ascii="Times New Roman" w:eastAsia="Times New Roman" w:hAnsi="Times New Roman" w:cs="Times New Roman"/>
          <w:b/>
          <w:bCs/>
          <w:sz w:val="24"/>
          <w:szCs w:val="20"/>
        </w:rPr>
        <w:t>3</w:t>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p>
    <w:p w14:paraId="62C05845" w14:textId="77777777" w:rsidR="0068530E" w:rsidRPr="0005734B" w:rsidRDefault="0068530E" w:rsidP="0068530E">
      <w:pPr>
        <w:spacing w:after="0" w:line="240" w:lineRule="auto"/>
        <w:rPr>
          <w:rFonts w:ascii="Times New Roman" w:eastAsia="Times New Roman" w:hAnsi="Times New Roman" w:cs="Times New Roman"/>
          <w:b/>
          <w:bCs/>
          <w:sz w:val="24"/>
          <w:szCs w:val="20"/>
        </w:rPr>
      </w:pPr>
    </w:p>
    <w:p w14:paraId="0807454F" w14:textId="77777777" w:rsidR="0068530E" w:rsidRDefault="0068530E" w:rsidP="006853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w:t>
      </w:r>
      <w:r w:rsidRPr="0005734B">
        <w:rPr>
          <w:rFonts w:ascii="Times New Roman" w:eastAsia="Times New Roman" w:hAnsi="Times New Roman" w:cs="Times New Roman"/>
          <w:bCs/>
          <w:sz w:val="24"/>
          <w:szCs w:val="24"/>
        </w:rPr>
        <w:t xml:space="preserve">. 1. </w:t>
      </w:r>
      <w:r>
        <w:rPr>
          <w:rFonts w:ascii="Times New Roman" w:eastAsia="Times New Roman" w:hAnsi="Times New Roman" w:cs="Times New Roman"/>
          <w:bCs/>
          <w:sz w:val="24"/>
          <w:szCs w:val="24"/>
        </w:rPr>
        <w:t>Respondent Universe and Sampling Methods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3</w:t>
      </w:r>
    </w:p>
    <w:p w14:paraId="19FA8CF1" w14:textId="77777777" w:rsidR="0068530E" w:rsidRDefault="0068530E" w:rsidP="0068530E">
      <w:pPr>
        <w:spacing w:after="0" w:line="240" w:lineRule="auto"/>
        <w:rPr>
          <w:rFonts w:ascii="Times New Roman" w:eastAsia="Times New Roman" w:hAnsi="Times New Roman" w:cs="Times New Roman"/>
          <w:bCs/>
          <w:sz w:val="24"/>
          <w:szCs w:val="24"/>
        </w:rPr>
      </w:pPr>
    </w:p>
    <w:p w14:paraId="3BFDB798" w14:textId="597E3864" w:rsidR="0068530E" w:rsidRDefault="0068530E" w:rsidP="006853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2. Procedures for the Collection of Information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2A6C79">
        <w:rPr>
          <w:rFonts w:ascii="Times New Roman" w:eastAsia="Times New Roman" w:hAnsi="Times New Roman" w:cs="Times New Roman"/>
          <w:bCs/>
          <w:sz w:val="24"/>
          <w:szCs w:val="24"/>
        </w:rPr>
        <w:t>5</w:t>
      </w:r>
    </w:p>
    <w:p w14:paraId="0F7904FC" w14:textId="77777777" w:rsidR="0068530E" w:rsidRDefault="0068530E" w:rsidP="0068530E">
      <w:pPr>
        <w:spacing w:after="0" w:line="240" w:lineRule="auto"/>
        <w:rPr>
          <w:rFonts w:ascii="Times New Roman" w:eastAsia="Times New Roman" w:hAnsi="Times New Roman" w:cs="Times New Roman"/>
          <w:bCs/>
          <w:sz w:val="24"/>
          <w:szCs w:val="24"/>
        </w:rPr>
      </w:pPr>
    </w:p>
    <w:p w14:paraId="30C0E4F4" w14:textId="521DF104" w:rsidR="0068530E" w:rsidRDefault="0068530E" w:rsidP="006853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3. Methods to Maximize Response Rates and Deal with No Response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2A6C79">
        <w:rPr>
          <w:rFonts w:ascii="Times New Roman" w:eastAsia="Times New Roman" w:hAnsi="Times New Roman" w:cs="Times New Roman"/>
          <w:bCs/>
          <w:sz w:val="24"/>
          <w:szCs w:val="24"/>
        </w:rPr>
        <w:t>6</w:t>
      </w:r>
    </w:p>
    <w:p w14:paraId="731C4153" w14:textId="77777777" w:rsidR="0068530E" w:rsidRDefault="0068530E" w:rsidP="0068530E">
      <w:pPr>
        <w:spacing w:after="0" w:line="240" w:lineRule="auto"/>
        <w:rPr>
          <w:rFonts w:ascii="Times New Roman" w:eastAsia="Times New Roman" w:hAnsi="Times New Roman" w:cs="Times New Roman"/>
          <w:bCs/>
          <w:sz w:val="24"/>
          <w:szCs w:val="24"/>
        </w:rPr>
      </w:pPr>
    </w:p>
    <w:p w14:paraId="1E030172" w14:textId="5222C76B" w:rsidR="0068530E" w:rsidRDefault="0068530E" w:rsidP="006853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4. Tests of Procedures or Methods to Be Undertaken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2A6C79">
        <w:rPr>
          <w:rFonts w:ascii="Times New Roman" w:eastAsia="Times New Roman" w:hAnsi="Times New Roman" w:cs="Times New Roman"/>
          <w:bCs/>
          <w:sz w:val="24"/>
          <w:szCs w:val="24"/>
        </w:rPr>
        <w:t>6</w:t>
      </w:r>
      <w:bookmarkStart w:id="1" w:name="_GoBack"/>
      <w:bookmarkEnd w:id="1"/>
    </w:p>
    <w:p w14:paraId="745B224A" w14:textId="77777777" w:rsidR="0068530E" w:rsidRDefault="0068530E" w:rsidP="0068530E">
      <w:pPr>
        <w:spacing w:after="0" w:line="240" w:lineRule="auto"/>
        <w:rPr>
          <w:rFonts w:ascii="Times New Roman" w:eastAsia="Times New Roman" w:hAnsi="Times New Roman" w:cs="Times New Roman"/>
          <w:bCs/>
          <w:sz w:val="24"/>
          <w:szCs w:val="24"/>
        </w:rPr>
      </w:pPr>
    </w:p>
    <w:p w14:paraId="673F73B5" w14:textId="77777777" w:rsidR="00357EE5" w:rsidRDefault="0068530E" w:rsidP="006853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5. </w:t>
      </w:r>
      <w:r w:rsidRPr="0068530E">
        <w:rPr>
          <w:rFonts w:ascii="Times New Roman" w:eastAsia="Times New Roman" w:hAnsi="Times New Roman" w:cs="Times New Roman"/>
          <w:bCs/>
          <w:sz w:val="24"/>
          <w:szCs w:val="24"/>
        </w:rPr>
        <w:t xml:space="preserve">Individuals Consulted on Statistical Aspects and Individuals Collecting </w:t>
      </w:r>
      <w:r w:rsidR="00357EE5">
        <w:rPr>
          <w:rFonts w:ascii="Times New Roman" w:eastAsia="Times New Roman" w:hAnsi="Times New Roman" w:cs="Times New Roman"/>
          <w:bCs/>
          <w:sz w:val="24"/>
          <w:szCs w:val="24"/>
        </w:rPr>
        <w:tab/>
      </w:r>
      <w:r w:rsidR="003D45F1">
        <w:rPr>
          <w:rFonts w:ascii="Times New Roman" w:eastAsia="Times New Roman" w:hAnsi="Times New Roman" w:cs="Times New Roman"/>
          <w:bCs/>
          <w:sz w:val="24"/>
          <w:szCs w:val="24"/>
        </w:rPr>
        <w:t>6</w:t>
      </w:r>
    </w:p>
    <w:p w14:paraId="0846C64B" w14:textId="77777777" w:rsidR="0068530E" w:rsidRPr="0005734B" w:rsidRDefault="0068530E" w:rsidP="0068530E">
      <w:pPr>
        <w:spacing w:after="0" w:line="240" w:lineRule="auto"/>
        <w:rPr>
          <w:rFonts w:ascii="Times New Roman" w:eastAsia="Times New Roman" w:hAnsi="Times New Roman" w:cs="Times New Roman"/>
          <w:bCs/>
          <w:sz w:val="24"/>
          <w:szCs w:val="24"/>
        </w:rPr>
      </w:pPr>
      <w:r w:rsidRPr="0068530E">
        <w:rPr>
          <w:rFonts w:ascii="Times New Roman" w:eastAsia="Times New Roman" w:hAnsi="Times New Roman" w:cs="Times New Roman"/>
          <w:bCs/>
          <w:sz w:val="24"/>
          <w:szCs w:val="24"/>
        </w:rPr>
        <w:t>and/or Analyzing Data</w:t>
      </w:r>
    </w:p>
    <w:p w14:paraId="1E31CF10" w14:textId="77777777" w:rsidR="0068530E" w:rsidRDefault="0068530E"/>
    <w:p w14:paraId="77E16BE8" w14:textId="77777777" w:rsidR="00C554F4" w:rsidRDefault="00C554F4">
      <w:pPr>
        <w:rPr>
          <w:rFonts w:ascii="Times New Roman" w:hAnsi="Times New Roman" w:cs="Times New Roman"/>
          <w:b/>
          <w:sz w:val="24"/>
          <w:szCs w:val="24"/>
          <w:u w:val="single"/>
        </w:rPr>
      </w:pPr>
      <w:r w:rsidRPr="00C554F4">
        <w:rPr>
          <w:rFonts w:ascii="Times New Roman" w:hAnsi="Times New Roman" w:cs="Times New Roman"/>
          <w:b/>
          <w:sz w:val="24"/>
          <w:szCs w:val="24"/>
          <w:u w:val="single"/>
        </w:rPr>
        <w:t>Appendices</w:t>
      </w:r>
    </w:p>
    <w:p w14:paraId="1DF58DFB" w14:textId="77777777" w:rsidR="00C554F4" w:rsidRPr="00C554F4" w:rsidRDefault="00C554F4" w:rsidP="00C554F4">
      <w:pPr>
        <w:rPr>
          <w:rFonts w:ascii="Times New Roman" w:eastAsia="Times New Roman" w:hAnsi="Times New Roman" w:cs="Times New Roman"/>
          <w:bCs/>
          <w:sz w:val="24"/>
          <w:szCs w:val="24"/>
        </w:rPr>
      </w:pPr>
      <w:r w:rsidRPr="00C554F4">
        <w:rPr>
          <w:rFonts w:ascii="Times New Roman" w:eastAsia="Times New Roman" w:hAnsi="Times New Roman" w:cs="Times New Roman"/>
          <w:b/>
          <w:bCs/>
          <w:sz w:val="24"/>
          <w:szCs w:val="24"/>
        </w:rPr>
        <w:t>C.</w:t>
      </w:r>
      <w:r w:rsidRPr="00C554F4">
        <w:rPr>
          <w:rFonts w:ascii="Times New Roman" w:eastAsia="Times New Roman" w:hAnsi="Times New Roman" w:cs="Times New Roman"/>
          <w:bCs/>
          <w:sz w:val="24"/>
          <w:szCs w:val="24"/>
        </w:rPr>
        <w:t xml:space="preserve"> Survey Instrument- FGS1</w:t>
      </w:r>
    </w:p>
    <w:p w14:paraId="7054A2D5" w14:textId="77777777" w:rsidR="00C554F4" w:rsidRPr="00C554F4" w:rsidRDefault="00C554F4" w:rsidP="00C554F4">
      <w:pPr>
        <w:rPr>
          <w:rFonts w:ascii="Times New Roman" w:eastAsia="Times New Roman" w:hAnsi="Times New Roman" w:cs="Times New Roman"/>
          <w:bCs/>
          <w:sz w:val="24"/>
          <w:szCs w:val="24"/>
        </w:rPr>
      </w:pPr>
      <w:r w:rsidRPr="00C554F4">
        <w:rPr>
          <w:rFonts w:ascii="Times New Roman" w:eastAsia="Times New Roman" w:hAnsi="Times New Roman" w:cs="Times New Roman"/>
          <w:b/>
          <w:bCs/>
          <w:sz w:val="24"/>
          <w:szCs w:val="24"/>
        </w:rPr>
        <w:t>D.</w:t>
      </w:r>
      <w:r w:rsidRPr="00C554F4">
        <w:rPr>
          <w:rFonts w:ascii="Times New Roman" w:eastAsia="Times New Roman" w:hAnsi="Times New Roman" w:cs="Times New Roman"/>
          <w:bCs/>
          <w:sz w:val="24"/>
          <w:szCs w:val="24"/>
        </w:rPr>
        <w:t xml:space="preserve"> Survey Instrument- FGS2 &amp; FGS3</w:t>
      </w:r>
    </w:p>
    <w:p w14:paraId="79F7BE9C" w14:textId="77777777" w:rsidR="00C554F4" w:rsidRPr="00C554F4" w:rsidRDefault="00C554F4" w:rsidP="00C554F4">
      <w:pPr>
        <w:rPr>
          <w:rFonts w:ascii="Times New Roman" w:eastAsia="Times New Roman" w:hAnsi="Times New Roman" w:cs="Times New Roman"/>
          <w:bCs/>
          <w:sz w:val="24"/>
          <w:szCs w:val="24"/>
        </w:rPr>
      </w:pPr>
      <w:r w:rsidRPr="00C554F4">
        <w:rPr>
          <w:rFonts w:ascii="Times New Roman" w:eastAsia="Times New Roman" w:hAnsi="Times New Roman" w:cs="Times New Roman"/>
          <w:b/>
          <w:bCs/>
          <w:sz w:val="24"/>
          <w:szCs w:val="24"/>
        </w:rPr>
        <w:t>E.</w:t>
      </w:r>
      <w:r w:rsidRPr="00C554F4">
        <w:rPr>
          <w:rFonts w:ascii="Times New Roman" w:eastAsia="Times New Roman" w:hAnsi="Times New Roman" w:cs="Times New Roman"/>
          <w:bCs/>
          <w:sz w:val="24"/>
          <w:szCs w:val="24"/>
        </w:rPr>
        <w:t xml:space="preserve"> Email Letter- FGS1</w:t>
      </w:r>
    </w:p>
    <w:p w14:paraId="305862FB" w14:textId="77777777" w:rsidR="00C554F4" w:rsidRPr="00C554F4" w:rsidRDefault="00C554F4" w:rsidP="00C554F4">
      <w:pPr>
        <w:rPr>
          <w:rFonts w:ascii="Times New Roman" w:eastAsia="Times New Roman" w:hAnsi="Times New Roman" w:cs="Times New Roman"/>
          <w:bCs/>
          <w:sz w:val="24"/>
          <w:szCs w:val="24"/>
        </w:rPr>
      </w:pPr>
      <w:r w:rsidRPr="00C554F4">
        <w:rPr>
          <w:rFonts w:ascii="Times New Roman" w:eastAsia="Times New Roman" w:hAnsi="Times New Roman" w:cs="Times New Roman"/>
          <w:b/>
          <w:bCs/>
          <w:sz w:val="24"/>
          <w:szCs w:val="24"/>
        </w:rPr>
        <w:t>F.</w:t>
      </w:r>
      <w:r w:rsidRPr="00C554F4">
        <w:rPr>
          <w:rFonts w:ascii="Times New Roman" w:eastAsia="Times New Roman" w:hAnsi="Times New Roman" w:cs="Times New Roman"/>
          <w:bCs/>
          <w:sz w:val="24"/>
          <w:szCs w:val="24"/>
        </w:rPr>
        <w:t xml:space="preserve"> Email Letter- FGS2 &amp; FGS3</w:t>
      </w:r>
    </w:p>
    <w:p w14:paraId="49D9F7D9" w14:textId="77777777" w:rsidR="00C554F4" w:rsidRPr="00C554F4" w:rsidRDefault="00C554F4" w:rsidP="00C554F4">
      <w:pPr>
        <w:rPr>
          <w:rFonts w:ascii="Times New Roman" w:eastAsia="Times New Roman" w:hAnsi="Times New Roman" w:cs="Times New Roman"/>
          <w:bCs/>
          <w:sz w:val="24"/>
          <w:szCs w:val="24"/>
        </w:rPr>
      </w:pPr>
      <w:r w:rsidRPr="00C554F4">
        <w:rPr>
          <w:rFonts w:ascii="Times New Roman" w:eastAsia="Times New Roman" w:hAnsi="Times New Roman" w:cs="Times New Roman"/>
          <w:b/>
          <w:bCs/>
          <w:sz w:val="24"/>
          <w:szCs w:val="24"/>
        </w:rPr>
        <w:t xml:space="preserve">G. </w:t>
      </w:r>
      <w:r w:rsidRPr="00C554F4">
        <w:rPr>
          <w:rFonts w:ascii="Times New Roman" w:eastAsia="Times New Roman" w:hAnsi="Times New Roman" w:cs="Times New Roman"/>
          <w:bCs/>
          <w:sz w:val="24"/>
          <w:szCs w:val="24"/>
        </w:rPr>
        <w:t>Post Card pre survey announcement- FGS1</w:t>
      </w:r>
    </w:p>
    <w:p w14:paraId="4A06104E" w14:textId="77777777" w:rsidR="00C554F4" w:rsidRPr="00C554F4" w:rsidRDefault="00C554F4" w:rsidP="00C554F4">
      <w:pPr>
        <w:rPr>
          <w:rFonts w:ascii="Times New Roman" w:eastAsia="Times New Roman" w:hAnsi="Times New Roman" w:cs="Times New Roman"/>
          <w:bCs/>
          <w:sz w:val="24"/>
          <w:szCs w:val="24"/>
        </w:rPr>
      </w:pPr>
      <w:r w:rsidRPr="00C554F4">
        <w:rPr>
          <w:rFonts w:ascii="Times New Roman" w:eastAsia="Times New Roman" w:hAnsi="Times New Roman" w:cs="Times New Roman"/>
          <w:b/>
          <w:bCs/>
          <w:sz w:val="24"/>
          <w:szCs w:val="24"/>
        </w:rPr>
        <w:t>H.</w:t>
      </w:r>
      <w:r w:rsidRPr="00C554F4">
        <w:rPr>
          <w:rFonts w:ascii="Times New Roman" w:eastAsia="Times New Roman" w:hAnsi="Times New Roman" w:cs="Times New Roman"/>
          <w:bCs/>
          <w:sz w:val="24"/>
          <w:szCs w:val="24"/>
        </w:rPr>
        <w:t xml:space="preserve"> Post Card first survey announcement- FGS1</w:t>
      </w:r>
    </w:p>
    <w:p w14:paraId="65AC5D52" w14:textId="77777777" w:rsidR="00C554F4" w:rsidRPr="00C554F4" w:rsidRDefault="00C554F4" w:rsidP="00C554F4">
      <w:pPr>
        <w:rPr>
          <w:rFonts w:ascii="Times New Roman" w:eastAsia="Times New Roman" w:hAnsi="Times New Roman" w:cs="Times New Roman"/>
          <w:bCs/>
          <w:sz w:val="24"/>
          <w:szCs w:val="24"/>
        </w:rPr>
      </w:pPr>
      <w:r w:rsidRPr="00C554F4">
        <w:rPr>
          <w:rFonts w:ascii="Times New Roman" w:eastAsia="Times New Roman" w:hAnsi="Times New Roman" w:cs="Times New Roman"/>
          <w:b/>
          <w:bCs/>
          <w:sz w:val="24"/>
          <w:szCs w:val="24"/>
        </w:rPr>
        <w:t>I.</w:t>
      </w:r>
      <w:r w:rsidRPr="00C554F4">
        <w:rPr>
          <w:rFonts w:ascii="Times New Roman" w:eastAsia="Times New Roman" w:hAnsi="Times New Roman" w:cs="Times New Roman"/>
          <w:bCs/>
          <w:sz w:val="24"/>
          <w:szCs w:val="24"/>
        </w:rPr>
        <w:t xml:space="preserve"> Post Card reminder survey announcement- FGS1</w:t>
      </w:r>
    </w:p>
    <w:p w14:paraId="2084FC97" w14:textId="77777777" w:rsidR="00C554F4" w:rsidRPr="00C554F4" w:rsidRDefault="00C554F4" w:rsidP="00C554F4">
      <w:pPr>
        <w:rPr>
          <w:rFonts w:ascii="Times New Roman" w:eastAsia="Times New Roman" w:hAnsi="Times New Roman" w:cs="Times New Roman"/>
          <w:bCs/>
          <w:sz w:val="24"/>
          <w:szCs w:val="24"/>
        </w:rPr>
      </w:pPr>
      <w:r w:rsidRPr="00C554F4">
        <w:rPr>
          <w:rFonts w:ascii="Times New Roman" w:eastAsia="Times New Roman" w:hAnsi="Times New Roman" w:cs="Times New Roman"/>
          <w:b/>
          <w:bCs/>
          <w:sz w:val="24"/>
          <w:szCs w:val="24"/>
        </w:rPr>
        <w:t>J.</w:t>
      </w:r>
      <w:r w:rsidRPr="00C554F4">
        <w:rPr>
          <w:rFonts w:ascii="Times New Roman" w:eastAsia="Times New Roman" w:hAnsi="Times New Roman" w:cs="Times New Roman"/>
          <w:bCs/>
          <w:sz w:val="24"/>
          <w:szCs w:val="24"/>
        </w:rPr>
        <w:t xml:space="preserve"> Post Card pre survey announcement- FGS2 &amp; FGS3</w:t>
      </w:r>
    </w:p>
    <w:p w14:paraId="28DAF29E" w14:textId="77777777" w:rsidR="00C554F4" w:rsidRPr="00C554F4" w:rsidRDefault="00C554F4" w:rsidP="00C554F4">
      <w:pPr>
        <w:rPr>
          <w:rFonts w:ascii="Times New Roman" w:eastAsia="Times New Roman" w:hAnsi="Times New Roman" w:cs="Times New Roman"/>
          <w:bCs/>
          <w:sz w:val="24"/>
          <w:szCs w:val="24"/>
        </w:rPr>
      </w:pPr>
      <w:r w:rsidRPr="00C554F4">
        <w:rPr>
          <w:rFonts w:ascii="Times New Roman" w:eastAsia="Times New Roman" w:hAnsi="Times New Roman" w:cs="Times New Roman"/>
          <w:b/>
          <w:bCs/>
          <w:sz w:val="24"/>
          <w:szCs w:val="24"/>
        </w:rPr>
        <w:t>K.</w:t>
      </w:r>
      <w:r w:rsidRPr="00C554F4">
        <w:rPr>
          <w:rFonts w:ascii="Times New Roman" w:eastAsia="Times New Roman" w:hAnsi="Times New Roman" w:cs="Times New Roman"/>
          <w:bCs/>
          <w:sz w:val="24"/>
          <w:szCs w:val="24"/>
        </w:rPr>
        <w:t xml:space="preserve"> Post Card first survey announcement- FGS2 &amp; FGS3</w:t>
      </w:r>
    </w:p>
    <w:p w14:paraId="729A4EFE" w14:textId="77777777" w:rsidR="00C554F4" w:rsidRPr="00C554F4" w:rsidRDefault="00C554F4" w:rsidP="00C554F4">
      <w:pPr>
        <w:rPr>
          <w:rFonts w:ascii="Times New Roman" w:eastAsia="Times New Roman" w:hAnsi="Times New Roman" w:cs="Times New Roman"/>
          <w:bCs/>
          <w:sz w:val="24"/>
          <w:szCs w:val="24"/>
        </w:rPr>
      </w:pPr>
      <w:r w:rsidRPr="00C554F4">
        <w:rPr>
          <w:rFonts w:ascii="Times New Roman" w:eastAsia="Times New Roman" w:hAnsi="Times New Roman" w:cs="Times New Roman"/>
          <w:b/>
          <w:bCs/>
          <w:sz w:val="24"/>
          <w:szCs w:val="24"/>
        </w:rPr>
        <w:t>L.</w:t>
      </w:r>
      <w:r w:rsidRPr="00C554F4">
        <w:rPr>
          <w:rFonts w:ascii="Times New Roman" w:eastAsia="Times New Roman" w:hAnsi="Times New Roman" w:cs="Times New Roman"/>
          <w:bCs/>
          <w:sz w:val="24"/>
          <w:szCs w:val="24"/>
        </w:rPr>
        <w:t xml:space="preserve"> Post Card reminder survey announcement- FGS2 &amp; FGS3</w:t>
      </w:r>
    </w:p>
    <w:p w14:paraId="24D55DF0" w14:textId="77777777" w:rsidR="00C554F4" w:rsidRPr="00C554F4" w:rsidRDefault="00C554F4">
      <w:pPr>
        <w:rPr>
          <w:rFonts w:ascii="Times New Roman" w:hAnsi="Times New Roman" w:cs="Times New Roman"/>
          <w:b/>
          <w:sz w:val="24"/>
          <w:szCs w:val="24"/>
          <w:u w:val="single"/>
        </w:rPr>
      </w:pPr>
    </w:p>
    <w:p w14:paraId="288176D0" w14:textId="77777777" w:rsidR="0068530E" w:rsidRDefault="0068530E"/>
    <w:p w14:paraId="09B7CD00" w14:textId="77777777" w:rsidR="0068530E" w:rsidRDefault="0068530E"/>
    <w:p w14:paraId="6B403EC2" w14:textId="77777777" w:rsidR="0068530E" w:rsidRDefault="0068530E"/>
    <w:p w14:paraId="1AB47670" w14:textId="77777777" w:rsidR="0068530E" w:rsidRDefault="0068530E"/>
    <w:p w14:paraId="18307823" w14:textId="77777777" w:rsidR="00AA65DC" w:rsidRDefault="00AA65DC" w:rsidP="00AA65DC">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 Collections of Information Employing Statistical Methods</w:t>
      </w:r>
    </w:p>
    <w:p w14:paraId="167D9B34" w14:textId="77777777" w:rsidR="00AA65DC" w:rsidRDefault="00AA65DC" w:rsidP="00AA65DC">
      <w:pPr>
        <w:spacing w:after="0" w:line="240" w:lineRule="auto"/>
        <w:outlineLvl w:val="0"/>
        <w:rPr>
          <w:rFonts w:ascii="Times New Roman" w:eastAsia="Times New Roman" w:hAnsi="Times New Roman" w:cs="Times New Roman"/>
          <w:b/>
          <w:sz w:val="24"/>
          <w:szCs w:val="24"/>
        </w:rPr>
      </w:pPr>
    </w:p>
    <w:p w14:paraId="6BB7CE1D" w14:textId="77777777" w:rsidR="00AA65DC" w:rsidRDefault="00AA65DC" w:rsidP="00AA65DC">
      <w:pPr>
        <w:pStyle w:val="ListParagraph"/>
        <w:numPr>
          <w:ilvl w:val="0"/>
          <w:numId w:val="1"/>
        </w:numPr>
        <w:spacing w:after="0" w:line="240" w:lineRule="auto"/>
        <w:ind w:left="360"/>
        <w:outlineLvl w:val="0"/>
        <w:rPr>
          <w:rFonts w:ascii="Times New Roman" w:eastAsia="Times New Roman" w:hAnsi="Times New Roman" w:cs="Times New Roman"/>
          <w:b/>
          <w:sz w:val="24"/>
          <w:szCs w:val="24"/>
        </w:rPr>
      </w:pPr>
      <w:r w:rsidRPr="003168FB">
        <w:rPr>
          <w:rFonts w:ascii="Times New Roman" w:eastAsia="Times New Roman" w:hAnsi="Times New Roman" w:cs="Times New Roman"/>
          <w:b/>
          <w:sz w:val="24"/>
          <w:szCs w:val="24"/>
        </w:rPr>
        <w:t>Respondent Universe and Sampling Methods</w:t>
      </w:r>
    </w:p>
    <w:p w14:paraId="056B1F88" w14:textId="77777777" w:rsidR="00906C3D" w:rsidRDefault="00906C3D" w:rsidP="00AA65DC">
      <w:pPr>
        <w:spacing w:after="0" w:line="240" w:lineRule="auto"/>
        <w:outlineLvl w:val="0"/>
        <w:rPr>
          <w:rFonts w:ascii="Times New Roman" w:eastAsia="Times New Roman" w:hAnsi="Times New Roman" w:cs="Times New Roman"/>
          <w:sz w:val="24"/>
          <w:szCs w:val="24"/>
        </w:rPr>
      </w:pPr>
    </w:p>
    <w:p w14:paraId="79A55495" w14:textId="77777777" w:rsidR="00B514DA" w:rsidRDefault="00B514DA" w:rsidP="00AA65DC">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will be selected from several different sources and categorized into two respondent types, physician office laboratories (POLs) and laboratories in hospitals and clinics (HCs)</w:t>
      </w:r>
      <w:r w:rsidR="00484E45">
        <w:rPr>
          <w:rFonts w:ascii="Times New Roman" w:eastAsia="Times New Roman" w:hAnsi="Times New Roman" w:cs="Times New Roman"/>
          <w:sz w:val="24"/>
          <w:szCs w:val="24"/>
        </w:rPr>
        <w:t>.  Each of these groups of laboratory types will be</w:t>
      </w:r>
      <w:r>
        <w:rPr>
          <w:rFonts w:ascii="Times New Roman" w:eastAsia="Times New Roman" w:hAnsi="Times New Roman" w:cs="Times New Roman"/>
          <w:sz w:val="24"/>
          <w:szCs w:val="24"/>
        </w:rPr>
        <w:t xml:space="preserve"> </w:t>
      </w:r>
      <w:r w:rsidR="00484E45">
        <w:rPr>
          <w:rFonts w:ascii="Times New Roman" w:eastAsia="Times New Roman" w:hAnsi="Times New Roman" w:cs="Times New Roman"/>
          <w:sz w:val="24"/>
          <w:szCs w:val="24"/>
        </w:rPr>
        <w:t>asked for</w:t>
      </w:r>
      <w:r>
        <w:rPr>
          <w:rFonts w:ascii="Times New Roman" w:eastAsia="Times New Roman" w:hAnsi="Times New Roman" w:cs="Times New Roman"/>
          <w:sz w:val="24"/>
          <w:szCs w:val="24"/>
        </w:rPr>
        <w:t xml:space="preserve"> information regarding their awareness and use of one or the other laboratory practice guideline (</w:t>
      </w:r>
      <w:r w:rsidR="00484E45">
        <w:rPr>
          <w:rFonts w:ascii="Times New Roman" w:eastAsia="Times New Roman" w:hAnsi="Times New Roman" w:cs="Times New Roman"/>
          <w:sz w:val="24"/>
          <w:szCs w:val="24"/>
        </w:rPr>
        <w:t xml:space="preserve">HCs will be asked about </w:t>
      </w:r>
      <w:r w:rsidRPr="003D45F1">
        <w:rPr>
          <w:rFonts w:ascii="Times New Roman" w:eastAsia="Times New Roman" w:hAnsi="Times New Roman" w:cs="Times New Roman"/>
          <w:i/>
          <w:sz w:val="24"/>
          <w:szCs w:val="24"/>
        </w:rPr>
        <w:t>POCT12</w:t>
      </w:r>
      <w:r>
        <w:rPr>
          <w:rFonts w:ascii="Times New Roman" w:eastAsia="Times New Roman" w:hAnsi="Times New Roman" w:cs="Times New Roman"/>
          <w:sz w:val="24"/>
          <w:szCs w:val="24"/>
        </w:rPr>
        <w:t xml:space="preserve"> </w:t>
      </w:r>
      <w:r w:rsidR="00484E45">
        <w:rPr>
          <w:rFonts w:ascii="Times New Roman" w:eastAsia="Times New Roman" w:hAnsi="Times New Roman" w:cs="Times New Roman"/>
          <w:sz w:val="24"/>
          <w:szCs w:val="24"/>
        </w:rPr>
        <w:t xml:space="preserve">and POLs about </w:t>
      </w:r>
      <w:r w:rsidRPr="003D45F1">
        <w:rPr>
          <w:rFonts w:ascii="Times New Roman" w:eastAsia="Times New Roman" w:hAnsi="Times New Roman" w:cs="Times New Roman"/>
          <w:i/>
          <w:sz w:val="24"/>
          <w:szCs w:val="24"/>
        </w:rPr>
        <w:t>POCT13</w:t>
      </w:r>
      <w:r>
        <w:rPr>
          <w:rFonts w:ascii="Times New Roman" w:eastAsia="Times New Roman" w:hAnsi="Times New Roman" w:cs="Times New Roman"/>
          <w:sz w:val="24"/>
          <w:szCs w:val="24"/>
        </w:rPr>
        <w:t>).  A total of 30,000 respondents will be targeted with approximately 20,000 being identified from various sources available to the Clinical and Laboratory Standards Institute (CLSI) as outlined below</w:t>
      </w:r>
      <w:r w:rsidR="006B2627">
        <w:rPr>
          <w:rFonts w:ascii="Times New Roman" w:eastAsia="Times New Roman" w:hAnsi="Times New Roman" w:cs="Times New Roman"/>
          <w:sz w:val="24"/>
          <w:szCs w:val="24"/>
        </w:rPr>
        <w:t xml:space="preserve"> (Table 1)</w:t>
      </w:r>
      <w:r>
        <w:rPr>
          <w:rFonts w:ascii="Times New Roman" w:eastAsia="Times New Roman" w:hAnsi="Times New Roman" w:cs="Times New Roman"/>
          <w:sz w:val="24"/>
          <w:szCs w:val="24"/>
        </w:rPr>
        <w:t xml:space="preserve">.  The remaining 10,000 respondents will be identified by CDC from a laboratory demographic database. </w:t>
      </w:r>
      <w:r w:rsidR="00484E45">
        <w:rPr>
          <w:rFonts w:ascii="Times New Roman" w:eastAsia="Times New Roman" w:hAnsi="Times New Roman" w:cs="Times New Roman"/>
          <w:sz w:val="24"/>
          <w:szCs w:val="24"/>
        </w:rPr>
        <w:t xml:space="preserve"> The overall breakdown for each of the two groups of laboratory types will be approximately 15,000 each for POLs and HCs.</w:t>
      </w:r>
    </w:p>
    <w:p w14:paraId="56AAD076" w14:textId="77777777" w:rsidR="00B514DA" w:rsidRPr="003D45F1" w:rsidRDefault="00B514DA" w:rsidP="00AA65DC">
      <w:pPr>
        <w:spacing w:after="0" w:line="240" w:lineRule="auto"/>
        <w:outlineLvl w:val="0"/>
        <w:rPr>
          <w:rFonts w:ascii="Times New Roman" w:eastAsia="Times New Roman" w:hAnsi="Times New Roman" w:cs="Times New Roman"/>
          <w:sz w:val="24"/>
          <w:szCs w:val="24"/>
        </w:rPr>
      </w:pPr>
    </w:p>
    <w:p w14:paraId="720C3447" w14:textId="77777777" w:rsidR="00EE295B" w:rsidRDefault="00EE295B" w:rsidP="00AA65DC">
      <w:pPr>
        <w:spacing w:after="0" w:line="240" w:lineRule="auto"/>
        <w:outlineLvl w:val="0"/>
        <w:rPr>
          <w:rFonts w:ascii="Times New Roman" w:eastAsia="Times New Roman" w:hAnsi="Times New Roman" w:cs="Times New Roman"/>
          <w:sz w:val="24"/>
          <w:szCs w:val="24"/>
        </w:rPr>
      </w:pPr>
      <w:r w:rsidRPr="00D46E1D">
        <w:rPr>
          <w:rFonts w:ascii="Times New Roman" w:eastAsia="Times New Roman" w:hAnsi="Times New Roman" w:cs="Times New Roman"/>
          <w:sz w:val="24"/>
          <w:szCs w:val="24"/>
        </w:rPr>
        <w:t>The C</w:t>
      </w:r>
      <w:r w:rsidR="00040CC4">
        <w:rPr>
          <w:rFonts w:ascii="Times New Roman" w:eastAsia="Times New Roman" w:hAnsi="Times New Roman" w:cs="Times New Roman"/>
          <w:sz w:val="24"/>
          <w:szCs w:val="24"/>
        </w:rPr>
        <w:t xml:space="preserve">linical and </w:t>
      </w:r>
      <w:r w:rsidRPr="00D46E1D">
        <w:rPr>
          <w:rFonts w:ascii="Times New Roman" w:eastAsia="Times New Roman" w:hAnsi="Times New Roman" w:cs="Times New Roman"/>
          <w:sz w:val="24"/>
          <w:szCs w:val="24"/>
        </w:rPr>
        <w:t>L</w:t>
      </w:r>
      <w:r w:rsidR="00040CC4">
        <w:rPr>
          <w:rFonts w:ascii="Times New Roman" w:eastAsia="Times New Roman" w:hAnsi="Times New Roman" w:cs="Times New Roman"/>
          <w:sz w:val="24"/>
          <w:szCs w:val="24"/>
        </w:rPr>
        <w:t xml:space="preserve">aboratory </w:t>
      </w:r>
      <w:r w:rsidRPr="00D46E1D">
        <w:rPr>
          <w:rFonts w:ascii="Times New Roman" w:eastAsia="Times New Roman" w:hAnsi="Times New Roman" w:cs="Times New Roman"/>
          <w:sz w:val="24"/>
          <w:szCs w:val="24"/>
        </w:rPr>
        <w:t>S</w:t>
      </w:r>
      <w:r w:rsidR="00040CC4">
        <w:rPr>
          <w:rFonts w:ascii="Times New Roman" w:eastAsia="Times New Roman" w:hAnsi="Times New Roman" w:cs="Times New Roman"/>
          <w:sz w:val="24"/>
          <w:szCs w:val="24"/>
        </w:rPr>
        <w:t xml:space="preserve">tandards </w:t>
      </w:r>
      <w:r w:rsidRPr="00D46E1D">
        <w:rPr>
          <w:rFonts w:ascii="Times New Roman" w:eastAsia="Times New Roman" w:hAnsi="Times New Roman" w:cs="Times New Roman"/>
          <w:sz w:val="24"/>
          <w:szCs w:val="24"/>
        </w:rPr>
        <w:t>I</w:t>
      </w:r>
      <w:r w:rsidR="00040CC4">
        <w:rPr>
          <w:rFonts w:ascii="Times New Roman" w:eastAsia="Times New Roman" w:hAnsi="Times New Roman" w:cs="Times New Roman"/>
          <w:sz w:val="24"/>
          <w:szCs w:val="24"/>
        </w:rPr>
        <w:t xml:space="preserve">nstitute </w:t>
      </w:r>
      <w:r w:rsidRPr="00D46E1D">
        <w:rPr>
          <w:rFonts w:ascii="Times New Roman" w:eastAsia="Times New Roman" w:hAnsi="Times New Roman" w:cs="Times New Roman"/>
          <w:sz w:val="24"/>
          <w:szCs w:val="24"/>
        </w:rPr>
        <w:t xml:space="preserve">will solicit </w:t>
      </w:r>
      <w:r w:rsidR="009764AB">
        <w:rPr>
          <w:rFonts w:ascii="Times New Roman" w:eastAsia="Times New Roman" w:hAnsi="Times New Roman" w:cs="Times New Roman"/>
          <w:sz w:val="24"/>
          <w:szCs w:val="24"/>
        </w:rPr>
        <w:t xml:space="preserve">approximately 20,000 </w:t>
      </w:r>
      <w:r w:rsidR="00083AFE">
        <w:rPr>
          <w:rFonts w:ascii="Times New Roman" w:eastAsia="Times New Roman" w:hAnsi="Times New Roman" w:cs="Times New Roman"/>
          <w:sz w:val="24"/>
          <w:szCs w:val="24"/>
        </w:rPr>
        <w:t xml:space="preserve">survey </w:t>
      </w:r>
      <w:r w:rsidR="00DB65F3" w:rsidRPr="00D46E1D">
        <w:rPr>
          <w:rFonts w:ascii="Times New Roman" w:eastAsia="Times New Roman" w:hAnsi="Times New Roman" w:cs="Times New Roman"/>
          <w:sz w:val="24"/>
          <w:szCs w:val="24"/>
        </w:rPr>
        <w:t>participa</w:t>
      </w:r>
      <w:r w:rsidR="00DB65F3">
        <w:rPr>
          <w:rFonts w:ascii="Times New Roman" w:eastAsia="Times New Roman" w:hAnsi="Times New Roman" w:cs="Times New Roman"/>
          <w:sz w:val="24"/>
          <w:szCs w:val="24"/>
        </w:rPr>
        <w:t>nts</w:t>
      </w:r>
      <w:r w:rsidR="00DB65F3" w:rsidRPr="00D46E1D">
        <w:rPr>
          <w:rFonts w:ascii="Times New Roman" w:eastAsia="Times New Roman" w:hAnsi="Times New Roman" w:cs="Times New Roman"/>
          <w:sz w:val="24"/>
          <w:szCs w:val="24"/>
        </w:rPr>
        <w:t xml:space="preserve"> </w:t>
      </w:r>
      <w:r w:rsidRPr="00D46E1D">
        <w:rPr>
          <w:rFonts w:ascii="Times New Roman" w:eastAsia="Times New Roman" w:hAnsi="Times New Roman" w:cs="Times New Roman"/>
          <w:sz w:val="24"/>
          <w:szCs w:val="24"/>
        </w:rPr>
        <w:t>from physician office laboratories, Department of Defense lab</w:t>
      </w:r>
      <w:r w:rsidR="00A35C0C">
        <w:rPr>
          <w:rFonts w:ascii="Times New Roman" w:eastAsia="Times New Roman" w:hAnsi="Times New Roman" w:cs="Times New Roman"/>
          <w:sz w:val="24"/>
          <w:szCs w:val="24"/>
        </w:rPr>
        <w:t>oratorie</w:t>
      </w:r>
      <w:r w:rsidRPr="00D46E1D">
        <w:rPr>
          <w:rFonts w:ascii="Times New Roman" w:eastAsia="Times New Roman" w:hAnsi="Times New Roman" w:cs="Times New Roman"/>
          <w:sz w:val="24"/>
          <w:szCs w:val="24"/>
        </w:rPr>
        <w:t>s, and hospitals that offer point</w:t>
      </w:r>
      <w:r w:rsidR="00A35C0C">
        <w:rPr>
          <w:rFonts w:ascii="Times New Roman" w:eastAsia="Times New Roman" w:hAnsi="Times New Roman" w:cs="Times New Roman"/>
          <w:sz w:val="24"/>
          <w:szCs w:val="24"/>
        </w:rPr>
        <w:t>-</w:t>
      </w:r>
      <w:r w:rsidRPr="00D46E1D">
        <w:rPr>
          <w:rFonts w:ascii="Times New Roman" w:eastAsia="Times New Roman" w:hAnsi="Times New Roman" w:cs="Times New Roman"/>
          <w:sz w:val="24"/>
          <w:szCs w:val="24"/>
        </w:rPr>
        <w:t>of</w:t>
      </w:r>
      <w:r w:rsidR="00A35C0C">
        <w:rPr>
          <w:rFonts w:ascii="Times New Roman" w:eastAsia="Times New Roman" w:hAnsi="Times New Roman" w:cs="Times New Roman"/>
          <w:sz w:val="24"/>
          <w:szCs w:val="24"/>
        </w:rPr>
        <w:t>-</w:t>
      </w:r>
      <w:r w:rsidRPr="00D46E1D">
        <w:rPr>
          <w:rFonts w:ascii="Times New Roman" w:eastAsia="Times New Roman" w:hAnsi="Times New Roman" w:cs="Times New Roman"/>
          <w:sz w:val="24"/>
          <w:szCs w:val="24"/>
        </w:rPr>
        <w:t xml:space="preserve">care glucose testing. Participants will be recruited by COLA, the Joint Commission and a Point-of-Care Coordinator network who have </w:t>
      </w:r>
      <w:r w:rsidR="006F4D5A">
        <w:rPr>
          <w:rFonts w:ascii="Times New Roman" w:eastAsia="Times New Roman" w:hAnsi="Times New Roman" w:cs="Times New Roman"/>
          <w:sz w:val="24"/>
          <w:szCs w:val="24"/>
        </w:rPr>
        <w:t xml:space="preserve">all </w:t>
      </w:r>
      <w:r w:rsidRPr="00D46E1D">
        <w:rPr>
          <w:rFonts w:ascii="Times New Roman" w:eastAsia="Times New Roman" w:hAnsi="Times New Roman" w:cs="Times New Roman"/>
          <w:sz w:val="24"/>
          <w:szCs w:val="24"/>
        </w:rPr>
        <w:t xml:space="preserve">agreed to distribute </w:t>
      </w:r>
      <w:r w:rsidR="006F4D5A">
        <w:rPr>
          <w:rFonts w:ascii="Times New Roman" w:eastAsia="Times New Roman" w:hAnsi="Times New Roman" w:cs="Times New Roman"/>
          <w:sz w:val="24"/>
          <w:szCs w:val="24"/>
        </w:rPr>
        <w:t xml:space="preserve">the </w:t>
      </w:r>
      <w:r w:rsidRPr="00D46E1D">
        <w:rPr>
          <w:rFonts w:ascii="Times New Roman" w:eastAsia="Times New Roman" w:hAnsi="Times New Roman" w:cs="Times New Roman"/>
          <w:sz w:val="24"/>
          <w:szCs w:val="24"/>
        </w:rPr>
        <w:t xml:space="preserve">link to the survey </w:t>
      </w:r>
      <w:r w:rsidR="004A2F10">
        <w:rPr>
          <w:rFonts w:ascii="Times New Roman" w:eastAsia="Times New Roman" w:hAnsi="Times New Roman" w:cs="Times New Roman"/>
          <w:sz w:val="24"/>
          <w:szCs w:val="24"/>
        </w:rPr>
        <w:t xml:space="preserve">(Appendix C &amp; Appendix D) </w:t>
      </w:r>
      <w:r w:rsidR="006F4D5A">
        <w:rPr>
          <w:rFonts w:ascii="Times New Roman" w:eastAsia="Times New Roman" w:hAnsi="Times New Roman" w:cs="Times New Roman"/>
          <w:sz w:val="24"/>
          <w:szCs w:val="24"/>
        </w:rPr>
        <w:t>in an email message</w:t>
      </w:r>
      <w:r w:rsidR="004A2F10">
        <w:rPr>
          <w:rFonts w:ascii="Times New Roman" w:eastAsia="Times New Roman" w:hAnsi="Times New Roman" w:cs="Times New Roman"/>
          <w:sz w:val="24"/>
          <w:szCs w:val="24"/>
        </w:rPr>
        <w:t xml:space="preserve"> (Appendix E &amp; Appendix F)</w:t>
      </w:r>
      <w:r w:rsidR="00E26A77">
        <w:rPr>
          <w:rFonts w:ascii="Times New Roman" w:eastAsia="Times New Roman" w:hAnsi="Times New Roman" w:cs="Times New Roman"/>
          <w:sz w:val="24"/>
          <w:szCs w:val="24"/>
        </w:rPr>
        <w:t>,</w:t>
      </w:r>
      <w:r w:rsidR="006F4D5A">
        <w:rPr>
          <w:rFonts w:ascii="Times New Roman" w:eastAsia="Times New Roman" w:hAnsi="Times New Roman" w:cs="Times New Roman"/>
          <w:sz w:val="24"/>
          <w:szCs w:val="24"/>
        </w:rPr>
        <w:t xml:space="preserve"> </w:t>
      </w:r>
      <w:r w:rsidRPr="00D46E1D">
        <w:rPr>
          <w:rFonts w:ascii="Times New Roman" w:eastAsia="Times New Roman" w:hAnsi="Times New Roman" w:cs="Times New Roman"/>
          <w:sz w:val="24"/>
          <w:szCs w:val="24"/>
        </w:rPr>
        <w:t xml:space="preserve">through their membership </w:t>
      </w:r>
      <w:r w:rsidR="00194D3E">
        <w:rPr>
          <w:rFonts w:ascii="Times New Roman" w:eastAsia="Times New Roman" w:hAnsi="Times New Roman" w:cs="Times New Roman"/>
          <w:sz w:val="24"/>
          <w:szCs w:val="24"/>
        </w:rPr>
        <w:t>listserv</w:t>
      </w:r>
      <w:r w:rsidRPr="00D46E1D">
        <w:rPr>
          <w:rFonts w:ascii="Times New Roman" w:eastAsia="Times New Roman" w:hAnsi="Times New Roman" w:cs="Times New Roman"/>
          <w:sz w:val="24"/>
          <w:szCs w:val="24"/>
        </w:rPr>
        <w:t xml:space="preserve">. In addition, participants will also be solicited </w:t>
      </w:r>
      <w:r w:rsidR="004066F4">
        <w:rPr>
          <w:rFonts w:ascii="Times New Roman" w:eastAsia="Times New Roman" w:hAnsi="Times New Roman" w:cs="Times New Roman"/>
          <w:sz w:val="24"/>
          <w:szCs w:val="24"/>
        </w:rPr>
        <w:t xml:space="preserve">by email or postcard </w:t>
      </w:r>
      <w:r w:rsidR="004A2F10">
        <w:rPr>
          <w:rFonts w:ascii="Times New Roman" w:eastAsia="Times New Roman" w:hAnsi="Times New Roman" w:cs="Times New Roman"/>
          <w:sz w:val="24"/>
          <w:szCs w:val="24"/>
        </w:rPr>
        <w:t xml:space="preserve">(Appendices G-L) </w:t>
      </w:r>
      <w:r w:rsidRPr="00D46E1D">
        <w:rPr>
          <w:rFonts w:ascii="Times New Roman" w:eastAsia="Times New Roman" w:hAnsi="Times New Roman" w:cs="Times New Roman"/>
          <w:sz w:val="24"/>
          <w:szCs w:val="24"/>
        </w:rPr>
        <w:t>through mailing lists purchased by CLSI from Clinscan and the American Hospital Association. Clinical sites offering point</w:t>
      </w:r>
      <w:r w:rsidR="004066F4">
        <w:rPr>
          <w:rFonts w:ascii="Times New Roman" w:eastAsia="Times New Roman" w:hAnsi="Times New Roman" w:cs="Times New Roman"/>
          <w:sz w:val="24"/>
          <w:szCs w:val="24"/>
        </w:rPr>
        <w:t>-</w:t>
      </w:r>
      <w:r w:rsidRPr="00D46E1D">
        <w:rPr>
          <w:rFonts w:ascii="Times New Roman" w:eastAsia="Times New Roman" w:hAnsi="Times New Roman" w:cs="Times New Roman"/>
          <w:sz w:val="24"/>
          <w:szCs w:val="24"/>
        </w:rPr>
        <w:t>of</w:t>
      </w:r>
      <w:r w:rsidR="004066F4">
        <w:rPr>
          <w:rFonts w:ascii="Times New Roman" w:eastAsia="Times New Roman" w:hAnsi="Times New Roman" w:cs="Times New Roman"/>
          <w:sz w:val="24"/>
          <w:szCs w:val="24"/>
        </w:rPr>
        <w:t>-</w:t>
      </w:r>
      <w:r w:rsidRPr="00D46E1D">
        <w:rPr>
          <w:rFonts w:ascii="Times New Roman" w:eastAsia="Times New Roman" w:hAnsi="Times New Roman" w:cs="Times New Roman"/>
          <w:sz w:val="24"/>
          <w:szCs w:val="24"/>
        </w:rPr>
        <w:t xml:space="preserve">care glucose testing in the Department of Defense medical system will also be asked </w:t>
      </w:r>
      <w:r w:rsidR="004066F4">
        <w:rPr>
          <w:rFonts w:ascii="Times New Roman" w:eastAsia="Times New Roman" w:hAnsi="Times New Roman" w:cs="Times New Roman"/>
          <w:sz w:val="24"/>
          <w:szCs w:val="24"/>
        </w:rPr>
        <w:t xml:space="preserve">via email </w:t>
      </w:r>
      <w:r w:rsidRPr="00D46E1D">
        <w:rPr>
          <w:rFonts w:ascii="Times New Roman" w:eastAsia="Times New Roman" w:hAnsi="Times New Roman" w:cs="Times New Roman"/>
          <w:sz w:val="24"/>
          <w:szCs w:val="24"/>
        </w:rPr>
        <w:t xml:space="preserve">to participate.  </w:t>
      </w:r>
      <w:r>
        <w:rPr>
          <w:rFonts w:ascii="Times New Roman" w:eastAsia="Times New Roman" w:hAnsi="Times New Roman" w:cs="Times New Roman"/>
          <w:sz w:val="24"/>
          <w:szCs w:val="24"/>
        </w:rPr>
        <w:t>None of these sources will require sampling.</w:t>
      </w:r>
    </w:p>
    <w:p w14:paraId="593E79D5" w14:textId="77777777" w:rsidR="00EE295B" w:rsidRDefault="00EE295B" w:rsidP="00AA65DC">
      <w:pPr>
        <w:spacing w:after="0" w:line="240" w:lineRule="auto"/>
        <w:outlineLvl w:val="0"/>
        <w:rPr>
          <w:rFonts w:ascii="Times New Roman" w:eastAsia="Times New Roman" w:hAnsi="Times New Roman" w:cs="Times New Roman"/>
          <w:sz w:val="24"/>
          <w:szCs w:val="24"/>
        </w:rPr>
      </w:pPr>
    </w:p>
    <w:p w14:paraId="4CD4CBE7" w14:textId="77777777" w:rsidR="00194D3E" w:rsidRDefault="009764AB" w:rsidP="00194D3E">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An a</w:t>
      </w:r>
      <w:r w:rsidRPr="00D46E1D">
        <w:rPr>
          <w:rFonts w:ascii="Times New Roman" w:eastAsia="Times New Roman" w:hAnsi="Times New Roman" w:cs="Times New Roman"/>
          <w:sz w:val="24"/>
          <w:szCs w:val="24"/>
        </w:rPr>
        <w:t xml:space="preserve">dditional </w:t>
      </w:r>
      <w:r>
        <w:rPr>
          <w:rFonts w:ascii="Times New Roman" w:eastAsia="Times New Roman" w:hAnsi="Times New Roman" w:cs="Times New Roman"/>
          <w:sz w:val="24"/>
          <w:szCs w:val="24"/>
        </w:rPr>
        <w:t xml:space="preserve">10,000 </w:t>
      </w:r>
      <w:r w:rsidR="00EE295B" w:rsidRPr="00D46E1D">
        <w:rPr>
          <w:rFonts w:ascii="Times New Roman" w:eastAsia="Times New Roman" w:hAnsi="Times New Roman" w:cs="Times New Roman"/>
          <w:sz w:val="24"/>
          <w:szCs w:val="24"/>
        </w:rPr>
        <w:t xml:space="preserve">laboratories, selected at random from a </w:t>
      </w:r>
      <w:r w:rsidR="00507346">
        <w:rPr>
          <w:rFonts w:ascii="Times New Roman" w:eastAsia="Times New Roman" w:hAnsi="Times New Roman" w:cs="Times New Roman"/>
          <w:sz w:val="24"/>
          <w:szCs w:val="24"/>
        </w:rPr>
        <w:t xml:space="preserve">subset of sites included in a </w:t>
      </w:r>
      <w:r w:rsidR="00EE295B" w:rsidRPr="00D46E1D">
        <w:rPr>
          <w:rFonts w:ascii="Times New Roman" w:eastAsia="Times New Roman" w:hAnsi="Times New Roman" w:cs="Times New Roman"/>
          <w:sz w:val="24"/>
          <w:szCs w:val="24"/>
        </w:rPr>
        <w:t xml:space="preserve">database of Clinical Laboratory Improvement Amendment (CLIA) </w:t>
      </w:r>
      <w:r w:rsidR="0090482E">
        <w:rPr>
          <w:rFonts w:ascii="Times New Roman" w:eastAsia="Times New Roman" w:hAnsi="Times New Roman" w:cs="Times New Roman"/>
          <w:sz w:val="24"/>
          <w:szCs w:val="24"/>
        </w:rPr>
        <w:t xml:space="preserve">certificate </w:t>
      </w:r>
      <w:r w:rsidR="00EE295B" w:rsidRPr="00D46E1D">
        <w:rPr>
          <w:rFonts w:ascii="Times New Roman" w:eastAsia="Times New Roman" w:hAnsi="Times New Roman" w:cs="Times New Roman"/>
          <w:sz w:val="24"/>
          <w:szCs w:val="24"/>
        </w:rPr>
        <w:t xml:space="preserve">holders, </w:t>
      </w:r>
      <w:r w:rsidR="001A350B">
        <w:rPr>
          <w:rFonts w:ascii="Times New Roman" w:eastAsia="Times New Roman" w:hAnsi="Times New Roman" w:cs="Times New Roman"/>
          <w:sz w:val="24"/>
          <w:szCs w:val="24"/>
        </w:rPr>
        <w:t xml:space="preserve">the Online Survey Certification and Reporting System (OSCAR), </w:t>
      </w:r>
      <w:r w:rsidR="00EE295B" w:rsidRPr="00D46E1D">
        <w:rPr>
          <w:rFonts w:ascii="Times New Roman" w:eastAsia="Times New Roman" w:hAnsi="Times New Roman" w:cs="Times New Roman"/>
          <w:sz w:val="24"/>
          <w:szCs w:val="24"/>
        </w:rPr>
        <w:t xml:space="preserve">will also be solicited. </w:t>
      </w:r>
      <w:r w:rsidR="00EE295B">
        <w:rPr>
          <w:rFonts w:ascii="Times New Roman" w:eastAsia="Times New Roman" w:hAnsi="Times New Roman" w:cs="Times New Roman"/>
          <w:sz w:val="24"/>
          <w:szCs w:val="24"/>
        </w:rPr>
        <w:t xml:space="preserve">The </w:t>
      </w:r>
      <w:r w:rsidR="00194D3E">
        <w:rPr>
          <w:rFonts w:ascii="Times New Roman" w:eastAsia="Times New Roman" w:hAnsi="Times New Roman" w:cs="Times New Roman"/>
          <w:sz w:val="24"/>
          <w:szCs w:val="24"/>
        </w:rPr>
        <w:t xml:space="preserve">OSCAR </w:t>
      </w:r>
      <w:r w:rsidR="00EE295B">
        <w:rPr>
          <w:rFonts w:ascii="Times New Roman" w:eastAsia="Times New Roman" w:hAnsi="Times New Roman" w:cs="Times New Roman"/>
          <w:sz w:val="24"/>
          <w:szCs w:val="24"/>
        </w:rPr>
        <w:t xml:space="preserve">database contains the names and </w:t>
      </w:r>
      <w:r w:rsidR="007B4096">
        <w:rPr>
          <w:rFonts w:ascii="Times New Roman" w:eastAsia="Times New Roman" w:hAnsi="Times New Roman" w:cs="Times New Roman"/>
          <w:sz w:val="24"/>
          <w:szCs w:val="24"/>
        </w:rPr>
        <w:t xml:space="preserve">mailing </w:t>
      </w:r>
      <w:r w:rsidR="00EE295B">
        <w:rPr>
          <w:rFonts w:ascii="Times New Roman" w:eastAsia="Times New Roman" w:hAnsi="Times New Roman" w:cs="Times New Roman"/>
          <w:sz w:val="24"/>
          <w:szCs w:val="24"/>
        </w:rPr>
        <w:t xml:space="preserve">addresses of over 200,000 </w:t>
      </w:r>
      <w:r w:rsidR="006B2627">
        <w:rPr>
          <w:rFonts w:ascii="Times New Roman" w:eastAsia="Times New Roman" w:hAnsi="Times New Roman" w:cs="Times New Roman"/>
          <w:sz w:val="24"/>
          <w:szCs w:val="24"/>
        </w:rPr>
        <w:t>HCs</w:t>
      </w:r>
      <w:r w:rsidR="00507346">
        <w:rPr>
          <w:rFonts w:ascii="Times New Roman" w:eastAsia="Times New Roman" w:hAnsi="Times New Roman" w:cs="Times New Roman"/>
          <w:sz w:val="24"/>
          <w:szCs w:val="24"/>
        </w:rPr>
        <w:t xml:space="preserve">, </w:t>
      </w:r>
      <w:r w:rsidR="006B2627">
        <w:rPr>
          <w:rFonts w:ascii="Times New Roman" w:eastAsia="Times New Roman" w:hAnsi="Times New Roman" w:cs="Times New Roman"/>
          <w:sz w:val="24"/>
          <w:szCs w:val="24"/>
        </w:rPr>
        <w:t>POLs</w:t>
      </w:r>
      <w:r w:rsidR="00507346">
        <w:rPr>
          <w:rFonts w:ascii="Times New Roman" w:eastAsia="Times New Roman" w:hAnsi="Times New Roman" w:cs="Times New Roman"/>
          <w:sz w:val="24"/>
          <w:szCs w:val="24"/>
        </w:rPr>
        <w:t>, and other types of testing sites</w:t>
      </w:r>
      <w:r w:rsidR="00EE295B">
        <w:rPr>
          <w:rFonts w:ascii="Times New Roman" w:eastAsia="Times New Roman" w:hAnsi="Times New Roman" w:cs="Times New Roman"/>
          <w:sz w:val="24"/>
          <w:szCs w:val="24"/>
        </w:rPr>
        <w:t xml:space="preserve">. The database also contains information about the type of CLIA </w:t>
      </w:r>
      <w:r w:rsidR="0090482E">
        <w:rPr>
          <w:rFonts w:ascii="Times New Roman" w:eastAsia="Times New Roman" w:hAnsi="Times New Roman" w:cs="Times New Roman"/>
          <w:sz w:val="24"/>
          <w:szCs w:val="24"/>
        </w:rPr>
        <w:t xml:space="preserve">certificate </w:t>
      </w:r>
      <w:r w:rsidR="00EE295B">
        <w:rPr>
          <w:rFonts w:ascii="Times New Roman" w:eastAsia="Times New Roman" w:hAnsi="Times New Roman" w:cs="Times New Roman"/>
          <w:sz w:val="24"/>
          <w:szCs w:val="24"/>
        </w:rPr>
        <w:t>that each laboratory holds (</w:t>
      </w:r>
      <w:r w:rsidR="0090482E">
        <w:rPr>
          <w:rFonts w:ascii="Times New Roman" w:eastAsia="Times New Roman" w:hAnsi="Times New Roman" w:cs="Times New Roman"/>
          <w:sz w:val="24"/>
          <w:szCs w:val="24"/>
        </w:rPr>
        <w:t xml:space="preserve">certificate of waiver, </w:t>
      </w:r>
      <w:r w:rsidR="007B3D92">
        <w:rPr>
          <w:rFonts w:ascii="Times New Roman" w:eastAsia="Times New Roman" w:hAnsi="Times New Roman" w:cs="Times New Roman"/>
          <w:sz w:val="24"/>
          <w:szCs w:val="24"/>
        </w:rPr>
        <w:t>certificate of compliance, or certificate of accreditation</w:t>
      </w:r>
      <w:r w:rsidR="00EE295B">
        <w:rPr>
          <w:rFonts w:ascii="Times New Roman" w:eastAsia="Times New Roman" w:hAnsi="Times New Roman" w:cs="Times New Roman"/>
          <w:sz w:val="24"/>
          <w:szCs w:val="24"/>
        </w:rPr>
        <w:t xml:space="preserve">), and the </w:t>
      </w:r>
      <w:r w:rsidR="0090482E">
        <w:rPr>
          <w:rFonts w:ascii="Times New Roman" w:eastAsia="Times New Roman" w:hAnsi="Times New Roman" w:cs="Times New Roman"/>
          <w:sz w:val="24"/>
          <w:szCs w:val="24"/>
        </w:rPr>
        <w:t xml:space="preserve">accrediting </w:t>
      </w:r>
      <w:r w:rsidR="00EE295B">
        <w:rPr>
          <w:rFonts w:ascii="Times New Roman" w:eastAsia="Times New Roman" w:hAnsi="Times New Roman" w:cs="Times New Roman"/>
          <w:sz w:val="24"/>
          <w:szCs w:val="24"/>
        </w:rPr>
        <w:t>organization, such as COLA</w:t>
      </w:r>
      <w:r w:rsidR="0090482E">
        <w:rPr>
          <w:rFonts w:ascii="Times New Roman" w:eastAsia="Times New Roman" w:hAnsi="Times New Roman" w:cs="Times New Roman"/>
          <w:sz w:val="24"/>
          <w:szCs w:val="24"/>
        </w:rPr>
        <w:t xml:space="preserve"> or the Joint Commission</w:t>
      </w:r>
      <w:r w:rsidR="007B3D92">
        <w:rPr>
          <w:rFonts w:ascii="Times New Roman" w:eastAsia="Times New Roman" w:hAnsi="Times New Roman" w:cs="Times New Roman"/>
          <w:sz w:val="24"/>
          <w:szCs w:val="24"/>
        </w:rPr>
        <w:t>, for those laboratories with a certificate of accreditation</w:t>
      </w:r>
      <w:r w:rsidR="00EE295B">
        <w:rPr>
          <w:rFonts w:ascii="Times New Roman" w:eastAsia="Times New Roman" w:hAnsi="Times New Roman" w:cs="Times New Roman"/>
          <w:sz w:val="24"/>
          <w:szCs w:val="24"/>
        </w:rPr>
        <w:t xml:space="preserve">. </w:t>
      </w:r>
    </w:p>
    <w:p w14:paraId="1A9F297F" w14:textId="77777777" w:rsidR="00194D3E" w:rsidRDefault="00194D3E" w:rsidP="00194D3E">
      <w:pPr>
        <w:spacing w:after="0" w:line="240" w:lineRule="auto"/>
        <w:outlineLvl w:val="0"/>
        <w:rPr>
          <w:rFonts w:ascii="Times New Roman" w:eastAsia="Times New Roman" w:hAnsi="Times New Roman" w:cs="Times New Roman"/>
          <w:sz w:val="24"/>
          <w:szCs w:val="24"/>
        </w:rPr>
      </w:pPr>
    </w:p>
    <w:p w14:paraId="6707B909" w14:textId="77777777" w:rsidR="009764AB" w:rsidRDefault="009764AB" w:rsidP="00194D3E">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Laboratories accredited by COLA and the Joint Commission will be excluded prior to sample selection from those selected from the </w:t>
      </w:r>
      <w:r w:rsidR="001A350B">
        <w:rPr>
          <w:rFonts w:ascii="Times New Roman" w:eastAsia="Times New Roman" w:hAnsi="Times New Roman" w:cs="Times New Roman"/>
          <w:sz w:val="24"/>
          <w:szCs w:val="24"/>
        </w:rPr>
        <w:t>OSCAR</w:t>
      </w:r>
      <w:r w:rsidR="00EA4D17">
        <w:rPr>
          <w:rFonts w:ascii="Times New Roman" w:eastAsia="Times New Roman" w:hAnsi="Times New Roman" w:cs="Times New Roman"/>
          <w:sz w:val="24"/>
          <w:szCs w:val="24"/>
        </w:rPr>
        <w:t xml:space="preserve"> database </w:t>
      </w:r>
      <w:r>
        <w:rPr>
          <w:rFonts w:ascii="Times New Roman" w:eastAsia="Times New Roman" w:hAnsi="Times New Roman" w:cs="Times New Roman"/>
          <w:sz w:val="24"/>
          <w:szCs w:val="24"/>
        </w:rPr>
        <w:t xml:space="preserve">to avoid duplication.  Department of Defense laboratories are not included in OSCAR. </w:t>
      </w:r>
      <w:r w:rsidR="000A437E">
        <w:rPr>
          <w:rFonts w:ascii="Times New Roman" w:eastAsia="Times New Roman" w:hAnsi="Times New Roman" w:cs="Times New Roman"/>
          <w:sz w:val="24"/>
          <w:szCs w:val="24"/>
        </w:rPr>
        <w:t xml:space="preserve">The de-duplicated </w:t>
      </w:r>
      <w:r w:rsidR="00D74D8B">
        <w:rPr>
          <w:rFonts w:ascii="Times New Roman" w:eastAsia="Times New Roman" w:hAnsi="Times New Roman" w:cs="Times New Roman"/>
          <w:sz w:val="24"/>
          <w:szCs w:val="24"/>
        </w:rPr>
        <w:t>OSCAR</w:t>
      </w:r>
      <w:r w:rsidR="000A437E">
        <w:rPr>
          <w:rFonts w:ascii="Times New Roman" w:eastAsia="Times New Roman" w:hAnsi="Times New Roman" w:cs="Times New Roman"/>
          <w:sz w:val="24"/>
          <w:szCs w:val="24"/>
        </w:rPr>
        <w:t xml:space="preserve"> database will </w:t>
      </w:r>
      <w:r w:rsidR="00C023ED">
        <w:rPr>
          <w:rFonts w:ascii="Times New Roman" w:eastAsia="Times New Roman" w:hAnsi="Times New Roman" w:cs="Times New Roman"/>
          <w:sz w:val="24"/>
          <w:szCs w:val="24"/>
        </w:rPr>
        <w:t xml:space="preserve">then </w:t>
      </w:r>
      <w:r w:rsidR="000A437E">
        <w:rPr>
          <w:rFonts w:ascii="Times New Roman" w:eastAsia="Times New Roman" w:hAnsi="Times New Roman" w:cs="Times New Roman"/>
          <w:sz w:val="24"/>
          <w:szCs w:val="24"/>
        </w:rPr>
        <w:t xml:space="preserve">be </w:t>
      </w:r>
      <w:r w:rsidR="007A110F">
        <w:rPr>
          <w:rFonts w:ascii="Times New Roman" w:eastAsia="Times New Roman" w:hAnsi="Times New Roman" w:cs="Times New Roman"/>
          <w:sz w:val="24"/>
          <w:szCs w:val="24"/>
        </w:rPr>
        <w:t xml:space="preserve">stratified by </w:t>
      </w:r>
      <w:r w:rsidR="007B3D92">
        <w:rPr>
          <w:rFonts w:ascii="Times New Roman" w:eastAsia="Times New Roman" w:hAnsi="Times New Roman" w:cs="Times New Roman"/>
          <w:sz w:val="24"/>
          <w:szCs w:val="24"/>
        </w:rPr>
        <w:t>certificate type</w:t>
      </w:r>
      <w:r w:rsidR="00507346">
        <w:rPr>
          <w:rFonts w:ascii="Times New Roman" w:eastAsia="Times New Roman" w:hAnsi="Times New Roman" w:cs="Times New Roman"/>
          <w:sz w:val="24"/>
          <w:szCs w:val="24"/>
        </w:rPr>
        <w:t>, laboratory type</w:t>
      </w:r>
      <w:r w:rsidR="00D86EE4">
        <w:rPr>
          <w:rFonts w:ascii="Times New Roman" w:eastAsia="Times New Roman" w:hAnsi="Times New Roman" w:cs="Times New Roman"/>
          <w:sz w:val="24"/>
          <w:szCs w:val="24"/>
        </w:rPr>
        <w:t xml:space="preserve"> (eg. hospital laboratory or </w:t>
      </w:r>
      <w:r w:rsidR="00694772">
        <w:rPr>
          <w:rFonts w:ascii="Times New Roman" w:eastAsia="Times New Roman" w:hAnsi="Times New Roman" w:cs="Times New Roman"/>
          <w:sz w:val="24"/>
          <w:szCs w:val="24"/>
        </w:rPr>
        <w:t>POL</w:t>
      </w:r>
      <w:r w:rsidR="00D86EE4">
        <w:rPr>
          <w:rFonts w:ascii="Times New Roman" w:eastAsia="Times New Roman" w:hAnsi="Times New Roman" w:cs="Times New Roman"/>
          <w:sz w:val="24"/>
          <w:szCs w:val="24"/>
        </w:rPr>
        <w:t>)</w:t>
      </w:r>
      <w:r w:rsidR="00507346">
        <w:rPr>
          <w:rFonts w:ascii="Times New Roman" w:eastAsia="Times New Roman" w:hAnsi="Times New Roman" w:cs="Times New Roman"/>
          <w:sz w:val="24"/>
          <w:szCs w:val="24"/>
        </w:rPr>
        <w:t>,</w:t>
      </w:r>
      <w:r w:rsidR="007A110F">
        <w:rPr>
          <w:rFonts w:ascii="Times New Roman" w:eastAsia="Times New Roman" w:hAnsi="Times New Roman" w:cs="Times New Roman"/>
          <w:sz w:val="24"/>
          <w:szCs w:val="24"/>
        </w:rPr>
        <w:t xml:space="preserve"> and </w:t>
      </w:r>
      <w:r w:rsidR="002764C7">
        <w:rPr>
          <w:rFonts w:ascii="Times New Roman" w:eastAsia="Times New Roman" w:hAnsi="Times New Roman" w:cs="Times New Roman"/>
          <w:sz w:val="24"/>
          <w:szCs w:val="24"/>
        </w:rPr>
        <w:t>c</w:t>
      </w:r>
      <w:r w:rsidR="007A110F">
        <w:rPr>
          <w:rFonts w:ascii="Times New Roman" w:eastAsia="Times New Roman" w:hAnsi="Times New Roman" w:cs="Times New Roman"/>
          <w:sz w:val="24"/>
          <w:szCs w:val="24"/>
        </w:rPr>
        <w:t xml:space="preserve">ensus </w:t>
      </w:r>
      <w:r w:rsidR="002764C7">
        <w:rPr>
          <w:rFonts w:ascii="Times New Roman" w:eastAsia="Times New Roman" w:hAnsi="Times New Roman" w:cs="Times New Roman"/>
          <w:sz w:val="24"/>
          <w:szCs w:val="24"/>
        </w:rPr>
        <w:t>r</w:t>
      </w:r>
      <w:r w:rsidR="007A110F">
        <w:rPr>
          <w:rFonts w:ascii="Times New Roman" w:eastAsia="Times New Roman" w:hAnsi="Times New Roman" w:cs="Times New Roman"/>
          <w:sz w:val="24"/>
          <w:szCs w:val="24"/>
        </w:rPr>
        <w:t>egion (North</w:t>
      </w:r>
      <w:r w:rsidR="002764C7">
        <w:rPr>
          <w:rFonts w:ascii="Times New Roman" w:eastAsia="Times New Roman" w:hAnsi="Times New Roman" w:cs="Times New Roman"/>
          <w:sz w:val="24"/>
          <w:szCs w:val="24"/>
        </w:rPr>
        <w:t>e</w:t>
      </w:r>
      <w:r w:rsidR="007A110F">
        <w:rPr>
          <w:rFonts w:ascii="Times New Roman" w:eastAsia="Times New Roman" w:hAnsi="Times New Roman" w:cs="Times New Roman"/>
          <w:sz w:val="24"/>
          <w:szCs w:val="24"/>
        </w:rPr>
        <w:t>ast, Mid</w:t>
      </w:r>
      <w:r w:rsidR="002764C7">
        <w:rPr>
          <w:rFonts w:ascii="Times New Roman" w:eastAsia="Times New Roman" w:hAnsi="Times New Roman" w:cs="Times New Roman"/>
          <w:sz w:val="24"/>
          <w:szCs w:val="24"/>
        </w:rPr>
        <w:t>w</w:t>
      </w:r>
      <w:r w:rsidR="007A110F">
        <w:rPr>
          <w:rFonts w:ascii="Times New Roman" w:eastAsia="Times New Roman" w:hAnsi="Times New Roman" w:cs="Times New Roman"/>
          <w:sz w:val="24"/>
          <w:szCs w:val="24"/>
        </w:rPr>
        <w:t>est, South, and West)</w:t>
      </w:r>
      <w:r w:rsidR="003D0896">
        <w:rPr>
          <w:rFonts w:ascii="Times New Roman" w:eastAsia="Times New Roman" w:hAnsi="Times New Roman" w:cs="Times New Roman"/>
          <w:sz w:val="24"/>
          <w:szCs w:val="24"/>
        </w:rPr>
        <w:t>.</w:t>
      </w:r>
      <w:r w:rsidR="000911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names and addresses of </w:t>
      </w:r>
      <w:r w:rsidR="00694772">
        <w:rPr>
          <w:rFonts w:ascii="Times New Roman" w:eastAsia="Times New Roman" w:hAnsi="Times New Roman" w:cs="Times New Roman"/>
          <w:sz w:val="24"/>
          <w:szCs w:val="24"/>
        </w:rPr>
        <w:t>POLs</w:t>
      </w:r>
      <w:r>
        <w:rPr>
          <w:rFonts w:ascii="Times New Roman" w:eastAsia="Times New Roman" w:hAnsi="Times New Roman" w:cs="Times New Roman"/>
          <w:sz w:val="24"/>
          <w:szCs w:val="24"/>
        </w:rPr>
        <w:t xml:space="preserve"> with a CLIA Certificate of Waiver and </w:t>
      </w:r>
      <w:r w:rsidR="00694772">
        <w:rPr>
          <w:rFonts w:ascii="Times New Roman" w:eastAsia="Times New Roman" w:hAnsi="Times New Roman" w:cs="Times New Roman"/>
          <w:sz w:val="24"/>
          <w:szCs w:val="24"/>
        </w:rPr>
        <w:t xml:space="preserve">hospital and </w:t>
      </w:r>
      <w:r>
        <w:rPr>
          <w:rFonts w:ascii="Times New Roman" w:eastAsia="Times New Roman" w:hAnsi="Times New Roman" w:cs="Times New Roman"/>
          <w:sz w:val="24"/>
          <w:szCs w:val="24"/>
        </w:rPr>
        <w:t xml:space="preserve">clinic laboratories with a CLIA Certificate of Compliance will be proportionally allocated to </w:t>
      </w:r>
      <w:r w:rsidR="00B55AA6">
        <w:rPr>
          <w:rFonts w:ascii="Times New Roman" w:eastAsia="Times New Roman" w:hAnsi="Times New Roman" w:cs="Times New Roman"/>
          <w:sz w:val="24"/>
          <w:szCs w:val="24"/>
        </w:rPr>
        <w:t>two strat</w:t>
      </w:r>
      <w:r w:rsidR="00627C87">
        <w:rPr>
          <w:rFonts w:ascii="Times New Roman" w:eastAsia="Times New Roman" w:hAnsi="Times New Roman" w:cs="Times New Roman"/>
          <w:sz w:val="24"/>
          <w:szCs w:val="24"/>
        </w:rPr>
        <w:t>a</w:t>
      </w:r>
      <w:r w:rsidR="00732B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desired number of laboratories </w:t>
      </w:r>
      <w:r w:rsidR="00B55AA6">
        <w:rPr>
          <w:rFonts w:ascii="Times New Roman" w:eastAsia="Times New Roman" w:hAnsi="Times New Roman" w:cs="Times New Roman"/>
          <w:sz w:val="24"/>
          <w:szCs w:val="24"/>
        </w:rPr>
        <w:t xml:space="preserve">(8,000 </w:t>
      </w:r>
      <w:r w:rsidR="00694772">
        <w:rPr>
          <w:rFonts w:ascii="Times New Roman" w:eastAsia="Times New Roman" w:hAnsi="Times New Roman" w:cs="Times New Roman"/>
          <w:sz w:val="24"/>
          <w:szCs w:val="24"/>
        </w:rPr>
        <w:t>POLs</w:t>
      </w:r>
      <w:r w:rsidR="00B55AA6">
        <w:rPr>
          <w:rFonts w:ascii="Times New Roman" w:eastAsia="Times New Roman" w:hAnsi="Times New Roman" w:cs="Times New Roman"/>
          <w:sz w:val="24"/>
          <w:szCs w:val="24"/>
        </w:rPr>
        <w:t xml:space="preserve"> </w:t>
      </w:r>
      <w:r w:rsidR="00732B8D">
        <w:rPr>
          <w:rFonts w:ascii="Times New Roman" w:eastAsia="Times New Roman" w:hAnsi="Times New Roman" w:cs="Times New Roman"/>
          <w:sz w:val="24"/>
          <w:szCs w:val="24"/>
        </w:rPr>
        <w:t xml:space="preserve">with a Certificate of Waiver </w:t>
      </w:r>
      <w:r w:rsidR="00B55AA6">
        <w:rPr>
          <w:rFonts w:ascii="Times New Roman" w:eastAsia="Times New Roman" w:hAnsi="Times New Roman" w:cs="Times New Roman"/>
          <w:sz w:val="24"/>
          <w:szCs w:val="24"/>
        </w:rPr>
        <w:t xml:space="preserve">and 2,000 clinical laboratories with a Certificate of Compliance) </w:t>
      </w:r>
      <w:r>
        <w:rPr>
          <w:rFonts w:ascii="Times New Roman" w:eastAsia="Times New Roman" w:hAnsi="Times New Roman" w:cs="Times New Roman"/>
          <w:sz w:val="24"/>
          <w:szCs w:val="24"/>
        </w:rPr>
        <w:t>will be selected at random from each stratum.</w:t>
      </w:r>
    </w:p>
    <w:p w14:paraId="2E528E8C" w14:textId="77777777" w:rsidR="009764AB" w:rsidRDefault="009764AB" w:rsidP="00194D3E">
      <w:pPr>
        <w:spacing w:after="0" w:line="240" w:lineRule="auto"/>
        <w:outlineLvl w:val="0"/>
        <w:rPr>
          <w:rFonts w:ascii="Times New Roman" w:eastAsia="Times New Roman" w:hAnsi="Times New Roman" w:cs="Times New Roman"/>
          <w:sz w:val="24"/>
          <w:szCs w:val="24"/>
        </w:rPr>
      </w:pPr>
    </w:p>
    <w:p w14:paraId="30336980" w14:textId="77777777" w:rsidR="00267E8E" w:rsidRDefault="001046D2" w:rsidP="00194D3E">
      <w:pPr>
        <w:spacing w:after="0" w:line="240" w:lineRule="auto"/>
        <w:outlineLvl w:val="0"/>
        <w:rPr>
          <w:rFonts w:ascii="Times New Roman" w:eastAsia="Times New Roman" w:hAnsi="Times New Roman" w:cs="Times New Roman"/>
          <w:sz w:val="24"/>
          <w:szCs w:val="24"/>
        </w:rPr>
      </w:pPr>
      <w:r w:rsidRPr="001046D2">
        <w:rPr>
          <w:rFonts w:ascii="Times New Roman" w:eastAsia="Times New Roman" w:hAnsi="Times New Roman" w:cs="Times New Roman"/>
          <w:sz w:val="24"/>
          <w:szCs w:val="24"/>
        </w:rPr>
        <w:t xml:space="preserve">Overall, the study sample </w:t>
      </w:r>
      <w:r w:rsidR="00AD59B8">
        <w:rPr>
          <w:rFonts w:ascii="Times New Roman" w:eastAsia="Times New Roman" w:hAnsi="Times New Roman" w:cs="Times New Roman"/>
          <w:sz w:val="24"/>
          <w:szCs w:val="24"/>
        </w:rPr>
        <w:t xml:space="preserve">will </w:t>
      </w:r>
      <w:r w:rsidRPr="001046D2">
        <w:rPr>
          <w:rFonts w:ascii="Times New Roman" w:eastAsia="Times New Roman" w:hAnsi="Times New Roman" w:cs="Times New Roman"/>
          <w:sz w:val="24"/>
          <w:szCs w:val="24"/>
        </w:rPr>
        <w:t xml:space="preserve">consist of about 15,000 </w:t>
      </w:r>
      <w:r w:rsidR="008440B8">
        <w:rPr>
          <w:rFonts w:ascii="Times New Roman" w:eastAsia="Times New Roman" w:hAnsi="Times New Roman" w:cs="Times New Roman"/>
          <w:sz w:val="24"/>
          <w:szCs w:val="24"/>
        </w:rPr>
        <w:t>POLs</w:t>
      </w:r>
      <w:r w:rsidR="00767C6B">
        <w:rPr>
          <w:rFonts w:ascii="Times New Roman" w:eastAsia="Times New Roman" w:hAnsi="Times New Roman" w:cs="Times New Roman"/>
          <w:sz w:val="24"/>
          <w:szCs w:val="24"/>
        </w:rPr>
        <w:t xml:space="preserve"> </w:t>
      </w:r>
      <w:r w:rsidR="00694772">
        <w:rPr>
          <w:rFonts w:ascii="Times New Roman" w:eastAsia="Times New Roman" w:hAnsi="Times New Roman" w:cs="Times New Roman"/>
          <w:sz w:val="24"/>
          <w:szCs w:val="24"/>
        </w:rPr>
        <w:t xml:space="preserve">(expected </w:t>
      </w:r>
      <w:r w:rsidR="00694772" w:rsidRPr="00694772">
        <w:rPr>
          <w:rFonts w:ascii="Times New Roman" w:eastAsia="Times New Roman" w:hAnsi="Times New Roman" w:cs="Times New Roman"/>
          <w:i/>
          <w:sz w:val="24"/>
          <w:szCs w:val="24"/>
        </w:rPr>
        <w:t>POCT13</w:t>
      </w:r>
      <w:r w:rsidR="00694772">
        <w:rPr>
          <w:rFonts w:ascii="Times New Roman" w:eastAsia="Times New Roman" w:hAnsi="Times New Roman" w:cs="Times New Roman"/>
          <w:sz w:val="24"/>
          <w:szCs w:val="24"/>
        </w:rPr>
        <w:t xml:space="preserve"> users) </w:t>
      </w:r>
      <w:r w:rsidRPr="001046D2">
        <w:rPr>
          <w:rFonts w:ascii="Times New Roman" w:eastAsia="Times New Roman" w:hAnsi="Times New Roman" w:cs="Times New Roman"/>
          <w:sz w:val="24"/>
          <w:szCs w:val="24"/>
        </w:rPr>
        <w:t xml:space="preserve">and about 15,000 </w:t>
      </w:r>
      <w:r w:rsidR="008440B8">
        <w:rPr>
          <w:rFonts w:ascii="Times New Roman" w:eastAsia="Times New Roman" w:hAnsi="Times New Roman" w:cs="Times New Roman"/>
          <w:sz w:val="24"/>
          <w:szCs w:val="24"/>
        </w:rPr>
        <w:t>HCs</w:t>
      </w:r>
      <w:r w:rsidR="00D86EE4">
        <w:rPr>
          <w:rFonts w:ascii="Times New Roman" w:eastAsia="Times New Roman" w:hAnsi="Times New Roman" w:cs="Times New Roman"/>
          <w:sz w:val="24"/>
          <w:szCs w:val="24"/>
        </w:rPr>
        <w:t xml:space="preserve"> (</w:t>
      </w:r>
      <w:r w:rsidR="00694772">
        <w:rPr>
          <w:rFonts w:ascii="Times New Roman" w:eastAsia="Times New Roman" w:hAnsi="Times New Roman" w:cs="Times New Roman"/>
          <w:sz w:val="24"/>
          <w:szCs w:val="24"/>
        </w:rPr>
        <w:t>expected P</w:t>
      </w:r>
      <w:r w:rsidR="00694772" w:rsidRPr="00694772">
        <w:rPr>
          <w:rFonts w:ascii="Times New Roman" w:eastAsia="Times New Roman" w:hAnsi="Times New Roman" w:cs="Times New Roman"/>
          <w:i/>
          <w:sz w:val="24"/>
          <w:szCs w:val="24"/>
        </w:rPr>
        <w:t>OCT12</w:t>
      </w:r>
      <w:r w:rsidR="00694772">
        <w:rPr>
          <w:rFonts w:ascii="Times New Roman" w:eastAsia="Times New Roman" w:hAnsi="Times New Roman" w:cs="Times New Roman"/>
          <w:sz w:val="24"/>
          <w:szCs w:val="24"/>
        </w:rPr>
        <w:t xml:space="preserve"> users</w:t>
      </w:r>
      <w:r w:rsidR="00D86EE4">
        <w:rPr>
          <w:rFonts w:ascii="Times New Roman" w:eastAsia="Times New Roman" w:hAnsi="Times New Roman" w:cs="Times New Roman"/>
          <w:sz w:val="24"/>
          <w:szCs w:val="24"/>
        </w:rPr>
        <w:t>)</w:t>
      </w:r>
      <w:r w:rsidRPr="001046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764AB">
        <w:rPr>
          <w:rFonts w:ascii="Times New Roman" w:eastAsia="Times New Roman" w:hAnsi="Times New Roman" w:cs="Times New Roman"/>
          <w:sz w:val="24"/>
          <w:szCs w:val="24"/>
        </w:rPr>
        <w:t>This study will target</w:t>
      </w:r>
      <w:r w:rsidR="00DB5DE4" w:rsidRPr="00DB5DE4">
        <w:rPr>
          <w:rFonts w:ascii="Times New Roman" w:eastAsia="Times New Roman" w:hAnsi="Times New Roman" w:cs="Times New Roman"/>
          <w:sz w:val="24"/>
          <w:szCs w:val="24"/>
        </w:rPr>
        <w:t xml:space="preserve"> </w:t>
      </w:r>
      <w:r w:rsidR="00DB65F3">
        <w:rPr>
          <w:rFonts w:ascii="Times New Roman" w:eastAsia="Times New Roman" w:hAnsi="Times New Roman" w:cs="Times New Roman"/>
          <w:sz w:val="24"/>
          <w:szCs w:val="24"/>
        </w:rPr>
        <w:t xml:space="preserve">a total of </w:t>
      </w:r>
      <w:r w:rsidR="009764AB">
        <w:rPr>
          <w:rFonts w:ascii="Times New Roman" w:eastAsia="Times New Roman" w:hAnsi="Times New Roman" w:cs="Times New Roman"/>
          <w:sz w:val="24"/>
          <w:szCs w:val="24"/>
        </w:rPr>
        <w:t xml:space="preserve">approximately </w:t>
      </w:r>
      <w:r w:rsidR="00DB5DE4" w:rsidRPr="00DB5DE4">
        <w:rPr>
          <w:rFonts w:ascii="Times New Roman" w:eastAsia="Times New Roman" w:hAnsi="Times New Roman" w:cs="Times New Roman"/>
          <w:sz w:val="24"/>
          <w:szCs w:val="24"/>
        </w:rPr>
        <w:t xml:space="preserve">30,000 laboratories </w:t>
      </w:r>
      <w:r w:rsidR="009764AB">
        <w:rPr>
          <w:rFonts w:ascii="Times New Roman" w:eastAsia="Times New Roman" w:hAnsi="Times New Roman" w:cs="Times New Roman"/>
          <w:sz w:val="24"/>
          <w:szCs w:val="24"/>
        </w:rPr>
        <w:t xml:space="preserve">in order </w:t>
      </w:r>
      <w:r w:rsidR="00DB5DE4" w:rsidRPr="00DB5DE4">
        <w:rPr>
          <w:rFonts w:ascii="Times New Roman" w:eastAsia="Times New Roman" w:hAnsi="Times New Roman" w:cs="Times New Roman"/>
          <w:sz w:val="24"/>
          <w:szCs w:val="24"/>
        </w:rPr>
        <w:t xml:space="preserve">to obtain a sufficient number of completed </w:t>
      </w:r>
      <w:r w:rsidR="00053A5F">
        <w:rPr>
          <w:rFonts w:ascii="Times New Roman" w:eastAsia="Times New Roman" w:hAnsi="Times New Roman" w:cs="Times New Roman"/>
          <w:sz w:val="24"/>
          <w:szCs w:val="24"/>
        </w:rPr>
        <w:t>surveys</w:t>
      </w:r>
      <w:r w:rsidR="00DB5DE4" w:rsidRPr="00DB5DE4">
        <w:rPr>
          <w:rFonts w:ascii="Times New Roman" w:eastAsia="Times New Roman" w:hAnsi="Times New Roman" w:cs="Times New Roman"/>
          <w:sz w:val="24"/>
          <w:szCs w:val="24"/>
        </w:rPr>
        <w:t xml:space="preserve"> for </w:t>
      </w:r>
      <w:r w:rsidR="00D46E1D">
        <w:rPr>
          <w:rFonts w:ascii="Times New Roman" w:eastAsia="Times New Roman" w:hAnsi="Times New Roman" w:cs="Times New Roman"/>
          <w:sz w:val="24"/>
          <w:szCs w:val="24"/>
        </w:rPr>
        <w:t xml:space="preserve">efficient estimates </w:t>
      </w:r>
      <w:r w:rsidR="00DB5DE4" w:rsidRPr="00DB5DE4">
        <w:rPr>
          <w:rFonts w:ascii="Times New Roman" w:eastAsia="Times New Roman" w:hAnsi="Times New Roman" w:cs="Times New Roman"/>
          <w:sz w:val="24"/>
          <w:szCs w:val="24"/>
        </w:rPr>
        <w:t xml:space="preserve">and </w:t>
      </w:r>
      <w:r w:rsidR="00D46E1D">
        <w:rPr>
          <w:rFonts w:ascii="Times New Roman" w:eastAsia="Times New Roman" w:hAnsi="Times New Roman" w:cs="Times New Roman"/>
          <w:sz w:val="24"/>
          <w:szCs w:val="24"/>
        </w:rPr>
        <w:t xml:space="preserve">for </w:t>
      </w:r>
      <w:r w:rsidR="00DB5DE4" w:rsidRPr="00DB5DE4">
        <w:rPr>
          <w:rFonts w:ascii="Times New Roman" w:eastAsia="Times New Roman" w:hAnsi="Times New Roman" w:cs="Times New Roman"/>
          <w:sz w:val="24"/>
          <w:szCs w:val="24"/>
        </w:rPr>
        <w:t xml:space="preserve">the purpose of achieving an 80% or higher statistical power with the statistical tests.  </w:t>
      </w:r>
    </w:p>
    <w:p w14:paraId="3F6328C5" w14:textId="77777777" w:rsidR="00E20DE6" w:rsidRDefault="00E20DE6" w:rsidP="00194D3E">
      <w:pPr>
        <w:spacing w:after="0" w:line="240" w:lineRule="auto"/>
        <w:outlineLvl w:val="0"/>
        <w:rPr>
          <w:rFonts w:ascii="Times New Roman" w:eastAsia="Times New Roman" w:hAnsi="Times New Roman" w:cs="Times New Roman"/>
          <w:sz w:val="24"/>
          <w:szCs w:val="24"/>
        </w:rPr>
      </w:pPr>
    </w:p>
    <w:p w14:paraId="5A1FDC2A" w14:textId="77777777" w:rsidR="002A4588" w:rsidRDefault="002A4588" w:rsidP="00194D3E">
      <w:pPr>
        <w:spacing w:after="0" w:line="240" w:lineRule="auto"/>
        <w:outlineLvl w:val="0"/>
        <w:rPr>
          <w:rFonts w:ascii="Times New Roman" w:eastAsia="Times New Roman" w:hAnsi="Times New Roman" w:cs="Times New Roman"/>
          <w:sz w:val="24"/>
          <w:szCs w:val="24"/>
        </w:rPr>
      </w:pPr>
    </w:p>
    <w:p w14:paraId="134E25DB" w14:textId="77777777" w:rsidR="002A4588" w:rsidRDefault="002A4588" w:rsidP="00194D3E">
      <w:pPr>
        <w:spacing w:after="0" w:line="240" w:lineRule="auto"/>
        <w:outlineLvl w:val="0"/>
        <w:rPr>
          <w:rFonts w:ascii="Times New Roman" w:eastAsia="Times New Roman" w:hAnsi="Times New Roman" w:cs="Times New Roman"/>
          <w:sz w:val="24"/>
          <w:szCs w:val="24"/>
        </w:rPr>
      </w:pPr>
    </w:p>
    <w:p w14:paraId="380EF9EE" w14:textId="77777777" w:rsidR="002A4588" w:rsidRDefault="002A4588" w:rsidP="00194D3E">
      <w:pPr>
        <w:spacing w:after="0" w:line="240" w:lineRule="auto"/>
        <w:outlineLvl w:val="0"/>
        <w:rPr>
          <w:rFonts w:ascii="Times New Roman" w:eastAsia="Times New Roman" w:hAnsi="Times New Roman" w:cs="Times New Roman"/>
          <w:sz w:val="24"/>
          <w:szCs w:val="24"/>
        </w:rPr>
      </w:pPr>
    </w:p>
    <w:p w14:paraId="31970238" w14:textId="77777777" w:rsidR="00490F75" w:rsidRDefault="00E20DE6" w:rsidP="00194D3E">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Summary of methods used to contact potential survey respondents </w:t>
      </w:r>
    </w:p>
    <w:tbl>
      <w:tblPr>
        <w:tblStyle w:val="TableGrid"/>
        <w:tblW w:w="0" w:type="auto"/>
        <w:tblLook w:val="04A0" w:firstRow="1" w:lastRow="0" w:firstColumn="1" w:lastColumn="0" w:noHBand="0" w:noVBand="1"/>
      </w:tblPr>
      <w:tblGrid>
        <w:gridCol w:w="2557"/>
        <w:gridCol w:w="3581"/>
        <w:gridCol w:w="1094"/>
      </w:tblGrid>
      <w:tr w:rsidR="00694772" w14:paraId="77C7EE8B" w14:textId="77777777" w:rsidTr="00694772">
        <w:tc>
          <w:tcPr>
            <w:tcW w:w="2557" w:type="dxa"/>
          </w:tcPr>
          <w:p w14:paraId="093CE142" w14:textId="77777777" w:rsidR="00694772" w:rsidRPr="003C19B2" w:rsidRDefault="00694772" w:rsidP="00234D09">
            <w:pPr>
              <w:rPr>
                <w:b/>
              </w:rPr>
            </w:pPr>
            <w:r w:rsidRPr="003C19B2">
              <w:rPr>
                <w:b/>
              </w:rPr>
              <w:t>Organization/distribution list</w:t>
            </w:r>
          </w:p>
        </w:tc>
        <w:tc>
          <w:tcPr>
            <w:tcW w:w="3581" w:type="dxa"/>
          </w:tcPr>
          <w:p w14:paraId="7F9A5C51" w14:textId="77777777" w:rsidR="00694772" w:rsidRPr="003C19B2" w:rsidRDefault="00694772" w:rsidP="00234D09">
            <w:pPr>
              <w:rPr>
                <w:b/>
              </w:rPr>
            </w:pPr>
            <w:r w:rsidRPr="003C19B2">
              <w:rPr>
                <w:b/>
              </w:rPr>
              <w:t>Number of recipients- lab type- LPG</w:t>
            </w:r>
          </w:p>
        </w:tc>
        <w:tc>
          <w:tcPr>
            <w:tcW w:w="1094" w:type="dxa"/>
          </w:tcPr>
          <w:p w14:paraId="5FD48A3B" w14:textId="77777777" w:rsidR="00694772" w:rsidRPr="003C19B2" w:rsidRDefault="00694772" w:rsidP="00234D09">
            <w:pPr>
              <w:rPr>
                <w:b/>
              </w:rPr>
            </w:pPr>
            <w:r w:rsidRPr="003C19B2">
              <w:rPr>
                <w:b/>
              </w:rPr>
              <w:t>Method of contact</w:t>
            </w:r>
          </w:p>
        </w:tc>
      </w:tr>
      <w:tr w:rsidR="00694772" w14:paraId="357802F1" w14:textId="77777777" w:rsidTr="00694772">
        <w:tc>
          <w:tcPr>
            <w:tcW w:w="2557" w:type="dxa"/>
          </w:tcPr>
          <w:p w14:paraId="4C174707" w14:textId="77777777" w:rsidR="00694772" w:rsidRDefault="00694772" w:rsidP="00234D09">
            <w:r>
              <w:t>Clinscan</w:t>
            </w:r>
          </w:p>
        </w:tc>
        <w:tc>
          <w:tcPr>
            <w:tcW w:w="3581" w:type="dxa"/>
          </w:tcPr>
          <w:p w14:paraId="340CAD30" w14:textId="77777777" w:rsidR="00694772" w:rsidRDefault="00694772" w:rsidP="003C19B2">
            <w:r>
              <w:t>5,027 hospitals /clinics -</w:t>
            </w:r>
            <w:r w:rsidRPr="00694772">
              <w:rPr>
                <w:i/>
              </w:rPr>
              <w:t>POCT12</w:t>
            </w:r>
            <w:r>
              <w:t xml:space="preserve"> </w:t>
            </w:r>
          </w:p>
        </w:tc>
        <w:tc>
          <w:tcPr>
            <w:tcW w:w="1094" w:type="dxa"/>
          </w:tcPr>
          <w:p w14:paraId="655CD584" w14:textId="77777777" w:rsidR="00694772" w:rsidRDefault="00694772" w:rsidP="00234D09">
            <w:r>
              <w:t>Email</w:t>
            </w:r>
          </w:p>
        </w:tc>
      </w:tr>
      <w:tr w:rsidR="00694772" w14:paraId="014A24D5" w14:textId="77777777" w:rsidTr="00694772">
        <w:tc>
          <w:tcPr>
            <w:tcW w:w="2557" w:type="dxa"/>
          </w:tcPr>
          <w:p w14:paraId="5815B728" w14:textId="77777777" w:rsidR="00694772" w:rsidRDefault="00694772" w:rsidP="00234D09">
            <w:r>
              <w:t>COLA</w:t>
            </w:r>
          </w:p>
        </w:tc>
        <w:tc>
          <w:tcPr>
            <w:tcW w:w="3581" w:type="dxa"/>
          </w:tcPr>
          <w:p w14:paraId="5420710A" w14:textId="77777777" w:rsidR="00694772" w:rsidRDefault="00694772" w:rsidP="003C19B2">
            <w:r>
              <w:t xml:space="preserve">5,000 POLs - </w:t>
            </w:r>
            <w:r w:rsidRPr="00694772">
              <w:rPr>
                <w:i/>
              </w:rPr>
              <w:t>POCT13</w:t>
            </w:r>
            <w:r>
              <w:t xml:space="preserve"> </w:t>
            </w:r>
          </w:p>
          <w:p w14:paraId="7B9D81F8" w14:textId="77777777" w:rsidR="00694772" w:rsidRDefault="00694772" w:rsidP="002A4588">
            <w:r>
              <w:t xml:space="preserve">2,500 hospitals </w:t>
            </w:r>
            <w:r w:rsidR="002A4588">
              <w:t>/</w:t>
            </w:r>
            <w:r>
              <w:t xml:space="preserve">clinics- </w:t>
            </w:r>
            <w:r w:rsidRPr="00694772">
              <w:rPr>
                <w:i/>
              </w:rPr>
              <w:t>POCT12</w:t>
            </w:r>
          </w:p>
        </w:tc>
        <w:tc>
          <w:tcPr>
            <w:tcW w:w="1094" w:type="dxa"/>
          </w:tcPr>
          <w:p w14:paraId="648FF22A" w14:textId="77777777" w:rsidR="00694772" w:rsidRDefault="00694772" w:rsidP="00234D09">
            <w:r>
              <w:t>Email</w:t>
            </w:r>
          </w:p>
        </w:tc>
      </w:tr>
      <w:tr w:rsidR="00694772" w14:paraId="3110943C" w14:textId="77777777" w:rsidTr="00694772">
        <w:tc>
          <w:tcPr>
            <w:tcW w:w="2557" w:type="dxa"/>
          </w:tcPr>
          <w:p w14:paraId="14739E41" w14:textId="77777777" w:rsidR="00694772" w:rsidRDefault="00694772" w:rsidP="00234D09">
            <w:r>
              <w:t>Department of Defense</w:t>
            </w:r>
          </w:p>
        </w:tc>
        <w:tc>
          <w:tcPr>
            <w:tcW w:w="3581" w:type="dxa"/>
          </w:tcPr>
          <w:p w14:paraId="328AD0CC" w14:textId="77777777" w:rsidR="00694772" w:rsidRDefault="00694772" w:rsidP="00694772">
            <w:r>
              <w:t xml:space="preserve">1,000 POLs- </w:t>
            </w:r>
            <w:r w:rsidRPr="00694772">
              <w:rPr>
                <w:i/>
              </w:rPr>
              <w:t>POCT13</w:t>
            </w:r>
            <w:r>
              <w:t xml:space="preserve"> </w:t>
            </w:r>
          </w:p>
          <w:p w14:paraId="1278F565" w14:textId="77777777" w:rsidR="00694772" w:rsidRDefault="00694772" w:rsidP="00694772">
            <w:r>
              <w:t xml:space="preserve">1,000 hospitals/clinics - </w:t>
            </w:r>
            <w:r w:rsidRPr="00694772">
              <w:rPr>
                <w:i/>
              </w:rPr>
              <w:t>POCT12</w:t>
            </w:r>
          </w:p>
        </w:tc>
        <w:tc>
          <w:tcPr>
            <w:tcW w:w="1094" w:type="dxa"/>
          </w:tcPr>
          <w:p w14:paraId="456AE644" w14:textId="77777777" w:rsidR="00694772" w:rsidRDefault="00694772" w:rsidP="00234D09">
            <w:r>
              <w:t>Email</w:t>
            </w:r>
          </w:p>
        </w:tc>
      </w:tr>
      <w:tr w:rsidR="00694772" w14:paraId="2CF0CEE3" w14:textId="77777777" w:rsidTr="00694772">
        <w:tc>
          <w:tcPr>
            <w:tcW w:w="2557" w:type="dxa"/>
          </w:tcPr>
          <w:p w14:paraId="64139591" w14:textId="77777777" w:rsidR="00694772" w:rsidRDefault="00694772" w:rsidP="00234D09">
            <w:r>
              <w:t>Point-of-Care Coordinators lists</w:t>
            </w:r>
          </w:p>
        </w:tc>
        <w:tc>
          <w:tcPr>
            <w:tcW w:w="3581" w:type="dxa"/>
          </w:tcPr>
          <w:p w14:paraId="5E5DB85C" w14:textId="77777777" w:rsidR="00694772" w:rsidRPr="00694772" w:rsidRDefault="00694772" w:rsidP="003C19B2">
            <w:pPr>
              <w:rPr>
                <w:i/>
              </w:rPr>
            </w:pPr>
            <w:r>
              <w:t xml:space="preserve">250 POLs- </w:t>
            </w:r>
            <w:r w:rsidRPr="00694772">
              <w:rPr>
                <w:i/>
              </w:rPr>
              <w:t xml:space="preserve">POCT13 </w:t>
            </w:r>
          </w:p>
          <w:p w14:paraId="4C7695B6" w14:textId="77777777" w:rsidR="00694772" w:rsidRDefault="00694772" w:rsidP="003C19B2">
            <w:r>
              <w:t xml:space="preserve">250 hospitals/clinics-  </w:t>
            </w:r>
            <w:r w:rsidRPr="00694772">
              <w:rPr>
                <w:i/>
              </w:rPr>
              <w:t>POCT12</w:t>
            </w:r>
          </w:p>
        </w:tc>
        <w:tc>
          <w:tcPr>
            <w:tcW w:w="1094" w:type="dxa"/>
          </w:tcPr>
          <w:p w14:paraId="7C5A3D5B" w14:textId="77777777" w:rsidR="00694772" w:rsidRDefault="00694772" w:rsidP="00234D09">
            <w:r>
              <w:t>Email</w:t>
            </w:r>
          </w:p>
        </w:tc>
      </w:tr>
      <w:tr w:rsidR="00694772" w14:paraId="139018B8" w14:textId="77777777" w:rsidTr="00694772">
        <w:tc>
          <w:tcPr>
            <w:tcW w:w="2557" w:type="dxa"/>
          </w:tcPr>
          <w:p w14:paraId="2D3D93A3" w14:textId="77777777" w:rsidR="00694772" w:rsidRDefault="00694772" w:rsidP="00234D09">
            <w:r>
              <w:t>The Joint Commission</w:t>
            </w:r>
          </w:p>
        </w:tc>
        <w:tc>
          <w:tcPr>
            <w:tcW w:w="3581" w:type="dxa"/>
          </w:tcPr>
          <w:p w14:paraId="2E559E65" w14:textId="77777777" w:rsidR="00694772" w:rsidRDefault="00694772" w:rsidP="00694772">
            <w:r>
              <w:t xml:space="preserve">1,600  hospitals/clinics-  </w:t>
            </w:r>
            <w:r w:rsidRPr="00694772">
              <w:rPr>
                <w:i/>
              </w:rPr>
              <w:t>POCT12</w:t>
            </w:r>
          </w:p>
        </w:tc>
        <w:tc>
          <w:tcPr>
            <w:tcW w:w="1094" w:type="dxa"/>
          </w:tcPr>
          <w:p w14:paraId="25AA5BCA" w14:textId="77777777" w:rsidR="00694772" w:rsidRDefault="00694772" w:rsidP="00234D09">
            <w:r>
              <w:t>Email</w:t>
            </w:r>
          </w:p>
        </w:tc>
      </w:tr>
      <w:tr w:rsidR="00694772" w14:paraId="68F18754" w14:textId="77777777" w:rsidTr="00694772">
        <w:tc>
          <w:tcPr>
            <w:tcW w:w="2557" w:type="dxa"/>
          </w:tcPr>
          <w:p w14:paraId="1A11177F" w14:textId="77777777" w:rsidR="00694772" w:rsidRDefault="00694772" w:rsidP="00234D09">
            <w:r>
              <w:t>American Hospital Association</w:t>
            </w:r>
          </w:p>
        </w:tc>
        <w:tc>
          <w:tcPr>
            <w:tcW w:w="3581" w:type="dxa"/>
          </w:tcPr>
          <w:p w14:paraId="1CBF3603" w14:textId="77777777" w:rsidR="00694772" w:rsidRDefault="00694772" w:rsidP="00694772">
            <w:r>
              <w:t xml:space="preserve">3,000  hospitals/clinics </w:t>
            </w:r>
            <w:r w:rsidRPr="00694772">
              <w:rPr>
                <w:i/>
              </w:rPr>
              <w:t>POCT12</w:t>
            </w:r>
          </w:p>
        </w:tc>
        <w:tc>
          <w:tcPr>
            <w:tcW w:w="1094" w:type="dxa"/>
          </w:tcPr>
          <w:p w14:paraId="6E87C084" w14:textId="77777777" w:rsidR="00694772" w:rsidRDefault="00694772" w:rsidP="00234D09">
            <w:r>
              <w:t>Postcards</w:t>
            </w:r>
          </w:p>
        </w:tc>
      </w:tr>
      <w:tr w:rsidR="00694772" w14:paraId="7BBF8210" w14:textId="77777777" w:rsidTr="00694772">
        <w:tc>
          <w:tcPr>
            <w:tcW w:w="2557" w:type="dxa"/>
          </w:tcPr>
          <w:p w14:paraId="14E199A1" w14:textId="77777777" w:rsidR="00694772" w:rsidRDefault="00694772" w:rsidP="00234D09">
            <w:r>
              <w:t>OSCAR database</w:t>
            </w:r>
          </w:p>
        </w:tc>
        <w:tc>
          <w:tcPr>
            <w:tcW w:w="3581" w:type="dxa"/>
          </w:tcPr>
          <w:p w14:paraId="2DCF6F7C" w14:textId="77777777" w:rsidR="00694772" w:rsidRDefault="00694772" w:rsidP="00694772">
            <w:r>
              <w:t xml:space="preserve">8,000 POLs- </w:t>
            </w:r>
            <w:r w:rsidRPr="00694772">
              <w:rPr>
                <w:i/>
              </w:rPr>
              <w:t>POCT13</w:t>
            </w:r>
            <w:r>
              <w:t xml:space="preserve"> </w:t>
            </w:r>
          </w:p>
          <w:p w14:paraId="09F4B228" w14:textId="77777777" w:rsidR="00694772" w:rsidRDefault="00694772" w:rsidP="00694772">
            <w:r>
              <w:t xml:space="preserve">2,000 hospitals/clinics- </w:t>
            </w:r>
            <w:r w:rsidRPr="00694772">
              <w:rPr>
                <w:i/>
              </w:rPr>
              <w:t>POCT12</w:t>
            </w:r>
          </w:p>
        </w:tc>
        <w:tc>
          <w:tcPr>
            <w:tcW w:w="1094" w:type="dxa"/>
          </w:tcPr>
          <w:p w14:paraId="0B634E4C" w14:textId="77777777" w:rsidR="00694772" w:rsidRDefault="00694772" w:rsidP="00234D09">
            <w:r>
              <w:t>Postcards</w:t>
            </w:r>
          </w:p>
        </w:tc>
      </w:tr>
      <w:tr w:rsidR="00694772" w14:paraId="06BB7AA2" w14:textId="77777777" w:rsidTr="00694772">
        <w:tc>
          <w:tcPr>
            <w:tcW w:w="2557" w:type="dxa"/>
          </w:tcPr>
          <w:p w14:paraId="7CED9273" w14:textId="77777777" w:rsidR="00694772" w:rsidRPr="00694772" w:rsidRDefault="00694772" w:rsidP="00234D09">
            <w:pPr>
              <w:rPr>
                <w:b/>
              </w:rPr>
            </w:pPr>
            <w:r w:rsidRPr="00694772">
              <w:rPr>
                <w:b/>
              </w:rPr>
              <w:t xml:space="preserve">Total </w:t>
            </w:r>
          </w:p>
        </w:tc>
        <w:tc>
          <w:tcPr>
            <w:tcW w:w="3581" w:type="dxa"/>
          </w:tcPr>
          <w:p w14:paraId="411842AF" w14:textId="77777777" w:rsidR="00694772" w:rsidRPr="00694772" w:rsidRDefault="00694772" w:rsidP="00234D09">
            <w:pPr>
              <w:rPr>
                <w:b/>
              </w:rPr>
            </w:pPr>
            <w:r w:rsidRPr="00694772">
              <w:rPr>
                <w:b/>
              </w:rPr>
              <w:t>29,627 laboratories</w:t>
            </w:r>
          </w:p>
        </w:tc>
        <w:tc>
          <w:tcPr>
            <w:tcW w:w="1094" w:type="dxa"/>
          </w:tcPr>
          <w:p w14:paraId="5AC3059F" w14:textId="77777777" w:rsidR="00694772" w:rsidRDefault="00694772" w:rsidP="00234D09"/>
        </w:tc>
      </w:tr>
      <w:tr w:rsidR="00694772" w14:paraId="404A09DE" w14:textId="77777777" w:rsidTr="00694772">
        <w:tc>
          <w:tcPr>
            <w:tcW w:w="2557" w:type="dxa"/>
          </w:tcPr>
          <w:p w14:paraId="615C5278" w14:textId="77777777" w:rsidR="00694772" w:rsidRPr="00694772" w:rsidRDefault="00694772" w:rsidP="00234D09">
            <w:pPr>
              <w:rPr>
                <w:b/>
              </w:rPr>
            </w:pPr>
          </w:p>
        </w:tc>
        <w:tc>
          <w:tcPr>
            <w:tcW w:w="3581" w:type="dxa"/>
          </w:tcPr>
          <w:p w14:paraId="2DD4B996" w14:textId="77777777" w:rsidR="00694772" w:rsidRPr="00694772" w:rsidRDefault="00694772" w:rsidP="003C19B2">
            <w:pPr>
              <w:rPr>
                <w:b/>
              </w:rPr>
            </w:pPr>
            <w:r w:rsidRPr="00694772">
              <w:rPr>
                <w:b/>
              </w:rPr>
              <w:t xml:space="preserve">- 15,377 – </w:t>
            </w:r>
            <w:r w:rsidRPr="00694772">
              <w:rPr>
                <w:b/>
                <w:i/>
              </w:rPr>
              <w:t xml:space="preserve">POCT12 </w:t>
            </w:r>
          </w:p>
        </w:tc>
        <w:tc>
          <w:tcPr>
            <w:tcW w:w="1094" w:type="dxa"/>
          </w:tcPr>
          <w:p w14:paraId="54E069DC" w14:textId="77777777" w:rsidR="00694772" w:rsidRDefault="00694772" w:rsidP="00234D09"/>
        </w:tc>
      </w:tr>
      <w:tr w:rsidR="00694772" w14:paraId="7B15BFFD" w14:textId="77777777" w:rsidTr="00694772">
        <w:tc>
          <w:tcPr>
            <w:tcW w:w="2557" w:type="dxa"/>
          </w:tcPr>
          <w:p w14:paraId="73696788" w14:textId="77777777" w:rsidR="00694772" w:rsidRPr="00694772" w:rsidRDefault="00694772" w:rsidP="00234D09">
            <w:pPr>
              <w:rPr>
                <w:b/>
              </w:rPr>
            </w:pPr>
          </w:p>
        </w:tc>
        <w:tc>
          <w:tcPr>
            <w:tcW w:w="3581" w:type="dxa"/>
          </w:tcPr>
          <w:p w14:paraId="2DB5BD1A" w14:textId="77777777" w:rsidR="00694772" w:rsidRPr="00694772" w:rsidRDefault="00694772" w:rsidP="003C19B2">
            <w:pPr>
              <w:rPr>
                <w:b/>
              </w:rPr>
            </w:pPr>
            <w:r w:rsidRPr="00694772">
              <w:rPr>
                <w:b/>
              </w:rPr>
              <w:t xml:space="preserve">- 14,250 – </w:t>
            </w:r>
            <w:r w:rsidRPr="00694772">
              <w:rPr>
                <w:b/>
                <w:i/>
              </w:rPr>
              <w:t>POCT13</w:t>
            </w:r>
            <w:r w:rsidRPr="00694772">
              <w:rPr>
                <w:b/>
              </w:rPr>
              <w:t xml:space="preserve"> </w:t>
            </w:r>
          </w:p>
        </w:tc>
        <w:tc>
          <w:tcPr>
            <w:tcW w:w="1094" w:type="dxa"/>
          </w:tcPr>
          <w:p w14:paraId="3024491E" w14:textId="77777777" w:rsidR="00694772" w:rsidRDefault="00694772" w:rsidP="00234D09"/>
        </w:tc>
      </w:tr>
    </w:tbl>
    <w:p w14:paraId="0C7340AE" w14:textId="77777777" w:rsidR="001046D2" w:rsidRDefault="001046D2" w:rsidP="00AA65DC">
      <w:pPr>
        <w:spacing w:after="0" w:line="240" w:lineRule="auto"/>
        <w:outlineLvl w:val="0"/>
        <w:rPr>
          <w:rFonts w:ascii="Times New Roman" w:eastAsia="Times New Roman" w:hAnsi="Times New Roman" w:cs="Times New Roman"/>
          <w:sz w:val="24"/>
          <w:szCs w:val="24"/>
        </w:rPr>
      </w:pPr>
    </w:p>
    <w:p w14:paraId="3C84F8C0" w14:textId="77777777" w:rsidR="0096460C" w:rsidRDefault="002E5F97" w:rsidP="00AA65DC">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plan to </w:t>
      </w:r>
      <w:r w:rsidR="00F874D9">
        <w:rPr>
          <w:rFonts w:ascii="Times New Roman" w:eastAsia="Times New Roman" w:hAnsi="Times New Roman" w:cs="Times New Roman"/>
          <w:sz w:val="24"/>
          <w:szCs w:val="24"/>
        </w:rPr>
        <w:t>analyze responses from the</w:t>
      </w:r>
      <w:r w:rsidR="006C63E3">
        <w:rPr>
          <w:rFonts w:ascii="Times New Roman" w:eastAsia="Times New Roman" w:hAnsi="Times New Roman" w:cs="Times New Roman"/>
          <w:sz w:val="24"/>
          <w:szCs w:val="24"/>
        </w:rPr>
        <w:t xml:space="preserve"> </w:t>
      </w:r>
      <w:r w:rsidR="000C4292">
        <w:rPr>
          <w:rFonts w:ascii="Times New Roman" w:eastAsia="Times New Roman" w:hAnsi="Times New Roman" w:cs="Times New Roman"/>
          <w:sz w:val="24"/>
          <w:szCs w:val="24"/>
        </w:rPr>
        <w:t xml:space="preserve">subgroups of respondents (e.g., </w:t>
      </w:r>
      <w:r w:rsidR="00F874D9">
        <w:rPr>
          <w:rFonts w:ascii="Times New Roman" w:eastAsia="Times New Roman" w:hAnsi="Times New Roman" w:cs="Times New Roman"/>
          <w:sz w:val="24"/>
          <w:szCs w:val="24"/>
        </w:rPr>
        <w:t xml:space="preserve">stratified by </w:t>
      </w:r>
      <w:r w:rsidR="000C4292">
        <w:rPr>
          <w:rFonts w:ascii="Times New Roman" w:eastAsia="Times New Roman" w:hAnsi="Times New Roman" w:cs="Times New Roman"/>
          <w:sz w:val="24"/>
          <w:szCs w:val="24"/>
        </w:rPr>
        <w:t>size of hospital</w:t>
      </w:r>
      <w:r w:rsidR="00B55AA6">
        <w:rPr>
          <w:rFonts w:ascii="Times New Roman" w:eastAsia="Times New Roman" w:hAnsi="Times New Roman" w:cs="Times New Roman"/>
          <w:sz w:val="24"/>
          <w:szCs w:val="24"/>
        </w:rPr>
        <w:t xml:space="preserve">, type of physician office </w:t>
      </w:r>
      <w:r w:rsidR="000C4292">
        <w:rPr>
          <w:rFonts w:ascii="Times New Roman" w:eastAsia="Times New Roman" w:hAnsi="Times New Roman" w:cs="Times New Roman"/>
          <w:sz w:val="24"/>
          <w:szCs w:val="24"/>
        </w:rPr>
        <w:t>or job title)</w:t>
      </w:r>
      <w:r w:rsidR="000F0C09">
        <w:rPr>
          <w:rFonts w:ascii="Times New Roman" w:eastAsia="Times New Roman" w:hAnsi="Times New Roman" w:cs="Times New Roman"/>
          <w:sz w:val="24"/>
          <w:szCs w:val="24"/>
        </w:rPr>
        <w:t xml:space="preserve">, and compare the differences between groups. </w:t>
      </w:r>
      <w:r w:rsidR="00F874D9">
        <w:rPr>
          <w:rFonts w:ascii="Times New Roman" w:eastAsia="Times New Roman" w:hAnsi="Times New Roman" w:cs="Times New Roman"/>
          <w:sz w:val="24"/>
          <w:szCs w:val="24"/>
        </w:rPr>
        <w:t>To do this, w</w:t>
      </w:r>
      <w:r w:rsidR="0035478A">
        <w:rPr>
          <w:rFonts w:ascii="Times New Roman" w:eastAsia="Times New Roman" w:hAnsi="Times New Roman" w:cs="Times New Roman"/>
          <w:sz w:val="24"/>
          <w:szCs w:val="24"/>
        </w:rPr>
        <w:t xml:space="preserve">e will need to obtain approximately 1,000 completed surveys for each of the subgroups in order to </w:t>
      </w:r>
      <w:r w:rsidR="00B55AA6">
        <w:rPr>
          <w:rFonts w:ascii="Times New Roman" w:eastAsia="Times New Roman" w:hAnsi="Times New Roman" w:cs="Times New Roman"/>
          <w:sz w:val="24"/>
          <w:szCs w:val="24"/>
        </w:rPr>
        <w:t xml:space="preserve">conservatively </w:t>
      </w:r>
      <w:r w:rsidR="0035478A">
        <w:rPr>
          <w:rFonts w:ascii="Times New Roman" w:eastAsia="Times New Roman" w:hAnsi="Times New Roman" w:cs="Times New Roman"/>
          <w:sz w:val="24"/>
          <w:szCs w:val="24"/>
        </w:rPr>
        <w:t>estimate an attribute (e.g., CLSI awareness) within 3% margin of error at a 95% confidence level.</w:t>
      </w:r>
    </w:p>
    <w:p w14:paraId="6696873B" w14:textId="77777777" w:rsidR="00A52494" w:rsidRDefault="00A52494" w:rsidP="00AA65DC">
      <w:pPr>
        <w:spacing w:after="0" w:line="240" w:lineRule="auto"/>
        <w:outlineLvl w:val="0"/>
        <w:rPr>
          <w:rFonts w:ascii="Times New Roman" w:eastAsia="Times New Roman" w:hAnsi="Times New Roman" w:cs="Times New Roman"/>
          <w:sz w:val="24"/>
          <w:szCs w:val="24"/>
        </w:rPr>
      </w:pPr>
    </w:p>
    <w:p w14:paraId="1172B718" w14:textId="3EA73835" w:rsidR="00A52494" w:rsidRPr="002A6C79" w:rsidRDefault="00A52494" w:rsidP="00A52494">
      <w:pPr>
        <w:rPr>
          <w:rFonts w:ascii="Times New Roman" w:hAnsi="Times New Roman" w:cs="Times New Roman"/>
        </w:rPr>
      </w:pPr>
      <w:r w:rsidRPr="002A6C79">
        <w:rPr>
          <w:rFonts w:ascii="Times New Roman" w:hAnsi="Times New Roman" w:cs="Times New Roman"/>
        </w:rPr>
        <w:t>The number of respondents indicated in the burden table</w:t>
      </w:r>
      <w:r w:rsidR="00651198">
        <w:rPr>
          <w:rFonts w:ascii="Times New Roman" w:hAnsi="Times New Roman" w:cs="Times New Roman"/>
        </w:rPr>
        <w:t>s</w:t>
      </w:r>
      <w:r w:rsidRPr="002A6C79">
        <w:rPr>
          <w:rFonts w:ascii="Times New Roman" w:hAnsi="Times New Roman" w:cs="Times New Roman"/>
        </w:rPr>
        <w:t xml:space="preserve"> provided in Supporting Statement A was derived </w:t>
      </w:r>
      <w:r w:rsidR="00651198">
        <w:rPr>
          <w:rFonts w:ascii="Times New Roman" w:hAnsi="Times New Roman" w:cs="Times New Roman"/>
        </w:rPr>
        <w:t>by</w:t>
      </w:r>
      <w:r w:rsidRPr="002A6C79">
        <w:rPr>
          <w:rFonts w:ascii="Times New Roman" w:hAnsi="Times New Roman" w:cs="Times New Roman"/>
        </w:rPr>
        <w:t xml:space="preserve"> estimating the number of participants from each contact list likely to find </w:t>
      </w:r>
      <w:r w:rsidRPr="002A6C79">
        <w:rPr>
          <w:rFonts w:ascii="Times New Roman" w:hAnsi="Times New Roman" w:cs="Times New Roman"/>
          <w:i/>
        </w:rPr>
        <w:t>POCT 12</w:t>
      </w:r>
      <w:r w:rsidRPr="002A6C79">
        <w:rPr>
          <w:rFonts w:ascii="Times New Roman" w:hAnsi="Times New Roman" w:cs="Times New Roman"/>
        </w:rPr>
        <w:t xml:space="preserve"> or </w:t>
      </w:r>
      <w:r w:rsidRPr="002A6C79">
        <w:rPr>
          <w:rFonts w:ascii="Times New Roman" w:hAnsi="Times New Roman" w:cs="Times New Roman"/>
          <w:i/>
        </w:rPr>
        <w:t>13</w:t>
      </w:r>
      <w:r w:rsidRPr="002A6C79">
        <w:rPr>
          <w:rFonts w:ascii="Times New Roman" w:hAnsi="Times New Roman" w:cs="Times New Roman"/>
        </w:rPr>
        <w:t xml:space="preserve"> of value </w:t>
      </w:r>
      <w:r w:rsidR="00DB0BA7" w:rsidRPr="002A6C79">
        <w:rPr>
          <w:rFonts w:ascii="Times New Roman" w:hAnsi="Times New Roman" w:cs="Times New Roman"/>
        </w:rPr>
        <w:t>(see table 2</w:t>
      </w:r>
      <w:r w:rsidRPr="002A6C79">
        <w:rPr>
          <w:rFonts w:ascii="Times New Roman" w:hAnsi="Times New Roman" w:cs="Times New Roman"/>
        </w:rPr>
        <w:t>).  We estimated the number of participants by job title from each contact list</w:t>
      </w:r>
      <w:r w:rsidR="00DB0BA7" w:rsidRPr="002A6C79">
        <w:rPr>
          <w:rFonts w:ascii="Times New Roman" w:hAnsi="Times New Roman" w:cs="Times New Roman"/>
        </w:rPr>
        <w:t xml:space="preserve"> (e.g., Clinscan</w:t>
      </w:r>
      <w:r w:rsidRPr="002A6C79">
        <w:rPr>
          <w:rFonts w:ascii="Times New Roman" w:hAnsi="Times New Roman" w:cs="Times New Roman"/>
        </w:rPr>
        <w:t>, COLA, D</w:t>
      </w:r>
      <w:r w:rsidR="00651198">
        <w:rPr>
          <w:rFonts w:ascii="Times New Roman" w:hAnsi="Times New Roman" w:cs="Times New Roman"/>
        </w:rPr>
        <w:t xml:space="preserve">epartment </w:t>
      </w:r>
      <w:r w:rsidRPr="002A6C79">
        <w:rPr>
          <w:rFonts w:ascii="Times New Roman" w:hAnsi="Times New Roman" w:cs="Times New Roman"/>
        </w:rPr>
        <w:t>O</w:t>
      </w:r>
      <w:r w:rsidR="00651198">
        <w:rPr>
          <w:rFonts w:ascii="Times New Roman" w:hAnsi="Times New Roman" w:cs="Times New Roman"/>
        </w:rPr>
        <w:t xml:space="preserve">f </w:t>
      </w:r>
      <w:r w:rsidRPr="002A6C79">
        <w:rPr>
          <w:rFonts w:ascii="Times New Roman" w:hAnsi="Times New Roman" w:cs="Times New Roman"/>
        </w:rPr>
        <w:t>D</w:t>
      </w:r>
      <w:r w:rsidR="00651198">
        <w:rPr>
          <w:rFonts w:ascii="Times New Roman" w:hAnsi="Times New Roman" w:cs="Times New Roman"/>
        </w:rPr>
        <w:t>efense</w:t>
      </w:r>
      <w:r w:rsidRPr="002A6C79">
        <w:rPr>
          <w:rFonts w:ascii="Times New Roman" w:hAnsi="Times New Roman" w:cs="Times New Roman"/>
        </w:rPr>
        <w:t xml:space="preserve">, etc.).  We further stratified participants to setting; physician office laboratory </w:t>
      </w:r>
      <w:r w:rsidR="00651198">
        <w:rPr>
          <w:rFonts w:ascii="Times New Roman" w:hAnsi="Times New Roman" w:cs="Times New Roman"/>
        </w:rPr>
        <w:t xml:space="preserve">(POL) </w:t>
      </w:r>
      <w:r w:rsidRPr="002A6C79">
        <w:rPr>
          <w:rFonts w:ascii="Times New Roman" w:hAnsi="Times New Roman" w:cs="Times New Roman"/>
        </w:rPr>
        <w:t>versus hospital/clinic</w:t>
      </w:r>
      <w:r w:rsidR="00651198">
        <w:rPr>
          <w:rFonts w:ascii="Times New Roman" w:hAnsi="Times New Roman" w:cs="Times New Roman"/>
        </w:rPr>
        <w:t xml:space="preserve"> (HC)</w:t>
      </w:r>
      <w:r w:rsidRPr="002A6C79">
        <w:rPr>
          <w:rFonts w:ascii="Times New Roman" w:hAnsi="Times New Roman" w:cs="Times New Roman"/>
        </w:rPr>
        <w:t xml:space="preserve">.  </w:t>
      </w:r>
      <w:r w:rsidRPr="002A6C79">
        <w:rPr>
          <w:rFonts w:ascii="Times New Roman" w:hAnsi="Times New Roman" w:cs="Times New Roman"/>
          <w:i/>
        </w:rPr>
        <w:t>POCT 12</w:t>
      </w:r>
      <w:r w:rsidRPr="002A6C79">
        <w:rPr>
          <w:rFonts w:ascii="Times New Roman" w:hAnsi="Times New Roman" w:cs="Times New Roman"/>
        </w:rPr>
        <w:t xml:space="preserve"> is most relevant to hospital and clinical settings whereas </w:t>
      </w:r>
      <w:r w:rsidRPr="002A6C79">
        <w:rPr>
          <w:rFonts w:ascii="Times New Roman" w:hAnsi="Times New Roman" w:cs="Times New Roman"/>
          <w:i/>
        </w:rPr>
        <w:t>POCT 13</w:t>
      </w:r>
      <w:r w:rsidRPr="002A6C79">
        <w:rPr>
          <w:rFonts w:ascii="Times New Roman" w:hAnsi="Times New Roman" w:cs="Times New Roman"/>
        </w:rPr>
        <w:t xml:space="preserve"> is most relevant to physician office laboratories.  </w:t>
      </w:r>
    </w:p>
    <w:p w14:paraId="0B0E7283" w14:textId="591AAA9D" w:rsidR="004440A5" w:rsidRDefault="00A52494" w:rsidP="00B4741C">
      <w:pPr>
        <w:rPr>
          <w:rFonts w:ascii="Times New Roman" w:hAnsi="Times New Roman" w:cs="Times New Roman"/>
        </w:rPr>
      </w:pPr>
      <w:r w:rsidRPr="002A6C79">
        <w:rPr>
          <w:rFonts w:ascii="Times New Roman" w:hAnsi="Times New Roman" w:cs="Times New Roman"/>
        </w:rPr>
        <w:t>Table 2</w:t>
      </w:r>
      <w:r w:rsidR="00651198">
        <w:rPr>
          <w:rFonts w:ascii="Times New Roman" w:hAnsi="Times New Roman" w:cs="Times New Roman"/>
        </w:rPr>
        <w:t>-</w:t>
      </w:r>
      <w:r w:rsidRPr="002A6C79">
        <w:rPr>
          <w:rFonts w:ascii="Times New Roman" w:hAnsi="Times New Roman" w:cs="Times New Roman"/>
        </w:rPr>
        <w:t xml:space="preserve"> </w:t>
      </w:r>
      <w:r w:rsidR="004E5C19" w:rsidRPr="002A6C79">
        <w:rPr>
          <w:rFonts w:ascii="Times New Roman" w:hAnsi="Times New Roman" w:cs="Times New Roman"/>
        </w:rPr>
        <w:t xml:space="preserve">Estimated distribution of potential respondents across respondent categories in the burden table in Supporting Statement </w:t>
      </w:r>
    </w:p>
    <w:p w14:paraId="59246A5E" w14:textId="77777777" w:rsidR="00651198" w:rsidRDefault="00651198" w:rsidP="00B4741C">
      <w:pPr>
        <w:rPr>
          <w:rFonts w:ascii="Times New Roman" w:hAnsi="Times New Roman" w:cs="Times New Roman"/>
        </w:rPr>
      </w:pPr>
    </w:p>
    <w:tbl>
      <w:tblPr>
        <w:tblStyle w:val="TableGrid1"/>
        <w:tblW w:w="0" w:type="auto"/>
        <w:tblLook w:val="04A0" w:firstRow="1" w:lastRow="0" w:firstColumn="1" w:lastColumn="0" w:noHBand="0" w:noVBand="1"/>
      </w:tblPr>
      <w:tblGrid>
        <w:gridCol w:w="1153"/>
        <w:gridCol w:w="1330"/>
        <w:gridCol w:w="776"/>
        <w:gridCol w:w="672"/>
        <w:gridCol w:w="672"/>
        <w:gridCol w:w="566"/>
        <w:gridCol w:w="566"/>
        <w:gridCol w:w="598"/>
        <w:gridCol w:w="530"/>
        <w:gridCol w:w="1054"/>
        <w:gridCol w:w="1071"/>
        <w:gridCol w:w="541"/>
        <w:gridCol w:w="541"/>
      </w:tblGrid>
      <w:tr w:rsidR="00651198" w:rsidRPr="00D051BE" w14:paraId="61762137" w14:textId="77777777" w:rsidTr="00651198">
        <w:tc>
          <w:tcPr>
            <w:tcW w:w="0" w:type="auto"/>
          </w:tcPr>
          <w:p w14:paraId="7B60A617" w14:textId="77777777" w:rsidR="00651198" w:rsidRPr="002A4675" w:rsidRDefault="00651198" w:rsidP="001335C6">
            <w:pPr>
              <w:outlineLvl w:val="0"/>
              <w:rPr>
                <w:rFonts w:ascii="Times New Roman" w:eastAsia="Times New Roman" w:hAnsi="Times New Roman" w:cs="Times New Roman"/>
                <w:sz w:val="16"/>
                <w:szCs w:val="16"/>
              </w:rPr>
            </w:pPr>
          </w:p>
        </w:tc>
        <w:tc>
          <w:tcPr>
            <w:tcW w:w="0" w:type="auto"/>
          </w:tcPr>
          <w:p w14:paraId="45D0C2CE"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Number of Respondents in Burden Table</w:t>
            </w:r>
            <w:r>
              <w:rPr>
                <w:rFonts w:ascii="Times New Roman" w:eastAsia="Times New Roman" w:hAnsi="Times New Roman" w:cs="Times New Roman"/>
                <w:sz w:val="16"/>
                <w:szCs w:val="16"/>
              </w:rPr>
              <w:t xml:space="preserve"> (see Supporting Statement A)</w:t>
            </w:r>
          </w:p>
        </w:tc>
        <w:tc>
          <w:tcPr>
            <w:tcW w:w="702" w:type="dxa"/>
          </w:tcPr>
          <w:p w14:paraId="74CE3BD0"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Clinscan</w:t>
            </w:r>
          </w:p>
        </w:tc>
        <w:tc>
          <w:tcPr>
            <w:tcW w:w="1344" w:type="dxa"/>
            <w:gridSpan w:val="2"/>
          </w:tcPr>
          <w:p w14:paraId="26D998BE"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C</w:t>
            </w:r>
            <w:r>
              <w:rPr>
                <w:rFonts w:ascii="Times New Roman" w:eastAsia="Times New Roman" w:hAnsi="Times New Roman" w:cs="Times New Roman"/>
                <w:sz w:val="16"/>
                <w:szCs w:val="16"/>
              </w:rPr>
              <w:t>OLA</w:t>
            </w:r>
          </w:p>
        </w:tc>
        <w:tc>
          <w:tcPr>
            <w:tcW w:w="0" w:type="auto"/>
            <w:gridSpan w:val="2"/>
          </w:tcPr>
          <w:p w14:paraId="04C5865F"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Department of Defense</w:t>
            </w:r>
          </w:p>
        </w:tc>
        <w:tc>
          <w:tcPr>
            <w:tcW w:w="0" w:type="auto"/>
            <w:gridSpan w:val="2"/>
          </w:tcPr>
          <w:p w14:paraId="28C099B8"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Point</w:t>
            </w:r>
            <w:r>
              <w:rPr>
                <w:rFonts w:ascii="Times New Roman" w:eastAsia="Times New Roman" w:hAnsi="Times New Roman" w:cs="Times New Roman"/>
                <w:sz w:val="16"/>
                <w:szCs w:val="16"/>
              </w:rPr>
              <w:t>-</w:t>
            </w:r>
            <w:r w:rsidRPr="002A4675">
              <w:rPr>
                <w:rFonts w:ascii="Times New Roman" w:eastAsia="Times New Roman" w:hAnsi="Times New Roman" w:cs="Times New Roman"/>
                <w:sz w:val="16"/>
                <w:szCs w:val="16"/>
              </w:rPr>
              <w:t>of</w:t>
            </w:r>
            <w:r>
              <w:rPr>
                <w:rFonts w:ascii="Times New Roman" w:eastAsia="Times New Roman" w:hAnsi="Times New Roman" w:cs="Times New Roman"/>
                <w:sz w:val="16"/>
                <w:szCs w:val="16"/>
              </w:rPr>
              <w:t>-</w:t>
            </w:r>
            <w:r w:rsidRPr="002A4675">
              <w:rPr>
                <w:rFonts w:ascii="Times New Roman" w:eastAsia="Times New Roman" w:hAnsi="Times New Roman" w:cs="Times New Roman"/>
                <w:sz w:val="16"/>
                <w:szCs w:val="16"/>
              </w:rPr>
              <w:t xml:space="preserve"> Care Coordinators</w:t>
            </w:r>
          </w:p>
        </w:tc>
        <w:tc>
          <w:tcPr>
            <w:tcW w:w="0" w:type="auto"/>
          </w:tcPr>
          <w:p w14:paraId="7FD5EBF3"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Joint Commission</w:t>
            </w:r>
          </w:p>
        </w:tc>
        <w:tc>
          <w:tcPr>
            <w:tcW w:w="0" w:type="auto"/>
          </w:tcPr>
          <w:p w14:paraId="4CC9CDC0"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American Hospital Association</w:t>
            </w:r>
          </w:p>
        </w:tc>
        <w:tc>
          <w:tcPr>
            <w:tcW w:w="0" w:type="auto"/>
            <w:gridSpan w:val="2"/>
          </w:tcPr>
          <w:p w14:paraId="74E71DFB"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O</w:t>
            </w:r>
            <w:r>
              <w:rPr>
                <w:rFonts w:ascii="Times New Roman" w:eastAsia="Times New Roman" w:hAnsi="Times New Roman" w:cs="Times New Roman"/>
                <w:sz w:val="16"/>
                <w:szCs w:val="16"/>
              </w:rPr>
              <w:t>SCAR</w:t>
            </w:r>
          </w:p>
        </w:tc>
      </w:tr>
      <w:tr w:rsidR="00651198" w:rsidRPr="00D051BE" w14:paraId="796A74FA" w14:textId="77777777" w:rsidTr="00651198">
        <w:tc>
          <w:tcPr>
            <w:tcW w:w="0" w:type="auto"/>
          </w:tcPr>
          <w:p w14:paraId="0BE51EB7" w14:textId="77777777" w:rsidR="00651198" w:rsidRPr="002A4675" w:rsidRDefault="00651198" w:rsidP="001335C6">
            <w:pPr>
              <w:outlineLvl w:val="0"/>
              <w:rPr>
                <w:rFonts w:ascii="Times New Roman" w:eastAsia="Times New Roman" w:hAnsi="Times New Roman" w:cs="Times New Roman"/>
                <w:sz w:val="16"/>
                <w:szCs w:val="16"/>
              </w:rPr>
            </w:pPr>
          </w:p>
        </w:tc>
        <w:tc>
          <w:tcPr>
            <w:tcW w:w="0" w:type="auto"/>
          </w:tcPr>
          <w:p w14:paraId="6FD7FCE3" w14:textId="77777777" w:rsidR="00651198" w:rsidRPr="002A4675" w:rsidRDefault="00651198" w:rsidP="001335C6">
            <w:pPr>
              <w:outlineLvl w:val="0"/>
              <w:rPr>
                <w:rFonts w:ascii="Times New Roman" w:eastAsia="Times New Roman" w:hAnsi="Times New Roman" w:cs="Times New Roman"/>
                <w:sz w:val="16"/>
                <w:szCs w:val="16"/>
              </w:rPr>
            </w:pPr>
          </w:p>
        </w:tc>
        <w:tc>
          <w:tcPr>
            <w:tcW w:w="702" w:type="dxa"/>
          </w:tcPr>
          <w:p w14:paraId="4C0D8953" w14:textId="77777777" w:rsidR="00651198" w:rsidRPr="002A4675" w:rsidRDefault="00651198" w:rsidP="001335C6">
            <w:pPr>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HC</w:t>
            </w:r>
          </w:p>
        </w:tc>
        <w:tc>
          <w:tcPr>
            <w:tcW w:w="672" w:type="dxa"/>
          </w:tcPr>
          <w:p w14:paraId="3E5A0E8B" w14:textId="77777777" w:rsidR="00651198" w:rsidRPr="002A4675" w:rsidRDefault="00651198" w:rsidP="001335C6">
            <w:pPr>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POL</w:t>
            </w:r>
          </w:p>
        </w:tc>
        <w:tc>
          <w:tcPr>
            <w:tcW w:w="0" w:type="auto"/>
          </w:tcPr>
          <w:p w14:paraId="1FECB8B9" w14:textId="77777777" w:rsidR="00651198" w:rsidRPr="002A4675" w:rsidRDefault="00651198" w:rsidP="001335C6">
            <w:pPr>
              <w:jc w:val="cente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HC</w:t>
            </w:r>
          </w:p>
        </w:tc>
        <w:tc>
          <w:tcPr>
            <w:tcW w:w="0" w:type="auto"/>
          </w:tcPr>
          <w:p w14:paraId="57775CF5" w14:textId="77777777" w:rsidR="00651198" w:rsidRPr="002A4675" w:rsidRDefault="00651198" w:rsidP="001335C6">
            <w:pP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POL</w:t>
            </w:r>
          </w:p>
        </w:tc>
        <w:tc>
          <w:tcPr>
            <w:tcW w:w="0" w:type="auto"/>
          </w:tcPr>
          <w:p w14:paraId="19361559" w14:textId="77777777" w:rsidR="00651198" w:rsidRPr="002A4675" w:rsidRDefault="00651198" w:rsidP="001335C6">
            <w:pP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HC</w:t>
            </w:r>
          </w:p>
        </w:tc>
        <w:tc>
          <w:tcPr>
            <w:tcW w:w="0" w:type="auto"/>
          </w:tcPr>
          <w:p w14:paraId="4ADDB1DA" w14:textId="77777777" w:rsidR="00651198" w:rsidRPr="002A4675" w:rsidRDefault="00651198" w:rsidP="001335C6">
            <w:pP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POL</w:t>
            </w:r>
          </w:p>
        </w:tc>
        <w:tc>
          <w:tcPr>
            <w:tcW w:w="0" w:type="auto"/>
          </w:tcPr>
          <w:p w14:paraId="35FCCCB7" w14:textId="77777777" w:rsidR="00651198" w:rsidRPr="002A4675" w:rsidRDefault="00651198" w:rsidP="001335C6">
            <w:pP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HC</w:t>
            </w:r>
          </w:p>
        </w:tc>
        <w:tc>
          <w:tcPr>
            <w:tcW w:w="0" w:type="auto"/>
          </w:tcPr>
          <w:p w14:paraId="3E465E20"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HC</w:t>
            </w:r>
          </w:p>
        </w:tc>
        <w:tc>
          <w:tcPr>
            <w:tcW w:w="0" w:type="auto"/>
          </w:tcPr>
          <w:p w14:paraId="2C95BCB4"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Times New Roman" w:eastAsia="Times New Roman" w:hAnsi="Times New Roman" w:cs="Times New Roman"/>
                <w:sz w:val="16"/>
                <w:szCs w:val="16"/>
              </w:rPr>
              <w:t>HC</w:t>
            </w:r>
          </w:p>
        </w:tc>
        <w:tc>
          <w:tcPr>
            <w:tcW w:w="0" w:type="auto"/>
          </w:tcPr>
          <w:p w14:paraId="07751F62" w14:textId="77777777" w:rsidR="00651198" w:rsidRPr="002A4675" w:rsidRDefault="00651198" w:rsidP="001335C6">
            <w:pP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POL</w:t>
            </w:r>
          </w:p>
        </w:tc>
        <w:tc>
          <w:tcPr>
            <w:tcW w:w="0" w:type="auto"/>
          </w:tcPr>
          <w:p w14:paraId="3341ABD9" w14:textId="77777777" w:rsidR="00651198" w:rsidRPr="002A4675" w:rsidRDefault="00651198" w:rsidP="001335C6">
            <w:pPr>
              <w:outlineLvl w:val="0"/>
              <w:rPr>
                <w:rFonts w:ascii="Times New Roman" w:eastAsia="Times New Roman" w:hAnsi="Times New Roman" w:cs="Times New Roman"/>
                <w:sz w:val="16"/>
                <w:szCs w:val="16"/>
              </w:rPr>
            </w:pPr>
            <w:r>
              <w:rPr>
                <w:rFonts w:ascii="Times New Roman" w:eastAsia="Times New Roman" w:hAnsi="Times New Roman" w:cs="Times New Roman"/>
                <w:sz w:val="16"/>
                <w:szCs w:val="16"/>
              </w:rPr>
              <w:t>HC</w:t>
            </w:r>
          </w:p>
        </w:tc>
      </w:tr>
      <w:tr w:rsidR="00651198" w:rsidRPr="00D051BE" w14:paraId="00E205D7" w14:textId="77777777" w:rsidTr="00651198">
        <w:tc>
          <w:tcPr>
            <w:tcW w:w="0" w:type="auto"/>
            <w:vAlign w:val="bottom"/>
          </w:tcPr>
          <w:p w14:paraId="04169029"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Calibri" w:hAnsi="Calibri"/>
                <w:color w:val="000000"/>
                <w:sz w:val="16"/>
                <w:szCs w:val="16"/>
              </w:rPr>
              <w:t>POCT Coordinators</w:t>
            </w:r>
          </w:p>
        </w:tc>
        <w:tc>
          <w:tcPr>
            <w:tcW w:w="0" w:type="auto"/>
            <w:vAlign w:val="bottom"/>
          </w:tcPr>
          <w:p w14:paraId="70A539C0"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500</w:t>
            </w:r>
          </w:p>
        </w:tc>
        <w:tc>
          <w:tcPr>
            <w:tcW w:w="702" w:type="dxa"/>
            <w:vAlign w:val="bottom"/>
          </w:tcPr>
          <w:p w14:paraId="0DA5782F" w14:textId="77777777" w:rsidR="00651198" w:rsidRPr="002A4675" w:rsidRDefault="00651198" w:rsidP="001335C6">
            <w:pPr>
              <w:jc w:val="right"/>
              <w:rPr>
                <w:rFonts w:ascii="Calibri" w:hAnsi="Calibri"/>
                <w:color w:val="000000"/>
                <w:sz w:val="16"/>
                <w:szCs w:val="16"/>
              </w:rPr>
            </w:pPr>
          </w:p>
        </w:tc>
        <w:tc>
          <w:tcPr>
            <w:tcW w:w="672" w:type="dxa"/>
            <w:vAlign w:val="bottom"/>
          </w:tcPr>
          <w:p w14:paraId="20005940" w14:textId="77777777" w:rsidR="00651198" w:rsidRPr="002A4675" w:rsidRDefault="00651198" w:rsidP="001335C6">
            <w:pPr>
              <w:rPr>
                <w:sz w:val="16"/>
                <w:szCs w:val="16"/>
              </w:rPr>
            </w:pPr>
          </w:p>
        </w:tc>
        <w:tc>
          <w:tcPr>
            <w:tcW w:w="0" w:type="auto"/>
            <w:vAlign w:val="bottom"/>
          </w:tcPr>
          <w:p w14:paraId="486CAC3D" w14:textId="77777777" w:rsidR="00651198" w:rsidRPr="002A4675" w:rsidRDefault="00651198" w:rsidP="001335C6">
            <w:pPr>
              <w:rPr>
                <w:sz w:val="16"/>
                <w:szCs w:val="16"/>
              </w:rPr>
            </w:pPr>
          </w:p>
        </w:tc>
        <w:tc>
          <w:tcPr>
            <w:tcW w:w="0" w:type="auto"/>
            <w:vAlign w:val="bottom"/>
          </w:tcPr>
          <w:p w14:paraId="0C187EA6" w14:textId="77777777" w:rsidR="00651198" w:rsidRPr="002A4675" w:rsidRDefault="00651198" w:rsidP="001335C6">
            <w:pPr>
              <w:rPr>
                <w:sz w:val="16"/>
                <w:szCs w:val="16"/>
              </w:rPr>
            </w:pPr>
          </w:p>
        </w:tc>
        <w:tc>
          <w:tcPr>
            <w:tcW w:w="0" w:type="auto"/>
            <w:vAlign w:val="bottom"/>
          </w:tcPr>
          <w:p w14:paraId="22BF5BA8" w14:textId="77777777" w:rsidR="00651198" w:rsidRPr="002A4675" w:rsidRDefault="00651198" w:rsidP="001335C6">
            <w:pPr>
              <w:rPr>
                <w:sz w:val="16"/>
                <w:szCs w:val="16"/>
              </w:rPr>
            </w:pPr>
          </w:p>
        </w:tc>
        <w:tc>
          <w:tcPr>
            <w:tcW w:w="0" w:type="auto"/>
            <w:vAlign w:val="bottom"/>
          </w:tcPr>
          <w:p w14:paraId="222BFC19"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250</w:t>
            </w:r>
          </w:p>
        </w:tc>
        <w:tc>
          <w:tcPr>
            <w:tcW w:w="0" w:type="auto"/>
            <w:vAlign w:val="bottom"/>
          </w:tcPr>
          <w:p w14:paraId="0C730A2D"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250</w:t>
            </w:r>
          </w:p>
        </w:tc>
        <w:tc>
          <w:tcPr>
            <w:tcW w:w="0" w:type="auto"/>
            <w:vAlign w:val="bottom"/>
          </w:tcPr>
          <w:p w14:paraId="345A1194" w14:textId="77777777" w:rsidR="00651198" w:rsidRPr="002A4675" w:rsidRDefault="00651198" w:rsidP="001335C6">
            <w:pPr>
              <w:rPr>
                <w:sz w:val="16"/>
                <w:szCs w:val="16"/>
              </w:rPr>
            </w:pPr>
          </w:p>
        </w:tc>
        <w:tc>
          <w:tcPr>
            <w:tcW w:w="0" w:type="auto"/>
            <w:vAlign w:val="bottom"/>
          </w:tcPr>
          <w:p w14:paraId="7E611B33" w14:textId="77777777" w:rsidR="00651198" w:rsidRPr="002A4675" w:rsidRDefault="00651198" w:rsidP="001335C6">
            <w:pPr>
              <w:rPr>
                <w:sz w:val="16"/>
                <w:szCs w:val="16"/>
              </w:rPr>
            </w:pPr>
          </w:p>
        </w:tc>
        <w:tc>
          <w:tcPr>
            <w:tcW w:w="0" w:type="auto"/>
            <w:vAlign w:val="bottom"/>
          </w:tcPr>
          <w:p w14:paraId="6E5D7BD2" w14:textId="77777777" w:rsidR="00651198" w:rsidRPr="002A4675" w:rsidRDefault="00651198" w:rsidP="001335C6">
            <w:pPr>
              <w:jc w:val="right"/>
              <w:rPr>
                <w:rFonts w:ascii="Calibri" w:hAnsi="Calibri"/>
                <w:color w:val="000000"/>
                <w:sz w:val="16"/>
                <w:szCs w:val="16"/>
              </w:rPr>
            </w:pPr>
          </w:p>
        </w:tc>
        <w:tc>
          <w:tcPr>
            <w:tcW w:w="0" w:type="auto"/>
            <w:vAlign w:val="bottom"/>
          </w:tcPr>
          <w:p w14:paraId="136410B7" w14:textId="77777777" w:rsidR="00651198" w:rsidRPr="002A4675" w:rsidRDefault="00651198" w:rsidP="001335C6">
            <w:pPr>
              <w:jc w:val="right"/>
              <w:rPr>
                <w:rFonts w:ascii="Calibri" w:hAnsi="Calibri"/>
                <w:color w:val="000000"/>
                <w:sz w:val="16"/>
                <w:szCs w:val="16"/>
              </w:rPr>
            </w:pPr>
          </w:p>
        </w:tc>
      </w:tr>
      <w:tr w:rsidR="00651198" w:rsidRPr="00D051BE" w14:paraId="41D43AFA" w14:textId="77777777" w:rsidTr="00651198">
        <w:tc>
          <w:tcPr>
            <w:tcW w:w="0" w:type="auto"/>
            <w:vAlign w:val="bottom"/>
          </w:tcPr>
          <w:p w14:paraId="7A06B5E9"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Calibri" w:hAnsi="Calibri"/>
                <w:color w:val="000000"/>
                <w:sz w:val="16"/>
                <w:szCs w:val="16"/>
              </w:rPr>
              <w:t>Laboratory Directors</w:t>
            </w:r>
          </w:p>
        </w:tc>
        <w:tc>
          <w:tcPr>
            <w:tcW w:w="0" w:type="auto"/>
            <w:vAlign w:val="bottom"/>
          </w:tcPr>
          <w:p w14:paraId="6E7D9D4F"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4276</w:t>
            </w:r>
          </w:p>
        </w:tc>
        <w:tc>
          <w:tcPr>
            <w:tcW w:w="702" w:type="dxa"/>
            <w:vAlign w:val="bottom"/>
          </w:tcPr>
          <w:p w14:paraId="6408DA35"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1676</w:t>
            </w:r>
          </w:p>
        </w:tc>
        <w:tc>
          <w:tcPr>
            <w:tcW w:w="672" w:type="dxa"/>
            <w:vAlign w:val="bottom"/>
          </w:tcPr>
          <w:p w14:paraId="42A7FC7E"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418E546D"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500</w:t>
            </w:r>
          </w:p>
        </w:tc>
        <w:tc>
          <w:tcPr>
            <w:tcW w:w="0" w:type="auto"/>
            <w:vAlign w:val="bottom"/>
          </w:tcPr>
          <w:p w14:paraId="0C49AD99" w14:textId="77777777" w:rsidR="00651198" w:rsidRPr="002A4675" w:rsidRDefault="00651198" w:rsidP="001335C6">
            <w:pPr>
              <w:jc w:val="right"/>
              <w:rPr>
                <w:rFonts w:ascii="Calibri" w:hAnsi="Calibri"/>
                <w:color w:val="000000"/>
                <w:sz w:val="16"/>
                <w:szCs w:val="16"/>
              </w:rPr>
            </w:pPr>
          </w:p>
        </w:tc>
        <w:tc>
          <w:tcPr>
            <w:tcW w:w="0" w:type="auto"/>
            <w:vAlign w:val="bottom"/>
          </w:tcPr>
          <w:p w14:paraId="01956B73" w14:textId="77777777" w:rsidR="00651198" w:rsidRPr="002A4675" w:rsidRDefault="00651198" w:rsidP="001335C6">
            <w:pPr>
              <w:rPr>
                <w:sz w:val="16"/>
                <w:szCs w:val="16"/>
              </w:rPr>
            </w:pPr>
          </w:p>
        </w:tc>
        <w:tc>
          <w:tcPr>
            <w:tcW w:w="0" w:type="auto"/>
            <w:vAlign w:val="bottom"/>
          </w:tcPr>
          <w:p w14:paraId="5C47DC57" w14:textId="77777777" w:rsidR="00651198" w:rsidRPr="002A4675" w:rsidRDefault="00651198" w:rsidP="001335C6">
            <w:pPr>
              <w:rPr>
                <w:sz w:val="16"/>
                <w:szCs w:val="16"/>
              </w:rPr>
            </w:pPr>
          </w:p>
        </w:tc>
        <w:tc>
          <w:tcPr>
            <w:tcW w:w="0" w:type="auto"/>
            <w:vAlign w:val="bottom"/>
          </w:tcPr>
          <w:p w14:paraId="4BDCCCF9" w14:textId="77777777" w:rsidR="00651198" w:rsidRPr="002A4675" w:rsidRDefault="00651198" w:rsidP="001335C6">
            <w:pPr>
              <w:rPr>
                <w:sz w:val="16"/>
                <w:szCs w:val="16"/>
              </w:rPr>
            </w:pPr>
          </w:p>
        </w:tc>
        <w:tc>
          <w:tcPr>
            <w:tcW w:w="0" w:type="auto"/>
            <w:vAlign w:val="bottom"/>
          </w:tcPr>
          <w:p w14:paraId="70B049D1"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200</w:t>
            </w:r>
          </w:p>
        </w:tc>
        <w:tc>
          <w:tcPr>
            <w:tcW w:w="0" w:type="auto"/>
            <w:vAlign w:val="bottom"/>
          </w:tcPr>
          <w:p w14:paraId="360CBD34" w14:textId="77777777" w:rsidR="00651198" w:rsidRPr="002A4675" w:rsidRDefault="00651198" w:rsidP="001335C6">
            <w:pPr>
              <w:jc w:val="right"/>
              <w:rPr>
                <w:rFonts w:ascii="Calibri" w:hAnsi="Calibri"/>
                <w:color w:val="000000"/>
                <w:sz w:val="16"/>
                <w:szCs w:val="16"/>
              </w:rPr>
            </w:pPr>
            <w:r>
              <w:rPr>
                <w:rFonts w:ascii="Calibri" w:hAnsi="Calibri"/>
                <w:color w:val="000000"/>
                <w:sz w:val="16"/>
                <w:szCs w:val="16"/>
              </w:rPr>
              <w:t>5</w:t>
            </w:r>
            <w:r w:rsidRPr="002A4675">
              <w:rPr>
                <w:rFonts w:ascii="Calibri" w:hAnsi="Calibri"/>
                <w:color w:val="000000"/>
                <w:sz w:val="16"/>
                <w:szCs w:val="16"/>
              </w:rPr>
              <w:t>00</w:t>
            </w:r>
          </w:p>
        </w:tc>
        <w:tc>
          <w:tcPr>
            <w:tcW w:w="0" w:type="auto"/>
            <w:vAlign w:val="bottom"/>
          </w:tcPr>
          <w:p w14:paraId="21C34B7C" w14:textId="77777777" w:rsidR="00651198" w:rsidRPr="002A4675" w:rsidRDefault="00651198" w:rsidP="001335C6">
            <w:pPr>
              <w:jc w:val="right"/>
              <w:rPr>
                <w:rFonts w:ascii="Calibri" w:hAnsi="Calibri"/>
                <w:color w:val="000000"/>
                <w:sz w:val="16"/>
                <w:szCs w:val="16"/>
              </w:rPr>
            </w:pPr>
            <w:r>
              <w:rPr>
                <w:rFonts w:ascii="Calibri" w:hAnsi="Calibri"/>
                <w:color w:val="000000"/>
                <w:sz w:val="16"/>
                <w:szCs w:val="16"/>
              </w:rPr>
              <w:t>400</w:t>
            </w:r>
          </w:p>
        </w:tc>
        <w:tc>
          <w:tcPr>
            <w:tcW w:w="0" w:type="auto"/>
            <w:vAlign w:val="bottom"/>
          </w:tcPr>
          <w:p w14:paraId="5C33947C" w14:textId="77777777" w:rsidR="00651198" w:rsidRPr="002A4675" w:rsidRDefault="00651198" w:rsidP="001335C6">
            <w:pPr>
              <w:jc w:val="right"/>
              <w:rPr>
                <w:rFonts w:ascii="Calibri" w:hAnsi="Calibri"/>
                <w:color w:val="000000"/>
                <w:sz w:val="16"/>
                <w:szCs w:val="16"/>
              </w:rPr>
            </w:pPr>
          </w:p>
        </w:tc>
      </w:tr>
      <w:tr w:rsidR="00651198" w:rsidRPr="00D051BE" w14:paraId="2A80862F" w14:textId="77777777" w:rsidTr="00651198">
        <w:tc>
          <w:tcPr>
            <w:tcW w:w="0" w:type="auto"/>
            <w:vAlign w:val="bottom"/>
          </w:tcPr>
          <w:p w14:paraId="05E7722C"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Calibri" w:hAnsi="Calibri"/>
                <w:color w:val="000000"/>
                <w:sz w:val="16"/>
                <w:szCs w:val="16"/>
              </w:rPr>
              <w:t>Laboratory Managers</w:t>
            </w:r>
          </w:p>
        </w:tc>
        <w:tc>
          <w:tcPr>
            <w:tcW w:w="0" w:type="auto"/>
            <w:vAlign w:val="bottom"/>
          </w:tcPr>
          <w:p w14:paraId="1B13C44C"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4276</w:t>
            </w:r>
          </w:p>
        </w:tc>
        <w:tc>
          <w:tcPr>
            <w:tcW w:w="702" w:type="dxa"/>
            <w:vAlign w:val="bottom"/>
          </w:tcPr>
          <w:p w14:paraId="605E67EE"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1676</w:t>
            </w:r>
          </w:p>
        </w:tc>
        <w:tc>
          <w:tcPr>
            <w:tcW w:w="672" w:type="dxa"/>
            <w:vAlign w:val="bottom"/>
          </w:tcPr>
          <w:p w14:paraId="20C60AE0"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689BFF0D"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500</w:t>
            </w:r>
          </w:p>
        </w:tc>
        <w:tc>
          <w:tcPr>
            <w:tcW w:w="0" w:type="auto"/>
            <w:vAlign w:val="bottom"/>
          </w:tcPr>
          <w:p w14:paraId="43948118" w14:textId="77777777" w:rsidR="00651198" w:rsidRPr="002A4675" w:rsidRDefault="00651198" w:rsidP="001335C6">
            <w:pPr>
              <w:jc w:val="right"/>
              <w:rPr>
                <w:rFonts w:ascii="Calibri" w:hAnsi="Calibri"/>
                <w:color w:val="000000"/>
                <w:sz w:val="16"/>
                <w:szCs w:val="16"/>
              </w:rPr>
            </w:pPr>
          </w:p>
        </w:tc>
        <w:tc>
          <w:tcPr>
            <w:tcW w:w="0" w:type="auto"/>
            <w:vAlign w:val="bottom"/>
          </w:tcPr>
          <w:p w14:paraId="33295AB9" w14:textId="77777777" w:rsidR="00651198" w:rsidRPr="002A4675" w:rsidRDefault="00651198" w:rsidP="001335C6">
            <w:pPr>
              <w:rPr>
                <w:sz w:val="16"/>
                <w:szCs w:val="16"/>
              </w:rPr>
            </w:pPr>
          </w:p>
        </w:tc>
        <w:tc>
          <w:tcPr>
            <w:tcW w:w="0" w:type="auto"/>
            <w:vAlign w:val="bottom"/>
          </w:tcPr>
          <w:p w14:paraId="548A3F5A" w14:textId="77777777" w:rsidR="00651198" w:rsidRPr="002A4675" w:rsidRDefault="00651198" w:rsidP="001335C6">
            <w:pPr>
              <w:rPr>
                <w:sz w:val="16"/>
                <w:szCs w:val="16"/>
              </w:rPr>
            </w:pPr>
          </w:p>
        </w:tc>
        <w:tc>
          <w:tcPr>
            <w:tcW w:w="0" w:type="auto"/>
            <w:vAlign w:val="bottom"/>
          </w:tcPr>
          <w:p w14:paraId="56AD38DC" w14:textId="77777777" w:rsidR="00651198" w:rsidRPr="002A4675" w:rsidRDefault="00651198" w:rsidP="001335C6">
            <w:pPr>
              <w:rPr>
                <w:sz w:val="16"/>
                <w:szCs w:val="16"/>
              </w:rPr>
            </w:pPr>
          </w:p>
        </w:tc>
        <w:tc>
          <w:tcPr>
            <w:tcW w:w="0" w:type="auto"/>
            <w:vAlign w:val="bottom"/>
          </w:tcPr>
          <w:p w14:paraId="4E6B2F9B"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200</w:t>
            </w:r>
          </w:p>
        </w:tc>
        <w:tc>
          <w:tcPr>
            <w:tcW w:w="0" w:type="auto"/>
            <w:vAlign w:val="bottom"/>
          </w:tcPr>
          <w:p w14:paraId="010E256E" w14:textId="77777777" w:rsidR="00651198" w:rsidRPr="002A4675" w:rsidRDefault="00651198" w:rsidP="001335C6">
            <w:pPr>
              <w:jc w:val="right"/>
              <w:rPr>
                <w:rFonts w:ascii="Calibri" w:hAnsi="Calibri"/>
                <w:color w:val="000000"/>
                <w:sz w:val="16"/>
                <w:szCs w:val="16"/>
              </w:rPr>
            </w:pPr>
            <w:r>
              <w:rPr>
                <w:rFonts w:ascii="Calibri" w:hAnsi="Calibri"/>
                <w:color w:val="000000"/>
                <w:sz w:val="16"/>
                <w:szCs w:val="16"/>
              </w:rPr>
              <w:t>5</w:t>
            </w:r>
            <w:r w:rsidRPr="002A4675">
              <w:rPr>
                <w:rFonts w:ascii="Calibri" w:hAnsi="Calibri"/>
                <w:color w:val="000000"/>
                <w:sz w:val="16"/>
                <w:szCs w:val="16"/>
              </w:rPr>
              <w:t>00</w:t>
            </w:r>
          </w:p>
        </w:tc>
        <w:tc>
          <w:tcPr>
            <w:tcW w:w="0" w:type="auto"/>
            <w:vAlign w:val="bottom"/>
          </w:tcPr>
          <w:p w14:paraId="16BE9174" w14:textId="77777777" w:rsidR="00651198" w:rsidRPr="002A4675" w:rsidRDefault="00651198" w:rsidP="001335C6">
            <w:pPr>
              <w:jc w:val="right"/>
              <w:rPr>
                <w:rFonts w:ascii="Calibri" w:hAnsi="Calibri"/>
                <w:color w:val="000000"/>
                <w:sz w:val="16"/>
                <w:szCs w:val="16"/>
              </w:rPr>
            </w:pPr>
            <w:r>
              <w:rPr>
                <w:rFonts w:ascii="Calibri" w:hAnsi="Calibri"/>
                <w:color w:val="000000"/>
                <w:sz w:val="16"/>
                <w:szCs w:val="16"/>
              </w:rPr>
              <w:t>400</w:t>
            </w:r>
          </w:p>
        </w:tc>
        <w:tc>
          <w:tcPr>
            <w:tcW w:w="0" w:type="auto"/>
            <w:vAlign w:val="bottom"/>
          </w:tcPr>
          <w:p w14:paraId="27DED43A" w14:textId="77777777" w:rsidR="00651198" w:rsidRPr="002A4675" w:rsidRDefault="00651198" w:rsidP="001335C6">
            <w:pPr>
              <w:jc w:val="right"/>
              <w:rPr>
                <w:rFonts w:ascii="Calibri" w:hAnsi="Calibri"/>
                <w:color w:val="000000"/>
                <w:sz w:val="16"/>
                <w:szCs w:val="16"/>
              </w:rPr>
            </w:pPr>
          </w:p>
        </w:tc>
      </w:tr>
      <w:tr w:rsidR="00651198" w:rsidRPr="00D051BE" w14:paraId="3AC4FED1" w14:textId="77777777" w:rsidTr="00651198">
        <w:tc>
          <w:tcPr>
            <w:tcW w:w="0" w:type="auto"/>
            <w:vAlign w:val="bottom"/>
          </w:tcPr>
          <w:p w14:paraId="1FA87163"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Calibri" w:hAnsi="Calibri"/>
                <w:color w:val="000000"/>
                <w:sz w:val="16"/>
                <w:szCs w:val="16"/>
              </w:rPr>
              <w:t>Laboratory Supervisors</w:t>
            </w:r>
          </w:p>
        </w:tc>
        <w:tc>
          <w:tcPr>
            <w:tcW w:w="0" w:type="auto"/>
            <w:vAlign w:val="bottom"/>
          </w:tcPr>
          <w:p w14:paraId="1C12968E"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4276</w:t>
            </w:r>
          </w:p>
        </w:tc>
        <w:tc>
          <w:tcPr>
            <w:tcW w:w="702" w:type="dxa"/>
            <w:vAlign w:val="bottom"/>
          </w:tcPr>
          <w:p w14:paraId="10268E88"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1676</w:t>
            </w:r>
          </w:p>
        </w:tc>
        <w:tc>
          <w:tcPr>
            <w:tcW w:w="672" w:type="dxa"/>
            <w:vAlign w:val="bottom"/>
          </w:tcPr>
          <w:p w14:paraId="3236B76F"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7827EC1C"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500</w:t>
            </w:r>
          </w:p>
        </w:tc>
        <w:tc>
          <w:tcPr>
            <w:tcW w:w="0" w:type="auto"/>
            <w:vAlign w:val="bottom"/>
          </w:tcPr>
          <w:p w14:paraId="2E99DB02" w14:textId="77777777" w:rsidR="00651198" w:rsidRPr="002A4675" w:rsidRDefault="00651198" w:rsidP="001335C6">
            <w:pPr>
              <w:jc w:val="right"/>
              <w:rPr>
                <w:rFonts w:ascii="Calibri" w:hAnsi="Calibri"/>
                <w:color w:val="000000"/>
                <w:sz w:val="16"/>
                <w:szCs w:val="16"/>
              </w:rPr>
            </w:pPr>
          </w:p>
        </w:tc>
        <w:tc>
          <w:tcPr>
            <w:tcW w:w="0" w:type="auto"/>
            <w:vAlign w:val="bottom"/>
          </w:tcPr>
          <w:p w14:paraId="5F739C17" w14:textId="77777777" w:rsidR="00651198" w:rsidRPr="002A4675" w:rsidRDefault="00651198" w:rsidP="001335C6">
            <w:pPr>
              <w:rPr>
                <w:sz w:val="16"/>
                <w:szCs w:val="16"/>
              </w:rPr>
            </w:pPr>
          </w:p>
        </w:tc>
        <w:tc>
          <w:tcPr>
            <w:tcW w:w="0" w:type="auto"/>
            <w:vAlign w:val="bottom"/>
          </w:tcPr>
          <w:p w14:paraId="7137F951" w14:textId="77777777" w:rsidR="00651198" w:rsidRPr="002A4675" w:rsidRDefault="00651198" w:rsidP="001335C6">
            <w:pPr>
              <w:rPr>
                <w:sz w:val="16"/>
                <w:szCs w:val="16"/>
              </w:rPr>
            </w:pPr>
          </w:p>
        </w:tc>
        <w:tc>
          <w:tcPr>
            <w:tcW w:w="0" w:type="auto"/>
            <w:vAlign w:val="bottom"/>
          </w:tcPr>
          <w:p w14:paraId="0B6485E6" w14:textId="77777777" w:rsidR="00651198" w:rsidRPr="002A4675" w:rsidRDefault="00651198" w:rsidP="001335C6">
            <w:pPr>
              <w:rPr>
                <w:sz w:val="16"/>
                <w:szCs w:val="16"/>
              </w:rPr>
            </w:pPr>
          </w:p>
        </w:tc>
        <w:tc>
          <w:tcPr>
            <w:tcW w:w="0" w:type="auto"/>
            <w:vAlign w:val="bottom"/>
          </w:tcPr>
          <w:p w14:paraId="2A718A91"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200</w:t>
            </w:r>
          </w:p>
        </w:tc>
        <w:tc>
          <w:tcPr>
            <w:tcW w:w="0" w:type="auto"/>
            <w:vAlign w:val="bottom"/>
          </w:tcPr>
          <w:p w14:paraId="60DDB77D" w14:textId="77777777" w:rsidR="00651198" w:rsidRPr="002A4675" w:rsidRDefault="00651198" w:rsidP="001335C6">
            <w:pPr>
              <w:jc w:val="right"/>
              <w:rPr>
                <w:rFonts w:ascii="Calibri" w:hAnsi="Calibri"/>
                <w:color w:val="000000"/>
                <w:sz w:val="16"/>
                <w:szCs w:val="16"/>
              </w:rPr>
            </w:pPr>
            <w:r>
              <w:rPr>
                <w:rFonts w:ascii="Calibri" w:hAnsi="Calibri"/>
                <w:color w:val="000000"/>
                <w:sz w:val="16"/>
                <w:szCs w:val="16"/>
              </w:rPr>
              <w:t>5</w:t>
            </w:r>
            <w:r w:rsidRPr="002A4675">
              <w:rPr>
                <w:rFonts w:ascii="Calibri" w:hAnsi="Calibri"/>
                <w:color w:val="000000"/>
                <w:sz w:val="16"/>
                <w:szCs w:val="16"/>
              </w:rPr>
              <w:t>00</w:t>
            </w:r>
          </w:p>
        </w:tc>
        <w:tc>
          <w:tcPr>
            <w:tcW w:w="0" w:type="auto"/>
            <w:vAlign w:val="bottom"/>
          </w:tcPr>
          <w:p w14:paraId="34D515F2" w14:textId="77777777" w:rsidR="00651198" w:rsidRPr="002A4675" w:rsidRDefault="00651198" w:rsidP="001335C6">
            <w:pPr>
              <w:jc w:val="right"/>
              <w:rPr>
                <w:rFonts w:ascii="Calibri" w:hAnsi="Calibri"/>
                <w:color w:val="000000"/>
                <w:sz w:val="16"/>
                <w:szCs w:val="16"/>
              </w:rPr>
            </w:pPr>
            <w:r>
              <w:rPr>
                <w:rFonts w:ascii="Calibri" w:hAnsi="Calibri"/>
                <w:color w:val="000000"/>
                <w:sz w:val="16"/>
                <w:szCs w:val="16"/>
              </w:rPr>
              <w:t>400</w:t>
            </w:r>
          </w:p>
        </w:tc>
        <w:tc>
          <w:tcPr>
            <w:tcW w:w="0" w:type="auto"/>
            <w:vAlign w:val="bottom"/>
          </w:tcPr>
          <w:p w14:paraId="6DB7AF17" w14:textId="77777777" w:rsidR="00651198" w:rsidRPr="002A4675" w:rsidRDefault="00651198" w:rsidP="001335C6">
            <w:pPr>
              <w:jc w:val="right"/>
              <w:rPr>
                <w:rFonts w:ascii="Calibri" w:hAnsi="Calibri"/>
                <w:color w:val="000000"/>
                <w:sz w:val="16"/>
                <w:szCs w:val="16"/>
              </w:rPr>
            </w:pPr>
          </w:p>
        </w:tc>
      </w:tr>
      <w:tr w:rsidR="00651198" w:rsidRPr="00D051BE" w14:paraId="1547618E" w14:textId="77777777" w:rsidTr="00651198">
        <w:tc>
          <w:tcPr>
            <w:tcW w:w="0" w:type="auto"/>
            <w:vAlign w:val="bottom"/>
          </w:tcPr>
          <w:p w14:paraId="32705C56"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Calibri" w:hAnsi="Calibri"/>
                <w:color w:val="000000"/>
                <w:sz w:val="16"/>
                <w:szCs w:val="16"/>
              </w:rPr>
              <w:t>Medical Technologists</w:t>
            </w:r>
          </w:p>
        </w:tc>
        <w:tc>
          <w:tcPr>
            <w:tcW w:w="0" w:type="auto"/>
            <w:vAlign w:val="bottom"/>
          </w:tcPr>
          <w:p w14:paraId="1B9322DD"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7800</w:t>
            </w:r>
          </w:p>
        </w:tc>
        <w:tc>
          <w:tcPr>
            <w:tcW w:w="702" w:type="dxa"/>
            <w:vAlign w:val="bottom"/>
          </w:tcPr>
          <w:p w14:paraId="76AD4708" w14:textId="77777777" w:rsidR="00651198" w:rsidRPr="002A4675" w:rsidRDefault="00651198" w:rsidP="001335C6">
            <w:pPr>
              <w:jc w:val="right"/>
              <w:rPr>
                <w:rFonts w:ascii="Calibri" w:hAnsi="Calibri"/>
                <w:color w:val="000000"/>
                <w:sz w:val="16"/>
                <w:szCs w:val="16"/>
              </w:rPr>
            </w:pPr>
          </w:p>
        </w:tc>
        <w:tc>
          <w:tcPr>
            <w:tcW w:w="672" w:type="dxa"/>
            <w:vAlign w:val="bottom"/>
          </w:tcPr>
          <w:p w14:paraId="708AFA6F" w14:textId="77777777" w:rsidR="00651198" w:rsidRPr="002A4675" w:rsidRDefault="00651198" w:rsidP="001335C6">
            <w:pPr>
              <w:rPr>
                <w:sz w:val="16"/>
                <w:szCs w:val="16"/>
              </w:rPr>
            </w:pPr>
          </w:p>
        </w:tc>
        <w:tc>
          <w:tcPr>
            <w:tcW w:w="0" w:type="auto"/>
            <w:vAlign w:val="bottom"/>
          </w:tcPr>
          <w:p w14:paraId="1EB67055"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58003808"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1B726BDE"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0FA0D8C7" w14:textId="77777777" w:rsidR="00651198" w:rsidRPr="002A4675" w:rsidRDefault="00651198" w:rsidP="001335C6">
            <w:pPr>
              <w:jc w:val="right"/>
              <w:rPr>
                <w:rFonts w:ascii="Calibri" w:hAnsi="Calibri"/>
                <w:color w:val="000000"/>
                <w:sz w:val="16"/>
                <w:szCs w:val="16"/>
              </w:rPr>
            </w:pPr>
          </w:p>
        </w:tc>
        <w:tc>
          <w:tcPr>
            <w:tcW w:w="0" w:type="auto"/>
            <w:vAlign w:val="bottom"/>
          </w:tcPr>
          <w:p w14:paraId="28A8F574" w14:textId="77777777" w:rsidR="00651198" w:rsidRPr="002A4675" w:rsidRDefault="00651198" w:rsidP="001335C6">
            <w:pPr>
              <w:rPr>
                <w:sz w:val="16"/>
                <w:szCs w:val="16"/>
              </w:rPr>
            </w:pPr>
          </w:p>
        </w:tc>
        <w:tc>
          <w:tcPr>
            <w:tcW w:w="0" w:type="auto"/>
            <w:vAlign w:val="bottom"/>
          </w:tcPr>
          <w:p w14:paraId="74DD2E97"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645153AF" w14:textId="77777777" w:rsidR="00651198" w:rsidRPr="002A4675" w:rsidRDefault="00651198" w:rsidP="001335C6">
            <w:pPr>
              <w:jc w:val="right"/>
              <w:rPr>
                <w:rFonts w:ascii="Calibri" w:hAnsi="Calibri"/>
                <w:color w:val="000000"/>
                <w:sz w:val="16"/>
                <w:szCs w:val="16"/>
              </w:rPr>
            </w:pPr>
            <w:r>
              <w:rPr>
                <w:rFonts w:ascii="Calibri" w:hAnsi="Calibri"/>
                <w:color w:val="000000"/>
                <w:sz w:val="16"/>
                <w:szCs w:val="16"/>
              </w:rPr>
              <w:t>10</w:t>
            </w:r>
            <w:r w:rsidRPr="002A4675">
              <w:rPr>
                <w:rFonts w:ascii="Calibri" w:hAnsi="Calibri"/>
                <w:color w:val="000000"/>
                <w:sz w:val="16"/>
                <w:szCs w:val="16"/>
              </w:rPr>
              <w:t>00</w:t>
            </w:r>
          </w:p>
        </w:tc>
        <w:tc>
          <w:tcPr>
            <w:tcW w:w="0" w:type="auto"/>
            <w:vAlign w:val="bottom"/>
          </w:tcPr>
          <w:p w14:paraId="1F045218" w14:textId="77777777" w:rsidR="00651198" w:rsidRPr="002A4675" w:rsidRDefault="00651198" w:rsidP="001335C6">
            <w:pPr>
              <w:jc w:val="right"/>
              <w:rPr>
                <w:rFonts w:ascii="Calibri" w:hAnsi="Calibri"/>
                <w:color w:val="000000"/>
                <w:sz w:val="16"/>
                <w:szCs w:val="16"/>
              </w:rPr>
            </w:pPr>
            <w:r>
              <w:rPr>
                <w:rFonts w:ascii="Calibri" w:hAnsi="Calibri"/>
                <w:color w:val="000000"/>
                <w:sz w:val="16"/>
                <w:szCs w:val="16"/>
              </w:rPr>
              <w:t>800</w:t>
            </w:r>
          </w:p>
        </w:tc>
        <w:tc>
          <w:tcPr>
            <w:tcW w:w="0" w:type="auto"/>
            <w:vAlign w:val="bottom"/>
          </w:tcPr>
          <w:p w14:paraId="03CE1D51" w14:textId="77777777" w:rsidR="00651198" w:rsidRPr="002A4675" w:rsidRDefault="00651198" w:rsidP="001335C6">
            <w:pPr>
              <w:jc w:val="right"/>
              <w:rPr>
                <w:rFonts w:ascii="Calibri" w:hAnsi="Calibri"/>
                <w:color w:val="000000"/>
                <w:sz w:val="16"/>
                <w:szCs w:val="16"/>
              </w:rPr>
            </w:pPr>
            <w:r>
              <w:rPr>
                <w:rFonts w:ascii="Calibri" w:hAnsi="Calibri"/>
                <w:color w:val="000000"/>
                <w:sz w:val="16"/>
                <w:szCs w:val="16"/>
              </w:rPr>
              <w:t>2000</w:t>
            </w:r>
          </w:p>
        </w:tc>
      </w:tr>
      <w:tr w:rsidR="00651198" w:rsidRPr="00D051BE" w14:paraId="10A6745F" w14:textId="77777777" w:rsidTr="00651198">
        <w:tc>
          <w:tcPr>
            <w:tcW w:w="0" w:type="auto"/>
            <w:vAlign w:val="bottom"/>
          </w:tcPr>
          <w:p w14:paraId="6E762FBE" w14:textId="77777777" w:rsidR="00651198" w:rsidRPr="002A4675" w:rsidRDefault="00651198" w:rsidP="001335C6">
            <w:pPr>
              <w:jc w:val="center"/>
              <w:outlineLvl w:val="0"/>
              <w:rPr>
                <w:rFonts w:ascii="Times New Roman" w:eastAsia="Times New Roman" w:hAnsi="Times New Roman" w:cs="Times New Roman"/>
                <w:sz w:val="16"/>
                <w:szCs w:val="16"/>
              </w:rPr>
            </w:pPr>
            <w:r w:rsidRPr="002A4675">
              <w:rPr>
                <w:rFonts w:ascii="Calibri" w:hAnsi="Calibri"/>
                <w:color w:val="000000"/>
                <w:sz w:val="16"/>
                <w:szCs w:val="16"/>
              </w:rPr>
              <w:t>Nurses</w:t>
            </w:r>
          </w:p>
        </w:tc>
        <w:tc>
          <w:tcPr>
            <w:tcW w:w="0" w:type="auto"/>
            <w:vAlign w:val="bottom"/>
          </w:tcPr>
          <w:p w14:paraId="47127DD7"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5000</w:t>
            </w:r>
          </w:p>
        </w:tc>
        <w:tc>
          <w:tcPr>
            <w:tcW w:w="702" w:type="dxa"/>
            <w:vAlign w:val="bottom"/>
          </w:tcPr>
          <w:p w14:paraId="2B7277A6" w14:textId="77777777" w:rsidR="00651198" w:rsidRPr="002A4675" w:rsidRDefault="00651198" w:rsidP="001335C6">
            <w:pPr>
              <w:jc w:val="right"/>
              <w:rPr>
                <w:rFonts w:ascii="Calibri" w:hAnsi="Calibri"/>
                <w:color w:val="000000"/>
                <w:sz w:val="16"/>
                <w:szCs w:val="16"/>
              </w:rPr>
            </w:pPr>
          </w:p>
        </w:tc>
        <w:tc>
          <w:tcPr>
            <w:tcW w:w="672" w:type="dxa"/>
            <w:vAlign w:val="bottom"/>
          </w:tcPr>
          <w:p w14:paraId="6164ED46"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77EF8BB0" w14:textId="77777777" w:rsidR="00651198" w:rsidRPr="002A4675" w:rsidRDefault="00651198" w:rsidP="001335C6">
            <w:pPr>
              <w:jc w:val="right"/>
              <w:rPr>
                <w:rFonts w:ascii="Calibri" w:hAnsi="Calibri"/>
                <w:color w:val="000000"/>
                <w:sz w:val="16"/>
                <w:szCs w:val="16"/>
              </w:rPr>
            </w:pPr>
          </w:p>
        </w:tc>
        <w:tc>
          <w:tcPr>
            <w:tcW w:w="0" w:type="auto"/>
            <w:vAlign w:val="bottom"/>
          </w:tcPr>
          <w:p w14:paraId="3BCEE968" w14:textId="77777777" w:rsidR="00651198" w:rsidRPr="002A4675" w:rsidRDefault="00651198" w:rsidP="001335C6">
            <w:pPr>
              <w:rPr>
                <w:sz w:val="16"/>
                <w:szCs w:val="16"/>
              </w:rPr>
            </w:pPr>
          </w:p>
        </w:tc>
        <w:tc>
          <w:tcPr>
            <w:tcW w:w="0" w:type="auto"/>
            <w:vAlign w:val="bottom"/>
          </w:tcPr>
          <w:p w14:paraId="0BDD0809" w14:textId="77777777" w:rsidR="00651198" w:rsidRPr="002A4675" w:rsidRDefault="00651198" w:rsidP="001335C6">
            <w:pPr>
              <w:rPr>
                <w:sz w:val="16"/>
                <w:szCs w:val="16"/>
              </w:rPr>
            </w:pPr>
          </w:p>
        </w:tc>
        <w:tc>
          <w:tcPr>
            <w:tcW w:w="0" w:type="auto"/>
            <w:vAlign w:val="bottom"/>
          </w:tcPr>
          <w:p w14:paraId="3989FF29" w14:textId="77777777" w:rsidR="00651198" w:rsidRPr="002A4675" w:rsidRDefault="00651198" w:rsidP="001335C6">
            <w:pPr>
              <w:rPr>
                <w:sz w:val="16"/>
                <w:szCs w:val="16"/>
              </w:rPr>
            </w:pPr>
          </w:p>
        </w:tc>
        <w:tc>
          <w:tcPr>
            <w:tcW w:w="0" w:type="auto"/>
            <w:vAlign w:val="bottom"/>
          </w:tcPr>
          <w:p w14:paraId="7E0EA314" w14:textId="77777777" w:rsidR="00651198" w:rsidRPr="002A4675" w:rsidRDefault="00651198" w:rsidP="001335C6">
            <w:pPr>
              <w:rPr>
                <w:sz w:val="16"/>
                <w:szCs w:val="16"/>
              </w:rPr>
            </w:pPr>
          </w:p>
        </w:tc>
        <w:tc>
          <w:tcPr>
            <w:tcW w:w="0" w:type="auto"/>
            <w:vAlign w:val="bottom"/>
          </w:tcPr>
          <w:p w14:paraId="129338A5" w14:textId="77777777" w:rsidR="00651198" w:rsidRPr="002A4675" w:rsidRDefault="00651198" w:rsidP="001335C6">
            <w:pPr>
              <w:rPr>
                <w:sz w:val="16"/>
                <w:szCs w:val="16"/>
              </w:rPr>
            </w:pPr>
          </w:p>
        </w:tc>
        <w:tc>
          <w:tcPr>
            <w:tcW w:w="0" w:type="auto"/>
            <w:vAlign w:val="bottom"/>
          </w:tcPr>
          <w:p w14:paraId="34F0C784" w14:textId="77777777" w:rsidR="00651198" w:rsidRPr="002A4675" w:rsidRDefault="00651198" w:rsidP="001335C6">
            <w:pPr>
              <w:jc w:val="right"/>
              <w:rPr>
                <w:rFonts w:ascii="Calibri" w:hAnsi="Calibri"/>
                <w:color w:val="000000"/>
                <w:sz w:val="16"/>
                <w:szCs w:val="16"/>
              </w:rPr>
            </w:pPr>
          </w:p>
        </w:tc>
        <w:tc>
          <w:tcPr>
            <w:tcW w:w="0" w:type="auto"/>
            <w:vAlign w:val="bottom"/>
          </w:tcPr>
          <w:p w14:paraId="1422E7ED" w14:textId="77777777" w:rsidR="00651198" w:rsidRPr="002A4675" w:rsidRDefault="00651198" w:rsidP="001335C6">
            <w:pPr>
              <w:jc w:val="right"/>
              <w:rPr>
                <w:rFonts w:ascii="Calibri" w:hAnsi="Calibri"/>
                <w:color w:val="000000"/>
                <w:sz w:val="16"/>
                <w:szCs w:val="16"/>
              </w:rPr>
            </w:pPr>
            <w:r>
              <w:rPr>
                <w:rFonts w:ascii="Calibri" w:hAnsi="Calibri"/>
                <w:color w:val="000000"/>
                <w:sz w:val="16"/>
                <w:szCs w:val="16"/>
              </w:rPr>
              <w:t>4</w:t>
            </w:r>
            <w:r w:rsidRPr="002A4675">
              <w:rPr>
                <w:rFonts w:ascii="Calibri" w:hAnsi="Calibri"/>
                <w:color w:val="000000"/>
                <w:sz w:val="16"/>
                <w:szCs w:val="16"/>
              </w:rPr>
              <w:t>000</w:t>
            </w:r>
          </w:p>
        </w:tc>
        <w:tc>
          <w:tcPr>
            <w:tcW w:w="0" w:type="auto"/>
            <w:vAlign w:val="bottom"/>
          </w:tcPr>
          <w:p w14:paraId="1A2821D4" w14:textId="77777777" w:rsidR="00651198" w:rsidRPr="002A4675" w:rsidRDefault="00651198" w:rsidP="001335C6">
            <w:pPr>
              <w:jc w:val="right"/>
              <w:rPr>
                <w:rFonts w:ascii="Calibri" w:hAnsi="Calibri"/>
                <w:color w:val="000000"/>
                <w:sz w:val="16"/>
                <w:szCs w:val="16"/>
              </w:rPr>
            </w:pPr>
          </w:p>
        </w:tc>
      </w:tr>
      <w:tr w:rsidR="00651198" w:rsidRPr="00D051BE" w14:paraId="50F8B2C7" w14:textId="77777777" w:rsidTr="00651198">
        <w:tc>
          <w:tcPr>
            <w:tcW w:w="0" w:type="auto"/>
            <w:vAlign w:val="bottom"/>
          </w:tcPr>
          <w:p w14:paraId="5CCB1662" w14:textId="77777777" w:rsidR="00651198" w:rsidRPr="002A4675" w:rsidRDefault="00651198" w:rsidP="001335C6">
            <w:pPr>
              <w:jc w:val="center"/>
              <w:outlineLvl w:val="0"/>
              <w:rPr>
                <w:rFonts w:ascii="Times New Roman" w:eastAsia="Times New Roman" w:hAnsi="Times New Roman" w:cs="Times New Roman"/>
                <w:sz w:val="16"/>
                <w:szCs w:val="16"/>
              </w:rPr>
            </w:pPr>
            <w:r>
              <w:rPr>
                <w:rFonts w:ascii="Calibri" w:hAnsi="Calibri"/>
                <w:color w:val="000000"/>
                <w:sz w:val="16"/>
                <w:szCs w:val="16"/>
              </w:rPr>
              <w:t>Medical Doctors</w:t>
            </w:r>
          </w:p>
        </w:tc>
        <w:tc>
          <w:tcPr>
            <w:tcW w:w="0" w:type="auto"/>
            <w:vAlign w:val="bottom"/>
          </w:tcPr>
          <w:p w14:paraId="76269E71"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3500</w:t>
            </w:r>
          </w:p>
        </w:tc>
        <w:tc>
          <w:tcPr>
            <w:tcW w:w="702" w:type="dxa"/>
            <w:vAlign w:val="bottom"/>
          </w:tcPr>
          <w:p w14:paraId="42994405" w14:textId="77777777" w:rsidR="00651198" w:rsidRPr="002A4675" w:rsidRDefault="00651198" w:rsidP="001335C6">
            <w:pPr>
              <w:jc w:val="right"/>
              <w:rPr>
                <w:rFonts w:ascii="Calibri" w:hAnsi="Calibri"/>
                <w:color w:val="000000"/>
                <w:sz w:val="16"/>
                <w:szCs w:val="16"/>
              </w:rPr>
            </w:pPr>
          </w:p>
        </w:tc>
        <w:tc>
          <w:tcPr>
            <w:tcW w:w="672" w:type="dxa"/>
            <w:vAlign w:val="bottom"/>
          </w:tcPr>
          <w:p w14:paraId="0CD34E1C"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1000</w:t>
            </w:r>
          </w:p>
        </w:tc>
        <w:tc>
          <w:tcPr>
            <w:tcW w:w="0" w:type="auto"/>
            <w:vAlign w:val="bottom"/>
          </w:tcPr>
          <w:p w14:paraId="216836EE" w14:textId="77777777" w:rsidR="00651198" w:rsidRPr="002A4675" w:rsidRDefault="00651198" w:rsidP="001335C6">
            <w:pPr>
              <w:jc w:val="right"/>
              <w:rPr>
                <w:rFonts w:ascii="Calibri" w:hAnsi="Calibri"/>
                <w:color w:val="000000"/>
                <w:sz w:val="16"/>
                <w:szCs w:val="16"/>
              </w:rPr>
            </w:pPr>
          </w:p>
        </w:tc>
        <w:tc>
          <w:tcPr>
            <w:tcW w:w="0" w:type="auto"/>
            <w:vAlign w:val="bottom"/>
          </w:tcPr>
          <w:p w14:paraId="36100920" w14:textId="77777777" w:rsidR="00651198" w:rsidRPr="002A4675" w:rsidRDefault="00651198" w:rsidP="001335C6">
            <w:pPr>
              <w:rPr>
                <w:sz w:val="16"/>
                <w:szCs w:val="16"/>
              </w:rPr>
            </w:pPr>
          </w:p>
        </w:tc>
        <w:tc>
          <w:tcPr>
            <w:tcW w:w="0" w:type="auto"/>
            <w:vAlign w:val="bottom"/>
          </w:tcPr>
          <w:p w14:paraId="203AE11A" w14:textId="77777777" w:rsidR="00651198" w:rsidRPr="002A4675" w:rsidRDefault="00651198" w:rsidP="001335C6">
            <w:pPr>
              <w:rPr>
                <w:sz w:val="16"/>
                <w:szCs w:val="16"/>
              </w:rPr>
            </w:pPr>
          </w:p>
        </w:tc>
        <w:tc>
          <w:tcPr>
            <w:tcW w:w="0" w:type="auto"/>
            <w:vAlign w:val="bottom"/>
          </w:tcPr>
          <w:p w14:paraId="0DDA5912" w14:textId="77777777" w:rsidR="00651198" w:rsidRPr="002A4675" w:rsidRDefault="00651198" w:rsidP="001335C6">
            <w:pPr>
              <w:rPr>
                <w:sz w:val="16"/>
                <w:szCs w:val="16"/>
              </w:rPr>
            </w:pPr>
          </w:p>
        </w:tc>
        <w:tc>
          <w:tcPr>
            <w:tcW w:w="0" w:type="auto"/>
            <w:vAlign w:val="bottom"/>
          </w:tcPr>
          <w:p w14:paraId="0C97CAFA" w14:textId="77777777" w:rsidR="00651198" w:rsidRPr="002A4675" w:rsidRDefault="00651198" w:rsidP="001335C6">
            <w:pPr>
              <w:rPr>
                <w:sz w:val="16"/>
                <w:szCs w:val="16"/>
              </w:rPr>
            </w:pPr>
          </w:p>
        </w:tc>
        <w:tc>
          <w:tcPr>
            <w:tcW w:w="0" w:type="auto"/>
            <w:vAlign w:val="bottom"/>
          </w:tcPr>
          <w:p w14:paraId="36529E94" w14:textId="77777777" w:rsidR="00651198" w:rsidRPr="002A4675" w:rsidRDefault="00651198" w:rsidP="001335C6">
            <w:pPr>
              <w:jc w:val="right"/>
              <w:rPr>
                <w:rFonts w:ascii="Calibri" w:hAnsi="Calibri"/>
                <w:color w:val="000000"/>
                <w:sz w:val="16"/>
                <w:szCs w:val="16"/>
              </w:rPr>
            </w:pPr>
          </w:p>
        </w:tc>
        <w:tc>
          <w:tcPr>
            <w:tcW w:w="0" w:type="auto"/>
            <w:vAlign w:val="bottom"/>
          </w:tcPr>
          <w:p w14:paraId="1A9A71BA" w14:textId="77777777" w:rsidR="00651198" w:rsidRPr="002A4675" w:rsidRDefault="00651198" w:rsidP="001335C6">
            <w:pPr>
              <w:jc w:val="right"/>
              <w:rPr>
                <w:rFonts w:ascii="Calibri" w:hAnsi="Calibri"/>
                <w:color w:val="000000"/>
                <w:sz w:val="16"/>
                <w:szCs w:val="16"/>
              </w:rPr>
            </w:pPr>
            <w:r w:rsidRPr="002A4675">
              <w:rPr>
                <w:rFonts w:ascii="Calibri" w:hAnsi="Calibri"/>
                <w:color w:val="000000"/>
                <w:sz w:val="16"/>
                <w:szCs w:val="16"/>
              </w:rPr>
              <w:t>2000</w:t>
            </w:r>
          </w:p>
        </w:tc>
        <w:tc>
          <w:tcPr>
            <w:tcW w:w="0" w:type="auto"/>
            <w:vAlign w:val="bottom"/>
          </w:tcPr>
          <w:p w14:paraId="3209BDDE" w14:textId="77777777" w:rsidR="00651198" w:rsidRPr="002A4675" w:rsidRDefault="00651198" w:rsidP="001335C6">
            <w:pPr>
              <w:jc w:val="right"/>
              <w:rPr>
                <w:rFonts w:ascii="Calibri" w:hAnsi="Calibri"/>
                <w:color w:val="000000"/>
                <w:sz w:val="16"/>
                <w:szCs w:val="16"/>
              </w:rPr>
            </w:pPr>
            <w:r>
              <w:rPr>
                <w:rFonts w:ascii="Calibri" w:hAnsi="Calibri"/>
                <w:color w:val="000000"/>
                <w:sz w:val="16"/>
                <w:szCs w:val="16"/>
              </w:rPr>
              <w:t>20</w:t>
            </w:r>
            <w:r w:rsidRPr="002A4675">
              <w:rPr>
                <w:rFonts w:ascii="Calibri" w:hAnsi="Calibri"/>
                <w:color w:val="000000"/>
                <w:sz w:val="16"/>
                <w:szCs w:val="16"/>
              </w:rPr>
              <w:t>00</w:t>
            </w:r>
          </w:p>
        </w:tc>
        <w:tc>
          <w:tcPr>
            <w:tcW w:w="0" w:type="auto"/>
            <w:vAlign w:val="bottom"/>
          </w:tcPr>
          <w:p w14:paraId="3AC5CA8F" w14:textId="77777777" w:rsidR="00651198" w:rsidRPr="002A4675" w:rsidRDefault="00651198" w:rsidP="001335C6">
            <w:pPr>
              <w:jc w:val="right"/>
              <w:rPr>
                <w:rFonts w:ascii="Calibri" w:hAnsi="Calibri"/>
                <w:color w:val="000000"/>
                <w:sz w:val="16"/>
                <w:szCs w:val="16"/>
              </w:rPr>
            </w:pPr>
          </w:p>
        </w:tc>
      </w:tr>
      <w:tr w:rsidR="00651198" w:rsidRPr="00D051BE" w14:paraId="713C4932" w14:textId="77777777" w:rsidTr="00651198">
        <w:tc>
          <w:tcPr>
            <w:tcW w:w="0" w:type="auto"/>
            <w:vAlign w:val="bottom"/>
          </w:tcPr>
          <w:p w14:paraId="6FEF6C88" w14:textId="77777777" w:rsidR="00651198" w:rsidRPr="002A4675" w:rsidRDefault="00651198" w:rsidP="001335C6">
            <w:pPr>
              <w:jc w:val="right"/>
              <w:outlineLvl w:val="0"/>
              <w:rPr>
                <w:rFonts w:ascii="Times New Roman" w:eastAsia="Times New Roman" w:hAnsi="Times New Roman" w:cs="Times New Roman"/>
                <w:sz w:val="16"/>
                <w:szCs w:val="16"/>
              </w:rPr>
            </w:pPr>
            <w:r w:rsidRPr="002A4675">
              <w:rPr>
                <w:rFonts w:ascii="Calibri" w:hAnsi="Calibri"/>
                <w:color w:val="FF0000"/>
                <w:sz w:val="16"/>
                <w:szCs w:val="16"/>
              </w:rPr>
              <w:t>Total</w:t>
            </w:r>
          </w:p>
        </w:tc>
        <w:tc>
          <w:tcPr>
            <w:tcW w:w="0" w:type="auto"/>
            <w:vAlign w:val="bottom"/>
          </w:tcPr>
          <w:p w14:paraId="4F23A15B" w14:textId="77777777" w:rsidR="00651198" w:rsidRPr="002A4675" w:rsidRDefault="00651198" w:rsidP="001335C6">
            <w:pPr>
              <w:jc w:val="right"/>
              <w:rPr>
                <w:rFonts w:ascii="Calibri" w:hAnsi="Calibri"/>
                <w:color w:val="FF0000"/>
                <w:sz w:val="16"/>
                <w:szCs w:val="16"/>
              </w:rPr>
            </w:pPr>
            <w:r w:rsidRPr="002A4675">
              <w:rPr>
                <w:rFonts w:ascii="Calibri" w:hAnsi="Calibri"/>
                <w:color w:val="FF0000"/>
                <w:sz w:val="16"/>
                <w:szCs w:val="16"/>
              </w:rPr>
              <w:t>29628</w:t>
            </w:r>
          </w:p>
        </w:tc>
        <w:tc>
          <w:tcPr>
            <w:tcW w:w="702" w:type="dxa"/>
            <w:vAlign w:val="bottom"/>
          </w:tcPr>
          <w:p w14:paraId="24F1F4F4" w14:textId="77777777" w:rsidR="00651198" w:rsidRPr="002A4675" w:rsidRDefault="00651198" w:rsidP="001335C6">
            <w:pPr>
              <w:jc w:val="right"/>
              <w:rPr>
                <w:rFonts w:ascii="Calibri" w:hAnsi="Calibri"/>
                <w:color w:val="FF0000"/>
                <w:sz w:val="16"/>
                <w:szCs w:val="16"/>
              </w:rPr>
            </w:pPr>
            <w:r w:rsidRPr="002A4675">
              <w:rPr>
                <w:rFonts w:ascii="Calibri" w:hAnsi="Calibri"/>
                <w:color w:val="FF0000"/>
                <w:sz w:val="16"/>
                <w:szCs w:val="16"/>
              </w:rPr>
              <w:t>5028</w:t>
            </w:r>
          </w:p>
        </w:tc>
        <w:tc>
          <w:tcPr>
            <w:tcW w:w="672" w:type="dxa"/>
            <w:vAlign w:val="bottom"/>
          </w:tcPr>
          <w:p w14:paraId="714F06C2" w14:textId="77777777" w:rsidR="00651198" w:rsidRPr="002A4675" w:rsidRDefault="00651198" w:rsidP="001335C6">
            <w:pPr>
              <w:jc w:val="right"/>
              <w:rPr>
                <w:rFonts w:ascii="Calibri" w:hAnsi="Calibri"/>
                <w:color w:val="FF0000"/>
                <w:sz w:val="16"/>
                <w:szCs w:val="16"/>
              </w:rPr>
            </w:pPr>
            <w:r w:rsidRPr="002A4675">
              <w:rPr>
                <w:rFonts w:ascii="Calibri" w:hAnsi="Calibri"/>
                <w:color w:val="FF0000"/>
                <w:sz w:val="16"/>
                <w:szCs w:val="16"/>
              </w:rPr>
              <w:t>5000</w:t>
            </w:r>
          </w:p>
        </w:tc>
        <w:tc>
          <w:tcPr>
            <w:tcW w:w="0" w:type="auto"/>
            <w:vAlign w:val="bottom"/>
          </w:tcPr>
          <w:p w14:paraId="7FC343AC" w14:textId="77777777" w:rsidR="00651198" w:rsidRPr="002A4675" w:rsidRDefault="00651198" w:rsidP="001335C6">
            <w:pPr>
              <w:jc w:val="right"/>
              <w:rPr>
                <w:rFonts w:ascii="Calibri" w:hAnsi="Calibri"/>
                <w:color w:val="FF0000"/>
                <w:sz w:val="16"/>
                <w:szCs w:val="16"/>
              </w:rPr>
            </w:pPr>
            <w:r w:rsidRPr="002A4675">
              <w:rPr>
                <w:rFonts w:ascii="Calibri" w:hAnsi="Calibri"/>
                <w:color w:val="FF0000"/>
                <w:sz w:val="16"/>
                <w:szCs w:val="16"/>
              </w:rPr>
              <w:t>2500</w:t>
            </w:r>
          </w:p>
        </w:tc>
        <w:tc>
          <w:tcPr>
            <w:tcW w:w="0" w:type="auto"/>
            <w:vAlign w:val="bottom"/>
          </w:tcPr>
          <w:p w14:paraId="01081FCA" w14:textId="77777777" w:rsidR="00651198" w:rsidRPr="002A4675" w:rsidRDefault="00651198" w:rsidP="001335C6">
            <w:pPr>
              <w:jc w:val="right"/>
              <w:rPr>
                <w:rFonts w:ascii="Calibri" w:hAnsi="Calibri"/>
                <w:color w:val="FF0000"/>
                <w:sz w:val="16"/>
                <w:szCs w:val="16"/>
              </w:rPr>
            </w:pPr>
            <w:r w:rsidRPr="002A4675">
              <w:rPr>
                <w:rFonts w:ascii="Calibri" w:hAnsi="Calibri"/>
                <w:color w:val="FF0000"/>
                <w:sz w:val="16"/>
                <w:szCs w:val="16"/>
              </w:rPr>
              <w:t>1000</w:t>
            </w:r>
          </w:p>
        </w:tc>
        <w:tc>
          <w:tcPr>
            <w:tcW w:w="0" w:type="auto"/>
            <w:vAlign w:val="bottom"/>
          </w:tcPr>
          <w:p w14:paraId="2FB83711" w14:textId="77777777" w:rsidR="00651198" w:rsidRPr="002A4675" w:rsidRDefault="00651198" w:rsidP="001335C6">
            <w:pPr>
              <w:jc w:val="right"/>
              <w:rPr>
                <w:rFonts w:ascii="Calibri" w:hAnsi="Calibri"/>
                <w:color w:val="FF0000"/>
                <w:sz w:val="16"/>
                <w:szCs w:val="16"/>
              </w:rPr>
            </w:pPr>
            <w:r w:rsidRPr="002A4675">
              <w:rPr>
                <w:rFonts w:ascii="Calibri" w:hAnsi="Calibri"/>
                <w:color w:val="FF0000"/>
                <w:sz w:val="16"/>
                <w:szCs w:val="16"/>
              </w:rPr>
              <w:t>1000</w:t>
            </w:r>
          </w:p>
        </w:tc>
        <w:tc>
          <w:tcPr>
            <w:tcW w:w="0" w:type="auto"/>
            <w:vAlign w:val="bottom"/>
          </w:tcPr>
          <w:p w14:paraId="492540DF" w14:textId="77777777" w:rsidR="00651198" w:rsidRPr="002A4675" w:rsidRDefault="00651198" w:rsidP="001335C6">
            <w:pPr>
              <w:jc w:val="right"/>
              <w:rPr>
                <w:rFonts w:ascii="Calibri" w:hAnsi="Calibri"/>
                <w:color w:val="FF0000"/>
                <w:sz w:val="16"/>
                <w:szCs w:val="16"/>
              </w:rPr>
            </w:pPr>
            <w:r w:rsidRPr="002A4675">
              <w:rPr>
                <w:rFonts w:ascii="Calibri" w:hAnsi="Calibri"/>
                <w:color w:val="FF0000"/>
                <w:sz w:val="16"/>
                <w:szCs w:val="16"/>
              </w:rPr>
              <w:t>250</w:t>
            </w:r>
          </w:p>
        </w:tc>
        <w:tc>
          <w:tcPr>
            <w:tcW w:w="0" w:type="auto"/>
            <w:vAlign w:val="bottom"/>
          </w:tcPr>
          <w:p w14:paraId="35368B1C" w14:textId="77777777" w:rsidR="00651198" w:rsidRPr="002A4675" w:rsidRDefault="00651198" w:rsidP="001335C6">
            <w:pPr>
              <w:jc w:val="right"/>
              <w:rPr>
                <w:rFonts w:ascii="Calibri" w:hAnsi="Calibri"/>
                <w:color w:val="FF0000"/>
                <w:sz w:val="16"/>
                <w:szCs w:val="16"/>
              </w:rPr>
            </w:pPr>
            <w:r w:rsidRPr="002A4675">
              <w:rPr>
                <w:rFonts w:ascii="Calibri" w:hAnsi="Calibri"/>
                <w:color w:val="FF0000"/>
                <w:sz w:val="16"/>
                <w:szCs w:val="16"/>
              </w:rPr>
              <w:t>250</w:t>
            </w:r>
          </w:p>
        </w:tc>
        <w:tc>
          <w:tcPr>
            <w:tcW w:w="0" w:type="auto"/>
            <w:vAlign w:val="bottom"/>
          </w:tcPr>
          <w:p w14:paraId="0883761C" w14:textId="77777777" w:rsidR="00651198" w:rsidRPr="002A4675" w:rsidRDefault="00651198" w:rsidP="001335C6">
            <w:pPr>
              <w:jc w:val="right"/>
              <w:rPr>
                <w:rFonts w:ascii="Calibri" w:hAnsi="Calibri"/>
                <w:color w:val="FF0000"/>
                <w:sz w:val="16"/>
                <w:szCs w:val="16"/>
              </w:rPr>
            </w:pPr>
            <w:r w:rsidRPr="002A4675">
              <w:rPr>
                <w:rFonts w:ascii="Calibri" w:hAnsi="Calibri"/>
                <w:color w:val="FF0000"/>
                <w:sz w:val="16"/>
                <w:szCs w:val="16"/>
              </w:rPr>
              <w:t>1600</w:t>
            </w:r>
          </w:p>
        </w:tc>
        <w:tc>
          <w:tcPr>
            <w:tcW w:w="0" w:type="auto"/>
            <w:vAlign w:val="bottom"/>
          </w:tcPr>
          <w:p w14:paraId="3656C7D8" w14:textId="77777777" w:rsidR="00651198" w:rsidRPr="002A4675" w:rsidRDefault="00651198" w:rsidP="001335C6">
            <w:pPr>
              <w:jc w:val="right"/>
              <w:rPr>
                <w:rFonts w:ascii="Calibri" w:hAnsi="Calibri"/>
                <w:color w:val="FF0000"/>
                <w:sz w:val="16"/>
                <w:szCs w:val="16"/>
              </w:rPr>
            </w:pPr>
            <w:r>
              <w:rPr>
                <w:rFonts w:ascii="Calibri" w:hAnsi="Calibri"/>
                <w:color w:val="FF0000"/>
                <w:sz w:val="16"/>
                <w:szCs w:val="16"/>
              </w:rPr>
              <w:t>3</w:t>
            </w:r>
            <w:r w:rsidRPr="002A4675">
              <w:rPr>
                <w:rFonts w:ascii="Calibri" w:hAnsi="Calibri"/>
                <w:color w:val="FF0000"/>
                <w:sz w:val="16"/>
                <w:szCs w:val="16"/>
              </w:rPr>
              <w:t>000</w:t>
            </w:r>
          </w:p>
        </w:tc>
        <w:tc>
          <w:tcPr>
            <w:tcW w:w="0" w:type="auto"/>
            <w:vAlign w:val="bottom"/>
          </w:tcPr>
          <w:p w14:paraId="3A3D81BC" w14:textId="77777777" w:rsidR="00651198" w:rsidRPr="002A4675" w:rsidRDefault="00651198" w:rsidP="001335C6">
            <w:pPr>
              <w:jc w:val="right"/>
              <w:rPr>
                <w:rFonts w:ascii="Calibri" w:hAnsi="Calibri"/>
                <w:color w:val="FF0000"/>
                <w:sz w:val="16"/>
                <w:szCs w:val="16"/>
              </w:rPr>
            </w:pPr>
            <w:r>
              <w:rPr>
                <w:rFonts w:ascii="Calibri" w:hAnsi="Calibri"/>
                <w:color w:val="FF0000"/>
                <w:sz w:val="16"/>
                <w:szCs w:val="16"/>
              </w:rPr>
              <w:t>8000</w:t>
            </w:r>
          </w:p>
        </w:tc>
        <w:tc>
          <w:tcPr>
            <w:tcW w:w="0" w:type="auto"/>
            <w:vAlign w:val="bottom"/>
          </w:tcPr>
          <w:p w14:paraId="64A6E216" w14:textId="77777777" w:rsidR="00651198" w:rsidRPr="002A4675" w:rsidRDefault="00651198" w:rsidP="001335C6">
            <w:pPr>
              <w:jc w:val="right"/>
              <w:rPr>
                <w:rFonts w:ascii="Calibri" w:hAnsi="Calibri"/>
                <w:color w:val="FF0000"/>
                <w:sz w:val="16"/>
                <w:szCs w:val="16"/>
              </w:rPr>
            </w:pPr>
            <w:r>
              <w:rPr>
                <w:rFonts w:ascii="Calibri" w:hAnsi="Calibri"/>
                <w:color w:val="FF0000"/>
                <w:sz w:val="16"/>
                <w:szCs w:val="16"/>
              </w:rPr>
              <w:t>2000</w:t>
            </w:r>
          </w:p>
        </w:tc>
      </w:tr>
    </w:tbl>
    <w:p w14:paraId="69689818" w14:textId="77777777" w:rsidR="00651198" w:rsidRPr="00651198" w:rsidRDefault="00651198" w:rsidP="00651198">
      <w:pPr>
        <w:spacing w:after="0" w:line="240" w:lineRule="auto"/>
        <w:contextualSpacing/>
        <w:rPr>
          <w:rFonts w:ascii="Times New Roman" w:eastAsia="Times New Roman" w:hAnsi="Times New Roman" w:cs="Times New Roman"/>
          <w:bCs/>
          <w:sz w:val="16"/>
          <w:szCs w:val="16"/>
        </w:rPr>
      </w:pPr>
      <w:r w:rsidRPr="00651198">
        <w:rPr>
          <w:rFonts w:ascii="Times New Roman" w:eastAsia="Times New Roman" w:hAnsi="Times New Roman" w:cs="Times New Roman"/>
          <w:bCs/>
          <w:sz w:val="16"/>
          <w:szCs w:val="16"/>
        </w:rPr>
        <w:t>Legend:</w:t>
      </w:r>
    </w:p>
    <w:p w14:paraId="6C9FCF32" w14:textId="77777777" w:rsidR="00651198" w:rsidRPr="00651198" w:rsidRDefault="00651198" w:rsidP="00651198">
      <w:pPr>
        <w:spacing w:after="0" w:line="240" w:lineRule="auto"/>
        <w:contextualSpacing/>
        <w:rPr>
          <w:rFonts w:ascii="Times New Roman" w:eastAsia="Times New Roman" w:hAnsi="Times New Roman" w:cs="Times New Roman"/>
          <w:bCs/>
          <w:sz w:val="16"/>
          <w:szCs w:val="16"/>
        </w:rPr>
      </w:pPr>
      <w:r w:rsidRPr="00651198">
        <w:rPr>
          <w:rFonts w:ascii="Times New Roman" w:eastAsia="Times New Roman" w:hAnsi="Times New Roman" w:cs="Times New Roman"/>
          <w:bCs/>
          <w:sz w:val="16"/>
          <w:szCs w:val="16"/>
        </w:rPr>
        <w:tab/>
        <w:t xml:space="preserve">HC= hospitals/clinics </w:t>
      </w:r>
    </w:p>
    <w:p w14:paraId="49DCA261" w14:textId="77777777" w:rsidR="00651198" w:rsidRPr="00651198" w:rsidRDefault="00651198" w:rsidP="00651198">
      <w:pPr>
        <w:spacing w:after="0" w:line="240" w:lineRule="auto"/>
        <w:contextualSpacing/>
        <w:rPr>
          <w:rFonts w:ascii="Times New Roman" w:eastAsia="Times New Roman" w:hAnsi="Times New Roman" w:cs="Times New Roman"/>
          <w:bCs/>
          <w:sz w:val="16"/>
          <w:szCs w:val="16"/>
        </w:rPr>
      </w:pPr>
      <w:r w:rsidRPr="00651198">
        <w:rPr>
          <w:rFonts w:ascii="Times New Roman" w:eastAsia="Times New Roman" w:hAnsi="Times New Roman" w:cs="Times New Roman"/>
          <w:bCs/>
          <w:sz w:val="16"/>
          <w:szCs w:val="16"/>
        </w:rPr>
        <w:tab/>
        <w:t>POL= physician office laboratory</w:t>
      </w:r>
    </w:p>
    <w:p w14:paraId="71E0364F" w14:textId="77777777" w:rsidR="00234D09" w:rsidRDefault="00234D09" w:rsidP="00B4741C">
      <w:pPr>
        <w:rPr>
          <w:rFonts w:ascii="Times New Roman" w:eastAsia="Times New Roman" w:hAnsi="Times New Roman" w:cs="Times New Roman"/>
          <w:sz w:val="24"/>
          <w:szCs w:val="24"/>
        </w:rPr>
      </w:pPr>
    </w:p>
    <w:p w14:paraId="5E5DCD65" w14:textId="77777777" w:rsidR="00966B5F" w:rsidRDefault="00966B5F" w:rsidP="00AA65DC">
      <w:pPr>
        <w:spacing w:after="0" w:line="240" w:lineRule="auto"/>
        <w:outlineLvl w:val="0"/>
        <w:rPr>
          <w:rFonts w:ascii="Times New Roman" w:eastAsia="Times New Roman" w:hAnsi="Times New Roman" w:cs="Times New Roman"/>
          <w:sz w:val="24"/>
          <w:szCs w:val="24"/>
        </w:rPr>
      </w:pPr>
    </w:p>
    <w:p w14:paraId="4F9D9753" w14:textId="77777777" w:rsidR="00AA65DC" w:rsidRDefault="00AA65DC" w:rsidP="00AA65DC">
      <w:pPr>
        <w:pStyle w:val="ListParagraph"/>
        <w:numPr>
          <w:ilvl w:val="0"/>
          <w:numId w:val="1"/>
        </w:numPr>
        <w:spacing w:after="0" w:line="240" w:lineRule="auto"/>
        <w:ind w:left="360"/>
        <w:outlineLvl w:val="0"/>
        <w:rPr>
          <w:rFonts w:ascii="Times New Roman" w:eastAsia="Times New Roman" w:hAnsi="Times New Roman" w:cs="Times New Roman"/>
          <w:b/>
          <w:sz w:val="24"/>
          <w:szCs w:val="24"/>
        </w:rPr>
      </w:pPr>
      <w:r w:rsidRPr="005416DD">
        <w:rPr>
          <w:rFonts w:ascii="Times New Roman" w:eastAsia="Times New Roman" w:hAnsi="Times New Roman" w:cs="Times New Roman"/>
          <w:b/>
          <w:sz w:val="24"/>
          <w:szCs w:val="24"/>
        </w:rPr>
        <w:t>Procedures for the Collection of Information</w:t>
      </w:r>
    </w:p>
    <w:p w14:paraId="6BC319C0" w14:textId="77777777" w:rsidR="00AA65DC" w:rsidRDefault="00AA65DC" w:rsidP="00AA65DC">
      <w:pPr>
        <w:pStyle w:val="ListParagraph"/>
        <w:spacing w:after="0" w:line="240" w:lineRule="auto"/>
        <w:ind w:left="360"/>
        <w:outlineLvl w:val="0"/>
        <w:rPr>
          <w:rFonts w:ascii="Times New Roman" w:eastAsia="Times New Roman" w:hAnsi="Times New Roman" w:cs="Times New Roman"/>
          <w:b/>
          <w:sz w:val="24"/>
          <w:szCs w:val="24"/>
        </w:rPr>
      </w:pPr>
    </w:p>
    <w:p w14:paraId="36BFC958" w14:textId="77777777" w:rsidR="00FB0319" w:rsidRPr="00FB0319" w:rsidRDefault="00FB0319" w:rsidP="009F0C8F">
      <w:pPr>
        <w:pStyle w:val="ListParagraph"/>
        <w:ind w:hanging="720"/>
        <w:rPr>
          <w:rFonts w:ascii="Times New Roman" w:eastAsia="Times New Roman" w:hAnsi="Times New Roman" w:cs="Times New Roman"/>
          <w:bCs/>
          <w:i/>
          <w:sz w:val="24"/>
          <w:szCs w:val="24"/>
        </w:rPr>
      </w:pPr>
      <w:r w:rsidRPr="00FB0319">
        <w:rPr>
          <w:rFonts w:ascii="Times New Roman" w:eastAsia="Times New Roman" w:hAnsi="Times New Roman" w:cs="Times New Roman"/>
          <w:bCs/>
          <w:i/>
          <w:sz w:val="24"/>
          <w:szCs w:val="24"/>
        </w:rPr>
        <w:t>Overview of the Data Collection System</w:t>
      </w:r>
    </w:p>
    <w:p w14:paraId="769C12B3" w14:textId="77777777" w:rsidR="00FB0319" w:rsidRDefault="00FB0319" w:rsidP="00FB0319">
      <w:pPr>
        <w:pStyle w:val="ListParagraph"/>
        <w:rPr>
          <w:rFonts w:ascii="Times New Roman" w:eastAsia="Times New Roman" w:hAnsi="Times New Roman" w:cs="Times New Roman"/>
          <w:bCs/>
          <w:i/>
          <w:sz w:val="24"/>
          <w:szCs w:val="24"/>
        </w:rPr>
      </w:pPr>
    </w:p>
    <w:p w14:paraId="5C866625" w14:textId="77777777" w:rsidR="003B3C1F" w:rsidRPr="003B3C1F" w:rsidRDefault="0035478A" w:rsidP="003B3C1F">
      <w:pPr>
        <w:pStyle w:val="ListParagraph"/>
        <w:ind w:left="0"/>
        <w:rPr>
          <w:rFonts w:ascii="Times New Roman" w:eastAsia="Times New Roman" w:hAnsi="Times New Roman" w:cs="Times New Roman"/>
          <w:bCs/>
          <w:sz w:val="24"/>
          <w:szCs w:val="24"/>
        </w:rPr>
      </w:pPr>
      <w:r w:rsidRPr="0035478A">
        <w:rPr>
          <w:rFonts w:ascii="Times New Roman" w:eastAsia="Times New Roman" w:hAnsi="Times New Roman" w:cs="Times New Roman"/>
          <w:bCs/>
          <w:sz w:val="24"/>
          <w:szCs w:val="24"/>
        </w:rPr>
        <w:t>The survey will contain instruction</w:t>
      </w:r>
      <w:r w:rsidR="00622E92">
        <w:rPr>
          <w:rFonts w:ascii="Times New Roman" w:eastAsia="Times New Roman" w:hAnsi="Times New Roman" w:cs="Times New Roman"/>
          <w:bCs/>
          <w:sz w:val="24"/>
          <w:szCs w:val="24"/>
        </w:rPr>
        <w:t>s</w:t>
      </w:r>
      <w:r w:rsidRPr="0035478A">
        <w:rPr>
          <w:rFonts w:ascii="Times New Roman" w:eastAsia="Times New Roman" w:hAnsi="Times New Roman" w:cs="Times New Roman"/>
          <w:bCs/>
          <w:sz w:val="24"/>
          <w:szCs w:val="24"/>
        </w:rPr>
        <w:t xml:space="preserve"> to direct it to the individual in each laboratory responsible for the development </w:t>
      </w:r>
      <w:r w:rsidR="00622E92">
        <w:rPr>
          <w:rFonts w:ascii="Times New Roman" w:eastAsia="Times New Roman" w:hAnsi="Times New Roman" w:cs="Times New Roman"/>
          <w:bCs/>
          <w:sz w:val="24"/>
          <w:szCs w:val="24"/>
        </w:rPr>
        <w:t>and revision o</w:t>
      </w:r>
      <w:r w:rsidR="00014BB3">
        <w:rPr>
          <w:rFonts w:ascii="Times New Roman" w:eastAsia="Times New Roman" w:hAnsi="Times New Roman" w:cs="Times New Roman"/>
          <w:bCs/>
          <w:sz w:val="24"/>
          <w:szCs w:val="24"/>
        </w:rPr>
        <w:t>f</w:t>
      </w:r>
      <w:r w:rsidR="00622E92">
        <w:rPr>
          <w:rFonts w:ascii="Times New Roman" w:eastAsia="Times New Roman" w:hAnsi="Times New Roman" w:cs="Times New Roman"/>
          <w:bCs/>
          <w:sz w:val="24"/>
          <w:szCs w:val="24"/>
        </w:rPr>
        <w:t xml:space="preserve"> procedures for </w:t>
      </w:r>
      <w:r w:rsidRPr="0035478A">
        <w:rPr>
          <w:rFonts w:ascii="Times New Roman" w:eastAsia="Times New Roman" w:hAnsi="Times New Roman" w:cs="Times New Roman"/>
          <w:bCs/>
          <w:sz w:val="24"/>
          <w:szCs w:val="24"/>
        </w:rPr>
        <w:t xml:space="preserve">fingerstick glucose testing.  This will help to ensure that </w:t>
      </w:r>
      <w:r>
        <w:rPr>
          <w:rFonts w:ascii="Times New Roman" w:eastAsia="Times New Roman" w:hAnsi="Times New Roman" w:cs="Times New Roman"/>
          <w:bCs/>
          <w:sz w:val="24"/>
          <w:szCs w:val="24"/>
        </w:rPr>
        <w:t>o</w:t>
      </w:r>
      <w:r w:rsidRPr="003B3C1F">
        <w:rPr>
          <w:rFonts w:ascii="Times New Roman" w:eastAsia="Times New Roman" w:hAnsi="Times New Roman" w:cs="Times New Roman"/>
          <w:bCs/>
          <w:sz w:val="24"/>
          <w:szCs w:val="24"/>
        </w:rPr>
        <w:t xml:space="preserve">nly </w:t>
      </w:r>
      <w:r w:rsidR="003B3C1F" w:rsidRPr="003B3C1F">
        <w:rPr>
          <w:rFonts w:ascii="Times New Roman" w:eastAsia="Times New Roman" w:hAnsi="Times New Roman" w:cs="Times New Roman"/>
          <w:bCs/>
          <w:sz w:val="24"/>
          <w:szCs w:val="24"/>
        </w:rPr>
        <w:t>one response will be obtained for each participating laboratory</w:t>
      </w:r>
      <w:r w:rsidR="00DB65F3">
        <w:rPr>
          <w:rFonts w:ascii="Times New Roman" w:eastAsia="Times New Roman" w:hAnsi="Times New Roman" w:cs="Times New Roman"/>
          <w:bCs/>
          <w:sz w:val="24"/>
          <w:szCs w:val="24"/>
        </w:rPr>
        <w:t xml:space="preserve"> or functional unit</w:t>
      </w:r>
      <w:r w:rsidR="003B3C1F" w:rsidRPr="003B3C1F">
        <w:rPr>
          <w:rFonts w:ascii="Times New Roman" w:eastAsia="Times New Roman" w:hAnsi="Times New Roman" w:cs="Times New Roman"/>
          <w:bCs/>
          <w:sz w:val="24"/>
          <w:szCs w:val="24"/>
        </w:rPr>
        <w:t>. Respondents include point-of-care coordinators, clinical laboratory directors</w:t>
      </w:r>
      <w:r w:rsidR="00C80CA0">
        <w:rPr>
          <w:rFonts w:ascii="Times New Roman" w:eastAsia="Times New Roman" w:hAnsi="Times New Roman" w:cs="Times New Roman"/>
          <w:bCs/>
          <w:sz w:val="24"/>
          <w:szCs w:val="24"/>
        </w:rPr>
        <w:t>, managers and supervisors</w:t>
      </w:r>
      <w:r w:rsidR="003B3C1F" w:rsidRPr="003B3C1F">
        <w:rPr>
          <w:rFonts w:ascii="Times New Roman" w:eastAsia="Times New Roman" w:hAnsi="Times New Roman" w:cs="Times New Roman"/>
          <w:bCs/>
          <w:sz w:val="24"/>
          <w:szCs w:val="24"/>
        </w:rPr>
        <w:t xml:space="preserve">, medical technologists, nurses, and medical doctors. </w:t>
      </w:r>
    </w:p>
    <w:p w14:paraId="2B0982DE" w14:textId="77777777" w:rsidR="003B3C1F" w:rsidRPr="003B3C1F" w:rsidRDefault="003B3C1F" w:rsidP="00FB0319">
      <w:pPr>
        <w:pStyle w:val="ListParagraph"/>
        <w:rPr>
          <w:rFonts w:ascii="Times New Roman" w:eastAsia="Times New Roman" w:hAnsi="Times New Roman" w:cs="Times New Roman"/>
          <w:bCs/>
          <w:sz w:val="24"/>
          <w:szCs w:val="24"/>
        </w:rPr>
      </w:pPr>
    </w:p>
    <w:p w14:paraId="26EE47EE" w14:textId="77777777" w:rsidR="00FB0319" w:rsidRPr="009F0C8F" w:rsidRDefault="00FB0319" w:rsidP="009F0C8F">
      <w:pPr>
        <w:pStyle w:val="ListParagraph"/>
        <w:ind w:hanging="720"/>
        <w:rPr>
          <w:rFonts w:ascii="Times New Roman" w:eastAsia="Times New Roman" w:hAnsi="Times New Roman" w:cs="Times New Roman"/>
          <w:bCs/>
          <w:sz w:val="24"/>
          <w:szCs w:val="24"/>
          <w:u w:val="single"/>
        </w:rPr>
      </w:pPr>
      <w:r w:rsidRPr="009F0C8F">
        <w:rPr>
          <w:rFonts w:ascii="Times New Roman" w:eastAsia="Times New Roman" w:hAnsi="Times New Roman" w:cs="Times New Roman"/>
          <w:bCs/>
          <w:sz w:val="24"/>
          <w:szCs w:val="24"/>
          <w:u w:val="single"/>
        </w:rPr>
        <w:t>First and Third Surveys</w:t>
      </w:r>
    </w:p>
    <w:p w14:paraId="1E4A41AA" w14:textId="77777777" w:rsidR="00FB0319" w:rsidRPr="009F0C8F" w:rsidRDefault="0035478A" w:rsidP="009F0C8F">
      <w:pPr>
        <w:pStyle w:val="ListParagraph"/>
        <w:ind w:left="0"/>
        <w:rPr>
          <w:rFonts w:ascii="Times New Roman" w:eastAsia="Times New Roman" w:hAnsi="Times New Roman" w:cs="Times New Roman"/>
          <w:bCs/>
          <w:sz w:val="24"/>
          <w:szCs w:val="24"/>
        </w:rPr>
      </w:pPr>
      <w:r w:rsidRPr="0035478A">
        <w:rPr>
          <w:rFonts w:ascii="Times New Roman" w:eastAsia="Times New Roman" w:hAnsi="Times New Roman" w:cs="Times New Roman"/>
          <w:bCs/>
          <w:sz w:val="24"/>
          <w:szCs w:val="24"/>
        </w:rPr>
        <w:t xml:space="preserve">A link to the survey </w:t>
      </w:r>
      <w:r w:rsidR="004A2F10">
        <w:rPr>
          <w:rFonts w:ascii="Times New Roman" w:eastAsia="Times New Roman" w:hAnsi="Times New Roman" w:cs="Times New Roman"/>
          <w:bCs/>
          <w:sz w:val="24"/>
          <w:szCs w:val="24"/>
        </w:rPr>
        <w:t xml:space="preserve">(Appendix C &amp; Appendix D) </w:t>
      </w:r>
      <w:r w:rsidRPr="0035478A">
        <w:rPr>
          <w:rFonts w:ascii="Times New Roman" w:eastAsia="Times New Roman" w:hAnsi="Times New Roman" w:cs="Times New Roman"/>
          <w:bCs/>
          <w:sz w:val="24"/>
          <w:szCs w:val="24"/>
        </w:rPr>
        <w:t xml:space="preserve">will be distributed to all targeted respondents either by email </w:t>
      </w:r>
      <w:r w:rsidR="004A2F10">
        <w:rPr>
          <w:rFonts w:ascii="Times New Roman" w:eastAsia="Times New Roman" w:hAnsi="Times New Roman" w:cs="Times New Roman"/>
          <w:bCs/>
          <w:sz w:val="24"/>
          <w:szCs w:val="24"/>
        </w:rPr>
        <w:t xml:space="preserve">(Appendix E &amp; Appendix F) </w:t>
      </w:r>
      <w:r w:rsidRPr="0035478A">
        <w:rPr>
          <w:rFonts w:ascii="Times New Roman" w:eastAsia="Times New Roman" w:hAnsi="Times New Roman" w:cs="Times New Roman"/>
          <w:bCs/>
          <w:sz w:val="24"/>
          <w:szCs w:val="24"/>
        </w:rPr>
        <w:t>or postcard</w:t>
      </w:r>
      <w:r w:rsidR="004A2F10">
        <w:rPr>
          <w:rFonts w:ascii="Times New Roman" w:eastAsia="Times New Roman" w:hAnsi="Times New Roman" w:cs="Times New Roman"/>
          <w:bCs/>
          <w:sz w:val="24"/>
          <w:szCs w:val="24"/>
        </w:rPr>
        <w:t xml:space="preserve"> (Appendices G-L)</w:t>
      </w:r>
      <w:r w:rsidRPr="0035478A">
        <w:rPr>
          <w:rFonts w:ascii="Times New Roman" w:eastAsia="Times New Roman" w:hAnsi="Times New Roman" w:cs="Times New Roman"/>
          <w:bCs/>
          <w:sz w:val="24"/>
          <w:szCs w:val="24"/>
        </w:rPr>
        <w:t xml:space="preserve">. The CLSI will solicit participation from physician office laboratories, Department of Defense laboratories, and hospitals that offer point-of-care glucose testing. Participants will be recruited by </w:t>
      </w:r>
      <w:r>
        <w:rPr>
          <w:rFonts w:ascii="Times New Roman" w:eastAsia="Times New Roman" w:hAnsi="Times New Roman" w:cs="Times New Roman"/>
          <w:bCs/>
          <w:sz w:val="24"/>
          <w:szCs w:val="24"/>
        </w:rPr>
        <w:t>COLA</w:t>
      </w:r>
      <w:r w:rsidRPr="0035478A">
        <w:rPr>
          <w:rFonts w:ascii="Times New Roman" w:eastAsia="Times New Roman" w:hAnsi="Times New Roman" w:cs="Times New Roman"/>
          <w:bCs/>
          <w:sz w:val="24"/>
          <w:szCs w:val="24"/>
        </w:rPr>
        <w:t>, the Joint Commission and a Point-of-Care Coordinator network, who have agreed to distribute links to the survey through their membership mailing lists. In addition, participants will also be solicited through mailing lists purchased by CLSI from Clinscan and the American Hospital Association. Clinical sites offering point-of-care glucose testing in the Department of Defense medical system wil</w:t>
      </w:r>
      <w:r>
        <w:rPr>
          <w:rFonts w:ascii="Times New Roman" w:eastAsia="Times New Roman" w:hAnsi="Times New Roman" w:cs="Times New Roman"/>
          <w:bCs/>
          <w:sz w:val="24"/>
          <w:szCs w:val="24"/>
        </w:rPr>
        <w:t xml:space="preserve">l also be asked to participate </w:t>
      </w:r>
      <w:r w:rsidRPr="0035478A">
        <w:rPr>
          <w:rFonts w:ascii="Times New Roman" w:eastAsia="Times New Roman" w:hAnsi="Times New Roman" w:cs="Times New Roman"/>
          <w:bCs/>
          <w:sz w:val="24"/>
          <w:szCs w:val="24"/>
        </w:rPr>
        <w:t xml:space="preserve">through the Department of Defense Clinical Laboratory Improvement Program (CLIP). In order to obtain the needed number of respondents for a statistically valid study, additional laboratories, selected at random from </w:t>
      </w:r>
      <w:r w:rsidR="00622E92">
        <w:rPr>
          <w:rFonts w:ascii="Times New Roman" w:eastAsia="Times New Roman" w:hAnsi="Times New Roman" w:cs="Times New Roman"/>
          <w:bCs/>
          <w:sz w:val="24"/>
          <w:szCs w:val="24"/>
        </w:rPr>
        <w:t xml:space="preserve">a subset of laboratories included in </w:t>
      </w:r>
      <w:r w:rsidRPr="0035478A">
        <w:rPr>
          <w:rFonts w:ascii="Times New Roman" w:eastAsia="Times New Roman" w:hAnsi="Times New Roman" w:cs="Times New Roman"/>
          <w:bCs/>
          <w:sz w:val="24"/>
          <w:szCs w:val="24"/>
        </w:rPr>
        <w:t xml:space="preserve">a database of Clinical Laboratory Improvement Amendment (CLIA) certificate holders, will also be solicited.  </w:t>
      </w:r>
    </w:p>
    <w:p w14:paraId="21C5E62F" w14:textId="77777777" w:rsidR="00FB0319" w:rsidRPr="009F0C8F" w:rsidRDefault="00FB0319" w:rsidP="00FB0319">
      <w:pPr>
        <w:pStyle w:val="ListParagraph"/>
        <w:ind w:hanging="720"/>
        <w:rPr>
          <w:rFonts w:ascii="Times New Roman" w:eastAsia="Times New Roman" w:hAnsi="Times New Roman" w:cs="Times New Roman"/>
          <w:bCs/>
          <w:sz w:val="24"/>
          <w:szCs w:val="24"/>
        </w:rPr>
      </w:pPr>
    </w:p>
    <w:p w14:paraId="401C613B" w14:textId="77777777" w:rsidR="00FB0319" w:rsidRPr="009F0C8F" w:rsidRDefault="00FB0319" w:rsidP="009F0C8F">
      <w:pPr>
        <w:pStyle w:val="ListParagraph"/>
        <w:ind w:hanging="720"/>
        <w:rPr>
          <w:rFonts w:ascii="Times New Roman" w:eastAsia="Times New Roman" w:hAnsi="Times New Roman" w:cs="Times New Roman"/>
          <w:bCs/>
          <w:sz w:val="24"/>
          <w:szCs w:val="24"/>
          <w:u w:val="single"/>
        </w:rPr>
      </w:pPr>
      <w:r w:rsidRPr="009F0C8F">
        <w:rPr>
          <w:rFonts w:ascii="Times New Roman" w:eastAsia="Times New Roman" w:hAnsi="Times New Roman" w:cs="Times New Roman"/>
          <w:bCs/>
          <w:sz w:val="24"/>
          <w:szCs w:val="24"/>
          <w:u w:val="single"/>
        </w:rPr>
        <w:t>Second Survey</w:t>
      </w:r>
    </w:p>
    <w:p w14:paraId="1BCAEB34" w14:textId="3BD56581" w:rsidR="00FB0319" w:rsidRPr="009F0C8F" w:rsidRDefault="00FB0319" w:rsidP="009F0C8F">
      <w:pPr>
        <w:pStyle w:val="ListParagraph"/>
        <w:ind w:left="0"/>
        <w:rPr>
          <w:rFonts w:ascii="Times New Roman" w:eastAsia="Times New Roman" w:hAnsi="Times New Roman" w:cs="Times New Roman"/>
          <w:bCs/>
          <w:sz w:val="24"/>
          <w:szCs w:val="24"/>
        </w:rPr>
      </w:pPr>
      <w:r w:rsidRPr="009F0C8F">
        <w:rPr>
          <w:rFonts w:ascii="Times New Roman" w:eastAsia="Times New Roman" w:hAnsi="Times New Roman" w:cs="Times New Roman"/>
          <w:bCs/>
          <w:sz w:val="24"/>
          <w:szCs w:val="24"/>
        </w:rPr>
        <w:t xml:space="preserve">The second survey </w:t>
      </w:r>
      <w:r w:rsidR="004A2F10">
        <w:rPr>
          <w:rFonts w:ascii="Times New Roman" w:eastAsia="Times New Roman" w:hAnsi="Times New Roman" w:cs="Times New Roman"/>
          <w:bCs/>
          <w:sz w:val="24"/>
          <w:szCs w:val="24"/>
        </w:rPr>
        <w:t xml:space="preserve">(Appendix D) </w:t>
      </w:r>
      <w:r w:rsidRPr="009F0C8F">
        <w:rPr>
          <w:rFonts w:ascii="Times New Roman" w:eastAsia="Times New Roman" w:hAnsi="Times New Roman" w:cs="Times New Roman"/>
          <w:bCs/>
          <w:sz w:val="24"/>
          <w:szCs w:val="24"/>
        </w:rPr>
        <w:t>will occur approximately 4</w:t>
      </w:r>
      <w:r w:rsidR="0035478A">
        <w:rPr>
          <w:rFonts w:ascii="Times New Roman" w:eastAsia="Times New Roman" w:hAnsi="Times New Roman" w:cs="Times New Roman"/>
          <w:bCs/>
          <w:sz w:val="24"/>
          <w:szCs w:val="24"/>
        </w:rPr>
        <w:t>-6</w:t>
      </w:r>
      <w:r w:rsidRPr="009F0C8F">
        <w:rPr>
          <w:rFonts w:ascii="Times New Roman" w:eastAsia="Times New Roman" w:hAnsi="Times New Roman" w:cs="Times New Roman"/>
          <w:bCs/>
          <w:sz w:val="24"/>
          <w:szCs w:val="24"/>
        </w:rPr>
        <w:t xml:space="preserve"> months after the initial survey </w:t>
      </w:r>
      <w:r w:rsidR="004A2F10">
        <w:rPr>
          <w:rFonts w:ascii="Times New Roman" w:eastAsia="Times New Roman" w:hAnsi="Times New Roman" w:cs="Times New Roman"/>
          <w:bCs/>
          <w:sz w:val="24"/>
          <w:szCs w:val="24"/>
        </w:rPr>
        <w:t xml:space="preserve">(Appendix C) </w:t>
      </w:r>
      <w:r w:rsidRPr="009F0C8F">
        <w:rPr>
          <w:rFonts w:ascii="Times New Roman" w:eastAsia="Times New Roman" w:hAnsi="Times New Roman" w:cs="Times New Roman"/>
          <w:bCs/>
          <w:sz w:val="24"/>
          <w:szCs w:val="24"/>
        </w:rPr>
        <w:t>and will only target responde</w:t>
      </w:r>
      <w:r w:rsidR="00951B4C">
        <w:rPr>
          <w:rFonts w:ascii="Times New Roman" w:eastAsia="Times New Roman" w:hAnsi="Times New Roman" w:cs="Times New Roman"/>
          <w:bCs/>
          <w:sz w:val="24"/>
          <w:szCs w:val="24"/>
        </w:rPr>
        <w:t>nt</w:t>
      </w:r>
      <w:r w:rsidRPr="009F0C8F">
        <w:rPr>
          <w:rFonts w:ascii="Times New Roman" w:eastAsia="Times New Roman" w:hAnsi="Times New Roman" w:cs="Times New Roman"/>
          <w:bCs/>
          <w:sz w:val="24"/>
          <w:szCs w:val="24"/>
        </w:rPr>
        <w:t xml:space="preserve">s from the first survey </w:t>
      </w:r>
      <w:r w:rsidR="002B3971">
        <w:rPr>
          <w:rFonts w:ascii="Times New Roman" w:eastAsia="Times New Roman" w:hAnsi="Times New Roman" w:cs="Times New Roman"/>
          <w:bCs/>
          <w:sz w:val="24"/>
          <w:szCs w:val="24"/>
        </w:rPr>
        <w:t>who indicated that they</w:t>
      </w:r>
      <w:r w:rsidRPr="009F0C8F">
        <w:rPr>
          <w:rFonts w:ascii="Times New Roman" w:eastAsia="Times New Roman" w:hAnsi="Times New Roman" w:cs="Times New Roman"/>
          <w:bCs/>
          <w:sz w:val="24"/>
          <w:szCs w:val="24"/>
        </w:rPr>
        <w:t xml:space="preserve"> were not familiar with </w:t>
      </w:r>
      <w:r w:rsidRPr="003B3C1F">
        <w:rPr>
          <w:rFonts w:ascii="Times New Roman" w:eastAsia="Times New Roman" w:hAnsi="Times New Roman" w:cs="Times New Roman"/>
          <w:bCs/>
          <w:i/>
          <w:sz w:val="24"/>
          <w:szCs w:val="24"/>
        </w:rPr>
        <w:t>POCT12</w:t>
      </w:r>
      <w:r w:rsidRPr="009F0C8F">
        <w:rPr>
          <w:rFonts w:ascii="Times New Roman" w:eastAsia="Times New Roman" w:hAnsi="Times New Roman" w:cs="Times New Roman"/>
          <w:bCs/>
          <w:sz w:val="24"/>
          <w:szCs w:val="24"/>
        </w:rPr>
        <w:t xml:space="preserve"> or </w:t>
      </w:r>
      <w:r w:rsidRPr="003B3C1F">
        <w:rPr>
          <w:rFonts w:ascii="Times New Roman" w:eastAsia="Times New Roman" w:hAnsi="Times New Roman" w:cs="Times New Roman"/>
          <w:bCs/>
          <w:i/>
          <w:sz w:val="24"/>
          <w:szCs w:val="24"/>
        </w:rPr>
        <w:t>POCT13</w:t>
      </w:r>
      <w:r w:rsidR="002B3971">
        <w:rPr>
          <w:rFonts w:ascii="Times New Roman" w:eastAsia="Times New Roman" w:hAnsi="Times New Roman" w:cs="Times New Roman"/>
          <w:bCs/>
          <w:sz w:val="24"/>
          <w:szCs w:val="24"/>
        </w:rPr>
        <w:t xml:space="preserve"> and </w:t>
      </w:r>
      <w:r w:rsidR="00935A78">
        <w:rPr>
          <w:rFonts w:ascii="Times New Roman" w:eastAsia="Times New Roman" w:hAnsi="Times New Roman" w:cs="Times New Roman"/>
          <w:bCs/>
          <w:sz w:val="24"/>
          <w:szCs w:val="24"/>
        </w:rPr>
        <w:t>therefore</w:t>
      </w:r>
      <w:r w:rsidR="002B3971">
        <w:rPr>
          <w:rFonts w:ascii="Times New Roman" w:eastAsia="Times New Roman" w:hAnsi="Times New Roman" w:cs="Times New Roman"/>
          <w:bCs/>
          <w:sz w:val="24"/>
          <w:szCs w:val="24"/>
        </w:rPr>
        <w:t>, will have</w:t>
      </w:r>
      <w:r w:rsidRPr="009F0C8F">
        <w:rPr>
          <w:rFonts w:ascii="Times New Roman" w:eastAsia="Times New Roman" w:hAnsi="Times New Roman" w:cs="Times New Roman"/>
          <w:bCs/>
          <w:sz w:val="24"/>
          <w:szCs w:val="24"/>
        </w:rPr>
        <w:t xml:space="preserve"> received a complimentary copy of the appropriate LPG.</w:t>
      </w:r>
      <w:r w:rsidR="00F45019">
        <w:rPr>
          <w:rFonts w:ascii="Times New Roman" w:eastAsia="Times New Roman" w:hAnsi="Times New Roman" w:cs="Times New Roman"/>
          <w:bCs/>
          <w:sz w:val="24"/>
          <w:szCs w:val="24"/>
        </w:rPr>
        <w:t xml:space="preserve"> It is expected that approximately 50% of all targeted respondents will not be familiar with POCT12 or POCT13. </w:t>
      </w:r>
      <w:r w:rsidRPr="009F0C8F">
        <w:rPr>
          <w:rFonts w:ascii="Times New Roman" w:eastAsia="Times New Roman" w:hAnsi="Times New Roman" w:cs="Times New Roman"/>
          <w:bCs/>
          <w:sz w:val="24"/>
          <w:szCs w:val="24"/>
        </w:rPr>
        <w:t>This survey will be the same as the first survey, but the respondents will be able to answer additional questions aft</w:t>
      </w:r>
      <w:r w:rsidR="003B3C1F">
        <w:rPr>
          <w:rFonts w:ascii="Times New Roman" w:eastAsia="Times New Roman" w:hAnsi="Times New Roman" w:cs="Times New Roman"/>
          <w:bCs/>
          <w:sz w:val="24"/>
          <w:szCs w:val="24"/>
        </w:rPr>
        <w:t xml:space="preserve">er they have reviewed the LPG. </w:t>
      </w:r>
      <w:r w:rsidRPr="009F0C8F">
        <w:rPr>
          <w:rFonts w:ascii="Times New Roman" w:eastAsia="Times New Roman" w:hAnsi="Times New Roman" w:cs="Times New Roman"/>
          <w:bCs/>
          <w:sz w:val="24"/>
          <w:szCs w:val="24"/>
        </w:rPr>
        <w:t xml:space="preserve">A link to the survey will be distributed to the email </w:t>
      </w:r>
      <w:r w:rsidR="004A2F10">
        <w:rPr>
          <w:rFonts w:ascii="Times New Roman" w:eastAsia="Times New Roman" w:hAnsi="Times New Roman" w:cs="Times New Roman"/>
          <w:bCs/>
          <w:sz w:val="24"/>
          <w:szCs w:val="24"/>
        </w:rPr>
        <w:t xml:space="preserve">(Appendix F) </w:t>
      </w:r>
      <w:r w:rsidRPr="009F0C8F">
        <w:rPr>
          <w:rFonts w:ascii="Times New Roman" w:eastAsia="Times New Roman" w:hAnsi="Times New Roman" w:cs="Times New Roman"/>
          <w:bCs/>
          <w:sz w:val="24"/>
          <w:szCs w:val="24"/>
        </w:rPr>
        <w:t xml:space="preserve">addresses provided by these respondents during the first survey. </w:t>
      </w:r>
      <w:r w:rsidR="00627C87">
        <w:rPr>
          <w:rFonts w:ascii="Times New Roman" w:eastAsia="Times New Roman" w:hAnsi="Times New Roman" w:cs="Times New Roman"/>
          <w:bCs/>
          <w:sz w:val="24"/>
          <w:szCs w:val="24"/>
        </w:rPr>
        <w:t xml:space="preserve">Respondents that received a free copy of </w:t>
      </w:r>
      <w:r w:rsidR="00627C87" w:rsidRPr="00CB4DBA">
        <w:rPr>
          <w:rFonts w:ascii="Times New Roman" w:eastAsia="Times New Roman" w:hAnsi="Times New Roman" w:cs="Times New Roman"/>
          <w:bCs/>
          <w:i/>
          <w:sz w:val="24"/>
          <w:szCs w:val="24"/>
        </w:rPr>
        <w:t>POCT12</w:t>
      </w:r>
      <w:r w:rsidR="00627C87">
        <w:rPr>
          <w:rFonts w:ascii="Times New Roman" w:eastAsia="Times New Roman" w:hAnsi="Times New Roman" w:cs="Times New Roman"/>
          <w:bCs/>
          <w:sz w:val="24"/>
          <w:szCs w:val="24"/>
        </w:rPr>
        <w:t xml:space="preserve"> or </w:t>
      </w:r>
      <w:r w:rsidR="00627C87" w:rsidRPr="00CB4DBA">
        <w:rPr>
          <w:rFonts w:ascii="Times New Roman" w:eastAsia="Times New Roman" w:hAnsi="Times New Roman" w:cs="Times New Roman"/>
          <w:bCs/>
          <w:i/>
          <w:sz w:val="24"/>
          <w:szCs w:val="24"/>
        </w:rPr>
        <w:t>POCT13</w:t>
      </w:r>
      <w:r w:rsidR="00627C87">
        <w:rPr>
          <w:rFonts w:ascii="Times New Roman" w:eastAsia="Times New Roman" w:hAnsi="Times New Roman" w:cs="Times New Roman"/>
          <w:bCs/>
          <w:sz w:val="24"/>
          <w:szCs w:val="24"/>
        </w:rPr>
        <w:t xml:space="preserve"> following the first survey will also be contacted by email and asked to take the third survey</w:t>
      </w:r>
      <w:r w:rsidR="004A2F10">
        <w:rPr>
          <w:rFonts w:ascii="Times New Roman" w:eastAsia="Times New Roman" w:hAnsi="Times New Roman" w:cs="Times New Roman"/>
          <w:bCs/>
          <w:sz w:val="24"/>
          <w:szCs w:val="24"/>
        </w:rPr>
        <w:t xml:space="preserve"> (Appendix D)</w:t>
      </w:r>
      <w:r w:rsidR="00627C87">
        <w:rPr>
          <w:rFonts w:ascii="Times New Roman" w:eastAsia="Times New Roman" w:hAnsi="Times New Roman" w:cs="Times New Roman"/>
          <w:bCs/>
          <w:sz w:val="24"/>
          <w:szCs w:val="24"/>
        </w:rPr>
        <w:t>.</w:t>
      </w:r>
    </w:p>
    <w:p w14:paraId="52ADEA67" w14:textId="77777777" w:rsidR="00FB0319" w:rsidRPr="00FB0319" w:rsidRDefault="00FB0319" w:rsidP="009F0C8F">
      <w:pPr>
        <w:pStyle w:val="ListParagraph"/>
        <w:ind w:hanging="720"/>
        <w:rPr>
          <w:rFonts w:ascii="Times New Roman" w:eastAsia="Times New Roman" w:hAnsi="Times New Roman" w:cs="Times New Roman"/>
          <w:bCs/>
          <w:i/>
          <w:sz w:val="24"/>
          <w:szCs w:val="24"/>
          <w:u w:val="single"/>
        </w:rPr>
      </w:pPr>
    </w:p>
    <w:p w14:paraId="75065A51" w14:textId="77777777" w:rsidR="00FB0319" w:rsidRPr="00FB0319" w:rsidRDefault="00FB0319" w:rsidP="009F0C8F">
      <w:pPr>
        <w:pStyle w:val="ListParagraph"/>
        <w:ind w:hanging="720"/>
        <w:rPr>
          <w:rFonts w:ascii="Times New Roman" w:eastAsia="Times New Roman" w:hAnsi="Times New Roman" w:cs="Times New Roman"/>
          <w:bCs/>
          <w:i/>
          <w:sz w:val="24"/>
          <w:szCs w:val="24"/>
          <w:u w:val="single"/>
        </w:rPr>
      </w:pPr>
    </w:p>
    <w:p w14:paraId="0FC3BAA8" w14:textId="77777777" w:rsidR="00FB0319" w:rsidRPr="00FB0319" w:rsidRDefault="00FB0319" w:rsidP="009F0C8F">
      <w:pPr>
        <w:pStyle w:val="ListParagraph"/>
        <w:ind w:hanging="720"/>
        <w:rPr>
          <w:rFonts w:ascii="Times New Roman" w:eastAsia="Times New Roman" w:hAnsi="Times New Roman" w:cs="Times New Roman"/>
          <w:bCs/>
          <w:i/>
          <w:sz w:val="24"/>
          <w:szCs w:val="24"/>
        </w:rPr>
      </w:pPr>
      <w:r w:rsidRPr="00FB0319">
        <w:rPr>
          <w:rFonts w:ascii="Times New Roman" w:eastAsia="Times New Roman" w:hAnsi="Times New Roman" w:cs="Times New Roman"/>
          <w:bCs/>
          <w:i/>
          <w:sz w:val="24"/>
          <w:szCs w:val="24"/>
        </w:rPr>
        <w:t>Description of the Information to be Collected</w:t>
      </w:r>
    </w:p>
    <w:p w14:paraId="62DC81CA" w14:textId="77777777" w:rsidR="00FB0319" w:rsidRPr="00FB0319" w:rsidRDefault="00FB0319" w:rsidP="009F0C8F">
      <w:pPr>
        <w:pStyle w:val="ListParagraph"/>
        <w:ind w:hanging="720"/>
        <w:rPr>
          <w:rFonts w:ascii="Times New Roman" w:eastAsia="Times New Roman" w:hAnsi="Times New Roman" w:cs="Times New Roman"/>
          <w:bCs/>
          <w:i/>
          <w:sz w:val="24"/>
          <w:szCs w:val="24"/>
        </w:rPr>
      </w:pPr>
    </w:p>
    <w:p w14:paraId="406C1C84" w14:textId="77777777" w:rsidR="00FB0319" w:rsidRPr="009F0C8F" w:rsidRDefault="00966B5F" w:rsidP="009F0C8F">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00FB0319" w:rsidRPr="009F0C8F">
        <w:rPr>
          <w:rFonts w:ascii="Times New Roman" w:eastAsia="Times New Roman" w:hAnsi="Times New Roman" w:cs="Times New Roman"/>
          <w:bCs/>
          <w:sz w:val="24"/>
          <w:szCs w:val="24"/>
        </w:rPr>
        <w:t xml:space="preserve">CLSI survey is designed to collect information on participant demographics, awareness of the CLSI, awareness of </w:t>
      </w:r>
      <w:r w:rsidR="00FB0319" w:rsidRPr="003B3C1F">
        <w:rPr>
          <w:rFonts w:ascii="Times New Roman" w:eastAsia="Times New Roman" w:hAnsi="Times New Roman" w:cs="Times New Roman"/>
          <w:bCs/>
          <w:i/>
          <w:sz w:val="24"/>
          <w:szCs w:val="24"/>
        </w:rPr>
        <w:t>POCT12</w:t>
      </w:r>
      <w:r w:rsidR="00FB0319" w:rsidRPr="009F0C8F">
        <w:rPr>
          <w:rFonts w:ascii="Times New Roman" w:eastAsia="Times New Roman" w:hAnsi="Times New Roman" w:cs="Times New Roman"/>
          <w:bCs/>
          <w:sz w:val="24"/>
          <w:szCs w:val="24"/>
        </w:rPr>
        <w:t xml:space="preserve"> and </w:t>
      </w:r>
      <w:r w:rsidR="00FB0319" w:rsidRPr="003B3C1F">
        <w:rPr>
          <w:rFonts w:ascii="Times New Roman" w:eastAsia="Times New Roman" w:hAnsi="Times New Roman" w:cs="Times New Roman"/>
          <w:bCs/>
          <w:i/>
          <w:sz w:val="24"/>
          <w:szCs w:val="24"/>
        </w:rPr>
        <w:t>POCT13</w:t>
      </w:r>
      <w:r w:rsidR="00FB0319" w:rsidRPr="009F0C8F">
        <w:rPr>
          <w:rFonts w:ascii="Times New Roman" w:eastAsia="Times New Roman" w:hAnsi="Times New Roman" w:cs="Times New Roman"/>
          <w:bCs/>
          <w:sz w:val="24"/>
          <w:szCs w:val="24"/>
        </w:rPr>
        <w:t xml:space="preserve">, use of </w:t>
      </w:r>
      <w:r w:rsidR="00FB0319" w:rsidRPr="003B3C1F">
        <w:rPr>
          <w:rFonts w:ascii="Times New Roman" w:eastAsia="Times New Roman" w:hAnsi="Times New Roman" w:cs="Times New Roman"/>
          <w:bCs/>
          <w:i/>
          <w:sz w:val="24"/>
          <w:szCs w:val="24"/>
        </w:rPr>
        <w:t>POCT12</w:t>
      </w:r>
      <w:r w:rsidR="00FB0319" w:rsidRPr="009F0C8F">
        <w:rPr>
          <w:rFonts w:ascii="Times New Roman" w:eastAsia="Times New Roman" w:hAnsi="Times New Roman" w:cs="Times New Roman"/>
          <w:bCs/>
          <w:sz w:val="24"/>
          <w:szCs w:val="24"/>
        </w:rPr>
        <w:t xml:space="preserve"> and </w:t>
      </w:r>
      <w:r w:rsidR="00FB0319" w:rsidRPr="003B3C1F">
        <w:rPr>
          <w:rFonts w:ascii="Times New Roman" w:eastAsia="Times New Roman" w:hAnsi="Times New Roman" w:cs="Times New Roman"/>
          <w:bCs/>
          <w:i/>
          <w:sz w:val="24"/>
          <w:szCs w:val="24"/>
        </w:rPr>
        <w:t>POCT13</w:t>
      </w:r>
      <w:r w:rsidR="00FB0319" w:rsidRPr="009F0C8F">
        <w:rPr>
          <w:rFonts w:ascii="Times New Roman" w:eastAsia="Times New Roman" w:hAnsi="Times New Roman" w:cs="Times New Roman"/>
          <w:bCs/>
          <w:sz w:val="24"/>
          <w:szCs w:val="24"/>
        </w:rPr>
        <w:t xml:space="preserve"> in their laboratories, facilitators and </w:t>
      </w:r>
      <w:r w:rsidR="00FB0319" w:rsidRPr="009F0C8F">
        <w:rPr>
          <w:rFonts w:ascii="Times New Roman" w:eastAsia="Times New Roman" w:hAnsi="Times New Roman" w:cs="Times New Roman"/>
          <w:bCs/>
          <w:sz w:val="24"/>
          <w:szCs w:val="24"/>
        </w:rPr>
        <w:lastRenderedPageBreak/>
        <w:t xml:space="preserve">barriers to their adoption of the recommendations into their laboratory practice, and questions about perceived value of the documents. </w:t>
      </w:r>
    </w:p>
    <w:p w14:paraId="0E8ED0A5" w14:textId="77777777" w:rsidR="00AA65DC" w:rsidRDefault="00AA65DC" w:rsidP="00AA65DC">
      <w:pPr>
        <w:pStyle w:val="ListParagraph"/>
        <w:spacing w:after="0" w:line="240" w:lineRule="auto"/>
        <w:ind w:left="0"/>
        <w:outlineLvl w:val="0"/>
        <w:rPr>
          <w:rFonts w:ascii="Times New Roman" w:eastAsia="Times New Roman" w:hAnsi="Times New Roman" w:cs="Times New Roman"/>
          <w:b/>
          <w:sz w:val="24"/>
          <w:szCs w:val="24"/>
        </w:rPr>
      </w:pPr>
    </w:p>
    <w:p w14:paraId="17E6F182" w14:textId="77777777" w:rsidR="00AA65DC" w:rsidRDefault="00AA65DC" w:rsidP="00AA65DC">
      <w:pPr>
        <w:spacing w:after="0" w:line="240" w:lineRule="auto"/>
        <w:outlineLvl w:val="0"/>
        <w:rPr>
          <w:rFonts w:ascii="Times New Roman" w:eastAsia="Times New Roman" w:hAnsi="Times New Roman" w:cs="Times New Roman"/>
          <w:b/>
          <w:sz w:val="24"/>
          <w:szCs w:val="24"/>
        </w:rPr>
      </w:pPr>
    </w:p>
    <w:p w14:paraId="11CBB81C" w14:textId="77777777" w:rsidR="00AA65DC" w:rsidRDefault="00AA65DC" w:rsidP="00AA65DC">
      <w:pPr>
        <w:pStyle w:val="ListParagraph"/>
        <w:numPr>
          <w:ilvl w:val="0"/>
          <w:numId w:val="1"/>
        </w:numPr>
        <w:spacing w:after="0" w:line="240" w:lineRule="auto"/>
        <w:ind w:left="360"/>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 to Maximize Response Rates and Deal with No Response</w:t>
      </w:r>
    </w:p>
    <w:p w14:paraId="4F62C045" w14:textId="77777777" w:rsidR="00210704" w:rsidRDefault="00210704" w:rsidP="00AA65DC">
      <w:pPr>
        <w:pStyle w:val="ListParagraph"/>
        <w:ind w:left="0"/>
        <w:rPr>
          <w:rFonts w:ascii="Times New Roman" w:eastAsia="Times New Roman" w:hAnsi="Times New Roman" w:cs="Times New Roman"/>
          <w:sz w:val="24"/>
          <w:szCs w:val="24"/>
        </w:rPr>
      </w:pPr>
    </w:p>
    <w:p w14:paraId="1A76F674" w14:textId="2E03D115" w:rsidR="00210704" w:rsidRPr="00210704" w:rsidRDefault="005103AB" w:rsidP="005103AB">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The r</w:t>
      </w:r>
      <w:r w:rsidR="00210704" w:rsidRPr="00210704">
        <w:rPr>
          <w:rFonts w:ascii="Times New Roman" w:eastAsia="Times New Roman" w:hAnsi="Times New Roman" w:cs="Times New Roman"/>
          <w:sz w:val="24"/>
          <w:szCs w:val="24"/>
        </w:rPr>
        <w:t>esponse rate for all surveys will be maximized by repeated reminders</w:t>
      </w:r>
      <w:r w:rsidR="00210704">
        <w:rPr>
          <w:rFonts w:ascii="Times New Roman" w:eastAsia="Times New Roman" w:hAnsi="Times New Roman" w:cs="Times New Roman"/>
          <w:sz w:val="24"/>
          <w:szCs w:val="24"/>
        </w:rPr>
        <w:t xml:space="preserve"> using the same channel </w:t>
      </w:r>
      <w:r w:rsidR="00EE39D5">
        <w:rPr>
          <w:rFonts w:ascii="Times New Roman" w:eastAsia="Times New Roman" w:hAnsi="Times New Roman" w:cs="Times New Roman"/>
          <w:sz w:val="24"/>
          <w:szCs w:val="24"/>
        </w:rPr>
        <w:t xml:space="preserve">that will be </w:t>
      </w:r>
      <w:r w:rsidR="00210704">
        <w:rPr>
          <w:rFonts w:ascii="Times New Roman" w:eastAsia="Times New Roman" w:hAnsi="Times New Roman" w:cs="Times New Roman"/>
          <w:sz w:val="24"/>
          <w:szCs w:val="24"/>
        </w:rPr>
        <w:t xml:space="preserve">used to </w:t>
      </w:r>
      <w:r w:rsidR="00210704" w:rsidRPr="00210704">
        <w:rPr>
          <w:rFonts w:ascii="Times New Roman" w:eastAsia="Times New Roman" w:hAnsi="Times New Roman" w:cs="Times New Roman"/>
          <w:sz w:val="24"/>
          <w:szCs w:val="24"/>
        </w:rPr>
        <w:t>distribute the survey</w:t>
      </w:r>
      <w:r w:rsidR="00F43713">
        <w:rPr>
          <w:rFonts w:ascii="Times New Roman" w:eastAsia="Times New Roman" w:hAnsi="Times New Roman" w:cs="Times New Roman"/>
          <w:sz w:val="24"/>
          <w:szCs w:val="24"/>
        </w:rPr>
        <w:t xml:space="preserve"> (Appendices E-L)</w:t>
      </w:r>
      <w:r w:rsidR="00210704" w:rsidRPr="00210704">
        <w:rPr>
          <w:rFonts w:ascii="Times New Roman" w:eastAsia="Times New Roman" w:hAnsi="Times New Roman" w:cs="Times New Roman"/>
          <w:sz w:val="24"/>
          <w:szCs w:val="24"/>
        </w:rPr>
        <w:t>.</w:t>
      </w:r>
      <w:r w:rsidR="00380A31">
        <w:rPr>
          <w:rFonts w:ascii="Times New Roman" w:eastAsia="Times New Roman" w:hAnsi="Times New Roman" w:cs="Times New Roman"/>
          <w:sz w:val="24"/>
          <w:szCs w:val="24"/>
        </w:rPr>
        <w:t xml:space="preserve">  All targeted laboratories will receive an email </w:t>
      </w:r>
      <w:r w:rsidR="00F43713">
        <w:rPr>
          <w:rFonts w:ascii="Times New Roman" w:eastAsia="Times New Roman" w:hAnsi="Times New Roman" w:cs="Times New Roman"/>
          <w:sz w:val="24"/>
          <w:szCs w:val="24"/>
        </w:rPr>
        <w:t xml:space="preserve">(Appendix </w:t>
      </w:r>
      <w:r w:rsidR="00C554F4">
        <w:rPr>
          <w:rFonts w:ascii="Times New Roman" w:eastAsia="Times New Roman" w:hAnsi="Times New Roman" w:cs="Times New Roman"/>
          <w:sz w:val="24"/>
          <w:szCs w:val="24"/>
        </w:rPr>
        <w:t>E</w:t>
      </w:r>
      <w:r w:rsidR="00F43713">
        <w:rPr>
          <w:rFonts w:ascii="Times New Roman" w:eastAsia="Times New Roman" w:hAnsi="Times New Roman" w:cs="Times New Roman"/>
          <w:sz w:val="24"/>
          <w:szCs w:val="24"/>
        </w:rPr>
        <w:t xml:space="preserve"> pg1 &amp; Appendix </w:t>
      </w:r>
      <w:r w:rsidR="00C554F4">
        <w:rPr>
          <w:rFonts w:ascii="Times New Roman" w:eastAsia="Times New Roman" w:hAnsi="Times New Roman" w:cs="Times New Roman"/>
          <w:sz w:val="24"/>
          <w:szCs w:val="24"/>
        </w:rPr>
        <w:t xml:space="preserve">F pg 1) </w:t>
      </w:r>
      <w:r w:rsidR="00380A31">
        <w:rPr>
          <w:rFonts w:ascii="Times New Roman" w:eastAsia="Times New Roman" w:hAnsi="Times New Roman" w:cs="Times New Roman"/>
          <w:sz w:val="24"/>
          <w:szCs w:val="24"/>
        </w:rPr>
        <w:t xml:space="preserve">or postcard </w:t>
      </w:r>
      <w:r w:rsidR="00C554F4">
        <w:rPr>
          <w:rFonts w:ascii="Times New Roman" w:eastAsia="Times New Roman" w:hAnsi="Times New Roman" w:cs="Times New Roman"/>
          <w:sz w:val="24"/>
          <w:szCs w:val="24"/>
        </w:rPr>
        <w:t xml:space="preserve">(Appendix G &amp; Appendix J) </w:t>
      </w:r>
      <w:r w:rsidR="00380A31">
        <w:rPr>
          <w:rFonts w:ascii="Times New Roman" w:eastAsia="Times New Roman" w:hAnsi="Times New Roman" w:cs="Times New Roman"/>
          <w:sz w:val="24"/>
          <w:szCs w:val="24"/>
        </w:rPr>
        <w:t xml:space="preserve">approximately one month before </w:t>
      </w:r>
      <w:r>
        <w:rPr>
          <w:rFonts w:ascii="Times New Roman" w:eastAsia="Times New Roman" w:hAnsi="Times New Roman" w:cs="Times New Roman"/>
          <w:sz w:val="24"/>
          <w:szCs w:val="24"/>
        </w:rPr>
        <w:t xml:space="preserve">distribution of </w:t>
      </w:r>
      <w:r w:rsidR="00380A31">
        <w:rPr>
          <w:rFonts w:ascii="Times New Roman" w:eastAsia="Times New Roman" w:hAnsi="Times New Roman" w:cs="Times New Roman"/>
          <w:sz w:val="24"/>
          <w:szCs w:val="24"/>
        </w:rPr>
        <w:t>the survey</w:t>
      </w:r>
      <w:r w:rsidR="00C554F4">
        <w:rPr>
          <w:rFonts w:ascii="Times New Roman" w:eastAsia="Times New Roman" w:hAnsi="Times New Roman" w:cs="Times New Roman"/>
          <w:sz w:val="24"/>
          <w:szCs w:val="24"/>
        </w:rPr>
        <w:t xml:space="preserve"> (Appendix C &amp; Appendix D)</w:t>
      </w:r>
      <w:r w:rsidR="00380A31">
        <w:rPr>
          <w:rFonts w:ascii="Times New Roman" w:eastAsia="Times New Roman" w:hAnsi="Times New Roman" w:cs="Times New Roman"/>
          <w:sz w:val="24"/>
          <w:szCs w:val="24"/>
        </w:rPr>
        <w:t xml:space="preserve">. This letter will describe the survey and our purpose for collecting </w:t>
      </w:r>
      <w:r w:rsidR="00ED4BE6">
        <w:rPr>
          <w:rFonts w:ascii="Times New Roman" w:eastAsia="Times New Roman" w:hAnsi="Times New Roman" w:cs="Times New Roman"/>
          <w:sz w:val="24"/>
          <w:szCs w:val="24"/>
        </w:rPr>
        <w:t xml:space="preserve">the </w:t>
      </w:r>
      <w:r w:rsidR="00EE39D5">
        <w:rPr>
          <w:rFonts w:ascii="Times New Roman" w:eastAsia="Times New Roman" w:hAnsi="Times New Roman" w:cs="Times New Roman"/>
          <w:sz w:val="24"/>
          <w:szCs w:val="24"/>
        </w:rPr>
        <w:t>information</w:t>
      </w:r>
      <w:r w:rsidR="00380A31">
        <w:rPr>
          <w:rFonts w:ascii="Times New Roman" w:eastAsia="Times New Roman" w:hAnsi="Times New Roman" w:cs="Times New Roman"/>
          <w:sz w:val="24"/>
          <w:szCs w:val="24"/>
        </w:rPr>
        <w:t xml:space="preserve">.  Another email </w:t>
      </w:r>
      <w:r w:rsidR="00C554F4">
        <w:rPr>
          <w:rFonts w:ascii="Times New Roman" w:eastAsia="Times New Roman" w:hAnsi="Times New Roman" w:cs="Times New Roman"/>
          <w:sz w:val="24"/>
          <w:szCs w:val="24"/>
        </w:rPr>
        <w:t xml:space="preserve">(Appendix E pg 2 &amp; Appendix F pg 2) </w:t>
      </w:r>
      <w:r w:rsidR="00380A31">
        <w:rPr>
          <w:rFonts w:ascii="Times New Roman" w:eastAsia="Times New Roman" w:hAnsi="Times New Roman" w:cs="Times New Roman"/>
          <w:sz w:val="24"/>
          <w:szCs w:val="24"/>
        </w:rPr>
        <w:t xml:space="preserve">or postcard </w:t>
      </w:r>
      <w:r w:rsidR="00C554F4">
        <w:rPr>
          <w:rFonts w:ascii="Times New Roman" w:eastAsia="Times New Roman" w:hAnsi="Times New Roman" w:cs="Times New Roman"/>
          <w:sz w:val="24"/>
          <w:szCs w:val="24"/>
        </w:rPr>
        <w:t xml:space="preserve">(Appendix H &amp; Appendix K) </w:t>
      </w:r>
      <w:r w:rsidR="00380A31">
        <w:rPr>
          <w:rFonts w:ascii="Times New Roman" w:eastAsia="Times New Roman" w:hAnsi="Times New Roman" w:cs="Times New Roman"/>
          <w:sz w:val="24"/>
          <w:szCs w:val="24"/>
        </w:rPr>
        <w:t xml:space="preserve">with a link to the survey will </w:t>
      </w:r>
      <w:r w:rsidR="003E4552">
        <w:rPr>
          <w:rFonts w:ascii="Times New Roman" w:eastAsia="Times New Roman" w:hAnsi="Times New Roman" w:cs="Times New Roman"/>
          <w:sz w:val="24"/>
          <w:szCs w:val="24"/>
        </w:rPr>
        <w:t xml:space="preserve">then </w:t>
      </w:r>
      <w:r w:rsidR="00380A31">
        <w:rPr>
          <w:rFonts w:ascii="Times New Roman" w:eastAsia="Times New Roman" w:hAnsi="Times New Roman" w:cs="Times New Roman"/>
          <w:sz w:val="24"/>
          <w:szCs w:val="24"/>
        </w:rPr>
        <w:t>be sent to the same targeted laboratories. We also plan to resend the link to the survey to all targeted laboratories approximately one month later to remind them of the survey</w:t>
      </w:r>
      <w:r w:rsidR="00C554F4">
        <w:rPr>
          <w:rFonts w:ascii="Times New Roman" w:eastAsia="Times New Roman" w:hAnsi="Times New Roman" w:cs="Times New Roman"/>
          <w:sz w:val="24"/>
          <w:szCs w:val="24"/>
        </w:rPr>
        <w:t xml:space="preserve"> (Appendix E pg 3, Appendix F pg 3, Appendix I, &amp; Appendix L)</w:t>
      </w:r>
      <w:r w:rsidR="00380A31">
        <w:rPr>
          <w:rFonts w:ascii="Times New Roman" w:eastAsia="Times New Roman" w:hAnsi="Times New Roman" w:cs="Times New Roman"/>
          <w:sz w:val="24"/>
          <w:szCs w:val="24"/>
        </w:rPr>
        <w:t>.</w:t>
      </w:r>
    </w:p>
    <w:p w14:paraId="60D97C62" w14:textId="77777777" w:rsidR="00F35FB4" w:rsidRDefault="00F35FB4" w:rsidP="00AA65DC">
      <w:pPr>
        <w:pStyle w:val="ListParagraph"/>
        <w:ind w:left="0"/>
        <w:rPr>
          <w:rFonts w:ascii="Times New Roman" w:hAnsi="Times New Roman" w:cs="Times New Roman"/>
          <w:sz w:val="24"/>
          <w:szCs w:val="24"/>
        </w:rPr>
      </w:pPr>
    </w:p>
    <w:p w14:paraId="128596F1" w14:textId="77777777" w:rsidR="00210704" w:rsidRPr="009E1397" w:rsidRDefault="00370E4C" w:rsidP="00AA65DC">
      <w:pPr>
        <w:pStyle w:val="ListParagraph"/>
        <w:ind w:left="0"/>
        <w:rPr>
          <w:rFonts w:ascii="Times New Roman" w:eastAsia="Times New Roman" w:hAnsi="Times New Roman" w:cs="Times New Roman"/>
          <w:sz w:val="24"/>
          <w:szCs w:val="24"/>
        </w:rPr>
      </w:pPr>
      <w:r w:rsidRPr="009E1397">
        <w:rPr>
          <w:rFonts w:ascii="Times New Roman" w:hAnsi="Times New Roman" w:cs="Times New Roman"/>
          <w:sz w:val="24"/>
          <w:szCs w:val="24"/>
        </w:rPr>
        <w:t xml:space="preserve">Response rates will be computed based on </w:t>
      </w:r>
      <w:r w:rsidR="009E1397">
        <w:rPr>
          <w:rFonts w:ascii="Times New Roman" w:hAnsi="Times New Roman" w:cs="Times New Roman"/>
          <w:sz w:val="24"/>
          <w:szCs w:val="24"/>
        </w:rPr>
        <w:t xml:space="preserve">the </w:t>
      </w:r>
      <w:r w:rsidRPr="009E1397">
        <w:rPr>
          <w:rFonts w:ascii="Times New Roman" w:hAnsi="Times New Roman" w:cs="Times New Roman"/>
          <w:i/>
          <w:sz w:val="24"/>
          <w:szCs w:val="24"/>
        </w:rPr>
        <w:t>OMB Standards and Guidelines for Statistical Surveys</w:t>
      </w:r>
      <w:r w:rsidRPr="009E1397">
        <w:rPr>
          <w:rFonts w:ascii="Times New Roman" w:hAnsi="Times New Roman" w:cs="Times New Roman"/>
          <w:sz w:val="24"/>
          <w:szCs w:val="24"/>
        </w:rPr>
        <w:t xml:space="preserve"> </w:t>
      </w:r>
      <w:r w:rsidR="009E1397">
        <w:rPr>
          <w:rFonts w:ascii="Times New Roman" w:hAnsi="Times New Roman" w:cs="Times New Roman"/>
          <w:sz w:val="24"/>
          <w:szCs w:val="24"/>
        </w:rPr>
        <w:t>guidance document</w:t>
      </w:r>
      <w:r w:rsidR="00F35FB4">
        <w:rPr>
          <w:rFonts w:ascii="Times New Roman" w:hAnsi="Times New Roman" w:cs="Times New Roman"/>
          <w:sz w:val="24"/>
          <w:szCs w:val="24"/>
        </w:rPr>
        <w:t>.</w:t>
      </w:r>
      <w:r w:rsidR="009E1397">
        <w:rPr>
          <w:rFonts w:ascii="Times New Roman" w:hAnsi="Times New Roman" w:cs="Times New Roman"/>
          <w:sz w:val="24"/>
          <w:szCs w:val="24"/>
        </w:rPr>
        <w:t xml:space="preserve"> </w:t>
      </w:r>
      <w:r w:rsidR="00F35FB4">
        <w:rPr>
          <w:rFonts w:ascii="Times New Roman" w:hAnsi="Times New Roman" w:cs="Times New Roman"/>
          <w:sz w:val="24"/>
          <w:szCs w:val="24"/>
        </w:rPr>
        <w:t>The</w:t>
      </w:r>
      <w:r w:rsidRPr="009E1397">
        <w:rPr>
          <w:rFonts w:ascii="Times New Roman" w:hAnsi="Times New Roman" w:cs="Times New Roman"/>
          <w:sz w:val="24"/>
          <w:szCs w:val="24"/>
        </w:rPr>
        <w:t xml:space="preserve"> proportion of the sample that is represented by the </w:t>
      </w:r>
      <w:r w:rsidR="00A83C00">
        <w:rPr>
          <w:rFonts w:ascii="Times New Roman" w:hAnsi="Times New Roman" w:cs="Times New Roman"/>
          <w:sz w:val="24"/>
          <w:szCs w:val="24"/>
        </w:rPr>
        <w:t>non-</w:t>
      </w:r>
      <w:r w:rsidRPr="009E1397">
        <w:rPr>
          <w:rFonts w:ascii="Times New Roman" w:hAnsi="Times New Roman" w:cs="Times New Roman"/>
          <w:sz w:val="24"/>
          <w:szCs w:val="24"/>
        </w:rPr>
        <w:t xml:space="preserve">responding </w:t>
      </w:r>
      <w:r w:rsidR="00F35FB4">
        <w:rPr>
          <w:rFonts w:ascii="Times New Roman" w:hAnsi="Times New Roman" w:cs="Times New Roman"/>
          <w:sz w:val="24"/>
          <w:szCs w:val="24"/>
        </w:rPr>
        <w:t>laboratories</w:t>
      </w:r>
      <w:r w:rsidRPr="009E1397">
        <w:rPr>
          <w:rFonts w:ascii="Times New Roman" w:hAnsi="Times New Roman" w:cs="Times New Roman"/>
          <w:sz w:val="24"/>
          <w:szCs w:val="24"/>
        </w:rPr>
        <w:t xml:space="preserve"> in </w:t>
      </w:r>
      <w:r w:rsidR="00F35FB4">
        <w:rPr>
          <w:rFonts w:ascii="Times New Roman" w:hAnsi="Times New Roman" w:cs="Times New Roman"/>
          <w:sz w:val="24"/>
          <w:szCs w:val="24"/>
        </w:rPr>
        <w:t>this project will be</w:t>
      </w:r>
      <w:r w:rsidRPr="009E1397">
        <w:rPr>
          <w:rFonts w:ascii="Times New Roman" w:hAnsi="Times New Roman" w:cs="Times New Roman"/>
          <w:sz w:val="24"/>
          <w:szCs w:val="24"/>
        </w:rPr>
        <w:t xml:space="preserve"> an indicator of potential nonresponse bias.</w:t>
      </w:r>
      <w:r w:rsidR="008D6B1A" w:rsidRPr="009E1397">
        <w:rPr>
          <w:rFonts w:ascii="Times New Roman" w:hAnsi="Times New Roman" w:cs="Times New Roman"/>
          <w:sz w:val="24"/>
          <w:szCs w:val="24"/>
        </w:rPr>
        <w:t xml:space="preserve"> </w:t>
      </w:r>
      <w:r w:rsidR="00F35FB4">
        <w:rPr>
          <w:rFonts w:ascii="Times New Roman" w:hAnsi="Times New Roman" w:cs="Times New Roman"/>
          <w:sz w:val="24"/>
          <w:szCs w:val="24"/>
        </w:rPr>
        <w:t>If there is</w:t>
      </w:r>
      <w:r w:rsidR="008D6B1A" w:rsidRPr="009E1397">
        <w:rPr>
          <w:rFonts w:ascii="Times New Roman" w:hAnsi="Times New Roman" w:cs="Times New Roman"/>
          <w:sz w:val="24"/>
          <w:szCs w:val="24"/>
        </w:rPr>
        <w:t xml:space="preserve"> </w:t>
      </w:r>
      <w:r w:rsidR="00F35FB4" w:rsidRPr="00F35FB4">
        <w:rPr>
          <w:rFonts w:ascii="Times New Roman" w:hAnsi="Times New Roman" w:cs="Times New Roman"/>
          <w:sz w:val="24"/>
          <w:szCs w:val="24"/>
        </w:rPr>
        <w:t>a lower response rate</w:t>
      </w:r>
      <w:r w:rsidR="00F35FB4">
        <w:rPr>
          <w:rFonts w:ascii="Times New Roman" w:hAnsi="Times New Roman" w:cs="Times New Roman"/>
          <w:sz w:val="24"/>
          <w:szCs w:val="24"/>
        </w:rPr>
        <w:t>,</w:t>
      </w:r>
      <w:r w:rsidR="00F35FB4" w:rsidRPr="00F35FB4">
        <w:rPr>
          <w:rFonts w:ascii="Times New Roman" w:hAnsi="Times New Roman" w:cs="Times New Roman"/>
          <w:sz w:val="24"/>
          <w:szCs w:val="24"/>
        </w:rPr>
        <w:t xml:space="preserve"> </w:t>
      </w:r>
      <w:r w:rsidR="00A83C00">
        <w:rPr>
          <w:rFonts w:ascii="Times New Roman" w:hAnsi="Times New Roman" w:cs="Times New Roman"/>
          <w:sz w:val="24"/>
          <w:szCs w:val="24"/>
        </w:rPr>
        <w:t>an</w:t>
      </w:r>
      <w:r w:rsidR="008D6B1A" w:rsidRPr="009E1397">
        <w:rPr>
          <w:rFonts w:ascii="Times New Roman" w:hAnsi="Times New Roman" w:cs="Times New Roman"/>
          <w:sz w:val="24"/>
          <w:szCs w:val="24"/>
        </w:rPr>
        <w:t xml:space="preserve"> in-depth nonresponse bias analysis will be conducted.</w:t>
      </w:r>
    </w:p>
    <w:p w14:paraId="29FC5F23" w14:textId="77777777" w:rsidR="00AA65DC" w:rsidRDefault="00AA65DC" w:rsidP="00AA65DC">
      <w:pPr>
        <w:pStyle w:val="ListParagraph"/>
        <w:ind w:left="0"/>
        <w:rPr>
          <w:rFonts w:ascii="Times New Roman" w:eastAsia="Times New Roman" w:hAnsi="Times New Roman" w:cs="Times New Roman"/>
          <w:b/>
          <w:sz w:val="24"/>
          <w:szCs w:val="24"/>
        </w:rPr>
      </w:pPr>
    </w:p>
    <w:p w14:paraId="51DA9569" w14:textId="77777777" w:rsidR="00AA65DC" w:rsidRPr="005416DD" w:rsidRDefault="00AA65DC" w:rsidP="00AA65DC">
      <w:pPr>
        <w:pStyle w:val="ListParagraph"/>
        <w:ind w:left="0"/>
        <w:rPr>
          <w:rFonts w:ascii="Times New Roman" w:eastAsia="Times New Roman" w:hAnsi="Times New Roman" w:cs="Times New Roman"/>
          <w:b/>
          <w:sz w:val="24"/>
          <w:szCs w:val="24"/>
        </w:rPr>
      </w:pPr>
    </w:p>
    <w:p w14:paraId="49A2B2DD" w14:textId="77777777" w:rsidR="00AA65DC" w:rsidRDefault="00AA65DC" w:rsidP="00AA65DC">
      <w:pPr>
        <w:pStyle w:val="ListParagraph"/>
        <w:numPr>
          <w:ilvl w:val="0"/>
          <w:numId w:val="1"/>
        </w:numPr>
        <w:spacing w:after="0" w:line="240" w:lineRule="auto"/>
        <w:ind w:left="360"/>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Tests of Procedures or Methods to be Undertaken</w:t>
      </w:r>
    </w:p>
    <w:p w14:paraId="01B49A56" w14:textId="77777777" w:rsidR="00AA65DC" w:rsidRDefault="00AA65DC" w:rsidP="00AA65DC">
      <w:pPr>
        <w:pStyle w:val="ListParagraph"/>
        <w:rPr>
          <w:rFonts w:ascii="Times New Roman" w:eastAsia="Times New Roman" w:hAnsi="Times New Roman" w:cs="Times New Roman"/>
          <w:b/>
          <w:sz w:val="24"/>
          <w:szCs w:val="24"/>
        </w:rPr>
      </w:pPr>
    </w:p>
    <w:p w14:paraId="089184C0" w14:textId="77777777" w:rsidR="00AA65DC" w:rsidRDefault="00AA65DC" w:rsidP="00AA65DC">
      <w:pPr>
        <w:pStyle w:val="ListParagraph"/>
        <w:ind w:left="0"/>
        <w:rPr>
          <w:rFonts w:ascii="Times New Roman" w:eastAsia="Times New Roman" w:hAnsi="Times New Roman" w:cs="Times New Roman"/>
          <w:b/>
          <w:sz w:val="24"/>
          <w:szCs w:val="24"/>
        </w:rPr>
      </w:pPr>
      <w:r>
        <w:rPr>
          <w:rFonts w:ascii="Times New Roman" w:hAnsi="Times New Roman" w:cs="Times New Roman"/>
          <w:sz w:val="24"/>
          <w:szCs w:val="24"/>
        </w:rPr>
        <w:t xml:space="preserve">The </w:t>
      </w:r>
      <w:r w:rsidR="00EA070A">
        <w:rPr>
          <w:rFonts w:ascii="Times New Roman" w:hAnsi="Times New Roman" w:cs="Times New Roman"/>
          <w:sz w:val="24"/>
          <w:szCs w:val="24"/>
        </w:rPr>
        <w:t>F</w:t>
      </w:r>
      <w:r w:rsidR="00765FB4">
        <w:rPr>
          <w:rFonts w:ascii="Times New Roman" w:hAnsi="Times New Roman" w:cs="Times New Roman"/>
          <w:sz w:val="24"/>
          <w:szCs w:val="24"/>
        </w:rPr>
        <w:t xml:space="preserve">ingerstick </w:t>
      </w:r>
      <w:r w:rsidR="00EA070A">
        <w:rPr>
          <w:rFonts w:ascii="Times New Roman" w:hAnsi="Times New Roman" w:cs="Times New Roman"/>
          <w:sz w:val="24"/>
          <w:szCs w:val="24"/>
        </w:rPr>
        <w:t>G</w:t>
      </w:r>
      <w:r w:rsidR="00765FB4">
        <w:rPr>
          <w:rFonts w:ascii="Times New Roman" w:hAnsi="Times New Roman" w:cs="Times New Roman"/>
          <w:sz w:val="24"/>
          <w:szCs w:val="24"/>
        </w:rPr>
        <w:t xml:space="preserve">lucose </w:t>
      </w:r>
      <w:r w:rsidR="00EA070A">
        <w:rPr>
          <w:rFonts w:ascii="Times New Roman" w:hAnsi="Times New Roman" w:cs="Times New Roman"/>
          <w:sz w:val="24"/>
          <w:szCs w:val="24"/>
        </w:rPr>
        <w:t>S</w:t>
      </w:r>
      <w:r w:rsidR="00765FB4">
        <w:rPr>
          <w:rFonts w:ascii="Times New Roman" w:hAnsi="Times New Roman" w:cs="Times New Roman"/>
          <w:sz w:val="24"/>
          <w:szCs w:val="24"/>
        </w:rPr>
        <w:t>urvey</w:t>
      </w:r>
      <w:r w:rsidR="00D0629E" w:rsidRPr="00594A83">
        <w:rPr>
          <w:rFonts w:ascii="Times New Roman" w:hAnsi="Times New Roman" w:cs="Times New Roman"/>
          <w:sz w:val="24"/>
          <w:szCs w:val="24"/>
        </w:rPr>
        <w:t xml:space="preserve"> </w:t>
      </w:r>
      <w:r w:rsidRPr="00594A83">
        <w:rPr>
          <w:rFonts w:ascii="Times New Roman" w:hAnsi="Times New Roman" w:cs="Times New Roman"/>
          <w:sz w:val="24"/>
          <w:szCs w:val="24"/>
        </w:rPr>
        <w:t xml:space="preserve">will be pilot tested with 9 laboratory </w:t>
      </w:r>
      <w:r w:rsidR="00D0629E">
        <w:rPr>
          <w:rFonts w:ascii="Times New Roman" w:hAnsi="Times New Roman" w:cs="Times New Roman"/>
          <w:sz w:val="24"/>
          <w:szCs w:val="24"/>
        </w:rPr>
        <w:t xml:space="preserve">and healthcare </w:t>
      </w:r>
      <w:r w:rsidRPr="00594A83">
        <w:rPr>
          <w:rFonts w:ascii="Times New Roman" w:hAnsi="Times New Roman" w:cs="Times New Roman"/>
          <w:sz w:val="24"/>
          <w:szCs w:val="24"/>
        </w:rPr>
        <w:t xml:space="preserve">professionals representing a diverse </w:t>
      </w:r>
      <w:r>
        <w:rPr>
          <w:rFonts w:ascii="Times New Roman" w:hAnsi="Times New Roman" w:cs="Times New Roman"/>
          <w:sz w:val="24"/>
          <w:szCs w:val="24"/>
        </w:rPr>
        <w:t>spectrum</w:t>
      </w:r>
      <w:r w:rsidRPr="00594A83">
        <w:rPr>
          <w:rFonts w:ascii="Times New Roman" w:hAnsi="Times New Roman" w:cs="Times New Roman"/>
          <w:sz w:val="24"/>
          <w:szCs w:val="24"/>
        </w:rPr>
        <w:t xml:space="preserve"> of the kinds of </w:t>
      </w:r>
      <w:r w:rsidR="00D0629E">
        <w:rPr>
          <w:rFonts w:ascii="Times New Roman" w:hAnsi="Times New Roman" w:cs="Times New Roman"/>
          <w:sz w:val="24"/>
          <w:szCs w:val="24"/>
        </w:rPr>
        <w:t>point-of-care coordinators</w:t>
      </w:r>
      <w:r w:rsidRPr="00594A83">
        <w:rPr>
          <w:rFonts w:ascii="Times New Roman" w:hAnsi="Times New Roman" w:cs="Times New Roman"/>
          <w:sz w:val="24"/>
          <w:szCs w:val="24"/>
        </w:rPr>
        <w:t xml:space="preserve">, </w:t>
      </w:r>
      <w:r w:rsidR="00D0629E">
        <w:rPr>
          <w:rFonts w:ascii="Times New Roman" w:hAnsi="Times New Roman" w:cs="Times New Roman"/>
          <w:sz w:val="24"/>
          <w:szCs w:val="24"/>
        </w:rPr>
        <w:t xml:space="preserve">clinical </w:t>
      </w:r>
      <w:r w:rsidRPr="00594A83">
        <w:rPr>
          <w:rFonts w:ascii="Times New Roman" w:hAnsi="Times New Roman" w:cs="Times New Roman"/>
          <w:sz w:val="24"/>
          <w:szCs w:val="24"/>
        </w:rPr>
        <w:t>laboratory directors</w:t>
      </w:r>
      <w:r w:rsidR="00D0629E">
        <w:rPr>
          <w:rFonts w:ascii="Times New Roman" w:hAnsi="Times New Roman" w:cs="Times New Roman"/>
          <w:sz w:val="24"/>
          <w:szCs w:val="24"/>
        </w:rPr>
        <w:t xml:space="preserve">, </w:t>
      </w:r>
      <w:r w:rsidR="00281363">
        <w:rPr>
          <w:rFonts w:ascii="Times New Roman" w:hAnsi="Times New Roman" w:cs="Times New Roman"/>
          <w:sz w:val="24"/>
          <w:szCs w:val="24"/>
        </w:rPr>
        <w:t xml:space="preserve">managers and supervisors, </w:t>
      </w:r>
      <w:r w:rsidR="00D0629E">
        <w:rPr>
          <w:rFonts w:ascii="Times New Roman" w:hAnsi="Times New Roman" w:cs="Times New Roman"/>
          <w:sz w:val="24"/>
          <w:szCs w:val="24"/>
        </w:rPr>
        <w:t>medical technologists, nurses,</w:t>
      </w:r>
      <w:r w:rsidRPr="00594A83">
        <w:rPr>
          <w:rFonts w:ascii="Times New Roman" w:hAnsi="Times New Roman" w:cs="Times New Roman"/>
          <w:sz w:val="24"/>
          <w:szCs w:val="24"/>
        </w:rPr>
        <w:t xml:space="preserve"> and </w:t>
      </w:r>
      <w:r w:rsidR="00D0629E">
        <w:rPr>
          <w:rFonts w:ascii="Times New Roman" w:hAnsi="Times New Roman" w:cs="Times New Roman"/>
          <w:sz w:val="24"/>
          <w:szCs w:val="24"/>
        </w:rPr>
        <w:t>medical doctors</w:t>
      </w:r>
      <w:r w:rsidRPr="00594A83">
        <w:rPr>
          <w:rFonts w:ascii="Times New Roman" w:hAnsi="Times New Roman" w:cs="Times New Roman"/>
          <w:sz w:val="24"/>
          <w:szCs w:val="24"/>
        </w:rPr>
        <w:t xml:space="preserve"> who work in the </w:t>
      </w:r>
      <w:r>
        <w:rPr>
          <w:rFonts w:ascii="Times New Roman" w:hAnsi="Times New Roman" w:cs="Times New Roman"/>
          <w:sz w:val="24"/>
          <w:szCs w:val="24"/>
        </w:rPr>
        <w:t>types</w:t>
      </w:r>
      <w:r w:rsidRPr="00594A83">
        <w:rPr>
          <w:rFonts w:ascii="Times New Roman" w:hAnsi="Times New Roman" w:cs="Times New Roman"/>
          <w:sz w:val="24"/>
          <w:szCs w:val="24"/>
        </w:rPr>
        <w:t xml:space="preserve"> of laboratories that perform </w:t>
      </w:r>
      <w:r w:rsidR="00D0629E">
        <w:rPr>
          <w:rFonts w:ascii="Times New Roman" w:hAnsi="Times New Roman" w:cs="Times New Roman"/>
          <w:sz w:val="24"/>
          <w:szCs w:val="24"/>
        </w:rPr>
        <w:t>glucose</w:t>
      </w:r>
      <w:r w:rsidR="00D0629E" w:rsidRPr="00594A83">
        <w:rPr>
          <w:rFonts w:ascii="Times New Roman" w:hAnsi="Times New Roman" w:cs="Times New Roman"/>
          <w:sz w:val="24"/>
          <w:szCs w:val="24"/>
        </w:rPr>
        <w:t xml:space="preserve"> </w:t>
      </w:r>
      <w:r w:rsidRPr="00594A83">
        <w:rPr>
          <w:rFonts w:ascii="Times New Roman" w:hAnsi="Times New Roman" w:cs="Times New Roman"/>
          <w:sz w:val="24"/>
          <w:szCs w:val="24"/>
        </w:rPr>
        <w:t>testing</w:t>
      </w:r>
      <w:r w:rsidR="00D0629E">
        <w:rPr>
          <w:rFonts w:ascii="Times New Roman" w:hAnsi="Times New Roman" w:cs="Times New Roman"/>
          <w:sz w:val="24"/>
          <w:szCs w:val="24"/>
        </w:rPr>
        <w:t xml:space="preserve"> and monitoring</w:t>
      </w:r>
      <w:r w:rsidRPr="00594A83">
        <w:rPr>
          <w:rFonts w:ascii="Times New Roman" w:hAnsi="Times New Roman" w:cs="Times New Roman"/>
          <w:sz w:val="24"/>
          <w:szCs w:val="24"/>
        </w:rPr>
        <w:t>, including hospital</w:t>
      </w:r>
      <w:r w:rsidR="00D0629E">
        <w:rPr>
          <w:rFonts w:ascii="Times New Roman" w:hAnsi="Times New Roman" w:cs="Times New Roman"/>
          <w:sz w:val="24"/>
          <w:szCs w:val="24"/>
        </w:rPr>
        <w:t xml:space="preserve"> laboratories</w:t>
      </w:r>
      <w:r w:rsidRPr="00594A83">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D0629E" w:rsidRPr="00D0629E">
        <w:rPr>
          <w:rFonts w:ascii="Times New Roman" w:hAnsi="Times New Roman" w:cs="Times New Roman"/>
          <w:sz w:val="24"/>
          <w:szCs w:val="24"/>
        </w:rPr>
        <w:t xml:space="preserve">physician offices or nursing homes that do not have an on-site moderate </w:t>
      </w:r>
      <w:r w:rsidR="00014BB3">
        <w:rPr>
          <w:rFonts w:ascii="Times New Roman" w:hAnsi="Times New Roman" w:cs="Times New Roman"/>
          <w:sz w:val="24"/>
          <w:szCs w:val="24"/>
        </w:rPr>
        <w:t>or</w:t>
      </w:r>
      <w:r w:rsidR="00D0629E" w:rsidRPr="00D0629E">
        <w:rPr>
          <w:rFonts w:ascii="Times New Roman" w:hAnsi="Times New Roman" w:cs="Times New Roman"/>
          <w:sz w:val="24"/>
          <w:szCs w:val="24"/>
        </w:rPr>
        <w:t xml:space="preserve"> high complexity laboratory</w:t>
      </w:r>
      <w:r>
        <w:rPr>
          <w:rFonts w:ascii="Times New Roman" w:hAnsi="Times New Roman" w:cs="Times New Roman"/>
          <w:sz w:val="24"/>
          <w:szCs w:val="24"/>
        </w:rPr>
        <w:t xml:space="preserve">.  </w:t>
      </w:r>
      <w:r w:rsidR="000A2A19">
        <w:rPr>
          <w:rFonts w:ascii="Times New Roman" w:hAnsi="Times New Roman" w:cs="Times New Roman"/>
          <w:sz w:val="24"/>
          <w:szCs w:val="24"/>
        </w:rPr>
        <w:t>During pilot testing</w:t>
      </w:r>
      <w:r w:rsidRPr="00594A8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A2A19">
        <w:rPr>
          <w:rFonts w:ascii="Times New Roman" w:hAnsi="Times New Roman" w:cs="Times New Roman"/>
          <w:sz w:val="24"/>
          <w:szCs w:val="24"/>
        </w:rPr>
        <w:t>CLSI</w:t>
      </w:r>
      <w:r w:rsidR="000A2A19" w:rsidRPr="00594A83">
        <w:rPr>
          <w:rFonts w:ascii="Times New Roman" w:hAnsi="Times New Roman" w:cs="Times New Roman"/>
          <w:sz w:val="24"/>
          <w:szCs w:val="24"/>
        </w:rPr>
        <w:t xml:space="preserve"> </w:t>
      </w:r>
      <w:r w:rsidRPr="00594A83">
        <w:rPr>
          <w:rFonts w:ascii="Times New Roman" w:hAnsi="Times New Roman" w:cs="Times New Roman"/>
          <w:sz w:val="24"/>
          <w:szCs w:val="24"/>
        </w:rPr>
        <w:t xml:space="preserve">will identify volunteers to take the survey and then, collect impressions concerning any ambiguities or other concerns and finally follow up </w:t>
      </w:r>
      <w:r>
        <w:rPr>
          <w:rFonts w:ascii="Times New Roman" w:hAnsi="Times New Roman" w:cs="Times New Roman"/>
          <w:sz w:val="24"/>
          <w:szCs w:val="24"/>
        </w:rPr>
        <w:t xml:space="preserve">with phone calls if necessary. The </w:t>
      </w:r>
      <w:r w:rsidR="000A2A19">
        <w:rPr>
          <w:rFonts w:ascii="Times New Roman" w:hAnsi="Times New Roman" w:cs="Times New Roman"/>
          <w:sz w:val="24"/>
          <w:szCs w:val="24"/>
        </w:rPr>
        <w:t>CLSI</w:t>
      </w:r>
      <w:r w:rsidR="000A2A19" w:rsidRPr="00594A83">
        <w:rPr>
          <w:rFonts w:ascii="Times New Roman" w:hAnsi="Times New Roman" w:cs="Times New Roman"/>
          <w:sz w:val="24"/>
          <w:szCs w:val="24"/>
        </w:rPr>
        <w:t xml:space="preserve"> </w:t>
      </w:r>
      <w:r w:rsidRPr="00594A83">
        <w:rPr>
          <w:rFonts w:ascii="Times New Roman" w:hAnsi="Times New Roman" w:cs="Times New Roman"/>
          <w:sz w:val="24"/>
          <w:szCs w:val="24"/>
        </w:rPr>
        <w:t>will attempt to include a variety of geographical areas, including laboratories in smaller metropolitan areas, if possible.</w:t>
      </w:r>
      <w:r w:rsidRPr="00594A83" w:rsidDel="00594A83">
        <w:rPr>
          <w:rFonts w:ascii="Times New Roman" w:eastAsia="Times New Roman" w:hAnsi="Times New Roman" w:cs="Times New Roman"/>
          <w:b/>
          <w:sz w:val="24"/>
          <w:szCs w:val="24"/>
        </w:rPr>
        <w:t xml:space="preserve"> </w:t>
      </w:r>
    </w:p>
    <w:p w14:paraId="519E735F" w14:textId="77777777" w:rsidR="00AA65DC" w:rsidRDefault="00AA65DC" w:rsidP="00AA65DC">
      <w:pPr>
        <w:spacing w:after="0" w:line="240" w:lineRule="auto"/>
        <w:outlineLvl w:val="0"/>
        <w:rPr>
          <w:rFonts w:ascii="Times New Roman" w:eastAsia="Times New Roman" w:hAnsi="Times New Roman" w:cs="Times New Roman"/>
          <w:b/>
          <w:sz w:val="24"/>
          <w:szCs w:val="24"/>
        </w:rPr>
      </w:pPr>
    </w:p>
    <w:p w14:paraId="46BCE822" w14:textId="77777777" w:rsidR="00AA65DC" w:rsidRPr="001E4D79" w:rsidRDefault="00AA65DC" w:rsidP="00AA65DC">
      <w:pPr>
        <w:spacing w:after="0" w:line="240" w:lineRule="auto"/>
        <w:outlineLvl w:val="0"/>
        <w:rPr>
          <w:rFonts w:ascii="Times New Roman" w:eastAsia="Times New Roman" w:hAnsi="Times New Roman" w:cs="Times New Roman"/>
          <w:b/>
          <w:sz w:val="24"/>
          <w:szCs w:val="24"/>
        </w:rPr>
      </w:pPr>
    </w:p>
    <w:p w14:paraId="582228BB" w14:textId="77777777" w:rsidR="00AA65DC" w:rsidRPr="005416DD" w:rsidRDefault="00AA65DC" w:rsidP="00AA65DC">
      <w:pPr>
        <w:pStyle w:val="ListParagraph"/>
        <w:numPr>
          <w:ilvl w:val="0"/>
          <w:numId w:val="1"/>
        </w:numPr>
        <w:spacing w:after="0" w:line="240" w:lineRule="auto"/>
        <w:ind w:left="360"/>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Individuals Consulted on Statistical Aspects and Individuals Collecting and/or Analyzing Data</w:t>
      </w:r>
    </w:p>
    <w:p w14:paraId="3181799B" w14:textId="77777777" w:rsidR="00AA65DC" w:rsidRDefault="00AA65DC" w:rsidP="00AA65DC">
      <w:pPr>
        <w:spacing w:after="0" w:line="240" w:lineRule="auto"/>
        <w:outlineLvl w:val="0"/>
        <w:rPr>
          <w:rFonts w:ascii="Times New Roman" w:eastAsia="Times New Roman" w:hAnsi="Times New Roman" w:cs="Times New Roman"/>
          <w:sz w:val="24"/>
          <w:szCs w:val="24"/>
        </w:rPr>
      </w:pPr>
    </w:p>
    <w:p w14:paraId="4F2309D2" w14:textId="77777777" w:rsidR="00AA65DC" w:rsidRPr="0079092D" w:rsidRDefault="00AA65DC" w:rsidP="00AA65DC">
      <w:pPr>
        <w:pStyle w:val="ListParagraph"/>
        <w:spacing w:after="0" w:line="240" w:lineRule="auto"/>
        <w:ind w:left="0"/>
        <w:rPr>
          <w:rStyle w:val="Hyperlink"/>
          <w:rFonts w:ascii="Times New Roman" w:eastAsia="Times New Roman" w:hAnsi="Times New Roman" w:cs="Times New Roman"/>
          <w:bCs/>
          <w:color w:val="auto"/>
          <w:sz w:val="24"/>
          <w:szCs w:val="24"/>
          <w:u w:val="none"/>
        </w:rPr>
      </w:pPr>
      <w:r w:rsidRPr="0079092D">
        <w:rPr>
          <w:rStyle w:val="Hyperlink"/>
          <w:rFonts w:ascii="Times New Roman" w:eastAsia="Times New Roman" w:hAnsi="Times New Roman" w:cs="Times New Roman"/>
          <w:color w:val="auto"/>
          <w:sz w:val="24"/>
          <w:szCs w:val="24"/>
          <w:u w:val="none"/>
        </w:rPr>
        <w:t>The following provided consultation on survey design</w:t>
      </w:r>
      <w:r w:rsidR="00960B7A" w:rsidRPr="0079092D">
        <w:rPr>
          <w:rStyle w:val="Hyperlink"/>
          <w:rFonts w:ascii="Times New Roman" w:eastAsia="Times New Roman" w:hAnsi="Times New Roman" w:cs="Times New Roman"/>
          <w:color w:val="auto"/>
          <w:sz w:val="24"/>
          <w:szCs w:val="24"/>
          <w:u w:val="none"/>
        </w:rPr>
        <w:t xml:space="preserve"> and will help analyze data</w:t>
      </w:r>
      <w:r w:rsidRPr="0079092D">
        <w:rPr>
          <w:rStyle w:val="Hyperlink"/>
          <w:rFonts w:ascii="Times New Roman" w:eastAsia="Times New Roman" w:hAnsi="Times New Roman" w:cs="Times New Roman"/>
          <w:color w:val="auto"/>
          <w:sz w:val="24"/>
          <w:szCs w:val="24"/>
          <w:u w:val="none"/>
        </w:rPr>
        <w:t>:</w:t>
      </w:r>
    </w:p>
    <w:p w14:paraId="0E3CA751" w14:textId="77777777" w:rsidR="00107CB2" w:rsidRDefault="00107CB2" w:rsidP="009F0C8F">
      <w:pPr>
        <w:spacing w:after="0" w:line="240" w:lineRule="auto"/>
        <w:outlineLvl w:val="0"/>
        <w:rPr>
          <w:rFonts w:ascii="Times New Roman" w:eastAsia="Times New Roman" w:hAnsi="Times New Roman" w:cs="Times New Roman"/>
          <w:sz w:val="24"/>
          <w:szCs w:val="24"/>
        </w:rPr>
      </w:pPr>
    </w:p>
    <w:p w14:paraId="47EB82BA" w14:textId="77777777" w:rsidR="009F0C8F" w:rsidRDefault="009F0C8F" w:rsidP="009F0C8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Hee-Choon Shin, PhD</w:t>
      </w:r>
    </w:p>
    <w:p w14:paraId="3102EB2B" w14:textId="77777777" w:rsidR="009F0C8F" w:rsidRDefault="009F0C8F" w:rsidP="009F0C8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Senior Service Fellow</w:t>
      </w:r>
    </w:p>
    <w:p w14:paraId="5804A30B" w14:textId="77777777" w:rsidR="009F0C8F" w:rsidRDefault="009F0C8F" w:rsidP="009F0C8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w:t>
      </w:r>
    </w:p>
    <w:p w14:paraId="44EFAF58" w14:textId="77777777" w:rsidR="009F0C8F" w:rsidRDefault="009F0C8F" w:rsidP="009F0C8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Clifton Road NE</w:t>
      </w:r>
    </w:p>
    <w:p w14:paraId="3A268E59" w14:textId="77777777" w:rsidR="009F0C8F" w:rsidRDefault="009F0C8F" w:rsidP="009F0C8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MS P08</w:t>
      </w:r>
    </w:p>
    <w:p w14:paraId="742FBBD4" w14:textId="77777777" w:rsidR="009F0C8F" w:rsidRDefault="009F0C8F" w:rsidP="009F0C8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Atlanta, GA 30329</w:t>
      </w:r>
    </w:p>
    <w:p w14:paraId="6645A980" w14:textId="77777777" w:rsidR="009F0C8F" w:rsidRDefault="009F0C8F" w:rsidP="009F0C8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Phone: 301-458-4307</w:t>
      </w:r>
    </w:p>
    <w:p w14:paraId="19848C83" w14:textId="77777777" w:rsidR="009F0C8F" w:rsidRDefault="002A6C79" w:rsidP="009F0C8F">
      <w:pPr>
        <w:spacing w:after="0" w:line="240" w:lineRule="auto"/>
        <w:outlineLvl w:val="0"/>
        <w:rPr>
          <w:rFonts w:ascii="Times New Roman" w:eastAsia="Times New Roman" w:hAnsi="Times New Roman" w:cs="Times New Roman"/>
          <w:sz w:val="24"/>
          <w:szCs w:val="24"/>
        </w:rPr>
      </w:pPr>
      <w:hyperlink r:id="rId9" w:history="1">
        <w:r w:rsidR="00765FB4" w:rsidRPr="007703DE">
          <w:rPr>
            <w:rStyle w:val="Hyperlink"/>
            <w:rFonts w:ascii="Times New Roman" w:eastAsia="Times New Roman" w:hAnsi="Times New Roman" w:cs="Times New Roman"/>
            <w:sz w:val="24"/>
            <w:szCs w:val="24"/>
          </w:rPr>
          <w:t>wmi7@cdc.gov</w:t>
        </w:r>
      </w:hyperlink>
    </w:p>
    <w:p w14:paraId="0D0F3E7B" w14:textId="77777777" w:rsidR="00765FB4" w:rsidRDefault="00765FB4" w:rsidP="009F0C8F">
      <w:pPr>
        <w:spacing w:after="0" w:line="240" w:lineRule="auto"/>
        <w:outlineLvl w:val="0"/>
        <w:rPr>
          <w:rFonts w:ascii="Times New Roman" w:eastAsia="Times New Roman" w:hAnsi="Times New Roman" w:cs="Times New Roman"/>
          <w:sz w:val="24"/>
          <w:szCs w:val="24"/>
        </w:rPr>
      </w:pPr>
    </w:p>
    <w:p w14:paraId="1CDCB3B3" w14:textId="77777777" w:rsidR="00AA65DC" w:rsidRPr="00107CB2" w:rsidRDefault="00960B7A">
      <w:pPr>
        <w:rPr>
          <w:rFonts w:ascii="Times New Roman" w:hAnsi="Times New Roman" w:cs="Times New Roman"/>
          <w:sz w:val="24"/>
        </w:rPr>
      </w:pPr>
      <w:r w:rsidRPr="00107CB2">
        <w:rPr>
          <w:rFonts w:ascii="Times New Roman" w:hAnsi="Times New Roman" w:cs="Times New Roman"/>
          <w:sz w:val="24"/>
        </w:rPr>
        <w:t xml:space="preserve">In addition, </w:t>
      </w:r>
      <w:r w:rsidR="00107CB2">
        <w:rPr>
          <w:rFonts w:ascii="Times New Roman" w:hAnsi="Times New Roman" w:cs="Times New Roman"/>
          <w:sz w:val="24"/>
        </w:rPr>
        <w:t>the following individuals</w:t>
      </w:r>
      <w:r w:rsidRPr="00107CB2">
        <w:rPr>
          <w:rFonts w:ascii="Times New Roman" w:hAnsi="Times New Roman" w:cs="Times New Roman"/>
          <w:sz w:val="24"/>
        </w:rPr>
        <w:t xml:space="preserve"> will help analyze the data</w:t>
      </w:r>
      <w:r w:rsidR="00107CB2">
        <w:rPr>
          <w:rFonts w:ascii="Times New Roman" w:hAnsi="Times New Roman" w:cs="Times New Roman"/>
          <w:sz w:val="24"/>
        </w:rPr>
        <w:t>:</w:t>
      </w:r>
    </w:p>
    <w:p w14:paraId="59E6AAA6" w14:textId="77777777" w:rsidR="00960B7A" w:rsidRPr="00107CB2" w:rsidRDefault="00960B7A" w:rsidP="00107CB2">
      <w:pPr>
        <w:spacing w:after="0"/>
        <w:rPr>
          <w:rFonts w:ascii="Times New Roman" w:hAnsi="Times New Roman" w:cs="Times New Roman"/>
          <w:sz w:val="24"/>
        </w:rPr>
      </w:pPr>
      <w:r w:rsidRPr="00107CB2">
        <w:rPr>
          <w:rFonts w:ascii="Times New Roman" w:hAnsi="Times New Roman" w:cs="Times New Roman"/>
          <w:sz w:val="24"/>
        </w:rPr>
        <w:t>Lisa Kalman, PhD</w:t>
      </w:r>
    </w:p>
    <w:p w14:paraId="012D8D3B" w14:textId="77777777" w:rsidR="00960B7A" w:rsidRPr="00107CB2" w:rsidRDefault="00960B7A" w:rsidP="00107CB2">
      <w:pPr>
        <w:spacing w:after="0"/>
        <w:rPr>
          <w:rFonts w:ascii="Times New Roman" w:hAnsi="Times New Roman" w:cs="Times New Roman"/>
          <w:sz w:val="24"/>
        </w:rPr>
      </w:pPr>
      <w:r w:rsidRPr="00107CB2">
        <w:rPr>
          <w:rFonts w:ascii="Times New Roman" w:hAnsi="Times New Roman" w:cs="Times New Roman"/>
          <w:sz w:val="24"/>
        </w:rPr>
        <w:t>Health Scientist</w:t>
      </w:r>
    </w:p>
    <w:p w14:paraId="4B8FCBA0" w14:textId="77777777" w:rsidR="00960B7A" w:rsidRDefault="00960B7A" w:rsidP="00960B7A">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w:t>
      </w:r>
    </w:p>
    <w:p w14:paraId="6683A5FF" w14:textId="77777777" w:rsidR="00960B7A" w:rsidRDefault="00960B7A" w:rsidP="00960B7A">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1600 Clifton Road NE</w:t>
      </w:r>
    </w:p>
    <w:p w14:paraId="63840A04" w14:textId="77777777" w:rsidR="00960B7A" w:rsidRDefault="00960B7A" w:rsidP="00960B7A">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MS G23</w:t>
      </w:r>
    </w:p>
    <w:p w14:paraId="5B81283F" w14:textId="77777777" w:rsidR="00960B7A" w:rsidRDefault="00960B7A" w:rsidP="00960B7A">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Atlanta, GA 303</w:t>
      </w:r>
      <w:r w:rsidR="00EA070A">
        <w:rPr>
          <w:rFonts w:ascii="Times New Roman" w:eastAsia="Times New Roman" w:hAnsi="Times New Roman" w:cs="Times New Roman"/>
          <w:sz w:val="24"/>
          <w:szCs w:val="24"/>
        </w:rPr>
        <w:t>29</w:t>
      </w:r>
    </w:p>
    <w:p w14:paraId="04F1EF34" w14:textId="77777777" w:rsidR="00960B7A" w:rsidRDefault="00960B7A" w:rsidP="00960B7A">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Phone: 404 498-2231</w:t>
      </w:r>
    </w:p>
    <w:p w14:paraId="50724A19" w14:textId="77777777" w:rsidR="00960B7A" w:rsidRDefault="002A6C79" w:rsidP="00960B7A">
      <w:pPr>
        <w:spacing w:after="0" w:line="240" w:lineRule="auto"/>
        <w:outlineLvl w:val="0"/>
        <w:rPr>
          <w:rFonts w:ascii="Times New Roman" w:eastAsia="Times New Roman" w:hAnsi="Times New Roman" w:cs="Times New Roman"/>
          <w:sz w:val="24"/>
          <w:szCs w:val="24"/>
        </w:rPr>
      </w:pPr>
      <w:hyperlink r:id="rId10" w:history="1">
        <w:r w:rsidR="00765FB4" w:rsidRPr="007703DE">
          <w:rPr>
            <w:rStyle w:val="Hyperlink"/>
            <w:rFonts w:ascii="Times New Roman" w:eastAsia="Times New Roman" w:hAnsi="Times New Roman" w:cs="Times New Roman"/>
            <w:sz w:val="24"/>
            <w:szCs w:val="24"/>
          </w:rPr>
          <w:t>ljk0@cdc.gov</w:t>
        </w:r>
      </w:hyperlink>
    </w:p>
    <w:p w14:paraId="4B91815D" w14:textId="77777777" w:rsidR="00765FB4" w:rsidRDefault="00765FB4" w:rsidP="00960B7A">
      <w:pPr>
        <w:spacing w:after="0" w:line="240" w:lineRule="auto"/>
        <w:outlineLvl w:val="0"/>
        <w:rPr>
          <w:rFonts w:ascii="Times New Roman" w:eastAsia="Times New Roman" w:hAnsi="Times New Roman" w:cs="Times New Roman"/>
          <w:sz w:val="24"/>
          <w:szCs w:val="24"/>
        </w:rPr>
      </w:pPr>
    </w:p>
    <w:p w14:paraId="281CB649" w14:textId="77777777" w:rsidR="00960B7A" w:rsidRPr="00107CB2" w:rsidRDefault="00960B7A" w:rsidP="00107CB2">
      <w:pPr>
        <w:spacing w:after="0"/>
        <w:rPr>
          <w:rFonts w:ascii="Times New Roman" w:hAnsi="Times New Roman" w:cs="Times New Roman"/>
          <w:sz w:val="24"/>
        </w:rPr>
      </w:pPr>
      <w:r w:rsidRPr="00107CB2">
        <w:rPr>
          <w:rFonts w:ascii="Times New Roman" w:hAnsi="Times New Roman" w:cs="Times New Roman"/>
          <w:sz w:val="24"/>
        </w:rPr>
        <w:t>David E. Sterry, MT (ASCP)</w:t>
      </w:r>
    </w:p>
    <w:p w14:paraId="7089DEC4" w14:textId="77777777" w:rsidR="00960B7A" w:rsidRPr="00107CB2" w:rsidRDefault="00960B7A" w:rsidP="00107CB2">
      <w:pPr>
        <w:spacing w:after="0"/>
        <w:rPr>
          <w:rFonts w:ascii="Times New Roman" w:hAnsi="Times New Roman" w:cs="Times New Roman"/>
          <w:sz w:val="24"/>
        </w:rPr>
      </w:pPr>
      <w:r w:rsidRPr="00107CB2">
        <w:rPr>
          <w:rFonts w:ascii="Times New Roman" w:hAnsi="Times New Roman" w:cs="Times New Roman"/>
          <w:sz w:val="24"/>
        </w:rPr>
        <w:t>Director, Standards</w:t>
      </w:r>
    </w:p>
    <w:p w14:paraId="7433F3A5" w14:textId="77777777" w:rsidR="00960B7A" w:rsidRPr="00107CB2" w:rsidRDefault="00960B7A" w:rsidP="00107CB2">
      <w:pPr>
        <w:spacing w:after="0"/>
        <w:rPr>
          <w:rFonts w:ascii="Times New Roman" w:hAnsi="Times New Roman" w:cs="Times New Roman"/>
          <w:sz w:val="24"/>
        </w:rPr>
      </w:pPr>
      <w:r w:rsidRPr="00107CB2">
        <w:rPr>
          <w:rFonts w:ascii="Times New Roman" w:hAnsi="Times New Roman" w:cs="Times New Roman"/>
          <w:sz w:val="24"/>
        </w:rPr>
        <w:t>Secretary, ISO/TC 212</w:t>
      </w:r>
    </w:p>
    <w:p w14:paraId="0816F742" w14:textId="77777777" w:rsidR="00960B7A" w:rsidRPr="00107CB2" w:rsidRDefault="00960B7A" w:rsidP="00107CB2">
      <w:pPr>
        <w:spacing w:after="0"/>
        <w:rPr>
          <w:rFonts w:ascii="Times New Roman" w:hAnsi="Times New Roman" w:cs="Times New Roman"/>
          <w:sz w:val="24"/>
        </w:rPr>
      </w:pPr>
      <w:r w:rsidRPr="00107CB2">
        <w:rPr>
          <w:rFonts w:ascii="Times New Roman" w:hAnsi="Times New Roman" w:cs="Times New Roman"/>
          <w:sz w:val="24"/>
        </w:rPr>
        <w:t>Clinical and Laboratory Standards Institute</w:t>
      </w:r>
    </w:p>
    <w:p w14:paraId="74184B42" w14:textId="77777777" w:rsidR="00960B7A" w:rsidRPr="00107CB2" w:rsidRDefault="00960B7A" w:rsidP="00107CB2">
      <w:pPr>
        <w:spacing w:after="0"/>
        <w:rPr>
          <w:rFonts w:ascii="Times New Roman" w:hAnsi="Times New Roman" w:cs="Times New Roman"/>
          <w:sz w:val="24"/>
        </w:rPr>
      </w:pPr>
      <w:r w:rsidRPr="00107CB2">
        <w:rPr>
          <w:rFonts w:ascii="Times New Roman" w:hAnsi="Times New Roman" w:cs="Times New Roman"/>
          <w:sz w:val="24"/>
        </w:rPr>
        <w:t>950 West Valley Road, Suite 2500</w:t>
      </w:r>
    </w:p>
    <w:p w14:paraId="630C0A3A" w14:textId="77777777" w:rsidR="00960B7A" w:rsidRPr="00107CB2" w:rsidRDefault="00960B7A" w:rsidP="00107CB2">
      <w:pPr>
        <w:spacing w:after="0"/>
        <w:rPr>
          <w:rFonts w:ascii="Times New Roman" w:hAnsi="Times New Roman" w:cs="Times New Roman"/>
          <w:sz w:val="24"/>
        </w:rPr>
      </w:pPr>
      <w:r w:rsidRPr="00107CB2">
        <w:rPr>
          <w:rFonts w:ascii="Times New Roman" w:hAnsi="Times New Roman" w:cs="Times New Roman"/>
          <w:sz w:val="24"/>
        </w:rPr>
        <w:t xml:space="preserve">Wayne, PA  19087 USA </w:t>
      </w:r>
    </w:p>
    <w:p w14:paraId="5FF13899" w14:textId="77777777" w:rsidR="00960B7A" w:rsidRPr="00107CB2" w:rsidRDefault="00EA070A" w:rsidP="00107CB2">
      <w:pPr>
        <w:spacing w:after="0"/>
        <w:rPr>
          <w:rFonts w:ascii="Times New Roman" w:hAnsi="Times New Roman" w:cs="Times New Roman"/>
          <w:sz w:val="24"/>
        </w:rPr>
      </w:pPr>
      <w:r>
        <w:rPr>
          <w:rFonts w:ascii="Times New Roman" w:hAnsi="Times New Roman" w:cs="Times New Roman"/>
          <w:sz w:val="24"/>
        </w:rPr>
        <w:t>Phone</w:t>
      </w:r>
      <w:r w:rsidR="00960B7A" w:rsidRPr="00107CB2">
        <w:rPr>
          <w:rFonts w:ascii="Times New Roman" w:hAnsi="Times New Roman" w:cs="Times New Roman"/>
          <w:sz w:val="24"/>
        </w:rPr>
        <w:t>: 484.588.5942</w:t>
      </w:r>
    </w:p>
    <w:p w14:paraId="44152424" w14:textId="77777777" w:rsidR="00960B7A" w:rsidRPr="00107CB2" w:rsidRDefault="00960B7A" w:rsidP="00107CB2">
      <w:pPr>
        <w:spacing w:after="0"/>
        <w:rPr>
          <w:rFonts w:ascii="Times New Roman" w:hAnsi="Times New Roman" w:cs="Times New Roman"/>
          <w:sz w:val="24"/>
        </w:rPr>
      </w:pPr>
      <w:r w:rsidRPr="00107CB2">
        <w:rPr>
          <w:rFonts w:ascii="Times New Roman" w:hAnsi="Times New Roman" w:cs="Times New Roman"/>
          <w:sz w:val="24"/>
        </w:rPr>
        <w:t>Fax: 610.688.0700</w:t>
      </w:r>
    </w:p>
    <w:p w14:paraId="7A185BC1" w14:textId="77777777" w:rsidR="00960B7A" w:rsidRPr="00101256" w:rsidRDefault="002A6C79" w:rsidP="00101256">
      <w:pPr>
        <w:spacing w:after="0"/>
        <w:rPr>
          <w:rFonts w:ascii="Times New Roman" w:hAnsi="Times New Roman" w:cs="Times New Roman"/>
          <w:sz w:val="24"/>
        </w:rPr>
      </w:pPr>
      <w:hyperlink r:id="rId11" w:history="1">
        <w:r w:rsidR="00960B7A" w:rsidRPr="00107CB2">
          <w:rPr>
            <w:rStyle w:val="Hyperlink"/>
            <w:rFonts w:ascii="Times New Roman" w:hAnsi="Times New Roman" w:cs="Times New Roman"/>
            <w:sz w:val="24"/>
          </w:rPr>
          <w:t>dsterry@clsi.org</w:t>
        </w:r>
      </w:hyperlink>
    </w:p>
    <w:sectPr w:rsidR="00960B7A" w:rsidRPr="00101256" w:rsidSect="00A4449C">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A0576" w14:textId="77777777" w:rsidR="00234D09" w:rsidRDefault="00234D09" w:rsidP="00AA65DC">
      <w:pPr>
        <w:spacing w:after="0" w:line="240" w:lineRule="auto"/>
      </w:pPr>
      <w:r>
        <w:separator/>
      </w:r>
    </w:p>
  </w:endnote>
  <w:endnote w:type="continuationSeparator" w:id="0">
    <w:p w14:paraId="215A469E" w14:textId="77777777" w:rsidR="00234D09" w:rsidRDefault="00234D09" w:rsidP="00AA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578666"/>
      <w:docPartObj>
        <w:docPartGallery w:val="Page Numbers (Bottom of Page)"/>
        <w:docPartUnique/>
      </w:docPartObj>
    </w:sdtPr>
    <w:sdtEndPr>
      <w:rPr>
        <w:noProof/>
      </w:rPr>
    </w:sdtEndPr>
    <w:sdtContent>
      <w:p w14:paraId="797EBBF5" w14:textId="77777777" w:rsidR="00234D09" w:rsidRDefault="00234D09">
        <w:pPr>
          <w:pStyle w:val="Footer"/>
          <w:jc w:val="right"/>
        </w:pPr>
        <w:r>
          <w:fldChar w:fldCharType="begin"/>
        </w:r>
        <w:r>
          <w:instrText xml:space="preserve"> PAGE   \* MERGEFORMAT </w:instrText>
        </w:r>
        <w:r>
          <w:fldChar w:fldCharType="separate"/>
        </w:r>
        <w:r w:rsidR="002A6C79">
          <w:rPr>
            <w:noProof/>
          </w:rPr>
          <w:t>1</w:t>
        </w:r>
        <w:r>
          <w:rPr>
            <w:noProof/>
          </w:rPr>
          <w:fldChar w:fldCharType="end"/>
        </w:r>
      </w:p>
    </w:sdtContent>
  </w:sdt>
  <w:p w14:paraId="0DFD91AE" w14:textId="77777777" w:rsidR="00234D09" w:rsidRDefault="00234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C9480" w14:textId="77777777" w:rsidR="00234D09" w:rsidRDefault="00234D09" w:rsidP="00AA65DC">
      <w:pPr>
        <w:spacing w:after="0" w:line="240" w:lineRule="auto"/>
      </w:pPr>
      <w:r>
        <w:separator/>
      </w:r>
    </w:p>
  </w:footnote>
  <w:footnote w:type="continuationSeparator" w:id="0">
    <w:p w14:paraId="48DDE7A5" w14:textId="77777777" w:rsidR="00234D09" w:rsidRDefault="00234D09" w:rsidP="00AA6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B2C85"/>
    <w:multiLevelType w:val="hybridMultilevel"/>
    <w:tmpl w:val="51407F4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5DC"/>
    <w:rsid w:val="00014BB3"/>
    <w:rsid w:val="00040CC4"/>
    <w:rsid w:val="00053A5F"/>
    <w:rsid w:val="0006572F"/>
    <w:rsid w:val="00083AFE"/>
    <w:rsid w:val="000911FA"/>
    <w:rsid w:val="000A2A19"/>
    <w:rsid w:val="000A437E"/>
    <w:rsid w:val="000B535D"/>
    <w:rsid w:val="000C301D"/>
    <w:rsid w:val="000C4292"/>
    <w:rsid w:val="000C746E"/>
    <w:rsid w:val="000F0C09"/>
    <w:rsid w:val="00101256"/>
    <w:rsid w:val="001046D2"/>
    <w:rsid w:val="00107CB2"/>
    <w:rsid w:val="00156B5C"/>
    <w:rsid w:val="0016466C"/>
    <w:rsid w:val="001904E4"/>
    <w:rsid w:val="00194D3E"/>
    <w:rsid w:val="001A350B"/>
    <w:rsid w:val="001D6798"/>
    <w:rsid w:val="00210704"/>
    <w:rsid w:val="00234D09"/>
    <w:rsid w:val="00260589"/>
    <w:rsid w:val="00267E8E"/>
    <w:rsid w:val="002764C7"/>
    <w:rsid w:val="00281363"/>
    <w:rsid w:val="002A4588"/>
    <w:rsid w:val="002A6C79"/>
    <w:rsid w:val="002B3971"/>
    <w:rsid w:val="002C34CB"/>
    <w:rsid w:val="002E4667"/>
    <w:rsid w:val="002E5F97"/>
    <w:rsid w:val="00334F06"/>
    <w:rsid w:val="00343F40"/>
    <w:rsid w:val="0035478A"/>
    <w:rsid w:val="00357EE5"/>
    <w:rsid w:val="00370E4C"/>
    <w:rsid w:val="00380A31"/>
    <w:rsid w:val="003A0AD7"/>
    <w:rsid w:val="003B19E2"/>
    <w:rsid w:val="003B222A"/>
    <w:rsid w:val="003B3C1F"/>
    <w:rsid w:val="003B61CC"/>
    <w:rsid w:val="003C19B2"/>
    <w:rsid w:val="003D0896"/>
    <w:rsid w:val="003D45F1"/>
    <w:rsid w:val="003E4552"/>
    <w:rsid w:val="003F26B7"/>
    <w:rsid w:val="004066F4"/>
    <w:rsid w:val="004440A5"/>
    <w:rsid w:val="00484E45"/>
    <w:rsid w:val="00490F75"/>
    <w:rsid w:val="004A2339"/>
    <w:rsid w:val="004A2F10"/>
    <w:rsid w:val="004E5C19"/>
    <w:rsid w:val="00507346"/>
    <w:rsid w:val="005103AB"/>
    <w:rsid w:val="00530EC6"/>
    <w:rsid w:val="00581F57"/>
    <w:rsid w:val="00584DA7"/>
    <w:rsid w:val="005A6995"/>
    <w:rsid w:val="005C0B34"/>
    <w:rsid w:val="005D4A8A"/>
    <w:rsid w:val="005E691B"/>
    <w:rsid w:val="00622E92"/>
    <w:rsid w:val="00627C87"/>
    <w:rsid w:val="00632505"/>
    <w:rsid w:val="00645642"/>
    <w:rsid w:val="00651198"/>
    <w:rsid w:val="00655EAD"/>
    <w:rsid w:val="006658EE"/>
    <w:rsid w:val="0068530E"/>
    <w:rsid w:val="00694772"/>
    <w:rsid w:val="006B2627"/>
    <w:rsid w:val="006C43E1"/>
    <w:rsid w:val="006C63E3"/>
    <w:rsid w:val="006E2115"/>
    <w:rsid w:val="006F23A8"/>
    <w:rsid w:val="006F4D5A"/>
    <w:rsid w:val="006F75A1"/>
    <w:rsid w:val="00702A52"/>
    <w:rsid w:val="00732B8D"/>
    <w:rsid w:val="00765FB4"/>
    <w:rsid w:val="00767C6B"/>
    <w:rsid w:val="007832F9"/>
    <w:rsid w:val="00785E50"/>
    <w:rsid w:val="0079092D"/>
    <w:rsid w:val="007A110F"/>
    <w:rsid w:val="007B3D92"/>
    <w:rsid w:val="007B4096"/>
    <w:rsid w:val="007B45CE"/>
    <w:rsid w:val="0082363E"/>
    <w:rsid w:val="00837358"/>
    <w:rsid w:val="00842505"/>
    <w:rsid w:val="008440B8"/>
    <w:rsid w:val="0084495F"/>
    <w:rsid w:val="00855D92"/>
    <w:rsid w:val="00874506"/>
    <w:rsid w:val="00883968"/>
    <w:rsid w:val="008C6EA8"/>
    <w:rsid w:val="008D6B1A"/>
    <w:rsid w:val="0090482E"/>
    <w:rsid w:val="00906C3D"/>
    <w:rsid w:val="00935A78"/>
    <w:rsid w:val="00936168"/>
    <w:rsid w:val="00951B4C"/>
    <w:rsid w:val="00960B7A"/>
    <w:rsid w:val="0096460C"/>
    <w:rsid w:val="00966B5F"/>
    <w:rsid w:val="009764AB"/>
    <w:rsid w:val="00980B00"/>
    <w:rsid w:val="00996741"/>
    <w:rsid w:val="009B726A"/>
    <w:rsid w:val="009E1397"/>
    <w:rsid w:val="009F0C8F"/>
    <w:rsid w:val="00A35C0C"/>
    <w:rsid w:val="00A4449C"/>
    <w:rsid w:val="00A52494"/>
    <w:rsid w:val="00A75D23"/>
    <w:rsid w:val="00A83C00"/>
    <w:rsid w:val="00AA65DC"/>
    <w:rsid w:val="00AD59B8"/>
    <w:rsid w:val="00AF7745"/>
    <w:rsid w:val="00B4741C"/>
    <w:rsid w:val="00B514DA"/>
    <w:rsid w:val="00B55AA6"/>
    <w:rsid w:val="00B61B22"/>
    <w:rsid w:val="00B62DB7"/>
    <w:rsid w:val="00BA251B"/>
    <w:rsid w:val="00C023ED"/>
    <w:rsid w:val="00C07DA7"/>
    <w:rsid w:val="00C14E6C"/>
    <w:rsid w:val="00C35345"/>
    <w:rsid w:val="00C554F4"/>
    <w:rsid w:val="00C71857"/>
    <w:rsid w:val="00C75E02"/>
    <w:rsid w:val="00C80CA0"/>
    <w:rsid w:val="00CB4DBA"/>
    <w:rsid w:val="00CF4C91"/>
    <w:rsid w:val="00D051BE"/>
    <w:rsid w:val="00D0629E"/>
    <w:rsid w:val="00D062A8"/>
    <w:rsid w:val="00D4178C"/>
    <w:rsid w:val="00D46E1D"/>
    <w:rsid w:val="00D74D8B"/>
    <w:rsid w:val="00D8399B"/>
    <w:rsid w:val="00D86EE4"/>
    <w:rsid w:val="00DA04DD"/>
    <w:rsid w:val="00DA0726"/>
    <w:rsid w:val="00DB0BA7"/>
    <w:rsid w:val="00DB5DE4"/>
    <w:rsid w:val="00DB65F3"/>
    <w:rsid w:val="00E20DE6"/>
    <w:rsid w:val="00E22F90"/>
    <w:rsid w:val="00E245C3"/>
    <w:rsid w:val="00E26A77"/>
    <w:rsid w:val="00E4384C"/>
    <w:rsid w:val="00EA070A"/>
    <w:rsid w:val="00EA4D17"/>
    <w:rsid w:val="00ED4BE6"/>
    <w:rsid w:val="00EE295B"/>
    <w:rsid w:val="00EE39D5"/>
    <w:rsid w:val="00EE3EF0"/>
    <w:rsid w:val="00F35FB4"/>
    <w:rsid w:val="00F43713"/>
    <w:rsid w:val="00F45019"/>
    <w:rsid w:val="00F874D9"/>
    <w:rsid w:val="00FB0319"/>
    <w:rsid w:val="00FD6CA1"/>
    <w:rsid w:val="00FE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8E2010"/>
  <w15:docId w15:val="{C3777CCA-AEA3-4100-8189-A0AC88E0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DC"/>
    <w:pPr>
      <w:ind w:left="720"/>
      <w:contextualSpacing/>
    </w:pPr>
  </w:style>
  <w:style w:type="character" w:styleId="Hyperlink">
    <w:name w:val="Hyperlink"/>
    <w:basedOn w:val="DefaultParagraphFont"/>
    <w:uiPriority w:val="99"/>
    <w:unhideWhenUsed/>
    <w:rsid w:val="00AA65DC"/>
    <w:rPr>
      <w:color w:val="0000FF" w:themeColor="hyperlink"/>
      <w:u w:val="single"/>
    </w:rPr>
  </w:style>
  <w:style w:type="paragraph" w:styleId="Header">
    <w:name w:val="header"/>
    <w:basedOn w:val="Normal"/>
    <w:link w:val="HeaderChar"/>
    <w:uiPriority w:val="99"/>
    <w:unhideWhenUsed/>
    <w:rsid w:val="00AA6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5DC"/>
  </w:style>
  <w:style w:type="paragraph" w:styleId="Footer">
    <w:name w:val="footer"/>
    <w:basedOn w:val="Normal"/>
    <w:link w:val="FooterChar"/>
    <w:uiPriority w:val="99"/>
    <w:unhideWhenUsed/>
    <w:rsid w:val="00AA6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5DC"/>
  </w:style>
  <w:style w:type="character" w:styleId="CommentReference">
    <w:name w:val="annotation reference"/>
    <w:basedOn w:val="DefaultParagraphFont"/>
    <w:semiHidden/>
    <w:unhideWhenUsed/>
    <w:rsid w:val="00FB0319"/>
    <w:rPr>
      <w:sz w:val="16"/>
      <w:szCs w:val="16"/>
    </w:rPr>
  </w:style>
  <w:style w:type="paragraph" w:styleId="CommentText">
    <w:name w:val="annotation text"/>
    <w:basedOn w:val="Normal"/>
    <w:link w:val="CommentTextChar"/>
    <w:uiPriority w:val="99"/>
    <w:semiHidden/>
    <w:unhideWhenUsed/>
    <w:rsid w:val="00FB0319"/>
    <w:pPr>
      <w:spacing w:line="240" w:lineRule="auto"/>
    </w:pPr>
    <w:rPr>
      <w:sz w:val="20"/>
      <w:szCs w:val="20"/>
    </w:rPr>
  </w:style>
  <w:style w:type="character" w:customStyle="1" w:styleId="CommentTextChar">
    <w:name w:val="Comment Text Char"/>
    <w:basedOn w:val="DefaultParagraphFont"/>
    <w:link w:val="CommentText"/>
    <w:uiPriority w:val="99"/>
    <w:semiHidden/>
    <w:rsid w:val="00FB0319"/>
    <w:rPr>
      <w:sz w:val="20"/>
      <w:szCs w:val="20"/>
    </w:rPr>
  </w:style>
  <w:style w:type="paragraph" w:styleId="BalloonText">
    <w:name w:val="Balloon Text"/>
    <w:basedOn w:val="Normal"/>
    <w:link w:val="BalloonTextChar"/>
    <w:uiPriority w:val="99"/>
    <w:semiHidden/>
    <w:unhideWhenUsed/>
    <w:rsid w:val="00FB0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1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0319"/>
    <w:rPr>
      <w:b/>
      <w:bCs/>
    </w:rPr>
  </w:style>
  <w:style w:type="character" w:customStyle="1" w:styleId="CommentSubjectChar">
    <w:name w:val="Comment Subject Char"/>
    <w:basedOn w:val="CommentTextChar"/>
    <w:link w:val="CommentSubject"/>
    <w:uiPriority w:val="99"/>
    <w:semiHidden/>
    <w:rsid w:val="00FB0319"/>
    <w:rPr>
      <w:b/>
      <w:bCs/>
      <w:sz w:val="20"/>
      <w:szCs w:val="20"/>
    </w:rPr>
  </w:style>
  <w:style w:type="table" w:styleId="TableGrid">
    <w:name w:val="Table Grid"/>
    <w:basedOn w:val="TableNormal"/>
    <w:uiPriority w:val="39"/>
    <w:rsid w:val="00490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1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15492">
      <w:bodyDiv w:val="1"/>
      <w:marLeft w:val="0"/>
      <w:marRight w:val="0"/>
      <w:marTop w:val="0"/>
      <w:marBottom w:val="0"/>
      <w:divBdr>
        <w:top w:val="none" w:sz="0" w:space="0" w:color="auto"/>
        <w:left w:val="none" w:sz="0" w:space="0" w:color="auto"/>
        <w:bottom w:val="none" w:sz="0" w:space="0" w:color="auto"/>
        <w:right w:val="none" w:sz="0" w:space="0" w:color="auto"/>
      </w:divBdr>
    </w:div>
    <w:div w:id="6786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Kalman@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terry@clsi.org" TargetMode="External"/><Relationship Id="rId5" Type="http://schemas.openxmlformats.org/officeDocument/2006/relationships/webSettings" Target="webSettings.xml"/><Relationship Id="rId10" Type="http://schemas.openxmlformats.org/officeDocument/2006/relationships/hyperlink" Target="mailto:ljk0@cdc.gov" TargetMode="External"/><Relationship Id="rId4" Type="http://schemas.openxmlformats.org/officeDocument/2006/relationships/settings" Target="settings.xml"/><Relationship Id="rId9" Type="http://schemas.openxmlformats.org/officeDocument/2006/relationships/hyperlink" Target="mailto:wmi7@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5EAC6-5206-427F-A3EC-42ECC576E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Phan</dc:creator>
  <cp:lastModifiedBy>Phan, Terri (CDC/OPHSS/CSELS) (CTR)</cp:lastModifiedBy>
  <cp:revision>2</cp:revision>
  <cp:lastPrinted>2014-11-17T14:41:00Z</cp:lastPrinted>
  <dcterms:created xsi:type="dcterms:W3CDTF">2015-06-12T23:30:00Z</dcterms:created>
  <dcterms:modified xsi:type="dcterms:W3CDTF">2015-06-12T23:30:00Z</dcterms:modified>
</cp:coreProperties>
</file>